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82B1D">
      <w:pPr>
        <w:spacing w:line="312" w:lineRule="auto"/>
        <w:ind w:firstLine="880" w:firstLineChars="200"/>
        <w:jc w:val="center"/>
        <w:rPr>
          <w:rFonts w:hint="eastAsia" w:ascii="黑体" w:eastAsia="黑体" w:cs="Times New Roman"/>
          <w:bCs/>
          <w:kern w:val="2"/>
          <w:sz w:val="44"/>
          <w:szCs w:val="44"/>
        </w:rPr>
      </w:pPr>
    </w:p>
    <w:p w14:paraId="547D2977">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ascii="黑体" w:eastAsia="黑体" w:cs="Times New Roman"/>
          <w:sz w:val="44"/>
          <w:szCs w:val="44"/>
        </w:rPr>
      </w:pPr>
      <w:r>
        <w:rPr>
          <w:rFonts w:hint="eastAsia" w:ascii="黑体" w:eastAsia="黑体" w:cs="Times New Roman"/>
          <w:sz w:val="44"/>
          <w:szCs w:val="44"/>
          <w:lang w:val="en-US" w:eastAsia="zh-CN"/>
        </w:rPr>
        <w:t>钴</w:t>
      </w:r>
      <w:r>
        <w:rPr>
          <w:rFonts w:hint="eastAsia" w:ascii="黑体" w:eastAsia="黑体" w:cs="Times New Roman"/>
          <w:sz w:val="44"/>
          <w:szCs w:val="44"/>
        </w:rPr>
        <w:t>化学分析方法</w:t>
      </w:r>
    </w:p>
    <w:p w14:paraId="61AF1D9A">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ascii="黑体" w:eastAsia="黑体" w:cs="Times New Roman"/>
          <w:sz w:val="44"/>
          <w:szCs w:val="44"/>
        </w:rPr>
      </w:pPr>
      <w:r>
        <w:rPr>
          <w:rFonts w:hint="eastAsia" w:ascii="黑体" w:eastAsia="黑体" w:cs="Times New Roman"/>
          <w:sz w:val="44"/>
          <w:szCs w:val="44"/>
        </w:rPr>
        <w:t>第</w:t>
      </w:r>
      <w:r>
        <w:rPr>
          <w:rFonts w:hint="eastAsia" w:ascii="黑体" w:eastAsia="黑体" w:cs="Times New Roman"/>
          <w:sz w:val="44"/>
          <w:szCs w:val="44"/>
          <w:lang w:val="en-US" w:eastAsia="zh-CN"/>
        </w:rPr>
        <w:t>13</w:t>
      </w:r>
      <w:r>
        <w:rPr>
          <w:rFonts w:hint="eastAsia" w:ascii="黑体" w:eastAsia="黑体" w:cs="Times New Roman"/>
          <w:sz w:val="44"/>
          <w:szCs w:val="44"/>
        </w:rPr>
        <w:t>部分：碳和硫含量的测定</w:t>
      </w:r>
    </w:p>
    <w:p w14:paraId="50DF6DB9">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ascii="黑体" w:eastAsia="黑体" w:cs="Times New Roman"/>
          <w:sz w:val="44"/>
          <w:szCs w:val="44"/>
        </w:rPr>
      </w:pPr>
      <w:r>
        <w:rPr>
          <w:rFonts w:hint="eastAsia" w:ascii="黑体" w:eastAsia="黑体" w:cs="Times New Roman"/>
          <w:sz w:val="44"/>
          <w:szCs w:val="44"/>
        </w:rPr>
        <w:t>高频感应炉燃烧红外吸收法</w:t>
      </w:r>
    </w:p>
    <w:p w14:paraId="43E4954F">
      <w:pPr>
        <w:keepNext/>
        <w:keepLines/>
        <w:spacing w:before="340" w:after="330"/>
        <w:jc w:val="center"/>
        <w:outlineLvl w:val="0"/>
        <w:rPr>
          <w:rFonts w:cs="Times New Roman"/>
          <w:b/>
          <w:bCs/>
          <w:kern w:val="44"/>
          <w:sz w:val="44"/>
          <w:szCs w:val="44"/>
        </w:rPr>
      </w:pPr>
    </w:p>
    <w:p w14:paraId="2344BD5E">
      <w:pPr>
        <w:autoSpaceDE w:val="0"/>
        <w:autoSpaceDN w:val="0"/>
        <w:adjustRightInd w:val="0"/>
        <w:jc w:val="center"/>
        <w:rPr>
          <w:rFonts w:eastAsia="黑体" w:cs="Times New Roman"/>
          <w:b/>
          <w:kern w:val="2"/>
          <w:sz w:val="52"/>
          <w:szCs w:val="52"/>
        </w:rPr>
      </w:pPr>
    </w:p>
    <w:p w14:paraId="00EC6AB4">
      <w:pPr>
        <w:jc w:val="center"/>
        <w:rPr>
          <w:rFonts w:eastAsia="黑体" w:cs="Times New Roman"/>
          <w:b/>
          <w:kern w:val="2"/>
          <w:sz w:val="52"/>
          <w:szCs w:val="52"/>
        </w:rPr>
      </w:pPr>
    </w:p>
    <w:p w14:paraId="12633EAF">
      <w:pPr>
        <w:autoSpaceDE w:val="0"/>
        <w:autoSpaceDN w:val="0"/>
        <w:adjustRightInd w:val="0"/>
        <w:jc w:val="center"/>
        <w:rPr>
          <w:rFonts w:eastAsia="黑体" w:cs="Times New Roman"/>
          <w:b/>
          <w:kern w:val="2"/>
          <w:sz w:val="52"/>
          <w:szCs w:val="52"/>
        </w:rPr>
      </w:pPr>
    </w:p>
    <w:p w14:paraId="3198F95A">
      <w:pPr>
        <w:jc w:val="center"/>
        <w:rPr>
          <w:rFonts w:hint="eastAsia" w:ascii="黑体" w:eastAsia="黑体" w:cs="Times New Roman"/>
          <w:w w:val="90"/>
          <w:kern w:val="2"/>
          <w:sz w:val="44"/>
          <w:szCs w:val="44"/>
        </w:rPr>
      </w:pPr>
      <w:r>
        <w:rPr>
          <w:rFonts w:hint="eastAsia" w:ascii="黑体" w:eastAsia="黑体" w:cs="Times New Roman"/>
          <w:b/>
          <w:kern w:val="2"/>
          <w:sz w:val="44"/>
          <w:szCs w:val="44"/>
        </w:rPr>
        <w:t>编制说明</w:t>
      </w:r>
    </w:p>
    <w:p w14:paraId="3660EBF4">
      <w:pPr>
        <w:jc w:val="center"/>
        <w:rPr>
          <w:rFonts w:eastAsia="黑体" w:cs="Times New Roman"/>
          <w:sz w:val="32"/>
          <w:szCs w:val="32"/>
        </w:rPr>
      </w:pPr>
    </w:p>
    <w:p w14:paraId="1B38260C">
      <w:pPr>
        <w:jc w:val="center"/>
        <w:rPr>
          <w:rFonts w:eastAsia="黑体" w:cs="Times New Roman"/>
          <w:sz w:val="32"/>
          <w:szCs w:val="32"/>
        </w:rPr>
      </w:pPr>
    </w:p>
    <w:p w14:paraId="477A7511">
      <w:pPr>
        <w:jc w:val="center"/>
        <w:rPr>
          <w:rFonts w:eastAsia="黑体" w:cs="Times New Roman"/>
          <w:sz w:val="32"/>
          <w:szCs w:val="32"/>
        </w:rPr>
      </w:pPr>
    </w:p>
    <w:p w14:paraId="5622C921">
      <w:pPr>
        <w:jc w:val="center"/>
        <w:rPr>
          <w:rFonts w:eastAsia="黑体" w:cs="Times New Roman"/>
          <w:sz w:val="32"/>
          <w:szCs w:val="32"/>
        </w:rPr>
      </w:pPr>
    </w:p>
    <w:p w14:paraId="53FB9212">
      <w:pPr>
        <w:jc w:val="center"/>
        <w:rPr>
          <w:rFonts w:eastAsia="黑体" w:cs="Times New Roman"/>
          <w:sz w:val="32"/>
          <w:szCs w:val="32"/>
        </w:rPr>
      </w:pPr>
    </w:p>
    <w:p w14:paraId="62469533">
      <w:pPr>
        <w:jc w:val="center"/>
        <w:rPr>
          <w:rFonts w:eastAsia="黑体" w:cs="Times New Roman"/>
          <w:sz w:val="32"/>
          <w:szCs w:val="32"/>
        </w:rPr>
      </w:pPr>
    </w:p>
    <w:p w14:paraId="0600F5D4">
      <w:pPr>
        <w:jc w:val="center"/>
        <w:rPr>
          <w:rFonts w:eastAsia="黑体" w:cs="Times New Roman"/>
          <w:sz w:val="32"/>
          <w:szCs w:val="32"/>
        </w:rPr>
      </w:pPr>
    </w:p>
    <w:p w14:paraId="6E8F7407">
      <w:pPr>
        <w:jc w:val="center"/>
        <w:rPr>
          <w:rFonts w:hint="eastAsia" w:cs="Times New Roman"/>
          <w:b/>
          <w:bCs/>
          <w:sz w:val="32"/>
          <w:szCs w:val="32"/>
        </w:rPr>
      </w:pPr>
      <w:r>
        <w:rPr>
          <w:rFonts w:hint="eastAsia" w:cs="Times New Roman"/>
          <w:b/>
          <w:bCs/>
          <w:sz w:val="32"/>
          <w:szCs w:val="32"/>
        </w:rPr>
        <w:t>主编单位：北矿检测技术股份有限公司</w:t>
      </w:r>
    </w:p>
    <w:p w14:paraId="24D300EF">
      <w:pPr>
        <w:jc w:val="center"/>
        <w:rPr>
          <w:rFonts w:hint="default" w:cs="Times New Roman"/>
          <w:b/>
          <w:bCs/>
          <w:sz w:val="32"/>
          <w:szCs w:val="32"/>
          <w:lang w:val="en-US"/>
        </w:rPr>
      </w:pPr>
      <w:r>
        <w:rPr>
          <w:rFonts w:hint="eastAsia" w:cs="Times New Roman"/>
          <w:b/>
          <w:bCs/>
          <w:sz w:val="32"/>
          <w:szCs w:val="32"/>
          <w:lang w:val="en-US" w:eastAsia="zh-CN"/>
        </w:rPr>
        <w:t>刘聪</w:t>
      </w:r>
      <w:r>
        <w:rPr>
          <w:rFonts w:hint="eastAsia" w:cs="Times New Roman"/>
          <w:b/>
          <w:bCs/>
          <w:sz w:val="32"/>
          <w:szCs w:val="32"/>
        </w:rPr>
        <w:t xml:space="preserve"> </w:t>
      </w:r>
      <w:r>
        <w:rPr>
          <w:rFonts w:hint="eastAsia" w:cs="Times New Roman"/>
          <w:b/>
          <w:bCs/>
          <w:sz w:val="32"/>
          <w:szCs w:val="32"/>
          <w:lang w:val="en-US" w:eastAsia="zh-CN"/>
        </w:rPr>
        <w:t>谢云燕 阮桂色</w:t>
      </w:r>
    </w:p>
    <w:p w14:paraId="5793D024">
      <w:pPr>
        <w:jc w:val="center"/>
        <w:rPr>
          <w:rFonts w:cs="Times New Roman"/>
          <w:b/>
          <w:bCs/>
          <w:sz w:val="32"/>
          <w:szCs w:val="32"/>
        </w:rPr>
      </w:pPr>
      <w:r>
        <w:rPr>
          <w:rFonts w:hint="eastAsia" w:cs="Times New Roman"/>
          <w:b/>
          <w:bCs/>
          <w:sz w:val="32"/>
          <w:szCs w:val="32"/>
        </w:rPr>
        <w:t>202</w:t>
      </w:r>
      <w:r>
        <w:rPr>
          <w:rFonts w:hint="eastAsia" w:cs="Times New Roman"/>
          <w:b/>
          <w:bCs/>
          <w:sz w:val="32"/>
          <w:szCs w:val="32"/>
          <w:lang w:val="en-US" w:eastAsia="zh-CN"/>
        </w:rPr>
        <w:t>6</w:t>
      </w:r>
      <w:r>
        <w:rPr>
          <w:rFonts w:hint="eastAsia" w:cs="Times New Roman"/>
          <w:b/>
          <w:bCs/>
          <w:sz w:val="32"/>
          <w:szCs w:val="32"/>
        </w:rPr>
        <w:t>年</w:t>
      </w:r>
      <w:r>
        <w:rPr>
          <w:rFonts w:hint="eastAsia" w:cs="Times New Roman"/>
          <w:b/>
          <w:bCs/>
          <w:sz w:val="32"/>
          <w:szCs w:val="32"/>
          <w:lang w:val="en-US" w:eastAsia="zh-CN"/>
        </w:rPr>
        <w:t>7</w:t>
      </w:r>
      <w:r>
        <w:rPr>
          <w:rFonts w:hint="eastAsia" w:cs="Times New Roman"/>
          <w:b/>
          <w:bCs/>
          <w:sz w:val="32"/>
          <w:szCs w:val="32"/>
        </w:rPr>
        <w:t>月</w:t>
      </w:r>
    </w:p>
    <w:p w14:paraId="6F4DC661">
      <w:pPr>
        <w:widowControl/>
        <w:autoSpaceDE w:val="0"/>
        <w:autoSpaceDN w:val="0"/>
        <w:spacing w:line="240" w:lineRule="auto"/>
        <w:ind w:firstLine="723" w:firstLineChars="200"/>
        <w:rPr>
          <w:rFonts w:cs="Times New Roman"/>
          <w:b/>
          <w:bCs/>
          <w:sz w:val="36"/>
          <w:szCs w:val="30"/>
        </w:rPr>
      </w:pPr>
    </w:p>
    <w:p w14:paraId="27C998D6">
      <w:pPr>
        <w:widowControl/>
        <w:autoSpaceDE w:val="0"/>
        <w:autoSpaceDN w:val="0"/>
        <w:spacing w:line="240" w:lineRule="auto"/>
        <w:ind w:firstLine="723" w:firstLineChars="200"/>
        <w:rPr>
          <w:rFonts w:hint="eastAsia" w:cs="Times New Roman"/>
          <w:b/>
          <w:bCs/>
          <w:sz w:val="36"/>
          <w:szCs w:val="30"/>
        </w:rPr>
      </w:pPr>
    </w:p>
    <w:p w14:paraId="3C4B3635">
      <w:pPr>
        <w:widowControl/>
        <w:autoSpaceDE w:val="0"/>
        <w:autoSpaceDN w:val="0"/>
        <w:spacing w:line="240" w:lineRule="auto"/>
        <w:rPr>
          <w:rFonts w:cs="Times New Roman"/>
          <w:b/>
          <w:bCs/>
          <w:sz w:val="36"/>
          <w:szCs w:val="30"/>
        </w:rPr>
      </w:pPr>
    </w:p>
    <w:p w14:paraId="007D1BF6">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ascii="黑体" w:eastAsia="黑体" w:cs="Times New Roman"/>
          <w:sz w:val="44"/>
          <w:szCs w:val="44"/>
        </w:rPr>
      </w:pPr>
      <w:r>
        <w:rPr>
          <w:rFonts w:hint="eastAsia" w:ascii="黑体" w:eastAsia="黑体" w:cs="Times New Roman"/>
          <w:sz w:val="44"/>
          <w:szCs w:val="44"/>
          <w:lang w:val="en-US" w:eastAsia="zh-CN"/>
        </w:rPr>
        <w:t>钴</w:t>
      </w:r>
      <w:r>
        <w:rPr>
          <w:rFonts w:hint="eastAsia" w:ascii="黑体" w:eastAsia="黑体" w:cs="Times New Roman"/>
          <w:sz w:val="44"/>
          <w:szCs w:val="44"/>
        </w:rPr>
        <w:t>化学分析方法</w:t>
      </w:r>
    </w:p>
    <w:p w14:paraId="5C3942DF">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ascii="黑体" w:eastAsia="黑体" w:cs="Times New Roman"/>
          <w:sz w:val="44"/>
          <w:szCs w:val="44"/>
        </w:rPr>
      </w:pPr>
      <w:r>
        <w:rPr>
          <w:rFonts w:hint="eastAsia" w:ascii="黑体" w:eastAsia="黑体" w:cs="Times New Roman"/>
          <w:sz w:val="44"/>
          <w:szCs w:val="44"/>
        </w:rPr>
        <w:t>第</w:t>
      </w:r>
      <w:r>
        <w:rPr>
          <w:rFonts w:hint="eastAsia" w:ascii="黑体" w:eastAsia="黑体" w:cs="Times New Roman"/>
          <w:sz w:val="44"/>
          <w:szCs w:val="44"/>
          <w:lang w:val="en-US" w:eastAsia="zh-CN"/>
        </w:rPr>
        <w:t>13</w:t>
      </w:r>
      <w:r>
        <w:rPr>
          <w:rFonts w:hint="eastAsia" w:ascii="黑体" w:eastAsia="黑体" w:cs="Times New Roman"/>
          <w:sz w:val="44"/>
          <w:szCs w:val="44"/>
        </w:rPr>
        <w:t>部分：碳和硫含量的测定</w:t>
      </w:r>
    </w:p>
    <w:p w14:paraId="0071D261">
      <w:pPr>
        <w:keepNext w:val="0"/>
        <w:keepLines w:val="0"/>
        <w:pageBreakBefore w:val="0"/>
        <w:widowControl w:val="0"/>
        <w:kinsoku/>
        <w:wordWrap/>
        <w:overflowPunct/>
        <w:topLinePunct w:val="0"/>
        <w:autoSpaceDE/>
        <w:autoSpaceDN/>
        <w:bidi w:val="0"/>
        <w:adjustRightInd/>
        <w:snapToGrid/>
        <w:spacing w:line="240" w:lineRule="auto"/>
        <w:ind w:left="19757" w:hanging="19757"/>
        <w:jc w:val="center"/>
        <w:textAlignment w:val="auto"/>
        <w:rPr>
          <w:rFonts w:hint="eastAsia" w:ascii="黑体" w:eastAsia="黑体" w:cs="Times New Roman"/>
          <w:sz w:val="52"/>
          <w:szCs w:val="20"/>
        </w:rPr>
      </w:pPr>
      <w:r>
        <w:rPr>
          <w:rFonts w:hint="eastAsia" w:ascii="黑体" w:eastAsia="黑体" w:cs="Times New Roman"/>
          <w:sz w:val="44"/>
          <w:szCs w:val="44"/>
        </w:rPr>
        <w:t>高频感应炉燃烧红外吸收法</w:t>
      </w:r>
    </w:p>
    <w:p w14:paraId="42D7ED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cs="Times New Roman"/>
          <w:kern w:val="2"/>
          <w:sz w:val="32"/>
          <w:szCs w:val="32"/>
        </w:rPr>
      </w:pPr>
      <w:r>
        <w:rPr>
          <w:rFonts w:hint="eastAsia" w:eastAsia="黑体" w:cs="Times New Roman"/>
          <w:kern w:val="2"/>
          <w:sz w:val="32"/>
          <w:szCs w:val="32"/>
        </w:rPr>
        <w:t>编制说明</w:t>
      </w:r>
    </w:p>
    <w:p w14:paraId="594280ED">
      <w:pPr>
        <w:keepNext/>
        <w:keepLines/>
        <w:spacing w:before="10" w:after="10" w:line="416" w:lineRule="auto"/>
        <w:outlineLvl w:val="1"/>
        <w:rPr>
          <w:rFonts w:eastAsia="黑体" w:cs="Times New Roman"/>
          <w:b/>
          <w:sz w:val="28"/>
          <w:szCs w:val="28"/>
        </w:rPr>
      </w:pPr>
      <w:r>
        <w:rPr>
          <w:rFonts w:hint="eastAsia" w:eastAsia="黑体" w:cs="Times New Roman"/>
          <w:b/>
          <w:sz w:val="28"/>
          <w:szCs w:val="28"/>
        </w:rPr>
        <w:t>一、工作简况</w:t>
      </w:r>
    </w:p>
    <w:p w14:paraId="7EF7049E">
      <w:pPr>
        <w:widowControl/>
        <w:tabs>
          <w:tab w:val="left" w:pos="675"/>
        </w:tabs>
        <w:spacing w:before="163" w:beforeLines="50" w:after="163" w:afterLines="50" w:line="240" w:lineRule="auto"/>
        <w:outlineLvl w:val="1"/>
        <w:rPr>
          <w:rFonts w:eastAsia="黑体" w:cs="Times New Roman"/>
          <w:szCs w:val="20"/>
        </w:rPr>
      </w:pPr>
      <w:r>
        <w:rPr>
          <w:rFonts w:hint="eastAsia" w:eastAsia="黑体" w:cs="Times New Roman"/>
          <w:szCs w:val="20"/>
        </w:rPr>
        <w:t>一）任务来源</w:t>
      </w:r>
    </w:p>
    <w:p w14:paraId="7F597E64">
      <w:pPr>
        <w:widowControl/>
        <w:tabs>
          <w:tab w:val="left" w:pos="675"/>
        </w:tabs>
        <w:spacing w:before="163" w:beforeLines="50" w:after="163" w:afterLines="50" w:line="240" w:lineRule="auto"/>
        <w:ind w:firstLine="420" w:firstLineChars="200"/>
        <w:outlineLvl w:val="1"/>
        <w:rPr>
          <w:rFonts w:hint="eastAsia" w:ascii="宋体" w:hAnsi="宋体" w:cs="Times New Roman"/>
          <w:sz w:val="21"/>
          <w:szCs w:val="21"/>
        </w:rPr>
      </w:pPr>
      <w:r>
        <w:rPr>
          <w:rFonts w:hint="eastAsia" w:ascii="宋体" w:hAnsi="宋体" w:cs="Times New Roman"/>
          <w:sz w:val="21"/>
          <w:szCs w:val="21"/>
        </w:rPr>
        <w:t>根据工业和信息化部办公厅关于印发202</w:t>
      </w:r>
      <w:r>
        <w:rPr>
          <w:rFonts w:hint="eastAsia" w:ascii="宋体" w:hAnsi="宋体" w:cs="Times New Roman"/>
          <w:sz w:val="21"/>
          <w:szCs w:val="21"/>
          <w:lang w:val="en-US" w:eastAsia="zh-CN"/>
        </w:rPr>
        <w:t>5</w:t>
      </w:r>
      <w:r>
        <w:rPr>
          <w:rFonts w:hint="eastAsia" w:ascii="宋体" w:hAnsi="宋体" w:cs="Times New Roman"/>
          <w:sz w:val="21"/>
          <w:szCs w:val="21"/>
        </w:rPr>
        <w:t>年第</w:t>
      </w:r>
      <w:r>
        <w:rPr>
          <w:rFonts w:hint="eastAsia" w:ascii="宋体" w:hAnsi="宋体" w:cs="Times New Roman"/>
          <w:sz w:val="21"/>
          <w:szCs w:val="21"/>
          <w:lang w:val="en-US" w:eastAsia="zh-CN"/>
        </w:rPr>
        <w:t>五</w:t>
      </w:r>
      <w:r>
        <w:rPr>
          <w:rFonts w:hint="eastAsia" w:ascii="宋体" w:hAnsi="宋体" w:cs="Times New Roman"/>
          <w:sz w:val="21"/>
          <w:szCs w:val="21"/>
        </w:rPr>
        <w:t>批行业标准制修订和外文版项目计划的通知（工信厅科函【202</w:t>
      </w:r>
      <w:r>
        <w:rPr>
          <w:rFonts w:hint="eastAsia" w:ascii="宋体" w:hAnsi="宋体" w:cs="Times New Roman"/>
          <w:sz w:val="21"/>
          <w:szCs w:val="21"/>
          <w:lang w:val="en-US" w:eastAsia="zh-CN"/>
        </w:rPr>
        <w:t>5</w:t>
      </w:r>
      <w:r>
        <w:rPr>
          <w:rFonts w:hint="eastAsia" w:ascii="宋体" w:hAnsi="宋体" w:cs="Times New Roman"/>
          <w:sz w:val="21"/>
          <w:szCs w:val="21"/>
        </w:rPr>
        <w:t>】</w:t>
      </w:r>
      <w:r>
        <w:rPr>
          <w:rFonts w:hint="eastAsia" w:ascii="宋体" w:hAnsi="宋体" w:cs="Times New Roman"/>
          <w:sz w:val="21"/>
          <w:szCs w:val="21"/>
          <w:lang w:val="en-US" w:eastAsia="zh-CN"/>
        </w:rPr>
        <w:t>528</w:t>
      </w:r>
      <w:r>
        <w:rPr>
          <w:rFonts w:hint="eastAsia" w:ascii="宋体" w:hAnsi="宋体" w:cs="Times New Roman"/>
          <w:sz w:val="21"/>
          <w:szCs w:val="21"/>
        </w:rPr>
        <w:t>号）文件精神，全国有色金属标准化技术委员会于202</w:t>
      </w:r>
      <w:r>
        <w:rPr>
          <w:rFonts w:hint="eastAsia" w:ascii="宋体" w:hAnsi="宋体" w:cs="Times New Roman"/>
          <w:sz w:val="21"/>
          <w:szCs w:val="21"/>
          <w:lang w:val="en-US" w:eastAsia="zh-CN"/>
        </w:rPr>
        <w:t>6</w:t>
      </w:r>
      <w:r>
        <w:rPr>
          <w:rFonts w:hint="eastAsia" w:ascii="宋体" w:hAnsi="宋体" w:cs="Times New Roman"/>
          <w:sz w:val="21"/>
          <w:szCs w:val="21"/>
        </w:rPr>
        <w:t>年</w:t>
      </w:r>
      <w:r>
        <w:rPr>
          <w:rFonts w:hint="eastAsia" w:ascii="宋体" w:hAnsi="宋体" w:cs="Times New Roman"/>
          <w:sz w:val="21"/>
          <w:szCs w:val="21"/>
          <w:lang w:val="en-US" w:eastAsia="zh-CN"/>
        </w:rPr>
        <w:t>1</w:t>
      </w:r>
      <w:r>
        <w:rPr>
          <w:rFonts w:hint="eastAsia" w:ascii="宋体" w:hAnsi="宋体" w:cs="Times New Roman"/>
          <w:sz w:val="21"/>
          <w:szCs w:val="21"/>
        </w:rPr>
        <w:t>月19日于</w:t>
      </w:r>
      <w:r>
        <w:rPr>
          <w:rFonts w:hint="eastAsia" w:ascii="宋体" w:hAnsi="宋体" w:cs="Times New Roman"/>
          <w:sz w:val="21"/>
          <w:szCs w:val="21"/>
          <w:lang w:val="en-US" w:eastAsia="zh-CN"/>
        </w:rPr>
        <w:t>广东珠海</w:t>
      </w:r>
      <w:r>
        <w:rPr>
          <w:rFonts w:hint="eastAsia" w:ascii="宋体" w:hAnsi="宋体" w:cs="Times New Roman"/>
          <w:sz w:val="21"/>
          <w:szCs w:val="21"/>
        </w:rPr>
        <w:t>召开有色金属标准工作会议，会议确定了《</w:t>
      </w:r>
      <w:r>
        <w:rPr>
          <w:rFonts w:hint="eastAsia" w:ascii="宋体" w:hAnsi="宋体" w:cs="Times New Roman"/>
          <w:sz w:val="21"/>
          <w:szCs w:val="21"/>
          <w:lang w:val="en-US" w:eastAsia="zh-CN"/>
        </w:rPr>
        <w:t>钴</w:t>
      </w:r>
      <w:r>
        <w:rPr>
          <w:rFonts w:hint="eastAsia" w:ascii="宋体" w:hAnsi="宋体" w:cs="Times New Roman"/>
          <w:sz w:val="21"/>
          <w:szCs w:val="21"/>
        </w:rPr>
        <w:t>化学分析方法 第</w:t>
      </w:r>
      <w:r>
        <w:rPr>
          <w:rFonts w:hint="eastAsia" w:ascii="宋体" w:hAnsi="宋体" w:cs="Times New Roman"/>
          <w:sz w:val="21"/>
          <w:szCs w:val="21"/>
          <w:lang w:val="en-US" w:eastAsia="zh-CN"/>
        </w:rPr>
        <w:t>13</w:t>
      </w:r>
      <w:r>
        <w:rPr>
          <w:rFonts w:hint="eastAsia" w:ascii="宋体" w:hAnsi="宋体" w:cs="Times New Roman"/>
          <w:sz w:val="21"/>
          <w:szCs w:val="21"/>
        </w:rPr>
        <w:t>部分：碳和硫含量的测定 高频感应炉燃烧红外吸收法》的制定工作由北矿检测技术股份有限公司负责起草，会议明确了样品的制备单位、验证单位及各项工作时间进度要求(会议纪要见有色标秘【202</w:t>
      </w:r>
      <w:r>
        <w:rPr>
          <w:rFonts w:hint="eastAsia" w:ascii="宋体" w:hAnsi="宋体" w:cs="Times New Roman"/>
          <w:sz w:val="21"/>
          <w:szCs w:val="21"/>
          <w:lang w:val="en-US" w:eastAsia="zh-CN"/>
        </w:rPr>
        <w:t>6</w:t>
      </w:r>
      <w:r>
        <w:rPr>
          <w:rFonts w:hint="eastAsia" w:ascii="宋体" w:hAnsi="宋体" w:cs="Times New Roman"/>
          <w:sz w:val="21"/>
          <w:szCs w:val="21"/>
        </w:rPr>
        <w:t>】</w:t>
      </w:r>
      <w:r>
        <w:rPr>
          <w:rFonts w:hint="eastAsia" w:ascii="宋体" w:hAnsi="宋体" w:cs="Times New Roman"/>
          <w:sz w:val="21"/>
          <w:szCs w:val="21"/>
          <w:lang w:val="en-US" w:eastAsia="zh-CN"/>
        </w:rPr>
        <w:t>9</w:t>
      </w:r>
      <w:r>
        <w:rPr>
          <w:rFonts w:hint="eastAsia" w:ascii="宋体" w:hAnsi="宋体" w:cs="Times New Roman"/>
          <w:sz w:val="21"/>
          <w:szCs w:val="21"/>
        </w:rPr>
        <w:t>号），该项目由全国有色金属标准化技术委员会重金属分技术委员会归口，计划编号：（工信厅科函【202</w:t>
      </w:r>
      <w:r>
        <w:rPr>
          <w:rFonts w:hint="eastAsia" w:ascii="宋体" w:hAnsi="宋体" w:cs="Times New Roman"/>
          <w:sz w:val="21"/>
          <w:szCs w:val="21"/>
          <w:lang w:val="en-US" w:eastAsia="zh-CN"/>
        </w:rPr>
        <w:t>5</w:t>
      </w:r>
      <w:r>
        <w:rPr>
          <w:rFonts w:hint="eastAsia" w:ascii="宋体" w:hAnsi="宋体" w:cs="Times New Roman"/>
          <w:sz w:val="21"/>
          <w:szCs w:val="21"/>
        </w:rPr>
        <w:t>】</w:t>
      </w:r>
      <w:r>
        <w:rPr>
          <w:rFonts w:hint="eastAsia" w:ascii="宋体" w:hAnsi="宋体" w:cs="Times New Roman"/>
          <w:sz w:val="21"/>
          <w:szCs w:val="21"/>
          <w:lang w:val="en-US" w:eastAsia="zh-CN"/>
        </w:rPr>
        <w:t>528</w:t>
      </w:r>
      <w:r>
        <w:rPr>
          <w:rFonts w:hint="eastAsia" w:ascii="宋体" w:hAnsi="宋体" w:cs="Times New Roman"/>
          <w:sz w:val="21"/>
          <w:szCs w:val="21"/>
        </w:rPr>
        <w:t>号（2025-1348T-YS），</w:t>
      </w:r>
      <w:r>
        <w:rPr>
          <w:rFonts w:hint="eastAsia" w:ascii="宋体" w:hAnsi="宋体" w:cs="Times New Roman"/>
          <w:sz w:val="21"/>
          <w:szCs w:val="21"/>
          <w:highlight w:val="none"/>
        </w:rPr>
        <w:t>项目计划完成年限为202</w:t>
      </w:r>
      <w:r>
        <w:rPr>
          <w:rFonts w:hint="eastAsia" w:ascii="宋体" w:hAnsi="宋体" w:cs="Times New Roman"/>
          <w:sz w:val="21"/>
          <w:szCs w:val="21"/>
          <w:highlight w:val="none"/>
          <w:lang w:val="en-US" w:eastAsia="zh-CN"/>
        </w:rPr>
        <w:t>6</w:t>
      </w:r>
      <w:r>
        <w:rPr>
          <w:rFonts w:hint="eastAsia" w:ascii="宋体" w:hAnsi="宋体" w:cs="Times New Roman"/>
          <w:sz w:val="21"/>
          <w:szCs w:val="21"/>
          <w:highlight w:val="none"/>
        </w:rPr>
        <w:t>年</w:t>
      </w:r>
      <w:r>
        <w:rPr>
          <w:rFonts w:hint="eastAsia" w:ascii="宋体" w:hAnsi="宋体" w:cs="Times New Roman"/>
          <w:sz w:val="21"/>
          <w:szCs w:val="21"/>
          <w:highlight w:val="none"/>
          <w:lang w:val="en-US" w:eastAsia="zh-CN"/>
        </w:rPr>
        <w:t>12</w:t>
      </w:r>
      <w:r>
        <w:rPr>
          <w:rFonts w:hint="eastAsia" w:ascii="宋体" w:hAnsi="宋体" w:cs="Times New Roman"/>
          <w:sz w:val="21"/>
          <w:szCs w:val="21"/>
          <w:highlight w:val="none"/>
        </w:rPr>
        <w:t>月。</w:t>
      </w:r>
    </w:p>
    <w:p w14:paraId="1D2D43A4">
      <w:pPr>
        <w:spacing w:before="156" w:after="156" w:line="240" w:lineRule="auto"/>
        <w:outlineLvl w:val="1"/>
        <w:rPr>
          <w:rFonts w:hint="eastAsia" w:eastAsia="黑体" w:cs="Times New Roman"/>
          <w:szCs w:val="20"/>
        </w:rPr>
      </w:pPr>
      <w:r>
        <w:rPr>
          <w:rFonts w:hint="eastAsia" w:eastAsia="黑体" w:cs="Times New Roman"/>
          <w:szCs w:val="20"/>
        </w:rPr>
        <w:t>二）制定背景</w:t>
      </w:r>
    </w:p>
    <w:p w14:paraId="7B15781D">
      <w:pPr>
        <w:keepNext w:val="0"/>
        <w:keepLines w:val="0"/>
        <w:pageBreakBefore w:val="0"/>
        <w:widowControl/>
        <w:tabs>
          <w:tab w:val="left" w:pos="675"/>
        </w:tabs>
        <w:kinsoku/>
        <w:wordWrap/>
        <w:overflowPunct/>
        <w:topLinePunct w:val="0"/>
        <w:autoSpaceDE/>
        <w:autoSpaceDN/>
        <w:bidi w:val="0"/>
        <w:adjustRightInd/>
        <w:snapToGrid/>
        <w:spacing w:before="163" w:beforeLines="50" w:after="163" w:afterLines="50" w:line="240" w:lineRule="auto"/>
        <w:ind w:firstLine="420" w:firstLineChars="200"/>
        <w:textAlignment w:val="auto"/>
        <w:outlineLvl w:val="1"/>
        <w:rPr>
          <w:rFonts w:hint="eastAsia" w:ascii="宋体" w:hAnsi="宋体" w:eastAsia="宋体" w:cs="宋体"/>
          <w:sz w:val="21"/>
          <w:szCs w:val="21"/>
        </w:rPr>
      </w:pPr>
      <w:r>
        <w:rPr>
          <w:rFonts w:hint="eastAsia" w:ascii="宋体" w:hAnsi="宋体" w:eastAsia="宋体" w:cs="宋体"/>
          <w:sz w:val="21"/>
          <w:szCs w:val="21"/>
        </w:rPr>
        <w:t>钴是重要的战略金属，广泛应用于电池、高端合金、医疗及化工等领域</w:t>
      </w:r>
      <w:r>
        <w:rPr>
          <w:rFonts w:hint="eastAsia" w:ascii="宋体" w:hAnsi="宋体" w:eastAsia="宋体" w:cs="宋体"/>
          <w:sz w:val="21"/>
          <w:szCs w:val="21"/>
          <w:lang w:eastAsia="zh-CN"/>
        </w:rPr>
        <w:t>。随着新能源电池、高温合金、硬质合金及催化材料等产业的快速发展，钴及其化合物的应用领域不断拓展，产品纯度和杂质控制要求日趋严格。</w:t>
      </w:r>
      <w:r>
        <w:rPr>
          <w:rFonts w:hint="eastAsia" w:ascii="宋体" w:hAnsi="宋体" w:eastAsia="宋体" w:cs="宋体"/>
          <w:sz w:val="21"/>
          <w:szCs w:val="21"/>
          <w:lang w:val="en-US" w:eastAsia="zh-CN"/>
        </w:rPr>
        <w:t>钴</w:t>
      </w:r>
      <w:r>
        <w:rPr>
          <w:rFonts w:hint="eastAsia" w:ascii="宋体" w:hAnsi="宋体" w:eastAsia="宋体" w:cs="宋体"/>
          <w:sz w:val="21"/>
          <w:szCs w:val="21"/>
        </w:rPr>
        <w:t>化学分析方法标准在有色领域标准体系中发挥着重要作用，该系列方法服务于</w:t>
      </w:r>
      <w:r>
        <w:rPr>
          <w:rFonts w:hint="eastAsia" w:ascii="宋体" w:hAnsi="宋体" w:eastAsia="宋体" w:cs="宋体"/>
          <w:sz w:val="21"/>
          <w:szCs w:val="21"/>
          <w:lang w:val="en-US" w:eastAsia="zh-CN"/>
        </w:rPr>
        <w:t>钴金属</w:t>
      </w:r>
      <w:r>
        <w:rPr>
          <w:rFonts w:hint="eastAsia" w:ascii="宋体" w:hAnsi="宋体" w:eastAsia="宋体" w:cs="宋体"/>
          <w:sz w:val="21"/>
          <w:szCs w:val="21"/>
        </w:rPr>
        <w:t>的生产、贸易和应用，为我国有色金属行业高质量发展提供技术支撑，</w:t>
      </w:r>
      <w:r>
        <w:rPr>
          <w:rFonts w:hint="eastAsia" w:ascii="宋体" w:hAnsi="宋体" w:eastAsia="宋体" w:cs="宋体"/>
          <w:sz w:val="21"/>
          <w:szCs w:val="21"/>
          <w:lang w:val="en-US" w:eastAsia="zh-CN"/>
        </w:rPr>
        <w:t>YS</w:t>
      </w:r>
      <w:r>
        <w:rPr>
          <w:rFonts w:hint="eastAsia" w:ascii="宋体" w:hAnsi="宋体" w:eastAsia="宋体" w:cs="宋体"/>
          <w:sz w:val="21"/>
          <w:szCs w:val="21"/>
        </w:rPr>
        <w:t xml:space="preserve">/T </w:t>
      </w:r>
      <w:r>
        <w:rPr>
          <w:rFonts w:hint="eastAsia" w:ascii="宋体" w:hAnsi="宋体" w:eastAsia="宋体" w:cs="宋体"/>
          <w:sz w:val="21"/>
          <w:szCs w:val="21"/>
          <w:lang w:val="en-US" w:eastAsia="zh-CN"/>
        </w:rPr>
        <w:t>281</w:t>
      </w:r>
      <w:r>
        <w:rPr>
          <w:rFonts w:hint="eastAsia" w:ascii="宋体" w:hAnsi="宋体" w:eastAsia="宋体" w:cs="宋体"/>
          <w:sz w:val="21"/>
          <w:szCs w:val="21"/>
        </w:rPr>
        <w:t>《</w:t>
      </w:r>
      <w:r>
        <w:rPr>
          <w:rFonts w:hint="eastAsia" w:ascii="宋体" w:hAnsi="宋体" w:eastAsia="宋体" w:cs="宋体"/>
          <w:sz w:val="21"/>
          <w:szCs w:val="21"/>
          <w:lang w:val="en-US" w:eastAsia="zh-CN"/>
        </w:rPr>
        <w:t>钴</w:t>
      </w:r>
      <w:r>
        <w:rPr>
          <w:rFonts w:hint="eastAsia" w:ascii="宋体" w:hAnsi="宋体" w:eastAsia="宋体" w:cs="宋体"/>
          <w:sz w:val="21"/>
          <w:szCs w:val="21"/>
        </w:rPr>
        <w:t>化学分析方法》目的在于</w:t>
      </w:r>
      <w:r>
        <w:rPr>
          <w:rFonts w:hint="eastAsia" w:ascii="宋体" w:hAnsi="宋体" w:eastAsia="宋体" w:cs="宋体"/>
          <w:sz w:val="21"/>
          <w:szCs w:val="21"/>
          <w:lang w:val="en-US" w:eastAsia="zh-CN"/>
        </w:rPr>
        <w:t>描述</w:t>
      </w:r>
      <w:r>
        <w:rPr>
          <w:rFonts w:hint="eastAsia" w:ascii="宋体" w:hAnsi="宋体" w:eastAsia="宋体" w:cs="宋体"/>
          <w:sz w:val="21"/>
          <w:szCs w:val="21"/>
        </w:rPr>
        <w:t>钴中铝、锰、镍、铜、锌、镉、锡、砷、铁等不同化学元素成分的测定方法。</w:t>
      </w:r>
    </w:p>
    <w:p w14:paraId="658B5A58">
      <w:pPr>
        <w:widowControl/>
        <w:tabs>
          <w:tab w:val="left" w:pos="675"/>
        </w:tabs>
        <w:spacing w:before="163" w:beforeLines="50" w:after="163" w:afterLines="50" w:line="240" w:lineRule="auto"/>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目前中国已发展成为全球最大的</w:t>
      </w:r>
      <w:r>
        <w:rPr>
          <w:rFonts w:hint="eastAsia" w:ascii="宋体" w:hAnsi="宋体" w:eastAsia="宋体" w:cs="宋体"/>
          <w:sz w:val="21"/>
          <w:szCs w:val="21"/>
          <w:lang w:val="en-US" w:eastAsia="zh-CN"/>
        </w:rPr>
        <w:t>钴</w:t>
      </w:r>
      <w:r>
        <w:rPr>
          <w:rFonts w:hint="eastAsia" w:ascii="宋体" w:hAnsi="宋体" w:eastAsia="宋体" w:cs="宋体"/>
          <w:sz w:val="21"/>
          <w:szCs w:val="21"/>
        </w:rPr>
        <w:t>消费国，</w:t>
      </w:r>
      <w:r>
        <w:rPr>
          <w:rFonts w:hint="eastAsia" w:ascii="宋体" w:hAnsi="宋体" w:eastAsia="宋体" w:cs="宋体"/>
          <w:sz w:val="21"/>
          <w:szCs w:val="21"/>
          <w:lang w:val="en-US" w:eastAsia="zh-CN"/>
        </w:rPr>
        <w:t>钴</w:t>
      </w:r>
      <w:r>
        <w:rPr>
          <w:rFonts w:hint="eastAsia" w:ascii="宋体" w:hAnsi="宋体" w:eastAsia="宋体" w:cs="宋体"/>
          <w:sz w:val="21"/>
          <w:szCs w:val="21"/>
        </w:rPr>
        <w:t>加工制造业基地</w:t>
      </w:r>
      <w:r>
        <w:rPr>
          <w:rFonts w:hint="eastAsia" w:ascii="宋体" w:hAnsi="宋体" w:eastAsia="宋体" w:cs="宋体"/>
          <w:sz w:val="21"/>
          <w:szCs w:val="21"/>
          <w:lang w:eastAsia="zh-CN"/>
        </w:rPr>
        <w:t>。</w:t>
      </w:r>
      <w:r>
        <w:rPr>
          <w:rFonts w:hint="eastAsia" w:ascii="宋体" w:hAnsi="宋体" w:eastAsia="宋体" w:cs="宋体"/>
          <w:sz w:val="21"/>
          <w:szCs w:val="21"/>
        </w:rPr>
        <w:t>随着新能源电池、高温合金及催化剂等领域的快速发展</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钴量</w:t>
      </w:r>
      <w:r>
        <w:rPr>
          <w:rFonts w:hint="eastAsia" w:ascii="宋体" w:hAnsi="宋体" w:eastAsia="宋体" w:cs="宋体"/>
          <w:sz w:val="21"/>
          <w:szCs w:val="21"/>
        </w:rPr>
        <w:t>需求不断地增加，</w:t>
      </w:r>
      <w:r>
        <w:rPr>
          <w:rFonts w:hint="eastAsia" w:ascii="宋体" w:hAnsi="宋体" w:eastAsia="宋体" w:cs="宋体"/>
          <w:sz w:val="21"/>
          <w:szCs w:val="21"/>
          <w:lang w:val="en-US" w:eastAsia="zh-CN"/>
        </w:rPr>
        <w:t>钴</w:t>
      </w:r>
      <w:r>
        <w:rPr>
          <w:rFonts w:hint="eastAsia" w:ascii="宋体" w:hAnsi="宋体" w:eastAsia="宋体" w:cs="宋体"/>
          <w:sz w:val="21"/>
          <w:szCs w:val="21"/>
        </w:rPr>
        <w:t>产业的发展前景十分开阔。为满足行业对</w:t>
      </w:r>
      <w:r>
        <w:rPr>
          <w:rFonts w:hint="eastAsia" w:ascii="宋体" w:hAnsi="宋体" w:eastAsia="宋体" w:cs="宋体"/>
          <w:sz w:val="21"/>
          <w:szCs w:val="21"/>
          <w:lang w:val="en-US" w:eastAsia="zh-CN"/>
        </w:rPr>
        <w:t>钴金属</w:t>
      </w:r>
      <w:r>
        <w:rPr>
          <w:rFonts w:hint="eastAsia" w:ascii="宋体" w:hAnsi="宋体" w:eastAsia="宋体" w:cs="宋体"/>
          <w:sz w:val="21"/>
          <w:szCs w:val="21"/>
        </w:rPr>
        <w:t>的生产、贸易以及资源回收利用的需求，增加检测结果的可靠性</w:t>
      </w:r>
      <w:r>
        <w:rPr>
          <w:rFonts w:hint="eastAsia" w:ascii="宋体" w:hAnsi="宋体" w:eastAsia="宋体" w:cs="宋体"/>
          <w:sz w:val="21"/>
          <w:szCs w:val="21"/>
          <w:lang w:eastAsia="zh-CN"/>
        </w:rPr>
        <w:t>、</w:t>
      </w:r>
      <w:r>
        <w:rPr>
          <w:rFonts w:hint="eastAsia" w:ascii="宋体" w:hAnsi="宋体" w:eastAsia="宋体" w:cs="宋体"/>
          <w:sz w:val="21"/>
          <w:szCs w:val="21"/>
        </w:rPr>
        <w:t>快速准确测定</w:t>
      </w:r>
      <w:r>
        <w:rPr>
          <w:rFonts w:hint="eastAsia" w:ascii="宋体" w:hAnsi="宋体" w:eastAsia="宋体" w:cs="宋体"/>
          <w:sz w:val="21"/>
          <w:szCs w:val="21"/>
          <w:lang w:val="en-US" w:eastAsia="zh-CN"/>
        </w:rPr>
        <w:t>钴</w:t>
      </w:r>
      <w:r>
        <w:rPr>
          <w:rFonts w:hint="eastAsia" w:ascii="宋体" w:hAnsi="宋体" w:eastAsia="宋体" w:cs="宋体"/>
          <w:sz w:val="21"/>
          <w:szCs w:val="21"/>
        </w:rPr>
        <w:t>中各元素的含量具有重要意义；在有色领域标准体系中，</w:t>
      </w:r>
      <w:r>
        <w:rPr>
          <w:rFonts w:hint="eastAsia" w:ascii="宋体" w:hAnsi="宋体" w:eastAsia="宋体" w:cs="宋体"/>
          <w:sz w:val="21"/>
          <w:szCs w:val="21"/>
          <w:lang w:val="en-US" w:eastAsia="zh-CN"/>
        </w:rPr>
        <w:t>钴</w:t>
      </w:r>
      <w:r>
        <w:rPr>
          <w:rFonts w:hint="eastAsia" w:ascii="宋体" w:hAnsi="宋体" w:eastAsia="宋体" w:cs="宋体"/>
          <w:sz w:val="21"/>
          <w:szCs w:val="21"/>
        </w:rPr>
        <w:t>化学成分测定方法标准在保证</w:t>
      </w:r>
      <w:r>
        <w:rPr>
          <w:rFonts w:hint="eastAsia" w:ascii="宋体" w:hAnsi="宋体" w:eastAsia="宋体" w:cs="宋体"/>
          <w:sz w:val="21"/>
          <w:szCs w:val="21"/>
          <w:lang w:val="en-US" w:eastAsia="zh-CN"/>
        </w:rPr>
        <w:t>钴</w:t>
      </w:r>
      <w:r>
        <w:rPr>
          <w:rFonts w:hint="eastAsia" w:ascii="宋体" w:hAnsi="宋体" w:eastAsia="宋体" w:cs="宋体"/>
          <w:sz w:val="21"/>
          <w:szCs w:val="21"/>
        </w:rPr>
        <w:t>产品质量方面发挥着重要作用，该系列方法标准服务于</w:t>
      </w:r>
      <w:r>
        <w:rPr>
          <w:rFonts w:hint="eastAsia" w:ascii="宋体" w:hAnsi="宋体" w:eastAsia="宋体" w:cs="宋体"/>
          <w:sz w:val="21"/>
          <w:szCs w:val="21"/>
          <w:lang w:val="en-US" w:eastAsia="zh-CN"/>
        </w:rPr>
        <w:t>钴</w:t>
      </w:r>
      <w:r>
        <w:rPr>
          <w:rFonts w:hint="eastAsia" w:ascii="宋体" w:hAnsi="宋体" w:eastAsia="宋体" w:cs="宋体"/>
          <w:sz w:val="21"/>
          <w:szCs w:val="21"/>
        </w:rPr>
        <w:t>的生产、贸易和应用，为我国有色金属行业高质量发展提供技术支持。为落实“国家标准化发展纲要”，深化标准化改革创新，优化存量标准结构，以着力提升标准质量效益，并统筹标准的制定与实施，在广泛开展企业需求调研的基础上，对YS/T 281-2011《钴化学分析方法》（共20部分）进行整合修订。</w:t>
      </w:r>
    </w:p>
    <w:p w14:paraId="384D8A8F">
      <w:pPr>
        <w:spacing w:line="240" w:lineRule="auto"/>
        <w:ind w:firstLine="420" w:firstLineChars="200"/>
        <w:rPr>
          <w:rFonts w:hint="eastAsia" w:ascii="宋体" w:hAnsi="宋体" w:cs="Times New Roman"/>
          <w:kern w:val="2"/>
          <w:sz w:val="21"/>
          <w:szCs w:val="21"/>
        </w:rPr>
      </w:pPr>
      <w:r>
        <w:rPr>
          <w:rFonts w:hint="eastAsia" w:ascii="宋体" w:hAnsi="宋体" w:cs="Times New Roman"/>
          <w:kern w:val="2"/>
          <w:sz w:val="21"/>
          <w:szCs w:val="21"/>
        </w:rPr>
        <w:t>北矿检测技术股份有限公司为国家重有色金属质量监督检验中心、国家进出口商品检验有色金属认可实验室、中国有色金属工业重金属质检中心、科技成果检测鉴定国家级检测机构，在国内有色金属分析领域具有权威地位。公司拥有多台火焰原子吸收光谱仪、电感耦合等离子体原子发射光谱仪、电感耦合等离子体质谱仪，具备项目研究所需的仪器设备。标准起草人员多次参与有色行业标准的起草、验证等工作，具有丰富的方法研究经验。</w:t>
      </w:r>
    </w:p>
    <w:p w14:paraId="41C55ABD">
      <w:pPr>
        <w:widowControl/>
        <w:tabs>
          <w:tab w:val="left" w:pos="675"/>
        </w:tabs>
        <w:spacing w:before="163" w:beforeLines="50" w:after="163" w:afterLines="50" w:line="240" w:lineRule="auto"/>
        <w:ind w:firstLine="420" w:firstLineChars="200"/>
        <w:outlineLvl w:val="1"/>
        <w:rPr>
          <w:rFonts w:hint="eastAsia" w:ascii="宋体" w:hAnsi="宋体" w:cs="Times New Roman"/>
          <w:sz w:val="21"/>
          <w:szCs w:val="21"/>
        </w:rPr>
      </w:pPr>
      <w:bookmarkStart w:id="0" w:name="_Hlk182959255"/>
      <w:r>
        <w:rPr>
          <w:rFonts w:hint="eastAsia" w:ascii="宋体" w:hAnsi="宋体" w:cs="Times New Roman"/>
          <w:sz w:val="21"/>
          <w:szCs w:val="21"/>
        </w:rPr>
        <w:t>本文件</w:t>
      </w:r>
      <w:r>
        <w:rPr>
          <w:rFonts w:hint="eastAsia" w:ascii="宋体" w:hAnsi="宋体" w:cs="Times New Roman"/>
          <w:sz w:val="21"/>
          <w:szCs w:val="21"/>
          <w:lang w:val="en-US" w:eastAsia="zh-CN"/>
        </w:rPr>
        <w:t>将</w:t>
      </w:r>
      <w:r>
        <w:rPr>
          <w:rFonts w:hint="eastAsia" w:ascii="宋体" w:hAnsi="宋体" w:cs="Times New Roman"/>
          <w:sz w:val="21"/>
          <w:szCs w:val="21"/>
        </w:rPr>
        <w:t>YS/T 281.13-2011《钴化学分析方法 第13部分：硫量的测定 高频感应炉燃烧红外吸收法》</w:t>
      </w:r>
      <w:r>
        <w:rPr>
          <w:rFonts w:hint="eastAsia" w:ascii="宋体" w:hAnsi="宋体" w:cs="Times New Roman"/>
          <w:sz w:val="21"/>
          <w:szCs w:val="21"/>
          <w:lang w:val="en-US" w:eastAsia="zh-CN"/>
        </w:rPr>
        <w:t>和</w:t>
      </w:r>
      <w:r>
        <w:rPr>
          <w:rFonts w:hint="eastAsia" w:ascii="宋体" w:hAnsi="宋体" w:cs="Times New Roman"/>
          <w:sz w:val="21"/>
          <w:szCs w:val="21"/>
        </w:rPr>
        <w:t>YS/T 281.14-2011《钴化学分析方法 第14部分：碳量的测定 高频感应炉燃烧红外吸收法》”</w:t>
      </w:r>
      <w:r>
        <w:rPr>
          <w:rFonts w:hint="eastAsia" w:ascii="宋体" w:hAnsi="宋体" w:cs="Times New Roman"/>
          <w:sz w:val="21"/>
          <w:szCs w:val="21"/>
          <w:lang w:val="en-US" w:eastAsia="zh-CN"/>
        </w:rPr>
        <w:t>进行</w:t>
      </w:r>
      <w:r>
        <w:rPr>
          <w:rFonts w:hint="eastAsia" w:ascii="宋体" w:hAnsi="宋体" w:cs="Times New Roman"/>
          <w:sz w:val="21"/>
          <w:szCs w:val="21"/>
        </w:rPr>
        <w:t>整合修订，在主要技术内容保持一致的前提下，通过优化标准结构，提升了标准质量</w:t>
      </w:r>
      <w:r>
        <w:rPr>
          <w:rFonts w:hint="eastAsia" w:ascii="宋体" w:hAnsi="宋体" w:cs="Times New Roman"/>
          <w:sz w:val="21"/>
          <w:szCs w:val="21"/>
          <w:lang w:eastAsia="zh-CN"/>
        </w:rPr>
        <w:t>。</w:t>
      </w:r>
      <w:r>
        <w:rPr>
          <w:rFonts w:hint="eastAsia" w:ascii="宋体" w:hAnsi="宋体" w:cs="Times New Roman"/>
          <w:sz w:val="21"/>
          <w:szCs w:val="21"/>
        </w:rPr>
        <w:t>本次修订，实现</w:t>
      </w:r>
      <w:r>
        <w:rPr>
          <w:rFonts w:hint="eastAsia" w:ascii="宋体" w:hAnsi="宋体" w:cs="Times New Roman"/>
          <w:sz w:val="21"/>
          <w:szCs w:val="21"/>
          <w:lang w:val="en-US" w:eastAsia="zh-CN"/>
        </w:rPr>
        <w:t>碳、硫同时</w:t>
      </w:r>
      <w:r>
        <w:rPr>
          <w:rFonts w:hint="eastAsia" w:ascii="宋体" w:hAnsi="宋体" w:cs="Times New Roman"/>
          <w:sz w:val="21"/>
          <w:szCs w:val="21"/>
        </w:rPr>
        <w:t>测定，更新了重复性和再现性的数值，对贸易结算和指导生产具有重要意义。</w:t>
      </w:r>
      <w:bookmarkEnd w:id="0"/>
    </w:p>
    <w:p w14:paraId="01168C81">
      <w:pPr>
        <w:widowControl/>
        <w:tabs>
          <w:tab w:val="left" w:pos="675"/>
        </w:tabs>
        <w:spacing w:before="163" w:beforeLines="50" w:after="163" w:afterLines="50" w:line="240" w:lineRule="auto"/>
        <w:outlineLvl w:val="1"/>
        <w:rPr>
          <w:rFonts w:hint="eastAsia" w:eastAsia="黑体" w:cs="Times New Roman"/>
          <w:szCs w:val="20"/>
        </w:rPr>
      </w:pPr>
      <w:r>
        <w:rPr>
          <w:rFonts w:hint="eastAsia" w:eastAsia="黑体" w:cs="Times New Roman"/>
          <w:szCs w:val="20"/>
        </w:rPr>
        <w:t>三）起草过程</w:t>
      </w:r>
    </w:p>
    <w:p w14:paraId="49C9DCEB">
      <w:pPr>
        <w:widowControl/>
        <w:tabs>
          <w:tab w:val="left" w:pos="675"/>
        </w:tabs>
        <w:spacing w:before="163" w:beforeLines="50" w:after="163" w:afterLines="50" w:line="240" w:lineRule="auto"/>
        <w:outlineLvl w:val="1"/>
        <w:rPr>
          <w:rFonts w:eastAsia="黑体" w:cs="Times New Roman"/>
          <w:szCs w:val="20"/>
        </w:rPr>
      </w:pPr>
      <w:bookmarkStart w:id="1" w:name="_Hlk197353235"/>
      <w:r>
        <w:rPr>
          <w:rFonts w:hint="eastAsia" w:ascii="黑体" w:eastAsia="黑体" w:cs="Times New Roman"/>
          <w:b/>
          <w:szCs w:val="20"/>
        </w:rPr>
        <w:t>3.1</w:t>
      </w:r>
      <w:r>
        <w:rPr>
          <w:rFonts w:eastAsia="黑体" w:cs="Times New Roman"/>
          <w:szCs w:val="20"/>
        </w:rPr>
        <w:t xml:space="preserve"> </w:t>
      </w:r>
      <w:r>
        <w:rPr>
          <w:rFonts w:hint="eastAsia" w:eastAsia="黑体" w:cs="Times New Roman"/>
          <w:szCs w:val="20"/>
        </w:rPr>
        <w:t>主要参加单位情况</w:t>
      </w:r>
    </w:p>
    <w:bookmarkEnd w:id="1"/>
    <w:p w14:paraId="204F5F81">
      <w:pPr>
        <w:spacing w:line="240" w:lineRule="auto"/>
        <w:ind w:firstLine="420" w:firstLineChars="200"/>
        <w:rPr>
          <w:rFonts w:ascii="宋体" w:hAnsi="宋体" w:cs="Times New Roman"/>
          <w:sz w:val="21"/>
          <w:szCs w:val="21"/>
        </w:rPr>
      </w:pPr>
      <w:r>
        <w:rPr>
          <w:rFonts w:hint="eastAsia" w:ascii="宋体" w:hAnsi="宋体" w:cs="Times New Roman"/>
          <w:sz w:val="21"/>
          <w:szCs w:val="21"/>
        </w:rPr>
        <w:t>北矿检测技术股份有限公司为国家重有色金属质量监督检验中心、国家进出口商品检验有色金属认可实验室、中国有色金属工业重金属质检中心、科技成果检测鉴定国家级检测机构，在国内有色金属分析领域具有权威地位，在国际上也享有一定声誉。公司拥有多台电感耦合等离子体原子发射光谱仪、火焰原子吸收光谱仪、电感耦合等离子体质谱仪、原子荧光光谱仪等具备科学研究所需的仪器设备。公司经过六十多年的积累和发展，已具备高水平的检验检测技术能力，业务涵盖矿产、冶炼、环境、资源、材料等众多领域。检测结果得到国际认可，具有ISO/IEC17025实验室认可、国家级实验室资质认定、国家质检中心授权</w:t>
      </w:r>
      <w:r>
        <w:rPr>
          <w:rFonts w:ascii="宋体" w:hAnsi="宋体" w:cs="Times New Roman"/>
          <w:sz w:val="21"/>
          <w:szCs w:val="21"/>
        </w:rPr>
        <w:t>“</w:t>
      </w:r>
      <w:r>
        <w:rPr>
          <w:rFonts w:hint="eastAsia" w:ascii="宋体" w:hAnsi="宋体" w:cs="Times New Roman"/>
          <w:sz w:val="21"/>
          <w:szCs w:val="21"/>
        </w:rPr>
        <w:t>三合一</w:t>
      </w:r>
      <w:r>
        <w:rPr>
          <w:rFonts w:ascii="宋体" w:hAnsi="宋体" w:cs="Times New Roman"/>
          <w:sz w:val="21"/>
          <w:szCs w:val="21"/>
        </w:rPr>
        <w:t>”</w:t>
      </w:r>
      <w:r>
        <w:rPr>
          <w:rFonts w:hint="eastAsia" w:ascii="宋体" w:hAnsi="宋体" w:cs="Times New Roman"/>
          <w:sz w:val="21"/>
          <w:szCs w:val="21"/>
        </w:rPr>
        <w:t>资质。2016年成为伦敦金属交易所（LME）在中国首家取样和化验机构LSA，承担国际仲裁业务，并于2019年承办世界采样和混样大会。北矿检测公司发布国家、行业标准300余项，国际标准近10项，出版学术著作20余部，</w:t>
      </w:r>
      <w:r>
        <w:rPr>
          <w:rFonts w:hint="eastAsia" w:ascii="宋体" w:hAnsi="宋体" w:cs="Times New Roman"/>
          <w:sz w:val="21"/>
          <w:szCs w:val="21"/>
          <w:lang w:eastAsia="zh-CN"/>
        </w:rPr>
        <w:t>获得</w:t>
      </w:r>
      <w:r>
        <w:rPr>
          <w:rFonts w:hint="eastAsia" w:ascii="宋体" w:hAnsi="宋体" w:cs="Times New Roman"/>
          <w:sz w:val="21"/>
          <w:szCs w:val="21"/>
        </w:rPr>
        <w:t>国家和省部级等科技成果及专利近百项，是具有国际竞争力和影响力的权威检测机构。标准起草人员多次参与有色行业标准的起草、验证等工作，具有丰富的方法研究经验。</w:t>
      </w:r>
    </w:p>
    <w:p w14:paraId="1210AF3F">
      <w:pPr>
        <w:widowControl/>
        <w:tabs>
          <w:tab w:val="left" w:pos="675"/>
        </w:tabs>
        <w:spacing w:before="163" w:beforeLines="50" w:after="163" w:afterLines="50" w:line="240" w:lineRule="auto"/>
        <w:outlineLvl w:val="1"/>
        <w:rPr>
          <w:rFonts w:eastAsia="黑体" w:cs="Times New Roman"/>
          <w:szCs w:val="20"/>
        </w:rPr>
      </w:pPr>
      <w:r>
        <w:rPr>
          <w:rFonts w:hint="eastAsia" w:ascii="黑体" w:eastAsia="黑体" w:cs="Times New Roman"/>
          <w:b/>
          <w:szCs w:val="20"/>
        </w:rPr>
        <w:t>3.2</w:t>
      </w:r>
      <w:r>
        <w:rPr>
          <w:rFonts w:eastAsia="黑体" w:cs="Times New Roman"/>
          <w:szCs w:val="20"/>
        </w:rPr>
        <w:t xml:space="preserve"> </w:t>
      </w:r>
      <w:r>
        <w:rPr>
          <w:rFonts w:hint="eastAsia" w:eastAsia="黑体" w:cs="Times New Roman"/>
          <w:szCs w:val="20"/>
        </w:rPr>
        <w:t>主要工作成员所负责的工作情况</w:t>
      </w:r>
    </w:p>
    <w:p w14:paraId="4E7ED2BA">
      <w:pPr>
        <w:spacing w:before="163" w:beforeLines="50" w:after="163" w:afterLines="50" w:line="240" w:lineRule="auto"/>
        <w:ind w:firstLine="420" w:firstLineChars="200"/>
        <w:jc w:val="left"/>
        <w:rPr>
          <w:rFonts w:hint="eastAsia" w:ascii="宋体" w:hAnsi="宋体" w:cs="Times New Roman"/>
          <w:sz w:val="21"/>
          <w:szCs w:val="21"/>
        </w:rPr>
      </w:pPr>
      <w:r>
        <w:rPr>
          <w:rFonts w:hint="eastAsia" w:ascii="宋体" w:hAnsi="宋体" w:cs="Times New Roman"/>
          <w:sz w:val="21"/>
          <w:szCs w:val="21"/>
        </w:rPr>
        <w:t>本标准主要起草人及工作职责见表</w:t>
      </w:r>
      <w:r>
        <w:rPr>
          <w:rFonts w:ascii="宋体" w:hAnsi="宋体" w:cs="Times New Roman"/>
          <w:sz w:val="21"/>
          <w:szCs w:val="21"/>
        </w:rPr>
        <w:t>1</w:t>
      </w:r>
      <w:r>
        <w:rPr>
          <w:rFonts w:hint="eastAsia" w:ascii="宋体" w:hAnsi="宋体" w:cs="Times New Roman"/>
          <w:sz w:val="21"/>
          <w:szCs w:val="21"/>
        </w:rPr>
        <w:t>。</w:t>
      </w:r>
    </w:p>
    <w:p w14:paraId="764AC00E">
      <w:pPr>
        <w:widowControl/>
        <w:autoSpaceDE w:val="0"/>
        <w:autoSpaceDN w:val="0"/>
        <w:spacing w:line="240" w:lineRule="auto"/>
        <w:jc w:val="center"/>
        <w:rPr>
          <w:rFonts w:hint="eastAsia" w:ascii="黑体" w:hAnsi="黑体" w:eastAsia="黑体" w:cs="Times New Roman"/>
          <w:sz w:val="21"/>
          <w:szCs w:val="21"/>
        </w:rPr>
      </w:pPr>
      <w:r>
        <w:rPr>
          <w:rFonts w:hint="eastAsia" w:ascii="黑体" w:hAnsi="黑体" w:eastAsia="黑体" w:cs="Times New Roman"/>
          <w:sz w:val="21"/>
          <w:szCs w:val="21"/>
        </w:rPr>
        <w:t>表1  主要起草人及工作职责</w:t>
      </w:r>
    </w:p>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3343"/>
        <w:gridCol w:w="1570"/>
        <w:gridCol w:w="3289"/>
      </w:tblGrid>
      <w:tr w14:paraId="3E52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7" w:type="pct"/>
            <w:vAlign w:val="center"/>
          </w:tcPr>
          <w:p w14:paraId="20278D45">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序号</w:t>
            </w:r>
          </w:p>
        </w:tc>
        <w:tc>
          <w:tcPr>
            <w:tcW w:w="1916" w:type="pct"/>
            <w:vAlign w:val="center"/>
          </w:tcPr>
          <w:p w14:paraId="364E27D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r>
              <w:rPr>
                <w:rFonts w:hint="eastAsia" w:cs="Times New Roman"/>
                <w:kern w:val="2"/>
                <w:sz w:val="18"/>
                <w:szCs w:val="18"/>
              </w:rPr>
              <w:t>单位名称</w:t>
            </w:r>
          </w:p>
        </w:tc>
        <w:tc>
          <w:tcPr>
            <w:tcW w:w="900" w:type="pct"/>
            <w:vAlign w:val="center"/>
          </w:tcPr>
          <w:p w14:paraId="77E4847E">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hint="eastAsia" w:cs="Times New Roman"/>
                <w:kern w:val="2"/>
                <w:sz w:val="18"/>
                <w:szCs w:val="18"/>
              </w:rPr>
              <w:t>人员</w:t>
            </w:r>
          </w:p>
        </w:tc>
        <w:tc>
          <w:tcPr>
            <w:tcW w:w="1885" w:type="pct"/>
            <w:vAlign w:val="center"/>
          </w:tcPr>
          <w:p w14:paraId="2B9B47F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hint="eastAsia" w:cs="Times New Roman"/>
                <w:kern w:val="2"/>
                <w:sz w:val="18"/>
                <w:szCs w:val="18"/>
              </w:rPr>
              <w:t>分工</w:t>
            </w:r>
          </w:p>
        </w:tc>
      </w:tr>
      <w:tr w14:paraId="4D91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97" w:type="pct"/>
            <w:vAlign w:val="center"/>
          </w:tcPr>
          <w:p w14:paraId="057771D6">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bookmarkStart w:id="2" w:name="_Hlk177513150"/>
            <w:r>
              <w:rPr>
                <w:rFonts w:cs="Times New Roman"/>
                <w:kern w:val="2"/>
                <w:sz w:val="18"/>
                <w:szCs w:val="18"/>
              </w:rPr>
              <w:t>1</w:t>
            </w:r>
          </w:p>
        </w:tc>
        <w:tc>
          <w:tcPr>
            <w:tcW w:w="1916" w:type="pct"/>
            <w:vAlign w:val="center"/>
          </w:tcPr>
          <w:p w14:paraId="28027485">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北矿检测技术股份有限公司</w:t>
            </w:r>
          </w:p>
        </w:tc>
        <w:tc>
          <w:tcPr>
            <w:tcW w:w="900" w:type="pct"/>
            <w:vAlign w:val="center"/>
          </w:tcPr>
          <w:p w14:paraId="4AB163AA">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刘聪、谢云燕、阮桂色</w:t>
            </w:r>
          </w:p>
        </w:tc>
        <w:tc>
          <w:tcPr>
            <w:tcW w:w="1885" w:type="pct"/>
            <w:vAlign w:val="center"/>
          </w:tcPr>
          <w:p w14:paraId="30494A53">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rPr>
              <w:t>负责调研、负责全过程的标准编制、标准起草、协调工作</w:t>
            </w:r>
          </w:p>
        </w:tc>
      </w:tr>
      <w:tr w14:paraId="25FA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6B1B6EA2">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2</w:t>
            </w:r>
          </w:p>
        </w:tc>
        <w:tc>
          <w:tcPr>
            <w:tcW w:w="1916" w:type="pct"/>
            <w:vAlign w:val="center"/>
          </w:tcPr>
          <w:p w14:paraId="686BF604">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金川集团股份有限公司</w:t>
            </w:r>
          </w:p>
        </w:tc>
        <w:tc>
          <w:tcPr>
            <w:tcW w:w="900" w:type="pct"/>
            <w:vAlign w:val="center"/>
          </w:tcPr>
          <w:p w14:paraId="0E028D8D">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何云祥</w:t>
            </w:r>
            <w:r>
              <w:rPr>
                <w:rFonts w:hint="eastAsia" w:cs="Times New Roman"/>
                <w:kern w:val="2"/>
                <w:sz w:val="18"/>
                <w:szCs w:val="18"/>
                <w:lang w:eastAsia="zh-CN"/>
              </w:rPr>
              <w:t>、</w:t>
            </w:r>
            <w:r>
              <w:rPr>
                <w:rFonts w:hint="eastAsia" w:cs="Times New Roman"/>
                <w:kern w:val="2"/>
                <w:sz w:val="18"/>
                <w:szCs w:val="18"/>
              </w:rPr>
              <w:t>任利华</w:t>
            </w:r>
          </w:p>
        </w:tc>
        <w:tc>
          <w:tcPr>
            <w:tcW w:w="1885" w:type="pct"/>
            <w:vAlign w:val="center"/>
          </w:tcPr>
          <w:p w14:paraId="2E268A79">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rPr>
              <w:t>提供标准起草样品</w:t>
            </w:r>
            <w:r>
              <w:rPr>
                <w:rFonts w:hint="eastAsia" w:cs="Times New Roman"/>
                <w:kern w:val="2"/>
                <w:sz w:val="18"/>
                <w:szCs w:val="18"/>
                <w:lang w:eastAsia="zh-CN"/>
              </w:rPr>
              <w:t>，</w:t>
            </w:r>
            <w:r>
              <w:rPr>
                <w:rFonts w:hint="eastAsia" w:cs="Times New Roman"/>
                <w:kern w:val="2"/>
                <w:sz w:val="18"/>
                <w:szCs w:val="18"/>
              </w:rPr>
              <w:t>参与标准起草、资料收集、提供相关的验证数据</w:t>
            </w:r>
          </w:p>
        </w:tc>
      </w:tr>
      <w:tr w14:paraId="7B64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3FF24D65">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3</w:t>
            </w:r>
          </w:p>
        </w:tc>
        <w:tc>
          <w:tcPr>
            <w:tcW w:w="1916" w:type="pct"/>
            <w:vAlign w:val="center"/>
          </w:tcPr>
          <w:p w14:paraId="53541CA2">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cs="宋体"/>
                <w:sz w:val="18"/>
                <w:szCs w:val="18"/>
                <w:lang w:bidi="ar"/>
              </w:rPr>
            </w:pPr>
            <w:bookmarkStart w:id="3" w:name="_Hlk177952274"/>
            <w:r>
              <w:rPr>
                <w:rFonts w:hint="eastAsia" w:cs="Times New Roman"/>
                <w:kern w:val="2"/>
                <w:sz w:val="18"/>
                <w:szCs w:val="18"/>
              </w:rPr>
              <w:t>浙江华友钴业股份有限公司</w:t>
            </w:r>
            <w:bookmarkEnd w:id="3"/>
          </w:p>
        </w:tc>
        <w:tc>
          <w:tcPr>
            <w:tcW w:w="900" w:type="pct"/>
            <w:vAlign w:val="center"/>
          </w:tcPr>
          <w:p w14:paraId="77A57926">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李艳、陈亮</w:t>
            </w:r>
          </w:p>
        </w:tc>
        <w:tc>
          <w:tcPr>
            <w:tcW w:w="1885" w:type="pct"/>
            <w:vAlign w:val="center"/>
          </w:tcPr>
          <w:p w14:paraId="100D6EA9">
            <w:pPr>
              <w:keepNext w:val="0"/>
              <w:keepLines w:val="0"/>
              <w:pageBreakBefore w:val="0"/>
              <w:kinsoku/>
              <w:wordWrap/>
              <w:overflowPunct/>
              <w:topLinePunct w:val="0"/>
              <w:autoSpaceDE/>
              <w:autoSpaceDN/>
              <w:bidi w:val="0"/>
              <w:adjustRightInd/>
              <w:snapToGrid/>
              <w:spacing w:line="240" w:lineRule="auto"/>
              <w:rPr>
                <w:rFonts w:hint="default" w:eastAsia="宋体" w:cs="Times New Roman"/>
                <w:kern w:val="2"/>
                <w:sz w:val="18"/>
                <w:szCs w:val="18"/>
                <w:lang w:val="en-US" w:eastAsia="zh-CN"/>
              </w:rPr>
            </w:pPr>
            <w:r>
              <w:rPr>
                <w:rFonts w:hint="eastAsia" w:cs="Times New Roman"/>
                <w:kern w:val="2"/>
                <w:sz w:val="18"/>
                <w:szCs w:val="18"/>
              </w:rPr>
              <w:t>参</w:t>
            </w:r>
            <w:r>
              <w:rPr>
                <w:rFonts w:hint="eastAsia" w:cs="Times New Roman"/>
                <w:kern w:val="2"/>
                <w:sz w:val="18"/>
                <w:szCs w:val="18"/>
                <w:lang w:val="en-US" w:eastAsia="zh-CN"/>
              </w:rPr>
              <w:t>加条件试验及精密度试验验证</w:t>
            </w:r>
          </w:p>
        </w:tc>
      </w:tr>
      <w:tr w14:paraId="5C52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78C85EC0">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4</w:t>
            </w:r>
          </w:p>
        </w:tc>
        <w:tc>
          <w:tcPr>
            <w:tcW w:w="1916" w:type="pct"/>
            <w:vAlign w:val="center"/>
          </w:tcPr>
          <w:p w14:paraId="44FB5BD2">
            <w:pPr>
              <w:keepNext w:val="0"/>
              <w:keepLines w:val="0"/>
              <w:pageBreakBefore w:val="0"/>
              <w:kinsoku/>
              <w:wordWrap/>
              <w:overflowPunct/>
              <w:topLinePunct w:val="0"/>
              <w:autoSpaceDE/>
              <w:autoSpaceDN/>
              <w:bidi w:val="0"/>
              <w:adjustRightInd/>
              <w:snapToGrid/>
              <w:spacing w:line="240" w:lineRule="auto"/>
              <w:rPr>
                <w:rFonts w:hint="default" w:eastAsia="宋体" w:cs="Times New Roman"/>
                <w:kern w:val="2"/>
                <w:sz w:val="18"/>
                <w:szCs w:val="18"/>
                <w:lang w:val="en-US" w:eastAsia="zh-CN"/>
              </w:rPr>
            </w:pPr>
            <w:r>
              <w:rPr>
                <w:rFonts w:hint="eastAsia" w:cs="Times New Roman"/>
                <w:kern w:val="2"/>
                <w:sz w:val="18"/>
                <w:szCs w:val="18"/>
                <w:lang w:val="en-US" w:eastAsia="zh-CN"/>
              </w:rPr>
              <w:t>格林美股份有限公司</w:t>
            </w:r>
          </w:p>
        </w:tc>
        <w:tc>
          <w:tcPr>
            <w:tcW w:w="900" w:type="pct"/>
            <w:vAlign w:val="center"/>
          </w:tcPr>
          <w:p w14:paraId="6239EC54">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许开华、余俊</w:t>
            </w:r>
          </w:p>
        </w:tc>
        <w:tc>
          <w:tcPr>
            <w:tcW w:w="3289" w:type="dxa"/>
            <w:vAlign w:val="center"/>
          </w:tcPr>
          <w:p w14:paraId="7298EE6F">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rPr>
              <w:t>参</w:t>
            </w:r>
            <w:r>
              <w:rPr>
                <w:rFonts w:hint="eastAsia" w:cs="Times New Roman"/>
                <w:kern w:val="2"/>
                <w:sz w:val="18"/>
                <w:szCs w:val="18"/>
                <w:lang w:val="en-US" w:eastAsia="zh-CN"/>
              </w:rPr>
              <w:t>加条件试验及精密度试验验证</w:t>
            </w:r>
          </w:p>
        </w:tc>
      </w:tr>
      <w:tr w14:paraId="3992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1E8E2CEB">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5</w:t>
            </w:r>
          </w:p>
        </w:tc>
        <w:tc>
          <w:tcPr>
            <w:tcW w:w="1916" w:type="pct"/>
            <w:vAlign w:val="center"/>
          </w:tcPr>
          <w:p w14:paraId="64EE384F">
            <w:pPr>
              <w:keepNext w:val="0"/>
              <w:keepLines w:val="0"/>
              <w:pageBreakBefore w:val="0"/>
              <w:widowControl/>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国标（北京）检验认证有限公司</w:t>
            </w:r>
          </w:p>
        </w:tc>
        <w:tc>
          <w:tcPr>
            <w:tcW w:w="900" w:type="pct"/>
            <w:vAlign w:val="center"/>
          </w:tcPr>
          <w:p w14:paraId="6AAD7F55">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王长华、刘若彤</w:t>
            </w:r>
          </w:p>
        </w:tc>
        <w:tc>
          <w:tcPr>
            <w:tcW w:w="3289" w:type="dxa"/>
            <w:vAlign w:val="center"/>
          </w:tcPr>
          <w:p w14:paraId="2D3C7E6C">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rPr>
              <w:t>参</w:t>
            </w:r>
            <w:r>
              <w:rPr>
                <w:rFonts w:hint="eastAsia" w:cs="Times New Roman"/>
                <w:kern w:val="2"/>
                <w:sz w:val="18"/>
                <w:szCs w:val="18"/>
                <w:lang w:val="en-US" w:eastAsia="zh-CN"/>
              </w:rPr>
              <w:t>加条件试验及精密度试验验证</w:t>
            </w:r>
          </w:p>
        </w:tc>
      </w:tr>
      <w:tr w14:paraId="27BF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4584313D">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6</w:t>
            </w:r>
          </w:p>
        </w:tc>
        <w:tc>
          <w:tcPr>
            <w:tcW w:w="1916" w:type="pct"/>
            <w:vAlign w:val="center"/>
          </w:tcPr>
          <w:p w14:paraId="210D62F9">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大冶有色设计研究院有限公司</w:t>
            </w:r>
          </w:p>
        </w:tc>
        <w:tc>
          <w:tcPr>
            <w:tcW w:w="900" w:type="pct"/>
            <w:vAlign w:val="center"/>
          </w:tcPr>
          <w:p w14:paraId="30D9EE7B">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rPr>
              <w:t>袁嫣</w:t>
            </w:r>
            <w:r>
              <w:rPr>
                <w:rFonts w:hint="eastAsia" w:cs="Times New Roman"/>
                <w:kern w:val="2"/>
                <w:sz w:val="18"/>
                <w:szCs w:val="18"/>
                <w:lang w:eastAsia="zh-CN"/>
              </w:rPr>
              <w:t>、</w:t>
            </w:r>
            <w:r>
              <w:rPr>
                <w:rFonts w:hint="eastAsia" w:cs="Times New Roman"/>
                <w:kern w:val="2"/>
                <w:sz w:val="18"/>
                <w:szCs w:val="18"/>
                <w:lang w:val="en-US" w:eastAsia="zh-CN"/>
              </w:rPr>
              <w:t>魏文</w:t>
            </w:r>
          </w:p>
        </w:tc>
        <w:tc>
          <w:tcPr>
            <w:tcW w:w="3289" w:type="dxa"/>
            <w:vAlign w:val="center"/>
          </w:tcPr>
          <w:p w14:paraId="6FF79521">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rPr>
              <w:t>参</w:t>
            </w:r>
            <w:r>
              <w:rPr>
                <w:rFonts w:hint="eastAsia" w:cs="Times New Roman"/>
                <w:kern w:val="2"/>
                <w:sz w:val="18"/>
                <w:szCs w:val="18"/>
                <w:lang w:val="en-US" w:eastAsia="zh-CN"/>
              </w:rPr>
              <w:t>加条件试验及精密度试验验证</w:t>
            </w:r>
          </w:p>
        </w:tc>
      </w:tr>
      <w:tr w14:paraId="409D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6EB6D4E7">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7</w:t>
            </w:r>
          </w:p>
        </w:tc>
        <w:tc>
          <w:tcPr>
            <w:tcW w:w="1916" w:type="pct"/>
            <w:vAlign w:val="center"/>
          </w:tcPr>
          <w:p w14:paraId="45A0A825">
            <w:pPr>
              <w:keepNext w:val="0"/>
              <w:keepLines w:val="0"/>
              <w:pageBreakBefore w:val="0"/>
              <w:kinsoku/>
              <w:wordWrap/>
              <w:overflowPunct/>
              <w:topLinePunct w:val="0"/>
              <w:autoSpaceDE/>
              <w:autoSpaceDN/>
              <w:bidi w:val="0"/>
              <w:adjustRightInd/>
              <w:snapToGrid/>
              <w:spacing w:line="240" w:lineRule="auto"/>
              <w:jc w:val="left"/>
              <w:rPr>
                <w:rFonts w:hint="eastAsia" w:cs="Times New Roman"/>
                <w:kern w:val="2"/>
                <w:sz w:val="18"/>
                <w:szCs w:val="18"/>
              </w:rPr>
            </w:pPr>
            <w:r>
              <w:rPr>
                <w:rFonts w:hint="eastAsia" w:cs="Times New Roman"/>
                <w:kern w:val="2"/>
                <w:sz w:val="18"/>
                <w:szCs w:val="18"/>
              </w:rPr>
              <w:t>中国检验认证集团广西有限公司</w:t>
            </w:r>
          </w:p>
        </w:tc>
        <w:tc>
          <w:tcPr>
            <w:tcW w:w="900" w:type="pct"/>
            <w:vAlign w:val="center"/>
          </w:tcPr>
          <w:p w14:paraId="28C7A7D6">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张一炎</w:t>
            </w:r>
          </w:p>
        </w:tc>
        <w:tc>
          <w:tcPr>
            <w:tcW w:w="1885" w:type="pct"/>
            <w:vAlign w:val="center"/>
          </w:tcPr>
          <w:p w14:paraId="44811B19">
            <w:pPr>
              <w:keepNext w:val="0"/>
              <w:keepLines w:val="0"/>
              <w:pageBreakBefore w:val="0"/>
              <w:kinsoku/>
              <w:wordWrap/>
              <w:overflowPunct/>
              <w:topLinePunct w:val="0"/>
              <w:autoSpaceDE/>
              <w:autoSpaceDN/>
              <w:bidi w:val="0"/>
              <w:adjustRightInd/>
              <w:snapToGrid/>
              <w:spacing w:line="240" w:lineRule="auto"/>
              <w:rPr>
                <w:rFonts w:hint="eastAsia" w:cs="Times New Roman"/>
                <w:kern w:val="2"/>
                <w:sz w:val="18"/>
                <w:szCs w:val="18"/>
              </w:rPr>
            </w:pPr>
            <w:r>
              <w:rPr>
                <w:rFonts w:hint="eastAsia" w:cs="Times New Roman"/>
                <w:kern w:val="2"/>
                <w:sz w:val="18"/>
                <w:szCs w:val="18"/>
                <w:lang w:val="en-US" w:eastAsia="zh-CN"/>
              </w:rPr>
              <w:t>参加精密度试验验证</w:t>
            </w:r>
          </w:p>
        </w:tc>
      </w:tr>
      <w:tr w14:paraId="24A5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97" w:type="pct"/>
            <w:vAlign w:val="center"/>
          </w:tcPr>
          <w:p w14:paraId="07D95334">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8</w:t>
            </w:r>
          </w:p>
        </w:tc>
        <w:tc>
          <w:tcPr>
            <w:tcW w:w="1916" w:type="pct"/>
            <w:vAlign w:val="center"/>
          </w:tcPr>
          <w:p w14:paraId="7707F692">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国和通用（青岛）测试评价有限公司</w:t>
            </w:r>
          </w:p>
        </w:tc>
        <w:tc>
          <w:tcPr>
            <w:tcW w:w="900" w:type="pct"/>
            <w:vAlign w:val="center"/>
          </w:tcPr>
          <w:p w14:paraId="4BA15E83">
            <w:pPr>
              <w:keepNext w:val="0"/>
              <w:keepLines w:val="0"/>
              <w:pageBreakBefore w:val="0"/>
              <w:tabs>
                <w:tab w:val="left" w:pos="252"/>
              </w:tabs>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辛梦琦</w:t>
            </w:r>
          </w:p>
        </w:tc>
        <w:tc>
          <w:tcPr>
            <w:tcW w:w="1885" w:type="pct"/>
            <w:vAlign w:val="center"/>
          </w:tcPr>
          <w:p w14:paraId="34B6BFC7">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lang w:val="en-US" w:eastAsia="zh-CN"/>
              </w:rPr>
              <w:t>参加精密度试验验证</w:t>
            </w:r>
          </w:p>
        </w:tc>
      </w:tr>
      <w:tr w14:paraId="19FD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5FB4D806">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9</w:t>
            </w:r>
          </w:p>
        </w:tc>
        <w:tc>
          <w:tcPr>
            <w:tcW w:w="1916" w:type="pct"/>
            <w:vAlign w:val="center"/>
          </w:tcPr>
          <w:p w14:paraId="66A94C80">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中国有色桂林矿产地质研究院有限公司</w:t>
            </w:r>
          </w:p>
        </w:tc>
        <w:tc>
          <w:tcPr>
            <w:tcW w:w="900" w:type="pct"/>
            <w:vAlign w:val="center"/>
          </w:tcPr>
          <w:p w14:paraId="6AA76016">
            <w:pPr>
              <w:keepNext w:val="0"/>
              <w:keepLines w:val="0"/>
              <w:pageBreakBefore w:val="0"/>
              <w:kinsoku/>
              <w:wordWrap/>
              <w:overflowPunct/>
              <w:topLinePunct w:val="0"/>
              <w:autoSpaceDE/>
              <w:autoSpaceDN/>
              <w:bidi w:val="0"/>
              <w:adjustRightInd/>
              <w:snapToGrid/>
              <w:spacing w:line="240" w:lineRule="auto"/>
              <w:jc w:val="left"/>
              <w:rPr>
                <w:rFonts w:hint="eastAsia" w:cs="Times New Roman"/>
                <w:kern w:val="2"/>
                <w:sz w:val="18"/>
                <w:szCs w:val="18"/>
              </w:rPr>
            </w:pPr>
            <w:r>
              <w:rPr>
                <w:rFonts w:hint="eastAsia" w:cs="Times New Roman"/>
                <w:kern w:val="2"/>
                <w:sz w:val="18"/>
                <w:szCs w:val="18"/>
              </w:rPr>
              <w:t>尹昌慧</w:t>
            </w:r>
          </w:p>
        </w:tc>
        <w:tc>
          <w:tcPr>
            <w:tcW w:w="1885" w:type="pct"/>
            <w:vAlign w:val="center"/>
          </w:tcPr>
          <w:p w14:paraId="7DE8B751">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lang w:val="en-US" w:eastAsia="zh-CN"/>
              </w:rPr>
              <w:t>参加精密度试验验证</w:t>
            </w:r>
          </w:p>
        </w:tc>
      </w:tr>
      <w:tr w14:paraId="65E2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691C367F">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10</w:t>
            </w:r>
          </w:p>
        </w:tc>
        <w:tc>
          <w:tcPr>
            <w:tcW w:w="1916" w:type="pct"/>
            <w:vAlign w:val="center"/>
          </w:tcPr>
          <w:p w14:paraId="76DFCB68">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rPr>
              <w:t>山东恒邦冶炼股份有限公司</w:t>
            </w:r>
          </w:p>
        </w:tc>
        <w:tc>
          <w:tcPr>
            <w:tcW w:w="900" w:type="pct"/>
            <w:vAlign w:val="center"/>
          </w:tcPr>
          <w:p w14:paraId="166F145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eastAsia="宋体" w:cs="Times New Roman"/>
                <w:kern w:val="2"/>
                <w:sz w:val="18"/>
                <w:szCs w:val="18"/>
                <w:lang w:val="en-US" w:eastAsia="zh-CN"/>
              </w:rPr>
            </w:pPr>
            <w:r>
              <w:rPr>
                <w:rFonts w:hint="eastAsia" w:cs="Times New Roman"/>
                <w:kern w:val="2"/>
                <w:sz w:val="18"/>
                <w:szCs w:val="18"/>
                <w:lang w:val="en-US" w:eastAsia="zh-CN"/>
              </w:rPr>
              <w:t>吕春欣</w:t>
            </w:r>
          </w:p>
        </w:tc>
        <w:tc>
          <w:tcPr>
            <w:tcW w:w="1885" w:type="pct"/>
            <w:vAlign w:val="center"/>
          </w:tcPr>
          <w:p w14:paraId="442ABCF1">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lang w:val="en-US" w:eastAsia="zh-CN"/>
              </w:rPr>
              <w:t>参加精密度试验验证</w:t>
            </w:r>
          </w:p>
        </w:tc>
      </w:tr>
      <w:tr w14:paraId="234F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49C11FD2">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1</w:t>
            </w:r>
            <w:r>
              <w:rPr>
                <w:rFonts w:hint="eastAsia" w:cs="Times New Roman"/>
                <w:kern w:val="2"/>
                <w:sz w:val="18"/>
                <w:szCs w:val="18"/>
              </w:rPr>
              <w:t>1</w:t>
            </w:r>
          </w:p>
        </w:tc>
        <w:tc>
          <w:tcPr>
            <w:tcW w:w="1916" w:type="pct"/>
            <w:vAlign w:val="center"/>
          </w:tcPr>
          <w:p w14:paraId="7B9AE005">
            <w:pPr>
              <w:keepNext w:val="0"/>
              <w:keepLines w:val="0"/>
              <w:pageBreakBefore w:val="0"/>
              <w:kinsoku/>
              <w:wordWrap/>
              <w:overflowPunct/>
              <w:topLinePunct w:val="0"/>
              <w:autoSpaceDE/>
              <w:autoSpaceDN/>
              <w:bidi w:val="0"/>
              <w:adjustRightInd/>
              <w:snapToGrid/>
              <w:spacing w:line="240" w:lineRule="auto"/>
              <w:jc w:val="left"/>
              <w:rPr>
                <w:rFonts w:hint="default" w:eastAsia="宋体" w:cs="Times New Roman"/>
                <w:kern w:val="2"/>
                <w:sz w:val="18"/>
                <w:szCs w:val="18"/>
                <w:lang w:val="en-US" w:eastAsia="zh-CN"/>
              </w:rPr>
            </w:pPr>
            <w:r>
              <w:rPr>
                <w:rFonts w:hint="eastAsia" w:cs="Times New Roman"/>
                <w:kern w:val="2"/>
                <w:sz w:val="18"/>
                <w:szCs w:val="18"/>
                <w:lang w:val="en-US" w:eastAsia="zh-CN"/>
              </w:rPr>
              <w:t>酒泉钢铁（集团）有限责任公司</w:t>
            </w:r>
          </w:p>
        </w:tc>
        <w:tc>
          <w:tcPr>
            <w:tcW w:w="900" w:type="pct"/>
            <w:vAlign w:val="center"/>
          </w:tcPr>
          <w:p w14:paraId="0B45F3A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eastAsia="宋体" w:cs="Times New Roman"/>
                <w:kern w:val="2"/>
                <w:sz w:val="18"/>
                <w:szCs w:val="18"/>
                <w:lang w:val="en-US" w:eastAsia="zh-CN"/>
              </w:rPr>
            </w:pPr>
            <w:r>
              <w:rPr>
                <w:rFonts w:hint="eastAsia" w:cs="Times New Roman"/>
                <w:kern w:val="2"/>
                <w:sz w:val="18"/>
                <w:szCs w:val="18"/>
                <w:lang w:val="en-US" w:eastAsia="zh-CN"/>
              </w:rPr>
              <w:t>王涛</w:t>
            </w:r>
          </w:p>
        </w:tc>
        <w:tc>
          <w:tcPr>
            <w:tcW w:w="1885" w:type="pct"/>
            <w:vAlign w:val="center"/>
          </w:tcPr>
          <w:p w14:paraId="79E6D2CF">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hint="eastAsia" w:cs="Times New Roman"/>
                <w:kern w:val="2"/>
                <w:sz w:val="18"/>
                <w:szCs w:val="18"/>
                <w:lang w:val="en-US" w:eastAsia="zh-CN"/>
              </w:rPr>
              <w:t>参加精密度试验验证</w:t>
            </w:r>
          </w:p>
        </w:tc>
      </w:tr>
      <w:tr w14:paraId="1486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 w:type="pct"/>
            <w:vAlign w:val="center"/>
          </w:tcPr>
          <w:p w14:paraId="2B02FF85">
            <w:pPr>
              <w:keepNext w:val="0"/>
              <w:keepLines w:val="0"/>
              <w:pageBreakBefore w:val="0"/>
              <w:kinsoku/>
              <w:wordWrap/>
              <w:overflowPunct/>
              <w:topLinePunct w:val="0"/>
              <w:autoSpaceDE/>
              <w:autoSpaceDN/>
              <w:bidi w:val="0"/>
              <w:adjustRightInd/>
              <w:snapToGrid/>
              <w:spacing w:line="240" w:lineRule="auto"/>
              <w:jc w:val="left"/>
              <w:rPr>
                <w:rFonts w:cs="Times New Roman"/>
                <w:kern w:val="2"/>
                <w:sz w:val="18"/>
                <w:szCs w:val="18"/>
              </w:rPr>
            </w:pPr>
            <w:r>
              <w:rPr>
                <w:rFonts w:cs="Times New Roman"/>
                <w:kern w:val="2"/>
                <w:sz w:val="18"/>
                <w:szCs w:val="18"/>
              </w:rPr>
              <w:t>1</w:t>
            </w:r>
            <w:r>
              <w:rPr>
                <w:rFonts w:hint="eastAsia" w:cs="Times New Roman"/>
                <w:kern w:val="2"/>
                <w:sz w:val="18"/>
                <w:szCs w:val="18"/>
              </w:rPr>
              <w:t>2</w:t>
            </w:r>
          </w:p>
        </w:tc>
        <w:tc>
          <w:tcPr>
            <w:tcW w:w="1916" w:type="pct"/>
            <w:vAlign w:val="center"/>
          </w:tcPr>
          <w:p w14:paraId="0217E0A9">
            <w:pPr>
              <w:keepNext w:val="0"/>
              <w:keepLines w:val="0"/>
              <w:pageBreakBefore w:val="0"/>
              <w:kinsoku/>
              <w:wordWrap/>
              <w:overflowPunct/>
              <w:topLinePunct w:val="0"/>
              <w:autoSpaceDE/>
              <w:autoSpaceDN/>
              <w:bidi w:val="0"/>
              <w:adjustRightInd/>
              <w:snapToGrid/>
              <w:spacing w:line="240" w:lineRule="auto"/>
              <w:jc w:val="left"/>
              <w:rPr>
                <w:rFonts w:hint="eastAsia" w:eastAsia="宋体" w:cs="Times New Roman"/>
                <w:kern w:val="2"/>
                <w:sz w:val="18"/>
                <w:szCs w:val="18"/>
                <w:lang w:val="en-US" w:eastAsia="zh-CN"/>
              </w:rPr>
            </w:pPr>
            <w:r>
              <w:rPr>
                <w:rFonts w:hint="eastAsia" w:cs="Times New Roman"/>
                <w:kern w:val="2"/>
                <w:sz w:val="18"/>
                <w:szCs w:val="18"/>
                <w:lang w:val="en-US" w:eastAsia="zh-CN"/>
              </w:rPr>
              <w:t>有研亿金新材料有限公司</w:t>
            </w:r>
          </w:p>
        </w:tc>
        <w:tc>
          <w:tcPr>
            <w:tcW w:w="900" w:type="pct"/>
            <w:vAlign w:val="center"/>
          </w:tcPr>
          <w:p w14:paraId="02A471D8">
            <w:pPr>
              <w:keepNext w:val="0"/>
              <w:keepLines w:val="0"/>
              <w:pageBreakBefore w:val="0"/>
              <w:kinsoku/>
              <w:wordWrap/>
              <w:overflowPunct/>
              <w:topLinePunct w:val="0"/>
              <w:autoSpaceDE/>
              <w:autoSpaceDN/>
              <w:bidi w:val="0"/>
              <w:adjustRightInd/>
              <w:snapToGrid/>
              <w:spacing w:line="240" w:lineRule="auto"/>
              <w:jc w:val="left"/>
              <w:rPr>
                <w:rFonts w:hint="eastAsia" w:eastAsia="宋体" w:cs="Times New Roman"/>
                <w:kern w:val="2"/>
                <w:sz w:val="18"/>
                <w:szCs w:val="18"/>
                <w:lang w:val="en-US" w:eastAsia="zh-CN"/>
              </w:rPr>
            </w:pPr>
            <w:r>
              <w:rPr>
                <w:rFonts w:hint="eastAsia" w:cs="Times New Roman"/>
                <w:kern w:val="2"/>
                <w:sz w:val="18"/>
                <w:szCs w:val="18"/>
                <w:lang w:val="en-US" w:eastAsia="zh-CN"/>
              </w:rPr>
              <w:t>马晓玉</w:t>
            </w:r>
          </w:p>
        </w:tc>
        <w:tc>
          <w:tcPr>
            <w:tcW w:w="1885" w:type="pct"/>
            <w:vAlign w:val="center"/>
          </w:tcPr>
          <w:p w14:paraId="29B7B915">
            <w:pPr>
              <w:keepNext w:val="0"/>
              <w:keepLines w:val="0"/>
              <w:pageBreakBefore w:val="0"/>
              <w:kinsoku/>
              <w:wordWrap/>
              <w:overflowPunct/>
              <w:topLinePunct w:val="0"/>
              <w:autoSpaceDE/>
              <w:autoSpaceDN/>
              <w:bidi w:val="0"/>
              <w:adjustRightInd/>
              <w:snapToGrid/>
              <w:spacing w:line="240" w:lineRule="auto"/>
              <w:rPr>
                <w:rFonts w:cs="Times New Roman"/>
                <w:kern w:val="2"/>
                <w:sz w:val="18"/>
                <w:szCs w:val="18"/>
              </w:rPr>
            </w:pPr>
            <w:r>
              <w:rPr>
                <w:rFonts w:hint="eastAsia" w:cs="Times New Roman"/>
                <w:kern w:val="2"/>
                <w:sz w:val="18"/>
                <w:szCs w:val="18"/>
                <w:lang w:val="en-US" w:eastAsia="zh-CN"/>
              </w:rPr>
              <w:t>参加精密度试验验证</w:t>
            </w:r>
          </w:p>
        </w:tc>
      </w:tr>
      <w:bookmarkEnd w:id="2"/>
    </w:tbl>
    <w:p w14:paraId="573F33A6">
      <w:pPr>
        <w:widowControl/>
        <w:tabs>
          <w:tab w:val="left" w:pos="675"/>
        </w:tabs>
        <w:spacing w:before="163" w:beforeLines="50" w:after="163" w:afterLines="50" w:line="240" w:lineRule="auto"/>
        <w:outlineLvl w:val="1"/>
        <w:rPr>
          <w:rFonts w:hint="eastAsia" w:ascii="黑体" w:eastAsia="黑体" w:cs="Times New Roman"/>
          <w:b/>
        </w:rPr>
      </w:pPr>
      <w:r>
        <w:rPr>
          <w:rFonts w:hint="eastAsia" w:ascii="黑体" w:eastAsia="黑体" w:cs="Times New Roman"/>
          <w:b/>
        </w:rPr>
        <w:t>3.3、主要工作过程</w:t>
      </w:r>
    </w:p>
    <w:p w14:paraId="76F94530">
      <w:pPr>
        <w:spacing w:line="240" w:lineRule="auto"/>
        <w:jc w:val="left"/>
        <w:rPr>
          <w:rFonts w:hint="eastAsia" w:ascii="黑体" w:eastAsia="黑体" w:cs="Times New Roman"/>
          <w:b/>
          <w:bCs/>
          <w:kern w:val="2"/>
          <w:sz w:val="21"/>
          <w:szCs w:val="21"/>
        </w:rPr>
      </w:pPr>
      <w:r>
        <w:rPr>
          <w:rFonts w:hint="eastAsia" w:ascii="黑体" w:eastAsia="黑体" w:cs="Times New Roman"/>
          <w:b/>
          <w:bCs/>
          <w:kern w:val="2"/>
          <w:sz w:val="21"/>
          <w:szCs w:val="21"/>
        </w:rPr>
        <w:t>3.3.1预研阶段</w:t>
      </w:r>
    </w:p>
    <w:p w14:paraId="32A564EB">
      <w:pPr>
        <w:spacing w:line="240" w:lineRule="auto"/>
        <w:ind w:firstLine="420" w:firstLineChars="200"/>
        <w:jc w:val="left"/>
        <w:rPr>
          <w:rFonts w:ascii="宋体" w:hAnsi="宋体" w:cs="Times New Roman"/>
          <w:kern w:val="2"/>
          <w:sz w:val="21"/>
          <w:szCs w:val="21"/>
        </w:rPr>
      </w:pPr>
      <w:r>
        <w:rPr>
          <w:rFonts w:hint="eastAsia" w:ascii="宋体" w:hAnsi="宋体" w:cs="Times New Roman"/>
          <w:kern w:val="2"/>
          <w:sz w:val="21"/>
          <w:szCs w:val="21"/>
        </w:rPr>
        <w:t>202</w:t>
      </w:r>
      <w:r>
        <w:rPr>
          <w:rFonts w:hint="eastAsia" w:ascii="宋体" w:hAnsi="宋体" w:cs="Times New Roman"/>
          <w:kern w:val="2"/>
          <w:sz w:val="21"/>
          <w:szCs w:val="21"/>
          <w:lang w:val="en-US" w:eastAsia="zh-CN"/>
        </w:rPr>
        <w:t>5</w:t>
      </w:r>
      <w:r>
        <w:rPr>
          <w:rFonts w:hint="eastAsia" w:ascii="宋体" w:hAnsi="宋体" w:cs="Times New Roman"/>
          <w:kern w:val="2"/>
          <w:sz w:val="21"/>
          <w:szCs w:val="21"/>
        </w:rPr>
        <w:t>年1月-202</w:t>
      </w:r>
      <w:r>
        <w:rPr>
          <w:rFonts w:hint="eastAsia" w:ascii="宋体" w:hAnsi="宋体" w:cs="Times New Roman"/>
          <w:kern w:val="2"/>
          <w:sz w:val="21"/>
          <w:szCs w:val="21"/>
          <w:lang w:val="en-US" w:eastAsia="zh-CN"/>
        </w:rPr>
        <w:t>5</w:t>
      </w:r>
      <w:r>
        <w:rPr>
          <w:rFonts w:hint="eastAsia" w:ascii="宋体" w:hAnsi="宋体" w:cs="Times New Roman"/>
          <w:kern w:val="2"/>
          <w:sz w:val="21"/>
          <w:szCs w:val="21"/>
        </w:rPr>
        <w:t>年12月，负责起草单位对</w:t>
      </w:r>
      <w:r>
        <w:rPr>
          <w:rFonts w:hint="eastAsia" w:ascii="宋体" w:hAnsi="宋体" w:cs="Times New Roman"/>
          <w:kern w:val="2"/>
          <w:sz w:val="21"/>
          <w:szCs w:val="21"/>
          <w:lang w:val="en-US" w:eastAsia="zh-CN"/>
        </w:rPr>
        <w:t>钴</w:t>
      </w:r>
      <w:r>
        <w:rPr>
          <w:rFonts w:hint="eastAsia" w:ascii="宋体" w:hAnsi="宋体" w:cs="Times New Roman"/>
          <w:kern w:val="2"/>
          <w:sz w:val="21"/>
          <w:szCs w:val="21"/>
        </w:rPr>
        <w:t>中的</w:t>
      </w:r>
      <w:r>
        <w:rPr>
          <w:rFonts w:hint="eastAsia" w:ascii="宋体" w:hAnsi="宋体" w:cs="Times New Roman"/>
          <w:kern w:val="2"/>
          <w:sz w:val="21"/>
          <w:szCs w:val="21"/>
          <w:lang w:val="en-US" w:eastAsia="zh-CN"/>
        </w:rPr>
        <w:t>碳</w:t>
      </w:r>
      <w:r>
        <w:rPr>
          <w:rFonts w:hint="eastAsia" w:ascii="宋体" w:hAnsi="宋体" w:cs="Times New Roman"/>
          <w:kern w:val="2"/>
          <w:sz w:val="21"/>
          <w:szCs w:val="21"/>
        </w:rPr>
        <w:t>和</w:t>
      </w:r>
      <w:r>
        <w:rPr>
          <w:rFonts w:hint="eastAsia" w:ascii="宋体" w:hAnsi="宋体" w:cs="Times New Roman"/>
          <w:kern w:val="2"/>
          <w:sz w:val="21"/>
          <w:szCs w:val="21"/>
          <w:lang w:val="en-US" w:eastAsia="zh-CN"/>
        </w:rPr>
        <w:t>硫</w:t>
      </w:r>
      <w:r>
        <w:rPr>
          <w:rFonts w:hint="eastAsia" w:ascii="宋体" w:hAnsi="宋体" w:cs="Times New Roman"/>
          <w:kern w:val="2"/>
          <w:sz w:val="21"/>
          <w:szCs w:val="21"/>
        </w:rPr>
        <w:t>元素含量范围进行了全面调研，同时向各个科研、生产单位对</w:t>
      </w:r>
      <w:r>
        <w:rPr>
          <w:rFonts w:hint="eastAsia" w:ascii="宋体" w:hAnsi="宋体" w:cs="Times New Roman"/>
          <w:sz w:val="21"/>
          <w:szCs w:val="21"/>
        </w:rPr>
        <w:t>YS/T 281.13-2011《钴化学分析方法 第13部分：硫量的测定 高频感应炉燃烧红外吸收法》</w:t>
      </w:r>
      <w:r>
        <w:rPr>
          <w:rFonts w:hint="eastAsia" w:ascii="宋体" w:hAnsi="宋体" w:cs="Times New Roman"/>
          <w:sz w:val="21"/>
          <w:szCs w:val="21"/>
          <w:lang w:val="en-US" w:eastAsia="zh-CN"/>
        </w:rPr>
        <w:t>和</w:t>
      </w:r>
      <w:r>
        <w:rPr>
          <w:rFonts w:hint="eastAsia" w:ascii="宋体" w:hAnsi="宋体" w:cs="Times New Roman"/>
          <w:sz w:val="21"/>
          <w:szCs w:val="21"/>
        </w:rPr>
        <w:t>YS/T 281.14-2011《钴化学分析方法 第14部分：碳量的测定 高频感应炉燃烧红外吸收法》</w:t>
      </w:r>
      <w:r>
        <w:rPr>
          <w:rFonts w:hint="eastAsia" w:ascii="宋体" w:hAnsi="宋体" w:cs="Times New Roman"/>
          <w:kern w:val="2"/>
          <w:sz w:val="21"/>
          <w:szCs w:val="21"/>
        </w:rPr>
        <w:t>实际应用情况进行了了解，最终向全国有色金属标准化技术委员会提交了立项建议书。</w:t>
      </w:r>
    </w:p>
    <w:p w14:paraId="758A89AF">
      <w:pPr>
        <w:spacing w:line="240" w:lineRule="auto"/>
        <w:jc w:val="left"/>
        <w:rPr>
          <w:rFonts w:hint="eastAsia" w:ascii="黑体" w:eastAsia="黑体" w:cs="Times New Roman"/>
          <w:b/>
          <w:bCs/>
          <w:kern w:val="2"/>
          <w:sz w:val="21"/>
          <w:szCs w:val="21"/>
        </w:rPr>
      </w:pPr>
      <w:r>
        <w:rPr>
          <w:rFonts w:hint="eastAsia" w:ascii="黑体" w:eastAsia="黑体" w:cs="Times New Roman"/>
          <w:b/>
          <w:bCs/>
          <w:kern w:val="2"/>
          <w:sz w:val="21"/>
          <w:szCs w:val="21"/>
        </w:rPr>
        <w:t>3.3.2 立项阶段</w:t>
      </w:r>
    </w:p>
    <w:p w14:paraId="25F0BF18">
      <w:pPr>
        <w:spacing w:line="240" w:lineRule="auto"/>
        <w:ind w:firstLine="420" w:firstLineChars="200"/>
        <w:jc w:val="left"/>
        <w:rPr>
          <w:rFonts w:ascii="宋体" w:hAnsi="宋体" w:cs="Times New Roman"/>
          <w:kern w:val="2"/>
          <w:sz w:val="21"/>
          <w:szCs w:val="21"/>
        </w:rPr>
      </w:pPr>
      <w:r>
        <w:rPr>
          <w:rFonts w:hint="eastAsia" w:ascii="宋体" w:hAnsi="宋体" w:cs="Times New Roman"/>
          <w:kern w:val="2"/>
          <w:sz w:val="21"/>
          <w:szCs w:val="21"/>
        </w:rPr>
        <w:t>202</w:t>
      </w:r>
      <w:r>
        <w:rPr>
          <w:rFonts w:hint="eastAsia" w:ascii="宋体" w:hAnsi="宋体" w:cs="Times New Roman"/>
          <w:kern w:val="2"/>
          <w:sz w:val="21"/>
          <w:szCs w:val="21"/>
          <w:lang w:val="en-US" w:eastAsia="zh-CN"/>
        </w:rPr>
        <w:t>5</w:t>
      </w:r>
      <w:r>
        <w:rPr>
          <w:rFonts w:hint="eastAsia" w:ascii="宋体" w:hAnsi="宋体" w:cs="Times New Roman"/>
          <w:kern w:val="2"/>
          <w:sz w:val="21"/>
          <w:szCs w:val="21"/>
        </w:rPr>
        <w:t>年，全国有色金属标准化技术委员会向工信厅提出了立项申请</w:t>
      </w:r>
      <w:r>
        <w:rPr>
          <w:rFonts w:hint="eastAsia" w:ascii="宋体" w:hAnsi="宋体" w:cs="Times New Roman"/>
          <w:kern w:val="2"/>
          <w:sz w:val="21"/>
          <w:szCs w:val="21"/>
          <w:lang w:eastAsia="zh-CN"/>
        </w:rPr>
        <w:t>，根据</w:t>
      </w:r>
      <w:r>
        <w:rPr>
          <w:rFonts w:hint="eastAsia" w:ascii="宋体" w:hAnsi="宋体" w:cs="Times New Roman"/>
          <w:sz w:val="21"/>
          <w:szCs w:val="21"/>
        </w:rPr>
        <w:t>工信厅科函【202</w:t>
      </w:r>
      <w:r>
        <w:rPr>
          <w:rFonts w:hint="eastAsia" w:ascii="宋体" w:hAnsi="宋体" w:cs="Times New Roman"/>
          <w:sz w:val="21"/>
          <w:szCs w:val="21"/>
          <w:lang w:val="en-US" w:eastAsia="zh-CN"/>
        </w:rPr>
        <w:t>5</w:t>
      </w:r>
      <w:r>
        <w:rPr>
          <w:rFonts w:hint="eastAsia" w:ascii="宋体" w:hAnsi="宋体" w:cs="Times New Roman"/>
          <w:sz w:val="21"/>
          <w:szCs w:val="21"/>
        </w:rPr>
        <w:t>】</w:t>
      </w:r>
      <w:r>
        <w:rPr>
          <w:rFonts w:hint="eastAsia" w:ascii="宋体" w:hAnsi="宋体" w:cs="Times New Roman"/>
          <w:sz w:val="21"/>
          <w:szCs w:val="21"/>
          <w:lang w:val="en-US" w:eastAsia="zh-CN"/>
        </w:rPr>
        <w:t>528</w:t>
      </w:r>
      <w:r>
        <w:rPr>
          <w:rFonts w:hint="eastAsia" w:ascii="宋体" w:hAnsi="宋体" w:cs="Times New Roman"/>
          <w:sz w:val="21"/>
          <w:szCs w:val="21"/>
        </w:rPr>
        <w:t>号</w:t>
      </w:r>
      <w:r>
        <w:rPr>
          <w:rFonts w:hint="eastAsia" w:ascii="宋体" w:hAnsi="宋体" w:cs="Times New Roman"/>
          <w:kern w:val="2"/>
          <w:sz w:val="21"/>
          <w:szCs w:val="21"/>
          <w:lang w:eastAsia="zh-CN"/>
        </w:rPr>
        <w:t>文件精神，</w:t>
      </w:r>
      <w:r>
        <w:rPr>
          <w:rFonts w:hint="eastAsia" w:ascii="宋体" w:hAnsi="宋体" w:cs="Times New Roman"/>
          <w:sz w:val="21"/>
          <w:szCs w:val="21"/>
        </w:rPr>
        <w:t>全国有色金属标准化技术委员会于202</w:t>
      </w:r>
      <w:r>
        <w:rPr>
          <w:rFonts w:hint="eastAsia" w:ascii="宋体" w:hAnsi="宋体" w:cs="Times New Roman"/>
          <w:sz w:val="21"/>
          <w:szCs w:val="21"/>
          <w:lang w:val="en-US" w:eastAsia="zh-CN"/>
        </w:rPr>
        <w:t>6</w:t>
      </w:r>
      <w:r>
        <w:rPr>
          <w:rFonts w:hint="eastAsia" w:ascii="宋体" w:hAnsi="宋体" w:cs="Times New Roman"/>
          <w:sz w:val="21"/>
          <w:szCs w:val="21"/>
        </w:rPr>
        <w:t>年</w:t>
      </w:r>
      <w:r>
        <w:rPr>
          <w:rFonts w:hint="eastAsia" w:ascii="宋体" w:hAnsi="宋体" w:cs="Times New Roman"/>
          <w:sz w:val="21"/>
          <w:szCs w:val="21"/>
          <w:lang w:val="en-US" w:eastAsia="zh-CN"/>
        </w:rPr>
        <w:t>1</w:t>
      </w:r>
      <w:r>
        <w:rPr>
          <w:rFonts w:hint="eastAsia" w:ascii="宋体" w:hAnsi="宋体" w:cs="Times New Roman"/>
          <w:sz w:val="21"/>
          <w:szCs w:val="21"/>
        </w:rPr>
        <w:t>月19日于</w:t>
      </w:r>
      <w:r>
        <w:rPr>
          <w:rFonts w:hint="eastAsia" w:ascii="宋体" w:hAnsi="宋体" w:cs="Times New Roman"/>
          <w:sz w:val="21"/>
          <w:szCs w:val="21"/>
          <w:lang w:val="en-US" w:eastAsia="zh-CN"/>
        </w:rPr>
        <w:t>广东珠海</w:t>
      </w:r>
      <w:r>
        <w:rPr>
          <w:rFonts w:hint="eastAsia" w:ascii="宋体" w:hAnsi="宋体" w:cs="Times New Roman"/>
          <w:sz w:val="21"/>
          <w:szCs w:val="21"/>
        </w:rPr>
        <w:t>召开有色金属标准工作会议，会议确定了《</w:t>
      </w:r>
      <w:r>
        <w:rPr>
          <w:rFonts w:hint="eastAsia" w:ascii="宋体" w:hAnsi="宋体" w:cs="Times New Roman"/>
          <w:sz w:val="21"/>
          <w:szCs w:val="21"/>
          <w:lang w:val="en-US" w:eastAsia="zh-CN"/>
        </w:rPr>
        <w:t>钴</w:t>
      </w:r>
      <w:r>
        <w:rPr>
          <w:rFonts w:hint="eastAsia" w:ascii="宋体" w:hAnsi="宋体" w:cs="Times New Roman"/>
          <w:sz w:val="21"/>
          <w:szCs w:val="21"/>
        </w:rPr>
        <w:t>化学分析方法 第</w:t>
      </w:r>
      <w:r>
        <w:rPr>
          <w:rFonts w:hint="eastAsia" w:ascii="宋体" w:hAnsi="宋体" w:cs="Times New Roman"/>
          <w:sz w:val="21"/>
          <w:szCs w:val="21"/>
          <w:lang w:val="en-US" w:eastAsia="zh-CN"/>
        </w:rPr>
        <w:t>13</w:t>
      </w:r>
      <w:r>
        <w:rPr>
          <w:rFonts w:hint="eastAsia" w:ascii="宋体" w:hAnsi="宋体" w:cs="Times New Roman"/>
          <w:sz w:val="21"/>
          <w:szCs w:val="21"/>
        </w:rPr>
        <w:t>部分：碳和硫含量的测定 高频感应炉燃烧红外吸收法》的制定工作由北矿检测技术股份有限公司负责起草，会议明确了样品的制备单位、验证单位及各项工作时间进度要求(会议纪要见有色标秘【202</w:t>
      </w:r>
      <w:r>
        <w:rPr>
          <w:rFonts w:hint="eastAsia" w:ascii="宋体" w:hAnsi="宋体" w:cs="Times New Roman"/>
          <w:sz w:val="21"/>
          <w:szCs w:val="21"/>
          <w:lang w:val="en-US" w:eastAsia="zh-CN"/>
        </w:rPr>
        <w:t>6</w:t>
      </w:r>
      <w:r>
        <w:rPr>
          <w:rFonts w:hint="eastAsia" w:ascii="宋体" w:hAnsi="宋体" w:cs="Times New Roman"/>
          <w:sz w:val="21"/>
          <w:szCs w:val="21"/>
        </w:rPr>
        <w:t>】</w:t>
      </w:r>
      <w:r>
        <w:rPr>
          <w:rFonts w:hint="eastAsia" w:ascii="宋体" w:hAnsi="宋体" w:cs="Times New Roman"/>
          <w:sz w:val="21"/>
          <w:szCs w:val="21"/>
          <w:lang w:val="en-US" w:eastAsia="zh-CN"/>
        </w:rPr>
        <w:t>9</w:t>
      </w:r>
      <w:r>
        <w:rPr>
          <w:rFonts w:hint="eastAsia" w:ascii="宋体" w:hAnsi="宋体" w:cs="Times New Roman"/>
          <w:sz w:val="21"/>
          <w:szCs w:val="21"/>
        </w:rPr>
        <w:t>号），该项目由全国有色金属标准化技术委员会重金属分技术委员会归口，计划编号：（工信厅科函【202</w:t>
      </w:r>
      <w:r>
        <w:rPr>
          <w:rFonts w:hint="eastAsia" w:ascii="宋体" w:hAnsi="宋体" w:cs="Times New Roman"/>
          <w:sz w:val="21"/>
          <w:szCs w:val="21"/>
          <w:lang w:val="en-US" w:eastAsia="zh-CN"/>
        </w:rPr>
        <w:t>5</w:t>
      </w:r>
      <w:r>
        <w:rPr>
          <w:rFonts w:hint="eastAsia" w:ascii="宋体" w:hAnsi="宋体" w:cs="Times New Roman"/>
          <w:sz w:val="21"/>
          <w:szCs w:val="21"/>
        </w:rPr>
        <w:t>】</w:t>
      </w:r>
      <w:r>
        <w:rPr>
          <w:rFonts w:hint="eastAsia" w:ascii="宋体" w:hAnsi="宋体" w:cs="Times New Roman"/>
          <w:sz w:val="21"/>
          <w:szCs w:val="21"/>
          <w:lang w:val="en-US" w:eastAsia="zh-CN"/>
        </w:rPr>
        <w:t>528</w:t>
      </w:r>
      <w:r>
        <w:rPr>
          <w:rFonts w:hint="eastAsia" w:ascii="宋体" w:hAnsi="宋体" w:cs="Times New Roman"/>
          <w:sz w:val="21"/>
          <w:szCs w:val="21"/>
        </w:rPr>
        <w:t>号（2025-1348T-YS），</w:t>
      </w:r>
      <w:r>
        <w:rPr>
          <w:rFonts w:hint="eastAsia" w:ascii="宋体" w:hAnsi="宋体" w:cs="Times New Roman"/>
          <w:sz w:val="21"/>
          <w:szCs w:val="21"/>
          <w:highlight w:val="none"/>
        </w:rPr>
        <w:t>项目计划完成年限为202</w:t>
      </w:r>
      <w:r>
        <w:rPr>
          <w:rFonts w:hint="eastAsia" w:ascii="宋体" w:hAnsi="宋体" w:cs="Times New Roman"/>
          <w:sz w:val="21"/>
          <w:szCs w:val="21"/>
          <w:highlight w:val="none"/>
          <w:lang w:val="en-US" w:eastAsia="zh-CN"/>
        </w:rPr>
        <w:t>6</w:t>
      </w:r>
      <w:r>
        <w:rPr>
          <w:rFonts w:hint="eastAsia" w:ascii="宋体" w:hAnsi="宋体" w:cs="Times New Roman"/>
          <w:sz w:val="21"/>
          <w:szCs w:val="21"/>
          <w:highlight w:val="none"/>
        </w:rPr>
        <w:t>年</w:t>
      </w:r>
      <w:r>
        <w:rPr>
          <w:rFonts w:hint="eastAsia" w:ascii="宋体" w:hAnsi="宋体" w:cs="Times New Roman"/>
          <w:sz w:val="21"/>
          <w:szCs w:val="21"/>
        </w:rPr>
        <w:t>。</w:t>
      </w:r>
    </w:p>
    <w:p w14:paraId="2E63CC5E">
      <w:pPr>
        <w:spacing w:line="240" w:lineRule="auto"/>
        <w:jc w:val="left"/>
        <w:rPr>
          <w:rFonts w:hint="eastAsia" w:ascii="黑体" w:eastAsia="黑体" w:cs="Times New Roman"/>
          <w:b/>
          <w:bCs/>
          <w:kern w:val="2"/>
          <w:sz w:val="21"/>
          <w:szCs w:val="21"/>
        </w:rPr>
      </w:pPr>
      <w:r>
        <w:rPr>
          <w:rFonts w:hint="eastAsia" w:ascii="黑体" w:eastAsia="黑体" w:cs="Times New Roman"/>
          <w:b/>
          <w:bCs/>
          <w:kern w:val="2"/>
          <w:sz w:val="21"/>
          <w:szCs w:val="21"/>
        </w:rPr>
        <w:t>3.3.3 任务落实及起草阶段</w:t>
      </w:r>
    </w:p>
    <w:p w14:paraId="1B968686">
      <w:pPr>
        <w:spacing w:line="240" w:lineRule="auto"/>
        <w:ind w:firstLine="420" w:firstLineChars="200"/>
        <w:rPr>
          <w:rFonts w:ascii="宋体" w:hAnsi="宋体" w:cs="Times New Roman"/>
          <w:kern w:val="2"/>
          <w:sz w:val="21"/>
          <w:szCs w:val="21"/>
        </w:rPr>
      </w:pPr>
      <w:r>
        <w:rPr>
          <w:rFonts w:ascii="宋体" w:hAnsi="宋体" w:cs="Times New Roman"/>
          <w:kern w:val="2"/>
          <w:sz w:val="21"/>
          <w:szCs w:val="21"/>
        </w:rPr>
        <w:t>202</w:t>
      </w:r>
      <w:r>
        <w:rPr>
          <w:rFonts w:hint="eastAsia" w:ascii="宋体" w:hAnsi="宋体" w:cs="Times New Roman"/>
          <w:kern w:val="2"/>
          <w:sz w:val="21"/>
          <w:szCs w:val="21"/>
          <w:lang w:val="en-US" w:eastAsia="zh-CN"/>
        </w:rPr>
        <w:t>6</w:t>
      </w:r>
      <w:r>
        <w:rPr>
          <w:rFonts w:hint="eastAsia" w:ascii="宋体" w:hAnsi="宋体" w:cs="Times New Roman"/>
          <w:kern w:val="2"/>
          <w:sz w:val="21"/>
          <w:szCs w:val="21"/>
        </w:rPr>
        <w:t>年</w:t>
      </w:r>
      <w:r>
        <w:rPr>
          <w:rFonts w:hint="eastAsia" w:ascii="宋体" w:hAnsi="宋体" w:cs="Times New Roman"/>
          <w:kern w:val="2"/>
          <w:sz w:val="21"/>
          <w:szCs w:val="21"/>
          <w:lang w:val="en-US" w:eastAsia="zh-CN"/>
        </w:rPr>
        <w:t>1</w:t>
      </w:r>
      <w:r>
        <w:rPr>
          <w:rFonts w:hint="eastAsia" w:ascii="宋体" w:hAnsi="宋体" w:cs="Times New Roman"/>
          <w:kern w:val="2"/>
          <w:sz w:val="21"/>
          <w:szCs w:val="21"/>
        </w:rPr>
        <w:t>月，有色金属标准工作会议对标准计划《</w:t>
      </w:r>
      <w:bookmarkStart w:id="4" w:name="_Hlk177513010"/>
      <w:r>
        <w:rPr>
          <w:rFonts w:hint="eastAsia" w:ascii="宋体" w:hAnsi="宋体" w:cs="Times New Roman"/>
          <w:kern w:val="2"/>
          <w:sz w:val="21"/>
          <w:szCs w:val="21"/>
          <w:lang w:val="en-US" w:eastAsia="zh-CN"/>
        </w:rPr>
        <w:t>钴</w:t>
      </w:r>
      <w:r>
        <w:rPr>
          <w:rFonts w:hint="eastAsia" w:ascii="宋体" w:hAnsi="宋体" w:cs="Times New Roman"/>
          <w:kern w:val="2"/>
          <w:sz w:val="21"/>
          <w:szCs w:val="21"/>
        </w:rPr>
        <w:t>化学分析方法 第</w:t>
      </w:r>
      <w:r>
        <w:rPr>
          <w:rFonts w:hint="eastAsia" w:ascii="宋体" w:hAnsi="宋体" w:cs="Times New Roman"/>
          <w:kern w:val="2"/>
          <w:sz w:val="21"/>
          <w:szCs w:val="21"/>
          <w:lang w:val="en-US" w:eastAsia="zh-CN"/>
        </w:rPr>
        <w:t>13</w:t>
      </w:r>
      <w:r>
        <w:rPr>
          <w:rFonts w:hint="eastAsia" w:ascii="宋体" w:hAnsi="宋体" w:cs="Times New Roman"/>
          <w:kern w:val="2"/>
          <w:sz w:val="21"/>
          <w:szCs w:val="21"/>
        </w:rPr>
        <w:t>部分：</w:t>
      </w:r>
      <w:bookmarkEnd w:id="4"/>
      <w:r>
        <w:rPr>
          <w:rFonts w:hint="eastAsia" w:ascii="宋体" w:hAnsi="宋体" w:cs="Times New Roman"/>
          <w:kern w:val="2"/>
          <w:sz w:val="21"/>
          <w:szCs w:val="21"/>
          <w:lang w:val="en-US" w:eastAsia="zh-CN"/>
        </w:rPr>
        <w:t>碳和</w:t>
      </w:r>
      <w:r>
        <w:rPr>
          <w:rFonts w:hint="eastAsia" w:ascii="宋体" w:hAnsi="宋体" w:cs="Times New Roman"/>
          <w:sz w:val="21"/>
          <w:szCs w:val="21"/>
        </w:rPr>
        <w:t>硫</w:t>
      </w:r>
      <w:r>
        <w:rPr>
          <w:rFonts w:hint="eastAsia" w:ascii="宋体" w:hAnsi="宋体" w:cs="Times New Roman"/>
          <w:sz w:val="21"/>
          <w:szCs w:val="21"/>
          <w:lang w:val="en-US" w:eastAsia="zh-CN"/>
        </w:rPr>
        <w:t>含</w:t>
      </w:r>
      <w:r>
        <w:rPr>
          <w:rFonts w:hint="eastAsia" w:ascii="宋体" w:hAnsi="宋体" w:cs="Times New Roman"/>
          <w:sz w:val="21"/>
          <w:szCs w:val="21"/>
        </w:rPr>
        <w:t>量的测定 高频感应炉燃烧红外吸收法</w:t>
      </w:r>
      <w:r>
        <w:rPr>
          <w:rFonts w:hint="eastAsia" w:ascii="宋体" w:hAnsi="宋体" w:cs="Times New Roman"/>
          <w:kern w:val="2"/>
          <w:sz w:val="21"/>
          <w:szCs w:val="21"/>
        </w:rPr>
        <w:t>》进行任务落实。会议确定了标准制定的起草单位和验证单位，明确了样品的制备单位，落实了标准制定项目的进度安排和分工。样品由金川集团股份有限公司</w:t>
      </w:r>
      <w:r>
        <w:rPr>
          <w:rFonts w:hint="eastAsia" w:ascii="宋体" w:hAnsi="宋体" w:cs="Times New Roman"/>
          <w:kern w:val="2"/>
          <w:sz w:val="21"/>
          <w:szCs w:val="21"/>
          <w:lang w:eastAsia="zh-CN"/>
        </w:rPr>
        <w:t>、</w:t>
      </w:r>
      <w:r>
        <w:rPr>
          <w:rFonts w:hint="eastAsia" w:ascii="宋体" w:hAnsi="宋体" w:cs="Times New Roman"/>
          <w:kern w:val="2"/>
          <w:sz w:val="21"/>
          <w:szCs w:val="21"/>
          <w:highlight w:val="none"/>
        </w:rPr>
        <w:t>格林美股份有限公司等单位负责提供</w:t>
      </w:r>
      <w:r>
        <w:rPr>
          <w:rFonts w:hint="eastAsia" w:ascii="宋体" w:hAnsi="宋体" w:cs="Times New Roman"/>
          <w:kern w:val="2"/>
          <w:sz w:val="21"/>
          <w:szCs w:val="21"/>
        </w:rPr>
        <w:t>，提供了</w:t>
      </w:r>
      <w:r>
        <w:rPr>
          <w:rFonts w:hint="eastAsia" w:ascii="宋体" w:hAnsi="宋体" w:cs="Times New Roman"/>
          <w:kern w:val="2"/>
          <w:sz w:val="21"/>
          <w:szCs w:val="21"/>
          <w:lang w:val="en-US" w:eastAsia="zh-CN"/>
        </w:rPr>
        <w:t>3</w:t>
      </w:r>
      <w:r>
        <w:rPr>
          <w:rFonts w:hint="eastAsia" w:ascii="宋体" w:hAnsi="宋体" w:cs="Times New Roman"/>
          <w:kern w:val="2"/>
          <w:sz w:val="21"/>
          <w:szCs w:val="21"/>
        </w:rPr>
        <w:t>个水平共</w:t>
      </w:r>
      <w:r>
        <w:rPr>
          <w:rFonts w:hint="eastAsia" w:ascii="宋体" w:hAnsi="宋体" w:cs="Times New Roman"/>
          <w:kern w:val="2"/>
          <w:sz w:val="21"/>
          <w:szCs w:val="21"/>
          <w:lang w:val="en-US" w:eastAsia="zh-CN"/>
        </w:rPr>
        <w:t>3</w:t>
      </w:r>
      <w:r>
        <w:rPr>
          <w:rFonts w:hint="eastAsia" w:ascii="宋体" w:hAnsi="宋体" w:cs="Times New Roman"/>
          <w:kern w:val="2"/>
          <w:sz w:val="21"/>
          <w:szCs w:val="21"/>
        </w:rPr>
        <w:t>个试验样品。</w:t>
      </w:r>
    </w:p>
    <w:p w14:paraId="25651AAB">
      <w:pPr>
        <w:spacing w:line="240" w:lineRule="auto"/>
        <w:ind w:firstLine="420" w:firstLineChars="200"/>
        <w:rPr>
          <w:rFonts w:hint="eastAsia" w:ascii="宋体" w:hAnsi="宋体" w:cs="Times New Roman"/>
          <w:kern w:val="2"/>
          <w:sz w:val="21"/>
          <w:szCs w:val="21"/>
          <w:highlight w:val="none"/>
        </w:rPr>
      </w:pPr>
      <w:r>
        <w:rPr>
          <w:rFonts w:hint="eastAsia" w:ascii="宋体" w:hAnsi="宋体" w:cs="Times New Roman"/>
          <w:kern w:val="2"/>
          <w:sz w:val="21"/>
          <w:szCs w:val="21"/>
        </w:rPr>
        <w:t>北矿检测技术股份有限公司在接到任务后立即组织技术人员成立了标准编制组，制定了该标准的研究内容、技术路线、任务分工和进度安排。</w:t>
      </w:r>
      <w:r>
        <w:rPr>
          <w:rFonts w:ascii="宋体" w:hAnsi="宋体" w:cs="Times New Roman"/>
          <w:kern w:val="2"/>
          <w:sz w:val="21"/>
          <w:szCs w:val="21"/>
          <w:highlight w:val="none"/>
        </w:rPr>
        <w:t>202</w:t>
      </w:r>
      <w:r>
        <w:rPr>
          <w:rFonts w:hint="eastAsia" w:ascii="宋体" w:hAnsi="宋体" w:cs="Times New Roman"/>
          <w:kern w:val="2"/>
          <w:sz w:val="21"/>
          <w:szCs w:val="21"/>
          <w:highlight w:val="none"/>
          <w:lang w:val="en-US" w:eastAsia="zh-CN"/>
        </w:rPr>
        <w:t>6</w:t>
      </w:r>
      <w:r>
        <w:rPr>
          <w:rFonts w:hint="eastAsia" w:ascii="宋体" w:hAnsi="宋体" w:cs="Times New Roman"/>
          <w:kern w:val="2"/>
          <w:sz w:val="21"/>
          <w:szCs w:val="21"/>
          <w:highlight w:val="none"/>
        </w:rPr>
        <w:t>年</w:t>
      </w:r>
      <w:r>
        <w:rPr>
          <w:rFonts w:hint="eastAsia" w:ascii="宋体" w:hAnsi="宋体" w:cs="Times New Roman"/>
          <w:kern w:val="2"/>
          <w:sz w:val="21"/>
          <w:szCs w:val="21"/>
          <w:highlight w:val="none"/>
          <w:lang w:val="en-US" w:eastAsia="zh-CN"/>
        </w:rPr>
        <w:t>6</w:t>
      </w:r>
      <w:r>
        <w:rPr>
          <w:rFonts w:hint="eastAsia" w:ascii="宋体" w:hAnsi="宋体" w:cs="Times New Roman"/>
          <w:kern w:val="2"/>
          <w:sz w:val="21"/>
          <w:szCs w:val="21"/>
          <w:highlight w:val="none"/>
        </w:rPr>
        <w:t>月</w:t>
      </w:r>
      <w:r>
        <w:rPr>
          <w:rFonts w:hint="eastAsia" w:ascii="宋体" w:hAnsi="宋体" w:cs="Times New Roman"/>
          <w:kern w:val="2"/>
          <w:sz w:val="21"/>
          <w:szCs w:val="21"/>
          <w:highlight w:val="none"/>
          <w:lang w:val="en-US" w:eastAsia="zh-CN"/>
        </w:rPr>
        <w:t>底</w:t>
      </w:r>
      <w:r>
        <w:rPr>
          <w:rFonts w:hint="eastAsia" w:ascii="宋体" w:hAnsi="宋体" w:cs="Times New Roman"/>
          <w:kern w:val="2"/>
          <w:sz w:val="21"/>
          <w:szCs w:val="21"/>
          <w:highlight w:val="none"/>
        </w:rPr>
        <w:t>将完成的试验报告发至各验证单位，各单位开始验证工作，反馈验证意见。</w:t>
      </w:r>
    </w:p>
    <w:p w14:paraId="2611D219">
      <w:p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rPr>
        <w:t>3.3.4 征求意见阶段</w:t>
      </w:r>
    </w:p>
    <w:p w14:paraId="2FB48001">
      <w:pPr>
        <w:spacing w:line="240" w:lineRule="auto"/>
        <w:rPr>
          <w:rFonts w:ascii="黑体" w:eastAsia="黑体" w:cs="Times New Roman"/>
          <w:b/>
          <w:bCs/>
          <w:kern w:val="2"/>
          <w:sz w:val="21"/>
          <w:szCs w:val="21"/>
        </w:rPr>
      </w:pPr>
      <w:r>
        <w:rPr>
          <w:rFonts w:hint="eastAsia" w:ascii="黑体" w:eastAsia="黑体" w:cs="Times New Roman"/>
          <w:b/>
          <w:bCs/>
          <w:kern w:val="2"/>
          <w:sz w:val="21"/>
          <w:szCs w:val="21"/>
        </w:rPr>
        <w:t>1）验证单位反馈意见</w:t>
      </w:r>
    </w:p>
    <w:p w14:paraId="233A161B">
      <w:pPr>
        <w:spacing w:line="240" w:lineRule="auto"/>
        <w:ind w:firstLine="420" w:firstLineChars="200"/>
        <w:jc w:val="left"/>
        <w:rPr>
          <w:rFonts w:hint="default" w:ascii="宋体" w:hAnsi="宋体" w:eastAsia="宋体" w:cs="Times New Roman"/>
          <w:kern w:val="2"/>
          <w:sz w:val="21"/>
          <w:szCs w:val="21"/>
          <w:highlight w:val="none"/>
          <w:lang w:val="en-US" w:eastAsia="zh-CN"/>
        </w:rPr>
      </w:pPr>
      <w:r>
        <w:rPr>
          <w:rFonts w:hint="eastAsia" w:ascii="宋体" w:hAnsi="宋体" w:cs="Times New Roman"/>
          <w:kern w:val="2"/>
          <w:sz w:val="21"/>
          <w:szCs w:val="21"/>
          <w:highlight w:val="none"/>
        </w:rPr>
        <w:t xml:space="preserve">a. </w:t>
      </w:r>
      <w:r>
        <w:rPr>
          <w:rFonts w:hint="eastAsia" w:ascii="宋体" w:hAnsi="宋体" w:cs="Times New Roman"/>
          <w:kern w:val="2"/>
          <w:sz w:val="21"/>
          <w:szCs w:val="21"/>
          <w:highlight w:val="none"/>
          <w:lang w:val="en-US" w:eastAsia="zh-CN"/>
        </w:rPr>
        <w:t>1#样品均匀性较差</w:t>
      </w:r>
      <w:r>
        <w:rPr>
          <w:rFonts w:hint="eastAsia" w:ascii="宋体" w:hAnsi="宋体" w:cs="Times New Roman"/>
          <w:kern w:val="2"/>
          <w:sz w:val="21"/>
          <w:szCs w:val="21"/>
          <w:highlight w:val="none"/>
        </w:rPr>
        <w:t>（有研亿金新材料有限公司）。</w:t>
      </w:r>
      <w:r>
        <w:rPr>
          <w:rFonts w:hint="eastAsia" w:ascii="宋体" w:hAnsi="宋体" w:cs="Times New Roman"/>
          <w:kern w:val="2"/>
          <w:sz w:val="21"/>
          <w:szCs w:val="21"/>
          <w:highlight w:val="none"/>
          <w:lang w:val="en-US" w:eastAsia="zh-CN"/>
        </w:rPr>
        <w:t>不采纳，根据各单位反馈数据，样品均匀性满足分析要求。</w:t>
      </w:r>
    </w:p>
    <w:p w14:paraId="6469552F">
      <w:pPr>
        <w:spacing w:line="240" w:lineRule="auto"/>
        <w:ind w:firstLine="420" w:firstLineChars="200"/>
        <w:jc w:val="left"/>
        <w:rPr>
          <w:rFonts w:hint="default"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b. 参考已审定的镍的国标，调整测定步骤（国标（北京）检验认证有限公司）。采纳，已调整。</w:t>
      </w:r>
    </w:p>
    <w:p w14:paraId="067B1D94">
      <w:pPr>
        <w:spacing w:line="240" w:lineRule="auto"/>
        <w:ind w:firstLine="420" w:firstLineChars="200"/>
        <w:jc w:val="left"/>
        <w:rPr>
          <w:rFonts w:hint="default"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c.重新计算2#、3#含量。标物已经比对，均满足其不确定度要求，测得含量仍有差距。（国标（北京）检验认证有限公司）。不采纳。2#、3#为配的组合样品，非均匀混合样品，样品质量应该按称取钴的试样量计算。</w:t>
      </w:r>
    </w:p>
    <w:p w14:paraId="5A008720">
      <w:pPr>
        <w:spacing w:line="240" w:lineRule="auto"/>
        <w:ind w:firstLine="420" w:firstLineChars="200"/>
        <w:jc w:val="left"/>
        <w:rPr>
          <w:rFonts w:hint="default" w:ascii="宋体" w:hAnsi="宋体" w:cs="Times New Roman"/>
          <w:kern w:val="2"/>
          <w:sz w:val="21"/>
          <w:szCs w:val="21"/>
          <w:highlight w:val="none"/>
          <w:lang w:val="en-US" w:eastAsia="zh-CN"/>
        </w:rPr>
      </w:pPr>
      <w:r>
        <w:rPr>
          <w:rFonts w:hint="eastAsia" w:ascii="宋体" w:hAnsi="宋体" w:cs="Times New Roman"/>
          <w:kern w:val="2"/>
          <w:sz w:val="21"/>
          <w:szCs w:val="21"/>
          <w:highlight w:val="none"/>
          <w:lang w:val="en-US" w:eastAsia="zh-CN"/>
        </w:rPr>
        <w:t>d.建议称样量提供测试范围，便于匹配标物（国标（北京）检验认证有限公司）。不采纳，称样量满足测试要求。</w:t>
      </w:r>
    </w:p>
    <w:p w14:paraId="485654BB">
      <w:pPr>
        <w:spacing w:line="240" w:lineRule="auto"/>
        <w:rPr>
          <w:rFonts w:ascii="黑体" w:eastAsia="黑体" w:cs="Times New Roman"/>
          <w:b/>
          <w:bCs/>
          <w:kern w:val="2"/>
          <w:sz w:val="21"/>
          <w:szCs w:val="21"/>
        </w:rPr>
      </w:pPr>
      <w:r>
        <w:rPr>
          <w:rFonts w:hint="eastAsia" w:ascii="黑体" w:eastAsia="黑体" w:cs="Times New Roman"/>
          <w:b/>
          <w:bCs/>
          <w:kern w:val="2"/>
          <w:sz w:val="21"/>
          <w:szCs w:val="21"/>
        </w:rPr>
        <w:t>2）预审会</w:t>
      </w:r>
    </w:p>
    <w:p w14:paraId="4D2F13D7">
      <w:pPr>
        <w:spacing w:line="240" w:lineRule="auto"/>
        <w:ind w:firstLine="420" w:firstLineChars="200"/>
        <w:rPr>
          <w:rFonts w:hint="eastAsia" w:ascii="宋体" w:hAnsi="宋体" w:cs="Times New Roman"/>
          <w:sz w:val="21"/>
          <w:szCs w:val="21"/>
        </w:rPr>
      </w:pPr>
      <w:r>
        <w:rPr>
          <w:rFonts w:hint="eastAsia" w:ascii="宋体" w:hAnsi="宋体" w:cs="Times New Roman"/>
          <w:sz w:val="21"/>
          <w:szCs w:val="21"/>
        </w:rPr>
        <w:t>202</w:t>
      </w:r>
      <w:r>
        <w:rPr>
          <w:rFonts w:hint="eastAsia" w:ascii="宋体" w:hAnsi="宋体" w:cs="Times New Roman"/>
          <w:sz w:val="21"/>
          <w:szCs w:val="21"/>
          <w:lang w:val="en-US" w:eastAsia="zh-CN"/>
        </w:rPr>
        <w:t>6</w:t>
      </w:r>
      <w:r>
        <w:rPr>
          <w:rFonts w:hint="eastAsia" w:ascii="宋体" w:hAnsi="宋体" w:cs="Times New Roman"/>
          <w:sz w:val="21"/>
          <w:szCs w:val="21"/>
        </w:rPr>
        <w:t>年</w:t>
      </w:r>
      <w:r>
        <w:rPr>
          <w:rFonts w:hint="eastAsia" w:ascii="宋体" w:hAnsi="宋体" w:cs="Times New Roman"/>
          <w:sz w:val="21"/>
          <w:szCs w:val="21"/>
          <w:lang w:val="en-US" w:eastAsia="zh-CN"/>
        </w:rPr>
        <w:t>8</w:t>
      </w:r>
      <w:r>
        <w:rPr>
          <w:rFonts w:hint="eastAsia" w:ascii="宋体" w:hAnsi="宋体" w:cs="Times New Roman"/>
          <w:sz w:val="21"/>
          <w:szCs w:val="21"/>
        </w:rPr>
        <w:t>月</w:t>
      </w:r>
      <w:r>
        <w:rPr>
          <w:rFonts w:hint="eastAsia" w:ascii="宋体" w:hAnsi="宋体" w:cs="Times New Roman"/>
          <w:sz w:val="21"/>
          <w:szCs w:val="21"/>
          <w:lang w:val="en-US" w:eastAsia="zh-CN"/>
        </w:rPr>
        <w:t>12</w:t>
      </w:r>
      <w:r>
        <w:rPr>
          <w:rFonts w:hint="eastAsia" w:ascii="宋体" w:hAnsi="宋体" w:cs="Times New Roman"/>
          <w:sz w:val="21"/>
          <w:szCs w:val="21"/>
        </w:rPr>
        <w:t>日～</w:t>
      </w:r>
      <w:r>
        <w:rPr>
          <w:rFonts w:hint="eastAsia" w:ascii="宋体" w:hAnsi="宋体" w:cs="Times New Roman"/>
          <w:sz w:val="21"/>
          <w:szCs w:val="21"/>
          <w:lang w:val="en-US" w:eastAsia="zh-CN"/>
        </w:rPr>
        <w:t>15</w:t>
      </w:r>
      <w:r>
        <w:rPr>
          <w:rFonts w:hint="eastAsia" w:ascii="宋体" w:hAnsi="宋体" w:cs="Times New Roman"/>
          <w:sz w:val="21"/>
          <w:szCs w:val="21"/>
        </w:rPr>
        <w:t>日，由全国有色金属标准化技术委员会组织，在</w:t>
      </w:r>
      <w:r>
        <w:rPr>
          <w:rFonts w:hint="eastAsia" w:ascii="宋体" w:hAnsi="宋体" w:cs="Times New Roman"/>
          <w:sz w:val="21"/>
          <w:szCs w:val="21"/>
          <w:lang w:val="en-US" w:eastAsia="zh-CN"/>
        </w:rPr>
        <w:t>内蒙古自治</w:t>
      </w:r>
      <w:r>
        <w:rPr>
          <w:rFonts w:hint="eastAsia" w:ascii="宋体" w:hAnsi="宋体" w:cs="Times New Roman"/>
          <w:sz w:val="21"/>
          <w:szCs w:val="21"/>
        </w:rPr>
        <w:t>区</w:t>
      </w:r>
      <w:r>
        <w:rPr>
          <w:rFonts w:hint="eastAsia" w:ascii="宋体" w:hAnsi="宋体" w:cs="Times New Roman"/>
          <w:sz w:val="21"/>
          <w:szCs w:val="21"/>
          <w:lang w:val="en-US" w:eastAsia="zh-CN"/>
        </w:rPr>
        <w:t>包头</w:t>
      </w:r>
      <w:r>
        <w:rPr>
          <w:rFonts w:hint="eastAsia" w:ascii="宋体" w:hAnsi="宋体" w:cs="Times New Roman"/>
          <w:sz w:val="21"/>
          <w:szCs w:val="21"/>
        </w:rPr>
        <w:t>市召开了《钴化学分析方法 第13部分：碳和硫含量的测定 高频感应炉燃烧红外吸收法》的标准预审会。北矿检测技术股份有限公司、金川集团股份有限公司、国标(北京)检验认证有限公司、中国有色桂林矿产地质研究院有限公司、大冶有色设计研究院有限公司、有研亿金新材料有限公司</w:t>
      </w:r>
      <w:r>
        <w:rPr>
          <w:rFonts w:hint="eastAsia" w:ascii="宋体" w:hAnsi="宋体" w:cs="Times New Roman"/>
          <w:sz w:val="21"/>
          <w:szCs w:val="21"/>
          <w:lang w:eastAsia="zh-CN"/>
        </w:rPr>
        <w:t>、</w:t>
      </w:r>
      <w:r>
        <w:rPr>
          <w:rFonts w:hint="eastAsia" w:ascii="宋体" w:hAnsi="宋体" w:cs="Times New Roman"/>
          <w:sz w:val="21"/>
          <w:szCs w:val="21"/>
        </w:rPr>
        <w:t>铜陵有色金属集团控股有限公司</w:t>
      </w:r>
      <w:r>
        <w:rPr>
          <w:rFonts w:hint="eastAsia" w:ascii="宋体" w:hAnsi="宋体" w:cs="Times New Roman"/>
          <w:sz w:val="21"/>
          <w:szCs w:val="21"/>
          <w:lang w:eastAsia="zh-CN"/>
        </w:rPr>
        <w:t>、</w:t>
      </w:r>
      <w:r>
        <w:rPr>
          <w:rFonts w:hint="eastAsia" w:ascii="宋体" w:hAnsi="宋体" w:cs="Times New Roman"/>
          <w:sz w:val="21"/>
          <w:szCs w:val="21"/>
        </w:rPr>
        <w:t>广东先导稀材股份有限公司等14家单位30多位专家参加了本次会议。会议对《钴化学分析方法 第13部分：碳和硫含量的测定 高频感应炉燃烧红外吸收法》的技术内容、标准讨论稿、试验报告及验证报告进行了详细的分析和讨论，对标准提出了如下意见：</w:t>
      </w:r>
    </w:p>
    <w:p w14:paraId="1FEC532E">
      <w:pPr>
        <w:spacing w:line="240" w:lineRule="auto"/>
        <w:ind w:firstLine="420" w:firstLineChars="200"/>
        <w:rPr>
          <w:rFonts w:hint="eastAsia" w:ascii="宋体" w:hAnsi="宋体" w:cs="Times New Roman"/>
          <w:sz w:val="21"/>
          <w:szCs w:val="21"/>
        </w:rPr>
      </w:pPr>
      <w:r>
        <w:rPr>
          <w:rFonts w:hint="eastAsia" w:ascii="宋体" w:hAnsi="宋体" w:cs="Times New Roman"/>
          <w:sz w:val="21"/>
          <w:szCs w:val="21"/>
        </w:rPr>
        <w:t>a.补充低含量碳（</w:t>
      </w:r>
      <w:r>
        <w:rPr>
          <w:rFonts w:hint="default" w:ascii="Times New Roman" w:hAnsi="Times New Roman" w:cs="Times New Roman"/>
          <w:sz w:val="21"/>
          <w:szCs w:val="21"/>
        </w:rPr>
        <w:t>0.00X%</w:t>
      </w:r>
      <w:r>
        <w:rPr>
          <w:rFonts w:hint="eastAsia" w:ascii="宋体" w:hAnsi="宋体" w:cs="Times New Roman"/>
          <w:sz w:val="21"/>
          <w:szCs w:val="21"/>
        </w:rPr>
        <w:t>）样品的称样量试验。采纳，</w:t>
      </w:r>
      <w:r>
        <w:rPr>
          <w:rFonts w:hint="eastAsia" w:ascii="宋体" w:hAnsi="宋体" w:cs="Times New Roman"/>
          <w:sz w:val="21"/>
          <w:szCs w:val="21"/>
          <w:lang w:val="en-US" w:eastAsia="zh-CN"/>
        </w:rPr>
        <w:t>后续补充</w:t>
      </w:r>
      <w:r>
        <w:rPr>
          <w:rFonts w:hint="eastAsia" w:ascii="宋体" w:hAnsi="宋体" w:cs="Times New Roman"/>
          <w:sz w:val="21"/>
          <w:szCs w:val="21"/>
        </w:rPr>
        <w:t>。</w:t>
      </w:r>
    </w:p>
    <w:p w14:paraId="2EA8A438">
      <w:pPr>
        <w:spacing w:line="240" w:lineRule="auto"/>
        <w:ind w:firstLine="420" w:firstLineChars="200"/>
        <w:rPr>
          <w:rFonts w:hint="eastAsia" w:ascii="宋体" w:hAnsi="宋体" w:eastAsia="宋体" w:cs="Times New Roman"/>
          <w:sz w:val="21"/>
          <w:szCs w:val="21"/>
          <w:lang w:eastAsia="zh-CN"/>
        </w:rPr>
      </w:pPr>
      <w:r>
        <w:rPr>
          <w:rFonts w:hint="eastAsia" w:ascii="宋体" w:hAnsi="宋体" w:cs="Times New Roman"/>
          <w:sz w:val="21"/>
          <w:szCs w:val="21"/>
        </w:rPr>
        <w:t>b.参照已发布的相关标准，修改文本表述和格式</w:t>
      </w:r>
      <w:r>
        <w:rPr>
          <w:rFonts w:hint="eastAsia" w:ascii="宋体" w:hAnsi="宋体" w:cs="Times New Roman"/>
          <w:sz w:val="21"/>
          <w:szCs w:val="21"/>
          <w:lang w:eastAsia="zh-CN"/>
        </w:rPr>
        <w:t>。</w:t>
      </w:r>
      <w:r>
        <w:rPr>
          <w:rFonts w:hint="eastAsia" w:ascii="宋体" w:hAnsi="宋体" w:cs="Times New Roman"/>
          <w:sz w:val="21"/>
          <w:szCs w:val="21"/>
        </w:rPr>
        <w:t>采纳，</w:t>
      </w:r>
      <w:r>
        <w:rPr>
          <w:rFonts w:hint="eastAsia" w:ascii="宋体" w:hAnsi="宋体" w:cs="Times New Roman"/>
          <w:sz w:val="21"/>
          <w:szCs w:val="21"/>
          <w:lang w:val="en-US" w:eastAsia="zh-CN"/>
        </w:rPr>
        <w:t>已修改</w:t>
      </w:r>
      <w:r>
        <w:rPr>
          <w:rFonts w:hint="eastAsia" w:ascii="宋体" w:hAnsi="宋体" w:cs="Times New Roman"/>
          <w:sz w:val="21"/>
          <w:szCs w:val="21"/>
        </w:rPr>
        <w:t>。</w:t>
      </w:r>
    </w:p>
    <w:p w14:paraId="3AEDB866">
      <w:pPr>
        <w:spacing w:line="240" w:lineRule="auto"/>
        <w:ind w:firstLine="420" w:firstLineChars="200"/>
        <w:rPr>
          <w:rFonts w:hint="default" w:ascii="宋体" w:hAnsi="宋体" w:eastAsia="宋体" w:cs="Times New Roman"/>
          <w:sz w:val="21"/>
          <w:szCs w:val="21"/>
          <w:lang w:val="en-US" w:eastAsia="zh-CN"/>
        </w:rPr>
      </w:pPr>
      <w:r>
        <w:rPr>
          <w:rFonts w:hint="eastAsia" w:ascii="宋体" w:hAnsi="宋体" w:cs="Times New Roman"/>
          <w:sz w:val="21"/>
          <w:szCs w:val="21"/>
        </w:rPr>
        <w:t>c.与国标北京沟通，重新做精密度数据。</w:t>
      </w:r>
      <w:r>
        <w:rPr>
          <w:rFonts w:hint="eastAsia" w:ascii="宋体" w:hAnsi="宋体" w:cs="Times New Roman"/>
          <w:sz w:val="21"/>
          <w:szCs w:val="21"/>
          <w:lang w:val="en-US" w:eastAsia="zh-CN"/>
        </w:rPr>
        <w:t>采纳，已沟通，已重新计算精密度数据。</w:t>
      </w:r>
    </w:p>
    <w:p w14:paraId="2CFA9C38">
      <w:pPr>
        <w:spacing w:line="240" w:lineRule="auto"/>
        <w:ind w:firstLine="420" w:firstLineChars="200"/>
        <w:rPr>
          <w:rFonts w:hint="eastAsia" w:ascii="宋体" w:hAnsi="宋体" w:cs="Times New Roman"/>
          <w:sz w:val="21"/>
          <w:szCs w:val="21"/>
        </w:rPr>
      </w:pPr>
      <w:r>
        <w:rPr>
          <w:rFonts w:hint="eastAsia" w:ascii="宋体" w:hAnsi="宋体" w:cs="Times New Roman"/>
          <w:sz w:val="21"/>
          <w:szCs w:val="21"/>
        </w:rPr>
        <w:t>d.完善编制说明，尤其是R和r。采纳，</w:t>
      </w:r>
      <w:r>
        <w:rPr>
          <w:rFonts w:hint="eastAsia" w:ascii="宋体" w:hAnsi="宋体" w:cs="Times New Roman"/>
          <w:sz w:val="21"/>
          <w:szCs w:val="21"/>
          <w:lang w:val="en-US" w:eastAsia="zh-CN"/>
        </w:rPr>
        <w:t>已完善</w:t>
      </w:r>
      <w:r>
        <w:rPr>
          <w:rFonts w:hint="eastAsia" w:ascii="宋体" w:hAnsi="宋体" w:cs="Times New Roman"/>
          <w:sz w:val="21"/>
          <w:szCs w:val="21"/>
        </w:rPr>
        <w:t>。</w:t>
      </w:r>
    </w:p>
    <w:p w14:paraId="6238F2DF">
      <w:pPr>
        <w:widowControl/>
        <w:numPr>
          <w:ilvl w:val="0"/>
          <w:numId w:val="0"/>
        </w:numPr>
        <w:spacing w:line="240" w:lineRule="auto"/>
        <w:jc w:val="left"/>
        <w:rPr>
          <w:rFonts w:hint="eastAsia" w:ascii="宋体" w:hAnsi="宋体" w:cs="Times New Roman"/>
          <w:sz w:val="21"/>
          <w:szCs w:val="21"/>
        </w:rPr>
      </w:pPr>
      <w:r>
        <w:rPr>
          <w:rFonts w:hint="eastAsia" w:ascii="黑体" w:eastAsia="黑体" w:cs="Times New Roman"/>
          <w:b/>
          <w:bCs/>
          <w:kern w:val="2"/>
          <w:sz w:val="21"/>
          <w:szCs w:val="21"/>
        </w:rPr>
        <w:t>3）补充样品后验证单位反馈意见</w:t>
      </w:r>
    </w:p>
    <w:p w14:paraId="7BA69D0D">
      <w:pPr>
        <w:numPr>
          <w:ilvl w:val="-1"/>
          <w:numId w:val="0"/>
        </w:num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lang w:val="en-US" w:eastAsia="zh-CN"/>
        </w:rPr>
        <w:t>4）</w:t>
      </w:r>
      <w:r>
        <w:rPr>
          <w:rFonts w:hint="eastAsia" w:ascii="黑体" w:eastAsia="黑体" w:cs="Times New Roman"/>
          <w:b/>
          <w:bCs/>
          <w:kern w:val="2"/>
          <w:sz w:val="21"/>
          <w:szCs w:val="21"/>
        </w:rPr>
        <w:t>发函征求意见</w:t>
      </w:r>
    </w:p>
    <w:p w14:paraId="658267F7">
      <w:pPr>
        <w:widowControl w:val="0"/>
        <w:numPr>
          <w:ilvl w:val="0"/>
          <w:numId w:val="0"/>
        </w:numPr>
        <w:spacing w:line="240" w:lineRule="auto"/>
        <w:jc w:val="both"/>
        <w:rPr>
          <w:rFonts w:hint="eastAsia" w:ascii="黑体" w:eastAsia="黑体" w:cs="Times New Roman"/>
          <w:b/>
          <w:bCs/>
          <w:kern w:val="2"/>
          <w:sz w:val="21"/>
          <w:szCs w:val="21"/>
        </w:rPr>
      </w:pPr>
    </w:p>
    <w:p w14:paraId="4B939147">
      <w:pPr>
        <w:widowControl w:val="0"/>
        <w:numPr>
          <w:ilvl w:val="0"/>
          <w:numId w:val="0"/>
        </w:numPr>
        <w:spacing w:line="240" w:lineRule="auto"/>
        <w:jc w:val="both"/>
        <w:rPr>
          <w:rFonts w:hint="eastAsia" w:ascii="黑体" w:eastAsia="黑体" w:cs="Times New Roman"/>
          <w:b/>
          <w:bCs/>
          <w:kern w:val="2"/>
          <w:sz w:val="21"/>
          <w:szCs w:val="21"/>
        </w:rPr>
      </w:pPr>
    </w:p>
    <w:p w14:paraId="20E4EB41">
      <w:p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rPr>
        <w:t>3.3.5 审查阶段</w:t>
      </w:r>
    </w:p>
    <w:p w14:paraId="0B7E8AD6">
      <w:pPr>
        <w:spacing w:line="240" w:lineRule="auto"/>
        <w:rPr>
          <w:rFonts w:ascii="黑体" w:eastAsia="黑体" w:cs="Times New Roman"/>
          <w:b/>
          <w:bCs/>
          <w:kern w:val="2"/>
          <w:sz w:val="21"/>
          <w:szCs w:val="21"/>
        </w:rPr>
      </w:pPr>
      <w:r>
        <w:rPr>
          <w:rFonts w:hint="eastAsia" w:ascii="黑体" w:eastAsia="黑体" w:cs="Times New Roman"/>
          <w:b/>
          <w:bCs/>
          <w:kern w:val="2"/>
          <w:sz w:val="21"/>
          <w:szCs w:val="21"/>
        </w:rPr>
        <w:t>1）技术专家审查</w:t>
      </w:r>
    </w:p>
    <w:p w14:paraId="25300C79">
      <w:pPr>
        <w:spacing w:line="240" w:lineRule="auto"/>
        <w:rPr>
          <w:rFonts w:hint="eastAsia" w:ascii="黑体" w:eastAsia="黑体" w:cs="Times New Roman"/>
          <w:b/>
          <w:bCs/>
          <w:kern w:val="2"/>
          <w:sz w:val="21"/>
          <w:szCs w:val="21"/>
        </w:rPr>
      </w:pPr>
    </w:p>
    <w:p w14:paraId="5E19BA45">
      <w:pPr>
        <w:spacing w:line="240" w:lineRule="auto"/>
        <w:rPr>
          <w:rFonts w:hint="eastAsia" w:ascii="黑体" w:eastAsia="黑体" w:cs="Times New Roman"/>
          <w:b/>
          <w:bCs/>
          <w:kern w:val="2"/>
          <w:sz w:val="21"/>
          <w:szCs w:val="21"/>
        </w:rPr>
      </w:pPr>
    </w:p>
    <w:p w14:paraId="29CB2F0C">
      <w:pPr>
        <w:spacing w:line="240" w:lineRule="auto"/>
        <w:rPr>
          <w:rFonts w:hint="eastAsia" w:ascii="黑体" w:eastAsia="黑体" w:cs="Times New Roman"/>
          <w:b/>
          <w:bCs/>
          <w:kern w:val="2"/>
          <w:sz w:val="21"/>
          <w:szCs w:val="21"/>
        </w:rPr>
      </w:pPr>
    </w:p>
    <w:p w14:paraId="5981013B">
      <w:p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rPr>
        <w:t>2）委员审查阶段：</w:t>
      </w:r>
    </w:p>
    <w:p w14:paraId="4A7C6133">
      <w:pPr>
        <w:widowControl/>
        <w:autoSpaceDE w:val="0"/>
        <w:autoSpaceDN w:val="0"/>
        <w:spacing w:line="240" w:lineRule="auto"/>
        <w:ind w:firstLine="420" w:firstLineChars="200"/>
        <w:rPr>
          <w:rFonts w:ascii="宋体" w:hAnsi="宋体" w:cs="Times New Roman"/>
          <w:color w:val="FF0000"/>
          <w:sz w:val="21"/>
          <w:szCs w:val="20"/>
        </w:rPr>
      </w:pPr>
    </w:p>
    <w:p w14:paraId="7B8D0293">
      <w:pPr>
        <w:widowControl/>
        <w:autoSpaceDE w:val="0"/>
        <w:autoSpaceDN w:val="0"/>
        <w:spacing w:line="240" w:lineRule="auto"/>
        <w:ind w:firstLine="420" w:firstLineChars="200"/>
        <w:rPr>
          <w:rFonts w:ascii="宋体" w:hAnsi="宋体" w:cs="Times New Roman"/>
          <w:color w:val="FF0000"/>
          <w:sz w:val="21"/>
          <w:szCs w:val="20"/>
        </w:rPr>
      </w:pPr>
    </w:p>
    <w:p w14:paraId="08AE6C10">
      <w:pPr>
        <w:widowControl/>
        <w:autoSpaceDE w:val="0"/>
        <w:autoSpaceDN w:val="0"/>
        <w:spacing w:line="240" w:lineRule="auto"/>
        <w:ind w:firstLine="420" w:firstLineChars="200"/>
        <w:rPr>
          <w:rFonts w:hint="eastAsia" w:ascii="宋体" w:hAnsi="宋体" w:cs="Times New Roman"/>
          <w:color w:val="FF0000"/>
          <w:sz w:val="21"/>
          <w:szCs w:val="20"/>
        </w:rPr>
      </w:pPr>
    </w:p>
    <w:p w14:paraId="646AA1F6">
      <w:p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rPr>
        <w:t>3.3.6 委员电子投票阶段</w:t>
      </w:r>
    </w:p>
    <w:p w14:paraId="03705FE4">
      <w:pPr>
        <w:spacing w:line="240" w:lineRule="auto"/>
        <w:rPr>
          <w:rFonts w:hint="eastAsia" w:ascii="黑体" w:eastAsia="黑体" w:cs="Times New Roman"/>
          <w:b/>
          <w:bCs/>
          <w:kern w:val="2"/>
          <w:sz w:val="21"/>
          <w:szCs w:val="21"/>
        </w:rPr>
      </w:pPr>
    </w:p>
    <w:p w14:paraId="067CA3F5">
      <w:pPr>
        <w:spacing w:line="240" w:lineRule="auto"/>
        <w:rPr>
          <w:rFonts w:hint="eastAsia" w:ascii="黑体" w:eastAsia="黑体" w:cs="Times New Roman"/>
          <w:b/>
          <w:bCs/>
          <w:kern w:val="2"/>
          <w:sz w:val="21"/>
          <w:szCs w:val="21"/>
        </w:rPr>
      </w:pPr>
      <w:r>
        <w:rPr>
          <w:rFonts w:hint="eastAsia" w:ascii="黑体" w:eastAsia="黑体" w:cs="Times New Roman"/>
          <w:b/>
          <w:bCs/>
          <w:kern w:val="2"/>
          <w:sz w:val="21"/>
          <w:szCs w:val="21"/>
        </w:rPr>
        <w:t>3.3.7 报批阶段</w:t>
      </w:r>
    </w:p>
    <w:p w14:paraId="32D91314">
      <w:pPr>
        <w:spacing w:line="240" w:lineRule="auto"/>
        <w:ind w:firstLine="420" w:firstLineChars="200"/>
        <w:rPr>
          <w:rFonts w:hint="eastAsia" w:ascii="宋体" w:hAnsi="Courier New" w:cs="Times New Roman"/>
          <w:kern w:val="2"/>
          <w:sz w:val="21"/>
          <w:szCs w:val="21"/>
        </w:rPr>
      </w:pPr>
    </w:p>
    <w:p w14:paraId="78B02959">
      <w:pPr>
        <w:spacing w:line="240" w:lineRule="auto"/>
        <w:ind w:firstLine="420" w:firstLineChars="200"/>
        <w:rPr>
          <w:rFonts w:hint="eastAsia" w:ascii="宋体" w:hAnsi="Courier New" w:cs="Times New Roman"/>
          <w:kern w:val="2"/>
          <w:sz w:val="21"/>
          <w:szCs w:val="21"/>
        </w:rPr>
      </w:pPr>
    </w:p>
    <w:p w14:paraId="4E68D5DE">
      <w:pPr>
        <w:keepNext/>
        <w:keepLines/>
        <w:spacing w:before="10" w:after="10" w:line="240" w:lineRule="auto"/>
        <w:outlineLvl w:val="1"/>
        <w:rPr>
          <w:rFonts w:eastAsia="黑体" w:cs="Times New Roman"/>
          <w:b/>
          <w:sz w:val="28"/>
          <w:szCs w:val="28"/>
        </w:rPr>
      </w:pPr>
      <w:bookmarkStart w:id="5" w:name="_Hlk197351118"/>
      <w:r>
        <w:rPr>
          <w:rFonts w:hint="eastAsia" w:eastAsia="黑体" w:cs="Times New Roman"/>
          <w:b/>
          <w:sz w:val="28"/>
          <w:szCs w:val="28"/>
        </w:rPr>
        <w:t>二、标准编制原则、主要内容及其确定依据</w:t>
      </w:r>
    </w:p>
    <w:p w14:paraId="64DF5758">
      <w:pPr>
        <w:widowControl/>
        <w:tabs>
          <w:tab w:val="left" w:pos="675"/>
        </w:tabs>
        <w:spacing w:before="163" w:beforeLines="50" w:after="163" w:afterLines="50" w:line="240" w:lineRule="auto"/>
        <w:outlineLvl w:val="1"/>
        <w:rPr>
          <w:rFonts w:hint="eastAsia" w:eastAsia="黑体" w:cs="Times New Roman"/>
          <w:szCs w:val="20"/>
        </w:rPr>
      </w:pPr>
      <w:bookmarkStart w:id="6" w:name="_Hlk197354974"/>
      <w:r>
        <w:rPr>
          <w:rFonts w:hint="eastAsia" w:eastAsia="黑体" w:cs="Times New Roman"/>
          <w:szCs w:val="20"/>
        </w:rPr>
        <w:t>一）标准编制原则</w:t>
      </w:r>
    </w:p>
    <w:bookmarkEnd w:id="6"/>
    <w:p w14:paraId="318D9B2B">
      <w:pPr>
        <w:tabs>
          <w:tab w:val="center" w:pos="5086"/>
        </w:tabs>
        <w:spacing w:line="240" w:lineRule="auto"/>
        <w:ind w:firstLine="420" w:firstLineChars="200"/>
        <w:rPr>
          <w:rFonts w:ascii="宋体" w:hAnsi="宋体" w:cs="Times New Roman"/>
          <w:kern w:val="2"/>
          <w:sz w:val="21"/>
          <w:szCs w:val="21"/>
        </w:rPr>
      </w:pPr>
      <w:r>
        <w:rPr>
          <w:rFonts w:hint="eastAsia" w:ascii="宋体" w:hAnsi="宋体" w:cs="Times New Roman"/>
          <w:kern w:val="2"/>
          <w:sz w:val="21"/>
          <w:szCs w:val="21"/>
        </w:rPr>
        <w:t>符合性：本标准严格根据</w:t>
      </w:r>
      <w:r>
        <w:rPr>
          <w:rFonts w:ascii="宋体" w:hAnsi="宋体" w:cs="Times New Roman"/>
          <w:kern w:val="2"/>
          <w:sz w:val="21"/>
          <w:szCs w:val="21"/>
        </w:rPr>
        <w:t>GB/T 1.1-2020</w:t>
      </w:r>
      <w:r>
        <w:rPr>
          <w:rFonts w:hint="eastAsia" w:ascii="宋体" w:hAnsi="宋体" w:cs="Times New Roman"/>
          <w:kern w:val="2"/>
          <w:sz w:val="21"/>
          <w:szCs w:val="21"/>
        </w:rPr>
        <w:t>《标准化工作导则第</w:t>
      </w:r>
      <w:r>
        <w:rPr>
          <w:rFonts w:ascii="宋体" w:hAnsi="宋体" w:cs="Times New Roman"/>
          <w:kern w:val="2"/>
          <w:sz w:val="21"/>
          <w:szCs w:val="21"/>
        </w:rPr>
        <w:t>1</w:t>
      </w:r>
      <w:r>
        <w:rPr>
          <w:rFonts w:hint="eastAsia" w:ascii="宋体" w:hAnsi="宋体" w:cs="Times New Roman"/>
          <w:kern w:val="2"/>
          <w:sz w:val="21"/>
          <w:szCs w:val="21"/>
        </w:rPr>
        <w:t>部分</w:t>
      </w:r>
      <w:r>
        <w:rPr>
          <w:rFonts w:ascii="宋体" w:hAnsi="宋体" w:cs="Times New Roman"/>
          <w:kern w:val="2"/>
          <w:sz w:val="21"/>
          <w:szCs w:val="21"/>
        </w:rPr>
        <w:t>:</w:t>
      </w:r>
      <w:r>
        <w:rPr>
          <w:rFonts w:hint="eastAsia" w:ascii="宋体" w:hAnsi="宋体" w:cs="Times New Roman"/>
          <w:kern w:val="2"/>
          <w:sz w:val="21"/>
          <w:szCs w:val="21"/>
        </w:rPr>
        <w:t>标准化文件的结构和起草规则》和</w:t>
      </w:r>
      <w:r>
        <w:rPr>
          <w:rFonts w:ascii="宋体" w:hAnsi="宋体" w:cs="Times New Roman"/>
          <w:kern w:val="2"/>
          <w:sz w:val="21"/>
          <w:szCs w:val="21"/>
        </w:rPr>
        <w:t>GB/T 20001.4-2015</w:t>
      </w:r>
      <w:r>
        <w:rPr>
          <w:rFonts w:hint="eastAsia" w:ascii="宋体" w:hAnsi="宋体" w:cs="Times New Roman"/>
          <w:kern w:val="2"/>
          <w:sz w:val="21"/>
          <w:szCs w:val="21"/>
        </w:rPr>
        <w:t>《标准编写规则第</w:t>
      </w:r>
      <w:r>
        <w:rPr>
          <w:rFonts w:ascii="宋体" w:hAnsi="宋体" w:cs="Times New Roman"/>
          <w:kern w:val="2"/>
          <w:sz w:val="21"/>
          <w:szCs w:val="21"/>
        </w:rPr>
        <w:t>4</w:t>
      </w:r>
      <w:r>
        <w:rPr>
          <w:rFonts w:hint="eastAsia" w:ascii="宋体" w:hAnsi="宋体" w:cs="Times New Roman"/>
          <w:kern w:val="2"/>
          <w:sz w:val="21"/>
          <w:szCs w:val="21"/>
        </w:rPr>
        <w:t>部分：试验方法标准》的要求进行编写；并按照</w:t>
      </w:r>
      <w:r>
        <w:rPr>
          <w:rFonts w:ascii="宋体" w:hAnsi="宋体" w:cs="Times New Roman"/>
          <w:kern w:val="2"/>
          <w:sz w:val="21"/>
          <w:szCs w:val="21"/>
        </w:rPr>
        <w:t>GB/T 6379.2-2004</w:t>
      </w:r>
      <w:r>
        <w:rPr>
          <w:rFonts w:hint="eastAsia" w:ascii="宋体" w:hAnsi="宋体" w:cs="Times New Roman"/>
          <w:kern w:val="2"/>
          <w:sz w:val="21"/>
          <w:szCs w:val="21"/>
        </w:rPr>
        <w:t>《测量方法与结果的准确度》进行数理统计分析。</w:t>
      </w:r>
    </w:p>
    <w:bookmarkEnd w:id="5"/>
    <w:p w14:paraId="4A633528">
      <w:pPr>
        <w:widowControl/>
        <w:tabs>
          <w:tab w:val="left" w:pos="675"/>
        </w:tabs>
        <w:spacing w:before="163" w:beforeLines="50" w:after="163" w:afterLines="50" w:line="240" w:lineRule="auto"/>
        <w:outlineLvl w:val="1"/>
        <w:rPr>
          <w:rFonts w:eastAsia="黑体" w:cs="Times New Roman"/>
          <w:szCs w:val="20"/>
        </w:rPr>
      </w:pPr>
      <w:r>
        <w:rPr>
          <w:rFonts w:hint="eastAsia" w:eastAsia="黑体" w:cs="Times New Roman"/>
          <w:szCs w:val="20"/>
        </w:rPr>
        <w:t>二）标准主要内容及其确定依据</w:t>
      </w:r>
    </w:p>
    <w:p w14:paraId="75D3D07C">
      <w:pPr>
        <w:spacing w:line="240" w:lineRule="auto"/>
        <w:ind w:firstLine="420" w:firstLineChars="200"/>
        <w:rPr>
          <w:rFonts w:cs="Times New Roman"/>
          <w:kern w:val="2"/>
          <w:sz w:val="21"/>
          <w:szCs w:val="21"/>
        </w:rPr>
      </w:pPr>
      <w:r>
        <w:rPr>
          <w:rFonts w:hint="eastAsia" w:ascii="宋体" w:hAnsi="宋体" w:cs="Times New Roman"/>
          <w:kern w:val="2"/>
          <w:sz w:val="21"/>
          <w:szCs w:val="21"/>
        </w:rPr>
        <w:t>测定范围：本部分</w:t>
      </w:r>
      <w:r>
        <w:rPr>
          <w:rFonts w:cs="Times New Roman"/>
          <w:kern w:val="2"/>
          <w:sz w:val="21"/>
          <w:szCs w:val="21"/>
        </w:rPr>
        <w:t>适用于</w:t>
      </w:r>
      <w:r>
        <w:rPr>
          <w:rFonts w:hint="eastAsia" w:cs="Times New Roman"/>
          <w:kern w:val="2"/>
          <w:sz w:val="21"/>
          <w:szCs w:val="21"/>
        </w:rPr>
        <w:t>钴中碳和硫含量的测定</w:t>
      </w:r>
      <w:r>
        <w:rPr>
          <w:rFonts w:cs="Times New Roman"/>
          <w:kern w:val="2"/>
          <w:sz w:val="21"/>
          <w:szCs w:val="21"/>
        </w:rPr>
        <w:t>。</w:t>
      </w:r>
      <w:r>
        <w:rPr>
          <w:rFonts w:hint="eastAsia" w:cs="Times New Roman"/>
          <w:kern w:val="2"/>
          <w:sz w:val="21"/>
          <w:szCs w:val="21"/>
        </w:rPr>
        <w:t>测定范围（质量分数）：碳0.0040％～0.20％</w:t>
      </w:r>
      <w:r>
        <w:rPr>
          <w:rFonts w:hint="eastAsia" w:cs="Times New Roman"/>
          <w:kern w:val="2"/>
          <w:sz w:val="21"/>
          <w:szCs w:val="21"/>
          <w:lang w:eastAsia="zh-CN"/>
        </w:rPr>
        <w:t>；</w:t>
      </w:r>
      <w:r>
        <w:rPr>
          <w:rFonts w:hint="eastAsia" w:cs="Times New Roman"/>
          <w:kern w:val="2"/>
          <w:sz w:val="21"/>
          <w:szCs w:val="21"/>
        </w:rPr>
        <w:t>硫0.00050％～0.050％。</w:t>
      </w:r>
    </w:p>
    <w:p w14:paraId="4E301206">
      <w:pPr>
        <w:spacing w:line="240" w:lineRule="auto"/>
        <w:ind w:firstLine="420" w:firstLineChars="200"/>
        <w:rPr>
          <w:rFonts w:hint="eastAsia" w:cs="Times New Roman"/>
          <w:kern w:val="2"/>
          <w:sz w:val="21"/>
          <w:szCs w:val="21"/>
        </w:rPr>
      </w:pPr>
      <w:r>
        <w:rPr>
          <w:rFonts w:hint="eastAsia" w:ascii="宋体" w:hAnsi="宋体" w:cs="Times New Roman"/>
          <w:kern w:val="2"/>
          <w:sz w:val="21"/>
          <w:szCs w:val="21"/>
        </w:rPr>
        <w:t>主要原理：</w:t>
      </w:r>
      <w:r>
        <w:rPr>
          <w:rFonts w:hint="eastAsia"/>
        </w:rPr>
        <w:t>试料在助熔剂和氧气流作用下，于高频感应炉中燃烧，</w:t>
      </w:r>
      <w:r>
        <w:t>碳</w:t>
      </w:r>
      <w:r>
        <w:rPr>
          <w:rFonts w:hint="eastAsia"/>
        </w:rPr>
        <w:t>、硫分别</w:t>
      </w:r>
      <w:r>
        <w:t>生成二氧化碳</w:t>
      </w:r>
      <w:r>
        <w:rPr>
          <w:rFonts w:hint="eastAsia"/>
        </w:rPr>
        <w:t>、二氧化硫</w:t>
      </w:r>
      <w:r>
        <w:t>气体进入红外吸收池，仪器自动</w:t>
      </w:r>
      <w:r>
        <w:rPr>
          <w:rFonts w:hint="eastAsia"/>
        </w:rPr>
        <w:t>测量</w:t>
      </w:r>
      <w:r>
        <w:t>其对红外能的吸收</w:t>
      </w:r>
      <w:r>
        <w:rPr>
          <w:rFonts w:hint="eastAsia"/>
          <w:lang w:eastAsia="zh-CN"/>
        </w:rPr>
        <w:t>，</w:t>
      </w:r>
      <w:r>
        <w:rPr>
          <w:rFonts w:hint="eastAsia"/>
          <w:lang w:val="en-US" w:eastAsia="zh-CN"/>
        </w:rPr>
        <w:t>碳、硫含量的分析结果由显示器以百分含量直接显示</w:t>
      </w:r>
      <w:r>
        <w:t>。</w:t>
      </w:r>
    </w:p>
    <w:p w14:paraId="683C3322">
      <w:pPr>
        <w:spacing w:line="240" w:lineRule="auto"/>
        <w:ind w:firstLine="420" w:firstLineChars="200"/>
        <w:rPr>
          <w:rFonts w:hint="eastAsia" w:ascii="黑体" w:hAnsi="黑体" w:eastAsia="黑体" w:cs="宋体"/>
          <w:kern w:val="2"/>
          <w:sz w:val="21"/>
          <w:szCs w:val="21"/>
        </w:rPr>
      </w:pPr>
      <w:r>
        <w:rPr>
          <w:rFonts w:hint="eastAsia" w:ascii="宋体" w:hAnsi="宋体" w:cs="Times New Roman"/>
          <w:kern w:val="2"/>
          <w:sz w:val="21"/>
          <w:szCs w:val="21"/>
        </w:rPr>
        <w:t>本部分进行的条件试验包括：</w:t>
      </w:r>
      <w:r>
        <w:rPr>
          <w:rFonts w:hint="eastAsia" w:ascii="宋体" w:hAnsi="宋体" w:cs="Times New Roman"/>
          <w:kern w:val="2"/>
          <w:sz w:val="21"/>
          <w:szCs w:val="21"/>
          <w:lang w:val="en-US" w:eastAsia="zh-CN"/>
        </w:rPr>
        <w:t>助熔剂的用量</w:t>
      </w:r>
      <w:r>
        <w:rPr>
          <w:rFonts w:hint="eastAsia" w:ascii="宋体" w:hAnsi="宋体" w:cs="Times New Roman"/>
          <w:kern w:val="2"/>
          <w:sz w:val="21"/>
          <w:szCs w:val="21"/>
        </w:rPr>
        <w:t>试验、</w:t>
      </w:r>
      <w:r>
        <w:rPr>
          <w:rFonts w:hint="eastAsia" w:ascii="宋体" w:hAnsi="宋体" w:cs="Times New Roman"/>
          <w:kern w:val="2"/>
          <w:sz w:val="21"/>
          <w:szCs w:val="21"/>
          <w:lang w:val="en-US" w:eastAsia="zh-CN"/>
        </w:rPr>
        <w:t>助熔剂的加入顺序</w:t>
      </w:r>
      <w:r>
        <w:rPr>
          <w:rFonts w:hint="eastAsia" w:ascii="宋体" w:hAnsi="宋体" w:cs="Times New Roman"/>
          <w:kern w:val="2"/>
          <w:sz w:val="21"/>
          <w:szCs w:val="21"/>
        </w:rPr>
        <w:t>试验、</w:t>
      </w:r>
      <w:r>
        <w:rPr>
          <w:rFonts w:hint="eastAsia" w:ascii="宋体" w:hAnsi="宋体" w:cs="Times New Roman"/>
          <w:kern w:val="2"/>
          <w:sz w:val="21"/>
          <w:szCs w:val="21"/>
          <w:lang w:val="en-US" w:eastAsia="zh-CN"/>
        </w:rPr>
        <w:t>称样</w:t>
      </w:r>
      <w:r>
        <w:rPr>
          <w:rFonts w:hint="eastAsia" w:ascii="宋体" w:hAnsi="宋体" w:cs="Times New Roman"/>
          <w:kern w:val="2"/>
          <w:sz w:val="21"/>
          <w:szCs w:val="21"/>
        </w:rPr>
        <w:t>量试验</w:t>
      </w:r>
      <w:r>
        <w:rPr>
          <w:rFonts w:hint="eastAsia" w:ascii="宋体" w:hAnsi="宋体" w:cs="Times New Roman"/>
          <w:kern w:val="2"/>
          <w:sz w:val="21"/>
          <w:szCs w:val="21"/>
          <w:lang w:eastAsia="zh-CN"/>
        </w:rPr>
        <w:t>、方法检出限和测定下限</w:t>
      </w:r>
      <w:r>
        <w:rPr>
          <w:rFonts w:hint="eastAsia" w:ascii="宋体" w:hAnsi="宋体" w:cs="Times New Roman"/>
          <w:kern w:val="2"/>
          <w:sz w:val="21"/>
          <w:szCs w:val="21"/>
          <w:lang w:val="en-US" w:eastAsia="zh-CN"/>
        </w:rPr>
        <w:t>试验</w:t>
      </w:r>
      <w:r>
        <w:rPr>
          <w:rFonts w:hint="eastAsia" w:ascii="宋体" w:hAnsi="宋体" w:cs="Times New Roman"/>
          <w:kern w:val="2"/>
          <w:sz w:val="21"/>
          <w:szCs w:val="21"/>
        </w:rPr>
        <w:t>。通过以上条件试验确定了试验条件。</w:t>
      </w:r>
    </w:p>
    <w:p w14:paraId="66E293CA">
      <w:pPr>
        <w:widowControl/>
        <w:tabs>
          <w:tab w:val="left" w:pos="675"/>
        </w:tabs>
        <w:spacing w:before="163" w:beforeLines="50" w:after="163" w:afterLines="50" w:line="240" w:lineRule="auto"/>
        <w:outlineLvl w:val="1"/>
        <w:rPr>
          <w:rFonts w:hint="eastAsia" w:eastAsia="黑体" w:cs="Times New Roman"/>
          <w:szCs w:val="20"/>
        </w:rPr>
      </w:pPr>
      <w:r>
        <w:rPr>
          <w:rFonts w:hint="eastAsia" w:eastAsia="黑体" w:cs="Times New Roman"/>
          <w:szCs w:val="20"/>
        </w:rPr>
        <w:t>三）修订前后技术内容对比</w:t>
      </w:r>
    </w:p>
    <w:p w14:paraId="05E86F39">
      <w:pPr>
        <w:widowControl/>
        <w:autoSpaceDE w:val="0"/>
        <w:autoSpaceDN w:val="0"/>
        <w:spacing w:line="240" w:lineRule="auto"/>
        <w:ind w:firstLine="420" w:firstLineChars="200"/>
        <w:rPr>
          <w:rFonts w:ascii="宋体" w:hAnsi="宋体" w:cs="Times New Roman"/>
          <w:sz w:val="21"/>
          <w:szCs w:val="20"/>
        </w:rPr>
      </w:pPr>
      <w:r>
        <w:rPr>
          <w:rFonts w:hint="eastAsia" w:ascii="宋体" w:hAnsi="宋体" w:cs="Times New Roman"/>
          <w:sz w:val="21"/>
          <w:szCs w:val="20"/>
        </w:rPr>
        <w:t>将本文件《</w:t>
      </w:r>
      <w:r>
        <w:rPr>
          <w:rFonts w:hint="eastAsia" w:ascii="宋体" w:hAnsi="宋体" w:cs="Times New Roman"/>
          <w:sz w:val="21"/>
          <w:szCs w:val="20"/>
          <w:lang w:val="en-US" w:eastAsia="zh-CN"/>
        </w:rPr>
        <w:t>钴</w:t>
      </w:r>
      <w:r>
        <w:rPr>
          <w:rFonts w:hint="eastAsia" w:ascii="宋体" w:hAnsi="宋体" w:cs="Times New Roman"/>
          <w:sz w:val="21"/>
          <w:szCs w:val="20"/>
        </w:rPr>
        <w:t>化学分析方法 第</w:t>
      </w:r>
      <w:r>
        <w:rPr>
          <w:rFonts w:hint="eastAsia" w:ascii="宋体" w:hAnsi="宋体" w:cs="Times New Roman"/>
          <w:sz w:val="21"/>
          <w:szCs w:val="20"/>
          <w:lang w:val="en-US" w:eastAsia="zh-CN"/>
        </w:rPr>
        <w:t>13</w:t>
      </w:r>
      <w:r>
        <w:rPr>
          <w:rFonts w:hint="eastAsia" w:ascii="宋体" w:hAnsi="宋体" w:cs="Times New Roman"/>
          <w:sz w:val="21"/>
          <w:szCs w:val="20"/>
        </w:rPr>
        <w:t>部分：</w:t>
      </w:r>
      <w:r>
        <w:rPr>
          <w:rFonts w:hint="eastAsia" w:ascii="宋体" w:hAnsi="宋体" w:cs="Times New Roman"/>
          <w:sz w:val="21"/>
          <w:szCs w:val="20"/>
          <w:lang w:val="en-US" w:eastAsia="zh-CN"/>
        </w:rPr>
        <w:t>碳</w:t>
      </w:r>
      <w:r>
        <w:rPr>
          <w:rFonts w:hint="eastAsia" w:ascii="宋体" w:hAnsi="宋体" w:cs="Times New Roman"/>
          <w:sz w:val="21"/>
          <w:szCs w:val="20"/>
        </w:rPr>
        <w:t>和</w:t>
      </w:r>
      <w:r>
        <w:rPr>
          <w:rFonts w:hint="eastAsia" w:ascii="宋体" w:hAnsi="宋体" w:cs="Times New Roman"/>
          <w:sz w:val="21"/>
          <w:szCs w:val="20"/>
          <w:lang w:val="en-US" w:eastAsia="zh-CN"/>
        </w:rPr>
        <w:t>硫</w:t>
      </w:r>
      <w:r>
        <w:rPr>
          <w:rFonts w:hint="eastAsia" w:ascii="宋体" w:hAnsi="宋体" w:cs="Times New Roman"/>
          <w:sz w:val="21"/>
          <w:szCs w:val="20"/>
        </w:rPr>
        <w:t>含量的测定 高频感应炉燃烧红外吸收法》与</w:t>
      </w:r>
      <w:r>
        <w:rPr>
          <w:rFonts w:hint="eastAsia" w:ascii="宋体" w:hAnsi="宋体" w:cs="Times New Roman"/>
          <w:sz w:val="21"/>
          <w:szCs w:val="20"/>
          <w:lang w:val="en-US" w:eastAsia="zh-CN"/>
        </w:rPr>
        <w:t>YS</w:t>
      </w:r>
      <w:r>
        <w:rPr>
          <w:rFonts w:hint="eastAsia" w:ascii="宋体" w:hAnsi="宋体" w:cs="Times New Roman"/>
          <w:sz w:val="21"/>
          <w:szCs w:val="20"/>
        </w:rPr>
        <w:t xml:space="preserve">/T </w:t>
      </w:r>
      <w:r>
        <w:rPr>
          <w:rFonts w:hint="eastAsia" w:ascii="宋体" w:hAnsi="宋体" w:cs="Times New Roman"/>
          <w:sz w:val="21"/>
          <w:szCs w:val="20"/>
          <w:lang w:val="en-US" w:eastAsia="zh-CN"/>
        </w:rPr>
        <w:t>281</w:t>
      </w:r>
      <w:r>
        <w:rPr>
          <w:rFonts w:hint="eastAsia" w:ascii="宋体" w:hAnsi="宋体" w:cs="Times New Roman"/>
          <w:sz w:val="21"/>
          <w:szCs w:val="20"/>
        </w:rPr>
        <w:t>.</w:t>
      </w:r>
      <w:r>
        <w:rPr>
          <w:rFonts w:hint="eastAsia" w:ascii="宋体" w:hAnsi="宋体" w:cs="Times New Roman"/>
          <w:sz w:val="21"/>
          <w:szCs w:val="20"/>
          <w:lang w:val="en-US" w:eastAsia="zh-CN"/>
        </w:rPr>
        <w:t>13</w:t>
      </w:r>
      <w:r>
        <w:rPr>
          <w:rFonts w:hint="eastAsia" w:ascii="宋体" w:hAnsi="宋体" w:cs="Times New Roman"/>
          <w:sz w:val="21"/>
          <w:szCs w:val="20"/>
        </w:rPr>
        <w:t>-20</w:t>
      </w:r>
      <w:r>
        <w:rPr>
          <w:rFonts w:hint="eastAsia" w:ascii="宋体" w:hAnsi="宋体" w:cs="Times New Roman"/>
          <w:sz w:val="21"/>
          <w:szCs w:val="20"/>
          <w:lang w:val="en-US" w:eastAsia="zh-CN"/>
        </w:rPr>
        <w:t>11</w:t>
      </w:r>
      <w:r>
        <w:rPr>
          <w:rFonts w:hint="eastAsia" w:ascii="宋体" w:hAnsi="宋体" w:cs="Times New Roman"/>
          <w:sz w:val="21"/>
          <w:szCs w:val="20"/>
        </w:rPr>
        <w:t>《</w:t>
      </w:r>
      <w:r>
        <w:rPr>
          <w:rFonts w:hint="eastAsia" w:ascii="宋体" w:hAnsi="宋体" w:cs="Times New Roman"/>
          <w:sz w:val="21"/>
          <w:szCs w:val="20"/>
          <w:lang w:val="en-US" w:eastAsia="zh-CN"/>
        </w:rPr>
        <w:t>钴</w:t>
      </w:r>
      <w:r>
        <w:rPr>
          <w:rFonts w:hint="eastAsia" w:ascii="宋体" w:hAnsi="宋体" w:cs="Times New Roman"/>
          <w:sz w:val="21"/>
          <w:szCs w:val="20"/>
        </w:rPr>
        <w:t>化学分析方法 第</w:t>
      </w:r>
      <w:r>
        <w:rPr>
          <w:rFonts w:hint="eastAsia" w:ascii="宋体" w:hAnsi="宋体" w:cs="Times New Roman"/>
          <w:sz w:val="21"/>
          <w:szCs w:val="20"/>
          <w:lang w:val="en-US" w:eastAsia="zh-CN"/>
        </w:rPr>
        <w:t>13</w:t>
      </w:r>
      <w:r>
        <w:rPr>
          <w:rFonts w:hint="eastAsia" w:ascii="宋体" w:hAnsi="宋体" w:cs="Times New Roman"/>
          <w:sz w:val="21"/>
          <w:szCs w:val="20"/>
        </w:rPr>
        <w:t>部分：</w:t>
      </w:r>
      <w:r>
        <w:rPr>
          <w:rFonts w:hint="eastAsia" w:ascii="宋体" w:hAnsi="宋体" w:cs="Times New Roman"/>
          <w:sz w:val="21"/>
          <w:szCs w:val="20"/>
          <w:lang w:val="en-US" w:eastAsia="zh-CN"/>
        </w:rPr>
        <w:t>硫</w:t>
      </w:r>
      <w:r>
        <w:rPr>
          <w:rFonts w:hint="eastAsia" w:ascii="宋体" w:hAnsi="宋体" w:cs="Times New Roman"/>
          <w:sz w:val="21"/>
          <w:szCs w:val="20"/>
        </w:rPr>
        <w:t>量的测定 高频感应炉燃烧红外吸收法》和</w:t>
      </w:r>
      <w:r>
        <w:rPr>
          <w:rFonts w:hint="eastAsia" w:ascii="宋体" w:hAnsi="宋体" w:cs="Times New Roman"/>
          <w:sz w:val="21"/>
          <w:szCs w:val="20"/>
          <w:lang w:val="en-US" w:eastAsia="zh-CN"/>
        </w:rPr>
        <w:t>YS</w:t>
      </w:r>
      <w:r>
        <w:rPr>
          <w:rFonts w:hint="eastAsia" w:ascii="宋体" w:hAnsi="宋体" w:cs="Times New Roman"/>
          <w:sz w:val="21"/>
          <w:szCs w:val="20"/>
        </w:rPr>
        <w:t xml:space="preserve">/T </w:t>
      </w:r>
      <w:r>
        <w:rPr>
          <w:rFonts w:hint="eastAsia" w:ascii="宋体" w:hAnsi="宋体" w:cs="Times New Roman"/>
          <w:sz w:val="21"/>
          <w:szCs w:val="20"/>
          <w:lang w:val="en-US" w:eastAsia="zh-CN"/>
        </w:rPr>
        <w:t>281</w:t>
      </w:r>
      <w:r>
        <w:rPr>
          <w:rFonts w:ascii="宋体" w:hAnsi="宋体" w:cs="Times New Roman"/>
          <w:sz w:val="21"/>
          <w:szCs w:val="20"/>
        </w:rPr>
        <w:t>.</w:t>
      </w:r>
      <w:r>
        <w:rPr>
          <w:rFonts w:hint="eastAsia" w:ascii="宋体" w:hAnsi="宋体" w:cs="Times New Roman"/>
          <w:sz w:val="21"/>
          <w:szCs w:val="20"/>
          <w:lang w:val="en-US" w:eastAsia="zh-CN"/>
        </w:rPr>
        <w:t>14</w:t>
      </w:r>
      <w:r>
        <w:rPr>
          <w:rFonts w:hint="eastAsia" w:ascii="宋体" w:hAnsi="宋体" w:cs="Times New Roman"/>
          <w:sz w:val="21"/>
          <w:szCs w:val="20"/>
        </w:rPr>
        <w:t>-201</w:t>
      </w:r>
      <w:r>
        <w:rPr>
          <w:rFonts w:hint="eastAsia" w:ascii="宋体" w:hAnsi="宋体" w:cs="Times New Roman"/>
          <w:sz w:val="21"/>
          <w:szCs w:val="20"/>
          <w:lang w:val="en-US" w:eastAsia="zh-CN"/>
        </w:rPr>
        <w:t>1</w:t>
      </w:r>
      <w:r>
        <w:rPr>
          <w:rFonts w:hint="eastAsia" w:ascii="宋体" w:hAnsi="宋体" w:cs="Times New Roman"/>
          <w:sz w:val="21"/>
          <w:szCs w:val="20"/>
        </w:rPr>
        <w:t>《</w:t>
      </w:r>
      <w:r>
        <w:rPr>
          <w:rFonts w:hint="eastAsia" w:ascii="宋体" w:hAnsi="宋体" w:cs="Times New Roman"/>
          <w:sz w:val="21"/>
          <w:szCs w:val="20"/>
          <w:lang w:val="en-US" w:eastAsia="zh-CN"/>
        </w:rPr>
        <w:t>钴</w:t>
      </w:r>
      <w:r>
        <w:rPr>
          <w:rFonts w:hint="eastAsia" w:ascii="宋体" w:hAnsi="宋体" w:cs="Times New Roman"/>
          <w:sz w:val="21"/>
          <w:szCs w:val="20"/>
        </w:rPr>
        <w:t>化学分析方法 第</w:t>
      </w:r>
      <w:r>
        <w:rPr>
          <w:rFonts w:hint="eastAsia" w:ascii="宋体" w:hAnsi="宋体" w:cs="Times New Roman"/>
          <w:sz w:val="21"/>
          <w:szCs w:val="20"/>
          <w:lang w:val="en-US" w:eastAsia="zh-CN"/>
        </w:rPr>
        <w:t>14</w:t>
      </w:r>
      <w:r>
        <w:rPr>
          <w:rFonts w:hint="eastAsia" w:ascii="宋体" w:hAnsi="宋体" w:cs="Times New Roman"/>
          <w:sz w:val="21"/>
          <w:szCs w:val="20"/>
        </w:rPr>
        <w:t>部分：</w:t>
      </w:r>
      <w:r>
        <w:rPr>
          <w:rFonts w:hint="eastAsia" w:ascii="宋体" w:hAnsi="宋体" w:cs="Times New Roman"/>
          <w:sz w:val="21"/>
          <w:szCs w:val="20"/>
          <w:lang w:val="en-US" w:eastAsia="zh-CN"/>
        </w:rPr>
        <w:t>碳</w:t>
      </w:r>
      <w:r>
        <w:rPr>
          <w:rFonts w:hint="eastAsia" w:ascii="宋体" w:hAnsi="宋体" w:cs="Times New Roman"/>
          <w:sz w:val="21"/>
          <w:szCs w:val="20"/>
        </w:rPr>
        <w:t>量的测定 高频感应炉燃烧红外吸收法》进行比对，结果见表2。</w:t>
      </w:r>
    </w:p>
    <w:p w14:paraId="7C8F127D">
      <w:pPr>
        <w:keepNext w:val="0"/>
        <w:keepLines w:val="0"/>
        <w:pageBreakBefore w:val="0"/>
        <w:widowControl w:val="0"/>
        <w:tabs>
          <w:tab w:val="left" w:pos="0"/>
        </w:tabs>
        <w:kinsoku/>
        <w:wordWrap/>
        <w:overflowPunct/>
        <w:topLinePunct w:val="0"/>
        <w:autoSpaceDE/>
        <w:autoSpaceDN/>
        <w:bidi w:val="0"/>
        <w:adjustRightInd/>
        <w:snapToGrid w:val="0"/>
        <w:spacing w:line="240" w:lineRule="auto"/>
        <w:jc w:val="center"/>
        <w:textAlignment w:val="auto"/>
        <w:rPr>
          <w:rFonts w:eastAsia="黑体" w:cs="Times New Roman"/>
          <w:kern w:val="2"/>
          <w:sz w:val="21"/>
          <w:szCs w:val="21"/>
        </w:rPr>
      </w:pPr>
      <w:r>
        <w:rPr>
          <w:rFonts w:hint="eastAsia" w:eastAsia="黑体" w:cs="Times New Roman"/>
          <w:kern w:val="2"/>
          <w:sz w:val="21"/>
          <w:szCs w:val="21"/>
        </w:rPr>
        <w:t>表</w:t>
      </w:r>
      <w:r>
        <w:rPr>
          <w:rFonts w:eastAsia="黑体" w:cs="Times New Roman"/>
          <w:kern w:val="2"/>
          <w:sz w:val="21"/>
          <w:szCs w:val="21"/>
        </w:rPr>
        <w:t xml:space="preserve">2 </w:t>
      </w:r>
      <w:r>
        <w:rPr>
          <w:rFonts w:hint="eastAsia" w:eastAsia="黑体" w:cs="Times New Roman"/>
          <w:kern w:val="2"/>
          <w:sz w:val="21"/>
          <w:szCs w:val="21"/>
        </w:rPr>
        <w:t>修订前后方法对比表</w:t>
      </w:r>
    </w:p>
    <w:tbl>
      <w:tblPr>
        <w:tblStyle w:val="89"/>
        <w:tblW w:w="48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10"/>
        <w:gridCol w:w="2155"/>
        <w:gridCol w:w="2193"/>
        <w:gridCol w:w="1148"/>
        <w:gridCol w:w="1066"/>
      </w:tblGrid>
      <w:tr w14:paraId="7D5D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Merge w:val="restart"/>
            <w:vAlign w:val="center"/>
          </w:tcPr>
          <w:p w14:paraId="18D9F7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cs="Times New Roman"/>
                <w:sz w:val="18"/>
                <w:szCs w:val="18"/>
              </w:rPr>
              <w:t>比对项目</w:t>
            </w:r>
          </w:p>
        </w:tc>
        <w:tc>
          <w:tcPr>
            <w:tcW w:w="2627" w:type="pct"/>
            <w:gridSpan w:val="2"/>
            <w:vAlign w:val="center"/>
          </w:tcPr>
          <w:p w14:paraId="6C7ECB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cs="Times New Roman"/>
                <w:sz w:val="18"/>
                <w:szCs w:val="18"/>
              </w:rPr>
              <w:t>修订前</w:t>
            </w:r>
          </w:p>
        </w:tc>
        <w:tc>
          <w:tcPr>
            <w:tcW w:w="1338" w:type="pct"/>
            <w:gridSpan w:val="2"/>
            <w:vAlign w:val="center"/>
          </w:tcPr>
          <w:p w14:paraId="79D4C5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cs="Times New Roman"/>
                <w:sz w:val="18"/>
                <w:szCs w:val="18"/>
              </w:rPr>
              <w:t>修订后</w:t>
            </w:r>
          </w:p>
        </w:tc>
      </w:tr>
      <w:tr w14:paraId="00C3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Merge w:val="continue"/>
            <w:vAlign w:val="center"/>
          </w:tcPr>
          <w:p w14:paraId="5BDAD7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p>
        </w:tc>
        <w:tc>
          <w:tcPr>
            <w:tcW w:w="1302" w:type="pct"/>
            <w:vAlign w:val="center"/>
          </w:tcPr>
          <w:p w14:paraId="6BA7FE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sz w:val="18"/>
                <w:szCs w:val="18"/>
                <w:lang w:eastAsia="zh-CN"/>
              </w:rPr>
            </w:pPr>
            <w:r>
              <w:rPr>
                <w:rFonts w:hint="eastAsia" w:cs="Times New Roman"/>
                <w:sz w:val="18"/>
                <w:szCs w:val="18"/>
                <w:lang w:val="en-US" w:eastAsia="zh-CN"/>
              </w:rPr>
              <w:t>YS</w:t>
            </w:r>
            <w:r>
              <w:rPr>
                <w:rFonts w:cs="Times New Roman"/>
                <w:sz w:val="18"/>
                <w:szCs w:val="18"/>
              </w:rPr>
              <w:t xml:space="preserve">/T </w:t>
            </w:r>
            <w:r>
              <w:rPr>
                <w:rFonts w:hint="eastAsia" w:cs="Times New Roman"/>
                <w:sz w:val="18"/>
                <w:szCs w:val="18"/>
                <w:lang w:val="en-US" w:eastAsia="zh-CN"/>
              </w:rPr>
              <w:t>281</w:t>
            </w:r>
            <w:r>
              <w:rPr>
                <w:rFonts w:cs="Times New Roman"/>
                <w:sz w:val="18"/>
                <w:szCs w:val="18"/>
              </w:rPr>
              <w:t>.</w:t>
            </w:r>
            <w:r>
              <w:rPr>
                <w:rFonts w:hint="eastAsia" w:cs="Times New Roman"/>
                <w:sz w:val="18"/>
                <w:szCs w:val="18"/>
                <w:lang w:val="en-US" w:eastAsia="zh-CN"/>
              </w:rPr>
              <w:t>13</w:t>
            </w:r>
            <w:r>
              <w:rPr>
                <w:rFonts w:cs="Times New Roman"/>
                <w:sz w:val="18"/>
                <w:szCs w:val="18"/>
              </w:rPr>
              <w:t>-201</w:t>
            </w:r>
            <w:r>
              <w:rPr>
                <w:rFonts w:hint="eastAsia" w:cs="Times New Roman"/>
                <w:sz w:val="18"/>
                <w:szCs w:val="18"/>
                <w:lang w:val="en-US" w:eastAsia="zh-CN"/>
              </w:rPr>
              <w:t>1</w:t>
            </w:r>
          </w:p>
        </w:tc>
        <w:tc>
          <w:tcPr>
            <w:tcW w:w="1324" w:type="pct"/>
            <w:vAlign w:val="center"/>
          </w:tcPr>
          <w:p w14:paraId="01B855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YS</w:t>
            </w:r>
            <w:r>
              <w:rPr>
                <w:rFonts w:cs="Times New Roman"/>
                <w:sz w:val="18"/>
                <w:szCs w:val="18"/>
              </w:rPr>
              <w:t xml:space="preserve">/T </w:t>
            </w:r>
            <w:r>
              <w:rPr>
                <w:rFonts w:hint="eastAsia" w:cs="Times New Roman"/>
                <w:sz w:val="18"/>
                <w:szCs w:val="18"/>
                <w:lang w:val="en-US" w:eastAsia="zh-CN"/>
              </w:rPr>
              <w:t>281</w:t>
            </w:r>
            <w:r>
              <w:rPr>
                <w:rFonts w:cs="Times New Roman"/>
                <w:sz w:val="18"/>
                <w:szCs w:val="18"/>
              </w:rPr>
              <w:t>.</w:t>
            </w:r>
            <w:r>
              <w:rPr>
                <w:rFonts w:hint="eastAsia" w:cs="Times New Roman"/>
                <w:sz w:val="18"/>
                <w:szCs w:val="18"/>
                <w:lang w:val="en-US" w:eastAsia="zh-CN"/>
              </w:rPr>
              <w:t>14</w:t>
            </w:r>
            <w:r>
              <w:rPr>
                <w:rFonts w:cs="Times New Roman"/>
                <w:sz w:val="18"/>
                <w:szCs w:val="18"/>
              </w:rPr>
              <w:t>-20</w:t>
            </w:r>
            <w:r>
              <w:rPr>
                <w:rFonts w:hint="eastAsia" w:cs="Times New Roman"/>
                <w:sz w:val="18"/>
                <w:szCs w:val="18"/>
                <w:lang w:val="en-US" w:eastAsia="zh-CN"/>
              </w:rPr>
              <w:t>11</w:t>
            </w:r>
          </w:p>
        </w:tc>
        <w:tc>
          <w:tcPr>
            <w:tcW w:w="694" w:type="pct"/>
            <w:vAlign w:val="center"/>
          </w:tcPr>
          <w:p w14:paraId="19189D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sz w:val="18"/>
                <w:szCs w:val="18"/>
                <w:lang w:eastAsia="zh-CN"/>
              </w:rPr>
            </w:pPr>
            <w:r>
              <w:rPr>
                <w:rFonts w:hint="eastAsia" w:cs="Times New Roman"/>
                <w:sz w:val="18"/>
                <w:szCs w:val="18"/>
                <w:lang w:val="en-US" w:eastAsia="zh-CN"/>
              </w:rPr>
              <w:t>C</w:t>
            </w:r>
          </w:p>
        </w:tc>
        <w:tc>
          <w:tcPr>
            <w:tcW w:w="644" w:type="pct"/>
            <w:vAlign w:val="center"/>
          </w:tcPr>
          <w:p w14:paraId="186D73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sz w:val="18"/>
                <w:szCs w:val="18"/>
                <w:lang w:eastAsia="zh-CN"/>
              </w:rPr>
            </w:pPr>
            <w:r>
              <w:rPr>
                <w:rFonts w:hint="eastAsia" w:cs="Times New Roman"/>
                <w:sz w:val="18"/>
                <w:szCs w:val="18"/>
                <w:lang w:val="en-US" w:eastAsia="zh-CN"/>
              </w:rPr>
              <w:t>S</w:t>
            </w:r>
          </w:p>
        </w:tc>
      </w:tr>
      <w:tr w14:paraId="2411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Align w:val="center"/>
          </w:tcPr>
          <w:p w14:paraId="67F3A7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sz w:val="18"/>
                <w:szCs w:val="18"/>
                <w:lang w:eastAsia="zh-CN"/>
              </w:rPr>
            </w:pPr>
            <w:r>
              <w:rPr>
                <w:rFonts w:hint="eastAsia" w:cs="Times New Roman"/>
                <w:sz w:val="18"/>
                <w:szCs w:val="18"/>
                <w:lang w:val="en-US" w:eastAsia="zh-CN"/>
              </w:rPr>
              <w:t>测定方式</w:t>
            </w:r>
          </w:p>
        </w:tc>
        <w:tc>
          <w:tcPr>
            <w:tcW w:w="1302" w:type="pct"/>
            <w:vAlign w:val="center"/>
          </w:tcPr>
          <w:p w14:paraId="121286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S单元素测定</w:t>
            </w:r>
          </w:p>
        </w:tc>
        <w:tc>
          <w:tcPr>
            <w:tcW w:w="1324" w:type="pct"/>
            <w:vAlign w:val="center"/>
          </w:tcPr>
          <w:p w14:paraId="6C5C83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C单元素测定</w:t>
            </w:r>
          </w:p>
        </w:tc>
        <w:tc>
          <w:tcPr>
            <w:tcW w:w="1338" w:type="pct"/>
            <w:gridSpan w:val="2"/>
            <w:vAlign w:val="center"/>
          </w:tcPr>
          <w:p w14:paraId="378BA4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同时测定</w:t>
            </w:r>
          </w:p>
        </w:tc>
      </w:tr>
      <w:tr w14:paraId="1CA2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Align w:val="center"/>
          </w:tcPr>
          <w:p w14:paraId="3ED333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sz w:val="18"/>
                <w:szCs w:val="18"/>
                <w:lang w:eastAsia="zh-CN"/>
              </w:rPr>
            </w:pPr>
            <w:r>
              <w:rPr>
                <w:rFonts w:hint="eastAsia" w:cs="Times New Roman"/>
                <w:sz w:val="18"/>
                <w:szCs w:val="18"/>
                <w:lang w:val="en-US" w:eastAsia="zh-CN"/>
              </w:rPr>
              <w:t>试料量</w:t>
            </w:r>
          </w:p>
        </w:tc>
        <w:tc>
          <w:tcPr>
            <w:tcW w:w="1302" w:type="pct"/>
            <w:vAlign w:val="center"/>
          </w:tcPr>
          <w:p w14:paraId="77559C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0.50 g</w:t>
            </w:r>
          </w:p>
        </w:tc>
        <w:tc>
          <w:tcPr>
            <w:tcW w:w="1324" w:type="pct"/>
            <w:vAlign w:val="center"/>
          </w:tcPr>
          <w:p w14:paraId="512163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lang w:val="en-US" w:eastAsia="zh-CN"/>
              </w:rPr>
              <w:t>1.00 g</w:t>
            </w:r>
          </w:p>
        </w:tc>
        <w:tc>
          <w:tcPr>
            <w:tcW w:w="1338" w:type="pct"/>
            <w:gridSpan w:val="2"/>
            <w:vAlign w:val="center"/>
          </w:tcPr>
          <w:p w14:paraId="22BF3AC8">
            <w:pPr>
              <w:keepNext w:val="0"/>
              <w:keepLines w:val="0"/>
              <w:pageBreakBefore w:val="0"/>
              <w:widowControl w:val="0"/>
              <w:kinsoku/>
              <w:wordWrap/>
              <w:overflowPunct/>
              <w:topLinePunct w:val="0"/>
              <w:autoSpaceDE/>
              <w:autoSpaceDN/>
              <w:bidi w:val="0"/>
              <w:adjustRightInd/>
              <w:snapToGrid/>
              <w:spacing w:line="240" w:lineRule="auto"/>
              <w:ind w:firstLine="420"/>
              <w:jc w:val="center"/>
              <w:textAlignment w:val="auto"/>
              <w:rPr>
                <w:rFonts w:hint="default" w:eastAsia="宋体" w:cs="Times New Roman"/>
                <w:sz w:val="18"/>
                <w:szCs w:val="18"/>
                <w:lang w:val="en-US" w:eastAsia="zh-CN"/>
              </w:rPr>
            </w:pPr>
            <w:r>
              <w:rPr>
                <w:rFonts w:hint="eastAsia" w:cs="Times New Roman"/>
                <w:sz w:val="18"/>
                <w:szCs w:val="18"/>
                <w:lang w:val="en-US" w:eastAsia="zh-CN"/>
              </w:rPr>
              <w:t>0.50 g</w:t>
            </w:r>
          </w:p>
        </w:tc>
      </w:tr>
      <w:tr w14:paraId="0C22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Align w:val="center"/>
          </w:tcPr>
          <w:p w14:paraId="3F6B7F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助熔剂用量</w:t>
            </w:r>
          </w:p>
        </w:tc>
        <w:tc>
          <w:tcPr>
            <w:tcW w:w="1302" w:type="pct"/>
            <w:vAlign w:val="center"/>
          </w:tcPr>
          <w:p w14:paraId="14861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Fe:0.5 g</w:t>
            </w:r>
          </w:p>
          <w:p w14:paraId="737E05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Sn:(0.2</w:t>
            </w:r>
            <w:r>
              <w:rPr>
                <w:rFonts w:hint="eastAsia" w:ascii="微软雅黑" w:hAnsi="微软雅黑" w:eastAsia="微软雅黑" w:cs="微软雅黑"/>
                <w:sz w:val="18"/>
                <w:szCs w:val="18"/>
                <w:lang w:val="en-US" w:eastAsia="zh-CN"/>
              </w:rPr>
              <w:t>~</w:t>
            </w:r>
            <w:r>
              <w:rPr>
                <w:rFonts w:hint="default" w:ascii="Times New Roman" w:hAnsi="Times New Roman" w:eastAsia="微软雅黑" w:cs="Times New Roman"/>
                <w:sz w:val="18"/>
                <w:szCs w:val="18"/>
                <w:lang w:val="en-US" w:eastAsia="zh-CN"/>
              </w:rPr>
              <w:t>0.25</w:t>
            </w:r>
            <w:r>
              <w:rPr>
                <w:rFonts w:hint="eastAsia" w:cs="Times New Roman"/>
                <w:sz w:val="18"/>
                <w:szCs w:val="18"/>
                <w:lang w:val="en-US" w:eastAsia="zh-CN"/>
              </w:rPr>
              <w:t>) g</w:t>
            </w:r>
          </w:p>
          <w:p w14:paraId="0F859A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sz w:val="18"/>
                <w:szCs w:val="18"/>
                <w:lang w:val="en-US" w:eastAsia="zh-CN"/>
              </w:rPr>
            </w:pPr>
            <w:r>
              <w:rPr>
                <w:rFonts w:hint="eastAsia" w:cs="Times New Roman"/>
                <w:sz w:val="18"/>
                <w:szCs w:val="18"/>
                <w:lang w:val="en-US" w:eastAsia="zh-CN"/>
              </w:rPr>
              <w:t>W:2 g</w:t>
            </w:r>
          </w:p>
        </w:tc>
        <w:tc>
          <w:tcPr>
            <w:tcW w:w="1324" w:type="pct"/>
            <w:vAlign w:val="center"/>
          </w:tcPr>
          <w:p w14:paraId="67DDF3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Fe:0.1 g</w:t>
            </w:r>
          </w:p>
          <w:p w14:paraId="2714C8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Sn:(0.2</w:t>
            </w:r>
            <w:r>
              <w:rPr>
                <w:rFonts w:hint="eastAsia" w:ascii="微软雅黑" w:hAnsi="微软雅黑" w:eastAsia="微软雅黑" w:cs="微软雅黑"/>
                <w:sz w:val="18"/>
                <w:szCs w:val="18"/>
                <w:lang w:val="en-US" w:eastAsia="zh-CN"/>
              </w:rPr>
              <w:t>~</w:t>
            </w:r>
            <w:r>
              <w:rPr>
                <w:rFonts w:hint="default" w:ascii="Times New Roman" w:hAnsi="Times New Roman" w:eastAsia="微软雅黑" w:cs="Times New Roman"/>
                <w:sz w:val="18"/>
                <w:szCs w:val="18"/>
                <w:lang w:val="en-US" w:eastAsia="zh-CN"/>
              </w:rPr>
              <w:t>0.25</w:t>
            </w:r>
            <w:r>
              <w:rPr>
                <w:rFonts w:hint="eastAsia" w:cs="Times New Roman"/>
                <w:sz w:val="18"/>
                <w:szCs w:val="18"/>
                <w:lang w:val="en-US" w:eastAsia="zh-CN"/>
              </w:rPr>
              <w:t>) g</w:t>
            </w:r>
          </w:p>
          <w:p w14:paraId="5AF326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lang w:val="en-US" w:eastAsia="zh-CN"/>
              </w:rPr>
              <w:t>W:1 g</w:t>
            </w:r>
          </w:p>
        </w:tc>
        <w:tc>
          <w:tcPr>
            <w:tcW w:w="1338" w:type="pct"/>
            <w:gridSpan w:val="2"/>
            <w:vAlign w:val="center"/>
          </w:tcPr>
          <w:p w14:paraId="60E204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Fe:0.3 g</w:t>
            </w:r>
          </w:p>
          <w:p w14:paraId="712353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z w:val="18"/>
                <w:szCs w:val="18"/>
                <w:lang w:val="en-US" w:eastAsia="zh-CN"/>
              </w:rPr>
            </w:pPr>
            <w:r>
              <w:rPr>
                <w:rFonts w:hint="eastAsia" w:cs="Times New Roman"/>
                <w:sz w:val="18"/>
                <w:szCs w:val="18"/>
                <w:lang w:val="en-US" w:eastAsia="zh-CN"/>
              </w:rPr>
              <w:t>Sn:(0.2</w:t>
            </w:r>
            <w:r>
              <w:rPr>
                <w:rFonts w:hint="eastAsia" w:ascii="微软雅黑" w:hAnsi="微软雅黑" w:eastAsia="微软雅黑" w:cs="微软雅黑"/>
                <w:sz w:val="18"/>
                <w:szCs w:val="18"/>
                <w:lang w:val="en-US" w:eastAsia="zh-CN"/>
              </w:rPr>
              <w:t>~</w:t>
            </w:r>
            <w:r>
              <w:rPr>
                <w:rFonts w:hint="default" w:ascii="Times New Roman" w:hAnsi="Times New Roman" w:eastAsia="微软雅黑" w:cs="Times New Roman"/>
                <w:sz w:val="18"/>
                <w:szCs w:val="18"/>
                <w:lang w:val="en-US" w:eastAsia="zh-CN"/>
              </w:rPr>
              <w:t>0.25</w:t>
            </w:r>
            <w:r>
              <w:rPr>
                <w:rFonts w:hint="eastAsia" w:cs="Times New Roman"/>
                <w:sz w:val="18"/>
                <w:szCs w:val="18"/>
                <w:lang w:val="en-US" w:eastAsia="zh-CN"/>
              </w:rPr>
              <w:t>) g</w:t>
            </w:r>
          </w:p>
          <w:p w14:paraId="0A8BE4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lang w:val="en-US" w:eastAsia="zh-CN"/>
              </w:rPr>
              <w:t>W:1 g</w:t>
            </w:r>
          </w:p>
        </w:tc>
      </w:tr>
      <w:tr w14:paraId="180A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34" w:type="pct"/>
            <w:vAlign w:val="center"/>
          </w:tcPr>
          <w:p w14:paraId="747EEB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s="Times New Roman"/>
                <w:sz w:val="18"/>
                <w:szCs w:val="18"/>
                <w:lang w:val="en-US" w:eastAsia="zh-CN"/>
              </w:rPr>
            </w:pPr>
            <w:r>
              <w:rPr>
                <w:rFonts w:hint="eastAsia" w:cs="Times New Roman"/>
                <w:sz w:val="18"/>
                <w:szCs w:val="18"/>
                <w:lang w:val="en-US" w:eastAsia="zh-CN"/>
              </w:rPr>
              <w:t>助熔剂加入方式</w:t>
            </w:r>
          </w:p>
        </w:tc>
        <w:tc>
          <w:tcPr>
            <w:tcW w:w="1302" w:type="pct"/>
            <w:vAlign w:val="center"/>
          </w:tcPr>
          <w:p w14:paraId="0A37B1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lang w:val="en-US" w:eastAsia="zh-CN"/>
              </w:rPr>
              <w:t>样品+助熔剂</w:t>
            </w:r>
          </w:p>
        </w:tc>
        <w:tc>
          <w:tcPr>
            <w:tcW w:w="1324" w:type="pct"/>
            <w:vAlign w:val="center"/>
          </w:tcPr>
          <w:p w14:paraId="3366CA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lang w:val="en-US" w:eastAsia="zh-CN"/>
              </w:rPr>
              <w:t>样品+助熔剂</w:t>
            </w:r>
          </w:p>
        </w:tc>
        <w:tc>
          <w:tcPr>
            <w:tcW w:w="1338" w:type="pct"/>
            <w:gridSpan w:val="2"/>
            <w:vAlign w:val="center"/>
          </w:tcPr>
          <w:p w14:paraId="5C1B21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sz w:val="18"/>
                <w:szCs w:val="18"/>
              </w:rPr>
            </w:pPr>
            <w:r>
              <w:rPr>
                <w:rFonts w:hint="eastAsia" w:cs="Times New Roman"/>
                <w:sz w:val="18"/>
                <w:szCs w:val="18"/>
              </w:rPr>
              <w:t>铁+样品+锡+钨</w:t>
            </w:r>
          </w:p>
        </w:tc>
      </w:tr>
    </w:tbl>
    <w:p w14:paraId="27E65ADC">
      <w:pPr>
        <w:autoSpaceDE w:val="0"/>
        <w:autoSpaceDN w:val="0"/>
        <w:adjustRightInd w:val="0"/>
        <w:spacing w:line="240" w:lineRule="auto"/>
        <w:rPr>
          <w:rFonts w:hint="eastAsia" w:cs="Times New Roman"/>
          <w:sz w:val="21"/>
          <w:szCs w:val="21"/>
        </w:rPr>
      </w:pPr>
    </w:p>
    <w:p w14:paraId="52AFCABE">
      <w:pPr>
        <w:keepNext/>
        <w:keepLines/>
        <w:spacing w:before="10" w:after="10" w:line="240" w:lineRule="auto"/>
        <w:outlineLvl w:val="1"/>
        <w:rPr>
          <w:rFonts w:hint="eastAsia" w:eastAsia="黑体" w:cs="Times New Roman"/>
          <w:b/>
          <w:sz w:val="28"/>
          <w:szCs w:val="28"/>
        </w:rPr>
      </w:pPr>
      <w:r>
        <w:rPr>
          <w:rFonts w:hint="eastAsia" w:eastAsia="黑体" w:cs="Times New Roman"/>
          <w:b/>
          <w:sz w:val="28"/>
          <w:szCs w:val="28"/>
        </w:rPr>
        <w:t>三、试验验证情况和预期效益</w:t>
      </w:r>
    </w:p>
    <w:p w14:paraId="5BF26C89">
      <w:pPr>
        <w:widowControl/>
        <w:tabs>
          <w:tab w:val="left" w:pos="675"/>
        </w:tabs>
        <w:spacing w:before="163" w:beforeLines="50" w:after="163" w:afterLines="50" w:line="240" w:lineRule="auto"/>
        <w:outlineLvl w:val="1"/>
        <w:rPr>
          <w:rFonts w:hint="eastAsia" w:eastAsia="黑体" w:cs="Times New Roman"/>
          <w:szCs w:val="20"/>
        </w:rPr>
      </w:pPr>
      <w:r>
        <w:rPr>
          <w:rFonts w:hint="eastAsia" w:eastAsia="黑体" w:cs="Times New Roman"/>
          <w:szCs w:val="20"/>
        </w:rPr>
        <w:t>一）试验验证情况</w:t>
      </w:r>
    </w:p>
    <w:p w14:paraId="2CF70F55">
      <w:pPr>
        <w:spacing w:line="240" w:lineRule="auto"/>
        <w:ind w:firstLine="420"/>
        <w:rPr>
          <w:rFonts w:ascii="宋体" w:hAnsi="宋体" w:cs="宋体"/>
          <w:kern w:val="2"/>
          <w:sz w:val="21"/>
          <w:szCs w:val="21"/>
        </w:rPr>
      </w:pPr>
      <w:r>
        <w:rPr>
          <w:rFonts w:hint="eastAsia" w:ascii="宋体" w:hAnsi="宋体" w:cs="宋体"/>
          <w:kern w:val="2"/>
          <w:sz w:val="21"/>
          <w:szCs w:val="21"/>
        </w:rPr>
        <w:t>对助熔剂的用量、助熔剂的加入顺序、称样量、方法检出限和测定下限试验进行条件实验。选择了</w:t>
      </w:r>
      <w:r>
        <w:rPr>
          <w:rFonts w:hint="eastAsia" w:ascii="宋体" w:hAnsi="宋体" w:cs="宋体"/>
          <w:kern w:val="2"/>
          <w:sz w:val="21"/>
          <w:szCs w:val="21"/>
          <w:lang w:val="en-US" w:eastAsia="zh-CN"/>
        </w:rPr>
        <w:t>3</w:t>
      </w:r>
      <w:r>
        <w:rPr>
          <w:rFonts w:hint="eastAsia" w:ascii="宋体" w:hAnsi="宋体" w:cs="宋体"/>
          <w:kern w:val="2"/>
          <w:sz w:val="21"/>
          <w:szCs w:val="21"/>
        </w:rPr>
        <w:t>个水平的</w:t>
      </w:r>
      <w:r>
        <w:rPr>
          <w:rFonts w:hint="eastAsia" w:ascii="宋体" w:hAnsi="宋体" w:cs="宋体"/>
          <w:kern w:val="2"/>
          <w:sz w:val="21"/>
          <w:szCs w:val="21"/>
          <w:lang w:val="en-US" w:eastAsia="zh-CN"/>
        </w:rPr>
        <w:t>钴</w:t>
      </w:r>
      <w:r>
        <w:rPr>
          <w:rFonts w:hint="eastAsia" w:ascii="宋体" w:hAnsi="宋体" w:cs="宋体"/>
          <w:kern w:val="2"/>
          <w:sz w:val="21"/>
          <w:szCs w:val="21"/>
        </w:rPr>
        <w:t>样品，完成了精密度试验及加标回收试验</w:t>
      </w:r>
      <w:r>
        <w:rPr>
          <w:rFonts w:hint="eastAsia" w:ascii="宋体" w:hAnsi="宋体" w:cs="宋体"/>
          <w:kern w:val="2"/>
          <w:sz w:val="21"/>
          <w:szCs w:val="21"/>
          <w:lang w:eastAsia="zh-CN"/>
        </w:rPr>
        <w:t>，</w:t>
      </w:r>
      <w:r>
        <w:rPr>
          <w:rFonts w:hint="eastAsia" w:ascii="宋体" w:hAnsi="宋体" w:cs="宋体"/>
          <w:kern w:val="2"/>
          <w:sz w:val="21"/>
          <w:szCs w:val="21"/>
        </w:rPr>
        <w:t>具体结果见试验报告。</w:t>
      </w:r>
    </w:p>
    <w:p w14:paraId="2970B5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宋体"/>
          <w:kern w:val="2"/>
          <w:sz w:val="21"/>
          <w:szCs w:val="21"/>
        </w:rPr>
      </w:pPr>
      <w:r>
        <w:rPr>
          <w:rFonts w:ascii="黑体" w:hAnsi="黑体" w:eastAsia="黑体" w:cs="宋体"/>
          <w:kern w:val="2"/>
          <w:sz w:val="21"/>
          <w:szCs w:val="21"/>
        </w:rPr>
        <w:t>1</w:t>
      </w:r>
      <w:r>
        <w:rPr>
          <w:rFonts w:hint="eastAsia" w:ascii="黑体" w:hAnsi="黑体" w:eastAsia="黑体" w:cs="宋体"/>
          <w:kern w:val="2"/>
          <w:sz w:val="21"/>
          <w:szCs w:val="21"/>
        </w:rPr>
        <w:t xml:space="preserve"> 试验</w:t>
      </w:r>
    </w:p>
    <w:p w14:paraId="47FB49F3">
      <w:pPr>
        <w:spacing w:line="240" w:lineRule="auto"/>
        <w:rPr>
          <w:rFonts w:ascii="黑体" w:hAnsi="黑体" w:eastAsia="黑体" w:cs="宋体"/>
          <w:kern w:val="2"/>
          <w:sz w:val="21"/>
          <w:szCs w:val="21"/>
        </w:rPr>
      </w:pPr>
      <w:r>
        <w:rPr>
          <w:rFonts w:ascii="黑体" w:hAnsi="黑体" w:eastAsia="黑体" w:cs="宋体"/>
          <w:kern w:val="2"/>
          <w:sz w:val="21"/>
          <w:szCs w:val="21"/>
        </w:rPr>
        <w:t>1</w:t>
      </w:r>
      <w:r>
        <w:rPr>
          <w:rFonts w:hint="eastAsia" w:ascii="黑体" w:hAnsi="黑体" w:eastAsia="黑体" w:cs="宋体"/>
          <w:kern w:val="2"/>
          <w:sz w:val="21"/>
          <w:szCs w:val="21"/>
        </w:rPr>
        <w:t>.</w:t>
      </w:r>
      <w:r>
        <w:rPr>
          <w:rFonts w:ascii="黑体" w:hAnsi="黑体" w:eastAsia="黑体" w:cs="宋体"/>
          <w:kern w:val="2"/>
          <w:sz w:val="21"/>
          <w:szCs w:val="21"/>
        </w:rPr>
        <w:t>1</w:t>
      </w:r>
      <w:r>
        <w:rPr>
          <w:rFonts w:hint="eastAsia" w:ascii="黑体" w:hAnsi="黑体" w:eastAsia="黑体" w:cs="宋体"/>
          <w:kern w:val="2"/>
          <w:sz w:val="21"/>
          <w:szCs w:val="21"/>
        </w:rPr>
        <w:t>测定方法概要</w:t>
      </w:r>
    </w:p>
    <w:p w14:paraId="5A917780">
      <w:pPr>
        <w:spacing w:line="240" w:lineRule="auto"/>
        <w:rPr>
          <w:rFonts w:hint="eastAsia" w:ascii="黑体" w:hAnsi="黑体" w:eastAsia="黑体" w:cs="宋体"/>
          <w:kern w:val="2"/>
          <w:sz w:val="21"/>
          <w:szCs w:val="21"/>
        </w:rPr>
      </w:pPr>
      <w:r>
        <w:rPr>
          <w:rFonts w:hint="eastAsia"/>
        </w:rPr>
        <w:t>试料在助熔剂和氧气流作用下，于高频感应炉中燃烧，</w:t>
      </w:r>
      <w:r>
        <w:t>碳</w:t>
      </w:r>
      <w:r>
        <w:rPr>
          <w:rFonts w:hint="eastAsia"/>
        </w:rPr>
        <w:t>、硫分别</w:t>
      </w:r>
      <w:r>
        <w:t>生成二氧化碳</w:t>
      </w:r>
      <w:r>
        <w:rPr>
          <w:rFonts w:hint="eastAsia"/>
        </w:rPr>
        <w:t>、二氧化硫</w:t>
      </w:r>
      <w:r>
        <w:t>气体进入红外吸收池，仪器自动</w:t>
      </w:r>
      <w:r>
        <w:rPr>
          <w:rFonts w:hint="eastAsia"/>
        </w:rPr>
        <w:t>测量</w:t>
      </w:r>
      <w:r>
        <w:t>其对红外能的吸收</w:t>
      </w:r>
      <w:r>
        <w:rPr>
          <w:rFonts w:hint="eastAsia"/>
          <w:lang w:eastAsia="zh-CN"/>
        </w:rPr>
        <w:t>，</w:t>
      </w:r>
      <w:r>
        <w:rPr>
          <w:rFonts w:hint="eastAsia"/>
          <w:lang w:val="en-US" w:eastAsia="zh-CN"/>
        </w:rPr>
        <w:t>碳、硫含量的分析结果由显示器以百分含量直接显示</w:t>
      </w:r>
      <w:r>
        <w:t>。</w:t>
      </w:r>
    </w:p>
    <w:p w14:paraId="0E151C6D">
      <w:pPr>
        <w:spacing w:line="240" w:lineRule="auto"/>
        <w:rPr>
          <w:rFonts w:ascii="黑体" w:hAnsi="黑体" w:eastAsia="黑体" w:cs="宋体"/>
          <w:kern w:val="2"/>
          <w:sz w:val="21"/>
          <w:szCs w:val="21"/>
        </w:rPr>
      </w:pPr>
      <w:r>
        <w:rPr>
          <w:rFonts w:hint="eastAsia" w:ascii="黑体" w:hAnsi="黑体" w:eastAsia="黑体" w:cs="宋体"/>
          <w:kern w:val="2"/>
          <w:sz w:val="21"/>
          <w:szCs w:val="21"/>
        </w:rPr>
        <w:t>1</w:t>
      </w:r>
      <w:r>
        <w:rPr>
          <w:rFonts w:ascii="黑体" w:hAnsi="黑体" w:eastAsia="黑体" w:cs="宋体"/>
          <w:kern w:val="2"/>
          <w:sz w:val="21"/>
          <w:szCs w:val="21"/>
        </w:rPr>
        <w:t>.2</w:t>
      </w:r>
      <w:r>
        <w:rPr>
          <w:rFonts w:hint="eastAsia" w:ascii="黑体" w:hAnsi="黑体" w:eastAsia="黑体" w:cs="宋体"/>
          <w:kern w:val="2"/>
          <w:sz w:val="21"/>
          <w:szCs w:val="21"/>
        </w:rPr>
        <w:t>方法测定范围</w:t>
      </w:r>
    </w:p>
    <w:p w14:paraId="148ED6DA">
      <w:pPr>
        <w:spacing w:line="240" w:lineRule="auto"/>
        <w:ind w:firstLine="420" w:firstLineChars="200"/>
        <w:rPr>
          <w:rFonts w:hint="eastAsia" w:ascii="宋体" w:hAnsi="宋体" w:cs="宋体"/>
          <w:kern w:val="2"/>
          <w:sz w:val="21"/>
          <w:szCs w:val="21"/>
        </w:rPr>
      </w:pPr>
      <w:r>
        <w:rPr>
          <w:rFonts w:hint="eastAsia" w:ascii="宋体" w:hAnsi="宋体" w:cs="宋体"/>
          <w:kern w:val="2"/>
          <w:sz w:val="21"/>
          <w:szCs w:val="21"/>
        </w:rPr>
        <w:t>本</w:t>
      </w:r>
      <w:r>
        <w:rPr>
          <w:rFonts w:hint="eastAsia" w:ascii="宋体" w:hAnsi="宋体" w:cs="宋体"/>
          <w:kern w:val="2"/>
          <w:sz w:val="21"/>
          <w:szCs w:val="21"/>
          <w:lang w:val="en-US" w:eastAsia="zh-CN"/>
        </w:rPr>
        <w:t>部分规定了高频感应炉燃烧红外吸收法测定钴中碳、硫含量的方法</w:t>
      </w:r>
      <w:r>
        <w:rPr>
          <w:rFonts w:hint="eastAsia" w:ascii="宋体" w:hAnsi="宋体" w:cs="宋体"/>
          <w:kern w:val="2"/>
          <w:sz w:val="21"/>
          <w:szCs w:val="21"/>
        </w:rPr>
        <w:t>。</w:t>
      </w:r>
    </w:p>
    <w:p w14:paraId="0A36F6C7">
      <w:pPr>
        <w:spacing w:line="240" w:lineRule="auto"/>
        <w:ind w:firstLine="420" w:firstLineChars="200"/>
        <w:rPr>
          <w:rFonts w:hint="default" w:ascii="Times New Roman" w:hAnsi="Times New Roman" w:cs="Times New Roman"/>
          <w:kern w:val="2"/>
          <w:sz w:val="21"/>
          <w:szCs w:val="21"/>
        </w:rPr>
      </w:pPr>
      <w:r>
        <w:rPr>
          <w:rFonts w:hint="eastAsia" w:ascii="宋体" w:hAnsi="宋体" w:cs="宋体"/>
          <w:kern w:val="2"/>
          <w:sz w:val="21"/>
          <w:szCs w:val="21"/>
        </w:rPr>
        <w:t>本</w:t>
      </w:r>
      <w:r>
        <w:rPr>
          <w:rFonts w:hint="eastAsia" w:ascii="宋体" w:hAnsi="宋体" w:cs="宋体"/>
          <w:kern w:val="2"/>
          <w:sz w:val="21"/>
          <w:szCs w:val="21"/>
          <w:lang w:val="en-US" w:eastAsia="zh-CN"/>
        </w:rPr>
        <w:t>部分</w:t>
      </w:r>
      <w:r>
        <w:rPr>
          <w:rFonts w:hint="eastAsia" w:ascii="宋体" w:hAnsi="宋体" w:cs="宋体"/>
          <w:kern w:val="2"/>
          <w:sz w:val="21"/>
          <w:szCs w:val="21"/>
        </w:rPr>
        <w:t>适用于钴中碳</w:t>
      </w:r>
      <w:r>
        <w:rPr>
          <w:rFonts w:hint="eastAsia" w:ascii="宋体" w:hAnsi="宋体" w:cs="宋体"/>
          <w:kern w:val="2"/>
          <w:sz w:val="21"/>
          <w:szCs w:val="21"/>
          <w:lang w:eastAsia="zh-CN"/>
        </w:rPr>
        <w:t>、</w:t>
      </w:r>
      <w:r>
        <w:rPr>
          <w:rFonts w:hint="eastAsia" w:ascii="宋体" w:hAnsi="宋体" w:cs="宋体"/>
          <w:kern w:val="2"/>
          <w:sz w:val="21"/>
          <w:szCs w:val="21"/>
        </w:rPr>
        <w:t>硫含量的测定。测定范围</w:t>
      </w:r>
      <w:r>
        <w:rPr>
          <w:rFonts w:hint="eastAsia" w:cs="Times New Roman"/>
          <w:kern w:val="2"/>
          <w:sz w:val="21"/>
          <w:szCs w:val="21"/>
        </w:rPr>
        <w:t>（质量分数）</w:t>
      </w:r>
      <w:r>
        <w:rPr>
          <w:rFonts w:hint="eastAsia" w:ascii="宋体" w:hAnsi="宋体" w:cs="宋体"/>
          <w:kern w:val="2"/>
          <w:sz w:val="21"/>
          <w:szCs w:val="21"/>
        </w:rPr>
        <w:t>：碳0.0040％～0.20％，硫</w:t>
      </w:r>
      <w:r>
        <w:rPr>
          <w:rFonts w:hint="default" w:ascii="Times New Roman" w:hAnsi="Times New Roman" w:cs="Times New Roman"/>
          <w:kern w:val="2"/>
          <w:sz w:val="21"/>
          <w:szCs w:val="21"/>
        </w:rPr>
        <w:t>0.00050％～0.050％。</w:t>
      </w:r>
    </w:p>
    <w:p w14:paraId="6494E6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宋体"/>
          <w:kern w:val="2"/>
          <w:sz w:val="21"/>
          <w:szCs w:val="21"/>
        </w:rPr>
      </w:pPr>
      <w:r>
        <w:rPr>
          <w:rFonts w:hint="eastAsia" w:ascii="黑体" w:hAnsi="黑体" w:eastAsia="黑体" w:cs="宋体"/>
          <w:kern w:val="2"/>
          <w:sz w:val="21"/>
          <w:szCs w:val="21"/>
        </w:rPr>
        <w:t>1</w:t>
      </w:r>
      <w:r>
        <w:rPr>
          <w:rFonts w:ascii="黑体" w:hAnsi="黑体" w:eastAsia="黑体" w:cs="宋体"/>
          <w:kern w:val="2"/>
          <w:sz w:val="21"/>
          <w:szCs w:val="21"/>
        </w:rPr>
        <w:t>.3</w:t>
      </w:r>
      <w:r>
        <w:rPr>
          <w:rFonts w:hint="eastAsia" w:ascii="黑体" w:hAnsi="黑体" w:eastAsia="黑体" w:cs="宋体"/>
          <w:kern w:val="2"/>
          <w:sz w:val="21"/>
          <w:szCs w:val="21"/>
        </w:rPr>
        <w:t>试验条件的选择</w:t>
      </w:r>
    </w:p>
    <w:p w14:paraId="22BEC874">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jc w:val="both"/>
        <w:textAlignment w:val="auto"/>
        <w:outlineLvl w:val="1"/>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1.3.1 助熔剂的用量的影响</w:t>
      </w:r>
    </w:p>
    <w:p w14:paraId="1A039388">
      <w:pPr>
        <w:keepNext w:val="0"/>
        <w:keepLines w:val="0"/>
        <w:pageBreakBefore w:val="0"/>
        <w:widowControl w:val="0"/>
        <w:kinsoku/>
        <w:wordWrap/>
        <w:overflowPunct/>
        <w:topLinePunct w:val="0"/>
        <w:autoSpaceDE/>
        <w:autoSpaceDN/>
        <w:bidi w:val="0"/>
        <w:adjustRightInd/>
        <w:snapToGrid/>
        <w:spacing w:before="164" w:beforeLines="50" w:after="0" w:afterLines="0" w:line="240" w:lineRule="auto"/>
        <w:ind w:firstLine="420" w:firstLineChars="200"/>
        <w:textAlignment w:val="auto"/>
        <w:rPr>
          <w:rFonts w:ascii="Times New Roman" w:hAnsi="Times New Roman" w:eastAsia="宋体" w:cs="Times New Roman"/>
          <w:kern w:val="0"/>
          <w:sz w:val="21"/>
          <w:szCs w:val="21"/>
        </w:rPr>
      </w:pPr>
      <w:r>
        <w:rPr>
          <w:rFonts w:ascii="Times New Roman" w:hAnsi="Times New Roman" w:eastAsia="宋体" w:cs="Times New Roman"/>
          <w:kern w:val="0"/>
          <w:sz w:val="21"/>
          <w:szCs w:val="21"/>
        </w:rPr>
        <w:t>方法选用</w:t>
      </w:r>
      <w:r>
        <w:rPr>
          <w:rFonts w:hint="eastAsia" w:ascii="Times New Roman" w:hAnsi="Times New Roman" w:eastAsia="宋体" w:cs="Times New Roman"/>
          <w:kern w:val="0"/>
          <w:sz w:val="21"/>
          <w:szCs w:val="21"/>
          <w:lang w:val="en-US" w:eastAsia="zh-CN"/>
        </w:rPr>
        <w:t>铁+锡+钨</w:t>
      </w:r>
      <w:r>
        <w:rPr>
          <w:rFonts w:hint="eastAsia" w:ascii="Times New Roman" w:hAnsi="Times New Roman" w:eastAsia="宋体" w:cs="Times New Roman"/>
          <w:kern w:val="0"/>
          <w:sz w:val="21"/>
          <w:szCs w:val="21"/>
        </w:rPr>
        <w:t>作为</w:t>
      </w:r>
      <w:r>
        <w:rPr>
          <w:rFonts w:ascii="Times New Roman" w:hAnsi="Times New Roman" w:eastAsia="宋体" w:cs="Times New Roman"/>
          <w:kern w:val="0"/>
          <w:sz w:val="21"/>
          <w:szCs w:val="21"/>
        </w:rPr>
        <w:t>助熔剂。助熔剂的作用是</w:t>
      </w:r>
      <w:r>
        <w:rPr>
          <w:rFonts w:hint="eastAsia" w:ascii="Times New Roman" w:hAnsi="Times New Roman" w:eastAsia="宋体" w:cs="Times New Roman"/>
          <w:kern w:val="0"/>
          <w:sz w:val="21"/>
          <w:szCs w:val="21"/>
          <w:lang w:val="en-US" w:eastAsia="zh-CN"/>
        </w:rPr>
        <w:t>形成低熔点共熔物，</w:t>
      </w:r>
      <w:r>
        <w:rPr>
          <w:rFonts w:hint="eastAsia" w:ascii="Times New Roman" w:hAnsi="Times New Roman" w:eastAsia="宋体" w:cs="Times New Roman"/>
          <w:kern w:val="0"/>
          <w:sz w:val="21"/>
          <w:szCs w:val="21"/>
        </w:rPr>
        <w:t>降低试样熔点、</w:t>
      </w:r>
      <w:r>
        <w:rPr>
          <w:rFonts w:hint="eastAsia" w:ascii="Times New Roman" w:hAnsi="Times New Roman" w:eastAsia="宋体" w:cs="Times New Roman"/>
          <w:kern w:val="0"/>
          <w:sz w:val="21"/>
          <w:szCs w:val="21"/>
          <w:lang w:val="en-US" w:eastAsia="zh-CN"/>
        </w:rPr>
        <w:t>提供高温热源，</w:t>
      </w:r>
      <w:r>
        <w:rPr>
          <w:rFonts w:hint="eastAsia" w:ascii="Times New Roman" w:hAnsi="Times New Roman" w:eastAsia="宋体" w:cs="Times New Roman"/>
          <w:kern w:val="0"/>
          <w:sz w:val="21"/>
          <w:szCs w:val="21"/>
        </w:rPr>
        <w:t>促进熔融、改善流动性、促进碳硫充分释放。</w:t>
      </w:r>
      <w:r>
        <w:rPr>
          <w:rFonts w:ascii="Times New Roman" w:hAnsi="Times New Roman" w:eastAsia="宋体" w:cs="Times New Roman"/>
          <w:kern w:val="0"/>
          <w:sz w:val="21"/>
          <w:szCs w:val="21"/>
        </w:rPr>
        <w:t>因此，助熔剂的多少，影响试样</w:t>
      </w:r>
      <w:r>
        <w:rPr>
          <w:rFonts w:hint="eastAsia" w:ascii="Times New Roman" w:hAnsi="Times New Roman" w:eastAsia="宋体" w:cs="Times New Roman"/>
          <w:kern w:val="0"/>
          <w:sz w:val="21"/>
          <w:szCs w:val="21"/>
          <w:lang w:val="en-US" w:eastAsia="zh-CN"/>
        </w:rPr>
        <w:t>碳硫</w:t>
      </w:r>
      <w:r>
        <w:rPr>
          <w:rFonts w:ascii="Times New Roman" w:hAnsi="Times New Roman" w:eastAsia="宋体" w:cs="Times New Roman"/>
          <w:kern w:val="0"/>
          <w:sz w:val="21"/>
          <w:szCs w:val="21"/>
        </w:rPr>
        <w:t>的释放率</w:t>
      </w:r>
      <w:r>
        <w:rPr>
          <w:rFonts w:hint="eastAsia" w:ascii="Times New Roman" w:hAnsi="Times New Roman" w:eastAsia="宋体" w:cs="Times New Roman"/>
          <w:kern w:val="0"/>
          <w:sz w:val="21"/>
          <w:szCs w:val="21"/>
        </w:rPr>
        <w:t>。</w:t>
      </w:r>
      <w:r>
        <w:rPr>
          <w:rFonts w:ascii="Times New Roman" w:hAnsi="Times New Roman" w:eastAsia="宋体" w:cs="Times New Roman"/>
          <w:kern w:val="0"/>
          <w:sz w:val="21"/>
          <w:szCs w:val="21"/>
        </w:rPr>
        <w:t>量太少，燃烧不完全</w:t>
      </w:r>
      <w:r>
        <w:rPr>
          <w:rFonts w:hint="eastAsia" w:ascii="Times New Roman" w:hAnsi="Times New Roman" w:eastAsia="宋体" w:cs="Times New Roman"/>
          <w:kern w:val="0"/>
          <w:sz w:val="21"/>
          <w:szCs w:val="21"/>
        </w:rPr>
        <w:t>；</w:t>
      </w:r>
      <w:r>
        <w:rPr>
          <w:rFonts w:ascii="Times New Roman" w:hAnsi="Times New Roman" w:eastAsia="宋体" w:cs="Times New Roman"/>
          <w:kern w:val="0"/>
          <w:sz w:val="21"/>
          <w:szCs w:val="21"/>
        </w:rPr>
        <w:t>量太多，粉尘大，易产生吸附，影响准确度</w:t>
      </w:r>
      <w:r>
        <w:rPr>
          <w:rFonts w:hint="eastAsia" w:ascii="Times New Roman" w:hAnsi="Times New Roman" w:eastAsia="宋体" w:cs="Times New Roman"/>
          <w:kern w:val="0"/>
          <w:sz w:val="21"/>
          <w:szCs w:val="21"/>
        </w:rPr>
        <w:t>、精密度</w:t>
      </w:r>
      <w:r>
        <w:rPr>
          <w:rFonts w:ascii="Times New Roman" w:hAnsi="Times New Roman" w:eastAsia="宋体" w:cs="Times New Roman"/>
          <w:kern w:val="0"/>
          <w:sz w:val="21"/>
          <w:szCs w:val="21"/>
        </w:rPr>
        <w:t>。</w:t>
      </w:r>
    </w:p>
    <w:p w14:paraId="421D4909">
      <w:pPr>
        <w:keepNext w:val="0"/>
        <w:keepLines w:val="0"/>
        <w:pageBreakBefore w:val="0"/>
        <w:widowControl w:val="0"/>
        <w:kinsoku/>
        <w:wordWrap/>
        <w:overflowPunct/>
        <w:topLinePunct w:val="0"/>
        <w:autoSpaceDE/>
        <w:autoSpaceDN/>
        <w:bidi w:val="0"/>
        <w:adjustRightInd/>
        <w:snapToGrid/>
        <w:spacing w:before="0" w:beforeLines="0" w:after="164" w:afterLines="50" w:line="240" w:lineRule="auto"/>
        <w:ind w:firstLine="420" w:firstLineChars="200"/>
        <w:textAlignment w:val="auto"/>
        <w:rPr>
          <w:rFonts w:ascii="Times New Roman" w:hAnsi="Times New Roman" w:eastAsia="宋体" w:cs="Times New Roman"/>
          <w:kern w:val="0"/>
          <w:sz w:val="21"/>
          <w:szCs w:val="21"/>
        </w:rPr>
      </w:pPr>
      <w:r>
        <w:rPr>
          <w:rFonts w:ascii="Times New Roman" w:hAnsi="Times New Roman" w:eastAsia="宋体" w:cs="Times New Roman"/>
          <w:kern w:val="0"/>
          <w:sz w:val="21"/>
          <w:szCs w:val="21"/>
        </w:rPr>
        <w:t>称取0.</w:t>
      </w:r>
      <w:r>
        <w:rPr>
          <w:rFonts w:hint="eastAsia" w:ascii="Times New Roman" w:hAnsi="Times New Roman" w:eastAsia="宋体" w:cs="Times New Roman"/>
          <w:kern w:val="0"/>
          <w:sz w:val="21"/>
          <w:szCs w:val="21"/>
          <w:lang w:val="en-US" w:eastAsia="zh-CN"/>
        </w:rPr>
        <w:t>5</w:t>
      </w:r>
      <w:r>
        <w:rPr>
          <w:rFonts w:ascii="Times New Roman" w:hAnsi="Times New Roman" w:eastAsia="宋体" w:cs="Times New Roman"/>
          <w:kern w:val="0"/>
          <w:sz w:val="21"/>
          <w:szCs w:val="21"/>
        </w:rPr>
        <w:t>0</w:t>
      </w:r>
      <w:r>
        <w:rPr>
          <w:rFonts w:hint="eastAsia" w:ascii="Times New Roman" w:hAnsi="Times New Roman" w:eastAsia="宋体" w:cs="Times New Roman"/>
          <w:kern w:val="0"/>
          <w:sz w:val="21"/>
          <w:szCs w:val="21"/>
          <w:lang w:val="en-US" w:eastAsia="zh-CN"/>
        </w:rPr>
        <w:t xml:space="preserve">00 </w:t>
      </w:r>
      <w:r>
        <w:rPr>
          <w:rFonts w:ascii="Times New Roman" w:hAnsi="Times New Roman" w:eastAsia="宋体" w:cs="Times New Roman"/>
          <w:kern w:val="0"/>
          <w:sz w:val="21"/>
          <w:szCs w:val="21"/>
        </w:rPr>
        <w:t>g</w:t>
      </w:r>
      <w:r>
        <w:rPr>
          <w:rFonts w:hint="eastAsia" w:ascii="Times New Roman" w:hAnsi="Times New Roman" w:eastAsia="宋体" w:cs="Times New Roman"/>
          <w:kern w:val="0"/>
          <w:sz w:val="21"/>
          <w:szCs w:val="21"/>
          <w:lang w:val="en-US" w:eastAsia="zh-CN"/>
        </w:rPr>
        <w:t>3#样品</w:t>
      </w:r>
      <w:r>
        <w:rPr>
          <w:rFonts w:ascii="Times New Roman" w:hAnsi="Times New Roman" w:eastAsia="宋体" w:cs="Times New Roman"/>
          <w:kern w:val="0"/>
          <w:sz w:val="21"/>
          <w:szCs w:val="21"/>
        </w:rPr>
        <w:t>，以钨</w:t>
      </w:r>
      <w:r>
        <w:rPr>
          <w:rFonts w:hint="eastAsia" w:ascii="Times New Roman" w:hAnsi="Times New Roman" w:eastAsia="宋体" w:cs="Times New Roman"/>
          <w:kern w:val="0"/>
          <w:sz w:val="21"/>
          <w:szCs w:val="21"/>
          <w:lang w:val="en-US" w:eastAsia="zh-CN"/>
        </w:rPr>
        <w:t>和锡</w:t>
      </w:r>
      <w:r>
        <w:rPr>
          <w:rFonts w:hint="eastAsia" w:ascii="Times New Roman" w:hAnsi="Times New Roman" w:eastAsia="宋体" w:cs="Times New Roman"/>
          <w:kern w:val="0"/>
          <w:sz w:val="21"/>
          <w:szCs w:val="21"/>
        </w:rPr>
        <w:t>助熔剂</w:t>
      </w:r>
      <w:r>
        <w:rPr>
          <w:rFonts w:ascii="Times New Roman" w:hAnsi="Times New Roman" w:eastAsia="宋体" w:cs="Times New Roman"/>
          <w:kern w:val="0"/>
          <w:sz w:val="21"/>
          <w:szCs w:val="21"/>
        </w:rPr>
        <w:t>为定值，加入量为</w:t>
      </w:r>
      <w:r>
        <w:rPr>
          <w:rFonts w:hint="eastAsia" w:ascii="Times New Roman" w:hAnsi="Times New Roman" w:eastAsia="宋体" w:cs="Times New Roman"/>
          <w:kern w:val="0"/>
          <w:sz w:val="21"/>
          <w:szCs w:val="21"/>
          <w:lang w:val="en-US" w:eastAsia="zh-CN"/>
        </w:rPr>
        <w:t>钨</w:t>
      </w:r>
      <w:r>
        <w:rPr>
          <w:rFonts w:ascii="Times New Roman" w:hAnsi="Times New Roman" w:eastAsia="宋体" w:cs="Times New Roman"/>
          <w:kern w:val="0"/>
          <w:sz w:val="21"/>
          <w:szCs w:val="21"/>
        </w:rPr>
        <w:t>1.</w:t>
      </w:r>
      <w:r>
        <w:rPr>
          <w:rFonts w:hint="eastAsia" w:ascii="Times New Roman" w:hAnsi="Times New Roman" w:eastAsia="宋体" w:cs="Times New Roman"/>
          <w:kern w:val="0"/>
          <w:sz w:val="21"/>
          <w:szCs w:val="21"/>
          <w:lang w:val="en-US" w:eastAsia="zh-CN"/>
        </w:rPr>
        <w:t xml:space="preserve">0 </w:t>
      </w:r>
      <w:r>
        <w:rPr>
          <w:rFonts w:ascii="Times New Roman" w:hAnsi="Times New Roman" w:eastAsia="宋体" w:cs="Times New Roman"/>
          <w:kern w:val="0"/>
          <w:sz w:val="21"/>
          <w:szCs w:val="21"/>
        </w:rPr>
        <w:t>g</w:t>
      </w:r>
      <w:r>
        <w:rPr>
          <w:rFonts w:hint="eastAsia" w:ascii="Times New Roman" w:hAnsi="Times New Roman" w:eastAsia="宋体" w:cs="Times New Roman"/>
          <w:kern w:val="0"/>
          <w:sz w:val="21"/>
          <w:szCs w:val="21"/>
          <w:lang w:eastAsia="zh-CN"/>
        </w:rPr>
        <w:t>、</w:t>
      </w:r>
      <w:r>
        <w:rPr>
          <w:rFonts w:hint="eastAsia" w:ascii="Times New Roman" w:hAnsi="Times New Roman" w:eastAsia="宋体" w:cs="Times New Roman"/>
          <w:kern w:val="0"/>
          <w:sz w:val="21"/>
          <w:szCs w:val="21"/>
          <w:lang w:val="en-US" w:eastAsia="zh-CN"/>
        </w:rPr>
        <w:t>锡0.20～0.25g，</w:t>
      </w:r>
      <w:r>
        <w:rPr>
          <w:rFonts w:ascii="Times New Roman" w:hAnsi="Times New Roman" w:eastAsia="宋体" w:cs="Times New Roman"/>
          <w:kern w:val="0"/>
          <w:sz w:val="21"/>
          <w:szCs w:val="21"/>
        </w:rPr>
        <w:t>改变铁</w:t>
      </w:r>
      <w:r>
        <w:rPr>
          <w:rFonts w:hint="eastAsia" w:ascii="Times New Roman" w:hAnsi="Times New Roman" w:eastAsia="宋体" w:cs="Times New Roman"/>
          <w:kern w:val="0"/>
          <w:sz w:val="21"/>
          <w:szCs w:val="21"/>
        </w:rPr>
        <w:t>助熔剂</w:t>
      </w:r>
      <w:r>
        <w:rPr>
          <w:rFonts w:ascii="Times New Roman" w:hAnsi="Times New Roman" w:eastAsia="宋体" w:cs="Times New Roman"/>
          <w:kern w:val="0"/>
          <w:sz w:val="21"/>
          <w:szCs w:val="21"/>
        </w:rPr>
        <w:t>的量，观察熔样情况和释放曲线，结果见表</w:t>
      </w:r>
      <w:r>
        <w:rPr>
          <w:rFonts w:hint="eastAsia" w:ascii="Times New Roman" w:hAnsi="Times New Roman" w:eastAsia="宋体" w:cs="Times New Roman"/>
          <w:kern w:val="0"/>
          <w:sz w:val="21"/>
          <w:szCs w:val="21"/>
          <w:lang w:val="en-US" w:eastAsia="zh-CN"/>
        </w:rPr>
        <w:t>3</w:t>
      </w:r>
      <w:r>
        <w:rPr>
          <w:rFonts w:ascii="Times New Roman" w:hAnsi="Times New Roman" w:eastAsia="宋体" w:cs="Times New Roman"/>
          <w:kern w:val="0"/>
          <w:sz w:val="21"/>
          <w:szCs w:val="21"/>
        </w:rPr>
        <w:t>。</w:t>
      </w:r>
    </w:p>
    <w:p w14:paraId="34F743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黑体" w:cs="Times New Roman"/>
          <w:kern w:val="2"/>
          <w:sz w:val="21"/>
          <w:szCs w:val="21"/>
        </w:rPr>
      </w:pPr>
      <w:r>
        <w:rPr>
          <w:rFonts w:hint="default" w:ascii="Times New Roman" w:hAnsi="Times New Roman" w:eastAsia="黑体" w:cs="Times New Roman"/>
          <w:kern w:val="2"/>
          <w:sz w:val="21"/>
          <w:szCs w:val="21"/>
        </w:rPr>
        <w:t>表</w:t>
      </w:r>
      <w:r>
        <w:rPr>
          <w:rFonts w:hint="default" w:ascii="Times New Roman" w:hAnsi="Times New Roman" w:eastAsia="黑体" w:cs="Times New Roman"/>
          <w:kern w:val="2"/>
          <w:sz w:val="21"/>
          <w:szCs w:val="21"/>
          <w:lang w:val="en-US" w:eastAsia="zh-CN"/>
        </w:rPr>
        <w:t>3</w:t>
      </w:r>
      <w:r>
        <w:rPr>
          <w:rFonts w:hint="default" w:ascii="Times New Roman" w:hAnsi="Times New Roman" w:eastAsia="黑体" w:cs="Times New Roman"/>
          <w:kern w:val="2"/>
          <w:sz w:val="21"/>
          <w:szCs w:val="21"/>
        </w:rPr>
        <w:t xml:space="preserve"> 铁助熔剂加入量试验（n=</w:t>
      </w:r>
      <w:r>
        <w:rPr>
          <w:rFonts w:hint="default" w:ascii="Times New Roman" w:hAnsi="Times New Roman" w:eastAsia="黑体" w:cs="Times New Roman"/>
          <w:kern w:val="2"/>
          <w:sz w:val="21"/>
          <w:szCs w:val="21"/>
          <w:lang w:val="en-US" w:eastAsia="zh-CN"/>
        </w:rPr>
        <w:t>2</w:t>
      </w:r>
      <w:r>
        <w:rPr>
          <w:rFonts w:hint="default" w:ascii="Times New Roman" w:hAnsi="Times New Roman" w:eastAsia="黑体" w:cs="Times New Roman"/>
          <w:kern w:val="2"/>
          <w:sz w:val="21"/>
          <w:szCs w:val="21"/>
        </w:rPr>
        <w:t>）</w:t>
      </w:r>
    </w:p>
    <w:tbl>
      <w:tblPr>
        <w:tblStyle w:val="89"/>
        <w:tblW w:w="4881" w:type="pct"/>
        <w:jc w:val="center"/>
        <w:tblLayout w:type="autofit"/>
        <w:tblCellMar>
          <w:top w:w="0" w:type="dxa"/>
          <w:left w:w="108" w:type="dxa"/>
          <w:bottom w:w="0" w:type="dxa"/>
          <w:right w:w="108" w:type="dxa"/>
        </w:tblCellMar>
      </w:tblPr>
      <w:tblGrid>
        <w:gridCol w:w="1783"/>
        <w:gridCol w:w="1412"/>
        <w:gridCol w:w="2020"/>
        <w:gridCol w:w="1631"/>
        <w:gridCol w:w="1666"/>
      </w:tblGrid>
      <w:tr w14:paraId="456E7AA9">
        <w:tblPrEx>
          <w:tblCellMar>
            <w:top w:w="0" w:type="dxa"/>
            <w:left w:w="108" w:type="dxa"/>
            <w:bottom w:w="0" w:type="dxa"/>
            <w:right w:w="108" w:type="dxa"/>
          </w:tblCellMar>
        </w:tblPrEx>
        <w:trPr>
          <w:trHeight w:val="360" w:hRule="atLeast"/>
          <w:jc w:val="center"/>
        </w:trPr>
        <w:tc>
          <w:tcPr>
            <w:tcW w:w="1047" w:type="pct"/>
            <w:tcBorders>
              <w:top w:val="single" w:color="auto" w:sz="4" w:space="0"/>
              <w:left w:val="single" w:color="auto" w:sz="4" w:space="0"/>
              <w:bottom w:val="single" w:color="auto" w:sz="4" w:space="0"/>
              <w:right w:val="single" w:color="auto" w:sz="4" w:space="0"/>
            </w:tcBorders>
            <w:vAlign w:val="center"/>
          </w:tcPr>
          <w:p w14:paraId="79E78A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铁助熔剂加入量/g</w:t>
            </w:r>
          </w:p>
        </w:tc>
        <w:tc>
          <w:tcPr>
            <w:tcW w:w="829" w:type="pct"/>
            <w:tcBorders>
              <w:top w:val="single" w:color="auto" w:sz="4" w:space="0"/>
              <w:left w:val="nil"/>
              <w:bottom w:val="single" w:color="auto" w:sz="4" w:space="0"/>
              <w:right w:val="single" w:color="auto" w:sz="4" w:space="0"/>
            </w:tcBorders>
            <w:vAlign w:val="center"/>
          </w:tcPr>
          <w:p w14:paraId="7C2405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熔样情况</w:t>
            </w:r>
          </w:p>
        </w:tc>
        <w:tc>
          <w:tcPr>
            <w:tcW w:w="1186" w:type="pct"/>
            <w:tcBorders>
              <w:top w:val="single" w:color="auto" w:sz="4" w:space="0"/>
              <w:left w:val="nil"/>
              <w:bottom w:val="single" w:color="auto" w:sz="4" w:space="0"/>
              <w:right w:val="single" w:color="auto" w:sz="4" w:space="0"/>
            </w:tcBorders>
            <w:vAlign w:val="center"/>
          </w:tcPr>
          <w:p w14:paraId="58332C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曲线释放情况</w:t>
            </w:r>
          </w:p>
        </w:tc>
        <w:tc>
          <w:tcPr>
            <w:tcW w:w="958" w:type="pct"/>
            <w:tcBorders>
              <w:top w:val="single" w:color="auto" w:sz="4" w:space="0"/>
              <w:left w:val="nil"/>
              <w:bottom w:val="single" w:color="auto" w:sz="4" w:space="0"/>
              <w:right w:val="single" w:color="auto" w:sz="4" w:space="0"/>
            </w:tcBorders>
            <w:vAlign w:val="center"/>
          </w:tcPr>
          <w:p w14:paraId="3F1F3A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lang w:val="en-US" w:eastAsia="zh-CN"/>
              </w:rPr>
              <w:t>碳</w:t>
            </w:r>
            <w:r>
              <w:rPr>
                <w:rFonts w:hint="default" w:ascii="Times New Roman" w:hAnsi="Times New Roman" w:eastAsia="宋体" w:cs="Times New Roman"/>
                <w:b w:val="0"/>
                <w:bCs/>
                <w:kern w:val="0"/>
                <w:sz w:val="18"/>
                <w:szCs w:val="18"/>
              </w:rPr>
              <w:t>的测定值/%</w:t>
            </w:r>
          </w:p>
        </w:tc>
        <w:tc>
          <w:tcPr>
            <w:tcW w:w="978" w:type="pct"/>
            <w:tcBorders>
              <w:top w:val="single" w:color="auto" w:sz="4" w:space="0"/>
              <w:left w:val="nil"/>
              <w:bottom w:val="single" w:color="auto" w:sz="4" w:space="0"/>
              <w:right w:val="single" w:color="auto" w:sz="4" w:space="0"/>
            </w:tcBorders>
            <w:vAlign w:val="center"/>
          </w:tcPr>
          <w:p w14:paraId="46F165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硫的测定值/%</w:t>
            </w:r>
          </w:p>
        </w:tc>
      </w:tr>
      <w:tr w14:paraId="6A03B72F">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15441D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0.</w:t>
            </w:r>
            <w:r>
              <w:rPr>
                <w:rFonts w:hint="default" w:ascii="Times New Roman" w:hAnsi="Times New Roman" w:eastAsia="宋体" w:cs="Times New Roman"/>
                <w:b w:val="0"/>
                <w:bCs/>
                <w:kern w:val="0"/>
                <w:sz w:val="18"/>
                <w:szCs w:val="18"/>
                <w:lang w:val="en-US" w:eastAsia="zh-CN"/>
              </w:rPr>
              <w:t>1</w:t>
            </w:r>
            <w:r>
              <w:rPr>
                <w:rFonts w:hint="default" w:ascii="Times New Roman" w:hAnsi="Times New Roman" w:eastAsia="宋体" w:cs="Times New Roman"/>
                <w:b w:val="0"/>
                <w:bCs/>
                <w:kern w:val="0"/>
                <w:sz w:val="18"/>
                <w:szCs w:val="18"/>
              </w:rPr>
              <w:t>0</w:t>
            </w:r>
          </w:p>
        </w:tc>
        <w:tc>
          <w:tcPr>
            <w:tcW w:w="829" w:type="pct"/>
            <w:tcBorders>
              <w:top w:val="nil"/>
              <w:left w:val="nil"/>
              <w:bottom w:val="single" w:color="auto" w:sz="4" w:space="0"/>
              <w:right w:val="single" w:color="auto" w:sz="4" w:space="0"/>
            </w:tcBorders>
            <w:vAlign w:val="center"/>
          </w:tcPr>
          <w:p w14:paraId="2C12B7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不平滑</w:t>
            </w:r>
          </w:p>
        </w:tc>
        <w:tc>
          <w:tcPr>
            <w:tcW w:w="1186" w:type="pct"/>
            <w:tcBorders>
              <w:top w:val="nil"/>
              <w:left w:val="nil"/>
              <w:bottom w:val="single" w:color="auto" w:sz="4" w:space="0"/>
              <w:right w:val="single" w:color="auto" w:sz="4" w:space="0"/>
            </w:tcBorders>
            <w:vAlign w:val="center"/>
          </w:tcPr>
          <w:p w14:paraId="6F1EA1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highlight w:val="none"/>
                <w:lang w:val="en-US" w:eastAsia="zh-CN"/>
              </w:rPr>
              <w:t>硫释放曲线较差</w:t>
            </w:r>
          </w:p>
        </w:tc>
        <w:tc>
          <w:tcPr>
            <w:tcW w:w="958" w:type="pct"/>
            <w:tcBorders>
              <w:top w:val="nil"/>
              <w:left w:val="nil"/>
              <w:bottom w:val="single" w:color="auto" w:sz="4" w:space="0"/>
              <w:right w:val="single" w:color="auto" w:sz="4" w:space="0"/>
            </w:tcBorders>
            <w:vAlign w:val="center"/>
          </w:tcPr>
          <w:p w14:paraId="7D5329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0.202</w:t>
            </w:r>
          </w:p>
        </w:tc>
        <w:tc>
          <w:tcPr>
            <w:tcW w:w="978" w:type="pct"/>
            <w:tcBorders>
              <w:top w:val="nil"/>
              <w:left w:val="nil"/>
              <w:bottom w:val="single" w:color="auto" w:sz="4" w:space="0"/>
              <w:right w:val="single" w:color="auto" w:sz="4" w:space="0"/>
            </w:tcBorders>
            <w:vAlign w:val="center"/>
          </w:tcPr>
          <w:p w14:paraId="38220D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0.00804</w:t>
            </w:r>
          </w:p>
        </w:tc>
      </w:tr>
      <w:tr w14:paraId="5FDE2148">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76D358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0.</w:t>
            </w:r>
            <w:r>
              <w:rPr>
                <w:rFonts w:hint="default" w:ascii="Times New Roman" w:hAnsi="Times New Roman" w:eastAsia="宋体" w:cs="Times New Roman"/>
                <w:b w:val="0"/>
                <w:bCs/>
                <w:kern w:val="0"/>
                <w:sz w:val="18"/>
                <w:szCs w:val="18"/>
                <w:lang w:val="en-US" w:eastAsia="zh-CN"/>
              </w:rPr>
              <w:t>2</w:t>
            </w:r>
            <w:r>
              <w:rPr>
                <w:rFonts w:hint="default" w:ascii="Times New Roman" w:hAnsi="Times New Roman" w:eastAsia="宋体" w:cs="Times New Roman"/>
                <w:b w:val="0"/>
                <w:bCs/>
                <w:kern w:val="0"/>
                <w:sz w:val="18"/>
                <w:szCs w:val="18"/>
              </w:rPr>
              <w:t>0</w:t>
            </w:r>
          </w:p>
        </w:tc>
        <w:tc>
          <w:tcPr>
            <w:tcW w:w="829" w:type="pct"/>
            <w:tcBorders>
              <w:top w:val="nil"/>
              <w:left w:val="nil"/>
              <w:bottom w:val="single" w:color="auto" w:sz="4" w:space="0"/>
              <w:right w:val="single" w:color="auto" w:sz="4" w:space="0"/>
            </w:tcBorders>
            <w:vAlign w:val="center"/>
          </w:tcPr>
          <w:p w14:paraId="5BA6A0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平滑</w:t>
            </w:r>
          </w:p>
        </w:tc>
        <w:tc>
          <w:tcPr>
            <w:tcW w:w="1186" w:type="pct"/>
            <w:tcBorders>
              <w:top w:val="nil"/>
              <w:left w:val="nil"/>
              <w:bottom w:val="single" w:color="auto" w:sz="4" w:space="0"/>
              <w:right w:val="single" w:color="auto" w:sz="4" w:space="0"/>
            </w:tcBorders>
            <w:vAlign w:val="center"/>
          </w:tcPr>
          <w:p w14:paraId="1A4542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highlight w:val="none"/>
                <w:lang w:val="en-US" w:eastAsia="zh-CN"/>
              </w:rPr>
              <w:t>硫释放曲线较差</w:t>
            </w:r>
          </w:p>
        </w:tc>
        <w:tc>
          <w:tcPr>
            <w:tcW w:w="958" w:type="pct"/>
            <w:tcBorders>
              <w:top w:val="nil"/>
              <w:left w:val="nil"/>
              <w:bottom w:val="single" w:color="auto" w:sz="4" w:space="0"/>
              <w:right w:val="single" w:color="auto" w:sz="4" w:space="0"/>
            </w:tcBorders>
            <w:vAlign w:val="center"/>
          </w:tcPr>
          <w:p w14:paraId="408A93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0.208</w:t>
            </w:r>
          </w:p>
        </w:tc>
        <w:tc>
          <w:tcPr>
            <w:tcW w:w="978" w:type="pct"/>
            <w:tcBorders>
              <w:top w:val="nil"/>
              <w:left w:val="nil"/>
              <w:bottom w:val="single" w:color="auto" w:sz="4" w:space="0"/>
              <w:right w:val="single" w:color="auto" w:sz="4" w:space="0"/>
            </w:tcBorders>
            <w:vAlign w:val="center"/>
          </w:tcPr>
          <w:p w14:paraId="6E6BD1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0.00847</w:t>
            </w:r>
          </w:p>
        </w:tc>
      </w:tr>
      <w:tr w14:paraId="01442E9C">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6FC3FE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0.</w:t>
            </w:r>
            <w:r>
              <w:rPr>
                <w:rFonts w:hint="default" w:ascii="Times New Roman" w:hAnsi="Times New Roman" w:eastAsia="宋体" w:cs="Times New Roman"/>
                <w:b w:val="0"/>
                <w:bCs/>
                <w:kern w:val="0"/>
                <w:sz w:val="18"/>
                <w:szCs w:val="18"/>
                <w:lang w:val="en-US" w:eastAsia="zh-CN"/>
              </w:rPr>
              <w:t>3</w:t>
            </w:r>
            <w:r>
              <w:rPr>
                <w:rFonts w:hint="default" w:ascii="Times New Roman" w:hAnsi="Times New Roman" w:eastAsia="宋体" w:cs="Times New Roman"/>
                <w:b w:val="0"/>
                <w:bCs/>
                <w:kern w:val="0"/>
                <w:sz w:val="18"/>
                <w:szCs w:val="18"/>
              </w:rPr>
              <w:t>0</w:t>
            </w:r>
          </w:p>
        </w:tc>
        <w:tc>
          <w:tcPr>
            <w:tcW w:w="829" w:type="pct"/>
            <w:tcBorders>
              <w:top w:val="nil"/>
              <w:left w:val="nil"/>
              <w:bottom w:val="single" w:color="auto" w:sz="4" w:space="0"/>
              <w:right w:val="single" w:color="auto" w:sz="4" w:space="0"/>
            </w:tcBorders>
            <w:vAlign w:val="center"/>
          </w:tcPr>
          <w:p w14:paraId="0E94D7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平滑</w:t>
            </w:r>
          </w:p>
        </w:tc>
        <w:tc>
          <w:tcPr>
            <w:tcW w:w="1186" w:type="pct"/>
            <w:tcBorders>
              <w:top w:val="nil"/>
              <w:left w:val="nil"/>
              <w:bottom w:val="single" w:color="auto" w:sz="4" w:space="0"/>
              <w:right w:val="single" w:color="auto" w:sz="4" w:space="0"/>
            </w:tcBorders>
            <w:vAlign w:val="center"/>
          </w:tcPr>
          <w:p w14:paraId="2D085B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释放曲线流畅</w:t>
            </w:r>
          </w:p>
        </w:tc>
        <w:tc>
          <w:tcPr>
            <w:tcW w:w="958" w:type="pct"/>
            <w:tcBorders>
              <w:top w:val="nil"/>
              <w:left w:val="nil"/>
              <w:bottom w:val="single" w:color="auto" w:sz="4" w:space="0"/>
              <w:right w:val="single" w:color="auto" w:sz="4" w:space="0"/>
            </w:tcBorders>
            <w:vAlign w:val="center"/>
          </w:tcPr>
          <w:p w14:paraId="4B0A07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0.204</w:t>
            </w:r>
          </w:p>
        </w:tc>
        <w:tc>
          <w:tcPr>
            <w:tcW w:w="978" w:type="pct"/>
            <w:tcBorders>
              <w:top w:val="nil"/>
              <w:left w:val="nil"/>
              <w:bottom w:val="single" w:color="auto" w:sz="4" w:space="0"/>
              <w:right w:val="single" w:color="auto" w:sz="4" w:space="0"/>
            </w:tcBorders>
            <w:vAlign w:val="center"/>
          </w:tcPr>
          <w:p w14:paraId="590D39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0.00890</w:t>
            </w:r>
          </w:p>
        </w:tc>
      </w:tr>
      <w:tr w14:paraId="11F30205">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761955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0.</w:t>
            </w:r>
            <w:r>
              <w:rPr>
                <w:rFonts w:hint="default" w:ascii="Times New Roman" w:hAnsi="Times New Roman" w:eastAsia="宋体" w:cs="Times New Roman"/>
                <w:b w:val="0"/>
                <w:bCs/>
                <w:kern w:val="0"/>
                <w:sz w:val="18"/>
                <w:szCs w:val="18"/>
                <w:lang w:val="en-US" w:eastAsia="zh-CN"/>
              </w:rPr>
              <w:t>4</w:t>
            </w:r>
            <w:r>
              <w:rPr>
                <w:rFonts w:hint="default" w:ascii="Times New Roman" w:hAnsi="Times New Roman" w:eastAsia="宋体" w:cs="Times New Roman"/>
                <w:b w:val="0"/>
                <w:bCs/>
                <w:kern w:val="0"/>
                <w:sz w:val="18"/>
                <w:szCs w:val="18"/>
              </w:rPr>
              <w:t>0</w:t>
            </w:r>
          </w:p>
        </w:tc>
        <w:tc>
          <w:tcPr>
            <w:tcW w:w="829" w:type="pct"/>
            <w:tcBorders>
              <w:top w:val="nil"/>
              <w:left w:val="nil"/>
              <w:bottom w:val="single" w:color="auto" w:sz="4" w:space="0"/>
              <w:right w:val="single" w:color="auto" w:sz="4" w:space="0"/>
            </w:tcBorders>
            <w:vAlign w:val="center"/>
          </w:tcPr>
          <w:p w14:paraId="65D1CA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迸溅</w:t>
            </w:r>
          </w:p>
        </w:tc>
        <w:tc>
          <w:tcPr>
            <w:tcW w:w="1186" w:type="pct"/>
            <w:tcBorders>
              <w:top w:val="nil"/>
              <w:left w:val="nil"/>
              <w:bottom w:val="single" w:color="auto" w:sz="4" w:space="0"/>
              <w:right w:val="single" w:color="auto" w:sz="4" w:space="0"/>
            </w:tcBorders>
            <w:vAlign w:val="center"/>
          </w:tcPr>
          <w:p w14:paraId="299833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rPr>
            </w:pPr>
            <w:r>
              <w:rPr>
                <w:rFonts w:hint="default" w:ascii="Times New Roman" w:hAnsi="Times New Roman" w:eastAsia="宋体" w:cs="Times New Roman"/>
                <w:b w:val="0"/>
                <w:bCs/>
                <w:kern w:val="0"/>
                <w:sz w:val="18"/>
                <w:szCs w:val="18"/>
              </w:rPr>
              <w:t>释放曲线流畅</w:t>
            </w:r>
          </w:p>
        </w:tc>
        <w:tc>
          <w:tcPr>
            <w:tcW w:w="958" w:type="pct"/>
            <w:tcBorders>
              <w:top w:val="nil"/>
              <w:left w:val="nil"/>
              <w:bottom w:val="single" w:color="auto" w:sz="4" w:space="0"/>
              <w:right w:val="single" w:color="auto" w:sz="4" w:space="0"/>
            </w:tcBorders>
            <w:vAlign w:val="center"/>
          </w:tcPr>
          <w:p w14:paraId="3DDEBD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0.198</w:t>
            </w:r>
          </w:p>
        </w:tc>
        <w:tc>
          <w:tcPr>
            <w:tcW w:w="978" w:type="pct"/>
            <w:tcBorders>
              <w:top w:val="nil"/>
              <w:left w:val="nil"/>
              <w:bottom w:val="single" w:color="auto" w:sz="4" w:space="0"/>
              <w:right w:val="single" w:color="auto" w:sz="4" w:space="0"/>
            </w:tcBorders>
            <w:vAlign w:val="center"/>
          </w:tcPr>
          <w:p w14:paraId="66C5E4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default" w:ascii="Times New Roman" w:hAnsi="Times New Roman" w:eastAsia="宋体" w:cs="Times New Roman"/>
                <w:b w:val="0"/>
                <w:bCs/>
                <w:kern w:val="0"/>
                <w:sz w:val="18"/>
                <w:szCs w:val="18"/>
                <w:lang w:val="en-US" w:eastAsia="zh-CN"/>
              </w:rPr>
              <w:t>0.00866</w:t>
            </w:r>
          </w:p>
        </w:tc>
      </w:tr>
    </w:tbl>
    <w:p w14:paraId="72BE40B3">
      <w:pPr>
        <w:keepNext w:val="0"/>
        <w:keepLines w:val="0"/>
        <w:pageBreakBefore w:val="0"/>
        <w:widowControl w:val="0"/>
        <w:kinsoku/>
        <w:wordWrap/>
        <w:overflowPunct/>
        <w:topLinePunct w:val="0"/>
        <w:autoSpaceDE/>
        <w:autoSpaceDN/>
        <w:bidi w:val="0"/>
        <w:adjustRightInd/>
        <w:snapToGrid/>
        <w:spacing w:before="156" w:beforeLines="50" w:after="0" w:afterLines="0" w:line="240" w:lineRule="auto"/>
        <w:ind w:firstLine="420" w:firstLineChars="200"/>
        <w:textAlignment w:val="auto"/>
        <w:rPr>
          <w:rFonts w:ascii="Times New Roman" w:hAnsi="Times New Roman" w:eastAsia="宋体" w:cs="Times New Roman"/>
          <w:kern w:val="0"/>
          <w:sz w:val="21"/>
          <w:szCs w:val="21"/>
        </w:rPr>
      </w:pPr>
      <w:r>
        <w:rPr>
          <w:rFonts w:ascii="Times New Roman" w:hAnsi="Times New Roman" w:eastAsia="宋体" w:cs="Times New Roman"/>
          <w:kern w:val="0"/>
          <w:sz w:val="21"/>
          <w:szCs w:val="21"/>
        </w:rPr>
        <w:t>从表</w:t>
      </w:r>
      <w:r>
        <w:rPr>
          <w:rFonts w:hint="eastAsia" w:ascii="Times New Roman" w:hAnsi="Times New Roman" w:eastAsia="宋体" w:cs="Times New Roman"/>
          <w:kern w:val="0"/>
          <w:sz w:val="21"/>
          <w:szCs w:val="21"/>
          <w:lang w:val="en-US" w:eastAsia="zh-CN"/>
        </w:rPr>
        <w:t>2</w:t>
      </w:r>
      <w:r>
        <w:rPr>
          <w:rFonts w:ascii="Times New Roman" w:hAnsi="Times New Roman" w:eastAsia="宋体" w:cs="Times New Roman"/>
          <w:kern w:val="0"/>
          <w:sz w:val="21"/>
          <w:szCs w:val="21"/>
        </w:rPr>
        <w:t>可以看出，</w:t>
      </w:r>
      <w:r>
        <w:rPr>
          <w:rFonts w:hint="eastAsia" w:ascii="Times New Roman" w:hAnsi="Times New Roman" w:eastAsia="宋体" w:cs="Times New Roman"/>
          <w:kern w:val="0"/>
          <w:sz w:val="21"/>
          <w:szCs w:val="21"/>
          <w:lang w:val="en-US" w:eastAsia="zh-CN"/>
        </w:rPr>
        <w:t>当</w:t>
      </w:r>
      <w:r>
        <w:rPr>
          <w:rFonts w:ascii="Times New Roman" w:hAnsi="Times New Roman" w:eastAsia="宋体" w:cs="Times New Roman"/>
          <w:kern w:val="0"/>
          <w:sz w:val="21"/>
          <w:szCs w:val="21"/>
        </w:rPr>
        <w:t>铁助熔剂</w:t>
      </w:r>
      <w:r>
        <w:rPr>
          <w:rFonts w:hint="eastAsia" w:ascii="Times New Roman" w:hAnsi="Times New Roman" w:eastAsia="宋体" w:cs="Times New Roman"/>
          <w:kern w:val="0"/>
          <w:sz w:val="21"/>
          <w:szCs w:val="21"/>
          <w:lang w:val="en-US" w:eastAsia="zh-CN"/>
        </w:rPr>
        <w:t>的加入量为</w:t>
      </w:r>
      <w:r>
        <w:rPr>
          <w:rFonts w:ascii="Times New Roman" w:hAnsi="Times New Roman" w:eastAsia="宋体" w:cs="Times New Roman"/>
          <w:kern w:val="0"/>
          <w:sz w:val="21"/>
          <w:szCs w:val="21"/>
        </w:rPr>
        <w:t>0.</w:t>
      </w:r>
      <w:r>
        <w:rPr>
          <w:rFonts w:hint="eastAsia" w:ascii="Times New Roman" w:hAnsi="Times New Roman" w:eastAsia="宋体" w:cs="Times New Roman"/>
          <w:kern w:val="0"/>
          <w:sz w:val="21"/>
          <w:szCs w:val="21"/>
          <w:lang w:val="en-US" w:eastAsia="zh-CN"/>
        </w:rPr>
        <w:t>1</w:t>
      </w:r>
      <w:r>
        <w:rPr>
          <w:rFonts w:ascii="Times New Roman" w:hAnsi="Times New Roman" w:eastAsia="宋体" w:cs="Times New Roman"/>
          <w:kern w:val="0"/>
          <w:sz w:val="21"/>
          <w:szCs w:val="21"/>
        </w:rPr>
        <w:t>g时，</w:t>
      </w:r>
      <w:r>
        <w:rPr>
          <w:rFonts w:hint="eastAsia" w:ascii="Times New Roman" w:hAnsi="Times New Roman" w:eastAsia="宋体" w:cs="Times New Roman"/>
          <w:kern w:val="0"/>
          <w:sz w:val="21"/>
          <w:szCs w:val="21"/>
          <w:lang w:val="en-US" w:eastAsia="zh-CN"/>
        </w:rPr>
        <w:t>熔样不平滑，熔体表面有凹陷，硫的释放曲线较差</w:t>
      </w:r>
      <w:r>
        <w:rPr>
          <w:rFonts w:ascii="Times New Roman" w:hAnsi="Times New Roman" w:eastAsia="宋体" w:cs="Times New Roman"/>
          <w:kern w:val="0"/>
          <w:sz w:val="21"/>
          <w:szCs w:val="21"/>
        </w:rPr>
        <w:t>。</w:t>
      </w:r>
      <w:r>
        <w:rPr>
          <w:rFonts w:hint="eastAsia" w:ascii="Times New Roman" w:hAnsi="Times New Roman" w:eastAsia="宋体" w:cs="Times New Roman"/>
          <w:kern w:val="0"/>
          <w:sz w:val="21"/>
          <w:szCs w:val="21"/>
          <w:lang w:val="en-US" w:eastAsia="zh-CN"/>
        </w:rPr>
        <w:t>当</w:t>
      </w:r>
      <w:r>
        <w:rPr>
          <w:rFonts w:ascii="Times New Roman" w:hAnsi="Times New Roman" w:eastAsia="宋体" w:cs="Times New Roman"/>
          <w:kern w:val="0"/>
          <w:sz w:val="21"/>
          <w:szCs w:val="21"/>
        </w:rPr>
        <w:t>铁助熔剂</w:t>
      </w:r>
      <w:r>
        <w:rPr>
          <w:rFonts w:hint="eastAsia" w:ascii="Times New Roman" w:hAnsi="Times New Roman" w:eastAsia="宋体" w:cs="Times New Roman"/>
          <w:kern w:val="0"/>
          <w:sz w:val="21"/>
          <w:szCs w:val="21"/>
          <w:lang w:val="en-US" w:eastAsia="zh-CN"/>
        </w:rPr>
        <w:t>的加入量为</w:t>
      </w:r>
      <w:r>
        <w:rPr>
          <w:rFonts w:ascii="Times New Roman" w:hAnsi="Times New Roman" w:eastAsia="宋体" w:cs="Times New Roman"/>
          <w:kern w:val="0"/>
          <w:sz w:val="21"/>
          <w:szCs w:val="21"/>
        </w:rPr>
        <w:t>0.</w:t>
      </w:r>
      <w:r>
        <w:rPr>
          <w:rFonts w:hint="eastAsia" w:ascii="Times New Roman" w:hAnsi="Times New Roman" w:eastAsia="宋体" w:cs="Times New Roman"/>
          <w:kern w:val="0"/>
          <w:sz w:val="21"/>
          <w:szCs w:val="21"/>
          <w:lang w:val="en-US" w:eastAsia="zh-CN"/>
        </w:rPr>
        <w:t>2</w:t>
      </w:r>
      <w:r>
        <w:rPr>
          <w:rFonts w:ascii="Times New Roman" w:hAnsi="Times New Roman" w:eastAsia="宋体" w:cs="Times New Roman"/>
          <w:kern w:val="0"/>
          <w:sz w:val="21"/>
          <w:szCs w:val="21"/>
        </w:rPr>
        <w:t>g时</w:t>
      </w:r>
      <w:r>
        <w:rPr>
          <w:rFonts w:hint="eastAsia" w:ascii="Times New Roman" w:hAnsi="Times New Roman" w:eastAsia="宋体" w:cs="Times New Roman"/>
          <w:kern w:val="0"/>
          <w:sz w:val="21"/>
          <w:szCs w:val="21"/>
          <w:lang w:eastAsia="zh-CN"/>
        </w:rPr>
        <w:t>，</w:t>
      </w:r>
      <w:r>
        <w:rPr>
          <w:rFonts w:hint="eastAsia" w:ascii="Times New Roman" w:hAnsi="Times New Roman" w:eastAsia="宋体" w:cs="Times New Roman"/>
          <w:kern w:val="0"/>
          <w:sz w:val="21"/>
          <w:szCs w:val="21"/>
          <w:lang w:val="en-US" w:eastAsia="zh-CN"/>
        </w:rPr>
        <w:t>熔样变平滑，但硫的释放曲线依旧较差。</w:t>
      </w:r>
      <w:r>
        <w:rPr>
          <w:rFonts w:ascii="Times New Roman" w:hAnsi="Times New Roman" w:eastAsia="宋体" w:cs="Times New Roman"/>
          <w:kern w:val="0"/>
          <w:sz w:val="21"/>
          <w:szCs w:val="21"/>
        </w:rPr>
        <w:t>加入</w:t>
      </w:r>
      <w:r>
        <w:rPr>
          <w:rFonts w:hint="eastAsia" w:ascii="Times New Roman" w:hAnsi="Times New Roman" w:eastAsia="宋体" w:cs="Times New Roman"/>
          <w:kern w:val="0"/>
          <w:sz w:val="21"/>
          <w:szCs w:val="21"/>
          <w:lang w:val="en-US" w:eastAsia="zh-CN"/>
        </w:rPr>
        <w:t>0.30g</w:t>
      </w:r>
      <w:r>
        <w:rPr>
          <w:rFonts w:ascii="Times New Roman" w:hAnsi="Times New Roman" w:eastAsia="宋体" w:cs="Times New Roman"/>
          <w:kern w:val="0"/>
          <w:sz w:val="21"/>
          <w:szCs w:val="21"/>
        </w:rPr>
        <w:t>铁助熔剂时，</w:t>
      </w:r>
      <w:r>
        <w:rPr>
          <w:rFonts w:hint="eastAsia" w:ascii="Times New Roman" w:hAnsi="Times New Roman" w:eastAsia="宋体" w:cs="Times New Roman"/>
          <w:kern w:val="0"/>
          <w:sz w:val="21"/>
          <w:szCs w:val="21"/>
        </w:rPr>
        <w:t>熔样平滑</w:t>
      </w:r>
      <w:r>
        <w:rPr>
          <w:rFonts w:hint="eastAsia" w:ascii="Times New Roman" w:hAnsi="Times New Roman" w:eastAsia="宋体" w:cs="Times New Roman"/>
          <w:kern w:val="0"/>
          <w:sz w:val="21"/>
          <w:szCs w:val="21"/>
          <w:lang w:eastAsia="zh-CN"/>
        </w:rPr>
        <w:t>，</w:t>
      </w:r>
      <w:r>
        <w:rPr>
          <w:rFonts w:hint="eastAsia" w:ascii="Times New Roman" w:hAnsi="Times New Roman" w:eastAsia="宋体" w:cs="Times New Roman"/>
          <w:kern w:val="0"/>
          <w:sz w:val="21"/>
          <w:szCs w:val="21"/>
          <w:lang w:val="en-US" w:eastAsia="zh-CN"/>
        </w:rPr>
        <w:t>碳</w:t>
      </w:r>
      <w:r>
        <w:rPr>
          <w:rFonts w:ascii="Times New Roman" w:hAnsi="Times New Roman" w:eastAsia="宋体" w:cs="Times New Roman"/>
          <w:kern w:val="0"/>
          <w:sz w:val="21"/>
          <w:szCs w:val="21"/>
        </w:rPr>
        <w:t>硫的释放曲线</w:t>
      </w:r>
      <w:r>
        <w:rPr>
          <w:rFonts w:hint="eastAsia" w:ascii="Times New Roman" w:hAnsi="Times New Roman" w:eastAsia="宋体" w:cs="Times New Roman"/>
          <w:kern w:val="0"/>
          <w:sz w:val="21"/>
          <w:szCs w:val="21"/>
          <w:lang w:val="en-US" w:eastAsia="zh-CN"/>
        </w:rPr>
        <w:t>流畅</w:t>
      </w:r>
      <w:r>
        <w:rPr>
          <w:rFonts w:ascii="Times New Roman" w:hAnsi="Times New Roman" w:eastAsia="宋体" w:cs="Times New Roman"/>
          <w:kern w:val="0"/>
          <w:sz w:val="21"/>
          <w:szCs w:val="21"/>
        </w:rPr>
        <w:t>。</w:t>
      </w:r>
      <w:r>
        <w:rPr>
          <w:rFonts w:hint="eastAsia" w:ascii="Times New Roman" w:hAnsi="Times New Roman" w:eastAsia="宋体" w:cs="Times New Roman"/>
          <w:kern w:val="0"/>
          <w:sz w:val="21"/>
          <w:szCs w:val="21"/>
          <w:lang w:val="en-US" w:eastAsia="zh-CN"/>
        </w:rPr>
        <w:t>当铁助熔剂的量增加至0.40g时，碳</w:t>
      </w:r>
      <w:r>
        <w:rPr>
          <w:rFonts w:ascii="Times New Roman" w:hAnsi="Times New Roman" w:eastAsia="宋体" w:cs="Times New Roman"/>
          <w:kern w:val="0"/>
          <w:sz w:val="21"/>
          <w:szCs w:val="21"/>
        </w:rPr>
        <w:t>硫的释放曲线</w:t>
      </w:r>
      <w:r>
        <w:rPr>
          <w:rFonts w:hint="eastAsia" w:ascii="Times New Roman" w:hAnsi="Times New Roman" w:eastAsia="宋体" w:cs="Times New Roman"/>
          <w:kern w:val="0"/>
          <w:sz w:val="21"/>
          <w:szCs w:val="21"/>
          <w:lang w:val="en-US" w:eastAsia="zh-CN"/>
        </w:rPr>
        <w:t>流畅，但是熔样出现迸溅情况，因此</w:t>
      </w:r>
      <w:r>
        <w:rPr>
          <w:rFonts w:ascii="Times New Roman" w:hAnsi="Times New Roman" w:eastAsia="宋体" w:cs="Times New Roman"/>
          <w:kern w:val="0"/>
          <w:sz w:val="21"/>
          <w:szCs w:val="21"/>
        </w:rPr>
        <w:t>建议铁助熔剂的加入量为0.</w:t>
      </w:r>
      <w:r>
        <w:rPr>
          <w:rFonts w:hint="eastAsia" w:ascii="Times New Roman" w:hAnsi="Times New Roman" w:eastAsia="宋体" w:cs="Times New Roman"/>
          <w:kern w:val="0"/>
          <w:sz w:val="21"/>
          <w:szCs w:val="21"/>
          <w:lang w:val="en-US" w:eastAsia="zh-CN"/>
        </w:rPr>
        <w:t>3</w:t>
      </w:r>
      <w:r>
        <w:rPr>
          <w:rFonts w:ascii="Times New Roman" w:hAnsi="Times New Roman" w:eastAsia="宋体" w:cs="Times New Roman"/>
          <w:kern w:val="0"/>
          <w:sz w:val="21"/>
          <w:szCs w:val="21"/>
        </w:rPr>
        <w:t>0g。</w:t>
      </w:r>
    </w:p>
    <w:p w14:paraId="2A1F54CE">
      <w:pPr>
        <w:keepNext w:val="0"/>
        <w:keepLines w:val="0"/>
        <w:pageBreakBefore w:val="0"/>
        <w:widowControl w:val="0"/>
        <w:kinsoku/>
        <w:wordWrap/>
        <w:overflowPunct/>
        <w:topLinePunct w:val="0"/>
        <w:autoSpaceDE/>
        <w:autoSpaceDN/>
        <w:bidi w:val="0"/>
        <w:adjustRightInd/>
        <w:snapToGrid/>
        <w:spacing w:before="0" w:beforeLines="0" w:after="164" w:afterLines="50" w:line="240" w:lineRule="auto"/>
        <w:ind w:firstLine="420" w:firstLineChars="200"/>
        <w:textAlignment w:val="auto"/>
        <w:rPr>
          <w:rFonts w:hint="eastAsia"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以铁、</w:t>
      </w:r>
      <w:r>
        <w:rPr>
          <w:rFonts w:hint="eastAsia" w:ascii="Times New Roman" w:hAnsi="Times New Roman" w:eastAsia="宋体" w:cs="Times New Roman"/>
          <w:kern w:val="0"/>
          <w:sz w:val="21"/>
          <w:szCs w:val="21"/>
          <w:highlight w:val="none"/>
          <w:lang w:val="en-US" w:eastAsia="zh-CN"/>
        </w:rPr>
        <w:t>锡</w:t>
      </w:r>
      <w:r>
        <w:rPr>
          <w:rFonts w:hint="eastAsia" w:ascii="Times New Roman" w:hAnsi="Times New Roman" w:eastAsia="宋体" w:cs="Times New Roman"/>
          <w:kern w:val="0"/>
          <w:sz w:val="21"/>
          <w:szCs w:val="21"/>
          <w:highlight w:val="none"/>
        </w:rPr>
        <w:t>助熔剂为定值，加入量为铁0.</w:t>
      </w:r>
      <w:r>
        <w:rPr>
          <w:rFonts w:hint="eastAsia" w:ascii="Times New Roman" w:hAnsi="Times New Roman" w:eastAsia="宋体" w:cs="Times New Roman"/>
          <w:kern w:val="0"/>
          <w:sz w:val="21"/>
          <w:szCs w:val="21"/>
          <w:highlight w:val="none"/>
          <w:lang w:val="en-US" w:eastAsia="zh-CN"/>
        </w:rPr>
        <w:t>3</w:t>
      </w:r>
      <w:r>
        <w:rPr>
          <w:rFonts w:hint="eastAsia" w:ascii="Times New Roman" w:hAnsi="Times New Roman" w:eastAsia="宋体" w:cs="Times New Roman"/>
          <w:kern w:val="0"/>
          <w:sz w:val="21"/>
          <w:szCs w:val="21"/>
          <w:highlight w:val="none"/>
        </w:rPr>
        <w:t>0g、</w:t>
      </w:r>
      <w:r>
        <w:rPr>
          <w:rFonts w:hint="eastAsia" w:ascii="Times New Roman" w:hAnsi="Times New Roman" w:eastAsia="宋体" w:cs="Times New Roman"/>
          <w:kern w:val="0"/>
          <w:sz w:val="21"/>
          <w:szCs w:val="21"/>
          <w:highlight w:val="none"/>
          <w:lang w:val="en-US" w:eastAsia="zh-CN"/>
        </w:rPr>
        <w:t>锡</w:t>
      </w:r>
      <w:r>
        <w:rPr>
          <w:rFonts w:hint="eastAsia" w:ascii="Times New Roman" w:hAnsi="Times New Roman" w:eastAsia="宋体" w:cs="Times New Roman"/>
          <w:kern w:val="0"/>
          <w:sz w:val="21"/>
          <w:szCs w:val="21"/>
          <w:lang w:val="en-US" w:eastAsia="zh-CN"/>
        </w:rPr>
        <w:t>0.20～0.25g</w:t>
      </w:r>
      <w:r>
        <w:rPr>
          <w:rFonts w:hint="eastAsia" w:ascii="Times New Roman" w:hAnsi="Times New Roman" w:eastAsia="宋体" w:cs="Times New Roman"/>
          <w:kern w:val="0"/>
          <w:sz w:val="21"/>
          <w:szCs w:val="21"/>
          <w:highlight w:val="none"/>
        </w:rPr>
        <w:t>，改变</w:t>
      </w:r>
      <w:r>
        <w:rPr>
          <w:rFonts w:hint="eastAsia" w:ascii="Times New Roman" w:hAnsi="Times New Roman" w:eastAsia="宋体" w:cs="Times New Roman"/>
          <w:kern w:val="0"/>
          <w:sz w:val="21"/>
          <w:szCs w:val="21"/>
          <w:highlight w:val="none"/>
          <w:lang w:val="en-US" w:eastAsia="zh-CN"/>
        </w:rPr>
        <w:t>钨</w:t>
      </w:r>
      <w:r>
        <w:rPr>
          <w:rFonts w:hint="eastAsia" w:ascii="Times New Roman" w:hAnsi="Times New Roman" w:eastAsia="宋体" w:cs="Times New Roman"/>
          <w:kern w:val="0"/>
          <w:sz w:val="21"/>
          <w:szCs w:val="21"/>
          <w:highlight w:val="none"/>
        </w:rPr>
        <w:t>助熔剂的量，观察熔样情况和释放曲线，结果见表</w:t>
      </w:r>
      <w:r>
        <w:rPr>
          <w:rFonts w:hint="eastAsia" w:ascii="Times New Roman" w:hAnsi="Times New Roman" w:eastAsia="宋体" w:cs="Times New Roman"/>
          <w:kern w:val="0"/>
          <w:sz w:val="21"/>
          <w:szCs w:val="21"/>
          <w:highlight w:val="none"/>
          <w:lang w:val="en-US" w:eastAsia="zh-CN"/>
        </w:rPr>
        <w:t>4</w:t>
      </w:r>
      <w:r>
        <w:rPr>
          <w:rFonts w:hint="eastAsia" w:ascii="Times New Roman" w:hAnsi="Times New Roman" w:eastAsia="宋体" w:cs="Times New Roman"/>
          <w:kern w:val="0"/>
          <w:sz w:val="21"/>
          <w:szCs w:val="21"/>
          <w:highlight w:val="none"/>
        </w:rPr>
        <w:t>。</w:t>
      </w:r>
    </w:p>
    <w:p w14:paraId="44CC3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黑体" w:cs="Times New Roman"/>
          <w:kern w:val="2"/>
          <w:sz w:val="21"/>
          <w:szCs w:val="21"/>
        </w:rPr>
      </w:pPr>
      <w:r>
        <w:rPr>
          <w:rFonts w:ascii="Times New Roman" w:hAnsi="Times New Roman" w:eastAsia="黑体" w:cs="Times New Roman"/>
          <w:kern w:val="2"/>
          <w:sz w:val="21"/>
          <w:szCs w:val="21"/>
        </w:rPr>
        <w:t>表</w:t>
      </w:r>
      <w:r>
        <w:rPr>
          <w:rFonts w:hint="eastAsia" w:ascii="Times New Roman" w:hAnsi="Times New Roman" w:eastAsia="黑体" w:cs="Times New Roman"/>
          <w:kern w:val="2"/>
          <w:sz w:val="21"/>
          <w:szCs w:val="21"/>
          <w:lang w:val="en-US" w:eastAsia="zh-CN"/>
        </w:rPr>
        <w:t>4</w:t>
      </w:r>
      <w:r>
        <w:rPr>
          <w:rFonts w:ascii="Times New Roman" w:hAnsi="Times New Roman" w:eastAsia="黑体" w:cs="Times New Roman"/>
          <w:kern w:val="2"/>
          <w:sz w:val="21"/>
          <w:szCs w:val="21"/>
        </w:rPr>
        <w:t xml:space="preserve"> </w:t>
      </w:r>
      <w:r>
        <w:rPr>
          <w:rFonts w:hint="eastAsia" w:ascii="Times New Roman" w:hAnsi="Times New Roman" w:eastAsia="黑体" w:cs="Times New Roman"/>
          <w:kern w:val="2"/>
          <w:sz w:val="21"/>
          <w:szCs w:val="21"/>
          <w:lang w:val="en-US" w:eastAsia="zh-CN"/>
        </w:rPr>
        <w:t>钨</w:t>
      </w:r>
      <w:r>
        <w:rPr>
          <w:rFonts w:ascii="Times New Roman" w:hAnsi="Times New Roman" w:eastAsia="黑体" w:cs="Times New Roman"/>
          <w:kern w:val="2"/>
          <w:sz w:val="21"/>
          <w:szCs w:val="21"/>
        </w:rPr>
        <w:t>助熔剂加入量试验</w:t>
      </w:r>
      <w:r>
        <w:rPr>
          <w:rFonts w:hint="eastAsia" w:ascii="Times New Roman" w:hAnsi="Times New Roman" w:eastAsia="黑体" w:cs="Times New Roman"/>
          <w:kern w:val="2"/>
          <w:sz w:val="21"/>
          <w:szCs w:val="21"/>
        </w:rPr>
        <w:t>（n</w:t>
      </w:r>
      <w:r>
        <w:rPr>
          <w:rFonts w:ascii="Times New Roman" w:hAnsi="Times New Roman" w:eastAsia="黑体" w:cs="Times New Roman"/>
          <w:kern w:val="2"/>
          <w:sz w:val="21"/>
          <w:szCs w:val="21"/>
        </w:rPr>
        <w:t>=</w:t>
      </w:r>
      <w:r>
        <w:rPr>
          <w:rFonts w:hint="eastAsia" w:ascii="Times New Roman" w:hAnsi="Times New Roman" w:eastAsia="黑体" w:cs="Times New Roman"/>
          <w:kern w:val="2"/>
          <w:sz w:val="21"/>
          <w:szCs w:val="21"/>
          <w:lang w:val="en-US" w:eastAsia="zh-CN"/>
        </w:rPr>
        <w:t>2</w:t>
      </w:r>
      <w:r>
        <w:rPr>
          <w:rFonts w:hint="eastAsia" w:ascii="Times New Roman" w:hAnsi="Times New Roman" w:eastAsia="黑体" w:cs="Times New Roman"/>
          <w:kern w:val="2"/>
          <w:sz w:val="21"/>
          <w:szCs w:val="21"/>
        </w:rPr>
        <w:t>）</w:t>
      </w:r>
    </w:p>
    <w:tbl>
      <w:tblPr>
        <w:tblStyle w:val="89"/>
        <w:tblW w:w="4881" w:type="pct"/>
        <w:jc w:val="center"/>
        <w:tblLayout w:type="autofit"/>
        <w:tblCellMar>
          <w:top w:w="0" w:type="dxa"/>
          <w:left w:w="108" w:type="dxa"/>
          <w:bottom w:w="0" w:type="dxa"/>
          <w:right w:w="108" w:type="dxa"/>
        </w:tblCellMar>
      </w:tblPr>
      <w:tblGrid>
        <w:gridCol w:w="1783"/>
        <w:gridCol w:w="1412"/>
        <w:gridCol w:w="2020"/>
        <w:gridCol w:w="1632"/>
        <w:gridCol w:w="1665"/>
      </w:tblGrid>
      <w:tr w14:paraId="3170CA04">
        <w:tblPrEx>
          <w:tblCellMar>
            <w:top w:w="0" w:type="dxa"/>
            <w:left w:w="108" w:type="dxa"/>
            <w:bottom w:w="0" w:type="dxa"/>
            <w:right w:w="108" w:type="dxa"/>
          </w:tblCellMar>
        </w:tblPrEx>
        <w:trPr>
          <w:trHeight w:val="360" w:hRule="atLeast"/>
          <w:jc w:val="center"/>
        </w:trPr>
        <w:tc>
          <w:tcPr>
            <w:tcW w:w="1047" w:type="pct"/>
            <w:tcBorders>
              <w:top w:val="single" w:color="auto" w:sz="4" w:space="0"/>
              <w:left w:val="single" w:color="auto" w:sz="4" w:space="0"/>
              <w:bottom w:val="single" w:color="auto" w:sz="4" w:space="0"/>
              <w:right w:val="single" w:color="auto" w:sz="4" w:space="0"/>
            </w:tcBorders>
            <w:vAlign w:val="center"/>
          </w:tcPr>
          <w:p w14:paraId="20AE02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钨</w:t>
            </w:r>
            <w:r>
              <w:rPr>
                <w:rFonts w:hint="eastAsia" w:ascii="Times New Roman" w:hAnsi="Times New Roman" w:eastAsia="宋体" w:cs="Times New Roman"/>
                <w:b w:val="0"/>
                <w:bCs/>
                <w:kern w:val="0"/>
                <w:sz w:val="18"/>
                <w:szCs w:val="18"/>
              </w:rPr>
              <w:t>助熔剂</w:t>
            </w:r>
            <w:r>
              <w:rPr>
                <w:rFonts w:ascii="Times New Roman" w:hAnsi="Times New Roman" w:eastAsia="宋体" w:cs="Times New Roman"/>
                <w:b w:val="0"/>
                <w:bCs/>
                <w:kern w:val="0"/>
                <w:sz w:val="18"/>
                <w:szCs w:val="18"/>
              </w:rPr>
              <w:t>加入量/g</w:t>
            </w:r>
          </w:p>
        </w:tc>
        <w:tc>
          <w:tcPr>
            <w:tcW w:w="829" w:type="pct"/>
            <w:tcBorders>
              <w:top w:val="single" w:color="auto" w:sz="4" w:space="0"/>
              <w:left w:val="nil"/>
              <w:bottom w:val="single" w:color="auto" w:sz="4" w:space="0"/>
              <w:right w:val="single" w:color="auto" w:sz="4" w:space="0"/>
            </w:tcBorders>
            <w:vAlign w:val="center"/>
          </w:tcPr>
          <w:p w14:paraId="46191F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熔样情况</w:t>
            </w:r>
          </w:p>
        </w:tc>
        <w:tc>
          <w:tcPr>
            <w:tcW w:w="1186" w:type="pct"/>
            <w:tcBorders>
              <w:top w:val="single" w:color="auto" w:sz="4" w:space="0"/>
              <w:left w:val="nil"/>
              <w:bottom w:val="single" w:color="auto" w:sz="4" w:space="0"/>
              <w:right w:val="single" w:color="auto" w:sz="4" w:space="0"/>
            </w:tcBorders>
            <w:vAlign w:val="center"/>
          </w:tcPr>
          <w:p w14:paraId="1325FE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曲线释放情况</w:t>
            </w:r>
          </w:p>
        </w:tc>
        <w:tc>
          <w:tcPr>
            <w:tcW w:w="958" w:type="pct"/>
            <w:tcBorders>
              <w:top w:val="single" w:color="auto" w:sz="4" w:space="0"/>
              <w:left w:val="nil"/>
              <w:bottom w:val="single" w:color="auto" w:sz="4" w:space="0"/>
              <w:right w:val="single" w:color="auto" w:sz="4" w:space="0"/>
            </w:tcBorders>
            <w:vAlign w:val="center"/>
          </w:tcPr>
          <w:p w14:paraId="50A642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碳</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c>
          <w:tcPr>
            <w:tcW w:w="977" w:type="pct"/>
            <w:tcBorders>
              <w:top w:val="single" w:color="auto" w:sz="4" w:space="0"/>
              <w:left w:val="nil"/>
              <w:bottom w:val="single" w:color="auto" w:sz="4" w:space="0"/>
              <w:right w:val="single" w:color="auto" w:sz="4" w:space="0"/>
            </w:tcBorders>
            <w:vAlign w:val="center"/>
          </w:tcPr>
          <w:p w14:paraId="3E7514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硫</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r>
      <w:tr w14:paraId="18053929">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22EDBE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1.0</w:t>
            </w:r>
          </w:p>
        </w:tc>
        <w:tc>
          <w:tcPr>
            <w:tcW w:w="829" w:type="pct"/>
            <w:tcBorders>
              <w:top w:val="nil"/>
              <w:left w:val="nil"/>
              <w:bottom w:val="single" w:color="auto" w:sz="4" w:space="0"/>
              <w:right w:val="single" w:color="auto" w:sz="4" w:space="0"/>
            </w:tcBorders>
            <w:vAlign w:val="center"/>
          </w:tcPr>
          <w:p w14:paraId="091665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平滑</w:t>
            </w:r>
          </w:p>
        </w:tc>
        <w:tc>
          <w:tcPr>
            <w:tcW w:w="1186" w:type="pct"/>
            <w:tcBorders>
              <w:top w:val="nil"/>
              <w:left w:val="nil"/>
              <w:bottom w:val="single" w:color="auto" w:sz="4" w:space="0"/>
              <w:right w:val="single" w:color="auto" w:sz="4" w:space="0"/>
            </w:tcBorders>
            <w:vAlign w:val="center"/>
          </w:tcPr>
          <w:p w14:paraId="1C7979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释放曲线流畅</w:t>
            </w:r>
          </w:p>
        </w:tc>
        <w:tc>
          <w:tcPr>
            <w:tcW w:w="958" w:type="pct"/>
            <w:tcBorders>
              <w:top w:val="nil"/>
              <w:left w:val="nil"/>
              <w:bottom w:val="single" w:color="auto" w:sz="4" w:space="0"/>
              <w:right w:val="single" w:color="auto" w:sz="4" w:space="0"/>
            </w:tcBorders>
            <w:vAlign w:val="center"/>
          </w:tcPr>
          <w:p w14:paraId="2D52AD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0.210</w:t>
            </w:r>
          </w:p>
        </w:tc>
        <w:tc>
          <w:tcPr>
            <w:tcW w:w="977" w:type="pct"/>
            <w:tcBorders>
              <w:top w:val="nil"/>
              <w:left w:val="nil"/>
              <w:bottom w:val="single" w:color="auto" w:sz="4" w:space="0"/>
              <w:right w:val="single" w:color="auto" w:sz="4" w:space="0"/>
            </w:tcBorders>
            <w:vAlign w:val="center"/>
          </w:tcPr>
          <w:p w14:paraId="273B62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0.00891</w:t>
            </w:r>
          </w:p>
        </w:tc>
      </w:tr>
      <w:tr w14:paraId="4AB7037F">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5A0793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2.0</w:t>
            </w:r>
          </w:p>
        </w:tc>
        <w:tc>
          <w:tcPr>
            <w:tcW w:w="829" w:type="pct"/>
            <w:tcBorders>
              <w:top w:val="nil"/>
              <w:left w:val="nil"/>
              <w:bottom w:val="single" w:color="auto" w:sz="4" w:space="0"/>
              <w:right w:val="single" w:color="auto" w:sz="4" w:space="0"/>
            </w:tcBorders>
            <w:vAlign w:val="center"/>
          </w:tcPr>
          <w:p w14:paraId="408DA7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平滑</w:t>
            </w:r>
          </w:p>
        </w:tc>
        <w:tc>
          <w:tcPr>
            <w:tcW w:w="1186" w:type="pct"/>
            <w:tcBorders>
              <w:top w:val="nil"/>
              <w:left w:val="nil"/>
              <w:bottom w:val="single" w:color="auto" w:sz="4" w:space="0"/>
              <w:right w:val="single" w:color="auto" w:sz="4" w:space="0"/>
            </w:tcBorders>
            <w:vAlign w:val="center"/>
          </w:tcPr>
          <w:p w14:paraId="50C07A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kern w:val="0"/>
                <w:sz w:val="18"/>
                <w:szCs w:val="18"/>
                <w:lang w:eastAsia="zh-CN"/>
              </w:rPr>
            </w:pPr>
            <w:r>
              <w:rPr>
                <w:rFonts w:ascii="Times New Roman" w:hAnsi="Times New Roman" w:eastAsia="宋体" w:cs="Times New Roman"/>
                <w:b w:val="0"/>
                <w:bCs/>
                <w:kern w:val="0"/>
                <w:sz w:val="18"/>
                <w:szCs w:val="18"/>
              </w:rPr>
              <w:t>释放曲线</w:t>
            </w:r>
            <w:r>
              <w:rPr>
                <w:rFonts w:hint="eastAsia" w:ascii="Times New Roman" w:hAnsi="Times New Roman" w:eastAsia="宋体" w:cs="Times New Roman"/>
                <w:b w:val="0"/>
                <w:bCs/>
                <w:kern w:val="0"/>
                <w:sz w:val="18"/>
                <w:szCs w:val="18"/>
                <w:lang w:val="en-US" w:eastAsia="zh-CN"/>
              </w:rPr>
              <w:t>流畅</w:t>
            </w:r>
          </w:p>
        </w:tc>
        <w:tc>
          <w:tcPr>
            <w:tcW w:w="958" w:type="pct"/>
            <w:tcBorders>
              <w:top w:val="nil"/>
              <w:left w:val="nil"/>
              <w:bottom w:val="single" w:color="auto" w:sz="4" w:space="0"/>
              <w:right w:val="single" w:color="auto" w:sz="4" w:space="0"/>
            </w:tcBorders>
            <w:vAlign w:val="center"/>
          </w:tcPr>
          <w:p w14:paraId="4758F5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0.214</w:t>
            </w:r>
          </w:p>
        </w:tc>
        <w:tc>
          <w:tcPr>
            <w:tcW w:w="977" w:type="pct"/>
            <w:tcBorders>
              <w:top w:val="nil"/>
              <w:left w:val="nil"/>
              <w:bottom w:val="single" w:color="auto" w:sz="4" w:space="0"/>
              <w:right w:val="single" w:color="auto" w:sz="4" w:space="0"/>
            </w:tcBorders>
            <w:vAlign w:val="center"/>
          </w:tcPr>
          <w:p w14:paraId="332962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0.00854</w:t>
            </w:r>
          </w:p>
        </w:tc>
      </w:tr>
    </w:tbl>
    <w:p w14:paraId="11A7702F">
      <w:pPr>
        <w:keepNext w:val="0"/>
        <w:keepLines w:val="0"/>
        <w:pageBreakBefore w:val="0"/>
        <w:widowControl w:val="0"/>
        <w:kinsoku/>
        <w:wordWrap/>
        <w:overflowPunct/>
        <w:topLinePunct w:val="0"/>
        <w:autoSpaceDE/>
        <w:autoSpaceDN/>
        <w:bidi w:val="0"/>
        <w:adjustRightInd/>
        <w:snapToGrid/>
        <w:spacing w:before="164" w:beforeLines="50" w:line="240" w:lineRule="auto"/>
        <w:ind w:firstLine="420" w:firstLineChars="200"/>
        <w:textAlignment w:val="auto"/>
        <w:rPr>
          <w:rFonts w:hint="eastAsia"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从表</w:t>
      </w:r>
      <w:r>
        <w:rPr>
          <w:rFonts w:hint="eastAsia" w:ascii="Times New Roman" w:hAnsi="Times New Roman" w:eastAsia="宋体" w:cs="Times New Roman"/>
          <w:kern w:val="0"/>
          <w:sz w:val="21"/>
          <w:szCs w:val="21"/>
          <w:highlight w:val="none"/>
          <w:lang w:val="en-US" w:eastAsia="zh-CN"/>
        </w:rPr>
        <w:t>4</w:t>
      </w:r>
      <w:r>
        <w:rPr>
          <w:rFonts w:hint="eastAsia" w:ascii="Times New Roman" w:hAnsi="Times New Roman" w:eastAsia="宋体" w:cs="Times New Roman"/>
          <w:kern w:val="0"/>
          <w:sz w:val="21"/>
          <w:szCs w:val="21"/>
          <w:highlight w:val="none"/>
        </w:rPr>
        <w:t>可以看出，加入</w:t>
      </w:r>
      <w:r>
        <w:rPr>
          <w:rFonts w:hint="eastAsia" w:ascii="Times New Roman" w:hAnsi="Times New Roman" w:eastAsia="宋体" w:cs="Times New Roman"/>
          <w:kern w:val="0"/>
          <w:sz w:val="21"/>
          <w:szCs w:val="21"/>
          <w:highlight w:val="none"/>
          <w:lang w:val="en-US" w:eastAsia="zh-CN"/>
        </w:rPr>
        <w:t xml:space="preserve">1.0 </w:t>
      </w:r>
      <w:r>
        <w:rPr>
          <w:rFonts w:hint="eastAsia" w:ascii="Times New Roman" w:hAnsi="Times New Roman" w:eastAsia="宋体" w:cs="Times New Roman"/>
          <w:kern w:val="0"/>
          <w:sz w:val="21"/>
          <w:szCs w:val="21"/>
          <w:highlight w:val="none"/>
        </w:rPr>
        <w:t>g</w:t>
      </w:r>
      <w:r>
        <w:rPr>
          <w:rFonts w:hint="eastAsia" w:ascii="Times New Roman" w:hAnsi="Times New Roman" w:eastAsia="宋体" w:cs="Times New Roman"/>
          <w:kern w:val="0"/>
          <w:sz w:val="21"/>
          <w:szCs w:val="21"/>
          <w:highlight w:val="none"/>
          <w:lang w:val="en-US" w:eastAsia="zh-CN"/>
        </w:rPr>
        <w:t>和2.0 g钨</w:t>
      </w:r>
      <w:r>
        <w:rPr>
          <w:rFonts w:hint="eastAsia" w:ascii="Times New Roman" w:hAnsi="Times New Roman" w:eastAsia="宋体" w:cs="Times New Roman"/>
          <w:kern w:val="0"/>
          <w:sz w:val="21"/>
          <w:szCs w:val="21"/>
          <w:highlight w:val="none"/>
        </w:rPr>
        <w:t>助熔剂时，熔样平滑，碳硫的释放曲线流畅</w:t>
      </w:r>
      <w:r>
        <w:rPr>
          <w:rFonts w:hint="eastAsia" w:ascii="Times New Roman" w:hAnsi="Times New Roman" w:eastAsia="宋体" w:cs="Times New Roman"/>
          <w:kern w:val="0"/>
          <w:sz w:val="21"/>
          <w:szCs w:val="21"/>
          <w:highlight w:val="none"/>
          <w:lang w:eastAsia="zh-CN"/>
        </w:rPr>
        <w:t>，</w:t>
      </w:r>
      <w:r>
        <w:rPr>
          <w:rFonts w:hint="eastAsia" w:ascii="Times New Roman" w:hAnsi="Times New Roman" w:eastAsia="宋体" w:cs="Times New Roman"/>
          <w:kern w:val="0"/>
          <w:sz w:val="21"/>
          <w:szCs w:val="21"/>
          <w:highlight w:val="none"/>
          <w:lang w:val="en-US" w:eastAsia="zh-CN"/>
        </w:rPr>
        <w:t>碳硫测定值基本一致</w:t>
      </w:r>
      <w:r>
        <w:rPr>
          <w:rFonts w:hint="eastAsia" w:ascii="Times New Roman" w:hAnsi="Times New Roman" w:eastAsia="宋体" w:cs="Times New Roman"/>
          <w:kern w:val="0"/>
          <w:sz w:val="21"/>
          <w:szCs w:val="21"/>
          <w:highlight w:val="none"/>
        </w:rPr>
        <w:t>。</w:t>
      </w:r>
      <w:r>
        <w:rPr>
          <w:rFonts w:hint="eastAsia" w:ascii="Times New Roman" w:hAnsi="Times New Roman" w:eastAsia="宋体" w:cs="Times New Roman"/>
          <w:kern w:val="0"/>
          <w:sz w:val="21"/>
          <w:szCs w:val="21"/>
          <w:highlight w:val="none"/>
          <w:lang w:val="en-US" w:eastAsia="zh-CN"/>
        </w:rPr>
        <w:t>考虑节约试剂，选择钨</w:t>
      </w:r>
      <w:r>
        <w:rPr>
          <w:rFonts w:hint="eastAsia" w:ascii="Times New Roman" w:hAnsi="Times New Roman" w:eastAsia="宋体" w:cs="Times New Roman"/>
          <w:kern w:val="0"/>
          <w:sz w:val="21"/>
          <w:szCs w:val="21"/>
          <w:highlight w:val="none"/>
        </w:rPr>
        <w:t>助熔剂的加入量为</w:t>
      </w:r>
      <w:r>
        <w:rPr>
          <w:rFonts w:hint="eastAsia" w:ascii="Times New Roman" w:hAnsi="Times New Roman" w:eastAsia="宋体" w:cs="Times New Roman"/>
          <w:kern w:val="0"/>
          <w:sz w:val="21"/>
          <w:szCs w:val="21"/>
          <w:highlight w:val="none"/>
          <w:lang w:val="en-US" w:eastAsia="zh-CN"/>
        </w:rPr>
        <w:t>1.</w:t>
      </w:r>
      <w:r>
        <w:rPr>
          <w:rFonts w:hint="eastAsia" w:ascii="Times New Roman" w:hAnsi="Times New Roman" w:eastAsia="宋体" w:cs="Times New Roman"/>
          <w:kern w:val="0"/>
          <w:sz w:val="21"/>
          <w:szCs w:val="21"/>
          <w:highlight w:val="none"/>
        </w:rPr>
        <w:t>0g。</w:t>
      </w:r>
    </w:p>
    <w:p w14:paraId="0D5DF50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kern w:val="0"/>
          <w:sz w:val="21"/>
          <w:szCs w:val="21"/>
          <w:highlight w:val="none"/>
        </w:rPr>
      </w:pPr>
      <w:r>
        <w:rPr>
          <w:rFonts w:hint="eastAsia" w:ascii="Times New Roman" w:hAnsi="Times New Roman" w:eastAsia="宋体" w:cs="Times New Roman"/>
          <w:kern w:val="0"/>
          <w:sz w:val="21"/>
          <w:szCs w:val="21"/>
          <w:highlight w:val="none"/>
        </w:rPr>
        <w:t>因此，本方法选用0.</w:t>
      </w:r>
      <w:r>
        <w:rPr>
          <w:rFonts w:hint="eastAsia" w:ascii="Times New Roman" w:hAnsi="Times New Roman" w:eastAsia="宋体" w:cs="Times New Roman"/>
          <w:kern w:val="0"/>
          <w:sz w:val="21"/>
          <w:szCs w:val="21"/>
          <w:highlight w:val="none"/>
          <w:lang w:val="en-US" w:eastAsia="zh-CN"/>
        </w:rPr>
        <w:t>3</w:t>
      </w:r>
      <w:r>
        <w:rPr>
          <w:rFonts w:hint="eastAsia" w:ascii="Times New Roman" w:hAnsi="Times New Roman" w:eastAsia="宋体" w:cs="Times New Roman"/>
          <w:kern w:val="0"/>
          <w:sz w:val="21"/>
          <w:szCs w:val="21"/>
          <w:highlight w:val="none"/>
        </w:rPr>
        <w:t>g铁助熔剂、</w:t>
      </w:r>
      <w:r>
        <w:rPr>
          <w:rFonts w:hint="eastAsia" w:ascii="Times New Roman" w:hAnsi="Times New Roman" w:eastAsia="宋体" w:cs="Times New Roman"/>
          <w:kern w:val="0"/>
          <w:sz w:val="21"/>
          <w:szCs w:val="21"/>
          <w:lang w:val="en-US" w:eastAsia="zh-CN"/>
        </w:rPr>
        <w:t>0.20～0.25g</w:t>
      </w:r>
      <w:r>
        <w:rPr>
          <w:rFonts w:hint="eastAsia" w:ascii="Times New Roman" w:hAnsi="Times New Roman" w:eastAsia="宋体" w:cs="Times New Roman"/>
          <w:kern w:val="0"/>
          <w:sz w:val="21"/>
          <w:szCs w:val="21"/>
          <w:highlight w:val="none"/>
        </w:rPr>
        <w:t>锡助熔剂和1.0g钨助熔剂作为试样助熔剂。</w:t>
      </w:r>
    </w:p>
    <w:p w14:paraId="00359FC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jc w:val="both"/>
        <w:textAlignment w:val="auto"/>
        <w:outlineLvl w:val="1"/>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1.3.2 助熔剂的加入顺序的影响</w:t>
      </w:r>
    </w:p>
    <w:p w14:paraId="7395214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助熔剂不仅具有增加样品中导磁物质、提高燃烧温度的作用，</w:t>
      </w:r>
      <w:r>
        <w:rPr>
          <w:rFonts w:hint="eastAsia" w:ascii="Times New Roman" w:hAnsi="Times New Roman" w:eastAsia="宋体" w:cs="Times New Roman"/>
          <w:kern w:val="0"/>
          <w:sz w:val="21"/>
          <w:szCs w:val="21"/>
        </w:rPr>
        <w:t>而且</w:t>
      </w:r>
      <w:r>
        <w:rPr>
          <w:rFonts w:ascii="Times New Roman" w:hAnsi="Times New Roman" w:eastAsia="宋体" w:cs="Times New Roman"/>
          <w:kern w:val="0"/>
          <w:sz w:val="21"/>
          <w:szCs w:val="21"/>
        </w:rPr>
        <w:t>还有增加样品流动性，稀释样品的作用。分析过程中，样品、助熔剂的叠放次序影响燃烧</w:t>
      </w:r>
      <w:r>
        <w:rPr>
          <w:rFonts w:hint="eastAsia" w:ascii="Times New Roman" w:hAnsi="Times New Roman" w:eastAsia="宋体" w:cs="Times New Roman"/>
          <w:kern w:val="0"/>
          <w:sz w:val="21"/>
          <w:szCs w:val="21"/>
        </w:rPr>
        <w:t>效果</w:t>
      </w:r>
      <w:r>
        <w:rPr>
          <w:rFonts w:ascii="Times New Roman" w:hAnsi="Times New Roman" w:eastAsia="宋体" w:cs="Times New Roman"/>
          <w:kern w:val="0"/>
          <w:sz w:val="21"/>
          <w:szCs w:val="21"/>
        </w:rPr>
        <w:t>和分析稳定性。</w:t>
      </w:r>
      <w:r>
        <w:rPr>
          <w:rFonts w:hint="eastAsia" w:cs="Times New Roman"/>
          <w:kern w:val="0"/>
          <w:sz w:val="21"/>
          <w:szCs w:val="21"/>
          <w:lang w:val="en-US" w:eastAsia="zh-CN"/>
        </w:rPr>
        <w:t>改变助熔剂的加入顺序，</w:t>
      </w:r>
      <w:r>
        <w:rPr>
          <w:rFonts w:hint="eastAsia" w:ascii="Times New Roman" w:hAnsi="Times New Roman" w:eastAsia="宋体" w:cs="Times New Roman"/>
          <w:kern w:val="0"/>
          <w:sz w:val="21"/>
          <w:szCs w:val="21"/>
          <w:highlight w:val="none"/>
        </w:rPr>
        <w:t>观察熔样情况和释放曲线，结果见表</w:t>
      </w:r>
      <w:r>
        <w:rPr>
          <w:rFonts w:hint="eastAsia" w:cs="Times New Roman"/>
          <w:kern w:val="0"/>
          <w:sz w:val="21"/>
          <w:szCs w:val="21"/>
          <w:highlight w:val="none"/>
          <w:lang w:val="en-US" w:eastAsia="zh-CN"/>
        </w:rPr>
        <w:t>5</w:t>
      </w:r>
      <w:r>
        <w:rPr>
          <w:rFonts w:hint="eastAsia" w:ascii="Times New Roman" w:hAnsi="Times New Roman" w:eastAsia="宋体" w:cs="Times New Roman"/>
          <w:kern w:val="0"/>
          <w:sz w:val="21"/>
          <w:szCs w:val="21"/>
          <w:highlight w:val="none"/>
        </w:rPr>
        <w:t>。</w:t>
      </w:r>
    </w:p>
    <w:p w14:paraId="64E454F2">
      <w:pPr>
        <w:keepNext w:val="0"/>
        <w:keepLines w:val="0"/>
        <w:pageBreakBefore w:val="0"/>
        <w:widowControl w:val="0"/>
        <w:kinsoku/>
        <w:wordWrap/>
        <w:overflowPunct/>
        <w:topLinePunct w:val="0"/>
        <w:autoSpaceDE/>
        <w:autoSpaceDN/>
        <w:bidi w:val="0"/>
        <w:adjustRightInd/>
        <w:snapToGrid/>
        <w:spacing w:before="164" w:beforeLines="50" w:line="240" w:lineRule="auto"/>
        <w:jc w:val="center"/>
        <w:textAlignment w:val="auto"/>
        <w:rPr>
          <w:rFonts w:hint="eastAsia" w:ascii="黑体" w:hAnsi="黑体" w:eastAsia="黑体" w:cs="黑体"/>
          <w:kern w:val="2"/>
          <w:sz w:val="21"/>
          <w:szCs w:val="21"/>
        </w:rPr>
      </w:pPr>
      <w:r>
        <w:rPr>
          <w:rFonts w:hint="eastAsia" w:ascii="黑体" w:hAnsi="黑体" w:eastAsia="黑体" w:cs="黑体"/>
          <w:kern w:val="2"/>
          <w:sz w:val="21"/>
          <w:szCs w:val="21"/>
        </w:rPr>
        <w:t>表</w:t>
      </w:r>
      <w:r>
        <w:rPr>
          <w:rFonts w:hint="eastAsia" w:ascii="黑体" w:hAnsi="黑体" w:eastAsia="黑体" w:cs="黑体"/>
          <w:kern w:val="2"/>
          <w:sz w:val="21"/>
          <w:szCs w:val="21"/>
          <w:lang w:val="en-US" w:eastAsia="zh-CN"/>
        </w:rPr>
        <w:t>5</w:t>
      </w:r>
      <w:r>
        <w:rPr>
          <w:rFonts w:hint="eastAsia" w:ascii="黑体" w:hAnsi="黑体" w:eastAsia="黑体" w:cs="黑体"/>
          <w:kern w:val="2"/>
          <w:sz w:val="21"/>
          <w:szCs w:val="21"/>
        </w:rPr>
        <w:t xml:space="preserve"> 助熔剂</w:t>
      </w:r>
      <w:r>
        <w:rPr>
          <w:rFonts w:hint="eastAsia" w:ascii="黑体" w:hAnsi="黑体" w:eastAsia="黑体" w:cs="黑体"/>
          <w:kern w:val="2"/>
          <w:sz w:val="21"/>
          <w:szCs w:val="21"/>
          <w:lang w:val="en-US" w:eastAsia="zh-CN"/>
        </w:rPr>
        <w:t>的</w:t>
      </w:r>
      <w:r>
        <w:rPr>
          <w:rFonts w:hint="eastAsia" w:ascii="黑体" w:hAnsi="黑体" w:eastAsia="黑体" w:cs="黑体"/>
          <w:kern w:val="2"/>
          <w:sz w:val="21"/>
          <w:szCs w:val="21"/>
        </w:rPr>
        <w:t>加入</w:t>
      </w:r>
      <w:r>
        <w:rPr>
          <w:rFonts w:hint="eastAsia" w:ascii="黑体" w:hAnsi="黑体" w:eastAsia="黑体" w:cs="黑体"/>
          <w:kern w:val="2"/>
          <w:sz w:val="21"/>
          <w:szCs w:val="21"/>
          <w:lang w:val="en-US" w:eastAsia="zh-CN"/>
        </w:rPr>
        <w:t>顺序</w:t>
      </w:r>
      <w:r>
        <w:rPr>
          <w:rFonts w:hint="eastAsia" w:ascii="黑体" w:hAnsi="黑体" w:eastAsia="黑体" w:cs="黑体"/>
          <w:kern w:val="2"/>
          <w:sz w:val="21"/>
          <w:szCs w:val="21"/>
        </w:rPr>
        <w:t>试验（n=</w:t>
      </w:r>
      <w:r>
        <w:rPr>
          <w:rFonts w:hint="eastAsia" w:ascii="黑体" w:hAnsi="黑体" w:eastAsia="黑体" w:cs="黑体"/>
          <w:kern w:val="2"/>
          <w:sz w:val="21"/>
          <w:szCs w:val="21"/>
          <w:lang w:val="en-US" w:eastAsia="zh-CN"/>
        </w:rPr>
        <w:t>2</w:t>
      </w:r>
      <w:r>
        <w:rPr>
          <w:rFonts w:hint="eastAsia" w:ascii="黑体" w:hAnsi="黑体" w:eastAsia="黑体" w:cs="黑体"/>
          <w:kern w:val="2"/>
          <w:sz w:val="21"/>
          <w:szCs w:val="21"/>
        </w:rPr>
        <w:t>）</w:t>
      </w:r>
    </w:p>
    <w:tbl>
      <w:tblPr>
        <w:tblStyle w:val="89"/>
        <w:tblW w:w="4881" w:type="pct"/>
        <w:jc w:val="center"/>
        <w:tblLayout w:type="autofit"/>
        <w:tblCellMar>
          <w:top w:w="0" w:type="dxa"/>
          <w:left w:w="108" w:type="dxa"/>
          <w:bottom w:w="0" w:type="dxa"/>
          <w:right w:w="108" w:type="dxa"/>
        </w:tblCellMar>
      </w:tblPr>
      <w:tblGrid>
        <w:gridCol w:w="1783"/>
        <w:gridCol w:w="1412"/>
        <w:gridCol w:w="2020"/>
        <w:gridCol w:w="1632"/>
        <w:gridCol w:w="1665"/>
      </w:tblGrid>
      <w:tr w14:paraId="7B1D5F34">
        <w:tblPrEx>
          <w:tblCellMar>
            <w:top w:w="0" w:type="dxa"/>
            <w:left w:w="108" w:type="dxa"/>
            <w:bottom w:w="0" w:type="dxa"/>
            <w:right w:w="108" w:type="dxa"/>
          </w:tblCellMar>
        </w:tblPrEx>
        <w:trPr>
          <w:trHeight w:val="360" w:hRule="atLeast"/>
          <w:jc w:val="center"/>
        </w:trPr>
        <w:tc>
          <w:tcPr>
            <w:tcW w:w="1047" w:type="pct"/>
            <w:tcBorders>
              <w:top w:val="single" w:color="auto" w:sz="4" w:space="0"/>
              <w:left w:val="single" w:color="auto" w:sz="4" w:space="0"/>
              <w:bottom w:val="single" w:color="auto" w:sz="4" w:space="0"/>
              <w:right w:val="single" w:color="auto" w:sz="4" w:space="0"/>
            </w:tcBorders>
            <w:vAlign w:val="center"/>
          </w:tcPr>
          <w:p w14:paraId="7E27D1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rPr>
            </w:pPr>
            <w:r>
              <w:rPr>
                <w:rFonts w:hint="eastAsia" w:ascii="Times New Roman" w:hAnsi="Times New Roman" w:eastAsia="宋体" w:cs="Times New Roman"/>
                <w:b w:val="0"/>
                <w:bCs/>
                <w:kern w:val="0"/>
                <w:sz w:val="18"/>
                <w:szCs w:val="18"/>
                <w:lang w:val="en-US" w:eastAsia="zh-CN"/>
              </w:rPr>
              <w:t>加入顺序</w:t>
            </w:r>
          </w:p>
        </w:tc>
        <w:tc>
          <w:tcPr>
            <w:tcW w:w="829" w:type="pct"/>
            <w:tcBorders>
              <w:top w:val="single" w:color="auto" w:sz="4" w:space="0"/>
              <w:left w:val="nil"/>
              <w:bottom w:val="single" w:color="auto" w:sz="4" w:space="0"/>
              <w:right w:val="single" w:color="auto" w:sz="4" w:space="0"/>
            </w:tcBorders>
            <w:vAlign w:val="center"/>
          </w:tcPr>
          <w:p w14:paraId="3F6BE9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熔样情况</w:t>
            </w:r>
          </w:p>
        </w:tc>
        <w:tc>
          <w:tcPr>
            <w:tcW w:w="1186" w:type="pct"/>
            <w:tcBorders>
              <w:top w:val="single" w:color="auto" w:sz="4" w:space="0"/>
              <w:left w:val="nil"/>
              <w:bottom w:val="single" w:color="auto" w:sz="4" w:space="0"/>
              <w:right w:val="single" w:color="auto" w:sz="4" w:space="0"/>
            </w:tcBorders>
            <w:vAlign w:val="center"/>
          </w:tcPr>
          <w:p w14:paraId="07441B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曲线释放情况</w:t>
            </w:r>
          </w:p>
        </w:tc>
        <w:tc>
          <w:tcPr>
            <w:tcW w:w="958" w:type="pct"/>
            <w:tcBorders>
              <w:top w:val="single" w:color="auto" w:sz="4" w:space="0"/>
              <w:left w:val="nil"/>
              <w:bottom w:val="single" w:color="auto" w:sz="4" w:space="0"/>
              <w:right w:val="single" w:color="auto" w:sz="4" w:space="0"/>
            </w:tcBorders>
            <w:vAlign w:val="center"/>
          </w:tcPr>
          <w:p w14:paraId="774D44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碳</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c>
          <w:tcPr>
            <w:tcW w:w="977" w:type="pct"/>
            <w:tcBorders>
              <w:top w:val="single" w:color="auto" w:sz="4" w:space="0"/>
              <w:left w:val="nil"/>
              <w:bottom w:val="single" w:color="auto" w:sz="4" w:space="0"/>
              <w:right w:val="single" w:color="auto" w:sz="4" w:space="0"/>
            </w:tcBorders>
            <w:vAlign w:val="center"/>
          </w:tcPr>
          <w:p w14:paraId="53DAAA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硫</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r>
      <w:tr w14:paraId="4E592385">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21857F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ascii="Times New Roman" w:hAnsi="Times New Roman" w:eastAsia="宋体" w:cs="Times New Roman"/>
                <w:b w:val="0"/>
                <w:bCs/>
                <w:kern w:val="0"/>
                <w:sz w:val="18"/>
                <w:szCs w:val="18"/>
              </w:rPr>
              <w:t>样品+铁</w:t>
            </w:r>
            <w:r>
              <w:rPr>
                <w:rFonts w:hint="eastAsia" w:ascii="Times New Roman" w:hAnsi="Times New Roman" w:eastAsia="宋体" w:cs="Times New Roman"/>
                <w:b w:val="0"/>
                <w:bCs/>
                <w:kern w:val="0"/>
                <w:sz w:val="18"/>
                <w:szCs w:val="18"/>
                <w:lang w:val="en-US" w:eastAsia="zh-CN"/>
              </w:rPr>
              <w:t>+锡+钨</w:t>
            </w:r>
          </w:p>
        </w:tc>
        <w:tc>
          <w:tcPr>
            <w:tcW w:w="829" w:type="pct"/>
            <w:tcBorders>
              <w:top w:val="nil"/>
              <w:left w:val="nil"/>
              <w:bottom w:val="single" w:color="auto" w:sz="4" w:space="0"/>
              <w:right w:val="single" w:color="auto" w:sz="4" w:space="0"/>
            </w:tcBorders>
            <w:vAlign w:val="center"/>
          </w:tcPr>
          <w:p w14:paraId="335B7E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少许迸溅</w:t>
            </w:r>
          </w:p>
        </w:tc>
        <w:tc>
          <w:tcPr>
            <w:tcW w:w="1186" w:type="pct"/>
            <w:tcBorders>
              <w:top w:val="nil"/>
              <w:left w:val="nil"/>
              <w:bottom w:val="single" w:color="auto" w:sz="4" w:space="0"/>
              <w:right w:val="single" w:color="auto" w:sz="4" w:space="0"/>
            </w:tcBorders>
            <w:vAlign w:val="center"/>
          </w:tcPr>
          <w:p w14:paraId="5A532B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释放曲线流畅</w:t>
            </w:r>
          </w:p>
        </w:tc>
        <w:tc>
          <w:tcPr>
            <w:tcW w:w="958" w:type="pct"/>
            <w:tcBorders>
              <w:top w:val="nil"/>
              <w:left w:val="nil"/>
              <w:bottom w:val="single" w:color="auto" w:sz="4" w:space="0"/>
              <w:right w:val="single" w:color="auto" w:sz="4" w:space="0"/>
            </w:tcBorders>
            <w:vAlign w:val="center"/>
          </w:tcPr>
          <w:p w14:paraId="5F280E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0.194</w:t>
            </w:r>
          </w:p>
        </w:tc>
        <w:tc>
          <w:tcPr>
            <w:tcW w:w="977" w:type="pct"/>
            <w:tcBorders>
              <w:top w:val="nil"/>
              <w:left w:val="nil"/>
              <w:bottom w:val="single" w:color="auto" w:sz="4" w:space="0"/>
              <w:right w:val="single" w:color="auto" w:sz="4" w:space="0"/>
            </w:tcBorders>
            <w:vAlign w:val="center"/>
          </w:tcPr>
          <w:p w14:paraId="7DB1F9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0.00846</w:t>
            </w:r>
          </w:p>
        </w:tc>
      </w:tr>
      <w:tr w14:paraId="6E96CDB9">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0053D7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ascii="Times New Roman" w:hAnsi="Times New Roman" w:eastAsia="宋体" w:cs="Times New Roman"/>
                <w:b w:val="0"/>
                <w:bCs/>
                <w:kern w:val="0"/>
                <w:sz w:val="18"/>
                <w:szCs w:val="18"/>
              </w:rPr>
              <w:t>铁+</w:t>
            </w:r>
            <w:r>
              <w:rPr>
                <w:rFonts w:hint="eastAsia" w:ascii="Times New Roman" w:hAnsi="Times New Roman" w:eastAsia="宋体" w:cs="Times New Roman"/>
                <w:b w:val="0"/>
                <w:bCs/>
                <w:kern w:val="0"/>
                <w:sz w:val="18"/>
                <w:szCs w:val="18"/>
                <w:lang w:val="en-US" w:eastAsia="zh-CN"/>
              </w:rPr>
              <w:t>锡+</w:t>
            </w:r>
            <w:r>
              <w:rPr>
                <w:rFonts w:ascii="Times New Roman" w:hAnsi="Times New Roman" w:eastAsia="宋体" w:cs="Times New Roman"/>
                <w:b w:val="0"/>
                <w:bCs/>
                <w:kern w:val="0"/>
                <w:sz w:val="18"/>
                <w:szCs w:val="18"/>
              </w:rPr>
              <w:t>钨+样品</w:t>
            </w:r>
          </w:p>
        </w:tc>
        <w:tc>
          <w:tcPr>
            <w:tcW w:w="829" w:type="pct"/>
            <w:tcBorders>
              <w:top w:val="nil"/>
              <w:left w:val="nil"/>
              <w:bottom w:val="single" w:color="auto" w:sz="4" w:space="0"/>
              <w:right w:val="single" w:color="auto" w:sz="4" w:space="0"/>
            </w:tcBorders>
            <w:vAlign w:val="center"/>
          </w:tcPr>
          <w:p w14:paraId="230FBD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不平滑</w:t>
            </w:r>
          </w:p>
        </w:tc>
        <w:tc>
          <w:tcPr>
            <w:tcW w:w="1186" w:type="pct"/>
            <w:tcBorders>
              <w:top w:val="nil"/>
              <w:left w:val="nil"/>
              <w:bottom w:val="single" w:color="auto" w:sz="4" w:space="0"/>
              <w:right w:val="single" w:color="auto" w:sz="4" w:space="0"/>
            </w:tcBorders>
            <w:vAlign w:val="center"/>
          </w:tcPr>
          <w:p w14:paraId="4BB60C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kern w:val="0"/>
                <w:sz w:val="18"/>
                <w:szCs w:val="18"/>
                <w:lang w:eastAsia="zh-CN"/>
              </w:rPr>
            </w:pPr>
            <w:r>
              <w:rPr>
                <w:rFonts w:ascii="Times New Roman" w:hAnsi="Times New Roman" w:eastAsia="宋体" w:cs="Times New Roman"/>
                <w:b w:val="0"/>
                <w:bCs/>
                <w:kern w:val="0"/>
                <w:sz w:val="18"/>
                <w:szCs w:val="18"/>
              </w:rPr>
              <w:t>释放曲线</w:t>
            </w:r>
            <w:r>
              <w:rPr>
                <w:rFonts w:hint="eastAsia" w:ascii="Times New Roman" w:hAnsi="Times New Roman" w:eastAsia="宋体" w:cs="Times New Roman"/>
                <w:b w:val="0"/>
                <w:bCs/>
                <w:kern w:val="0"/>
                <w:sz w:val="18"/>
                <w:szCs w:val="18"/>
                <w:lang w:val="en-US" w:eastAsia="zh-CN"/>
              </w:rPr>
              <w:t>较差</w:t>
            </w:r>
          </w:p>
        </w:tc>
        <w:tc>
          <w:tcPr>
            <w:tcW w:w="958" w:type="pct"/>
            <w:tcBorders>
              <w:top w:val="nil"/>
              <w:left w:val="nil"/>
              <w:bottom w:val="single" w:color="auto" w:sz="4" w:space="0"/>
              <w:right w:val="single" w:color="auto" w:sz="4" w:space="0"/>
            </w:tcBorders>
            <w:vAlign w:val="center"/>
          </w:tcPr>
          <w:p w14:paraId="5DB046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0.185</w:t>
            </w:r>
          </w:p>
        </w:tc>
        <w:tc>
          <w:tcPr>
            <w:tcW w:w="977" w:type="pct"/>
            <w:tcBorders>
              <w:top w:val="nil"/>
              <w:left w:val="nil"/>
              <w:bottom w:val="single" w:color="auto" w:sz="4" w:space="0"/>
              <w:right w:val="single" w:color="auto" w:sz="4" w:space="0"/>
            </w:tcBorders>
            <w:vAlign w:val="center"/>
          </w:tcPr>
          <w:p w14:paraId="5C4654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0.00802</w:t>
            </w:r>
          </w:p>
        </w:tc>
      </w:tr>
      <w:tr w14:paraId="7249A252">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4689F8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ascii="Times New Roman" w:hAnsi="Times New Roman" w:eastAsia="宋体" w:cs="Times New Roman"/>
                <w:b w:val="0"/>
                <w:bCs/>
                <w:kern w:val="0"/>
                <w:sz w:val="18"/>
                <w:szCs w:val="18"/>
              </w:rPr>
              <w:t>铁+样品+</w:t>
            </w:r>
            <w:r>
              <w:rPr>
                <w:rFonts w:hint="eastAsia" w:ascii="Times New Roman" w:hAnsi="Times New Roman" w:eastAsia="宋体" w:cs="Times New Roman"/>
                <w:b w:val="0"/>
                <w:bCs/>
                <w:kern w:val="0"/>
                <w:sz w:val="18"/>
                <w:szCs w:val="18"/>
                <w:lang w:val="en-US" w:eastAsia="zh-CN"/>
              </w:rPr>
              <w:t>锡+</w:t>
            </w:r>
            <w:r>
              <w:rPr>
                <w:rFonts w:ascii="Times New Roman" w:hAnsi="Times New Roman" w:eastAsia="宋体" w:cs="Times New Roman"/>
                <w:b w:val="0"/>
                <w:bCs/>
                <w:kern w:val="0"/>
                <w:sz w:val="18"/>
                <w:szCs w:val="18"/>
              </w:rPr>
              <w:t>钨</w:t>
            </w:r>
          </w:p>
        </w:tc>
        <w:tc>
          <w:tcPr>
            <w:tcW w:w="829" w:type="pct"/>
            <w:tcBorders>
              <w:top w:val="nil"/>
              <w:left w:val="nil"/>
              <w:bottom w:val="single" w:color="auto" w:sz="4" w:space="0"/>
              <w:right w:val="single" w:color="auto" w:sz="4" w:space="0"/>
            </w:tcBorders>
            <w:vAlign w:val="center"/>
          </w:tcPr>
          <w:p w14:paraId="00FB93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平滑</w:t>
            </w:r>
          </w:p>
        </w:tc>
        <w:tc>
          <w:tcPr>
            <w:tcW w:w="1186" w:type="pct"/>
            <w:tcBorders>
              <w:top w:val="nil"/>
              <w:left w:val="nil"/>
              <w:bottom w:val="single" w:color="auto" w:sz="4" w:space="0"/>
              <w:right w:val="single" w:color="auto" w:sz="4" w:space="0"/>
            </w:tcBorders>
            <w:vAlign w:val="center"/>
          </w:tcPr>
          <w:p w14:paraId="476FCD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释放曲线流畅</w:t>
            </w:r>
          </w:p>
        </w:tc>
        <w:tc>
          <w:tcPr>
            <w:tcW w:w="958" w:type="pct"/>
            <w:tcBorders>
              <w:top w:val="nil"/>
              <w:left w:val="nil"/>
              <w:bottom w:val="single" w:color="auto" w:sz="4" w:space="0"/>
              <w:right w:val="single" w:color="auto" w:sz="4" w:space="0"/>
            </w:tcBorders>
            <w:vAlign w:val="center"/>
          </w:tcPr>
          <w:p w14:paraId="5913EF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0.208</w:t>
            </w:r>
          </w:p>
        </w:tc>
        <w:tc>
          <w:tcPr>
            <w:tcW w:w="977" w:type="pct"/>
            <w:tcBorders>
              <w:top w:val="nil"/>
              <w:left w:val="nil"/>
              <w:bottom w:val="single" w:color="auto" w:sz="4" w:space="0"/>
              <w:right w:val="single" w:color="auto" w:sz="4" w:space="0"/>
            </w:tcBorders>
            <w:vAlign w:val="center"/>
          </w:tcPr>
          <w:p w14:paraId="6E6D09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0.00878</w:t>
            </w:r>
          </w:p>
        </w:tc>
      </w:tr>
    </w:tbl>
    <w:p w14:paraId="380A2EA2">
      <w:pPr>
        <w:keepNext w:val="0"/>
        <w:keepLines w:val="0"/>
        <w:pageBreakBefore w:val="0"/>
        <w:widowControl w:val="0"/>
        <w:kinsoku/>
        <w:wordWrap/>
        <w:overflowPunct/>
        <w:topLinePunct w:val="0"/>
        <w:autoSpaceDE/>
        <w:autoSpaceDN/>
        <w:bidi w:val="0"/>
        <w:adjustRightInd/>
        <w:snapToGrid/>
        <w:spacing w:before="164" w:beforeLines="50" w:line="240" w:lineRule="auto"/>
        <w:ind w:firstLine="420" w:firstLineChars="200"/>
        <w:textAlignment w:val="auto"/>
        <w:rPr>
          <w:rFonts w:hint="default" w:ascii="Times New Roman" w:hAnsi="Times New Roman" w:eastAsia="宋体" w:cs="Times New Roman"/>
          <w:kern w:val="0"/>
          <w:sz w:val="21"/>
          <w:szCs w:val="21"/>
          <w:lang w:val="en-US" w:eastAsia="zh-CN"/>
        </w:rPr>
      </w:pPr>
      <w:r>
        <w:rPr>
          <w:rFonts w:ascii="Times New Roman" w:hAnsi="Times New Roman" w:eastAsia="宋体" w:cs="Times New Roman"/>
          <w:kern w:val="0"/>
          <w:sz w:val="21"/>
          <w:szCs w:val="21"/>
        </w:rPr>
        <w:t>以样品+铁</w:t>
      </w:r>
      <w:r>
        <w:rPr>
          <w:rFonts w:hint="eastAsia" w:ascii="Times New Roman" w:hAnsi="Times New Roman" w:eastAsia="宋体" w:cs="Times New Roman"/>
          <w:kern w:val="0"/>
          <w:sz w:val="21"/>
          <w:szCs w:val="21"/>
          <w:lang w:val="en-US" w:eastAsia="zh-CN"/>
        </w:rPr>
        <w:t>+锡+钨</w:t>
      </w:r>
      <w:r>
        <w:rPr>
          <w:rFonts w:ascii="Times New Roman" w:hAnsi="Times New Roman" w:eastAsia="宋体" w:cs="Times New Roman"/>
          <w:kern w:val="0"/>
          <w:sz w:val="21"/>
          <w:szCs w:val="21"/>
        </w:rPr>
        <w:t>的加入顺序，</w:t>
      </w:r>
      <w:r>
        <w:rPr>
          <w:rFonts w:hint="eastAsia" w:ascii="Times New Roman" w:hAnsi="Times New Roman" w:eastAsia="宋体" w:cs="Times New Roman"/>
          <w:kern w:val="0"/>
          <w:sz w:val="21"/>
          <w:szCs w:val="21"/>
          <w:lang w:val="en-US" w:eastAsia="zh-CN"/>
        </w:rPr>
        <w:t>发现熔样时坩埚表面有少量飞溅物。</w:t>
      </w:r>
      <w:r>
        <w:rPr>
          <w:rFonts w:ascii="Times New Roman" w:hAnsi="Times New Roman" w:eastAsia="宋体" w:cs="Times New Roman"/>
          <w:kern w:val="0"/>
          <w:sz w:val="21"/>
          <w:szCs w:val="21"/>
        </w:rPr>
        <w:t>以铁+</w:t>
      </w:r>
      <w:r>
        <w:rPr>
          <w:rFonts w:hint="eastAsia" w:ascii="Times New Roman" w:hAnsi="Times New Roman" w:eastAsia="宋体" w:cs="Times New Roman"/>
          <w:kern w:val="0"/>
          <w:sz w:val="21"/>
          <w:szCs w:val="21"/>
          <w:lang w:val="en-US" w:eastAsia="zh-CN"/>
        </w:rPr>
        <w:t>锡+</w:t>
      </w:r>
      <w:r>
        <w:rPr>
          <w:rFonts w:ascii="Times New Roman" w:hAnsi="Times New Roman" w:eastAsia="宋体" w:cs="Times New Roman"/>
          <w:kern w:val="0"/>
          <w:sz w:val="21"/>
          <w:szCs w:val="21"/>
        </w:rPr>
        <w:t>钨+样品的加入顺序，发现</w:t>
      </w:r>
      <w:r>
        <w:rPr>
          <w:rFonts w:hint="eastAsia" w:ascii="Times New Roman" w:hAnsi="Times New Roman" w:eastAsia="宋体" w:cs="Times New Roman"/>
          <w:kern w:val="0"/>
          <w:sz w:val="21"/>
          <w:szCs w:val="21"/>
          <w:lang w:val="en-US" w:eastAsia="zh-CN"/>
        </w:rPr>
        <w:t>熔样不完全，熔体不平滑，峰形不好，释放曲线较差。</w:t>
      </w:r>
      <w:r>
        <w:rPr>
          <w:rFonts w:ascii="Times New Roman" w:hAnsi="Times New Roman" w:eastAsia="宋体" w:cs="Times New Roman"/>
          <w:kern w:val="0"/>
          <w:sz w:val="21"/>
          <w:szCs w:val="21"/>
        </w:rPr>
        <w:t>以铁+样品+</w:t>
      </w:r>
      <w:r>
        <w:rPr>
          <w:rFonts w:hint="eastAsia" w:ascii="Times New Roman" w:hAnsi="Times New Roman" w:eastAsia="宋体" w:cs="Times New Roman"/>
          <w:kern w:val="0"/>
          <w:sz w:val="21"/>
          <w:szCs w:val="21"/>
          <w:lang w:val="en-US" w:eastAsia="zh-CN"/>
        </w:rPr>
        <w:t>锡+</w:t>
      </w:r>
      <w:r>
        <w:rPr>
          <w:rFonts w:ascii="Times New Roman" w:hAnsi="Times New Roman" w:eastAsia="宋体" w:cs="Times New Roman"/>
          <w:kern w:val="0"/>
          <w:sz w:val="21"/>
          <w:szCs w:val="21"/>
        </w:rPr>
        <w:t>钨式的加入顺序，样品包裹在铁屑中，更利于产生电磁感应涡流，燃烧充分</w:t>
      </w:r>
      <w:r>
        <w:rPr>
          <w:rFonts w:hint="eastAsia" w:ascii="Times New Roman" w:hAnsi="Times New Roman" w:eastAsia="宋体" w:cs="Times New Roman"/>
          <w:kern w:val="0"/>
          <w:sz w:val="21"/>
          <w:szCs w:val="21"/>
          <w:lang w:eastAsia="zh-CN"/>
        </w:rPr>
        <w:t>，</w:t>
      </w:r>
      <w:r>
        <w:rPr>
          <w:rFonts w:ascii="Times New Roman" w:hAnsi="Times New Roman" w:eastAsia="宋体" w:cs="Times New Roman"/>
          <w:kern w:val="0"/>
          <w:sz w:val="21"/>
          <w:szCs w:val="21"/>
        </w:rPr>
        <w:t>熔体飞溅极少。</w:t>
      </w:r>
    </w:p>
    <w:p w14:paraId="59046B7E">
      <w:pPr>
        <w:keepNext w:val="0"/>
        <w:keepLines w:val="0"/>
        <w:pageBreakBefore w:val="0"/>
        <w:widowControl w:val="0"/>
        <w:kinsoku/>
        <w:wordWrap/>
        <w:overflowPunct/>
        <w:topLinePunct w:val="0"/>
        <w:autoSpaceDE/>
        <w:autoSpaceDN/>
        <w:bidi w:val="0"/>
        <w:adjustRightInd/>
        <w:snapToGrid/>
        <w:spacing w:before="164" w:beforeLines="50" w:line="240" w:lineRule="auto"/>
        <w:ind w:firstLine="420" w:firstLineChars="200"/>
        <w:textAlignment w:val="auto"/>
        <w:rPr>
          <w:rFonts w:ascii="Times New Roman" w:hAnsi="Times New Roman" w:eastAsia="宋体" w:cs="Times New Roman"/>
          <w:kern w:val="0"/>
          <w:sz w:val="21"/>
          <w:szCs w:val="21"/>
          <w:highlight w:val="yellow"/>
        </w:rPr>
      </w:pPr>
      <w:r>
        <w:rPr>
          <w:rFonts w:ascii="Times New Roman" w:hAnsi="Times New Roman" w:eastAsia="宋体" w:cs="Times New Roman"/>
          <w:kern w:val="0"/>
          <w:sz w:val="21"/>
          <w:szCs w:val="21"/>
        </w:rPr>
        <w:t>因此，本方法选择以铁</w:t>
      </w:r>
      <w:r>
        <w:rPr>
          <w:rFonts w:hint="eastAsia" w:ascii="Times New Roman" w:hAnsi="Times New Roman" w:eastAsia="宋体" w:cs="Times New Roman"/>
          <w:kern w:val="0"/>
          <w:sz w:val="21"/>
          <w:szCs w:val="21"/>
        </w:rPr>
        <w:t>助熔剂</w:t>
      </w:r>
      <w:r>
        <w:rPr>
          <w:rFonts w:ascii="Times New Roman" w:hAnsi="Times New Roman" w:eastAsia="宋体" w:cs="Times New Roman"/>
          <w:kern w:val="0"/>
          <w:sz w:val="21"/>
          <w:szCs w:val="21"/>
        </w:rPr>
        <w:t>打底，加入样品，再覆盖</w:t>
      </w:r>
      <w:r>
        <w:rPr>
          <w:rFonts w:hint="eastAsia" w:ascii="Times New Roman" w:hAnsi="Times New Roman" w:eastAsia="宋体" w:cs="Times New Roman"/>
          <w:kern w:val="0"/>
          <w:sz w:val="21"/>
          <w:szCs w:val="21"/>
          <w:lang w:val="en-US" w:eastAsia="zh-CN"/>
        </w:rPr>
        <w:t>锡、</w:t>
      </w:r>
      <w:r>
        <w:rPr>
          <w:rFonts w:ascii="Times New Roman" w:hAnsi="Times New Roman" w:eastAsia="宋体" w:cs="Times New Roman"/>
          <w:kern w:val="0"/>
          <w:sz w:val="21"/>
          <w:szCs w:val="21"/>
        </w:rPr>
        <w:t>钨</w:t>
      </w:r>
      <w:r>
        <w:rPr>
          <w:rFonts w:hint="eastAsia" w:ascii="Times New Roman" w:hAnsi="Times New Roman" w:eastAsia="宋体" w:cs="Times New Roman"/>
          <w:kern w:val="0"/>
          <w:sz w:val="21"/>
          <w:szCs w:val="21"/>
        </w:rPr>
        <w:t>助熔剂</w:t>
      </w:r>
      <w:r>
        <w:rPr>
          <w:rFonts w:ascii="Times New Roman" w:hAnsi="Times New Roman" w:eastAsia="宋体" w:cs="Times New Roman"/>
          <w:kern w:val="0"/>
          <w:sz w:val="21"/>
          <w:szCs w:val="21"/>
        </w:rPr>
        <w:t>的加入顺序</w:t>
      </w:r>
      <w:r>
        <w:rPr>
          <w:rFonts w:ascii="Times New Roman" w:hAnsi="Times New Roman" w:eastAsia="宋体" w:cs="Times New Roman"/>
          <w:kern w:val="0"/>
          <w:sz w:val="21"/>
          <w:szCs w:val="21"/>
          <w:highlight w:val="none"/>
        </w:rPr>
        <w:t>。</w:t>
      </w:r>
    </w:p>
    <w:p w14:paraId="2EE28217">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jc w:val="both"/>
        <w:textAlignment w:val="auto"/>
        <w:outlineLvl w:val="1"/>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1.3.3 称样量试验</w:t>
      </w:r>
    </w:p>
    <w:p w14:paraId="3A705E91">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分别称取0.5g、1.0g的3#</w:t>
      </w:r>
      <w:r>
        <w:rPr>
          <w:rFonts w:ascii="Times New Roman" w:hAnsi="Times New Roman" w:eastAsia="宋体" w:cs="Times New Roman"/>
          <w:kern w:val="0"/>
          <w:sz w:val="21"/>
          <w:szCs w:val="21"/>
        </w:rPr>
        <w:t>样品</w:t>
      </w:r>
      <w:r>
        <w:rPr>
          <w:rFonts w:hint="eastAsia" w:ascii="Times New Roman" w:hAnsi="Times New Roman" w:eastAsia="宋体" w:cs="Times New Roman"/>
          <w:kern w:val="0"/>
          <w:sz w:val="21"/>
          <w:szCs w:val="21"/>
          <w:lang w:val="en-US" w:eastAsia="zh-CN"/>
        </w:rPr>
        <w:t>，按分析步骤进行分析，测定碳硫含量，结果如表6：</w:t>
      </w:r>
    </w:p>
    <w:p w14:paraId="41E58065">
      <w:pPr>
        <w:keepNext w:val="0"/>
        <w:keepLines w:val="0"/>
        <w:pageBreakBefore w:val="0"/>
        <w:widowControl w:val="0"/>
        <w:kinsoku/>
        <w:wordWrap/>
        <w:overflowPunct/>
        <w:topLinePunct w:val="0"/>
        <w:autoSpaceDE/>
        <w:autoSpaceDN/>
        <w:bidi w:val="0"/>
        <w:adjustRightInd/>
        <w:snapToGrid/>
        <w:spacing w:before="164" w:beforeLines="50" w:line="240" w:lineRule="auto"/>
        <w:jc w:val="center"/>
        <w:textAlignment w:val="auto"/>
        <w:rPr>
          <w:rFonts w:hint="eastAsia" w:ascii="黑体" w:hAnsi="黑体" w:eastAsia="黑体" w:cs="黑体"/>
          <w:kern w:val="2"/>
          <w:sz w:val="21"/>
          <w:szCs w:val="21"/>
        </w:rPr>
      </w:pPr>
      <w:r>
        <w:rPr>
          <w:rFonts w:hint="eastAsia" w:ascii="黑体" w:hAnsi="黑体" w:eastAsia="黑体" w:cs="黑体"/>
          <w:kern w:val="2"/>
          <w:sz w:val="21"/>
          <w:szCs w:val="21"/>
        </w:rPr>
        <w:t>表</w:t>
      </w:r>
      <w:r>
        <w:rPr>
          <w:rFonts w:hint="eastAsia" w:ascii="黑体" w:hAnsi="黑体" w:eastAsia="黑体" w:cs="黑体"/>
          <w:kern w:val="2"/>
          <w:sz w:val="21"/>
          <w:szCs w:val="21"/>
          <w:lang w:val="en-US" w:eastAsia="zh-CN"/>
        </w:rPr>
        <w:t>6</w:t>
      </w:r>
      <w:r>
        <w:rPr>
          <w:rFonts w:hint="eastAsia" w:ascii="黑体" w:hAnsi="黑体" w:eastAsia="黑体" w:cs="黑体"/>
          <w:kern w:val="2"/>
          <w:sz w:val="21"/>
          <w:szCs w:val="21"/>
        </w:rPr>
        <w:t xml:space="preserve"> </w:t>
      </w:r>
      <w:r>
        <w:rPr>
          <w:rFonts w:hint="eastAsia" w:ascii="黑体" w:hAnsi="黑体" w:eastAsia="黑体" w:cs="黑体"/>
          <w:kern w:val="2"/>
          <w:sz w:val="21"/>
          <w:szCs w:val="21"/>
          <w:lang w:val="en-US" w:eastAsia="zh-CN"/>
        </w:rPr>
        <w:t>样品称样量选择试验</w:t>
      </w:r>
      <w:r>
        <w:rPr>
          <w:rFonts w:hint="eastAsia" w:ascii="黑体" w:hAnsi="黑体" w:eastAsia="黑体" w:cs="黑体"/>
          <w:kern w:val="2"/>
          <w:sz w:val="21"/>
          <w:szCs w:val="21"/>
        </w:rPr>
        <w:t>（n=</w:t>
      </w:r>
      <w:r>
        <w:rPr>
          <w:rFonts w:hint="eastAsia" w:ascii="黑体" w:hAnsi="黑体" w:eastAsia="黑体" w:cs="黑体"/>
          <w:kern w:val="2"/>
          <w:sz w:val="21"/>
          <w:szCs w:val="21"/>
          <w:lang w:val="en-US" w:eastAsia="zh-CN"/>
        </w:rPr>
        <w:t>2</w:t>
      </w:r>
      <w:r>
        <w:rPr>
          <w:rFonts w:hint="eastAsia" w:ascii="黑体" w:hAnsi="黑体" w:eastAsia="黑体" w:cs="黑体"/>
          <w:kern w:val="2"/>
          <w:sz w:val="21"/>
          <w:szCs w:val="21"/>
        </w:rPr>
        <w:t>）</w:t>
      </w:r>
    </w:p>
    <w:tbl>
      <w:tblPr>
        <w:tblStyle w:val="89"/>
        <w:tblW w:w="4881" w:type="pct"/>
        <w:jc w:val="center"/>
        <w:tblLayout w:type="autofit"/>
        <w:tblCellMar>
          <w:top w:w="0" w:type="dxa"/>
          <w:left w:w="108" w:type="dxa"/>
          <w:bottom w:w="0" w:type="dxa"/>
          <w:right w:w="108" w:type="dxa"/>
        </w:tblCellMar>
      </w:tblPr>
      <w:tblGrid>
        <w:gridCol w:w="1783"/>
        <w:gridCol w:w="1412"/>
        <w:gridCol w:w="2020"/>
        <w:gridCol w:w="1632"/>
        <w:gridCol w:w="1665"/>
      </w:tblGrid>
      <w:tr w14:paraId="5D66DFF0">
        <w:tblPrEx>
          <w:tblCellMar>
            <w:top w:w="0" w:type="dxa"/>
            <w:left w:w="108" w:type="dxa"/>
            <w:bottom w:w="0" w:type="dxa"/>
            <w:right w:w="108" w:type="dxa"/>
          </w:tblCellMar>
        </w:tblPrEx>
        <w:trPr>
          <w:trHeight w:val="360" w:hRule="atLeast"/>
          <w:jc w:val="center"/>
        </w:trPr>
        <w:tc>
          <w:tcPr>
            <w:tcW w:w="1047" w:type="pct"/>
            <w:tcBorders>
              <w:top w:val="single" w:color="auto" w:sz="4" w:space="0"/>
              <w:left w:val="single" w:color="auto" w:sz="4" w:space="0"/>
              <w:bottom w:val="single" w:color="auto" w:sz="4" w:space="0"/>
              <w:right w:val="single" w:color="auto" w:sz="4" w:space="0"/>
            </w:tcBorders>
            <w:vAlign w:val="center"/>
          </w:tcPr>
          <w:p w14:paraId="59484D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称样量</w:t>
            </w:r>
            <w:r>
              <w:rPr>
                <w:rFonts w:ascii="Times New Roman" w:hAnsi="Times New Roman" w:eastAsia="宋体" w:cs="Times New Roman"/>
                <w:b w:val="0"/>
                <w:bCs/>
                <w:kern w:val="0"/>
                <w:sz w:val="18"/>
                <w:szCs w:val="18"/>
              </w:rPr>
              <w:t>/g</w:t>
            </w:r>
          </w:p>
        </w:tc>
        <w:tc>
          <w:tcPr>
            <w:tcW w:w="829" w:type="pct"/>
            <w:tcBorders>
              <w:top w:val="single" w:color="auto" w:sz="4" w:space="0"/>
              <w:left w:val="nil"/>
              <w:bottom w:val="single" w:color="auto" w:sz="4" w:space="0"/>
              <w:right w:val="single" w:color="auto" w:sz="4" w:space="0"/>
            </w:tcBorders>
            <w:vAlign w:val="center"/>
          </w:tcPr>
          <w:p w14:paraId="2D1049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熔样情况</w:t>
            </w:r>
          </w:p>
        </w:tc>
        <w:tc>
          <w:tcPr>
            <w:tcW w:w="1186" w:type="pct"/>
            <w:tcBorders>
              <w:top w:val="single" w:color="auto" w:sz="4" w:space="0"/>
              <w:left w:val="nil"/>
              <w:bottom w:val="single" w:color="auto" w:sz="4" w:space="0"/>
              <w:right w:val="single" w:color="auto" w:sz="4" w:space="0"/>
            </w:tcBorders>
            <w:vAlign w:val="center"/>
          </w:tcPr>
          <w:p w14:paraId="4B87E7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曲线释放情况</w:t>
            </w:r>
          </w:p>
        </w:tc>
        <w:tc>
          <w:tcPr>
            <w:tcW w:w="958" w:type="pct"/>
            <w:tcBorders>
              <w:top w:val="single" w:color="auto" w:sz="4" w:space="0"/>
              <w:left w:val="nil"/>
              <w:bottom w:val="single" w:color="auto" w:sz="4" w:space="0"/>
              <w:right w:val="single" w:color="auto" w:sz="4" w:space="0"/>
            </w:tcBorders>
            <w:vAlign w:val="center"/>
          </w:tcPr>
          <w:p w14:paraId="349D0B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碳</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c>
          <w:tcPr>
            <w:tcW w:w="977" w:type="pct"/>
            <w:tcBorders>
              <w:top w:val="single" w:color="auto" w:sz="4" w:space="0"/>
              <w:left w:val="nil"/>
              <w:bottom w:val="single" w:color="auto" w:sz="4" w:space="0"/>
              <w:right w:val="single" w:color="auto" w:sz="4" w:space="0"/>
            </w:tcBorders>
            <w:vAlign w:val="center"/>
          </w:tcPr>
          <w:p w14:paraId="6F6719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硫</w:t>
            </w:r>
            <w:r>
              <w:rPr>
                <w:rFonts w:hint="eastAsia" w:ascii="Times New Roman" w:hAnsi="Times New Roman" w:eastAsia="宋体" w:cs="Times New Roman"/>
                <w:b w:val="0"/>
                <w:bCs/>
                <w:kern w:val="0"/>
                <w:sz w:val="18"/>
                <w:szCs w:val="18"/>
              </w:rPr>
              <w:t>的</w:t>
            </w:r>
            <w:r>
              <w:rPr>
                <w:rFonts w:ascii="Times New Roman" w:hAnsi="Times New Roman" w:eastAsia="宋体" w:cs="Times New Roman"/>
                <w:b w:val="0"/>
                <w:bCs/>
                <w:kern w:val="0"/>
                <w:sz w:val="18"/>
                <w:szCs w:val="18"/>
              </w:rPr>
              <w:t>测定值/%</w:t>
            </w:r>
          </w:p>
        </w:tc>
      </w:tr>
      <w:tr w14:paraId="372323ED">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2C0207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0.50</w:t>
            </w:r>
          </w:p>
        </w:tc>
        <w:tc>
          <w:tcPr>
            <w:tcW w:w="829" w:type="pct"/>
            <w:tcBorders>
              <w:top w:val="nil"/>
              <w:left w:val="nil"/>
              <w:bottom w:val="single" w:color="auto" w:sz="4" w:space="0"/>
              <w:right w:val="single" w:color="auto" w:sz="4" w:space="0"/>
            </w:tcBorders>
            <w:vAlign w:val="center"/>
          </w:tcPr>
          <w:p w14:paraId="2843AC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平滑</w:t>
            </w:r>
          </w:p>
        </w:tc>
        <w:tc>
          <w:tcPr>
            <w:tcW w:w="1186" w:type="pct"/>
            <w:tcBorders>
              <w:top w:val="nil"/>
              <w:left w:val="nil"/>
              <w:bottom w:val="single" w:color="auto" w:sz="4" w:space="0"/>
              <w:right w:val="single" w:color="auto" w:sz="4" w:space="0"/>
            </w:tcBorders>
            <w:vAlign w:val="center"/>
          </w:tcPr>
          <w:p w14:paraId="29CB89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b w:val="0"/>
                <w:bCs/>
                <w:kern w:val="0"/>
                <w:sz w:val="18"/>
                <w:szCs w:val="18"/>
              </w:rPr>
            </w:pPr>
            <w:r>
              <w:rPr>
                <w:rFonts w:ascii="Times New Roman" w:hAnsi="Times New Roman" w:eastAsia="宋体" w:cs="Times New Roman"/>
                <w:b w:val="0"/>
                <w:bCs/>
                <w:kern w:val="0"/>
                <w:sz w:val="18"/>
                <w:szCs w:val="18"/>
              </w:rPr>
              <w:t>释放曲线流畅</w:t>
            </w:r>
          </w:p>
        </w:tc>
        <w:tc>
          <w:tcPr>
            <w:tcW w:w="958" w:type="pct"/>
            <w:tcBorders>
              <w:top w:val="nil"/>
              <w:left w:val="nil"/>
              <w:bottom w:val="single" w:color="auto" w:sz="4" w:space="0"/>
              <w:right w:val="single" w:color="auto" w:sz="4" w:space="0"/>
            </w:tcBorders>
            <w:vAlign w:val="center"/>
          </w:tcPr>
          <w:p w14:paraId="3ADE3A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0.205</w:t>
            </w:r>
          </w:p>
        </w:tc>
        <w:tc>
          <w:tcPr>
            <w:tcW w:w="977" w:type="pct"/>
            <w:tcBorders>
              <w:top w:val="nil"/>
              <w:left w:val="nil"/>
              <w:bottom w:val="single" w:color="auto" w:sz="4" w:space="0"/>
              <w:right w:val="single" w:color="auto" w:sz="4" w:space="0"/>
            </w:tcBorders>
            <w:vAlign w:val="center"/>
          </w:tcPr>
          <w:p w14:paraId="62B682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0.00891</w:t>
            </w:r>
          </w:p>
        </w:tc>
      </w:tr>
      <w:tr w14:paraId="6C564563">
        <w:tblPrEx>
          <w:tblCellMar>
            <w:top w:w="0" w:type="dxa"/>
            <w:left w:w="108" w:type="dxa"/>
            <w:bottom w:w="0" w:type="dxa"/>
            <w:right w:w="108" w:type="dxa"/>
          </w:tblCellMar>
        </w:tblPrEx>
        <w:trPr>
          <w:trHeight w:val="360" w:hRule="atLeast"/>
          <w:jc w:val="center"/>
        </w:trPr>
        <w:tc>
          <w:tcPr>
            <w:tcW w:w="1047" w:type="pct"/>
            <w:tcBorders>
              <w:top w:val="nil"/>
              <w:left w:val="single" w:color="auto" w:sz="4" w:space="0"/>
              <w:bottom w:val="single" w:color="auto" w:sz="4" w:space="0"/>
              <w:right w:val="single" w:color="auto" w:sz="4" w:space="0"/>
            </w:tcBorders>
            <w:vAlign w:val="center"/>
          </w:tcPr>
          <w:p w14:paraId="1A3F84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1.0</w:t>
            </w:r>
          </w:p>
        </w:tc>
        <w:tc>
          <w:tcPr>
            <w:tcW w:w="829" w:type="pct"/>
            <w:tcBorders>
              <w:top w:val="nil"/>
              <w:left w:val="nil"/>
              <w:bottom w:val="single" w:color="auto" w:sz="4" w:space="0"/>
              <w:right w:val="single" w:color="auto" w:sz="4" w:space="0"/>
            </w:tcBorders>
            <w:vAlign w:val="center"/>
          </w:tcPr>
          <w:p w14:paraId="166552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轻微迸溅</w:t>
            </w:r>
          </w:p>
        </w:tc>
        <w:tc>
          <w:tcPr>
            <w:tcW w:w="1186" w:type="pct"/>
            <w:tcBorders>
              <w:top w:val="nil"/>
              <w:left w:val="nil"/>
              <w:bottom w:val="single" w:color="auto" w:sz="4" w:space="0"/>
              <w:right w:val="single" w:color="auto" w:sz="4" w:space="0"/>
            </w:tcBorders>
            <w:vAlign w:val="center"/>
          </w:tcPr>
          <w:p w14:paraId="65BF23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kern w:val="0"/>
                <w:sz w:val="18"/>
                <w:szCs w:val="18"/>
                <w:lang w:eastAsia="zh-CN"/>
              </w:rPr>
            </w:pPr>
            <w:r>
              <w:rPr>
                <w:rFonts w:ascii="Times New Roman" w:hAnsi="Times New Roman" w:eastAsia="宋体" w:cs="Times New Roman"/>
                <w:b w:val="0"/>
                <w:bCs/>
                <w:kern w:val="0"/>
                <w:sz w:val="18"/>
                <w:szCs w:val="18"/>
                <w:highlight w:val="none"/>
              </w:rPr>
              <w:t>释放曲线</w:t>
            </w:r>
            <w:r>
              <w:rPr>
                <w:rFonts w:hint="eastAsia" w:ascii="Times New Roman" w:hAnsi="Times New Roman" w:eastAsia="宋体" w:cs="Times New Roman"/>
                <w:b w:val="0"/>
                <w:bCs/>
                <w:kern w:val="0"/>
                <w:sz w:val="18"/>
                <w:szCs w:val="18"/>
                <w:highlight w:val="none"/>
                <w:lang w:val="en-US" w:eastAsia="zh-CN"/>
              </w:rPr>
              <w:t>流畅</w:t>
            </w:r>
          </w:p>
        </w:tc>
        <w:tc>
          <w:tcPr>
            <w:tcW w:w="958" w:type="pct"/>
            <w:tcBorders>
              <w:top w:val="nil"/>
              <w:left w:val="nil"/>
              <w:bottom w:val="single" w:color="auto" w:sz="4" w:space="0"/>
              <w:right w:val="single" w:color="auto" w:sz="4" w:space="0"/>
            </w:tcBorders>
            <w:vAlign w:val="center"/>
          </w:tcPr>
          <w:p w14:paraId="36CFEC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0.210</w:t>
            </w:r>
          </w:p>
        </w:tc>
        <w:tc>
          <w:tcPr>
            <w:tcW w:w="977" w:type="pct"/>
            <w:tcBorders>
              <w:top w:val="nil"/>
              <w:left w:val="nil"/>
              <w:bottom w:val="single" w:color="auto" w:sz="4" w:space="0"/>
              <w:right w:val="single" w:color="auto" w:sz="4" w:space="0"/>
            </w:tcBorders>
            <w:vAlign w:val="center"/>
          </w:tcPr>
          <w:p w14:paraId="5C962E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0.00885</w:t>
            </w:r>
          </w:p>
        </w:tc>
      </w:tr>
    </w:tbl>
    <w:p w14:paraId="10B16629">
      <w:pPr>
        <w:keepNext w:val="0"/>
        <w:keepLines w:val="0"/>
        <w:pageBreakBefore w:val="0"/>
        <w:widowControl w:val="0"/>
        <w:kinsoku/>
        <w:wordWrap/>
        <w:overflowPunct/>
        <w:topLinePunct w:val="0"/>
        <w:autoSpaceDE/>
        <w:autoSpaceDN/>
        <w:bidi w:val="0"/>
        <w:adjustRightInd/>
        <w:snapToGrid/>
        <w:spacing w:before="157" w:beforeLines="50" w:line="240" w:lineRule="auto"/>
        <w:ind w:firstLine="420" w:firstLineChars="200"/>
        <w:jc w:val="left"/>
        <w:textAlignment w:val="auto"/>
        <w:rPr>
          <w:rFonts w:ascii="Times New Roman" w:hAnsi="Times New Roman" w:eastAsia="宋体" w:cs="Times New Roman"/>
          <w:kern w:val="2"/>
          <w:sz w:val="21"/>
          <w:szCs w:val="20"/>
        </w:rPr>
      </w:pPr>
      <w:r>
        <w:rPr>
          <w:rFonts w:hint="eastAsia" w:ascii="Times New Roman" w:hAnsi="Times New Roman" w:eastAsia="宋体" w:cs="Times New Roman"/>
          <w:kern w:val="2"/>
          <w:sz w:val="21"/>
          <w:szCs w:val="20"/>
          <w:lang w:val="en-US" w:eastAsia="zh-CN"/>
        </w:rPr>
        <w:t>试验结果表明，称样量为0.50g时，熔样情况较好，熔体表面平滑，释放曲线流畅。当称样量为1.0g时，熔样时出现轻微迸溅情况，因此建议样品称样量为0.5g。</w:t>
      </w:r>
    </w:p>
    <w:p w14:paraId="76CF7F5A">
      <w:pPr>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line="240" w:lineRule="auto"/>
        <w:jc w:val="both"/>
        <w:textAlignment w:val="auto"/>
        <w:outlineLvl w:val="1"/>
        <w:rPr>
          <w:rFonts w:hint="default"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1.3.4 方法检出限和测定下限</w:t>
      </w:r>
    </w:p>
    <w:p w14:paraId="76C1D6F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按照试验分析步骤，以输入质量1.0000g计算</w:t>
      </w:r>
      <w:r>
        <w:rPr>
          <w:rFonts w:hint="eastAsia" w:cs="Times New Roman"/>
          <w:kern w:val="2"/>
          <w:sz w:val="21"/>
          <w:szCs w:val="21"/>
          <w:lang w:val="en-US" w:eastAsia="zh-CN"/>
        </w:rPr>
        <w:t>，</w:t>
      </w:r>
      <w:r>
        <w:rPr>
          <w:rFonts w:hint="eastAsia" w:ascii="Times New Roman" w:hAnsi="Times New Roman" w:eastAsia="宋体" w:cs="Times New Roman"/>
          <w:kern w:val="2"/>
          <w:sz w:val="21"/>
          <w:szCs w:val="21"/>
          <w:lang w:val="en-US" w:eastAsia="zh-CN"/>
        </w:rPr>
        <w:t>连续测定7次空白，以3倍标准偏差计算检出限，以10倍标准偏差计算测定下限，试验结果见表7：</w:t>
      </w:r>
    </w:p>
    <w:p w14:paraId="3D24241E">
      <w:pPr>
        <w:keepNext w:val="0"/>
        <w:keepLines w:val="0"/>
        <w:pageBreakBefore w:val="0"/>
        <w:widowControl w:val="0"/>
        <w:kinsoku/>
        <w:wordWrap/>
        <w:overflowPunct/>
        <w:topLinePunct w:val="0"/>
        <w:autoSpaceDE/>
        <w:autoSpaceDN/>
        <w:bidi w:val="0"/>
        <w:adjustRightInd/>
        <w:snapToGrid/>
        <w:spacing w:before="164" w:beforeLines="50" w:line="240" w:lineRule="auto"/>
        <w:jc w:val="center"/>
        <w:textAlignment w:val="auto"/>
        <w:rPr>
          <w:rFonts w:hint="default" w:ascii="黑体" w:hAnsi="黑体" w:eastAsia="黑体" w:cs="黑体"/>
          <w:kern w:val="2"/>
          <w:sz w:val="21"/>
          <w:szCs w:val="21"/>
          <w:lang w:val="en-US"/>
        </w:rPr>
      </w:pPr>
      <w:r>
        <w:rPr>
          <w:rFonts w:hint="eastAsia" w:ascii="黑体" w:hAnsi="黑体" w:eastAsia="黑体" w:cs="黑体"/>
          <w:kern w:val="2"/>
          <w:sz w:val="21"/>
          <w:szCs w:val="21"/>
        </w:rPr>
        <w:t>表</w:t>
      </w:r>
      <w:r>
        <w:rPr>
          <w:rFonts w:hint="eastAsia" w:ascii="黑体" w:hAnsi="黑体" w:eastAsia="黑体" w:cs="黑体"/>
          <w:kern w:val="2"/>
          <w:sz w:val="21"/>
          <w:szCs w:val="21"/>
          <w:lang w:val="en-US" w:eastAsia="zh-CN"/>
        </w:rPr>
        <w:t>7</w:t>
      </w:r>
      <w:r>
        <w:rPr>
          <w:rFonts w:hint="eastAsia" w:ascii="黑体" w:hAnsi="黑体" w:eastAsia="黑体" w:cs="黑体"/>
          <w:kern w:val="2"/>
          <w:sz w:val="21"/>
          <w:szCs w:val="21"/>
        </w:rPr>
        <w:t xml:space="preserve"> </w:t>
      </w:r>
      <w:r>
        <w:rPr>
          <w:rFonts w:hint="eastAsia" w:ascii="黑体" w:hAnsi="黑体" w:eastAsia="黑体" w:cs="黑体"/>
          <w:kern w:val="2"/>
          <w:sz w:val="21"/>
          <w:szCs w:val="21"/>
          <w:lang w:val="en-US" w:eastAsia="zh-CN"/>
        </w:rPr>
        <w:t>检出限和测定下限</w:t>
      </w:r>
    </w:p>
    <w:tbl>
      <w:tblPr>
        <w:tblStyle w:val="89"/>
        <w:tblW w:w="8459" w:type="dxa"/>
        <w:jc w:val="center"/>
        <w:tblLayout w:type="autofit"/>
        <w:tblCellMar>
          <w:top w:w="0" w:type="dxa"/>
          <w:left w:w="108" w:type="dxa"/>
          <w:bottom w:w="0" w:type="dxa"/>
          <w:right w:w="108" w:type="dxa"/>
        </w:tblCellMar>
      </w:tblPr>
      <w:tblGrid>
        <w:gridCol w:w="3524"/>
        <w:gridCol w:w="2375"/>
        <w:gridCol w:w="2560"/>
      </w:tblGrid>
      <w:tr w14:paraId="534490FA">
        <w:tblPrEx>
          <w:tblCellMar>
            <w:top w:w="0" w:type="dxa"/>
            <w:left w:w="108" w:type="dxa"/>
            <w:bottom w:w="0" w:type="dxa"/>
            <w:right w:w="108" w:type="dxa"/>
          </w:tblCellMar>
        </w:tblPrEx>
        <w:trPr>
          <w:trHeight w:val="271" w:hRule="atLeast"/>
          <w:tblHeader/>
          <w:jc w:val="center"/>
        </w:trPr>
        <w:tc>
          <w:tcPr>
            <w:tcW w:w="0" w:type="auto"/>
            <w:vMerge w:val="restart"/>
            <w:tcBorders>
              <w:top w:val="single" w:color="auto" w:sz="4" w:space="0"/>
              <w:left w:val="single" w:color="auto" w:sz="4" w:space="0"/>
              <w:right w:val="single" w:color="auto" w:sz="4" w:space="0"/>
            </w:tcBorders>
            <w:vAlign w:val="center"/>
          </w:tcPr>
          <w:p w14:paraId="0B22D574">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空白值/%</w:t>
            </w:r>
          </w:p>
        </w:tc>
        <w:tc>
          <w:tcPr>
            <w:tcW w:w="2375" w:type="dxa"/>
            <w:tcBorders>
              <w:top w:val="single" w:color="auto" w:sz="4" w:space="0"/>
              <w:left w:val="nil"/>
              <w:bottom w:val="single" w:color="auto" w:sz="4" w:space="0"/>
              <w:right w:val="single" w:color="auto" w:sz="4" w:space="0"/>
            </w:tcBorders>
            <w:vAlign w:val="center"/>
          </w:tcPr>
          <w:p w14:paraId="7F251887">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ascii="Times New Roman" w:hAnsi="Times New Roman" w:eastAsia="宋体" w:cs="Times New Roman"/>
                <w:b w:val="0"/>
                <w:bCs/>
                <w:kern w:val="0"/>
                <w:sz w:val="18"/>
                <w:szCs w:val="18"/>
              </w:rPr>
            </w:pPr>
            <w:r>
              <w:rPr>
                <w:rFonts w:hint="eastAsia" w:ascii="Times New Roman" w:hAnsi="Times New Roman" w:eastAsia="宋体" w:cs="Times New Roman"/>
                <w:b w:val="0"/>
                <w:bCs/>
                <w:kern w:val="0"/>
                <w:sz w:val="18"/>
                <w:szCs w:val="18"/>
                <w:lang w:val="en-US" w:eastAsia="zh-CN"/>
              </w:rPr>
              <w:t>C</w:t>
            </w:r>
          </w:p>
        </w:tc>
        <w:tc>
          <w:tcPr>
            <w:tcW w:w="2560" w:type="dxa"/>
            <w:tcBorders>
              <w:top w:val="single" w:color="auto" w:sz="4" w:space="0"/>
              <w:left w:val="nil"/>
              <w:bottom w:val="single" w:color="auto" w:sz="4" w:space="0"/>
              <w:right w:val="single" w:color="auto" w:sz="4" w:space="0"/>
            </w:tcBorders>
            <w:vAlign w:val="center"/>
          </w:tcPr>
          <w:p w14:paraId="02B3BAC7">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S</w:t>
            </w:r>
          </w:p>
        </w:tc>
      </w:tr>
      <w:tr w14:paraId="69FAF424">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2CA7811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2C2D701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0.00029 </w:t>
            </w:r>
          </w:p>
        </w:tc>
        <w:tc>
          <w:tcPr>
            <w:tcW w:w="2560" w:type="dxa"/>
            <w:tcBorders>
              <w:top w:val="nil"/>
              <w:left w:val="nil"/>
              <w:bottom w:val="single" w:color="auto" w:sz="4" w:space="0"/>
              <w:right w:val="single" w:color="auto" w:sz="4" w:space="0"/>
            </w:tcBorders>
            <w:vAlign w:val="center"/>
          </w:tcPr>
          <w:p w14:paraId="242879D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0.00034 </w:t>
            </w:r>
          </w:p>
        </w:tc>
      </w:tr>
      <w:tr w14:paraId="5AF46AF2">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0D511B3F">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6901147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0.00041 </w:t>
            </w:r>
          </w:p>
        </w:tc>
        <w:tc>
          <w:tcPr>
            <w:tcW w:w="2560" w:type="dxa"/>
            <w:tcBorders>
              <w:top w:val="nil"/>
              <w:left w:val="nil"/>
              <w:bottom w:val="single" w:color="auto" w:sz="4" w:space="0"/>
              <w:right w:val="single" w:color="auto" w:sz="4" w:space="0"/>
            </w:tcBorders>
            <w:vAlign w:val="center"/>
          </w:tcPr>
          <w:p w14:paraId="6A2F52B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0.00032 </w:t>
            </w:r>
          </w:p>
        </w:tc>
      </w:tr>
      <w:tr w14:paraId="53863AC3">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365E715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3E512E7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0.00034 </w:t>
            </w:r>
          </w:p>
        </w:tc>
        <w:tc>
          <w:tcPr>
            <w:tcW w:w="2560" w:type="dxa"/>
            <w:tcBorders>
              <w:top w:val="nil"/>
              <w:left w:val="nil"/>
              <w:bottom w:val="single" w:color="auto" w:sz="4" w:space="0"/>
              <w:right w:val="single" w:color="auto" w:sz="4" w:space="0"/>
            </w:tcBorders>
            <w:vAlign w:val="center"/>
          </w:tcPr>
          <w:p w14:paraId="0C012124">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0.00028 </w:t>
            </w:r>
          </w:p>
        </w:tc>
      </w:tr>
      <w:tr w14:paraId="59D9B9AC">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48F45DB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16D1B518">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0.00042 </w:t>
            </w:r>
          </w:p>
        </w:tc>
        <w:tc>
          <w:tcPr>
            <w:tcW w:w="2560" w:type="dxa"/>
            <w:tcBorders>
              <w:top w:val="nil"/>
              <w:left w:val="nil"/>
              <w:bottom w:val="single" w:color="auto" w:sz="4" w:space="0"/>
              <w:right w:val="single" w:color="auto" w:sz="4" w:space="0"/>
            </w:tcBorders>
            <w:vAlign w:val="center"/>
          </w:tcPr>
          <w:p w14:paraId="4A69916C">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0.00035 </w:t>
            </w:r>
          </w:p>
        </w:tc>
      </w:tr>
      <w:tr w14:paraId="0604DF63">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71D5464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730CDEFE">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0.00038 </w:t>
            </w:r>
          </w:p>
        </w:tc>
        <w:tc>
          <w:tcPr>
            <w:tcW w:w="2560" w:type="dxa"/>
            <w:tcBorders>
              <w:top w:val="nil"/>
              <w:left w:val="nil"/>
              <w:bottom w:val="single" w:color="auto" w:sz="4" w:space="0"/>
              <w:right w:val="single" w:color="auto" w:sz="4" w:space="0"/>
            </w:tcBorders>
            <w:vAlign w:val="center"/>
          </w:tcPr>
          <w:p w14:paraId="7FDE1AC4">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0.00032 </w:t>
            </w:r>
          </w:p>
        </w:tc>
      </w:tr>
      <w:tr w14:paraId="5D266DFF">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right w:val="single" w:color="auto" w:sz="4" w:space="0"/>
            </w:tcBorders>
            <w:vAlign w:val="center"/>
          </w:tcPr>
          <w:p w14:paraId="6465B61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3010C5F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0.00038 </w:t>
            </w:r>
          </w:p>
        </w:tc>
        <w:tc>
          <w:tcPr>
            <w:tcW w:w="2560" w:type="dxa"/>
            <w:tcBorders>
              <w:top w:val="nil"/>
              <w:left w:val="nil"/>
              <w:bottom w:val="single" w:color="auto" w:sz="4" w:space="0"/>
              <w:right w:val="single" w:color="auto" w:sz="4" w:space="0"/>
            </w:tcBorders>
            <w:vAlign w:val="center"/>
          </w:tcPr>
          <w:p w14:paraId="7055AB96">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0.00036 </w:t>
            </w:r>
          </w:p>
        </w:tc>
      </w:tr>
      <w:tr w14:paraId="22D89A4D">
        <w:tblPrEx>
          <w:tblCellMar>
            <w:top w:w="0" w:type="dxa"/>
            <w:left w:w="108" w:type="dxa"/>
            <w:bottom w:w="0" w:type="dxa"/>
            <w:right w:w="108" w:type="dxa"/>
          </w:tblCellMar>
        </w:tblPrEx>
        <w:trPr>
          <w:trHeight w:val="271" w:hRule="atLeast"/>
          <w:tblHeader/>
          <w:jc w:val="center"/>
        </w:trPr>
        <w:tc>
          <w:tcPr>
            <w:tcW w:w="0" w:type="auto"/>
            <w:vMerge w:val="continue"/>
            <w:tcBorders>
              <w:left w:val="single" w:color="auto" w:sz="4" w:space="0"/>
              <w:bottom w:val="single" w:color="auto" w:sz="4" w:space="0"/>
              <w:right w:val="single" w:color="auto" w:sz="4" w:space="0"/>
            </w:tcBorders>
            <w:vAlign w:val="center"/>
          </w:tcPr>
          <w:p w14:paraId="501D904E">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p>
        </w:tc>
        <w:tc>
          <w:tcPr>
            <w:tcW w:w="2375" w:type="dxa"/>
            <w:tcBorders>
              <w:top w:val="nil"/>
              <w:left w:val="nil"/>
              <w:bottom w:val="single" w:color="auto" w:sz="4" w:space="0"/>
              <w:right w:val="single" w:color="auto" w:sz="4" w:space="0"/>
            </w:tcBorders>
            <w:vAlign w:val="center"/>
          </w:tcPr>
          <w:p w14:paraId="0D368A4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0.00035 </w:t>
            </w:r>
          </w:p>
        </w:tc>
        <w:tc>
          <w:tcPr>
            <w:tcW w:w="2560" w:type="dxa"/>
            <w:tcBorders>
              <w:top w:val="nil"/>
              <w:left w:val="nil"/>
              <w:bottom w:val="single" w:color="auto" w:sz="4" w:space="0"/>
              <w:right w:val="single" w:color="auto" w:sz="4" w:space="0"/>
            </w:tcBorders>
            <w:vAlign w:val="center"/>
          </w:tcPr>
          <w:p w14:paraId="52CCC46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0.00033 </w:t>
            </w:r>
          </w:p>
        </w:tc>
      </w:tr>
      <w:tr w14:paraId="4FC1C212">
        <w:tblPrEx>
          <w:tblCellMar>
            <w:top w:w="0" w:type="dxa"/>
            <w:left w:w="108" w:type="dxa"/>
            <w:bottom w:w="0" w:type="dxa"/>
            <w:right w:w="108" w:type="dxa"/>
          </w:tblCellMar>
        </w:tblPrEx>
        <w:trPr>
          <w:trHeight w:val="303"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7943AFF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平均值/%</w:t>
            </w:r>
          </w:p>
        </w:tc>
        <w:tc>
          <w:tcPr>
            <w:tcW w:w="2375" w:type="dxa"/>
            <w:tcBorders>
              <w:top w:val="single" w:color="auto" w:sz="4" w:space="0"/>
              <w:left w:val="single" w:color="auto" w:sz="4" w:space="0"/>
              <w:bottom w:val="single" w:color="auto" w:sz="4" w:space="0"/>
              <w:right w:val="single" w:color="auto" w:sz="4" w:space="0"/>
            </w:tcBorders>
            <w:vAlign w:val="center"/>
          </w:tcPr>
          <w:p w14:paraId="2C558BD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0.00037 </w:t>
            </w:r>
          </w:p>
        </w:tc>
        <w:tc>
          <w:tcPr>
            <w:tcW w:w="2560" w:type="dxa"/>
            <w:tcBorders>
              <w:top w:val="single" w:color="auto" w:sz="4" w:space="0"/>
              <w:left w:val="single" w:color="auto" w:sz="4" w:space="0"/>
              <w:bottom w:val="single" w:color="auto" w:sz="4" w:space="0"/>
              <w:right w:val="single" w:color="auto" w:sz="4" w:space="0"/>
            </w:tcBorders>
            <w:vAlign w:val="center"/>
          </w:tcPr>
          <w:p w14:paraId="6309BAF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0.00033 </w:t>
            </w:r>
          </w:p>
        </w:tc>
      </w:tr>
      <w:tr w14:paraId="1059BA29">
        <w:tblPrEx>
          <w:tblCellMar>
            <w:top w:w="0" w:type="dxa"/>
            <w:left w:w="108" w:type="dxa"/>
            <w:bottom w:w="0" w:type="dxa"/>
            <w:right w:w="108" w:type="dxa"/>
          </w:tblCellMar>
        </w:tblPrEx>
        <w:trPr>
          <w:trHeight w:val="303"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3A0E34E6">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标准偏差/%</w:t>
            </w:r>
          </w:p>
        </w:tc>
        <w:tc>
          <w:tcPr>
            <w:tcW w:w="2375" w:type="dxa"/>
            <w:tcBorders>
              <w:top w:val="single" w:color="auto" w:sz="4" w:space="0"/>
              <w:left w:val="single" w:color="auto" w:sz="4" w:space="0"/>
              <w:bottom w:val="single" w:color="auto" w:sz="4" w:space="0"/>
              <w:right w:val="single" w:color="auto" w:sz="4" w:space="0"/>
            </w:tcBorders>
            <w:vAlign w:val="center"/>
          </w:tcPr>
          <w:p w14:paraId="56BFB67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highlight w:val="none"/>
                <w:lang w:val="en-US" w:eastAsia="zh-CN"/>
              </w:rPr>
            </w:pPr>
            <w:r>
              <w:rPr>
                <w:rFonts w:hint="eastAsia" w:ascii="Times New Roman" w:hAnsi="Times New Roman" w:eastAsia="宋体" w:cs="Times New Roman"/>
                <w:b w:val="0"/>
                <w:bCs/>
                <w:kern w:val="0"/>
                <w:sz w:val="18"/>
                <w:szCs w:val="18"/>
                <w:highlight w:val="none"/>
                <w:lang w:val="en-US" w:eastAsia="zh-CN"/>
              </w:rPr>
              <w:t>0.000045</w:t>
            </w:r>
          </w:p>
        </w:tc>
        <w:tc>
          <w:tcPr>
            <w:tcW w:w="2560" w:type="dxa"/>
            <w:tcBorders>
              <w:top w:val="single" w:color="auto" w:sz="4" w:space="0"/>
              <w:left w:val="single" w:color="auto" w:sz="4" w:space="0"/>
              <w:bottom w:val="single" w:color="auto" w:sz="4" w:space="0"/>
              <w:right w:val="single" w:color="auto" w:sz="4" w:space="0"/>
            </w:tcBorders>
            <w:vAlign w:val="center"/>
          </w:tcPr>
          <w:p w14:paraId="3B6C57F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highlight w:val="none"/>
                <w:lang w:val="en-US" w:eastAsia="zh-CN"/>
              </w:rPr>
            </w:pPr>
            <w:r>
              <w:rPr>
                <w:rFonts w:hint="eastAsia" w:ascii="Times New Roman" w:hAnsi="Times New Roman" w:eastAsia="宋体" w:cs="Times New Roman"/>
                <w:b w:val="0"/>
                <w:bCs/>
                <w:kern w:val="0"/>
                <w:sz w:val="18"/>
                <w:szCs w:val="18"/>
                <w:highlight w:val="none"/>
                <w:lang w:val="en-US" w:eastAsia="zh-CN"/>
              </w:rPr>
              <w:t>0.000026</w:t>
            </w:r>
          </w:p>
        </w:tc>
      </w:tr>
      <w:tr w14:paraId="024B48CF">
        <w:tblPrEx>
          <w:tblCellMar>
            <w:top w:w="0" w:type="dxa"/>
            <w:left w:w="108" w:type="dxa"/>
            <w:bottom w:w="0" w:type="dxa"/>
            <w:right w:w="108" w:type="dxa"/>
          </w:tblCellMar>
        </w:tblPrEx>
        <w:trPr>
          <w:trHeight w:val="303"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76A0830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检出限/%</w:t>
            </w:r>
          </w:p>
        </w:tc>
        <w:tc>
          <w:tcPr>
            <w:tcW w:w="2375" w:type="dxa"/>
            <w:tcBorders>
              <w:top w:val="single" w:color="auto" w:sz="4" w:space="0"/>
              <w:left w:val="single" w:color="auto" w:sz="4" w:space="0"/>
              <w:bottom w:val="single" w:color="auto" w:sz="4" w:space="0"/>
              <w:right w:val="single" w:color="auto" w:sz="4" w:space="0"/>
            </w:tcBorders>
            <w:vAlign w:val="center"/>
          </w:tcPr>
          <w:p w14:paraId="3B9AF216">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highlight w:val="none"/>
                <w:lang w:val="en-US" w:eastAsia="zh-CN"/>
              </w:rPr>
            </w:pPr>
            <w:r>
              <w:rPr>
                <w:rFonts w:hint="eastAsia" w:ascii="Times New Roman" w:hAnsi="Times New Roman" w:eastAsia="宋体" w:cs="Times New Roman"/>
                <w:b w:val="0"/>
                <w:bCs/>
                <w:kern w:val="0"/>
                <w:sz w:val="18"/>
                <w:szCs w:val="18"/>
                <w:highlight w:val="none"/>
                <w:lang w:val="en-US" w:eastAsia="zh-CN"/>
              </w:rPr>
              <w:t xml:space="preserve">0.00013 </w:t>
            </w:r>
          </w:p>
        </w:tc>
        <w:tc>
          <w:tcPr>
            <w:tcW w:w="2560" w:type="dxa"/>
            <w:tcBorders>
              <w:top w:val="single" w:color="auto" w:sz="4" w:space="0"/>
              <w:left w:val="single" w:color="auto" w:sz="4" w:space="0"/>
              <w:bottom w:val="single" w:color="auto" w:sz="4" w:space="0"/>
              <w:right w:val="single" w:color="auto" w:sz="4" w:space="0"/>
            </w:tcBorders>
            <w:vAlign w:val="center"/>
          </w:tcPr>
          <w:p w14:paraId="361A2648">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highlight w:val="none"/>
                <w:lang w:val="en-US" w:eastAsia="zh-CN"/>
              </w:rPr>
            </w:pPr>
            <w:r>
              <w:rPr>
                <w:rFonts w:hint="eastAsia" w:ascii="Times New Roman" w:hAnsi="Times New Roman" w:eastAsia="宋体" w:cs="Times New Roman"/>
                <w:b w:val="0"/>
                <w:bCs/>
                <w:kern w:val="0"/>
                <w:sz w:val="18"/>
                <w:szCs w:val="18"/>
                <w:highlight w:val="none"/>
                <w:lang w:val="en-US" w:eastAsia="zh-CN"/>
              </w:rPr>
              <w:t xml:space="preserve">0.000078 </w:t>
            </w:r>
          </w:p>
        </w:tc>
      </w:tr>
      <w:tr w14:paraId="4DD19524">
        <w:tblPrEx>
          <w:tblCellMar>
            <w:top w:w="0" w:type="dxa"/>
            <w:left w:w="108" w:type="dxa"/>
            <w:bottom w:w="0" w:type="dxa"/>
            <w:right w:w="108" w:type="dxa"/>
          </w:tblCellMar>
        </w:tblPrEx>
        <w:trPr>
          <w:trHeight w:val="326" w:hRule="atLeast"/>
          <w:tblHeader/>
          <w:jc w:val="center"/>
        </w:trPr>
        <w:tc>
          <w:tcPr>
            <w:tcW w:w="3524" w:type="dxa"/>
            <w:tcBorders>
              <w:top w:val="single" w:color="auto" w:sz="4" w:space="0"/>
              <w:left w:val="single" w:color="auto" w:sz="4" w:space="0"/>
              <w:bottom w:val="single" w:color="auto" w:sz="4" w:space="0"/>
              <w:right w:val="single" w:color="auto" w:sz="4" w:space="0"/>
            </w:tcBorders>
            <w:vAlign w:val="center"/>
          </w:tcPr>
          <w:p w14:paraId="2FCB89F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测定</w:t>
            </w:r>
            <w:r>
              <w:rPr>
                <w:rFonts w:hint="eastAsia" w:ascii="Times New Roman" w:hAnsi="Times New Roman" w:eastAsia="宋体" w:cs="Times New Roman"/>
                <w:b w:val="0"/>
                <w:bCs/>
                <w:kern w:val="0"/>
                <w:sz w:val="18"/>
                <w:szCs w:val="18"/>
                <w:highlight w:val="none"/>
                <w:lang w:val="en-US" w:eastAsia="zh-CN"/>
              </w:rPr>
              <w:t>下</w:t>
            </w:r>
            <w:r>
              <w:rPr>
                <w:rFonts w:hint="eastAsia" w:ascii="Times New Roman" w:hAnsi="Times New Roman" w:eastAsia="宋体" w:cs="Times New Roman"/>
                <w:b w:val="0"/>
                <w:bCs/>
                <w:kern w:val="0"/>
                <w:sz w:val="18"/>
                <w:szCs w:val="18"/>
                <w:lang w:val="en-US" w:eastAsia="zh-CN"/>
              </w:rPr>
              <w:t>限/%</w:t>
            </w:r>
          </w:p>
        </w:tc>
        <w:tc>
          <w:tcPr>
            <w:tcW w:w="2375" w:type="dxa"/>
            <w:tcBorders>
              <w:top w:val="single" w:color="auto" w:sz="4" w:space="0"/>
              <w:left w:val="single" w:color="auto" w:sz="4" w:space="0"/>
              <w:bottom w:val="single" w:color="auto" w:sz="4" w:space="0"/>
              <w:right w:val="single" w:color="auto" w:sz="4" w:space="0"/>
            </w:tcBorders>
            <w:vAlign w:val="center"/>
          </w:tcPr>
          <w:p w14:paraId="6061117C">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0.00045 </w:t>
            </w:r>
          </w:p>
        </w:tc>
        <w:tc>
          <w:tcPr>
            <w:tcW w:w="2560" w:type="dxa"/>
            <w:tcBorders>
              <w:top w:val="single" w:color="auto" w:sz="4" w:space="0"/>
              <w:left w:val="single" w:color="auto" w:sz="4" w:space="0"/>
              <w:bottom w:val="single" w:color="auto" w:sz="4" w:space="0"/>
              <w:right w:val="single" w:color="auto" w:sz="4" w:space="0"/>
            </w:tcBorders>
            <w:vAlign w:val="center"/>
          </w:tcPr>
          <w:p w14:paraId="0B84916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b w:val="0"/>
                <w:bCs/>
                <w:kern w:val="0"/>
                <w:sz w:val="18"/>
                <w:szCs w:val="18"/>
                <w:lang w:val="en-US" w:eastAsia="zh-CN"/>
              </w:rPr>
            </w:pPr>
            <w:r>
              <w:rPr>
                <w:rFonts w:hint="eastAsia" w:ascii="Times New Roman" w:hAnsi="Times New Roman" w:eastAsia="宋体" w:cs="Times New Roman"/>
                <w:b w:val="0"/>
                <w:bCs/>
                <w:kern w:val="0"/>
                <w:sz w:val="18"/>
                <w:szCs w:val="18"/>
                <w:lang w:val="en-US" w:eastAsia="zh-CN"/>
              </w:rPr>
              <w:t xml:space="preserve">0.00026 </w:t>
            </w:r>
          </w:p>
        </w:tc>
      </w:tr>
    </w:tbl>
    <w:p w14:paraId="4B20A5FA">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黑体" w:eastAsia="黑体" w:cs="宋体"/>
          <w:kern w:val="2"/>
          <w:sz w:val="21"/>
          <w:szCs w:val="21"/>
          <w:highlight w:val="none"/>
        </w:rPr>
      </w:pPr>
      <w:r>
        <w:rPr>
          <w:rFonts w:ascii="黑体" w:hAnsi="黑体" w:eastAsia="黑体" w:cs="宋体"/>
          <w:kern w:val="2"/>
          <w:sz w:val="21"/>
          <w:szCs w:val="21"/>
          <w:highlight w:val="none"/>
        </w:rPr>
        <w:t>2</w:t>
      </w:r>
      <w:r>
        <w:rPr>
          <w:rFonts w:hint="eastAsia" w:ascii="黑体" w:hAnsi="黑体" w:eastAsia="黑体" w:cs="宋体"/>
          <w:kern w:val="2"/>
          <w:sz w:val="21"/>
          <w:szCs w:val="21"/>
          <w:highlight w:val="none"/>
        </w:rPr>
        <w:t xml:space="preserve">  试样分析</w:t>
      </w:r>
    </w:p>
    <w:p w14:paraId="3BEDCDE6">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宋体"/>
          <w:kern w:val="2"/>
          <w:sz w:val="21"/>
          <w:szCs w:val="21"/>
          <w:highlight w:val="none"/>
        </w:rPr>
      </w:pPr>
      <w:r>
        <w:rPr>
          <w:rFonts w:ascii="黑体" w:hAnsi="黑体" w:eastAsia="黑体" w:cs="宋体"/>
          <w:kern w:val="2"/>
          <w:sz w:val="21"/>
          <w:szCs w:val="21"/>
          <w:highlight w:val="none"/>
        </w:rPr>
        <w:t>2</w:t>
      </w:r>
      <w:r>
        <w:rPr>
          <w:rFonts w:hint="eastAsia" w:ascii="黑体" w:hAnsi="黑体" w:eastAsia="黑体" w:cs="宋体"/>
          <w:kern w:val="2"/>
          <w:sz w:val="21"/>
          <w:szCs w:val="21"/>
          <w:highlight w:val="none"/>
        </w:rPr>
        <w:t>.1 精密度试验</w:t>
      </w:r>
    </w:p>
    <w:p w14:paraId="2CB9416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按照试验方法，对1#、2#、3#样品进行7次独立试验，精密度试验结果见表</w:t>
      </w:r>
      <w:r>
        <w:rPr>
          <w:rFonts w:hint="default" w:ascii="Times New Roman" w:hAnsi="Times New Roman" w:cs="Times New Roman"/>
          <w:kern w:val="2"/>
          <w:sz w:val="21"/>
          <w:szCs w:val="21"/>
          <w:highlight w:val="none"/>
          <w:lang w:val="en-US" w:eastAsia="zh-CN"/>
        </w:rPr>
        <w:t>8</w:t>
      </w:r>
      <w:r>
        <w:rPr>
          <w:rFonts w:hint="default" w:ascii="Times New Roman" w:hAnsi="Times New Roman" w:cs="Times New Roman"/>
          <w:kern w:val="2"/>
          <w:sz w:val="21"/>
          <w:szCs w:val="21"/>
          <w:highlight w:val="none"/>
        </w:rPr>
        <w:t>。</w:t>
      </w:r>
    </w:p>
    <w:p w14:paraId="4FE6422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2#、3#样品是在钴基试样(本底值：C 0.0102%,S 0.00%)中加入不同的钢标样配置而成。</w:t>
      </w:r>
    </w:p>
    <w:p w14:paraId="66AD95F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cs="Times New Roman"/>
          <w:kern w:val="2"/>
          <w:sz w:val="21"/>
          <w:szCs w:val="21"/>
          <w:highlight w:val="none"/>
          <w:lang w:val="en-US" w:eastAsia="zh-CN"/>
        </w:rPr>
      </w:pPr>
      <w:r>
        <w:rPr>
          <w:rFonts w:hint="default" w:ascii="Times New Roman" w:hAnsi="Times New Roman" w:cs="Times New Roman"/>
          <w:kern w:val="2"/>
          <w:sz w:val="21"/>
          <w:szCs w:val="21"/>
          <w:highlight w:val="none"/>
        </w:rPr>
        <w:t>2#：0.5000±0.0001g钴基试样+0.2100±0.0001g钢标样B</w:t>
      </w:r>
      <w:r>
        <w:rPr>
          <w:rFonts w:hint="default" w:ascii="Times New Roman" w:hAnsi="Times New Roman" w:cs="Times New Roman"/>
          <w:kern w:val="2"/>
          <w:sz w:val="21"/>
          <w:szCs w:val="21"/>
          <w:highlight w:val="none"/>
          <w:vertAlign w:val="subscript"/>
        </w:rPr>
        <w:t>3</w:t>
      </w:r>
      <w:r>
        <w:rPr>
          <w:rFonts w:hint="default" w:ascii="Times New Roman" w:hAnsi="Times New Roman" w:cs="Times New Roman"/>
          <w:kern w:val="2"/>
          <w:sz w:val="21"/>
          <w:szCs w:val="21"/>
          <w:highlight w:val="none"/>
        </w:rPr>
        <w:t>（C:0.092%,S:0.121%），</w:t>
      </w:r>
      <w:r>
        <w:rPr>
          <w:rFonts w:hint="eastAsia" w:cs="Times New Roman"/>
          <w:kern w:val="2"/>
          <w:sz w:val="21"/>
          <w:szCs w:val="21"/>
          <w:highlight w:val="none"/>
          <w:lang w:val="en-US" w:eastAsia="zh-CN"/>
        </w:rPr>
        <w:t>称样量仅输入钴基试样的质量。</w:t>
      </w:r>
    </w:p>
    <w:p w14:paraId="179DFA4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3#：0.5000g±0.0001g钴基试样+0.0298g±0.0001g钢标样B</w:t>
      </w:r>
      <w:r>
        <w:rPr>
          <w:rFonts w:hint="default" w:ascii="Times New Roman" w:hAnsi="Times New Roman" w:cs="Times New Roman"/>
          <w:kern w:val="2"/>
          <w:sz w:val="21"/>
          <w:szCs w:val="21"/>
          <w:highlight w:val="none"/>
          <w:vertAlign w:val="subscript"/>
        </w:rPr>
        <w:t>4</w:t>
      </w:r>
      <w:r>
        <w:rPr>
          <w:rFonts w:hint="default" w:ascii="Times New Roman" w:hAnsi="Times New Roman" w:cs="Times New Roman"/>
          <w:kern w:val="2"/>
          <w:sz w:val="21"/>
          <w:szCs w:val="21"/>
          <w:highlight w:val="none"/>
        </w:rPr>
        <w:t>（C:3.36%,S:0.154%）</w:t>
      </w:r>
      <w:r>
        <w:rPr>
          <w:rFonts w:hint="eastAsia" w:cs="Times New Roman"/>
          <w:kern w:val="2"/>
          <w:sz w:val="21"/>
          <w:szCs w:val="21"/>
          <w:highlight w:val="none"/>
          <w:lang w:eastAsia="zh-CN"/>
        </w:rPr>
        <w:t>，</w:t>
      </w:r>
      <w:r>
        <w:rPr>
          <w:rFonts w:hint="eastAsia" w:cs="Times New Roman"/>
          <w:kern w:val="2"/>
          <w:sz w:val="21"/>
          <w:szCs w:val="21"/>
          <w:highlight w:val="none"/>
          <w:lang w:val="en-US" w:eastAsia="zh-CN"/>
        </w:rPr>
        <w:t>称样量仅输入钴基试样的质量</w:t>
      </w:r>
      <w:r>
        <w:rPr>
          <w:rFonts w:hint="default" w:ascii="Times New Roman" w:hAnsi="Times New Roman" w:cs="Times New Roman"/>
          <w:kern w:val="2"/>
          <w:sz w:val="21"/>
          <w:szCs w:val="21"/>
          <w:highlight w:val="none"/>
        </w:rPr>
        <w:t>。</w:t>
      </w:r>
    </w:p>
    <w:p w14:paraId="498D7C32">
      <w:pPr>
        <w:keepNext w:val="0"/>
        <w:keepLines w:val="0"/>
        <w:pageBreakBefore w:val="0"/>
        <w:widowControl w:val="0"/>
        <w:kinsoku/>
        <w:wordWrap/>
        <w:overflowPunct/>
        <w:topLinePunct w:val="0"/>
        <w:autoSpaceDE/>
        <w:autoSpaceDN/>
        <w:bidi w:val="0"/>
        <w:adjustRightInd/>
        <w:snapToGrid/>
        <w:spacing w:before="164" w:beforeLines="50" w:line="240" w:lineRule="auto"/>
        <w:ind w:firstLine="420" w:firstLineChars="200"/>
        <w:jc w:val="center"/>
        <w:textAlignment w:val="auto"/>
        <w:rPr>
          <w:rFonts w:hint="eastAsia" w:ascii="黑体" w:hAnsi="黑体" w:eastAsia="黑体" w:cs="宋体"/>
          <w:kern w:val="2"/>
          <w:sz w:val="21"/>
          <w:szCs w:val="21"/>
          <w:highlight w:val="none"/>
        </w:rPr>
      </w:pPr>
      <w:r>
        <w:rPr>
          <w:rFonts w:hint="eastAsia" w:ascii="黑体" w:hAnsi="黑体" w:eastAsia="黑体" w:cs="宋体"/>
          <w:kern w:val="2"/>
          <w:sz w:val="21"/>
          <w:szCs w:val="21"/>
          <w:highlight w:val="none"/>
        </w:rPr>
        <w:t>表</w:t>
      </w:r>
      <w:r>
        <w:rPr>
          <w:rFonts w:hint="eastAsia" w:ascii="黑体" w:hAnsi="黑体" w:eastAsia="黑体" w:cs="宋体"/>
          <w:kern w:val="2"/>
          <w:sz w:val="21"/>
          <w:szCs w:val="21"/>
          <w:highlight w:val="none"/>
          <w:lang w:val="en-US" w:eastAsia="zh-CN"/>
        </w:rPr>
        <w:t>8</w:t>
      </w:r>
      <w:r>
        <w:rPr>
          <w:rFonts w:hint="eastAsia" w:ascii="黑体" w:hAnsi="黑体" w:eastAsia="黑体" w:cs="宋体"/>
          <w:kern w:val="2"/>
          <w:sz w:val="21"/>
          <w:szCs w:val="21"/>
          <w:highlight w:val="none"/>
        </w:rPr>
        <w:t xml:space="preserve"> 精密度试验</w:t>
      </w:r>
    </w:p>
    <w:tbl>
      <w:tblPr>
        <w:tblStyle w:val="89"/>
        <w:tblW w:w="8290" w:type="dxa"/>
        <w:jc w:val="center"/>
        <w:tblLayout w:type="autofit"/>
        <w:tblCellMar>
          <w:top w:w="0" w:type="dxa"/>
          <w:left w:w="108" w:type="dxa"/>
          <w:bottom w:w="0" w:type="dxa"/>
          <w:right w:w="108" w:type="dxa"/>
        </w:tblCellMar>
      </w:tblPr>
      <w:tblGrid>
        <w:gridCol w:w="1163"/>
        <w:gridCol w:w="471"/>
        <w:gridCol w:w="1153"/>
        <w:gridCol w:w="1282"/>
        <w:gridCol w:w="1022"/>
        <w:gridCol w:w="1023"/>
        <w:gridCol w:w="1022"/>
        <w:gridCol w:w="1154"/>
      </w:tblGrid>
      <w:tr w14:paraId="75DF2348">
        <w:tblPrEx>
          <w:tblCellMar>
            <w:top w:w="0" w:type="dxa"/>
            <w:left w:w="108" w:type="dxa"/>
            <w:bottom w:w="0" w:type="dxa"/>
            <w:right w:w="108" w:type="dxa"/>
          </w:tblCellMar>
        </w:tblPrEx>
        <w:trPr>
          <w:trHeight w:val="330" w:hRule="atLeast"/>
          <w:tblHeader/>
          <w:jc w:val="center"/>
        </w:trPr>
        <w:tc>
          <w:tcPr>
            <w:tcW w:w="1634" w:type="dxa"/>
            <w:gridSpan w:val="2"/>
            <w:tcBorders>
              <w:top w:val="single" w:color="auto" w:sz="4" w:space="0"/>
              <w:left w:val="single" w:color="auto" w:sz="4" w:space="0"/>
              <w:bottom w:val="single" w:color="auto" w:sz="4" w:space="0"/>
              <w:right w:val="single" w:color="auto" w:sz="4" w:space="0"/>
            </w:tcBorders>
            <w:vAlign w:val="center"/>
          </w:tcPr>
          <w:p w14:paraId="7A95812D">
            <w:pPr>
              <w:widowControl/>
              <w:snapToGrid w:val="0"/>
              <w:spacing w:line="240" w:lineRule="auto"/>
              <w:jc w:val="center"/>
              <w:rPr>
                <w:rFonts w:hint="default" w:ascii="Times New Roman" w:hAnsi="Times New Roman"/>
                <w:b w:val="0"/>
                <w:bCs/>
                <w:kern w:val="0"/>
                <w:sz w:val="18"/>
                <w:szCs w:val="18"/>
                <w:lang w:val="en-US" w:eastAsia="zh-CN"/>
              </w:rPr>
            </w:pPr>
            <w:r>
              <w:rPr>
                <w:rFonts w:hint="eastAsia" w:ascii="Times New Roman" w:hAnsi="Times New Roman"/>
                <w:b w:val="0"/>
                <w:bCs/>
                <w:kern w:val="0"/>
                <w:sz w:val="18"/>
                <w:szCs w:val="18"/>
                <w:lang w:val="en-US" w:eastAsia="zh-CN"/>
              </w:rPr>
              <w:t>样品</w:t>
            </w:r>
          </w:p>
        </w:tc>
        <w:tc>
          <w:tcPr>
            <w:tcW w:w="0" w:type="auto"/>
            <w:gridSpan w:val="2"/>
            <w:tcBorders>
              <w:top w:val="single" w:color="auto" w:sz="4" w:space="0"/>
              <w:left w:val="nil"/>
              <w:bottom w:val="single" w:color="auto" w:sz="4" w:space="0"/>
              <w:right w:val="single" w:color="auto" w:sz="4" w:space="0"/>
            </w:tcBorders>
            <w:vAlign w:val="center"/>
          </w:tcPr>
          <w:p w14:paraId="1AE0343E">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1#</w:t>
            </w:r>
          </w:p>
        </w:tc>
        <w:tc>
          <w:tcPr>
            <w:tcW w:w="0" w:type="auto"/>
            <w:gridSpan w:val="2"/>
            <w:tcBorders>
              <w:top w:val="single" w:color="auto" w:sz="4" w:space="0"/>
              <w:left w:val="nil"/>
              <w:bottom w:val="single" w:color="auto" w:sz="4" w:space="0"/>
              <w:right w:val="single" w:color="auto" w:sz="4" w:space="0"/>
            </w:tcBorders>
            <w:vAlign w:val="center"/>
          </w:tcPr>
          <w:p w14:paraId="6B0ABA36">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2#</w:t>
            </w:r>
          </w:p>
        </w:tc>
        <w:tc>
          <w:tcPr>
            <w:tcW w:w="2176" w:type="dxa"/>
            <w:gridSpan w:val="2"/>
            <w:tcBorders>
              <w:top w:val="single" w:color="auto" w:sz="4" w:space="0"/>
              <w:left w:val="nil"/>
              <w:bottom w:val="single" w:color="auto" w:sz="4" w:space="0"/>
              <w:right w:val="single" w:color="auto" w:sz="4" w:space="0"/>
            </w:tcBorders>
            <w:vAlign w:val="center"/>
          </w:tcPr>
          <w:p w14:paraId="3C7F4C68">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3#</w:t>
            </w:r>
          </w:p>
        </w:tc>
      </w:tr>
      <w:tr w14:paraId="33AB614A">
        <w:tblPrEx>
          <w:tblCellMar>
            <w:top w:w="0" w:type="dxa"/>
            <w:left w:w="108" w:type="dxa"/>
            <w:bottom w:w="0" w:type="dxa"/>
            <w:right w:w="108" w:type="dxa"/>
          </w:tblCellMar>
        </w:tblPrEx>
        <w:trPr>
          <w:trHeight w:val="353" w:hRule="atLeast"/>
          <w:tblHeader/>
          <w:jc w:val="center"/>
        </w:trPr>
        <w:tc>
          <w:tcPr>
            <w:tcW w:w="1634" w:type="dxa"/>
            <w:gridSpan w:val="2"/>
            <w:tcBorders>
              <w:top w:val="single" w:color="auto" w:sz="4" w:space="0"/>
              <w:left w:val="single" w:color="auto" w:sz="4" w:space="0"/>
              <w:bottom w:val="single" w:color="auto" w:sz="4" w:space="0"/>
              <w:right w:val="single" w:color="auto" w:sz="4" w:space="0"/>
            </w:tcBorders>
            <w:vAlign w:val="center"/>
          </w:tcPr>
          <w:p w14:paraId="54EDD0C0">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检测项目</w:t>
            </w:r>
          </w:p>
        </w:tc>
        <w:tc>
          <w:tcPr>
            <w:tcW w:w="0" w:type="auto"/>
            <w:tcBorders>
              <w:top w:val="single" w:color="auto" w:sz="4" w:space="0"/>
              <w:left w:val="nil"/>
              <w:bottom w:val="single" w:color="auto" w:sz="4" w:space="0"/>
              <w:right w:val="single" w:color="auto" w:sz="4" w:space="0"/>
            </w:tcBorders>
            <w:vAlign w:val="center"/>
          </w:tcPr>
          <w:p w14:paraId="54841701">
            <w:pPr>
              <w:widowControl/>
              <w:snapToGrid w:val="0"/>
              <w:spacing w:line="240" w:lineRule="auto"/>
              <w:jc w:val="center"/>
              <w:rPr>
                <w:rFonts w:ascii="Times New Roman" w:hAnsi="Times New Roman"/>
                <w:b w:val="0"/>
                <w:bCs/>
                <w:kern w:val="0"/>
                <w:sz w:val="18"/>
                <w:szCs w:val="18"/>
              </w:rPr>
            </w:pPr>
            <w:r>
              <w:rPr>
                <w:rFonts w:hint="eastAsia" w:ascii="Times New Roman" w:hAnsi="Times New Roman"/>
                <w:b w:val="0"/>
                <w:bCs/>
                <w:kern w:val="0"/>
                <w:sz w:val="18"/>
                <w:szCs w:val="18"/>
                <w:lang w:val="en-US" w:eastAsia="zh-CN"/>
              </w:rPr>
              <w:t>C</w:t>
            </w:r>
            <w:r>
              <w:rPr>
                <w:rFonts w:ascii="Times New Roman" w:hAnsi="Times New Roman"/>
                <w:b w:val="0"/>
                <w:bCs/>
                <w:kern w:val="0"/>
                <w:sz w:val="18"/>
                <w:szCs w:val="18"/>
              </w:rPr>
              <w:t>/%</w:t>
            </w:r>
          </w:p>
        </w:tc>
        <w:tc>
          <w:tcPr>
            <w:tcW w:w="0" w:type="auto"/>
            <w:tcBorders>
              <w:top w:val="single" w:color="auto" w:sz="4" w:space="0"/>
              <w:left w:val="nil"/>
              <w:bottom w:val="single" w:color="auto" w:sz="4" w:space="0"/>
              <w:right w:val="single" w:color="auto" w:sz="4" w:space="0"/>
            </w:tcBorders>
            <w:vAlign w:val="center"/>
          </w:tcPr>
          <w:p w14:paraId="2033C9E0">
            <w:pPr>
              <w:widowControl/>
              <w:snapToGrid w:val="0"/>
              <w:spacing w:line="240" w:lineRule="auto"/>
              <w:jc w:val="center"/>
              <w:rPr>
                <w:rFonts w:ascii="Times New Roman" w:hAnsi="Times New Roman"/>
                <w:b w:val="0"/>
                <w:bCs/>
                <w:kern w:val="0"/>
                <w:sz w:val="18"/>
                <w:szCs w:val="18"/>
              </w:rPr>
            </w:pPr>
            <w:r>
              <w:rPr>
                <w:rFonts w:ascii="Times New Roman" w:hAnsi="Times New Roman"/>
                <w:b w:val="0"/>
                <w:bCs/>
                <w:kern w:val="0"/>
                <w:sz w:val="18"/>
                <w:szCs w:val="18"/>
              </w:rPr>
              <w:t>S/%</w:t>
            </w:r>
          </w:p>
        </w:tc>
        <w:tc>
          <w:tcPr>
            <w:tcW w:w="0" w:type="auto"/>
            <w:tcBorders>
              <w:top w:val="single" w:color="auto" w:sz="4" w:space="0"/>
              <w:left w:val="nil"/>
              <w:bottom w:val="single" w:color="auto" w:sz="4" w:space="0"/>
              <w:right w:val="single" w:color="auto" w:sz="4" w:space="0"/>
            </w:tcBorders>
            <w:vAlign w:val="center"/>
          </w:tcPr>
          <w:p w14:paraId="247634A2">
            <w:pPr>
              <w:widowControl/>
              <w:snapToGrid w:val="0"/>
              <w:spacing w:line="240" w:lineRule="auto"/>
              <w:jc w:val="center"/>
              <w:rPr>
                <w:rFonts w:ascii="Times New Roman" w:hAnsi="Times New Roman"/>
                <w:b w:val="0"/>
                <w:bCs/>
                <w:kern w:val="0"/>
                <w:sz w:val="18"/>
                <w:szCs w:val="18"/>
              </w:rPr>
            </w:pPr>
            <w:r>
              <w:rPr>
                <w:rFonts w:hint="eastAsia" w:ascii="Times New Roman" w:hAnsi="Times New Roman"/>
                <w:b w:val="0"/>
                <w:bCs/>
                <w:kern w:val="0"/>
                <w:sz w:val="18"/>
                <w:szCs w:val="18"/>
                <w:lang w:val="en-US" w:eastAsia="zh-CN"/>
              </w:rPr>
              <w:t>C</w:t>
            </w:r>
            <w:r>
              <w:rPr>
                <w:rFonts w:ascii="Times New Roman" w:hAnsi="Times New Roman"/>
                <w:b w:val="0"/>
                <w:bCs/>
                <w:kern w:val="0"/>
                <w:sz w:val="18"/>
                <w:szCs w:val="18"/>
              </w:rPr>
              <w:t>/%</w:t>
            </w:r>
          </w:p>
        </w:tc>
        <w:tc>
          <w:tcPr>
            <w:tcW w:w="0" w:type="auto"/>
            <w:tcBorders>
              <w:top w:val="single" w:color="auto" w:sz="4" w:space="0"/>
              <w:left w:val="nil"/>
              <w:bottom w:val="single" w:color="auto" w:sz="4" w:space="0"/>
              <w:right w:val="single" w:color="auto" w:sz="4" w:space="0"/>
            </w:tcBorders>
            <w:vAlign w:val="center"/>
          </w:tcPr>
          <w:p w14:paraId="4A83538F">
            <w:pPr>
              <w:widowControl/>
              <w:snapToGrid w:val="0"/>
              <w:spacing w:line="240" w:lineRule="auto"/>
              <w:jc w:val="center"/>
              <w:rPr>
                <w:rFonts w:ascii="Times New Roman" w:hAnsi="Times New Roman"/>
                <w:b w:val="0"/>
                <w:bCs/>
                <w:kern w:val="0"/>
                <w:sz w:val="18"/>
                <w:szCs w:val="18"/>
              </w:rPr>
            </w:pPr>
            <w:r>
              <w:rPr>
                <w:rFonts w:ascii="Times New Roman" w:hAnsi="Times New Roman"/>
                <w:b w:val="0"/>
                <w:bCs/>
                <w:kern w:val="0"/>
                <w:sz w:val="18"/>
                <w:szCs w:val="18"/>
              </w:rPr>
              <w:t>S/%</w:t>
            </w:r>
          </w:p>
        </w:tc>
        <w:tc>
          <w:tcPr>
            <w:tcW w:w="0" w:type="auto"/>
            <w:tcBorders>
              <w:top w:val="single" w:color="auto" w:sz="4" w:space="0"/>
              <w:left w:val="nil"/>
              <w:bottom w:val="single" w:color="auto" w:sz="4" w:space="0"/>
              <w:right w:val="single" w:color="auto" w:sz="4" w:space="0"/>
            </w:tcBorders>
            <w:vAlign w:val="center"/>
          </w:tcPr>
          <w:p w14:paraId="717893BE">
            <w:pPr>
              <w:widowControl/>
              <w:snapToGrid w:val="0"/>
              <w:spacing w:line="240" w:lineRule="auto"/>
              <w:jc w:val="center"/>
              <w:rPr>
                <w:rFonts w:ascii="Times New Roman" w:hAnsi="Times New Roman"/>
                <w:b w:val="0"/>
                <w:bCs/>
                <w:kern w:val="0"/>
                <w:sz w:val="18"/>
                <w:szCs w:val="18"/>
              </w:rPr>
            </w:pPr>
            <w:r>
              <w:rPr>
                <w:rFonts w:hint="eastAsia" w:ascii="Times New Roman" w:hAnsi="Times New Roman"/>
                <w:b w:val="0"/>
                <w:bCs/>
                <w:kern w:val="0"/>
                <w:sz w:val="18"/>
                <w:szCs w:val="18"/>
                <w:lang w:val="en-US" w:eastAsia="zh-CN"/>
              </w:rPr>
              <w:t>C</w:t>
            </w:r>
            <w:r>
              <w:rPr>
                <w:rFonts w:ascii="Times New Roman" w:hAnsi="Times New Roman"/>
                <w:b w:val="0"/>
                <w:bCs/>
                <w:kern w:val="0"/>
                <w:sz w:val="18"/>
                <w:szCs w:val="18"/>
              </w:rPr>
              <w:t>/%</w:t>
            </w:r>
          </w:p>
        </w:tc>
        <w:tc>
          <w:tcPr>
            <w:tcW w:w="1154" w:type="dxa"/>
            <w:tcBorders>
              <w:top w:val="single" w:color="auto" w:sz="4" w:space="0"/>
              <w:left w:val="nil"/>
              <w:bottom w:val="single" w:color="auto" w:sz="4" w:space="0"/>
              <w:right w:val="single" w:color="auto" w:sz="4" w:space="0"/>
            </w:tcBorders>
            <w:vAlign w:val="center"/>
          </w:tcPr>
          <w:p w14:paraId="047BE5C7">
            <w:pPr>
              <w:widowControl/>
              <w:snapToGrid w:val="0"/>
              <w:spacing w:line="240" w:lineRule="auto"/>
              <w:jc w:val="center"/>
              <w:rPr>
                <w:rFonts w:ascii="Times New Roman" w:hAnsi="Times New Roman"/>
                <w:b w:val="0"/>
                <w:bCs/>
                <w:kern w:val="0"/>
                <w:sz w:val="18"/>
                <w:szCs w:val="18"/>
              </w:rPr>
            </w:pPr>
            <w:r>
              <w:rPr>
                <w:rFonts w:hint="eastAsia" w:ascii="Times New Roman" w:hAnsi="Times New Roman"/>
                <w:b w:val="0"/>
                <w:bCs/>
                <w:kern w:val="0"/>
                <w:sz w:val="18"/>
                <w:szCs w:val="18"/>
              </w:rPr>
              <w:t>S</w:t>
            </w:r>
            <w:r>
              <w:rPr>
                <w:rFonts w:ascii="Times New Roman" w:hAnsi="Times New Roman"/>
                <w:b w:val="0"/>
                <w:bCs/>
                <w:kern w:val="0"/>
                <w:sz w:val="18"/>
                <w:szCs w:val="18"/>
              </w:rPr>
              <w:t>/%</w:t>
            </w:r>
          </w:p>
        </w:tc>
      </w:tr>
      <w:tr w14:paraId="547E9C44">
        <w:tblPrEx>
          <w:tblCellMar>
            <w:top w:w="0" w:type="dxa"/>
            <w:left w:w="108" w:type="dxa"/>
            <w:bottom w:w="0" w:type="dxa"/>
            <w:right w:w="108" w:type="dxa"/>
          </w:tblCellMar>
        </w:tblPrEx>
        <w:trPr>
          <w:trHeight w:val="297" w:hRule="atLeast"/>
          <w:tblHeader/>
          <w:jc w:val="center"/>
        </w:trPr>
        <w:tc>
          <w:tcPr>
            <w:tcW w:w="1634" w:type="dxa"/>
            <w:gridSpan w:val="2"/>
            <w:tcBorders>
              <w:top w:val="nil"/>
              <w:left w:val="single" w:color="auto" w:sz="4" w:space="0"/>
              <w:bottom w:val="single" w:color="auto" w:sz="4" w:space="0"/>
              <w:right w:val="single" w:color="auto" w:sz="4" w:space="0"/>
            </w:tcBorders>
            <w:vAlign w:val="center"/>
          </w:tcPr>
          <w:p w14:paraId="0E12DE15">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理论值</w:t>
            </w:r>
          </w:p>
        </w:tc>
        <w:tc>
          <w:tcPr>
            <w:tcW w:w="0" w:type="auto"/>
            <w:tcBorders>
              <w:top w:val="nil"/>
              <w:left w:val="nil"/>
              <w:bottom w:val="single" w:color="auto" w:sz="4" w:space="0"/>
              <w:right w:val="single" w:color="auto" w:sz="4" w:space="0"/>
            </w:tcBorders>
            <w:vAlign w:val="center"/>
          </w:tcPr>
          <w:p w14:paraId="4E871F3C">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eastAsia" w:ascii="Times New Roman" w:hAnsi="Times New Roman" w:cs="Times New Roman"/>
                <w:b w:val="0"/>
                <w:bCs/>
                <w:i w:val="0"/>
                <w:iCs w:val="0"/>
                <w:color w:val="auto"/>
                <w:kern w:val="0"/>
                <w:sz w:val="18"/>
                <w:szCs w:val="18"/>
                <w:u w:val="none"/>
                <w:lang w:val="en-US" w:eastAsia="zh-CN" w:bidi="ar"/>
              </w:rPr>
              <w:t>--</w:t>
            </w:r>
          </w:p>
        </w:tc>
        <w:tc>
          <w:tcPr>
            <w:tcW w:w="0" w:type="auto"/>
            <w:tcBorders>
              <w:top w:val="nil"/>
              <w:left w:val="nil"/>
              <w:bottom w:val="single" w:color="auto" w:sz="4" w:space="0"/>
              <w:right w:val="single" w:color="auto" w:sz="4" w:space="0"/>
            </w:tcBorders>
            <w:vAlign w:val="center"/>
          </w:tcPr>
          <w:p w14:paraId="2C946967">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eastAsia" w:ascii="Times New Roman" w:hAnsi="Times New Roman" w:cs="Times New Roman"/>
                <w:b w:val="0"/>
                <w:bCs/>
                <w:i w:val="0"/>
                <w:iCs w:val="0"/>
                <w:color w:val="auto"/>
                <w:kern w:val="0"/>
                <w:sz w:val="18"/>
                <w:szCs w:val="18"/>
                <w:u w:val="none"/>
                <w:lang w:val="en-US" w:eastAsia="zh-CN" w:bidi="ar"/>
              </w:rPr>
              <w:t>--</w:t>
            </w:r>
          </w:p>
        </w:tc>
        <w:tc>
          <w:tcPr>
            <w:tcW w:w="0" w:type="auto"/>
            <w:tcBorders>
              <w:top w:val="nil"/>
              <w:left w:val="nil"/>
              <w:bottom w:val="single" w:color="auto" w:sz="4" w:space="0"/>
              <w:right w:val="single" w:color="auto" w:sz="4" w:space="0"/>
            </w:tcBorders>
            <w:vAlign w:val="center"/>
          </w:tcPr>
          <w:p w14:paraId="3D2E0C40">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default" w:ascii="Times New Roman" w:hAnsi="Times New Roman" w:eastAsia="宋体" w:cs="Times New Roman"/>
                <w:b w:val="0"/>
                <w:bCs/>
                <w:i w:val="0"/>
                <w:iCs w:val="0"/>
                <w:color w:val="000000"/>
                <w:kern w:val="0"/>
                <w:sz w:val="18"/>
                <w:szCs w:val="18"/>
                <w:u w:val="none"/>
                <w:lang w:val="en-US" w:eastAsia="zh-CN" w:bidi="ar"/>
              </w:rPr>
              <w:t>0.04</w:t>
            </w:r>
            <w:r>
              <w:rPr>
                <w:rFonts w:hint="eastAsia" w:ascii="Times New Roman" w:hAnsi="Times New Roman" w:cs="Times New Roman"/>
                <w:b w:val="0"/>
                <w:bCs/>
                <w:i w:val="0"/>
                <w:iCs w:val="0"/>
                <w:color w:val="000000"/>
                <w:kern w:val="0"/>
                <w:sz w:val="18"/>
                <w:szCs w:val="18"/>
                <w:u w:val="none"/>
                <w:lang w:val="en-US" w:eastAsia="zh-CN" w:bidi="ar"/>
              </w:rPr>
              <w:t>88</w:t>
            </w:r>
            <w:r>
              <w:rPr>
                <w:rFonts w:hint="default" w:ascii="Times New Roman" w:hAnsi="Times New Roman" w:eastAsia="宋体" w:cs="Times New Roman"/>
                <w:b w:val="0"/>
                <w:bCs/>
                <w:i w:val="0"/>
                <w:iCs w:val="0"/>
                <w:color w:val="000000"/>
                <w:kern w:val="0"/>
                <w:sz w:val="18"/>
                <w:szCs w:val="18"/>
                <w:u w:val="none"/>
                <w:lang w:val="en-US" w:eastAsia="zh-CN" w:bidi="ar"/>
              </w:rPr>
              <w:t xml:space="preserve"> </w:t>
            </w:r>
          </w:p>
        </w:tc>
        <w:tc>
          <w:tcPr>
            <w:tcW w:w="0" w:type="auto"/>
            <w:tcBorders>
              <w:top w:val="nil"/>
              <w:left w:val="nil"/>
              <w:bottom w:val="single" w:color="auto" w:sz="4" w:space="0"/>
              <w:right w:val="single" w:color="auto" w:sz="4" w:space="0"/>
            </w:tcBorders>
            <w:vAlign w:val="center"/>
          </w:tcPr>
          <w:p w14:paraId="608F3963">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default" w:ascii="Times New Roman" w:hAnsi="Times New Roman" w:eastAsia="宋体" w:cs="Times New Roman"/>
                <w:b w:val="0"/>
                <w:bCs/>
                <w:i w:val="0"/>
                <w:iCs w:val="0"/>
                <w:color w:val="000000"/>
                <w:kern w:val="0"/>
                <w:sz w:val="18"/>
                <w:szCs w:val="18"/>
                <w:u w:val="none"/>
                <w:lang w:val="en-US" w:eastAsia="zh-CN" w:bidi="ar"/>
              </w:rPr>
              <w:t>0.05</w:t>
            </w:r>
            <w:r>
              <w:rPr>
                <w:rFonts w:hint="eastAsia" w:ascii="Times New Roman" w:hAnsi="Times New Roman" w:cs="Times New Roman"/>
                <w:b w:val="0"/>
                <w:bCs/>
                <w:i w:val="0"/>
                <w:iCs w:val="0"/>
                <w:color w:val="000000"/>
                <w:kern w:val="0"/>
                <w:sz w:val="18"/>
                <w:szCs w:val="18"/>
                <w:u w:val="none"/>
                <w:lang w:val="en-US" w:eastAsia="zh-CN" w:bidi="ar"/>
              </w:rPr>
              <w:t>08</w:t>
            </w:r>
            <w:r>
              <w:rPr>
                <w:rFonts w:hint="default" w:ascii="Times New Roman" w:hAnsi="Times New Roman" w:eastAsia="宋体" w:cs="Times New Roman"/>
                <w:b w:val="0"/>
                <w:bCs/>
                <w:i w:val="0"/>
                <w:iCs w:val="0"/>
                <w:color w:val="000000"/>
                <w:kern w:val="0"/>
                <w:sz w:val="18"/>
                <w:szCs w:val="18"/>
                <w:u w:val="none"/>
                <w:lang w:val="en-US" w:eastAsia="zh-CN" w:bidi="ar"/>
              </w:rPr>
              <w:t xml:space="preserve"> </w:t>
            </w:r>
          </w:p>
        </w:tc>
        <w:tc>
          <w:tcPr>
            <w:tcW w:w="0" w:type="auto"/>
            <w:tcBorders>
              <w:top w:val="nil"/>
              <w:left w:val="nil"/>
              <w:bottom w:val="single" w:color="auto" w:sz="4" w:space="0"/>
              <w:right w:val="single" w:color="auto" w:sz="4" w:space="0"/>
            </w:tcBorders>
            <w:vAlign w:val="center"/>
          </w:tcPr>
          <w:p w14:paraId="454586B1">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default" w:ascii="Times New Roman" w:hAnsi="Times New Roman" w:eastAsia="宋体" w:cs="Times New Roman"/>
                <w:b w:val="0"/>
                <w:bCs/>
                <w:i w:val="0"/>
                <w:iCs w:val="0"/>
                <w:color w:val="auto"/>
                <w:kern w:val="0"/>
                <w:sz w:val="18"/>
                <w:szCs w:val="18"/>
                <w:u w:val="none"/>
                <w:lang w:val="en-US" w:eastAsia="zh-CN" w:bidi="ar"/>
              </w:rPr>
              <w:t>0.21</w:t>
            </w:r>
            <w:r>
              <w:rPr>
                <w:rFonts w:hint="eastAsia" w:ascii="Times New Roman" w:hAnsi="Times New Roman" w:cs="Times New Roman"/>
                <w:b w:val="0"/>
                <w:bCs/>
                <w:i w:val="0"/>
                <w:iCs w:val="0"/>
                <w:color w:val="auto"/>
                <w:kern w:val="0"/>
                <w:sz w:val="18"/>
                <w:szCs w:val="18"/>
                <w:u w:val="none"/>
                <w:lang w:val="en-US" w:eastAsia="zh-CN" w:bidi="ar"/>
              </w:rPr>
              <w:t>0</w:t>
            </w:r>
            <w:r>
              <w:rPr>
                <w:rFonts w:hint="default" w:ascii="Times New Roman" w:hAnsi="Times New Roman" w:eastAsia="宋体" w:cs="Times New Roman"/>
                <w:b w:val="0"/>
                <w:bCs/>
                <w:i w:val="0"/>
                <w:iCs w:val="0"/>
                <w:color w:val="auto"/>
                <w:kern w:val="0"/>
                <w:sz w:val="18"/>
                <w:szCs w:val="18"/>
                <w:u w:val="none"/>
                <w:lang w:val="en-US" w:eastAsia="zh-CN" w:bidi="ar"/>
              </w:rPr>
              <w:t xml:space="preserve"> </w:t>
            </w:r>
          </w:p>
        </w:tc>
        <w:tc>
          <w:tcPr>
            <w:tcW w:w="1154" w:type="dxa"/>
            <w:tcBorders>
              <w:top w:val="nil"/>
              <w:left w:val="nil"/>
              <w:bottom w:val="single" w:color="auto" w:sz="4" w:space="0"/>
              <w:right w:val="single" w:color="auto" w:sz="4" w:space="0"/>
            </w:tcBorders>
            <w:vAlign w:val="center"/>
          </w:tcPr>
          <w:p w14:paraId="1723D8FA">
            <w:pPr>
              <w:keepNext w:val="0"/>
              <w:keepLines w:val="0"/>
              <w:widowControl/>
              <w:suppressLineNumbers w:val="0"/>
              <w:snapToGrid w:val="0"/>
              <w:spacing w:line="240" w:lineRule="auto"/>
              <w:jc w:val="center"/>
              <w:textAlignment w:val="center"/>
              <w:rPr>
                <w:rFonts w:hint="default" w:ascii="Times New Roman" w:hAnsi="Times New Roman" w:eastAsia="宋体" w:cs="Times New Roman"/>
                <w:b w:val="0"/>
                <w:bCs/>
                <w:i w:val="0"/>
                <w:iCs w:val="0"/>
                <w:color w:val="auto"/>
                <w:kern w:val="0"/>
                <w:sz w:val="18"/>
                <w:szCs w:val="18"/>
                <w:u w:val="none"/>
                <w:lang w:val="en-US" w:eastAsia="zh-CN" w:bidi="ar"/>
              </w:rPr>
            </w:pPr>
            <w:r>
              <w:rPr>
                <w:rFonts w:hint="default" w:ascii="Times New Roman" w:hAnsi="Times New Roman" w:eastAsia="宋体" w:cs="Times New Roman"/>
                <w:b w:val="0"/>
                <w:bCs/>
                <w:i w:val="0"/>
                <w:iCs w:val="0"/>
                <w:color w:val="auto"/>
                <w:kern w:val="0"/>
                <w:sz w:val="18"/>
                <w:szCs w:val="18"/>
                <w:u w:val="none"/>
                <w:lang w:val="en-US" w:eastAsia="zh-CN" w:bidi="ar"/>
              </w:rPr>
              <w:t>0.009</w:t>
            </w:r>
            <w:r>
              <w:rPr>
                <w:rFonts w:hint="eastAsia" w:ascii="Times New Roman" w:hAnsi="Times New Roman" w:cs="Times New Roman"/>
                <w:b w:val="0"/>
                <w:bCs/>
                <w:i w:val="0"/>
                <w:iCs w:val="0"/>
                <w:color w:val="auto"/>
                <w:kern w:val="0"/>
                <w:sz w:val="18"/>
                <w:szCs w:val="18"/>
                <w:u w:val="none"/>
                <w:lang w:val="en-US" w:eastAsia="zh-CN" w:bidi="ar"/>
              </w:rPr>
              <w:t>18</w:t>
            </w:r>
            <w:r>
              <w:rPr>
                <w:rFonts w:hint="default" w:ascii="Times New Roman" w:hAnsi="Times New Roman" w:eastAsia="宋体" w:cs="Times New Roman"/>
                <w:b w:val="0"/>
                <w:bCs/>
                <w:i w:val="0"/>
                <w:iCs w:val="0"/>
                <w:color w:val="auto"/>
                <w:kern w:val="0"/>
                <w:sz w:val="18"/>
                <w:szCs w:val="18"/>
                <w:u w:val="none"/>
                <w:lang w:val="en-US" w:eastAsia="zh-CN" w:bidi="ar"/>
              </w:rPr>
              <w:t xml:space="preserve"> </w:t>
            </w:r>
          </w:p>
        </w:tc>
      </w:tr>
      <w:tr w14:paraId="0F0CC8D4">
        <w:tblPrEx>
          <w:tblCellMar>
            <w:top w:w="0" w:type="dxa"/>
            <w:left w:w="108" w:type="dxa"/>
            <w:bottom w:w="0" w:type="dxa"/>
            <w:right w:w="108" w:type="dxa"/>
          </w:tblCellMar>
        </w:tblPrEx>
        <w:trPr>
          <w:trHeight w:val="356" w:hRule="atLeast"/>
          <w:tblHeader/>
          <w:jc w:val="center"/>
        </w:trPr>
        <w:tc>
          <w:tcPr>
            <w:tcW w:w="1163" w:type="dxa"/>
            <w:vMerge w:val="restart"/>
            <w:tcBorders>
              <w:top w:val="nil"/>
              <w:left w:val="single" w:color="auto" w:sz="4" w:space="0"/>
              <w:right w:val="single" w:color="auto" w:sz="4" w:space="0"/>
            </w:tcBorders>
            <w:vAlign w:val="center"/>
          </w:tcPr>
          <w:p w14:paraId="3EB0458C">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测定值</w:t>
            </w:r>
          </w:p>
        </w:tc>
        <w:tc>
          <w:tcPr>
            <w:tcW w:w="471" w:type="dxa"/>
            <w:tcBorders>
              <w:top w:val="nil"/>
              <w:left w:val="single" w:color="auto" w:sz="4" w:space="0"/>
              <w:bottom w:val="single" w:color="auto" w:sz="4" w:space="0"/>
              <w:right w:val="single" w:color="auto" w:sz="4" w:space="0"/>
            </w:tcBorders>
            <w:vAlign w:val="center"/>
          </w:tcPr>
          <w:p w14:paraId="748F0A2C">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1</w:t>
            </w:r>
          </w:p>
        </w:tc>
        <w:tc>
          <w:tcPr>
            <w:tcW w:w="0" w:type="auto"/>
            <w:tcBorders>
              <w:top w:val="nil"/>
              <w:left w:val="nil"/>
              <w:bottom w:val="single" w:color="auto" w:sz="4" w:space="0"/>
              <w:right w:val="single" w:color="auto" w:sz="4" w:space="0"/>
            </w:tcBorders>
            <w:vAlign w:val="center"/>
          </w:tcPr>
          <w:p w14:paraId="1E78D6A9">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0.00456</w:t>
            </w:r>
          </w:p>
        </w:tc>
        <w:tc>
          <w:tcPr>
            <w:tcW w:w="0" w:type="auto"/>
            <w:tcBorders>
              <w:top w:val="nil"/>
              <w:left w:val="nil"/>
              <w:bottom w:val="single" w:color="auto" w:sz="4" w:space="0"/>
              <w:right w:val="single" w:color="auto" w:sz="4" w:space="0"/>
            </w:tcBorders>
            <w:vAlign w:val="center"/>
          </w:tcPr>
          <w:p w14:paraId="5F5DF3BF">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0.000261</w:t>
            </w:r>
          </w:p>
        </w:tc>
        <w:tc>
          <w:tcPr>
            <w:tcW w:w="0" w:type="auto"/>
            <w:tcBorders>
              <w:top w:val="nil"/>
              <w:left w:val="nil"/>
              <w:bottom w:val="single" w:color="auto" w:sz="4" w:space="0"/>
              <w:right w:val="single" w:color="auto" w:sz="4" w:space="0"/>
            </w:tcBorders>
            <w:vAlign w:val="center"/>
          </w:tcPr>
          <w:p w14:paraId="3AB6BA51">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0.0479</w:t>
            </w:r>
          </w:p>
        </w:tc>
        <w:tc>
          <w:tcPr>
            <w:tcW w:w="0" w:type="auto"/>
            <w:tcBorders>
              <w:top w:val="nil"/>
              <w:left w:val="nil"/>
              <w:bottom w:val="single" w:color="auto" w:sz="4" w:space="0"/>
              <w:right w:val="single" w:color="auto" w:sz="4" w:space="0"/>
            </w:tcBorders>
            <w:vAlign w:val="center"/>
          </w:tcPr>
          <w:p w14:paraId="00C4F5D3">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0.0483</w:t>
            </w:r>
          </w:p>
        </w:tc>
        <w:tc>
          <w:tcPr>
            <w:tcW w:w="0" w:type="auto"/>
            <w:tcBorders>
              <w:top w:val="nil"/>
              <w:left w:val="nil"/>
              <w:bottom w:val="single" w:color="auto" w:sz="4" w:space="0"/>
              <w:right w:val="single" w:color="auto" w:sz="4" w:space="0"/>
            </w:tcBorders>
            <w:vAlign w:val="center"/>
          </w:tcPr>
          <w:p w14:paraId="2857586F">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0.202</w:t>
            </w:r>
          </w:p>
        </w:tc>
        <w:tc>
          <w:tcPr>
            <w:tcW w:w="1154" w:type="dxa"/>
            <w:tcBorders>
              <w:top w:val="nil"/>
              <w:left w:val="nil"/>
              <w:bottom w:val="single" w:color="auto" w:sz="4" w:space="0"/>
              <w:right w:val="single" w:color="auto" w:sz="4" w:space="0"/>
            </w:tcBorders>
            <w:vAlign w:val="center"/>
          </w:tcPr>
          <w:p w14:paraId="33573941">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0.00836</w:t>
            </w:r>
          </w:p>
        </w:tc>
      </w:tr>
      <w:tr w14:paraId="06BFB706">
        <w:tblPrEx>
          <w:tblCellMar>
            <w:top w:w="0" w:type="dxa"/>
            <w:left w:w="108" w:type="dxa"/>
            <w:bottom w:w="0" w:type="dxa"/>
            <w:right w:w="108" w:type="dxa"/>
          </w:tblCellMar>
        </w:tblPrEx>
        <w:trPr>
          <w:trHeight w:val="388" w:hRule="atLeast"/>
          <w:tblHeader/>
          <w:jc w:val="center"/>
        </w:trPr>
        <w:tc>
          <w:tcPr>
            <w:tcW w:w="1163" w:type="dxa"/>
            <w:vMerge w:val="continue"/>
            <w:tcBorders>
              <w:left w:val="single" w:color="auto" w:sz="4" w:space="0"/>
              <w:right w:val="single" w:color="auto" w:sz="4" w:space="0"/>
            </w:tcBorders>
            <w:vAlign w:val="center"/>
          </w:tcPr>
          <w:p w14:paraId="1E2A0536">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7D17750B">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2</w:t>
            </w:r>
          </w:p>
        </w:tc>
        <w:tc>
          <w:tcPr>
            <w:tcW w:w="0" w:type="auto"/>
            <w:tcBorders>
              <w:top w:val="nil"/>
              <w:left w:val="nil"/>
              <w:bottom w:val="single" w:color="auto" w:sz="4" w:space="0"/>
              <w:right w:val="single" w:color="auto" w:sz="4" w:space="0"/>
            </w:tcBorders>
            <w:vAlign w:val="center"/>
          </w:tcPr>
          <w:p w14:paraId="6B21D512">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0.00466</w:t>
            </w:r>
          </w:p>
        </w:tc>
        <w:tc>
          <w:tcPr>
            <w:tcW w:w="0" w:type="auto"/>
            <w:tcBorders>
              <w:top w:val="nil"/>
              <w:left w:val="nil"/>
              <w:bottom w:val="single" w:color="auto" w:sz="4" w:space="0"/>
              <w:right w:val="single" w:color="auto" w:sz="4" w:space="0"/>
            </w:tcBorders>
            <w:vAlign w:val="center"/>
          </w:tcPr>
          <w:p w14:paraId="60EE7AD3">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0.000209</w:t>
            </w:r>
          </w:p>
        </w:tc>
        <w:tc>
          <w:tcPr>
            <w:tcW w:w="0" w:type="auto"/>
            <w:tcBorders>
              <w:top w:val="nil"/>
              <w:left w:val="nil"/>
              <w:bottom w:val="single" w:color="auto" w:sz="4" w:space="0"/>
              <w:right w:val="single" w:color="auto" w:sz="4" w:space="0"/>
            </w:tcBorders>
            <w:vAlign w:val="center"/>
          </w:tcPr>
          <w:p w14:paraId="76DAF9D5">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0.0487</w:t>
            </w:r>
          </w:p>
        </w:tc>
        <w:tc>
          <w:tcPr>
            <w:tcW w:w="0" w:type="auto"/>
            <w:tcBorders>
              <w:top w:val="nil"/>
              <w:left w:val="nil"/>
              <w:bottom w:val="single" w:color="auto" w:sz="4" w:space="0"/>
              <w:right w:val="single" w:color="auto" w:sz="4" w:space="0"/>
            </w:tcBorders>
            <w:vAlign w:val="center"/>
          </w:tcPr>
          <w:p w14:paraId="3EBF5165">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0.0505</w:t>
            </w:r>
          </w:p>
        </w:tc>
        <w:tc>
          <w:tcPr>
            <w:tcW w:w="0" w:type="auto"/>
            <w:tcBorders>
              <w:top w:val="nil"/>
              <w:left w:val="nil"/>
              <w:bottom w:val="single" w:color="auto" w:sz="4" w:space="0"/>
              <w:right w:val="single" w:color="auto" w:sz="4" w:space="0"/>
            </w:tcBorders>
            <w:vAlign w:val="center"/>
          </w:tcPr>
          <w:p w14:paraId="402513AC">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0.205</w:t>
            </w:r>
          </w:p>
        </w:tc>
        <w:tc>
          <w:tcPr>
            <w:tcW w:w="1154" w:type="dxa"/>
            <w:tcBorders>
              <w:top w:val="nil"/>
              <w:left w:val="nil"/>
              <w:bottom w:val="single" w:color="auto" w:sz="4" w:space="0"/>
              <w:right w:val="single" w:color="auto" w:sz="4" w:space="0"/>
            </w:tcBorders>
            <w:vAlign w:val="center"/>
          </w:tcPr>
          <w:p w14:paraId="15D17156">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0.00885</w:t>
            </w:r>
          </w:p>
        </w:tc>
      </w:tr>
      <w:tr w14:paraId="33BDDE85">
        <w:tblPrEx>
          <w:tblCellMar>
            <w:top w:w="0" w:type="dxa"/>
            <w:left w:w="108" w:type="dxa"/>
            <w:bottom w:w="0" w:type="dxa"/>
            <w:right w:w="108" w:type="dxa"/>
          </w:tblCellMar>
        </w:tblPrEx>
        <w:trPr>
          <w:trHeight w:val="356" w:hRule="atLeast"/>
          <w:tblHeader/>
          <w:jc w:val="center"/>
        </w:trPr>
        <w:tc>
          <w:tcPr>
            <w:tcW w:w="1163" w:type="dxa"/>
            <w:vMerge w:val="continue"/>
            <w:tcBorders>
              <w:left w:val="single" w:color="auto" w:sz="4" w:space="0"/>
              <w:right w:val="single" w:color="auto" w:sz="4" w:space="0"/>
            </w:tcBorders>
            <w:vAlign w:val="center"/>
          </w:tcPr>
          <w:p w14:paraId="0F91E638">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23B7061C">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3</w:t>
            </w:r>
          </w:p>
        </w:tc>
        <w:tc>
          <w:tcPr>
            <w:tcW w:w="0" w:type="auto"/>
            <w:tcBorders>
              <w:top w:val="nil"/>
              <w:left w:val="nil"/>
              <w:bottom w:val="single" w:color="auto" w:sz="4" w:space="0"/>
              <w:right w:val="single" w:color="auto" w:sz="4" w:space="0"/>
            </w:tcBorders>
            <w:vAlign w:val="center"/>
          </w:tcPr>
          <w:p w14:paraId="0BD7E073">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0.00472</w:t>
            </w:r>
          </w:p>
        </w:tc>
        <w:tc>
          <w:tcPr>
            <w:tcW w:w="0" w:type="auto"/>
            <w:tcBorders>
              <w:top w:val="nil"/>
              <w:left w:val="nil"/>
              <w:bottom w:val="single" w:color="auto" w:sz="4" w:space="0"/>
              <w:right w:val="single" w:color="auto" w:sz="4" w:space="0"/>
            </w:tcBorders>
            <w:vAlign w:val="center"/>
          </w:tcPr>
          <w:p w14:paraId="14809E01">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highlight w:val="none"/>
              </w:rPr>
            </w:pPr>
            <w:r>
              <w:rPr>
                <w:rFonts w:hint="default" w:ascii="Times New Roman" w:hAnsi="Times New Roman" w:eastAsia="宋体" w:cs="Times New Roman"/>
                <w:b w:val="0"/>
                <w:bCs/>
                <w:i w:val="0"/>
                <w:iCs w:val="0"/>
                <w:color w:val="auto"/>
                <w:kern w:val="0"/>
                <w:sz w:val="18"/>
                <w:szCs w:val="18"/>
                <w:highlight w:val="none"/>
                <w:u w:val="none"/>
                <w:lang w:val="en-US" w:eastAsia="zh-CN" w:bidi="ar"/>
              </w:rPr>
              <w:t>0.000190</w:t>
            </w:r>
          </w:p>
        </w:tc>
        <w:tc>
          <w:tcPr>
            <w:tcW w:w="0" w:type="auto"/>
            <w:tcBorders>
              <w:top w:val="nil"/>
              <w:left w:val="nil"/>
              <w:bottom w:val="single" w:color="auto" w:sz="4" w:space="0"/>
              <w:right w:val="single" w:color="auto" w:sz="4" w:space="0"/>
            </w:tcBorders>
            <w:vAlign w:val="center"/>
          </w:tcPr>
          <w:p w14:paraId="0678CB88">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0.0459</w:t>
            </w:r>
          </w:p>
        </w:tc>
        <w:tc>
          <w:tcPr>
            <w:tcW w:w="0" w:type="auto"/>
            <w:tcBorders>
              <w:top w:val="nil"/>
              <w:left w:val="nil"/>
              <w:bottom w:val="single" w:color="auto" w:sz="4" w:space="0"/>
              <w:right w:val="single" w:color="auto" w:sz="4" w:space="0"/>
            </w:tcBorders>
            <w:vAlign w:val="center"/>
          </w:tcPr>
          <w:p w14:paraId="1568967A">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0.0503</w:t>
            </w:r>
          </w:p>
        </w:tc>
        <w:tc>
          <w:tcPr>
            <w:tcW w:w="0" w:type="auto"/>
            <w:tcBorders>
              <w:top w:val="nil"/>
              <w:left w:val="nil"/>
              <w:bottom w:val="single" w:color="auto" w:sz="4" w:space="0"/>
              <w:right w:val="single" w:color="auto" w:sz="4" w:space="0"/>
            </w:tcBorders>
            <w:vAlign w:val="center"/>
          </w:tcPr>
          <w:p w14:paraId="2FFC059D">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0.213</w:t>
            </w:r>
          </w:p>
        </w:tc>
        <w:tc>
          <w:tcPr>
            <w:tcW w:w="1154" w:type="dxa"/>
            <w:tcBorders>
              <w:top w:val="nil"/>
              <w:left w:val="nil"/>
              <w:bottom w:val="single" w:color="auto" w:sz="4" w:space="0"/>
              <w:right w:val="single" w:color="auto" w:sz="4" w:space="0"/>
            </w:tcBorders>
            <w:vAlign w:val="center"/>
          </w:tcPr>
          <w:p w14:paraId="201F17C8">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0.00848</w:t>
            </w:r>
          </w:p>
        </w:tc>
      </w:tr>
      <w:tr w14:paraId="0A057E4E">
        <w:tblPrEx>
          <w:tblCellMar>
            <w:top w:w="0" w:type="dxa"/>
            <w:left w:w="108" w:type="dxa"/>
            <w:bottom w:w="0" w:type="dxa"/>
            <w:right w:w="108" w:type="dxa"/>
          </w:tblCellMar>
        </w:tblPrEx>
        <w:trPr>
          <w:trHeight w:val="346" w:hRule="atLeast"/>
          <w:tblHeader/>
          <w:jc w:val="center"/>
        </w:trPr>
        <w:tc>
          <w:tcPr>
            <w:tcW w:w="1163" w:type="dxa"/>
            <w:vMerge w:val="continue"/>
            <w:tcBorders>
              <w:left w:val="single" w:color="auto" w:sz="4" w:space="0"/>
              <w:right w:val="single" w:color="auto" w:sz="4" w:space="0"/>
            </w:tcBorders>
            <w:vAlign w:val="center"/>
          </w:tcPr>
          <w:p w14:paraId="03E8F049">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0AB50001">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4</w:t>
            </w:r>
          </w:p>
        </w:tc>
        <w:tc>
          <w:tcPr>
            <w:tcW w:w="0" w:type="auto"/>
            <w:tcBorders>
              <w:top w:val="nil"/>
              <w:left w:val="nil"/>
              <w:bottom w:val="single" w:color="auto" w:sz="4" w:space="0"/>
              <w:right w:val="single" w:color="auto" w:sz="4" w:space="0"/>
            </w:tcBorders>
            <w:vAlign w:val="center"/>
          </w:tcPr>
          <w:p w14:paraId="2CB346CB">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0.00468</w:t>
            </w:r>
          </w:p>
        </w:tc>
        <w:tc>
          <w:tcPr>
            <w:tcW w:w="0" w:type="auto"/>
            <w:tcBorders>
              <w:top w:val="nil"/>
              <w:left w:val="nil"/>
              <w:bottom w:val="single" w:color="auto" w:sz="4" w:space="0"/>
              <w:right w:val="single" w:color="auto" w:sz="4" w:space="0"/>
            </w:tcBorders>
            <w:vAlign w:val="center"/>
          </w:tcPr>
          <w:p w14:paraId="631966AB">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highlight w:val="none"/>
              </w:rPr>
            </w:pPr>
            <w:r>
              <w:rPr>
                <w:rFonts w:hint="default" w:ascii="Times New Roman" w:hAnsi="Times New Roman" w:eastAsia="宋体" w:cs="Times New Roman"/>
                <w:b w:val="0"/>
                <w:bCs/>
                <w:i w:val="0"/>
                <w:iCs w:val="0"/>
                <w:color w:val="auto"/>
                <w:kern w:val="0"/>
                <w:sz w:val="18"/>
                <w:szCs w:val="18"/>
                <w:highlight w:val="none"/>
                <w:u w:val="none"/>
                <w:lang w:val="en-US" w:eastAsia="zh-CN" w:bidi="ar"/>
              </w:rPr>
              <w:t>0.000368</w:t>
            </w:r>
          </w:p>
        </w:tc>
        <w:tc>
          <w:tcPr>
            <w:tcW w:w="0" w:type="auto"/>
            <w:tcBorders>
              <w:top w:val="nil"/>
              <w:left w:val="nil"/>
              <w:bottom w:val="single" w:color="auto" w:sz="4" w:space="0"/>
              <w:right w:val="single" w:color="auto" w:sz="4" w:space="0"/>
            </w:tcBorders>
            <w:vAlign w:val="center"/>
          </w:tcPr>
          <w:p w14:paraId="5AB824C8">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0.0474</w:t>
            </w:r>
          </w:p>
        </w:tc>
        <w:tc>
          <w:tcPr>
            <w:tcW w:w="0" w:type="auto"/>
            <w:tcBorders>
              <w:top w:val="nil"/>
              <w:left w:val="nil"/>
              <w:bottom w:val="single" w:color="auto" w:sz="4" w:space="0"/>
              <w:right w:val="single" w:color="auto" w:sz="4" w:space="0"/>
            </w:tcBorders>
            <w:vAlign w:val="center"/>
          </w:tcPr>
          <w:p w14:paraId="338F757D">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0.0487</w:t>
            </w:r>
          </w:p>
        </w:tc>
        <w:tc>
          <w:tcPr>
            <w:tcW w:w="0" w:type="auto"/>
            <w:tcBorders>
              <w:top w:val="nil"/>
              <w:left w:val="nil"/>
              <w:bottom w:val="single" w:color="auto" w:sz="4" w:space="0"/>
              <w:right w:val="single" w:color="auto" w:sz="4" w:space="0"/>
            </w:tcBorders>
            <w:vAlign w:val="center"/>
          </w:tcPr>
          <w:p w14:paraId="44378746">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0.207</w:t>
            </w:r>
          </w:p>
        </w:tc>
        <w:tc>
          <w:tcPr>
            <w:tcW w:w="1154" w:type="dxa"/>
            <w:tcBorders>
              <w:top w:val="nil"/>
              <w:left w:val="nil"/>
              <w:bottom w:val="single" w:color="auto" w:sz="4" w:space="0"/>
              <w:right w:val="single" w:color="auto" w:sz="4" w:space="0"/>
            </w:tcBorders>
            <w:vAlign w:val="center"/>
          </w:tcPr>
          <w:p w14:paraId="05CA0B19">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0.00898</w:t>
            </w:r>
          </w:p>
        </w:tc>
      </w:tr>
      <w:tr w14:paraId="5D451F11">
        <w:tblPrEx>
          <w:tblCellMar>
            <w:top w:w="0" w:type="dxa"/>
            <w:left w:w="108" w:type="dxa"/>
            <w:bottom w:w="0" w:type="dxa"/>
            <w:right w:w="108" w:type="dxa"/>
          </w:tblCellMar>
        </w:tblPrEx>
        <w:trPr>
          <w:trHeight w:val="345" w:hRule="atLeast"/>
          <w:tblHeader/>
          <w:jc w:val="center"/>
        </w:trPr>
        <w:tc>
          <w:tcPr>
            <w:tcW w:w="1163" w:type="dxa"/>
            <w:vMerge w:val="continue"/>
            <w:tcBorders>
              <w:left w:val="single" w:color="auto" w:sz="4" w:space="0"/>
              <w:right w:val="single" w:color="auto" w:sz="4" w:space="0"/>
            </w:tcBorders>
            <w:vAlign w:val="center"/>
          </w:tcPr>
          <w:p w14:paraId="189776A0">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6D1C113C">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5</w:t>
            </w:r>
          </w:p>
        </w:tc>
        <w:tc>
          <w:tcPr>
            <w:tcW w:w="0" w:type="auto"/>
            <w:tcBorders>
              <w:top w:val="nil"/>
              <w:left w:val="nil"/>
              <w:bottom w:val="single" w:color="auto" w:sz="4" w:space="0"/>
              <w:right w:val="single" w:color="auto" w:sz="4" w:space="0"/>
            </w:tcBorders>
            <w:vAlign w:val="center"/>
          </w:tcPr>
          <w:p w14:paraId="65B781BF">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0.00420</w:t>
            </w:r>
          </w:p>
        </w:tc>
        <w:tc>
          <w:tcPr>
            <w:tcW w:w="0" w:type="auto"/>
            <w:tcBorders>
              <w:top w:val="nil"/>
              <w:left w:val="nil"/>
              <w:bottom w:val="single" w:color="auto" w:sz="4" w:space="0"/>
              <w:right w:val="single" w:color="auto" w:sz="4" w:space="0"/>
            </w:tcBorders>
            <w:vAlign w:val="center"/>
          </w:tcPr>
          <w:p w14:paraId="717A81C0">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0.000337</w:t>
            </w:r>
          </w:p>
        </w:tc>
        <w:tc>
          <w:tcPr>
            <w:tcW w:w="0" w:type="auto"/>
            <w:tcBorders>
              <w:top w:val="nil"/>
              <w:left w:val="nil"/>
              <w:bottom w:val="single" w:color="auto" w:sz="4" w:space="0"/>
              <w:right w:val="single" w:color="auto" w:sz="4" w:space="0"/>
            </w:tcBorders>
            <w:vAlign w:val="center"/>
          </w:tcPr>
          <w:p w14:paraId="43C206CA">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0.0492</w:t>
            </w:r>
          </w:p>
        </w:tc>
        <w:tc>
          <w:tcPr>
            <w:tcW w:w="0" w:type="auto"/>
            <w:tcBorders>
              <w:top w:val="nil"/>
              <w:left w:val="nil"/>
              <w:bottom w:val="single" w:color="auto" w:sz="4" w:space="0"/>
              <w:right w:val="single" w:color="auto" w:sz="4" w:space="0"/>
            </w:tcBorders>
            <w:vAlign w:val="center"/>
          </w:tcPr>
          <w:p w14:paraId="4A7CFB95">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0.0472</w:t>
            </w:r>
          </w:p>
        </w:tc>
        <w:tc>
          <w:tcPr>
            <w:tcW w:w="0" w:type="auto"/>
            <w:tcBorders>
              <w:top w:val="nil"/>
              <w:left w:val="nil"/>
              <w:bottom w:val="single" w:color="auto" w:sz="4" w:space="0"/>
              <w:right w:val="single" w:color="auto" w:sz="4" w:space="0"/>
            </w:tcBorders>
            <w:vAlign w:val="center"/>
          </w:tcPr>
          <w:p w14:paraId="0E7AA140">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0.202</w:t>
            </w:r>
          </w:p>
        </w:tc>
        <w:tc>
          <w:tcPr>
            <w:tcW w:w="1154" w:type="dxa"/>
            <w:tcBorders>
              <w:top w:val="nil"/>
              <w:left w:val="nil"/>
              <w:bottom w:val="single" w:color="auto" w:sz="4" w:space="0"/>
              <w:right w:val="single" w:color="auto" w:sz="4" w:space="0"/>
            </w:tcBorders>
            <w:vAlign w:val="center"/>
          </w:tcPr>
          <w:p w14:paraId="29D467DA">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0.00906</w:t>
            </w:r>
          </w:p>
        </w:tc>
      </w:tr>
      <w:tr w14:paraId="19DAAF6E">
        <w:tblPrEx>
          <w:tblCellMar>
            <w:top w:w="0" w:type="dxa"/>
            <w:left w:w="108" w:type="dxa"/>
            <w:bottom w:w="0" w:type="dxa"/>
            <w:right w:w="108" w:type="dxa"/>
          </w:tblCellMar>
        </w:tblPrEx>
        <w:trPr>
          <w:trHeight w:val="324" w:hRule="atLeast"/>
          <w:tblHeader/>
          <w:jc w:val="center"/>
        </w:trPr>
        <w:tc>
          <w:tcPr>
            <w:tcW w:w="1163" w:type="dxa"/>
            <w:vMerge w:val="continue"/>
            <w:tcBorders>
              <w:left w:val="single" w:color="auto" w:sz="4" w:space="0"/>
              <w:right w:val="single" w:color="auto" w:sz="4" w:space="0"/>
            </w:tcBorders>
            <w:vAlign w:val="center"/>
          </w:tcPr>
          <w:p w14:paraId="55B4B972">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75FA3C35">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6</w:t>
            </w:r>
          </w:p>
        </w:tc>
        <w:tc>
          <w:tcPr>
            <w:tcW w:w="0" w:type="auto"/>
            <w:tcBorders>
              <w:top w:val="nil"/>
              <w:left w:val="nil"/>
              <w:bottom w:val="single" w:color="auto" w:sz="4" w:space="0"/>
              <w:right w:val="single" w:color="auto" w:sz="4" w:space="0"/>
            </w:tcBorders>
            <w:vAlign w:val="center"/>
          </w:tcPr>
          <w:p w14:paraId="216C1A6F">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0.00457</w:t>
            </w:r>
          </w:p>
        </w:tc>
        <w:tc>
          <w:tcPr>
            <w:tcW w:w="0" w:type="auto"/>
            <w:tcBorders>
              <w:top w:val="nil"/>
              <w:left w:val="nil"/>
              <w:bottom w:val="single" w:color="auto" w:sz="4" w:space="0"/>
              <w:right w:val="single" w:color="auto" w:sz="4" w:space="0"/>
            </w:tcBorders>
            <w:vAlign w:val="center"/>
          </w:tcPr>
          <w:p w14:paraId="5211A4CF">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0.000298</w:t>
            </w:r>
          </w:p>
        </w:tc>
        <w:tc>
          <w:tcPr>
            <w:tcW w:w="0" w:type="auto"/>
            <w:tcBorders>
              <w:top w:val="nil"/>
              <w:left w:val="nil"/>
              <w:bottom w:val="single" w:color="auto" w:sz="4" w:space="0"/>
              <w:right w:val="single" w:color="auto" w:sz="4" w:space="0"/>
            </w:tcBorders>
            <w:vAlign w:val="center"/>
          </w:tcPr>
          <w:p w14:paraId="0DED19F3">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0.0504</w:t>
            </w:r>
          </w:p>
        </w:tc>
        <w:tc>
          <w:tcPr>
            <w:tcW w:w="0" w:type="auto"/>
            <w:tcBorders>
              <w:top w:val="nil"/>
              <w:left w:val="nil"/>
              <w:bottom w:val="single" w:color="auto" w:sz="4" w:space="0"/>
              <w:right w:val="single" w:color="auto" w:sz="4" w:space="0"/>
            </w:tcBorders>
            <w:vAlign w:val="center"/>
          </w:tcPr>
          <w:p w14:paraId="255A459B">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0.0487</w:t>
            </w:r>
          </w:p>
        </w:tc>
        <w:tc>
          <w:tcPr>
            <w:tcW w:w="0" w:type="auto"/>
            <w:tcBorders>
              <w:top w:val="nil"/>
              <w:left w:val="nil"/>
              <w:bottom w:val="single" w:color="auto" w:sz="4" w:space="0"/>
              <w:right w:val="single" w:color="auto" w:sz="4" w:space="0"/>
            </w:tcBorders>
            <w:vAlign w:val="center"/>
          </w:tcPr>
          <w:p w14:paraId="35A78A89">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0.208</w:t>
            </w:r>
          </w:p>
        </w:tc>
        <w:tc>
          <w:tcPr>
            <w:tcW w:w="1154" w:type="dxa"/>
            <w:tcBorders>
              <w:top w:val="nil"/>
              <w:left w:val="nil"/>
              <w:bottom w:val="single" w:color="auto" w:sz="4" w:space="0"/>
              <w:right w:val="single" w:color="auto" w:sz="4" w:space="0"/>
            </w:tcBorders>
            <w:vAlign w:val="center"/>
          </w:tcPr>
          <w:p w14:paraId="5408AB41">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0.00896</w:t>
            </w:r>
          </w:p>
        </w:tc>
      </w:tr>
      <w:tr w14:paraId="0195D1BE">
        <w:tblPrEx>
          <w:tblCellMar>
            <w:top w:w="0" w:type="dxa"/>
            <w:left w:w="108" w:type="dxa"/>
            <w:bottom w:w="0" w:type="dxa"/>
            <w:right w:w="108" w:type="dxa"/>
          </w:tblCellMar>
        </w:tblPrEx>
        <w:trPr>
          <w:trHeight w:val="346" w:hRule="atLeast"/>
          <w:tblHeader/>
          <w:jc w:val="center"/>
        </w:trPr>
        <w:tc>
          <w:tcPr>
            <w:tcW w:w="1163" w:type="dxa"/>
            <w:vMerge w:val="continue"/>
            <w:tcBorders>
              <w:left w:val="single" w:color="auto" w:sz="4" w:space="0"/>
              <w:bottom w:val="single" w:color="auto" w:sz="4" w:space="0"/>
              <w:right w:val="single" w:color="auto" w:sz="4" w:space="0"/>
            </w:tcBorders>
            <w:vAlign w:val="center"/>
          </w:tcPr>
          <w:p w14:paraId="3CD3A6C0">
            <w:pPr>
              <w:widowControl/>
              <w:snapToGrid w:val="0"/>
              <w:spacing w:line="240" w:lineRule="auto"/>
              <w:jc w:val="center"/>
              <w:rPr>
                <w:rFonts w:ascii="Times New Roman" w:hAnsi="Times New Roman"/>
                <w:b w:val="0"/>
                <w:bCs/>
                <w:kern w:val="0"/>
                <w:sz w:val="18"/>
                <w:szCs w:val="18"/>
              </w:rPr>
            </w:pPr>
          </w:p>
        </w:tc>
        <w:tc>
          <w:tcPr>
            <w:tcW w:w="471" w:type="dxa"/>
            <w:tcBorders>
              <w:top w:val="nil"/>
              <w:left w:val="single" w:color="auto" w:sz="4" w:space="0"/>
              <w:bottom w:val="single" w:color="auto" w:sz="4" w:space="0"/>
              <w:right w:val="single" w:color="auto" w:sz="4" w:space="0"/>
            </w:tcBorders>
            <w:vAlign w:val="center"/>
          </w:tcPr>
          <w:p w14:paraId="3146E425">
            <w:pPr>
              <w:widowControl/>
              <w:snapToGrid w:val="0"/>
              <w:spacing w:line="240" w:lineRule="auto"/>
              <w:jc w:val="center"/>
              <w:rPr>
                <w:rFonts w:hint="eastAsia"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7</w:t>
            </w:r>
          </w:p>
        </w:tc>
        <w:tc>
          <w:tcPr>
            <w:tcW w:w="0" w:type="auto"/>
            <w:tcBorders>
              <w:top w:val="nil"/>
              <w:left w:val="nil"/>
              <w:bottom w:val="single" w:color="auto" w:sz="4" w:space="0"/>
              <w:right w:val="single" w:color="auto" w:sz="4" w:space="0"/>
            </w:tcBorders>
            <w:vAlign w:val="center"/>
          </w:tcPr>
          <w:p w14:paraId="1F5169FF">
            <w:pPr>
              <w:keepNext w:val="0"/>
              <w:keepLines w:val="0"/>
              <w:widowControl/>
              <w:suppressLineNumbers w:val="0"/>
              <w:snapToGrid w:val="0"/>
              <w:spacing w:line="240" w:lineRule="auto"/>
              <w:jc w:val="center"/>
              <w:textAlignment w:val="center"/>
              <w:rPr>
                <w:rFonts w:hint="default" w:ascii="Times New Roman" w:hAnsi="Times New Roman" w:eastAsia="宋体"/>
                <w:b w:val="0"/>
                <w:bCs/>
                <w:color w:val="auto"/>
                <w:kern w:val="0"/>
                <w:sz w:val="18"/>
                <w:szCs w:val="18"/>
                <w:lang w:val="en-US" w:eastAsia="zh-CN"/>
              </w:rPr>
            </w:pPr>
            <w:r>
              <w:rPr>
                <w:rFonts w:hint="default" w:ascii="Times New Roman" w:hAnsi="Times New Roman" w:eastAsia="宋体" w:cs="Times New Roman"/>
                <w:b w:val="0"/>
                <w:bCs/>
                <w:i w:val="0"/>
                <w:iCs w:val="0"/>
                <w:color w:val="auto"/>
                <w:kern w:val="0"/>
                <w:sz w:val="18"/>
                <w:szCs w:val="18"/>
                <w:u w:val="none"/>
                <w:lang w:val="en-US" w:eastAsia="zh-CN" w:bidi="ar"/>
              </w:rPr>
              <w:t>0.00453</w:t>
            </w:r>
          </w:p>
        </w:tc>
        <w:tc>
          <w:tcPr>
            <w:tcW w:w="0" w:type="auto"/>
            <w:tcBorders>
              <w:top w:val="nil"/>
              <w:left w:val="nil"/>
              <w:bottom w:val="single" w:color="auto" w:sz="4" w:space="0"/>
              <w:right w:val="single" w:color="auto" w:sz="4" w:space="0"/>
            </w:tcBorders>
            <w:vAlign w:val="center"/>
          </w:tcPr>
          <w:p w14:paraId="62F30E83">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0.000342</w:t>
            </w:r>
          </w:p>
        </w:tc>
        <w:tc>
          <w:tcPr>
            <w:tcW w:w="0" w:type="auto"/>
            <w:tcBorders>
              <w:top w:val="nil"/>
              <w:left w:val="nil"/>
              <w:bottom w:val="single" w:color="auto" w:sz="4" w:space="0"/>
              <w:right w:val="single" w:color="auto" w:sz="4" w:space="0"/>
            </w:tcBorders>
            <w:vAlign w:val="center"/>
          </w:tcPr>
          <w:p w14:paraId="6BA54627">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0.0487</w:t>
            </w:r>
          </w:p>
        </w:tc>
        <w:tc>
          <w:tcPr>
            <w:tcW w:w="0" w:type="auto"/>
            <w:tcBorders>
              <w:top w:val="nil"/>
              <w:left w:val="nil"/>
              <w:bottom w:val="single" w:color="auto" w:sz="4" w:space="0"/>
              <w:right w:val="single" w:color="auto" w:sz="4" w:space="0"/>
            </w:tcBorders>
            <w:vAlign w:val="center"/>
          </w:tcPr>
          <w:p w14:paraId="3F78C551">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0.0499</w:t>
            </w:r>
          </w:p>
        </w:tc>
        <w:tc>
          <w:tcPr>
            <w:tcW w:w="0" w:type="auto"/>
            <w:tcBorders>
              <w:top w:val="nil"/>
              <w:left w:val="nil"/>
              <w:bottom w:val="single" w:color="auto" w:sz="4" w:space="0"/>
              <w:right w:val="single" w:color="auto" w:sz="4" w:space="0"/>
            </w:tcBorders>
            <w:vAlign w:val="center"/>
          </w:tcPr>
          <w:p w14:paraId="17C644D6">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0.201</w:t>
            </w:r>
          </w:p>
        </w:tc>
        <w:tc>
          <w:tcPr>
            <w:tcW w:w="1154" w:type="dxa"/>
            <w:tcBorders>
              <w:top w:val="nil"/>
              <w:left w:val="nil"/>
              <w:bottom w:val="single" w:color="auto" w:sz="4" w:space="0"/>
              <w:right w:val="single" w:color="auto" w:sz="4" w:space="0"/>
            </w:tcBorders>
            <w:vAlign w:val="center"/>
          </w:tcPr>
          <w:p w14:paraId="4EEEBE68">
            <w:pPr>
              <w:keepNext w:val="0"/>
              <w:keepLines w:val="0"/>
              <w:widowControl/>
              <w:suppressLineNumbers w:val="0"/>
              <w:snapToGrid w:val="0"/>
              <w:spacing w:line="240" w:lineRule="auto"/>
              <w:jc w:val="center"/>
              <w:textAlignment w:val="center"/>
              <w:rPr>
                <w:rFonts w:ascii="Times New Roman" w:hAnsi="Times New Roman"/>
                <w:b w:val="0"/>
                <w:bCs/>
                <w:color w:val="auto"/>
                <w:kern w:val="0"/>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0.00913</w:t>
            </w:r>
          </w:p>
        </w:tc>
      </w:tr>
      <w:tr w14:paraId="42EB9303">
        <w:tblPrEx>
          <w:tblCellMar>
            <w:top w:w="0" w:type="dxa"/>
            <w:left w:w="108" w:type="dxa"/>
            <w:bottom w:w="0" w:type="dxa"/>
            <w:right w:w="108" w:type="dxa"/>
          </w:tblCellMar>
        </w:tblPrEx>
        <w:trPr>
          <w:trHeight w:val="373" w:hRule="atLeast"/>
          <w:tblHeader/>
          <w:jc w:val="center"/>
        </w:trPr>
        <w:tc>
          <w:tcPr>
            <w:tcW w:w="1634" w:type="dxa"/>
            <w:gridSpan w:val="2"/>
            <w:tcBorders>
              <w:top w:val="nil"/>
              <w:left w:val="single" w:color="auto" w:sz="4" w:space="0"/>
              <w:bottom w:val="single" w:color="auto" w:sz="4" w:space="0"/>
              <w:right w:val="single" w:color="auto" w:sz="4" w:space="0"/>
            </w:tcBorders>
            <w:vAlign w:val="center"/>
          </w:tcPr>
          <w:p w14:paraId="5237900C">
            <w:pPr>
              <w:widowControl/>
              <w:snapToGrid w:val="0"/>
              <w:spacing w:line="240" w:lineRule="auto"/>
              <w:jc w:val="center"/>
              <w:rPr>
                <w:rFonts w:hint="default" w:ascii="Times New Roman" w:hAnsi="Times New Roman" w:eastAsia="宋体"/>
                <w:b w:val="0"/>
                <w:bCs/>
                <w:kern w:val="0"/>
                <w:sz w:val="18"/>
                <w:szCs w:val="18"/>
                <w:lang w:val="en-US" w:eastAsia="zh-CN"/>
              </w:rPr>
            </w:pPr>
            <w:r>
              <w:rPr>
                <w:rFonts w:ascii="Times New Roman" w:hAnsi="Times New Roman"/>
                <w:b w:val="0"/>
                <w:bCs/>
                <w:kern w:val="0"/>
                <w:sz w:val="18"/>
                <w:szCs w:val="18"/>
              </w:rPr>
              <w:t>平均值</w:t>
            </w:r>
            <w:r>
              <w:rPr>
                <w:rFonts w:hint="eastAsia" w:ascii="Times New Roman" w:hAnsi="Times New Roman"/>
                <w:b w:val="0"/>
                <w:bCs/>
                <w:kern w:val="0"/>
                <w:sz w:val="18"/>
                <w:szCs w:val="18"/>
                <w:lang w:val="en-US" w:eastAsia="zh-CN"/>
              </w:rPr>
              <w:t>/%</w:t>
            </w:r>
          </w:p>
        </w:tc>
        <w:tc>
          <w:tcPr>
            <w:tcW w:w="0" w:type="auto"/>
            <w:tcBorders>
              <w:top w:val="nil"/>
              <w:left w:val="nil"/>
              <w:bottom w:val="single" w:color="auto" w:sz="4" w:space="0"/>
              <w:right w:val="single" w:color="auto" w:sz="4" w:space="0"/>
            </w:tcBorders>
            <w:vAlign w:val="center"/>
          </w:tcPr>
          <w:p w14:paraId="20AC30B9">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0.00456</w:t>
            </w:r>
          </w:p>
        </w:tc>
        <w:tc>
          <w:tcPr>
            <w:tcW w:w="0" w:type="auto"/>
            <w:tcBorders>
              <w:top w:val="nil"/>
              <w:left w:val="nil"/>
              <w:bottom w:val="single" w:color="auto" w:sz="4" w:space="0"/>
              <w:right w:val="single" w:color="auto" w:sz="4" w:space="0"/>
            </w:tcBorders>
            <w:vAlign w:val="center"/>
          </w:tcPr>
          <w:p w14:paraId="2D8447A3">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0.000286</w:t>
            </w:r>
          </w:p>
        </w:tc>
        <w:tc>
          <w:tcPr>
            <w:tcW w:w="0" w:type="auto"/>
            <w:tcBorders>
              <w:top w:val="nil"/>
              <w:left w:val="nil"/>
              <w:bottom w:val="single" w:color="auto" w:sz="4" w:space="0"/>
              <w:right w:val="single" w:color="auto" w:sz="4" w:space="0"/>
            </w:tcBorders>
            <w:vAlign w:val="center"/>
          </w:tcPr>
          <w:p w14:paraId="61EEFFC6">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0.0483 </w:t>
            </w:r>
          </w:p>
        </w:tc>
        <w:tc>
          <w:tcPr>
            <w:tcW w:w="0" w:type="auto"/>
            <w:tcBorders>
              <w:top w:val="nil"/>
              <w:left w:val="nil"/>
              <w:bottom w:val="single" w:color="auto" w:sz="4" w:space="0"/>
              <w:right w:val="single" w:color="auto" w:sz="4" w:space="0"/>
            </w:tcBorders>
            <w:vAlign w:val="center"/>
          </w:tcPr>
          <w:p w14:paraId="0CD741D2">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0.0491 </w:t>
            </w:r>
          </w:p>
        </w:tc>
        <w:tc>
          <w:tcPr>
            <w:tcW w:w="0" w:type="auto"/>
            <w:tcBorders>
              <w:top w:val="nil"/>
              <w:left w:val="nil"/>
              <w:bottom w:val="single" w:color="auto" w:sz="4" w:space="0"/>
              <w:right w:val="single" w:color="auto" w:sz="4" w:space="0"/>
            </w:tcBorders>
            <w:vAlign w:val="center"/>
          </w:tcPr>
          <w:p w14:paraId="51672CC5">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0.205</w:t>
            </w:r>
          </w:p>
        </w:tc>
        <w:tc>
          <w:tcPr>
            <w:tcW w:w="1154" w:type="dxa"/>
            <w:tcBorders>
              <w:top w:val="nil"/>
              <w:left w:val="nil"/>
              <w:bottom w:val="single" w:color="auto" w:sz="4" w:space="0"/>
              <w:right w:val="single" w:color="auto" w:sz="4" w:space="0"/>
            </w:tcBorders>
            <w:vAlign w:val="center"/>
          </w:tcPr>
          <w:p w14:paraId="0FCBBDD1">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0.00883</w:t>
            </w:r>
          </w:p>
        </w:tc>
      </w:tr>
      <w:tr w14:paraId="0E0C978E">
        <w:tblPrEx>
          <w:tblCellMar>
            <w:top w:w="0" w:type="dxa"/>
            <w:left w:w="108" w:type="dxa"/>
            <w:bottom w:w="0" w:type="dxa"/>
            <w:right w:w="108" w:type="dxa"/>
          </w:tblCellMar>
        </w:tblPrEx>
        <w:trPr>
          <w:trHeight w:val="405" w:hRule="atLeast"/>
          <w:tblHeader/>
          <w:jc w:val="center"/>
        </w:trPr>
        <w:tc>
          <w:tcPr>
            <w:tcW w:w="1634" w:type="dxa"/>
            <w:gridSpan w:val="2"/>
            <w:tcBorders>
              <w:top w:val="nil"/>
              <w:left w:val="single" w:color="auto" w:sz="4" w:space="0"/>
              <w:bottom w:val="single" w:color="auto" w:sz="4" w:space="0"/>
              <w:right w:val="single" w:color="auto" w:sz="4" w:space="0"/>
            </w:tcBorders>
            <w:vAlign w:val="center"/>
          </w:tcPr>
          <w:p w14:paraId="6F854726">
            <w:pPr>
              <w:widowControl/>
              <w:snapToGrid w:val="0"/>
              <w:spacing w:line="240" w:lineRule="auto"/>
              <w:jc w:val="center"/>
              <w:rPr>
                <w:rFonts w:ascii="Times New Roman" w:hAnsi="Times New Roman"/>
                <w:b w:val="0"/>
                <w:bCs/>
                <w:kern w:val="0"/>
                <w:sz w:val="18"/>
                <w:szCs w:val="18"/>
              </w:rPr>
            </w:pPr>
            <w:r>
              <w:rPr>
                <w:rFonts w:ascii="Times New Roman" w:hAnsi="Times New Roman"/>
                <w:b w:val="0"/>
                <w:bCs/>
                <w:kern w:val="0"/>
                <w:sz w:val="18"/>
                <w:szCs w:val="18"/>
              </w:rPr>
              <w:t>标准偏差</w:t>
            </w:r>
            <w:r>
              <w:rPr>
                <w:rFonts w:hint="eastAsia" w:ascii="Times New Roman" w:hAnsi="Times New Roman"/>
                <w:b w:val="0"/>
                <w:bCs/>
                <w:kern w:val="0"/>
                <w:sz w:val="18"/>
                <w:szCs w:val="18"/>
                <w:lang w:val="en-US" w:eastAsia="zh-CN"/>
              </w:rPr>
              <w:t>/%</w:t>
            </w:r>
          </w:p>
        </w:tc>
        <w:tc>
          <w:tcPr>
            <w:tcW w:w="0" w:type="auto"/>
            <w:tcBorders>
              <w:top w:val="nil"/>
              <w:left w:val="nil"/>
              <w:bottom w:val="single" w:color="auto" w:sz="4" w:space="0"/>
              <w:right w:val="single" w:color="auto" w:sz="4" w:space="0"/>
            </w:tcBorders>
            <w:vAlign w:val="center"/>
          </w:tcPr>
          <w:p w14:paraId="1021F58C">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0.00017</w:t>
            </w:r>
          </w:p>
        </w:tc>
        <w:tc>
          <w:tcPr>
            <w:tcW w:w="0" w:type="auto"/>
            <w:tcBorders>
              <w:top w:val="nil"/>
              <w:left w:val="nil"/>
              <w:bottom w:val="single" w:color="auto" w:sz="4" w:space="0"/>
              <w:right w:val="single" w:color="auto" w:sz="4" w:space="0"/>
            </w:tcBorders>
            <w:vAlign w:val="center"/>
          </w:tcPr>
          <w:p w14:paraId="4BA6875C">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0.00007</w:t>
            </w:r>
          </w:p>
        </w:tc>
        <w:tc>
          <w:tcPr>
            <w:tcW w:w="0" w:type="auto"/>
            <w:tcBorders>
              <w:top w:val="nil"/>
              <w:left w:val="nil"/>
              <w:bottom w:val="single" w:color="auto" w:sz="4" w:space="0"/>
              <w:right w:val="single" w:color="auto" w:sz="4" w:space="0"/>
            </w:tcBorders>
            <w:vAlign w:val="center"/>
          </w:tcPr>
          <w:p w14:paraId="07EE41C0">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0.0014 </w:t>
            </w:r>
          </w:p>
        </w:tc>
        <w:tc>
          <w:tcPr>
            <w:tcW w:w="0" w:type="auto"/>
            <w:tcBorders>
              <w:top w:val="nil"/>
              <w:left w:val="nil"/>
              <w:bottom w:val="single" w:color="auto" w:sz="4" w:space="0"/>
              <w:right w:val="single" w:color="auto" w:sz="4" w:space="0"/>
            </w:tcBorders>
            <w:vAlign w:val="center"/>
          </w:tcPr>
          <w:p w14:paraId="2DFADFB7">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0.0012 </w:t>
            </w:r>
          </w:p>
        </w:tc>
        <w:tc>
          <w:tcPr>
            <w:tcW w:w="0" w:type="auto"/>
            <w:tcBorders>
              <w:top w:val="nil"/>
              <w:left w:val="nil"/>
              <w:bottom w:val="single" w:color="auto" w:sz="4" w:space="0"/>
              <w:right w:val="single" w:color="auto" w:sz="4" w:space="0"/>
            </w:tcBorders>
            <w:vAlign w:val="center"/>
          </w:tcPr>
          <w:p w14:paraId="50279C5E">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0.0043</w:t>
            </w:r>
          </w:p>
        </w:tc>
        <w:tc>
          <w:tcPr>
            <w:tcW w:w="1154" w:type="dxa"/>
            <w:tcBorders>
              <w:top w:val="nil"/>
              <w:left w:val="nil"/>
              <w:bottom w:val="single" w:color="auto" w:sz="4" w:space="0"/>
              <w:right w:val="single" w:color="auto" w:sz="4" w:space="0"/>
            </w:tcBorders>
            <w:vAlign w:val="center"/>
          </w:tcPr>
          <w:p w14:paraId="24578E53">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0.00030</w:t>
            </w:r>
          </w:p>
        </w:tc>
      </w:tr>
      <w:tr w14:paraId="162002E2">
        <w:tblPrEx>
          <w:tblCellMar>
            <w:top w:w="0" w:type="dxa"/>
            <w:left w:w="108" w:type="dxa"/>
            <w:bottom w:w="0" w:type="dxa"/>
            <w:right w:w="108" w:type="dxa"/>
          </w:tblCellMar>
        </w:tblPrEx>
        <w:trPr>
          <w:trHeight w:val="312" w:hRule="atLeast"/>
          <w:tblHeader/>
          <w:jc w:val="center"/>
        </w:trPr>
        <w:tc>
          <w:tcPr>
            <w:tcW w:w="1634" w:type="dxa"/>
            <w:gridSpan w:val="2"/>
            <w:tcBorders>
              <w:top w:val="nil"/>
              <w:left w:val="single" w:color="auto" w:sz="4" w:space="0"/>
              <w:bottom w:val="single" w:color="auto" w:sz="4" w:space="0"/>
              <w:right w:val="single" w:color="auto" w:sz="4" w:space="0"/>
            </w:tcBorders>
            <w:vAlign w:val="center"/>
          </w:tcPr>
          <w:p w14:paraId="6CBF41E0">
            <w:pPr>
              <w:widowControl/>
              <w:snapToGrid w:val="0"/>
              <w:spacing w:line="240" w:lineRule="auto"/>
              <w:jc w:val="center"/>
              <w:rPr>
                <w:rFonts w:hint="default" w:ascii="Times New Roman" w:hAnsi="Times New Roman" w:eastAsia="宋体"/>
                <w:b w:val="0"/>
                <w:bCs/>
                <w:kern w:val="0"/>
                <w:sz w:val="18"/>
                <w:szCs w:val="18"/>
                <w:lang w:val="en-US" w:eastAsia="zh-CN"/>
              </w:rPr>
            </w:pPr>
            <w:r>
              <w:rPr>
                <w:rFonts w:hint="eastAsia" w:ascii="Times New Roman" w:hAnsi="Times New Roman"/>
                <w:b w:val="0"/>
                <w:bCs/>
                <w:kern w:val="0"/>
                <w:sz w:val="18"/>
                <w:szCs w:val="18"/>
                <w:lang w:val="en-US" w:eastAsia="zh-CN"/>
              </w:rPr>
              <w:t>RSD/%</w:t>
            </w:r>
          </w:p>
        </w:tc>
        <w:tc>
          <w:tcPr>
            <w:tcW w:w="1153" w:type="dxa"/>
            <w:tcBorders>
              <w:top w:val="nil"/>
              <w:left w:val="nil"/>
              <w:bottom w:val="single" w:color="auto" w:sz="4" w:space="0"/>
              <w:right w:val="single" w:color="auto" w:sz="4" w:space="0"/>
            </w:tcBorders>
            <w:vAlign w:val="center"/>
          </w:tcPr>
          <w:p w14:paraId="5C6CD396">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3.80</w:t>
            </w:r>
          </w:p>
        </w:tc>
        <w:tc>
          <w:tcPr>
            <w:tcW w:w="1282" w:type="dxa"/>
            <w:tcBorders>
              <w:top w:val="nil"/>
              <w:left w:val="nil"/>
              <w:bottom w:val="single" w:color="auto" w:sz="4" w:space="0"/>
              <w:right w:val="single" w:color="auto" w:sz="4" w:space="0"/>
            </w:tcBorders>
            <w:vAlign w:val="center"/>
          </w:tcPr>
          <w:p w14:paraId="26382C92">
            <w:pPr>
              <w:keepNext w:val="0"/>
              <w:keepLines w:val="0"/>
              <w:widowControl/>
              <w:suppressLineNumbers w:val="0"/>
              <w:snapToGrid w:val="0"/>
              <w:spacing w:line="240" w:lineRule="auto"/>
              <w:jc w:val="center"/>
              <w:textAlignment w:val="center"/>
              <w:rPr>
                <w:b w:val="0"/>
                <w:bCs/>
                <w:sz w:val="18"/>
                <w:szCs w:val="18"/>
              </w:rPr>
            </w:pPr>
            <w:r>
              <w:rPr>
                <w:rFonts w:hint="default" w:ascii="Times New Roman" w:hAnsi="Times New Roman" w:eastAsia="宋体" w:cs="Times New Roman"/>
                <w:b w:val="0"/>
                <w:bCs/>
                <w:i w:val="0"/>
                <w:iCs w:val="0"/>
                <w:color w:val="000000"/>
                <w:kern w:val="0"/>
                <w:sz w:val="18"/>
                <w:szCs w:val="18"/>
                <w:u w:val="none"/>
                <w:lang w:val="en-US" w:eastAsia="zh-CN" w:bidi="ar"/>
              </w:rPr>
              <w:t>24.01</w:t>
            </w:r>
          </w:p>
        </w:tc>
        <w:tc>
          <w:tcPr>
            <w:tcW w:w="1022" w:type="dxa"/>
            <w:tcBorders>
              <w:top w:val="nil"/>
              <w:left w:val="nil"/>
              <w:bottom w:val="single" w:color="auto" w:sz="4" w:space="0"/>
              <w:right w:val="single" w:color="auto" w:sz="4" w:space="0"/>
            </w:tcBorders>
            <w:vAlign w:val="center"/>
          </w:tcPr>
          <w:p w14:paraId="53C21229">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2.96 </w:t>
            </w:r>
          </w:p>
        </w:tc>
        <w:tc>
          <w:tcPr>
            <w:tcW w:w="1023" w:type="dxa"/>
            <w:tcBorders>
              <w:top w:val="nil"/>
              <w:left w:val="nil"/>
              <w:bottom w:val="single" w:color="auto" w:sz="4" w:space="0"/>
              <w:right w:val="single" w:color="auto" w:sz="4" w:space="0"/>
            </w:tcBorders>
            <w:vAlign w:val="center"/>
          </w:tcPr>
          <w:p w14:paraId="6017CDAE">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 xml:space="preserve">2.41 </w:t>
            </w:r>
          </w:p>
        </w:tc>
        <w:tc>
          <w:tcPr>
            <w:tcW w:w="1022" w:type="dxa"/>
            <w:tcBorders>
              <w:top w:val="nil"/>
              <w:left w:val="nil"/>
              <w:bottom w:val="single" w:color="auto" w:sz="4" w:space="0"/>
              <w:right w:val="single" w:color="auto" w:sz="4" w:space="0"/>
            </w:tcBorders>
            <w:vAlign w:val="center"/>
          </w:tcPr>
          <w:p w14:paraId="22AD96EB">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2.08</w:t>
            </w:r>
          </w:p>
        </w:tc>
        <w:tc>
          <w:tcPr>
            <w:tcW w:w="1154" w:type="dxa"/>
            <w:tcBorders>
              <w:top w:val="nil"/>
              <w:left w:val="nil"/>
              <w:bottom w:val="single" w:color="auto" w:sz="4" w:space="0"/>
              <w:right w:val="single" w:color="auto" w:sz="4" w:space="0"/>
            </w:tcBorders>
            <w:vAlign w:val="center"/>
          </w:tcPr>
          <w:p w14:paraId="1516FBE3">
            <w:pPr>
              <w:keepNext w:val="0"/>
              <w:keepLines w:val="0"/>
              <w:widowControl/>
              <w:suppressLineNumbers w:val="0"/>
              <w:snapToGrid w:val="0"/>
              <w:spacing w:line="240" w:lineRule="auto"/>
              <w:jc w:val="center"/>
              <w:textAlignment w:val="center"/>
              <w:rPr>
                <w:b w:val="0"/>
                <w:bCs/>
                <w:color w:val="auto"/>
                <w:sz w:val="18"/>
                <w:szCs w:val="18"/>
              </w:rPr>
            </w:pPr>
            <w:r>
              <w:rPr>
                <w:rFonts w:hint="default" w:ascii="Times New Roman" w:hAnsi="Times New Roman" w:eastAsia="宋体" w:cs="Times New Roman"/>
                <w:b w:val="0"/>
                <w:bCs/>
                <w:i w:val="0"/>
                <w:iCs w:val="0"/>
                <w:color w:val="auto"/>
                <w:kern w:val="0"/>
                <w:sz w:val="18"/>
                <w:szCs w:val="18"/>
                <w:u w:val="none"/>
                <w:lang w:val="en-US" w:eastAsia="zh-CN" w:bidi="ar"/>
              </w:rPr>
              <w:t>3.36</w:t>
            </w:r>
          </w:p>
        </w:tc>
      </w:tr>
    </w:tbl>
    <w:p w14:paraId="57653384">
      <w:pPr>
        <w:keepNext w:val="0"/>
        <w:keepLines w:val="0"/>
        <w:pageBreakBefore w:val="0"/>
        <w:widowControl w:val="0"/>
        <w:kinsoku/>
        <w:wordWrap/>
        <w:overflowPunct/>
        <w:topLinePunct w:val="0"/>
        <w:autoSpaceDE/>
        <w:autoSpaceDN/>
        <w:bidi w:val="0"/>
        <w:adjustRightInd w:val="0"/>
        <w:snapToGrid w:val="0"/>
        <w:spacing w:before="164" w:beforeLines="50" w:line="240" w:lineRule="auto"/>
        <w:ind w:firstLine="420" w:firstLineChars="200"/>
        <w:textAlignment w:val="auto"/>
        <w:rPr>
          <w:rFonts w:hint="eastAsia" w:ascii="宋体" w:hAnsi="宋体" w:cs="宋体"/>
          <w:kern w:val="2"/>
          <w:sz w:val="21"/>
          <w:szCs w:val="21"/>
          <w:highlight w:val="none"/>
        </w:rPr>
      </w:pPr>
      <w:r>
        <w:rPr>
          <w:rFonts w:hint="eastAsia" w:ascii="宋体" w:hAnsi="宋体" w:cs="宋体"/>
          <w:kern w:val="2"/>
          <w:sz w:val="21"/>
          <w:szCs w:val="21"/>
          <w:highlight w:val="none"/>
        </w:rPr>
        <w:t>试验结果表明，该方法精密度好、准确度高，适合于作为</w:t>
      </w:r>
      <w:r>
        <w:rPr>
          <w:rFonts w:hint="eastAsia" w:ascii="宋体" w:hAnsi="宋体" w:cs="宋体"/>
          <w:kern w:val="2"/>
          <w:sz w:val="21"/>
          <w:szCs w:val="21"/>
          <w:highlight w:val="none"/>
          <w:lang w:val="en-US" w:eastAsia="zh-CN"/>
        </w:rPr>
        <w:t>钴</w:t>
      </w:r>
      <w:r>
        <w:rPr>
          <w:rFonts w:hint="eastAsia" w:ascii="宋体" w:hAnsi="宋体" w:cs="宋体"/>
          <w:kern w:val="2"/>
          <w:sz w:val="21"/>
          <w:szCs w:val="21"/>
          <w:highlight w:val="none"/>
        </w:rPr>
        <w:t>中</w:t>
      </w:r>
      <w:r>
        <w:rPr>
          <w:rFonts w:hint="eastAsia" w:ascii="宋体" w:hAnsi="宋体" w:cs="宋体"/>
          <w:kern w:val="2"/>
          <w:sz w:val="21"/>
          <w:szCs w:val="21"/>
          <w:highlight w:val="none"/>
          <w:lang w:val="en-US" w:eastAsia="zh-CN"/>
        </w:rPr>
        <w:t>碳和硫</w:t>
      </w:r>
      <w:r>
        <w:rPr>
          <w:rFonts w:hint="eastAsia" w:ascii="宋体" w:hAnsi="宋体" w:cs="宋体"/>
          <w:kern w:val="2"/>
          <w:sz w:val="21"/>
          <w:szCs w:val="21"/>
          <w:highlight w:val="none"/>
        </w:rPr>
        <w:t>含量测定的</w:t>
      </w:r>
      <w:r>
        <w:rPr>
          <w:rFonts w:hint="eastAsia" w:ascii="宋体" w:hAnsi="宋体" w:cs="宋体"/>
          <w:kern w:val="2"/>
          <w:sz w:val="21"/>
          <w:szCs w:val="21"/>
          <w:highlight w:val="none"/>
          <w:lang w:val="en-US" w:eastAsia="zh-CN"/>
        </w:rPr>
        <w:t>行业</w:t>
      </w:r>
      <w:r>
        <w:rPr>
          <w:rFonts w:hint="eastAsia" w:ascii="宋体" w:hAnsi="宋体" w:cs="宋体"/>
          <w:kern w:val="2"/>
          <w:sz w:val="21"/>
          <w:szCs w:val="21"/>
          <w:highlight w:val="none"/>
        </w:rPr>
        <w:t>标准分析方法。</w:t>
      </w:r>
    </w:p>
    <w:p w14:paraId="1470E50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宋体"/>
          <w:kern w:val="2"/>
          <w:sz w:val="21"/>
          <w:szCs w:val="21"/>
          <w:highlight w:val="none"/>
        </w:rPr>
      </w:pPr>
      <w:r>
        <w:rPr>
          <w:rFonts w:ascii="黑体" w:hAnsi="黑体" w:eastAsia="黑体" w:cs="宋体"/>
          <w:kern w:val="2"/>
          <w:sz w:val="21"/>
          <w:szCs w:val="21"/>
          <w:highlight w:val="none"/>
        </w:rPr>
        <w:t>2</w:t>
      </w:r>
      <w:r>
        <w:rPr>
          <w:rFonts w:hint="eastAsia" w:ascii="黑体" w:hAnsi="黑体" w:eastAsia="黑体" w:cs="宋体"/>
          <w:kern w:val="2"/>
          <w:sz w:val="21"/>
          <w:szCs w:val="21"/>
          <w:highlight w:val="none"/>
        </w:rPr>
        <w:t>.2 加标回收试验</w:t>
      </w:r>
    </w:p>
    <w:p w14:paraId="5C8BFFB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cs="Times New Roman"/>
          <w:kern w:val="2"/>
          <w:sz w:val="21"/>
          <w:szCs w:val="21"/>
          <w:highlight w:val="none"/>
        </w:rPr>
      </w:pPr>
      <w:r>
        <w:rPr>
          <w:rFonts w:cs="Times New Roman"/>
          <w:kern w:val="2"/>
          <w:sz w:val="21"/>
          <w:szCs w:val="21"/>
          <w:highlight w:val="none"/>
        </w:rPr>
        <w:t>试验选取</w:t>
      </w:r>
      <w:r>
        <w:rPr>
          <w:rFonts w:hint="eastAsia" w:cs="Times New Roman"/>
          <w:kern w:val="2"/>
          <w:sz w:val="21"/>
          <w:szCs w:val="21"/>
          <w:highlight w:val="none"/>
          <w:lang w:val="en-US" w:eastAsia="zh-CN"/>
        </w:rPr>
        <w:t>2</w:t>
      </w:r>
      <w:r>
        <w:rPr>
          <w:rFonts w:hint="eastAsia" w:cs="Times New Roman"/>
          <w:kern w:val="2"/>
          <w:sz w:val="21"/>
          <w:szCs w:val="21"/>
          <w:highlight w:val="none"/>
        </w:rPr>
        <w:t>#、</w:t>
      </w:r>
      <w:r>
        <w:rPr>
          <w:rFonts w:hint="eastAsia" w:cs="Times New Roman"/>
          <w:kern w:val="2"/>
          <w:sz w:val="21"/>
          <w:szCs w:val="21"/>
          <w:highlight w:val="none"/>
          <w:lang w:val="en-US" w:eastAsia="zh-CN"/>
        </w:rPr>
        <w:t>3</w:t>
      </w:r>
      <w:r>
        <w:rPr>
          <w:rFonts w:hint="eastAsia" w:cs="Times New Roman"/>
          <w:kern w:val="2"/>
          <w:sz w:val="21"/>
          <w:szCs w:val="21"/>
          <w:highlight w:val="none"/>
        </w:rPr>
        <w:t>#两个样品，加入不同含量的钢标样</w:t>
      </w:r>
      <w:r>
        <w:rPr>
          <w:rFonts w:cs="Times New Roman"/>
          <w:kern w:val="2"/>
          <w:sz w:val="21"/>
          <w:szCs w:val="21"/>
          <w:highlight w:val="none"/>
        </w:rPr>
        <w:t>，然后按分析步骤</w:t>
      </w:r>
      <w:r>
        <w:rPr>
          <w:rFonts w:hint="eastAsia" w:cs="Times New Roman"/>
          <w:kern w:val="2"/>
          <w:sz w:val="21"/>
          <w:szCs w:val="21"/>
          <w:highlight w:val="none"/>
        </w:rPr>
        <w:t>进行试验</w:t>
      </w:r>
      <w:r>
        <w:rPr>
          <w:rFonts w:cs="Times New Roman"/>
          <w:kern w:val="2"/>
          <w:sz w:val="21"/>
          <w:szCs w:val="21"/>
          <w:highlight w:val="none"/>
        </w:rPr>
        <w:t>，计算出元素的加标回收率。测定结果见表</w:t>
      </w:r>
      <w:r>
        <w:rPr>
          <w:rFonts w:hint="eastAsia" w:cs="Times New Roman"/>
          <w:kern w:val="2"/>
          <w:sz w:val="21"/>
          <w:szCs w:val="21"/>
          <w:highlight w:val="none"/>
          <w:lang w:val="en-US" w:eastAsia="zh-CN"/>
        </w:rPr>
        <w:t>9</w:t>
      </w:r>
      <w:r>
        <w:rPr>
          <w:rFonts w:cs="Times New Roman"/>
          <w:kern w:val="2"/>
          <w:sz w:val="21"/>
          <w:szCs w:val="21"/>
          <w:highlight w:val="none"/>
        </w:rPr>
        <w:t>。</w:t>
      </w:r>
    </w:p>
    <w:p w14:paraId="39E654C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黑体" w:hAnsi="黑体" w:eastAsia="黑体" w:cs="宋体"/>
          <w:kern w:val="2"/>
          <w:sz w:val="21"/>
          <w:szCs w:val="21"/>
          <w:highlight w:val="none"/>
        </w:rPr>
      </w:pPr>
      <w:r>
        <w:rPr>
          <w:rFonts w:hint="eastAsia" w:ascii="黑体" w:hAnsi="黑体" w:eastAsia="黑体" w:cs="宋体"/>
          <w:kern w:val="2"/>
          <w:sz w:val="21"/>
          <w:szCs w:val="21"/>
          <w:highlight w:val="none"/>
        </w:rPr>
        <w:t>表</w:t>
      </w:r>
      <w:r>
        <w:rPr>
          <w:rFonts w:hint="eastAsia" w:ascii="黑体" w:hAnsi="黑体" w:eastAsia="黑体" w:cs="宋体"/>
          <w:kern w:val="2"/>
          <w:sz w:val="21"/>
          <w:szCs w:val="21"/>
          <w:highlight w:val="none"/>
          <w:lang w:val="en-US" w:eastAsia="zh-CN"/>
        </w:rPr>
        <w:t>9</w:t>
      </w:r>
      <w:r>
        <w:rPr>
          <w:rFonts w:hint="eastAsia" w:ascii="黑体" w:hAnsi="黑体" w:eastAsia="黑体" w:cs="宋体"/>
          <w:kern w:val="2"/>
          <w:sz w:val="21"/>
          <w:szCs w:val="21"/>
          <w:highlight w:val="none"/>
        </w:rPr>
        <w:t xml:space="preserve"> 加标回收试验</w:t>
      </w:r>
    </w:p>
    <w:tbl>
      <w:tblPr>
        <w:tblStyle w:val="90"/>
        <w:tblW w:w="8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96"/>
        <w:gridCol w:w="776"/>
        <w:gridCol w:w="764"/>
        <w:gridCol w:w="829"/>
        <w:gridCol w:w="793"/>
        <w:gridCol w:w="843"/>
        <w:gridCol w:w="917"/>
        <w:gridCol w:w="878"/>
        <w:gridCol w:w="878"/>
        <w:gridCol w:w="853"/>
        <w:gridCol w:w="790"/>
      </w:tblGrid>
      <w:tr w14:paraId="1D43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8" w:hRule="atLeast"/>
          <w:jc w:val="center"/>
        </w:trPr>
        <w:tc>
          <w:tcPr>
            <w:tcW w:w="0" w:type="auto"/>
            <w:vMerge w:val="restart"/>
            <w:tcBorders>
              <w:top w:val="single" w:color="auto" w:sz="4" w:space="0"/>
              <w:left w:val="single" w:color="auto" w:sz="4" w:space="0"/>
              <w:right w:val="single" w:color="auto" w:sz="4" w:space="0"/>
            </w:tcBorders>
            <w:shd w:val="clear" w:color="auto" w:fill="auto"/>
            <w:vAlign w:val="center"/>
          </w:tcPr>
          <w:p w14:paraId="1EE2FF24">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b/>
                <w:bCs/>
                <w:sz w:val="18"/>
                <w:szCs w:val="18"/>
                <w:lang w:val="en-US" w:eastAsia="zh-CN"/>
              </w:rPr>
            </w:pPr>
            <w:r>
              <w:rPr>
                <w:rFonts w:hint="eastAsia" w:ascii="Times New Roman" w:hAnsi="Times New Roman" w:cs="Times New Roman"/>
                <w:b/>
                <w:bCs/>
                <w:sz w:val="18"/>
                <w:szCs w:val="18"/>
                <w:lang w:val="en-US" w:eastAsia="zh-CN"/>
              </w:rPr>
              <w:t>2#</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1E02CBE5">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称样量/g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68061D3D">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碳量/mg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24A15845">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硫量/mg</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9D3868">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both"/>
              <w:rPr>
                <w:rFonts w:hint="default" w:ascii="Times New Roman" w:hAnsi="Times New Roman" w:cs="Times New Roman"/>
                <w:b/>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钢标样</w:t>
            </w:r>
            <w:r>
              <w:rPr>
                <w:rFonts w:hint="eastAsia" w:ascii="Times New Roman" w:hAnsi="Times New Roman"/>
                <w:sz w:val="18"/>
                <w:szCs w:val="18"/>
                <w:lang w:val="en-US" w:eastAsia="zh-CN"/>
              </w:rPr>
              <w:t>（C:0.092%,S:0.121%）</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5EFEE660">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测得碳量/mg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7B2AEC97">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b/>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测得硫量/mg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4C52265A">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碳回收率/%</w:t>
            </w:r>
          </w:p>
        </w:tc>
        <w:tc>
          <w:tcPr>
            <w:tcW w:w="829" w:type="dxa"/>
            <w:vMerge w:val="restart"/>
            <w:tcBorders>
              <w:top w:val="single" w:color="auto" w:sz="4" w:space="0"/>
              <w:left w:val="single" w:color="auto" w:sz="4" w:space="0"/>
              <w:right w:val="single" w:color="auto" w:sz="4" w:space="0"/>
            </w:tcBorders>
            <w:shd w:val="clear" w:color="auto" w:fill="auto"/>
            <w:vAlign w:val="center"/>
          </w:tcPr>
          <w:p w14:paraId="0477D612">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b/>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硫回收率/%</w:t>
            </w:r>
          </w:p>
        </w:tc>
      </w:tr>
      <w:tr w14:paraId="2169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5" w:hRule="atLeast"/>
          <w:jc w:val="center"/>
        </w:trPr>
        <w:tc>
          <w:tcPr>
            <w:tcW w:w="0" w:type="auto"/>
            <w:vMerge w:val="continue"/>
            <w:tcBorders>
              <w:left w:val="single" w:color="auto" w:sz="4" w:space="0"/>
              <w:right w:val="single" w:color="auto" w:sz="4" w:space="0"/>
            </w:tcBorders>
            <w:shd w:val="clear" w:color="auto" w:fill="auto"/>
            <w:vAlign w:val="center"/>
          </w:tcPr>
          <w:p w14:paraId="16062C79">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bCs/>
                <w:sz w:val="18"/>
                <w:szCs w:val="18"/>
                <w:lang w:val="en-US"/>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37739686">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z w:val="18"/>
                <w:szCs w:val="18"/>
                <w:lang w:val="en-US"/>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0A67C12A">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z w:val="18"/>
                <w:szCs w:val="18"/>
                <w:lang w:val="en-US"/>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2B01ACE3">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z w:val="18"/>
                <w:szCs w:val="18"/>
                <w:lang w:val="en-US"/>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5A2CC6">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质量/g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D56EEF">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碳量/mg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F37ADE4">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b w:val="0"/>
                <w:bCs/>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硫量/mg</w:t>
            </w: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55315EA0">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6CD0D4BF">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7B68ED94">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p>
        </w:tc>
        <w:tc>
          <w:tcPr>
            <w:tcW w:w="829" w:type="dxa"/>
            <w:vMerge w:val="continue"/>
            <w:tcBorders>
              <w:left w:val="single" w:color="auto" w:sz="4" w:space="0"/>
              <w:bottom w:val="single" w:color="auto" w:sz="4" w:space="0"/>
              <w:right w:val="single" w:color="auto" w:sz="4" w:space="0"/>
            </w:tcBorders>
            <w:shd w:val="clear" w:color="auto" w:fill="auto"/>
            <w:vAlign w:val="center"/>
          </w:tcPr>
          <w:p w14:paraId="62C63475">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b/>
                <w:spacing w:val="6"/>
                <w:kern w:val="2"/>
                <w:sz w:val="18"/>
                <w:szCs w:val="18"/>
                <w:lang w:val="en-US" w:eastAsia="zh-CN" w:bidi="ar"/>
              </w:rPr>
            </w:pPr>
          </w:p>
        </w:tc>
      </w:tr>
      <w:tr w14:paraId="54F1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1" w:hRule="atLeast"/>
          <w:jc w:val="center"/>
        </w:trPr>
        <w:tc>
          <w:tcPr>
            <w:tcW w:w="0" w:type="auto"/>
            <w:vMerge w:val="continue"/>
            <w:tcBorders>
              <w:left w:val="single" w:color="auto" w:sz="4" w:space="0"/>
              <w:right w:val="single" w:color="auto" w:sz="4" w:space="0"/>
            </w:tcBorders>
            <w:shd w:val="clear" w:color="auto" w:fill="auto"/>
            <w:vAlign w:val="center"/>
          </w:tcPr>
          <w:p w14:paraId="61D51A74">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b/>
                <w:bCs/>
                <w:sz w:val="18"/>
                <w:szCs w:val="18"/>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24606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DAD852">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0.2415</w:t>
            </w:r>
          </w:p>
        </w:tc>
        <w:tc>
          <w:tcPr>
            <w:tcW w:w="0" w:type="auto"/>
            <w:tcBorders>
              <w:top w:val="single" w:color="auto" w:sz="4" w:space="0"/>
              <w:left w:val="single" w:color="auto" w:sz="4" w:space="0"/>
              <w:right w:val="single" w:color="auto" w:sz="4" w:space="0"/>
            </w:tcBorders>
            <w:shd w:val="clear" w:color="auto" w:fill="auto"/>
            <w:vAlign w:val="center"/>
          </w:tcPr>
          <w:p w14:paraId="2658F36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0.2455</w:t>
            </w:r>
          </w:p>
        </w:tc>
        <w:tc>
          <w:tcPr>
            <w:tcW w:w="0" w:type="auto"/>
            <w:tcBorders>
              <w:top w:val="single" w:color="auto" w:sz="4" w:space="0"/>
              <w:left w:val="single" w:color="auto" w:sz="4" w:space="0"/>
              <w:right w:val="single" w:color="auto" w:sz="4" w:space="0"/>
            </w:tcBorders>
            <w:shd w:val="clear" w:color="auto" w:fill="auto"/>
            <w:vAlign w:val="center"/>
          </w:tcPr>
          <w:p w14:paraId="5D621660">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0.1318</w:t>
            </w:r>
          </w:p>
        </w:tc>
        <w:tc>
          <w:tcPr>
            <w:tcW w:w="0" w:type="auto"/>
            <w:tcBorders>
              <w:top w:val="single" w:color="auto" w:sz="4" w:space="0"/>
              <w:left w:val="single" w:color="auto" w:sz="4" w:space="0"/>
              <w:right w:val="single" w:color="auto" w:sz="4" w:space="0"/>
            </w:tcBorders>
            <w:shd w:val="clear" w:color="auto" w:fill="auto"/>
            <w:vAlign w:val="center"/>
          </w:tcPr>
          <w:p w14:paraId="3141CB81">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0.1213</w:t>
            </w:r>
          </w:p>
        </w:tc>
        <w:tc>
          <w:tcPr>
            <w:tcW w:w="0" w:type="auto"/>
            <w:tcBorders>
              <w:top w:val="single" w:color="auto" w:sz="4" w:space="0"/>
              <w:left w:val="single" w:color="auto" w:sz="4" w:space="0"/>
              <w:right w:val="single" w:color="auto" w:sz="4" w:space="0"/>
            </w:tcBorders>
            <w:shd w:val="clear" w:color="auto" w:fill="auto"/>
            <w:vAlign w:val="center"/>
          </w:tcPr>
          <w:p w14:paraId="58A60EF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0.1595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060F9C">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0.3666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3648D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0.3976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BB12BCA">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103.13</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3BA0C8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95.36</w:t>
            </w:r>
          </w:p>
        </w:tc>
      </w:tr>
      <w:tr w14:paraId="35B8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0" w:type="auto"/>
            <w:vMerge w:val="continue"/>
            <w:tcBorders>
              <w:left w:val="single" w:color="auto" w:sz="4" w:space="0"/>
              <w:right w:val="single" w:color="auto" w:sz="4" w:space="0"/>
            </w:tcBorders>
            <w:shd w:val="clear" w:color="auto" w:fill="auto"/>
            <w:vAlign w:val="center"/>
          </w:tcPr>
          <w:p w14:paraId="2775AA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sz w:val="18"/>
                <w:szCs w:val="18"/>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41B2C5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0.5001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D67BB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0.2415</w:t>
            </w:r>
          </w:p>
        </w:tc>
        <w:tc>
          <w:tcPr>
            <w:tcW w:w="0" w:type="auto"/>
            <w:tcBorders>
              <w:left w:val="single" w:color="auto" w:sz="4" w:space="0"/>
              <w:right w:val="single" w:color="auto" w:sz="4" w:space="0"/>
            </w:tcBorders>
            <w:shd w:val="clear" w:color="auto" w:fill="auto"/>
            <w:vAlign w:val="center"/>
          </w:tcPr>
          <w:p w14:paraId="1D59989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0.2455</w:t>
            </w:r>
          </w:p>
        </w:tc>
        <w:tc>
          <w:tcPr>
            <w:tcW w:w="0" w:type="auto"/>
            <w:tcBorders>
              <w:left w:val="single" w:color="auto" w:sz="4" w:space="0"/>
              <w:bottom w:val="single" w:color="auto" w:sz="4" w:space="0"/>
              <w:right w:val="single" w:color="auto" w:sz="4" w:space="0"/>
            </w:tcBorders>
            <w:shd w:val="clear" w:color="auto" w:fill="auto"/>
            <w:vAlign w:val="center"/>
          </w:tcPr>
          <w:p w14:paraId="118CBB1A">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0.1316</w:t>
            </w:r>
          </w:p>
        </w:tc>
        <w:tc>
          <w:tcPr>
            <w:tcW w:w="0" w:type="auto"/>
            <w:tcBorders>
              <w:left w:val="single" w:color="auto" w:sz="4" w:space="0"/>
              <w:bottom w:val="single" w:color="auto" w:sz="4" w:space="0"/>
              <w:right w:val="single" w:color="auto" w:sz="4" w:space="0"/>
            </w:tcBorders>
            <w:shd w:val="clear" w:color="auto" w:fill="auto"/>
            <w:vAlign w:val="center"/>
          </w:tcPr>
          <w:p w14:paraId="1FD05AB0">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0.1211</w:t>
            </w:r>
          </w:p>
        </w:tc>
        <w:tc>
          <w:tcPr>
            <w:tcW w:w="0" w:type="auto"/>
            <w:tcBorders>
              <w:left w:val="single" w:color="auto" w:sz="4" w:space="0"/>
              <w:bottom w:val="single" w:color="auto" w:sz="4" w:space="0"/>
              <w:right w:val="single" w:color="auto" w:sz="4" w:space="0"/>
            </w:tcBorders>
            <w:shd w:val="clear" w:color="auto" w:fill="auto"/>
            <w:vAlign w:val="center"/>
          </w:tcPr>
          <w:p w14:paraId="70CE0CA4">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0.1592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49A892">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0.3661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E7A87A">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0.3996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40F4111">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102.89</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1462043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96.80</w:t>
            </w:r>
          </w:p>
        </w:tc>
      </w:tr>
      <w:tr w14:paraId="46C6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8" w:hRule="atLeast"/>
          <w:jc w:val="center"/>
        </w:trPr>
        <w:tc>
          <w:tcPr>
            <w:tcW w:w="0" w:type="auto"/>
            <w:vMerge w:val="restart"/>
            <w:tcBorders>
              <w:top w:val="single" w:color="auto" w:sz="4" w:space="0"/>
              <w:left w:val="single" w:color="auto" w:sz="4" w:space="0"/>
              <w:right w:val="single" w:color="auto" w:sz="4" w:space="0"/>
            </w:tcBorders>
            <w:shd w:val="clear" w:color="auto" w:fill="auto"/>
            <w:vAlign w:val="center"/>
          </w:tcPr>
          <w:p w14:paraId="0FB297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b/>
                <w:bCs/>
                <w:sz w:val="18"/>
                <w:szCs w:val="18"/>
                <w:lang w:val="en-US" w:eastAsia="zh-CN"/>
              </w:rPr>
            </w:pPr>
            <w:r>
              <w:rPr>
                <w:rFonts w:hint="eastAsia" w:ascii="Times New Roman" w:hAnsi="Times New Roman" w:cs="Times New Roman"/>
                <w:b/>
                <w:bCs/>
                <w:sz w:val="18"/>
                <w:szCs w:val="18"/>
                <w:lang w:val="en-US" w:eastAsia="zh-CN"/>
              </w:rPr>
              <w:t>3#</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6CEFE298">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z w:val="18"/>
                <w:szCs w:val="18"/>
                <w:lang w:val="en-US" w:eastAsia="zh-CN"/>
              </w:rPr>
            </w:pPr>
            <w:r>
              <w:rPr>
                <w:rFonts w:hint="eastAsia" w:ascii="Times New Roman" w:hAnsi="Times New Roman" w:cs="Times New Roman"/>
                <w:spacing w:val="6"/>
                <w:kern w:val="2"/>
                <w:sz w:val="18"/>
                <w:szCs w:val="18"/>
                <w:lang w:val="en-US" w:eastAsia="zh-CN" w:bidi="ar"/>
              </w:rPr>
              <w:t>称样量/g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5AE8D875">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rPr>
            </w:pPr>
            <w:r>
              <w:rPr>
                <w:rFonts w:hint="eastAsia" w:ascii="Times New Roman" w:hAnsi="Times New Roman" w:cs="Times New Roman"/>
                <w:spacing w:val="6"/>
                <w:kern w:val="2"/>
                <w:sz w:val="18"/>
                <w:szCs w:val="18"/>
                <w:lang w:val="en-US" w:eastAsia="zh-CN" w:bidi="ar"/>
              </w:rPr>
              <w:t>碳量/mg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3E938B57">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硫量/mg</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ABFA1B">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钢标样（C:3.36%,S:0.154%）</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25F25CE9">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b w:val="0"/>
                <w:bCs/>
                <w:spacing w:val="6"/>
                <w:kern w:val="2"/>
                <w:sz w:val="18"/>
                <w:szCs w:val="18"/>
                <w:lang w:val="en-US" w:eastAsia="zh-CN" w:bidi="ar"/>
              </w:rPr>
              <w:t>测得碳量/mg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40CA9EE4">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b w:val="0"/>
                <w:bCs/>
                <w:spacing w:val="6"/>
                <w:kern w:val="2"/>
                <w:sz w:val="18"/>
                <w:szCs w:val="18"/>
                <w:lang w:val="en-US" w:eastAsia="zh-CN" w:bidi="ar"/>
              </w:rPr>
              <w:t>测得硫量/mg</w:t>
            </w:r>
          </w:p>
        </w:tc>
        <w:tc>
          <w:tcPr>
            <w:tcW w:w="0" w:type="auto"/>
            <w:vMerge w:val="restart"/>
            <w:tcBorders>
              <w:top w:val="single" w:color="auto" w:sz="4" w:space="0"/>
              <w:left w:val="single" w:color="auto" w:sz="4" w:space="0"/>
              <w:right w:val="single" w:color="auto" w:sz="4" w:space="0"/>
            </w:tcBorders>
            <w:shd w:val="clear" w:color="auto" w:fill="auto"/>
            <w:vAlign w:val="center"/>
          </w:tcPr>
          <w:p w14:paraId="185E4665">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b w:val="0"/>
                <w:bCs/>
                <w:spacing w:val="6"/>
                <w:kern w:val="2"/>
                <w:sz w:val="18"/>
                <w:szCs w:val="18"/>
                <w:lang w:val="en-US" w:eastAsia="zh-CN" w:bidi="ar"/>
              </w:rPr>
              <w:t>碳回收率/%</w:t>
            </w:r>
          </w:p>
        </w:tc>
        <w:tc>
          <w:tcPr>
            <w:tcW w:w="829" w:type="dxa"/>
            <w:vMerge w:val="restart"/>
            <w:tcBorders>
              <w:top w:val="single" w:color="auto" w:sz="4" w:space="0"/>
              <w:left w:val="single" w:color="auto" w:sz="4" w:space="0"/>
              <w:right w:val="single" w:color="auto" w:sz="4" w:space="0"/>
            </w:tcBorders>
            <w:shd w:val="clear" w:color="auto" w:fill="auto"/>
            <w:vAlign w:val="center"/>
          </w:tcPr>
          <w:p w14:paraId="7ED83786">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b w:val="0"/>
                <w:bCs/>
                <w:spacing w:val="6"/>
                <w:kern w:val="2"/>
                <w:sz w:val="18"/>
                <w:szCs w:val="18"/>
                <w:lang w:val="en-US" w:eastAsia="zh-CN" w:bidi="ar"/>
              </w:rPr>
              <w:t>硫回收率/%</w:t>
            </w:r>
          </w:p>
        </w:tc>
      </w:tr>
      <w:tr w14:paraId="741F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left w:val="single" w:color="auto" w:sz="4" w:space="0"/>
              <w:right w:val="single" w:color="auto" w:sz="4" w:space="0"/>
            </w:tcBorders>
            <w:shd w:val="clear" w:color="auto" w:fill="auto"/>
            <w:vAlign w:val="center"/>
          </w:tcPr>
          <w:p w14:paraId="615013E1">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sz w:val="18"/>
                <w:szCs w:val="18"/>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1D84C1FF">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sz w:val="18"/>
                <w:szCs w:val="18"/>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4ACBF426">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sz w:val="18"/>
                <w:szCs w:val="18"/>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26712944">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sz w:val="18"/>
                <w:szCs w:val="18"/>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D2B1FB">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质量/g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1DB849">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碳量/mg</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696A9E">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r>
              <w:rPr>
                <w:rFonts w:hint="eastAsia" w:ascii="Times New Roman" w:hAnsi="Times New Roman" w:cs="Times New Roman"/>
                <w:b w:val="0"/>
                <w:bCs/>
                <w:spacing w:val="6"/>
                <w:kern w:val="2"/>
                <w:sz w:val="18"/>
                <w:szCs w:val="18"/>
                <w:lang w:val="en-US" w:eastAsia="zh-CN" w:bidi="ar"/>
              </w:rPr>
              <w:t>硫量/mg</w:t>
            </w: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00A349C7">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1912492E">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p>
        </w:tc>
        <w:tc>
          <w:tcPr>
            <w:tcW w:w="0" w:type="auto"/>
            <w:vMerge w:val="continue"/>
            <w:tcBorders>
              <w:left w:val="single" w:color="auto" w:sz="4" w:space="0"/>
              <w:bottom w:val="single" w:color="auto" w:sz="4" w:space="0"/>
              <w:right w:val="single" w:color="auto" w:sz="4" w:space="0"/>
            </w:tcBorders>
            <w:shd w:val="clear" w:color="auto" w:fill="auto"/>
            <w:vAlign w:val="center"/>
          </w:tcPr>
          <w:p w14:paraId="0C7ACC62">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p>
        </w:tc>
        <w:tc>
          <w:tcPr>
            <w:tcW w:w="829" w:type="dxa"/>
            <w:vMerge w:val="continue"/>
            <w:tcBorders>
              <w:left w:val="single" w:color="auto" w:sz="4" w:space="0"/>
              <w:bottom w:val="single" w:color="auto" w:sz="4" w:space="0"/>
              <w:right w:val="single" w:color="auto" w:sz="4" w:space="0"/>
            </w:tcBorders>
            <w:shd w:val="clear" w:color="auto" w:fill="auto"/>
            <w:vAlign w:val="center"/>
          </w:tcPr>
          <w:p w14:paraId="12241787">
            <w:pPr>
              <w:keepNext w:val="0"/>
              <w:keepLines w:val="0"/>
              <w:widowControl w:val="0"/>
              <w:suppressLineNumbers w:val="0"/>
              <w:adjustRightInd w:val="0"/>
              <w:snapToGrid w:val="0"/>
              <w:spacing w:before="50" w:beforeAutospacing="0" w:after="50" w:afterAutospacing="0" w:line="240" w:lineRule="auto"/>
              <w:ind w:left="0" w:leftChars="0" w:right="0" w:rightChars="0" w:firstLine="0" w:firstLineChars="0"/>
              <w:jc w:val="center"/>
              <w:rPr>
                <w:rFonts w:hint="eastAsia" w:ascii="Times New Roman" w:hAnsi="Times New Roman" w:cs="Times New Roman"/>
                <w:spacing w:val="6"/>
                <w:kern w:val="2"/>
                <w:sz w:val="18"/>
                <w:szCs w:val="18"/>
                <w:lang w:val="en-US" w:eastAsia="zh-CN" w:bidi="ar"/>
              </w:rPr>
            </w:pPr>
          </w:p>
        </w:tc>
      </w:tr>
      <w:tr w14:paraId="2DF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4" w:hRule="atLeast"/>
          <w:jc w:val="center"/>
        </w:trPr>
        <w:tc>
          <w:tcPr>
            <w:tcW w:w="0" w:type="auto"/>
            <w:vMerge w:val="continue"/>
            <w:tcBorders>
              <w:left w:val="single" w:color="auto" w:sz="4" w:space="0"/>
              <w:right w:val="single" w:color="auto" w:sz="4" w:space="0"/>
            </w:tcBorders>
            <w:shd w:val="clear" w:color="auto" w:fill="auto"/>
            <w:vAlign w:val="center"/>
          </w:tcPr>
          <w:p w14:paraId="3BDFFB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z w:val="18"/>
                <w:szCs w:val="18"/>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7FD7B6">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0.5000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A0D66E0">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1.025</w:t>
            </w:r>
          </w:p>
        </w:tc>
        <w:tc>
          <w:tcPr>
            <w:tcW w:w="0" w:type="auto"/>
            <w:tcBorders>
              <w:top w:val="single" w:color="auto" w:sz="4" w:space="0"/>
              <w:left w:val="single" w:color="auto" w:sz="4" w:space="0"/>
              <w:right w:val="single" w:color="auto" w:sz="4" w:space="0"/>
            </w:tcBorders>
            <w:shd w:val="clear" w:color="auto" w:fill="auto"/>
            <w:vAlign w:val="center"/>
          </w:tcPr>
          <w:p w14:paraId="5989C9E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0.04415</w:t>
            </w:r>
          </w:p>
        </w:tc>
        <w:tc>
          <w:tcPr>
            <w:tcW w:w="0" w:type="auto"/>
            <w:tcBorders>
              <w:top w:val="single" w:color="auto" w:sz="4" w:space="0"/>
              <w:left w:val="single" w:color="auto" w:sz="4" w:space="0"/>
              <w:right w:val="single" w:color="auto" w:sz="4" w:space="0"/>
            </w:tcBorders>
            <w:shd w:val="clear" w:color="auto" w:fill="auto"/>
            <w:vAlign w:val="center"/>
          </w:tcPr>
          <w:p w14:paraId="0AF6E867">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0.0156</w:t>
            </w:r>
          </w:p>
        </w:tc>
        <w:tc>
          <w:tcPr>
            <w:tcW w:w="0" w:type="auto"/>
            <w:tcBorders>
              <w:top w:val="single" w:color="auto" w:sz="4" w:space="0"/>
              <w:left w:val="single" w:color="auto" w:sz="4" w:space="0"/>
              <w:right w:val="single" w:color="auto" w:sz="4" w:space="0"/>
            </w:tcBorders>
            <w:shd w:val="clear" w:color="auto" w:fill="auto"/>
            <w:vAlign w:val="center"/>
          </w:tcPr>
          <w:p w14:paraId="396D00A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0.5242</w:t>
            </w:r>
          </w:p>
        </w:tc>
        <w:tc>
          <w:tcPr>
            <w:tcW w:w="0" w:type="auto"/>
            <w:tcBorders>
              <w:top w:val="single" w:color="auto" w:sz="4" w:space="0"/>
              <w:left w:val="single" w:color="auto" w:sz="4" w:space="0"/>
              <w:right w:val="single" w:color="auto" w:sz="4" w:space="0"/>
            </w:tcBorders>
            <w:shd w:val="clear" w:color="auto" w:fill="auto"/>
            <w:vAlign w:val="center"/>
          </w:tcPr>
          <w:p w14:paraId="592A2157">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0.02402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0094D1C">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1.540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80091CB">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0.0680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396847">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98.24</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58A14090">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99.29</w:t>
            </w:r>
          </w:p>
        </w:tc>
      </w:tr>
      <w:tr w14:paraId="1046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2" w:hRule="atLeast"/>
          <w:jc w:val="center"/>
        </w:trPr>
        <w:tc>
          <w:tcPr>
            <w:tcW w:w="396" w:type="dxa"/>
            <w:vMerge w:val="continue"/>
            <w:tcBorders>
              <w:left w:val="single" w:color="auto" w:sz="4" w:space="0"/>
              <w:right w:val="single" w:color="auto" w:sz="4" w:space="0"/>
            </w:tcBorders>
            <w:shd w:val="clear" w:color="auto" w:fill="auto"/>
            <w:vAlign w:val="center"/>
          </w:tcPr>
          <w:p w14:paraId="6CC6B1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p>
        </w:tc>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14:paraId="58942F1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0.5001</w:t>
            </w:r>
          </w:p>
        </w:tc>
        <w:tc>
          <w:tcPr>
            <w:tcW w:w="776" w:type="dxa"/>
            <w:tcBorders>
              <w:top w:val="single" w:color="auto" w:sz="4" w:space="0"/>
              <w:left w:val="single" w:color="auto" w:sz="4" w:space="0"/>
              <w:bottom w:val="single" w:color="auto" w:sz="4" w:space="0"/>
              <w:right w:val="single" w:color="auto" w:sz="4" w:space="0"/>
            </w:tcBorders>
            <w:shd w:val="clear" w:color="auto" w:fill="auto"/>
            <w:vAlign w:val="center"/>
          </w:tcPr>
          <w:p w14:paraId="322F8358">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2"/>
                <w:sz w:val="18"/>
                <w:szCs w:val="18"/>
                <w:lang w:val="en-US" w:eastAsia="zh-CN" w:bidi="ar"/>
              </w:rPr>
            </w:pPr>
            <w:r>
              <w:rPr>
                <w:rFonts w:hint="eastAsia" w:ascii="Times New Roman" w:hAnsi="Times New Roman" w:cs="Times New Roman"/>
                <w:kern w:val="2"/>
                <w:sz w:val="18"/>
                <w:szCs w:val="18"/>
                <w:lang w:val="en-US" w:eastAsia="zh-CN" w:bidi="ar"/>
              </w:rPr>
              <w:t>1.025</w:t>
            </w:r>
          </w:p>
        </w:tc>
        <w:tc>
          <w:tcPr>
            <w:tcW w:w="836" w:type="dxa"/>
            <w:tcBorders>
              <w:left w:val="single" w:color="auto" w:sz="4" w:space="0"/>
              <w:right w:val="single" w:color="auto" w:sz="4" w:space="0"/>
            </w:tcBorders>
            <w:shd w:val="clear" w:color="auto" w:fill="auto"/>
            <w:vAlign w:val="center"/>
          </w:tcPr>
          <w:p w14:paraId="4D8EE5DD">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2"/>
                <w:sz w:val="18"/>
                <w:szCs w:val="18"/>
                <w:lang w:val="en-US" w:eastAsia="zh-CN" w:bidi="ar"/>
              </w:rPr>
            </w:pPr>
            <w:r>
              <w:rPr>
                <w:rFonts w:hint="eastAsia" w:ascii="Times New Roman" w:hAnsi="Times New Roman" w:cs="Times New Roman"/>
                <w:kern w:val="2"/>
                <w:sz w:val="18"/>
                <w:szCs w:val="18"/>
                <w:lang w:val="en-US" w:eastAsia="zh-CN" w:bidi="ar"/>
              </w:rPr>
              <w:t>0.04416</w:t>
            </w:r>
          </w:p>
        </w:tc>
        <w:tc>
          <w:tcPr>
            <w:tcW w:w="733" w:type="dxa"/>
            <w:tcBorders>
              <w:left w:val="single" w:color="auto" w:sz="4" w:space="0"/>
              <w:bottom w:val="single" w:color="auto" w:sz="4" w:space="0"/>
              <w:right w:val="single" w:color="auto" w:sz="4" w:space="0"/>
            </w:tcBorders>
            <w:shd w:val="clear" w:color="auto" w:fill="auto"/>
            <w:vAlign w:val="center"/>
          </w:tcPr>
          <w:p w14:paraId="111F3104">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0.0151</w:t>
            </w:r>
          </w:p>
        </w:tc>
        <w:tc>
          <w:tcPr>
            <w:tcW w:w="787" w:type="dxa"/>
            <w:tcBorders>
              <w:left w:val="single" w:color="auto" w:sz="4" w:space="0"/>
              <w:bottom w:val="single" w:color="auto" w:sz="4" w:space="0"/>
              <w:right w:val="single" w:color="auto" w:sz="4" w:space="0"/>
            </w:tcBorders>
            <w:shd w:val="clear" w:color="auto" w:fill="auto"/>
            <w:vAlign w:val="center"/>
          </w:tcPr>
          <w:p w14:paraId="7E4B68BC">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0.5074</w:t>
            </w:r>
          </w:p>
        </w:tc>
        <w:tc>
          <w:tcPr>
            <w:tcW w:w="851" w:type="dxa"/>
            <w:tcBorders>
              <w:left w:val="single" w:color="auto" w:sz="4" w:space="0"/>
              <w:bottom w:val="single" w:color="auto" w:sz="4" w:space="0"/>
              <w:right w:val="single" w:color="auto" w:sz="4" w:space="0"/>
            </w:tcBorders>
            <w:shd w:val="clear" w:color="auto" w:fill="auto"/>
            <w:vAlign w:val="center"/>
          </w:tcPr>
          <w:p w14:paraId="40A3D349">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0.02325</w:t>
            </w:r>
          </w:p>
        </w:tc>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237C877F">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1.555</w:t>
            </w:r>
          </w:p>
        </w:tc>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6754AEB3">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0.0655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F114A35">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104.45</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14275A42">
            <w:pPr>
              <w:keepNext w:val="0"/>
              <w:keepLines w:val="0"/>
              <w:widowControl w:val="0"/>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91.78</w:t>
            </w:r>
          </w:p>
        </w:tc>
      </w:tr>
    </w:tbl>
    <w:p w14:paraId="4CCAFCFC">
      <w:pPr>
        <w:keepNext w:val="0"/>
        <w:keepLines w:val="0"/>
        <w:pageBreakBefore w:val="0"/>
        <w:widowControl/>
        <w:kinsoku/>
        <w:wordWrap/>
        <w:overflowPunct/>
        <w:topLinePunct w:val="0"/>
        <w:autoSpaceDE w:val="0"/>
        <w:autoSpaceDN w:val="0"/>
        <w:bidi w:val="0"/>
        <w:adjustRightInd/>
        <w:snapToGrid/>
        <w:spacing w:before="164" w:beforeLines="50" w:line="240" w:lineRule="auto"/>
        <w:ind w:firstLine="420" w:firstLineChars="200"/>
        <w:textAlignment w:val="auto"/>
        <w:rPr>
          <w:rFonts w:cs="Times New Roman"/>
          <w:sz w:val="21"/>
          <w:szCs w:val="21"/>
          <w:highlight w:val="none"/>
        </w:rPr>
      </w:pPr>
      <w:r>
        <w:rPr>
          <w:rFonts w:cs="Times New Roman"/>
          <w:sz w:val="21"/>
          <w:szCs w:val="21"/>
          <w:highlight w:val="none"/>
        </w:rPr>
        <w:t>由表</w:t>
      </w:r>
      <w:r>
        <w:rPr>
          <w:rFonts w:hint="eastAsia" w:cs="Times New Roman"/>
          <w:sz w:val="21"/>
          <w:szCs w:val="21"/>
          <w:highlight w:val="none"/>
          <w:lang w:val="en-US" w:eastAsia="zh-CN"/>
        </w:rPr>
        <w:t>9</w:t>
      </w:r>
      <w:r>
        <w:rPr>
          <w:rFonts w:cs="Times New Roman"/>
          <w:sz w:val="21"/>
          <w:szCs w:val="21"/>
          <w:highlight w:val="none"/>
        </w:rPr>
        <w:t>可以看出：</w:t>
      </w:r>
      <w:r>
        <w:rPr>
          <w:rFonts w:hint="eastAsia" w:cs="Times New Roman"/>
          <w:sz w:val="21"/>
          <w:szCs w:val="21"/>
          <w:highlight w:val="none"/>
        </w:rPr>
        <w:t>使用本方法</w:t>
      </w:r>
      <w:r>
        <w:rPr>
          <w:rFonts w:hint="eastAsia" w:cs="Times New Roman"/>
          <w:sz w:val="21"/>
          <w:szCs w:val="21"/>
          <w:highlight w:val="none"/>
          <w:lang w:val="en-US" w:eastAsia="zh-CN"/>
        </w:rPr>
        <w:t>碳</w:t>
      </w:r>
      <w:r>
        <w:rPr>
          <w:rFonts w:hint="eastAsia" w:cs="Times New Roman"/>
          <w:sz w:val="21"/>
          <w:szCs w:val="21"/>
          <w:highlight w:val="none"/>
        </w:rPr>
        <w:t>的回收率在98.24% ~ 104.45%之间，</w:t>
      </w:r>
      <w:r>
        <w:rPr>
          <w:rFonts w:hint="eastAsia" w:cs="Times New Roman"/>
          <w:sz w:val="21"/>
          <w:szCs w:val="21"/>
          <w:highlight w:val="none"/>
          <w:lang w:val="en-US" w:eastAsia="zh-CN"/>
        </w:rPr>
        <w:t>硫</w:t>
      </w:r>
      <w:r>
        <w:rPr>
          <w:rFonts w:hint="eastAsia" w:cs="Times New Roman"/>
          <w:sz w:val="21"/>
          <w:szCs w:val="21"/>
          <w:highlight w:val="none"/>
        </w:rPr>
        <w:t>的回收率在91.78%~99.29%之间，</w:t>
      </w:r>
      <w:r>
        <w:rPr>
          <w:rFonts w:cs="Times New Roman"/>
          <w:sz w:val="21"/>
          <w:szCs w:val="21"/>
          <w:highlight w:val="none"/>
        </w:rPr>
        <w:t>能够满足分析要求。</w:t>
      </w:r>
    </w:p>
    <w:p w14:paraId="470CF398">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黑体" w:eastAsia="黑体" w:cs="宋体"/>
          <w:kern w:val="2"/>
          <w:sz w:val="21"/>
          <w:szCs w:val="21"/>
          <w:highlight w:val="none"/>
        </w:rPr>
      </w:pPr>
      <w:bookmarkStart w:id="7" w:name="_Hlk99105411"/>
      <w:r>
        <w:rPr>
          <w:rFonts w:hint="eastAsia" w:ascii="黑体" w:hAnsi="黑体" w:eastAsia="黑体" w:cs="宋体"/>
          <w:kern w:val="2"/>
          <w:sz w:val="21"/>
          <w:szCs w:val="21"/>
          <w:highlight w:val="none"/>
        </w:rPr>
        <w:t>3 精密度数据处理</w:t>
      </w:r>
      <w:bookmarkEnd w:id="7"/>
    </w:p>
    <w:p w14:paraId="24F7AF0E">
      <w:pPr>
        <w:keepNext w:val="0"/>
        <w:keepLines w:val="0"/>
        <w:pageBreakBefore w:val="0"/>
        <w:widowControl w:val="0"/>
        <w:kinsoku/>
        <w:wordWrap/>
        <w:overflowPunct/>
        <w:topLinePunct w:val="0"/>
        <w:autoSpaceDE/>
        <w:autoSpaceDN/>
        <w:bidi w:val="0"/>
        <w:adjustRightInd/>
        <w:snapToGrid/>
        <w:spacing w:line="240" w:lineRule="auto"/>
        <w:textAlignment w:val="auto"/>
        <w:rPr>
          <w:rFonts w:ascii="黑体" w:hAnsi="黑体" w:eastAsia="黑体" w:cs="Times New Roman"/>
          <w:kern w:val="2"/>
          <w:sz w:val="21"/>
          <w:szCs w:val="21"/>
        </w:rPr>
      </w:pPr>
      <w:r>
        <w:rPr>
          <w:rFonts w:hint="eastAsia" w:ascii="黑体" w:hAnsi="黑体" w:eastAsia="黑体" w:cs="Times New Roman"/>
          <w:kern w:val="2"/>
          <w:sz w:val="21"/>
          <w:szCs w:val="21"/>
        </w:rPr>
        <w:t>3.1</w:t>
      </w:r>
      <w:r>
        <w:rPr>
          <w:rFonts w:ascii="黑体" w:hAnsi="黑体" w:eastAsia="黑体" w:cs="Times New Roman"/>
          <w:kern w:val="2"/>
          <w:sz w:val="21"/>
          <w:szCs w:val="21"/>
        </w:rPr>
        <w:t xml:space="preserve">  </w:t>
      </w:r>
      <w:r>
        <w:rPr>
          <w:rFonts w:hint="eastAsia" w:ascii="黑体" w:hAnsi="黑体" w:eastAsia="黑体" w:cs="Times New Roman"/>
          <w:kern w:val="2"/>
          <w:sz w:val="21"/>
          <w:szCs w:val="21"/>
        </w:rPr>
        <w:t>背景</w:t>
      </w:r>
    </w:p>
    <w:p w14:paraId="340FC96B">
      <w:pPr>
        <w:spacing w:line="240" w:lineRule="auto"/>
        <w:ind w:firstLine="420" w:firstLineChars="200"/>
        <w:jc w:val="left"/>
        <w:rPr>
          <w:rFonts w:cs="Times New Roman"/>
          <w:kern w:val="2"/>
          <w:sz w:val="21"/>
          <w:szCs w:val="21"/>
        </w:rPr>
      </w:pPr>
      <w:r>
        <w:rPr>
          <w:rFonts w:hint="eastAsia" w:cs="Times New Roman"/>
          <w:kern w:val="2"/>
          <w:sz w:val="21"/>
          <w:szCs w:val="21"/>
        </w:rPr>
        <w:t>为了确定《</w:t>
      </w:r>
      <w:r>
        <w:rPr>
          <w:rFonts w:hint="eastAsia" w:ascii="宋体" w:hAnsi="宋体" w:cs="Times New Roman"/>
          <w:kern w:val="2"/>
          <w:sz w:val="21"/>
          <w:szCs w:val="21"/>
          <w:lang w:val="en-US" w:eastAsia="zh-CN"/>
        </w:rPr>
        <w:t>钴</w:t>
      </w:r>
      <w:r>
        <w:rPr>
          <w:rFonts w:hint="eastAsia" w:ascii="宋体" w:hAnsi="宋体" w:cs="Times New Roman"/>
          <w:kern w:val="2"/>
          <w:sz w:val="21"/>
          <w:szCs w:val="21"/>
        </w:rPr>
        <w:t>化学分析方法 第</w:t>
      </w:r>
      <w:r>
        <w:rPr>
          <w:rFonts w:hint="eastAsia" w:ascii="宋体" w:hAnsi="宋体" w:cs="Times New Roman"/>
          <w:kern w:val="2"/>
          <w:sz w:val="21"/>
          <w:szCs w:val="21"/>
          <w:lang w:val="en-US" w:eastAsia="zh-CN"/>
        </w:rPr>
        <w:t>13</w:t>
      </w:r>
      <w:r>
        <w:rPr>
          <w:rFonts w:hint="eastAsia" w:ascii="宋体" w:hAnsi="宋体" w:cs="Times New Roman"/>
          <w:kern w:val="2"/>
          <w:sz w:val="21"/>
          <w:szCs w:val="21"/>
        </w:rPr>
        <w:t>部分：碳和硫含量的测定 高频感应炉燃烧红外吸收法</w:t>
      </w:r>
      <w:r>
        <w:rPr>
          <w:rFonts w:hint="eastAsia" w:cs="Times New Roman"/>
          <w:kern w:val="2"/>
          <w:sz w:val="21"/>
          <w:szCs w:val="21"/>
        </w:rPr>
        <w:t>》中</w:t>
      </w:r>
      <w:r>
        <w:rPr>
          <w:rFonts w:hint="eastAsia" w:cs="Times New Roman"/>
          <w:kern w:val="2"/>
          <w:sz w:val="21"/>
          <w:szCs w:val="21"/>
          <w:lang w:val="en-US" w:eastAsia="zh-CN"/>
        </w:rPr>
        <w:t>碳</w:t>
      </w:r>
      <w:r>
        <w:rPr>
          <w:rFonts w:hint="eastAsia" w:cs="Times New Roman"/>
          <w:kern w:val="2"/>
          <w:sz w:val="21"/>
          <w:szCs w:val="21"/>
        </w:rPr>
        <w:t>和</w:t>
      </w:r>
      <w:r>
        <w:rPr>
          <w:rFonts w:hint="eastAsia" w:cs="Times New Roman"/>
          <w:kern w:val="2"/>
          <w:sz w:val="21"/>
          <w:szCs w:val="21"/>
          <w:lang w:val="en-US" w:eastAsia="zh-CN"/>
        </w:rPr>
        <w:t>硫</w:t>
      </w:r>
      <w:r>
        <w:rPr>
          <w:rFonts w:hint="eastAsia" w:cs="Times New Roman"/>
          <w:kern w:val="2"/>
          <w:sz w:val="21"/>
          <w:szCs w:val="21"/>
        </w:rPr>
        <w:t>含量测定方法的重复性与再现性，</w:t>
      </w:r>
      <w:r>
        <w:rPr>
          <w:rFonts w:hint="eastAsia" w:cs="Times New Roman"/>
          <w:kern w:val="2"/>
          <w:sz w:val="21"/>
          <w:szCs w:val="21"/>
          <w:lang w:val="en-US" w:eastAsia="zh-CN"/>
        </w:rPr>
        <w:t>12</w:t>
      </w:r>
      <w:r>
        <w:rPr>
          <w:rFonts w:hint="eastAsia" w:cs="Times New Roman"/>
          <w:kern w:val="2"/>
          <w:sz w:val="21"/>
          <w:szCs w:val="21"/>
        </w:rPr>
        <w:t>个实验室对</w:t>
      </w:r>
      <w:r>
        <w:rPr>
          <w:rFonts w:hint="eastAsia" w:cs="Times New Roman"/>
          <w:kern w:val="2"/>
          <w:sz w:val="21"/>
          <w:szCs w:val="21"/>
          <w:lang w:val="en-US" w:eastAsia="zh-CN"/>
        </w:rPr>
        <w:t>3</w:t>
      </w:r>
      <w:r>
        <w:rPr>
          <w:rFonts w:hint="eastAsia" w:cs="Times New Roman"/>
          <w:kern w:val="2"/>
          <w:sz w:val="21"/>
          <w:szCs w:val="21"/>
        </w:rPr>
        <w:t>个水平的</w:t>
      </w:r>
      <w:r>
        <w:rPr>
          <w:rFonts w:hint="eastAsia" w:cs="Times New Roman"/>
          <w:kern w:val="2"/>
          <w:sz w:val="21"/>
          <w:szCs w:val="21"/>
          <w:lang w:val="en-US" w:eastAsia="zh-CN"/>
        </w:rPr>
        <w:t>钴</w:t>
      </w:r>
      <w:r>
        <w:rPr>
          <w:rFonts w:hint="eastAsia" w:cs="Times New Roman"/>
          <w:kern w:val="2"/>
          <w:sz w:val="21"/>
          <w:szCs w:val="21"/>
        </w:rPr>
        <w:t>样品进行了协同试验。根据国家标准</w:t>
      </w:r>
      <w:r>
        <w:rPr>
          <w:rFonts w:cs="Times New Roman"/>
          <w:kern w:val="2"/>
          <w:sz w:val="21"/>
          <w:szCs w:val="21"/>
        </w:rPr>
        <w:t>GB/T 6379.2-2004</w:t>
      </w:r>
      <w:r>
        <w:rPr>
          <w:rFonts w:hint="eastAsia" w:cs="Times New Roman"/>
          <w:kern w:val="2"/>
          <w:sz w:val="21"/>
          <w:szCs w:val="21"/>
        </w:rPr>
        <w:t>确定标准测量方法的重复性和再现性的基本方法（</w:t>
      </w:r>
      <w:r>
        <w:rPr>
          <w:rFonts w:cs="Times New Roman"/>
          <w:kern w:val="2"/>
          <w:sz w:val="21"/>
          <w:szCs w:val="21"/>
        </w:rPr>
        <w:t>ISO 5725-2</w:t>
      </w:r>
      <w:r>
        <w:rPr>
          <w:rFonts w:hint="eastAsia" w:cs="Times New Roman"/>
          <w:kern w:val="2"/>
          <w:sz w:val="21"/>
          <w:szCs w:val="21"/>
        </w:rPr>
        <w:t>：</w:t>
      </w:r>
      <w:r>
        <w:rPr>
          <w:rFonts w:cs="Times New Roman"/>
          <w:kern w:val="2"/>
          <w:sz w:val="21"/>
          <w:szCs w:val="21"/>
        </w:rPr>
        <w:t>1994</w:t>
      </w:r>
      <w:r>
        <w:rPr>
          <w:rFonts w:hint="eastAsia" w:cs="Times New Roman"/>
          <w:kern w:val="2"/>
          <w:sz w:val="21"/>
          <w:szCs w:val="21"/>
        </w:rPr>
        <w:t>，</w:t>
      </w:r>
      <w:r>
        <w:rPr>
          <w:rFonts w:cs="Times New Roman"/>
          <w:kern w:val="2"/>
          <w:sz w:val="21"/>
          <w:szCs w:val="21"/>
        </w:rPr>
        <w:t>IDT</w:t>
      </w:r>
      <w:r>
        <w:rPr>
          <w:rFonts w:hint="eastAsia" w:cs="Times New Roman"/>
          <w:kern w:val="2"/>
          <w:sz w:val="21"/>
          <w:szCs w:val="21"/>
        </w:rPr>
        <w:t>）的规定，对收到的全部数据进行了统计分析。</w:t>
      </w:r>
    </w:p>
    <w:p w14:paraId="11093B7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Times New Roman"/>
          <w:kern w:val="2"/>
          <w:sz w:val="21"/>
          <w:szCs w:val="21"/>
        </w:rPr>
      </w:pPr>
      <w:bookmarkStart w:id="8" w:name="_Hlk182959132"/>
      <w:r>
        <w:rPr>
          <w:rFonts w:hint="eastAsia" w:ascii="黑体" w:hAnsi="黑体" w:eastAsia="黑体" w:cs="Times New Roman"/>
          <w:kern w:val="2"/>
          <w:sz w:val="21"/>
          <w:szCs w:val="21"/>
        </w:rPr>
        <w:t>3.2  数据处理</w:t>
      </w:r>
      <w:bookmarkEnd w:id="8"/>
      <w:r>
        <w:rPr>
          <w:rFonts w:hint="eastAsia" w:ascii="黑体" w:hAnsi="黑体" w:eastAsia="黑体" w:cs="Times New Roman"/>
          <w:kern w:val="2"/>
          <w:sz w:val="21"/>
          <w:szCs w:val="21"/>
        </w:rPr>
        <w:t xml:space="preserve"> </w:t>
      </w:r>
    </w:p>
    <w:p w14:paraId="59AFFCF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eastAsia="黑体" w:cs="Times New Roman"/>
          <w:b w:val="0"/>
          <w:bCs/>
          <w:kern w:val="2"/>
          <w:sz w:val="21"/>
          <w:szCs w:val="21"/>
        </w:rPr>
      </w:pPr>
      <w:r>
        <w:rPr>
          <w:rFonts w:hint="eastAsia" w:ascii="黑体" w:eastAsia="黑体" w:cs="Times New Roman"/>
          <w:b w:val="0"/>
          <w:bCs/>
          <w:kern w:val="2"/>
          <w:sz w:val="21"/>
          <w:szCs w:val="21"/>
        </w:rPr>
        <w:t>3.2.1实验室编号</w:t>
      </w:r>
    </w:p>
    <w:p w14:paraId="72E5562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黑体" w:hAnsi="黑体" w:eastAsia="黑体" w:cs="宋体"/>
          <w:kern w:val="2"/>
          <w:sz w:val="21"/>
          <w:szCs w:val="21"/>
          <w:highlight w:val="none"/>
        </w:rPr>
      </w:pPr>
      <w:r>
        <w:rPr>
          <w:rFonts w:hint="eastAsia" w:ascii="黑体" w:hAnsi="黑体" w:eastAsia="黑体" w:cs="宋体"/>
          <w:kern w:val="2"/>
          <w:sz w:val="21"/>
          <w:szCs w:val="21"/>
          <w:highlight w:val="none"/>
        </w:rPr>
        <w:t>表1</w:t>
      </w:r>
      <w:r>
        <w:rPr>
          <w:rFonts w:hint="eastAsia" w:ascii="黑体" w:hAnsi="黑体" w:eastAsia="黑体" w:cs="宋体"/>
          <w:kern w:val="2"/>
          <w:sz w:val="21"/>
          <w:szCs w:val="21"/>
          <w:highlight w:val="none"/>
          <w:lang w:val="en-US" w:eastAsia="zh-CN"/>
        </w:rPr>
        <w:t>0</w:t>
      </w:r>
      <w:r>
        <w:rPr>
          <w:rFonts w:hint="eastAsia" w:ascii="黑体" w:hAnsi="黑体" w:eastAsia="黑体" w:cs="宋体"/>
          <w:kern w:val="2"/>
          <w:sz w:val="21"/>
          <w:szCs w:val="21"/>
          <w:highlight w:val="none"/>
        </w:rPr>
        <w:t xml:space="preserve"> 起草、验证单位名称</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6911"/>
      </w:tblGrid>
      <w:tr w14:paraId="5E3F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45D3D2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kern w:val="2"/>
                <w:sz w:val="18"/>
                <w:szCs w:val="18"/>
              </w:rPr>
            </w:pPr>
            <w:r>
              <w:rPr>
                <w:rFonts w:hint="eastAsia" w:cs="Times New Roman"/>
                <w:kern w:val="2"/>
                <w:sz w:val="18"/>
                <w:szCs w:val="18"/>
              </w:rPr>
              <w:t>实验室编号</w:t>
            </w:r>
          </w:p>
        </w:tc>
        <w:tc>
          <w:tcPr>
            <w:tcW w:w="3962" w:type="pct"/>
          </w:tcPr>
          <w:p w14:paraId="60A5E63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cs="Times New Roman"/>
                <w:kern w:val="2"/>
                <w:sz w:val="18"/>
                <w:szCs w:val="18"/>
              </w:rPr>
            </w:pPr>
            <w:r>
              <w:rPr>
                <w:rFonts w:hint="eastAsia" w:cs="Times New Roman"/>
                <w:kern w:val="2"/>
                <w:sz w:val="18"/>
                <w:szCs w:val="18"/>
              </w:rPr>
              <w:t>起草、验证单位名称</w:t>
            </w:r>
          </w:p>
        </w:tc>
      </w:tr>
      <w:tr w14:paraId="148F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3427BE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1</w:t>
            </w:r>
          </w:p>
        </w:tc>
        <w:tc>
          <w:tcPr>
            <w:tcW w:w="3962" w:type="pct"/>
          </w:tcPr>
          <w:p w14:paraId="762D389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北矿检测技术股份有限公司</w:t>
            </w:r>
          </w:p>
        </w:tc>
      </w:tr>
      <w:tr w14:paraId="6268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3094B7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2</w:t>
            </w:r>
          </w:p>
        </w:tc>
        <w:tc>
          <w:tcPr>
            <w:tcW w:w="3962" w:type="pct"/>
          </w:tcPr>
          <w:p w14:paraId="21F3B42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金川集团股份有限公司</w:t>
            </w:r>
          </w:p>
        </w:tc>
      </w:tr>
      <w:tr w14:paraId="0CE7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39FC13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3</w:t>
            </w:r>
          </w:p>
        </w:tc>
        <w:tc>
          <w:tcPr>
            <w:tcW w:w="3962" w:type="pct"/>
          </w:tcPr>
          <w:p w14:paraId="1777C62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浙江华友钴业股份有限公司</w:t>
            </w:r>
          </w:p>
        </w:tc>
      </w:tr>
      <w:tr w14:paraId="0426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415434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4</w:t>
            </w:r>
          </w:p>
        </w:tc>
        <w:tc>
          <w:tcPr>
            <w:tcW w:w="3962" w:type="pct"/>
          </w:tcPr>
          <w:p w14:paraId="6552AA9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格林美股份有限公司</w:t>
            </w:r>
          </w:p>
        </w:tc>
      </w:tr>
      <w:tr w14:paraId="3F39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54CEF6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5</w:t>
            </w:r>
          </w:p>
        </w:tc>
        <w:tc>
          <w:tcPr>
            <w:tcW w:w="3962" w:type="pct"/>
          </w:tcPr>
          <w:p w14:paraId="045D1F1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国标（北京）检验认证有限公司</w:t>
            </w:r>
          </w:p>
        </w:tc>
      </w:tr>
      <w:tr w14:paraId="6DE9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418326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6</w:t>
            </w:r>
          </w:p>
        </w:tc>
        <w:tc>
          <w:tcPr>
            <w:tcW w:w="3962" w:type="pct"/>
          </w:tcPr>
          <w:p w14:paraId="6817888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大冶有色设计研究院有限公司</w:t>
            </w:r>
          </w:p>
        </w:tc>
      </w:tr>
      <w:tr w14:paraId="1E71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28CB42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kern w:val="2"/>
                <w:sz w:val="18"/>
                <w:szCs w:val="18"/>
              </w:rPr>
            </w:pPr>
            <w:r>
              <w:rPr>
                <w:rFonts w:hint="eastAsia" w:cs="Times New Roman"/>
                <w:kern w:val="2"/>
                <w:sz w:val="18"/>
                <w:szCs w:val="18"/>
              </w:rPr>
              <w:t>7</w:t>
            </w:r>
          </w:p>
        </w:tc>
        <w:tc>
          <w:tcPr>
            <w:tcW w:w="3962" w:type="pct"/>
          </w:tcPr>
          <w:p w14:paraId="36F13F6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中国检验认证集团广西有限公司</w:t>
            </w:r>
          </w:p>
        </w:tc>
      </w:tr>
      <w:tr w14:paraId="0C17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2BB59D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8</w:t>
            </w:r>
          </w:p>
        </w:tc>
        <w:tc>
          <w:tcPr>
            <w:tcW w:w="3962" w:type="pct"/>
          </w:tcPr>
          <w:p w14:paraId="67E5FD5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国和通用（青岛）测试评价有限公司</w:t>
            </w:r>
          </w:p>
        </w:tc>
      </w:tr>
      <w:tr w14:paraId="63C0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03B773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kern w:val="2"/>
                <w:sz w:val="18"/>
                <w:szCs w:val="18"/>
              </w:rPr>
            </w:pPr>
            <w:r>
              <w:rPr>
                <w:rFonts w:hint="eastAsia" w:cs="Times New Roman"/>
                <w:kern w:val="2"/>
                <w:sz w:val="18"/>
                <w:szCs w:val="18"/>
              </w:rPr>
              <w:t>9</w:t>
            </w:r>
          </w:p>
        </w:tc>
        <w:tc>
          <w:tcPr>
            <w:tcW w:w="3962" w:type="pct"/>
          </w:tcPr>
          <w:p w14:paraId="4E7721D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中国有色桂林矿产地质研究院有限公司</w:t>
            </w:r>
          </w:p>
        </w:tc>
      </w:tr>
      <w:tr w14:paraId="775D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2D786E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kern w:val="2"/>
                <w:sz w:val="18"/>
                <w:szCs w:val="18"/>
              </w:rPr>
            </w:pPr>
            <w:r>
              <w:rPr>
                <w:rFonts w:hint="eastAsia" w:cs="Times New Roman"/>
                <w:kern w:val="2"/>
                <w:sz w:val="18"/>
                <w:szCs w:val="18"/>
              </w:rPr>
              <w:t>10</w:t>
            </w:r>
          </w:p>
        </w:tc>
        <w:tc>
          <w:tcPr>
            <w:tcW w:w="3962" w:type="pct"/>
          </w:tcPr>
          <w:p w14:paraId="6526AE3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山东恒邦冶炼股份有限公司</w:t>
            </w:r>
          </w:p>
        </w:tc>
      </w:tr>
      <w:tr w14:paraId="1C4A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472191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kern w:val="2"/>
                <w:sz w:val="18"/>
                <w:szCs w:val="18"/>
              </w:rPr>
            </w:pPr>
            <w:r>
              <w:rPr>
                <w:rFonts w:hint="eastAsia" w:cs="Times New Roman"/>
                <w:kern w:val="2"/>
                <w:sz w:val="18"/>
                <w:szCs w:val="18"/>
              </w:rPr>
              <w:t>11</w:t>
            </w:r>
          </w:p>
        </w:tc>
        <w:tc>
          <w:tcPr>
            <w:tcW w:w="3962" w:type="pct"/>
          </w:tcPr>
          <w:p w14:paraId="7FC0E07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酒泉钢铁（集团）有限责任公司</w:t>
            </w:r>
          </w:p>
        </w:tc>
      </w:tr>
      <w:tr w14:paraId="4AC7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pct"/>
          </w:tcPr>
          <w:p w14:paraId="2E2B52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Times New Roman"/>
                <w:kern w:val="2"/>
                <w:sz w:val="18"/>
                <w:szCs w:val="18"/>
              </w:rPr>
            </w:pPr>
            <w:r>
              <w:rPr>
                <w:rFonts w:hint="eastAsia" w:cs="Times New Roman"/>
                <w:kern w:val="2"/>
                <w:sz w:val="18"/>
                <w:szCs w:val="18"/>
              </w:rPr>
              <w:t>12</w:t>
            </w:r>
          </w:p>
        </w:tc>
        <w:tc>
          <w:tcPr>
            <w:tcW w:w="3962" w:type="pct"/>
          </w:tcPr>
          <w:p w14:paraId="7E5ED55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cs="Times New Roman"/>
                <w:kern w:val="2"/>
                <w:sz w:val="18"/>
                <w:szCs w:val="18"/>
              </w:rPr>
            </w:pPr>
            <w:r>
              <w:rPr>
                <w:rFonts w:hint="eastAsia" w:cs="Times New Roman"/>
                <w:kern w:val="2"/>
                <w:sz w:val="18"/>
                <w:szCs w:val="18"/>
              </w:rPr>
              <w:t>有研亿金新材料有限公司</w:t>
            </w:r>
          </w:p>
        </w:tc>
      </w:tr>
    </w:tbl>
    <w:p w14:paraId="18632D94">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w:t>
      </w:r>
      <w:r>
        <w:rPr>
          <w:rFonts w:hint="eastAsia" w:ascii="黑体" w:hAnsi="Times New Roman" w:eastAsia="黑体" w:cs="Times New Roman"/>
          <w:b w:val="0"/>
          <w:bCs/>
          <w:kern w:val="2"/>
          <w:sz w:val="21"/>
          <w:szCs w:val="21"/>
          <w:lang w:val="en-US" w:eastAsia="zh-CN"/>
        </w:rPr>
        <w:t>碳</w:t>
      </w:r>
      <w:r>
        <w:rPr>
          <w:rFonts w:hint="eastAsia" w:ascii="黑体" w:eastAsia="黑体" w:cs="Times New Roman"/>
          <w:b w:val="0"/>
          <w:bCs/>
          <w:kern w:val="2"/>
          <w:sz w:val="21"/>
          <w:szCs w:val="21"/>
          <w:lang w:val="en-US" w:eastAsia="zh-CN"/>
        </w:rPr>
        <w:t>和硫</w:t>
      </w:r>
      <w:r>
        <w:rPr>
          <w:rFonts w:hint="eastAsia" w:ascii="黑体" w:hAnsi="Times New Roman" w:eastAsia="黑体" w:cs="Times New Roman"/>
          <w:b w:val="0"/>
          <w:bCs/>
          <w:kern w:val="2"/>
          <w:sz w:val="21"/>
          <w:szCs w:val="21"/>
        </w:rPr>
        <w:t>的原始数据及统计结果</w:t>
      </w:r>
    </w:p>
    <w:p w14:paraId="105609C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3.2.2.1各实验室的</w:t>
      </w:r>
      <w:r>
        <w:rPr>
          <w:rFonts w:hint="eastAsia" w:ascii="黑体" w:eastAsia="黑体" w:cs="Times New Roman"/>
          <w:b w:val="0"/>
          <w:bCs/>
          <w:kern w:val="2"/>
          <w:sz w:val="21"/>
          <w:szCs w:val="21"/>
          <w:lang w:val="en-US" w:eastAsia="zh-CN"/>
        </w:rPr>
        <w:t>碳和硫</w:t>
      </w:r>
      <w:r>
        <w:rPr>
          <w:rFonts w:hint="eastAsia" w:ascii="黑体" w:hAnsi="Times New Roman" w:eastAsia="黑体" w:cs="Times New Roman"/>
          <w:b w:val="0"/>
          <w:bCs/>
          <w:kern w:val="2"/>
          <w:sz w:val="21"/>
          <w:szCs w:val="21"/>
        </w:rPr>
        <w:t>原始数据</w:t>
      </w:r>
    </w:p>
    <w:p w14:paraId="12B4688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黑体" w:hAnsi="黑体" w:eastAsia="黑体" w:cs="宋体"/>
          <w:kern w:val="2"/>
          <w:sz w:val="21"/>
          <w:szCs w:val="21"/>
          <w:highlight w:val="none"/>
        </w:rPr>
      </w:pPr>
      <w:r>
        <w:rPr>
          <w:rFonts w:hint="eastAsia" w:ascii="黑体" w:hAnsi="黑体" w:eastAsia="黑体" w:cs="宋体"/>
          <w:kern w:val="2"/>
          <w:sz w:val="21"/>
          <w:szCs w:val="21"/>
          <w:highlight w:val="none"/>
        </w:rPr>
        <w:t>表1</w:t>
      </w:r>
      <w:r>
        <w:rPr>
          <w:rFonts w:hint="eastAsia" w:ascii="黑体" w:hAnsi="黑体" w:eastAsia="黑体" w:cs="宋体"/>
          <w:kern w:val="2"/>
          <w:sz w:val="21"/>
          <w:szCs w:val="21"/>
          <w:highlight w:val="none"/>
          <w:lang w:val="en-US" w:eastAsia="zh-CN"/>
        </w:rPr>
        <w:t>1</w:t>
      </w:r>
      <w:r>
        <w:rPr>
          <w:rFonts w:hint="eastAsia" w:ascii="黑体" w:hAnsi="黑体" w:eastAsia="黑体" w:cs="宋体"/>
          <w:kern w:val="2"/>
          <w:sz w:val="21"/>
          <w:szCs w:val="21"/>
          <w:highlight w:val="none"/>
        </w:rPr>
        <w:t xml:space="preserve"> 各实验室的</w:t>
      </w:r>
      <w:r>
        <w:rPr>
          <w:rFonts w:hint="eastAsia" w:ascii="黑体" w:hAnsi="黑体" w:eastAsia="黑体" w:cs="宋体"/>
          <w:kern w:val="2"/>
          <w:sz w:val="21"/>
          <w:szCs w:val="21"/>
          <w:highlight w:val="none"/>
          <w:lang w:val="en-US" w:eastAsia="zh-CN"/>
        </w:rPr>
        <w:t>碳和硫</w:t>
      </w:r>
      <w:r>
        <w:rPr>
          <w:rFonts w:hint="eastAsia" w:ascii="黑体" w:hAnsi="黑体" w:eastAsia="黑体" w:cs="宋体"/>
          <w:kern w:val="2"/>
          <w:sz w:val="21"/>
          <w:szCs w:val="21"/>
          <w:highlight w:val="none"/>
        </w:rPr>
        <w:t>原始数据</w:t>
      </w:r>
    </w:p>
    <w:tbl>
      <w:tblPr>
        <w:tblStyle w:val="89"/>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862"/>
        <w:gridCol w:w="1036"/>
        <w:gridCol w:w="1178"/>
        <w:gridCol w:w="1137"/>
        <w:gridCol w:w="1206"/>
        <w:gridCol w:w="1233"/>
        <w:gridCol w:w="1274"/>
      </w:tblGrid>
      <w:tr w14:paraId="60B0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31" w:type="pct"/>
            <w:vMerge w:val="restart"/>
            <w:vAlign w:val="center"/>
          </w:tcPr>
          <w:p w14:paraId="385AFC5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实验室</w:t>
            </w:r>
          </w:p>
        </w:tc>
        <w:tc>
          <w:tcPr>
            <w:tcW w:w="496" w:type="pct"/>
            <w:vMerge w:val="restart"/>
            <w:vAlign w:val="center"/>
          </w:tcPr>
          <w:p w14:paraId="0D97545A">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hint="eastAsia" w:cs="Times New Roman"/>
                <w:kern w:val="2"/>
                <w:sz w:val="18"/>
                <w:szCs w:val="18"/>
              </w:rPr>
              <w:t>独立测定次数</w:t>
            </w:r>
          </w:p>
        </w:tc>
        <w:tc>
          <w:tcPr>
            <w:tcW w:w="1931" w:type="pct"/>
            <w:gridSpan w:val="3"/>
            <w:vAlign w:val="center"/>
          </w:tcPr>
          <w:p w14:paraId="7B6ED9BF">
            <w:pPr>
              <w:keepNext w:val="0"/>
              <w:keepLines w:val="0"/>
              <w:pageBreakBefore w:val="0"/>
              <w:kinsoku/>
              <w:wordWrap/>
              <w:overflowPunct/>
              <w:topLinePunct w:val="0"/>
              <w:autoSpaceDE/>
              <w:autoSpaceDN/>
              <w:bidi w:val="0"/>
              <w:adjustRightInd/>
              <w:snapToGrid/>
              <w:spacing w:line="240" w:lineRule="auto"/>
              <w:jc w:val="center"/>
              <w:rPr>
                <w:rFonts w:hint="default" w:eastAsia="宋体" w:cs="Times New Roman"/>
                <w:b/>
                <w:bCs/>
                <w:kern w:val="2"/>
                <w:sz w:val="18"/>
                <w:szCs w:val="18"/>
                <w:lang w:val="en-US" w:eastAsia="zh-CN"/>
              </w:rPr>
            </w:pPr>
            <w:r>
              <w:rPr>
                <w:rFonts w:ascii="Times New Roman Regular" w:hAnsi="Times New Roman Regular" w:cs="Times New Roman Regular"/>
                <w:i/>
                <w:iCs/>
                <w:kern w:val="2"/>
                <w:sz w:val="18"/>
                <w:szCs w:val="18"/>
              </w:rPr>
              <w:t>w</w:t>
            </w:r>
            <w:r>
              <w:rPr>
                <w:rFonts w:hint="eastAsia" w:cs="Times New Roman"/>
                <w:b/>
                <w:bCs/>
                <w:kern w:val="2"/>
                <w:sz w:val="18"/>
                <w:szCs w:val="18"/>
                <w:vertAlign w:val="subscript"/>
                <w:lang w:val="en-US" w:eastAsia="zh-CN"/>
              </w:rPr>
              <w:t>C</w:t>
            </w:r>
            <w:r>
              <w:rPr>
                <w:rFonts w:hint="eastAsia" w:cs="Times New Roman"/>
                <w:b/>
                <w:bCs/>
                <w:kern w:val="2"/>
                <w:sz w:val="18"/>
                <w:szCs w:val="18"/>
                <w:lang w:val="en-US" w:eastAsia="zh-CN"/>
              </w:rPr>
              <w:t>(%)</w:t>
            </w:r>
          </w:p>
        </w:tc>
        <w:tc>
          <w:tcPr>
            <w:tcW w:w="2140" w:type="pct"/>
            <w:gridSpan w:val="3"/>
            <w:vAlign w:val="center"/>
          </w:tcPr>
          <w:p w14:paraId="60C85904">
            <w:pPr>
              <w:keepNext w:val="0"/>
              <w:keepLines w:val="0"/>
              <w:pageBreakBefore w:val="0"/>
              <w:kinsoku/>
              <w:wordWrap/>
              <w:overflowPunct/>
              <w:topLinePunct w:val="0"/>
              <w:autoSpaceDE/>
              <w:autoSpaceDN/>
              <w:bidi w:val="0"/>
              <w:adjustRightInd/>
              <w:snapToGrid/>
              <w:spacing w:line="240" w:lineRule="auto"/>
              <w:jc w:val="center"/>
              <w:rPr>
                <w:rFonts w:hint="default" w:eastAsia="宋体" w:cs="Times New Roman"/>
                <w:b/>
                <w:bCs/>
                <w:kern w:val="2"/>
                <w:sz w:val="18"/>
                <w:szCs w:val="18"/>
                <w:lang w:val="en-US" w:eastAsia="zh-CN"/>
              </w:rPr>
            </w:pPr>
            <w:r>
              <w:rPr>
                <w:rFonts w:ascii="Times New Roman Regular" w:hAnsi="Times New Roman Regular" w:cs="Times New Roman Regular"/>
                <w:i/>
                <w:iCs/>
                <w:kern w:val="2"/>
                <w:sz w:val="18"/>
                <w:szCs w:val="18"/>
              </w:rPr>
              <w:t>w</w:t>
            </w:r>
            <w:r>
              <w:rPr>
                <w:rFonts w:hint="eastAsia" w:cs="Times New Roman"/>
                <w:b/>
                <w:bCs/>
                <w:kern w:val="2"/>
                <w:sz w:val="18"/>
                <w:szCs w:val="18"/>
                <w:vertAlign w:val="subscript"/>
                <w:lang w:val="en-US" w:eastAsia="zh-CN"/>
              </w:rPr>
              <w:t>S</w:t>
            </w:r>
            <w:r>
              <w:rPr>
                <w:rFonts w:hint="eastAsia" w:cs="Times New Roman"/>
                <w:b/>
                <w:bCs/>
                <w:kern w:val="2"/>
                <w:sz w:val="18"/>
                <w:szCs w:val="18"/>
                <w:lang w:val="en-US" w:eastAsia="zh-CN"/>
              </w:rPr>
              <w:t>(%)</w:t>
            </w:r>
          </w:p>
        </w:tc>
      </w:tr>
      <w:tr w14:paraId="0F9E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31" w:type="pct"/>
            <w:vMerge w:val="continue"/>
            <w:vAlign w:val="center"/>
          </w:tcPr>
          <w:p w14:paraId="1AFD3B28">
            <w:pPr>
              <w:keepNext w:val="0"/>
              <w:keepLines w:val="0"/>
              <w:pageBreakBefore w:val="0"/>
              <w:kinsoku/>
              <w:wordWrap/>
              <w:overflowPunct/>
              <w:topLinePunct w:val="0"/>
              <w:autoSpaceDE/>
              <w:autoSpaceDN/>
              <w:bidi w:val="0"/>
              <w:adjustRightInd/>
              <w:snapToGrid/>
              <w:spacing w:line="240" w:lineRule="auto"/>
              <w:ind w:firstLine="361" w:firstLineChars="200"/>
              <w:jc w:val="center"/>
              <w:rPr>
                <w:rFonts w:cs="Times New Roman"/>
                <w:b/>
                <w:bCs/>
                <w:kern w:val="2"/>
                <w:sz w:val="18"/>
                <w:szCs w:val="18"/>
              </w:rPr>
            </w:pPr>
          </w:p>
        </w:tc>
        <w:tc>
          <w:tcPr>
            <w:tcW w:w="496" w:type="pct"/>
            <w:vMerge w:val="continue"/>
            <w:vAlign w:val="center"/>
          </w:tcPr>
          <w:p w14:paraId="1A6DE3B5">
            <w:pPr>
              <w:keepNext w:val="0"/>
              <w:keepLines w:val="0"/>
              <w:pageBreakBefore w:val="0"/>
              <w:kinsoku/>
              <w:wordWrap/>
              <w:overflowPunct/>
              <w:topLinePunct w:val="0"/>
              <w:autoSpaceDE/>
              <w:autoSpaceDN/>
              <w:bidi w:val="0"/>
              <w:adjustRightInd/>
              <w:snapToGrid/>
              <w:spacing w:line="240" w:lineRule="auto"/>
              <w:ind w:firstLine="361" w:firstLineChars="200"/>
              <w:jc w:val="center"/>
              <w:rPr>
                <w:rFonts w:cs="Times New Roman"/>
                <w:b/>
                <w:bCs/>
                <w:kern w:val="2"/>
                <w:sz w:val="18"/>
                <w:szCs w:val="18"/>
              </w:rPr>
            </w:pPr>
          </w:p>
        </w:tc>
        <w:tc>
          <w:tcPr>
            <w:tcW w:w="597" w:type="pct"/>
            <w:vAlign w:val="center"/>
          </w:tcPr>
          <w:p w14:paraId="5ADA6EB3">
            <w:pPr>
              <w:keepNext w:val="0"/>
              <w:keepLines w:val="0"/>
              <w:pageBreakBefore w:val="0"/>
              <w:kinsoku/>
              <w:wordWrap/>
              <w:overflowPunct/>
              <w:topLinePunct w:val="0"/>
              <w:autoSpaceDE/>
              <w:autoSpaceDN/>
              <w:bidi w:val="0"/>
              <w:adjustRightInd/>
              <w:snapToGrid/>
              <w:spacing w:line="240" w:lineRule="auto"/>
              <w:jc w:val="center"/>
              <w:rPr>
                <w:rFonts w:hint="eastAsia" w:eastAsia="宋体" w:cs="Times New Roman"/>
                <w:kern w:val="2"/>
                <w:sz w:val="18"/>
                <w:szCs w:val="18"/>
                <w:lang w:val="en-US" w:eastAsia="zh-CN"/>
              </w:rPr>
            </w:pPr>
            <w:r>
              <w:rPr>
                <w:rFonts w:cs="Times New Roman"/>
                <w:kern w:val="2"/>
                <w:sz w:val="18"/>
                <w:szCs w:val="18"/>
              </w:rPr>
              <w:t>1</w:t>
            </w:r>
          </w:p>
        </w:tc>
        <w:tc>
          <w:tcPr>
            <w:tcW w:w="678" w:type="pct"/>
            <w:vAlign w:val="center"/>
          </w:tcPr>
          <w:p w14:paraId="1912908A">
            <w:pPr>
              <w:keepNext w:val="0"/>
              <w:keepLines w:val="0"/>
              <w:pageBreakBefore w:val="0"/>
              <w:kinsoku/>
              <w:wordWrap/>
              <w:overflowPunct/>
              <w:topLinePunct w:val="0"/>
              <w:autoSpaceDE/>
              <w:autoSpaceDN/>
              <w:bidi w:val="0"/>
              <w:adjustRightInd/>
              <w:snapToGrid/>
              <w:spacing w:line="240" w:lineRule="auto"/>
              <w:jc w:val="center"/>
              <w:rPr>
                <w:rFonts w:hint="eastAsia" w:eastAsia="宋体" w:cs="Times New Roman"/>
                <w:kern w:val="2"/>
                <w:sz w:val="18"/>
                <w:szCs w:val="18"/>
                <w:lang w:val="en-US" w:eastAsia="zh-CN"/>
              </w:rPr>
            </w:pPr>
            <w:r>
              <w:rPr>
                <w:rFonts w:cs="Times New Roman"/>
                <w:kern w:val="2"/>
                <w:sz w:val="18"/>
                <w:szCs w:val="18"/>
              </w:rPr>
              <w:t>2</w:t>
            </w:r>
          </w:p>
        </w:tc>
        <w:tc>
          <w:tcPr>
            <w:tcW w:w="655" w:type="pct"/>
            <w:vAlign w:val="center"/>
          </w:tcPr>
          <w:p w14:paraId="6EEDE3B0">
            <w:pPr>
              <w:keepNext w:val="0"/>
              <w:keepLines w:val="0"/>
              <w:pageBreakBefore w:val="0"/>
              <w:kinsoku/>
              <w:wordWrap/>
              <w:overflowPunct/>
              <w:topLinePunct w:val="0"/>
              <w:autoSpaceDE/>
              <w:autoSpaceDN/>
              <w:bidi w:val="0"/>
              <w:adjustRightInd/>
              <w:snapToGrid/>
              <w:spacing w:line="240" w:lineRule="auto"/>
              <w:jc w:val="center"/>
              <w:rPr>
                <w:rFonts w:hint="eastAsia" w:eastAsia="宋体" w:cs="Times New Roman"/>
                <w:kern w:val="2"/>
                <w:sz w:val="18"/>
                <w:szCs w:val="18"/>
                <w:lang w:val="en-US" w:eastAsia="zh-CN"/>
              </w:rPr>
            </w:pPr>
            <w:r>
              <w:rPr>
                <w:rFonts w:cs="Times New Roman"/>
                <w:kern w:val="2"/>
                <w:sz w:val="18"/>
                <w:szCs w:val="18"/>
              </w:rPr>
              <w:t>3</w:t>
            </w:r>
          </w:p>
        </w:tc>
        <w:tc>
          <w:tcPr>
            <w:tcW w:w="695" w:type="pct"/>
            <w:vAlign w:val="center"/>
          </w:tcPr>
          <w:p w14:paraId="57BDC783">
            <w:pPr>
              <w:keepNext w:val="0"/>
              <w:keepLines w:val="0"/>
              <w:pageBreakBefore w:val="0"/>
              <w:kinsoku/>
              <w:wordWrap/>
              <w:overflowPunct/>
              <w:topLinePunct w:val="0"/>
              <w:autoSpaceDE/>
              <w:autoSpaceDN/>
              <w:bidi w:val="0"/>
              <w:adjustRightInd/>
              <w:snapToGrid/>
              <w:spacing w:line="240"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1</w:t>
            </w:r>
          </w:p>
        </w:tc>
        <w:tc>
          <w:tcPr>
            <w:tcW w:w="710" w:type="pct"/>
            <w:vAlign w:val="center"/>
          </w:tcPr>
          <w:p w14:paraId="52F93743">
            <w:pPr>
              <w:keepNext w:val="0"/>
              <w:keepLines w:val="0"/>
              <w:pageBreakBefore w:val="0"/>
              <w:kinsoku/>
              <w:wordWrap/>
              <w:overflowPunct/>
              <w:topLinePunct w:val="0"/>
              <w:autoSpaceDE/>
              <w:autoSpaceDN/>
              <w:bidi w:val="0"/>
              <w:adjustRightInd/>
              <w:snapToGrid/>
              <w:spacing w:line="240"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2</w:t>
            </w:r>
          </w:p>
        </w:tc>
        <w:tc>
          <w:tcPr>
            <w:tcW w:w="734" w:type="pct"/>
            <w:vAlign w:val="center"/>
          </w:tcPr>
          <w:p w14:paraId="2304837B">
            <w:pPr>
              <w:keepNext w:val="0"/>
              <w:keepLines w:val="0"/>
              <w:pageBreakBefore w:val="0"/>
              <w:kinsoku/>
              <w:wordWrap/>
              <w:overflowPunct/>
              <w:topLinePunct w:val="0"/>
              <w:autoSpaceDE/>
              <w:autoSpaceDN/>
              <w:bidi w:val="0"/>
              <w:adjustRightInd/>
              <w:snapToGrid/>
              <w:spacing w:line="240"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3</w:t>
            </w:r>
          </w:p>
        </w:tc>
      </w:tr>
      <w:tr w14:paraId="5C36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177C0DB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496" w:type="pct"/>
            <w:vAlign w:val="center"/>
          </w:tcPr>
          <w:p w14:paraId="7D1B7E27">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38F84C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0.00456 </w:t>
            </w:r>
          </w:p>
        </w:tc>
        <w:tc>
          <w:tcPr>
            <w:tcW w:w="678" w:type="pct"/>
            <w:vAlign w:val="center"/>
          </w:tcPr>
          <w:p w14:paraId="0D851A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0.0479</w:t>
            </w:r>
          </w:p>
        </w:tc>
        <w:tc>
          <w:tcPr>
            <w:tcW w:w="655" w:type="pct"/>
            <w:vAlign w:val="center"/>
          </w:tcPr>
          <w:p w14:paraId="4D951E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695" w:type="pct"/>
            <w:vAlign w:val="center"/>
          </w:tcPr>
          <w:p w14:paraId="3934CC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0.000261 </w:t>
            </w:r>
          </w:p>
        </w:tc>
        <w:tc>
          <w:tcPr>
            <w:tcW w:w="710" w:type="pct"/>
            <w:vAlign w:val="center"/>
          </w:tcPr>
          <w:p w14:paraId="57D683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0.0483</w:t>
            </w:r>
          </w:p>
        </w:tc>
        <w:tc>
          <w:tcPr>
            <w:tcW w:w="734" w:type="pct"/>
            <w:vAlign w:val="center"/>
          </w:tcPr>
          <w:p w14:paraId="39D9C8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0.00836</w:t>
            </w:r>
          </w:p>
        </w:tc>
      </w:tr>
      <w:tr w14:paraId="6FD3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29E1E4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DC66881">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751B9F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0.00466 </w:t>
            </w:r>
          </w:p>
        </w:tc>
        <w:tc>
          <w:tcPr>
            <w:tcW w:w="678" w:type="pct"/>
            <w:vAlign w:val="center"/>
          </w:tcPr>
          <w:p w14:paraId="0D875B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655" w:type="pct"/>
            <w:vAlign w:val="center"/>
          </w:tcPr>
          <w:p w14:paraId="035A1C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695" w:type="pct"/>
            <w:vAlign w:val="center"/>
          </w:tcPr>
          <w:p w14:paraId="721FDC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0.000209 </w:t>
            </w:r>
          </w:p>
        </w:tc>
        <w:tc>
          <w:tcPr>
            <w:tcW w:w="710" w:type="pct"/>
            <w:vAlign w:val="center"/>
          </w:tcPr>
          <w:p w14:paraId="0A8C62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0.0505</w:t>
            </w:r>
          </w:p>
        </w:tc>
        <w:tc>
          <w:tcPr>
            <w:tcW w:w="734" w:type="pct"/>
            <w:vAlign w:val="center"/>
          </w:tcPr>
          <w:p w14:paraId="53DE61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0.00885</w:t>
            </w:r>
          </w:p>
        </w:tc>
      </w:tr>
      <w:tr w14:paraId="57CA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53704D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D8BECC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67FABE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0.00472 </w:t>
            </w:r>
          </w:p>
        </w:tc>
        <w:tc>
          <w:tcPr>
            <w:tcW w:w="678" w:type="pct"/>
            <w:vAlign w:val="center"/>
          </w:tcPr>
          <w:p w14:paraId="77D78C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0.0459</w:t>
            </w:r>
          </w:p>
        </w:tc>
        <w:tc>
          <w:tcPr>
            <w:tcW w:w="655" w:type="pct"/>
            <w:vAlign w:val="center"/>
          </w:tcPr>
          <w:p w14:paraId="7CD214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695" w:type="pct"/>
            <w:vAlign w:val="center"/>
          </w:tcPr>
          <w:p w14:paraId="7604CA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0.000190 </w:t>
            </w:r>
          </w:p>
        </w:tc>
        <w:tc>
          <w:tcPr>
            <w:tcW w:w="710" w:type="pct"/>
            <w:vAlign w:val="center"/>
          </w:tcPr>
          <w:p w14:paraId="2976C6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0.0503</w:t>
            </w:r>
          </w:p>
        </w:tc>
        <w:tc>
          <w:tcPr>
            <w:tcW w:w="734" w:type="pct"/>
            <w:vAlign w:val="center"/>
          </w:tcPr>
          <w:p w14:paraId="189F5C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0.00848</w:t>
            </w:r>
          </w:p>
        </w:tc>
      </w:tr>
      <w:tr w14:paraId="1C82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9A9F420">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7787F9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3F781B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0.00468 </w:t>
            </w:r>
          </w:p>
        </w:tc>
        <w:tc>
          <w:tcPr>
            <w:tcW w:w="678" w:type="pct"/>
            <w:vAlign w:val="center"/>
          </w:tcPr>
          <w:p w14:paraId="1C3833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0.0474</w:t>
            </w:r>
          </w:p>
        </w:tc>
        <w:tc>
          <w:tcPr>
            <w:tcW w:w="655" w:type="pct"/>
            <w:vAlign w:val="center"/>
          </w:tcPr>
          <w:p w14:paraId="1D61CD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0.207</w:t>
            </w:r>
          </w:p>
        </w:tc>
        <w:tc>
          <w:tcPr>
            <w:tcW w:w="695" w:type="pct"/>
            <w:vAlign w:val="center"/>
          </w:tcPr>
          <w:p w14:paraId="0AD7C0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0.000368 </w:t>
            </w:r>
          </w:p>
        </w:tc>
        <w:tc>
          <w:tcPr>
            <w:tcW w:w="710" w:type="pct"/>
            <w:vAlign w:val="center"/>
          </w:tcPr>
          <w:p w14:paraId="2519E9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734" w:type="pct"/>
            <w:vAlign w:val="center"/>
          </w:tcPr>
          <w:p w14:paraId="65CBD9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0.00898</w:t>
            </w:r>
          </w:p>
        </w:tc>
      </w:tr>
      <w:tr w14:paraId="3DD6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50871B8">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6A9DAE7">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64B74A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0.00420</w:t>
            </w:r>
            <w:r>
              <w:rPr>
                <w:rFonts w:hint="eastAsia" w:ascii="Times New Roman" w:hAnsi="Times New Roman" w:eastAsia="宋体" w:cs="Times New Roman"/>
                <w:i w:val="0"/>
                <w:iCs w:val="0"/>
                <w:color w:val="000000"/>
                <w:kern w:val="0"/>
                <w:sz w:val="18"/>
                <w:szCs w:val="18"/>
                <w:u w:val="none"/>
                <w:lang w:val="en-US" w:eastAsia="zh-CN" w:bidi="ar"/>
              </w:rPr>
              <w:t xml:space="preserve"> </w:t>
            </w:r>
            <w:r>
              <w:rPr>
                <w:rFonts w:hint="eastAsia" w:cs="Times New Roman"/>
                <w:kern w:val="2"/>
                <w:sz w:val="18"/>
                <w:szCs w:val="18"/>
              </w:rPr>
              <w:t>*</w:t>
            </w:r>
          </w:p>
        </w:tc>
        <w:tc>
          <w:tcPr>
            <w:tcW w:w="678" w:type="pct"/>
            <w:vAlign w:val="center"/>
          </w:tcPr>
          <w:p w14:paraId="0F2A6E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0.0492</w:t>
            </w:r>
          </w:p>
        </w:tc>
        <w:tc>
          <w:tcPr>
            <w:tcW w:w="655" w:type="pct"/>
            <w:vAlign w:val="center"/>
          </w:tcPr>
          <w:p w14:paraId="4EAF21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695" w:type="pct"/>
            <w:vAlign w:val="center"/>
          </w:tcPr>
          <w:p w14:paraId="183A9C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0.000337 </w:t>
            </w:r>
          </w:p>
        </w:tc>
        <w:tc>
          <w:tcPr>
            <w:tcW w:w="710" w:type="pct"/>
            <w:vAlign w:val="center"/>
          </w:tcPr>
          <w:p w14:paraId="5DFA22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0.0472</w:t>
            </w:r>
          </w:p>
        </w:tc>
        <w:tc>
          <w:tcPr>
            <w:tcW w:w="734" w:type="pct"/>
            <w:vAlign w:val="center"/>
          </w:tcPr>
          <w:p w14:paraId="11F1B5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0.00906</w:t>
            </w:r>
          </w:p>
        </w:tc>
      </w:tr>
      <w:tr w14:paraId="05D9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5637F020">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080F261">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46D392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0.00457 </w:t>
            </w:r>
          </w:p>
        </w:tc>
        <w:tc>
          <w:tcPr>
            <w:tcW w:w="678" w:type="pct"/>
            <w:vAlign w:val="center"/>
          </w:tcPr>
          <w:p w14:paraId="78637A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0.0504</w:t>
            </w:r>
          </w:p>
        </w:tc>
        <w:tc>
          <w:tcPr>
            <w:tcW w:w="655" w:type="pct"/>
            <w:vAlign w:val="center"/>
          </w:tcPr>
          <w:p w14:paraId="19A3D5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0.208</w:t>
            </w:r>
          </w:p>
        </w:tc>
        <w:tc>
          <w:tcPr>
            <w:tcW w:w="695" w:type="pct"/>
            <w:vAlign w:val="center"/>
          </w:tcPr>
          <w:p w14:paraId="79C493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0.000298 </w:t>
            </w:r>
          </w:p>
        </w:tc>
        <w:tc>
          <w:tcPr>
            <w:tcW w:w="710" w:type="pct"/>
            <w:vAlign w:val="center"/>
          </w:tcPr>
          <w:p w14:paraId="7FFF77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734" w:type="pct"/>
            <w:vAlign w:val="center"/>
          </w:tcPr>
          <w:p w14:paraId="04EAC9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0.00896</w:t>
            </w:r>
          </w:p>
        </w:tc>
      </w:tr>
      <w:tr w14:paraId="26C2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7E2685A">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2F5ED9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783BC1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0.00453 </w:t>
            </w:r>
          </w:p>
        </w:tc>
        <w:tc>
          <w:tcPr>
            <w:tcW w:w="678" w:type="pct"/>
            <w:vAlign w:val="center"/>
          </w:tcPr>
          <w:p w14:paraId="1C2DF6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655" w:type="pct"/>
            <w:vAlign w:val="center"/>
          </w:tcPr>
          <w:p w14:paraId="60702F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c>
          <w:tcPr>
            <w:tcW w:w="695" w:type="pct"/>
            <w:vAlign w:val="center"/>
          </w:tcPr>
          <w:p w14:paraId="67687F5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0.000342 </w:t>
            </w:r>
          </w:p>
        </w:tc>
        <w:tc>
          <w:tcPr>
            <w:tcW w:w="710" w:type="pct"/>
            <w:vAlign w:val="center"/>
          </w:tcPr>
          <w:p w14:paraId="139CEE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734" w:type="pct"/>
            <w:vAlign w:val="center"/>
          </w:tcPr>
          <w:p w14:paraId="6C6DE1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0.00913</w:t>
            </w:r>
          </w:p>
        </w:tc>
      </w:tr>
      <w:tr w14:paraId="054A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6ADBDA8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496" w:type="pct"/>
            <w:vAlign w:val="center"/>
          </w:tcPr>
          <w:p w14:paraId="7192EA0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4593C4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0.00480 </w:t>
            </w:r>
          </w:p>
        </w:tc>
        <w:tc>
          <w:tcPr>
            <w:tcW w:w="678" w:type="pct"/>
            <w:vAlign w:val="center"/>
          </w:tcPr>
          <w:p w14:paraId="526DB2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0.0475</w:t>
            </w:r>
          </w:p>
        </w:tc>
        <w:tc>
          <w:tcPr>
            <w:tcW w:w="655" w:type="pct"/>
            <w:vAlign w:val="center"/>
          </w:tcPr>
          <w:p w14:paraId="77D2A0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0.197 </w:t>
            </w:r>
          </w:p>
        </w:tc>
        <w:tc>
          <w:tcPr>
            <w:tcW w:w="695" w:type="pct"/>
            <w:vAlign w:val="center"/>
          </w:tcPr>
          <w:p w14:paraId="511DDD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0.000528</w:t>
            </w:r>
            <w:r>
              <w:rPr>
                <w:rFonts w:cs="Times New Roman"/>
                <w:kern w:val="2"/>
                <w:sz w:val="18"/>
                <w:szCs w:val="18"/>
              </w:rPr>
              <w:t>**</w:t>
            </w:r>
          </w:p>
        </w:tc>
        <w:tc>
          <w:tcPr>
            <w:tcW w:w="710" w:type="pct"/>
            <w:vAlign w:val="center"/>
          </w:tcPr>
          <w:p w14:paraId="40E07C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0.0427</w:t>
            </w:r>
            <w:r>
              <w:rPr>
                <w:rFonts w:cs="Times New Roman"/>
                <w:kern w:val="2"/>
                <w:sz w:val="18"/>
                <w:szCs w:val="18"/>
              </w:rPr>
              <w:t>*</w:t>
            </w:r>
          </w:p>
        </w:tc>
        <w:tc>
          <w:tcPr>
            <w:tcW w:w="734" w:type="pct"/>
            <w:vAlign w:val="center"/>
          </w:tcPr>
          <w:p w14:paraId="14EDA9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0.00768</w:t>
            </w:r>
          </w:p>
        </w:tc>
      </w:tr>
      <w:tr w14:paraId="3A62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4EEDE3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09BBCF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499984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0.00430 </w:t>
            </w:r>
          </w:p>
        </w:tc>
        <w:tc>
          <w:tcPr>
            <w:tcW w:w="678" w:type="pct"/>
            <w:vAlign w:val="center"/>
          </w:tcPr>
          <w:p w14:paraId="442F7B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0.0501</w:t>
            </w:r>
          </w:p>
        </w:tc>
        <w:tc>
          <w:tcPr>
            <w:tcW w:w="655" w:type="pct"/>
            <w:vAlign w:val="center"/>
          </w:tcPr>
          <w:p w14:paraId="602A25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695" w:type="pct"/>
            <w:vAlign w:val="center"/>
          </w:tcPr>
          <w:p w14:paraId="75D490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0.000633</w:t>
            </w:r>
            <w:r>
              <w:rPr>
                <w:rFonts w:cs="Times New Roman"/>
                <w:kern w:val="2"/>
                <w:sz w:val="18"/>
                <w:szCs w:val="18"/>
              </w:rPr>
              <w:t>**</w:t>
            </w:r>
          </w:p>
        </w:tc>
        <w:tc>
          <w:tcPr>
            <w:tcW w:w="710" w:type="pct"/>
            <w:vAlign w:val="center"/>
          </w:tcPr>
          <w:p w14:paraId="1CDA3C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0.0488</w:t>
            </w:r>
            <w:r>
              <w:rPr>
                <w:rFonts w:cs="Times New Roman"/>
                <w:kern w:val="2"/>
                <w:sz w:val="18"/>
                <w:szCs w:val="18"/>
              </w:rPr>
              <w:t>*</w:t>
            </w:r>
          </w:p>
        </w:tc>
        <w:tc>
          <w:tcPr>
            <w:tcW w:w="734" w:type="pct"/>
            <w:vAlign w:val="center"/>
          </w:tcPr>
          <w:p w14:paraId="6C48B6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0.00819</w:t>
            </w:r>
          </w:p>
        </w:tc>
      </w:tr>
      <w:tr w14:paraId="130C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109E393">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1BC412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3652F8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0.00410 </w:t>
            </w:r>
          </w:p>
        </w:tc>
        <w:tc>
          <w:tcPr>
            <w:tcW w:w="678" w:type="pct"/>
            <w:vAlign w:val="center"/>
          </w:tcPr>
          <w:p w14:paraId="44BF10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0.0442</w:t>
            </w:r>
          </w:p>
        </w:tc>
        <w:tc>
          <w:tcPr>
            <w:tcW w:w="655" w:type="pct"/>
            <w:vAlign w:val="center"/>
          </w:tcPr>
          <w:p w14:paraId="024EC4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0.192 </w:t>
            </w:r>
          </w:p>
        </w:tc>
        <w:tc>
          <w:tcPr>
            <w:tcW w:w="695" w:type="pct"/>
            <w:vAlign w:val="center"/>
          </w:tcPr>
          <w:p w14:paraId="74467E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0.000608</w:t>
            </w:r>
            <w:r>
              <w:rPr>
                <w:rFonts w:cs="Times New Roman"/>
                <w:kern w:val="2"/>
                <w:sz w:val="18"/>
                <w:szCs w:val="18"/>
              </w:rPr>
              <w:t>**</w:t>
            </w:r>
          </w:p>
        </w:tc>
        <w:tc>
          <w:tcPr>
            <w:tcW w:w="710" w:type="pct"/>
            <w:vAlign w:val="center"/>
          </w:tcPr>
          <w:p w14:paraId="4BF9B4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0.0411</w:t>
            </w:r>
            <w:r>
              <w:rPr>
                <w:rFonts w:cs="Times New Roman"/>
                <w:kern w:val="2"/>
                <w:sz w:val="18"/>
                <w:szCs w:val="18"/>
              </w:rPr>
              <w:t>*</w:t>
            </w:r>
          </w:p>
        </w:tc>
        <w:tc>
          <w:tcPr>
            <w:tcW w:w="734" w:type="pct"/>
            <w:vAlign w:val="center"/>
          </w:tcPr>
          <w:p w14:paraId="5B39B2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0.00789</w:t>
            </w:r>
          </w:p>
        </w:tc>
      </w:tr>
      <w:tr w14:paraId="5948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485F1F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D763FD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7D3B11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0.00490 </w:t>
            </w:r>
          </w:p>
        </w:tc>
        <w:tc>
          <w:tcPr>
            <w:tcW w:w="678" w:type="pct"/>
            <w:vAlign w:val="center"/>
          </w:tcPr>
          <w:p w14:paraId="1AC6BD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0.0452</w:t>
            </w:r>
          </w:p>
        </w:tc>
        <w:tc>
          <w:tcPr>
            <w:tcW w:w="655" w:type="pct"/>
            <w:vAlign w:val="center"/>
          </w:tcPr>
          <w:p w14:paraId="3E730D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0.194 </w:t>
            </w:r>
          </w:p>
        </w:tc>
        <w:tc>
          <w:tcPr>
            <w:tcW w:w="695" w:type="pct"/>
            <w:vAlign w:val="center"/>
          </w:tcPr>
          <w:p w14:paraId="13C347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0.000558</w:t>
            </w:r>
            <w:r>
              <w:rPr>
                <w:rFonts w:cs="Times New Roman"/>
                <w:kern w:val="2"/>
                <w:sz w:val="18"/>
                <w:szCs w:val="18"/>
              </w:rPr>
              <w:t>**</w:t>
            </w:r>
          </w:p>
        </w:tc>
        <w:tc>
          <w:tcPr>
            <w:tcW w:w="710" w:type="pct"/>
            <w:vAlign w:val="center"/>
          </w:tcPr>
          <w:p w14:paraId="4F94F0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0.0453</w:t>
            </w:r>
            <w:r>
              <w:rPr>
                <w:rFonts w:cs="Times New Roman"/>
                <w:kern w:val="2"/>
                <w:sz w:val="18"/>
                <w:szCs w:val="18"/>
              </w:rPr>
              <w:t>*</w:t>
            </w:r>
          </w:p>
        </w:tc>
        <w:tc>
          <w:tcPr>
            <w:tcW w:w="734" w:type="pct"/>
            <w:vAlign w:val="center"/>
          </w:tcPr>
          <w:p w14:paraId="7CD519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0.00839</w:t>
            </w:r>
          </w:p>
        </w:tc>
      </w:tr>
      <w:tr w14:paraId="4BE2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9D12F86">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011E68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7611ED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0.00420 </w:t>
            </w:r>
          </w:p>
        </w:tc>
        <w:tc>
          <w:tcPr>
            <w:tcW w:w="678" w:type="pct"/>
            <w:vAlign w:val="center"/>
          </w:tcPr>
          <w:p w14:paraId="228E88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655" w:type="pct"/>
            <w:vAlign w:val="center"/>
          </w:tcPr>
          <w:p w14:paraId="0AF881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0.206 </w:t>
            </w:r>
          </w:p>
        </w:tc>
        <w:tc>
          <w:tcPr>
            <w:tcW w:w="695" w:type="pct"/>
            <w:vAlign w:val="center"/>
          </w:tcPr>
          <w:p w14:paraId="101507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0.000553</w:t>
            </w:r>
            <w:r>
              <w:rPr>
                <w:rFonts w:cs="Times New Roman"/>
                <w:kern w:val="2"/>
                <w:sz w:val="18"/>
                <w:szCs w:val="18"/>
              </w:rPr>
              <w:t>**</w:t>
            </w:r>
          </w:p>
        </w:tc>
        <w:tc>
          <w:tcPr>
            <w:tcW w:w="710" w:type="pct"/>
            <w:vAlign w:val="center"/>
          </w:tcPr>
          <w:p w14:paraId="31A22E2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0.0413</w:t>
            </w:r>
            <w:r>
              <w:rPr>
                <w:rFonts w:cs="Times New Roman"/>
                <w:kern w:val="2"/>
                <w:sz w:val="18"/>
                <w:szCs w:val="18"/>
              </w:rPr>
              <w:t>*</w:t>
            </w:r>
          </w:p>
        </w:tc>
        <w:tc>
          <w:tcPr>
            <w:tcW w:w="734" w:type="pct"/>
            <w:vAlign w:val="center"/>
          </w:tcPr>
          <w:p w14:paraId="76530E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0.00788</w:t>
            </w:r>
          </w:p>
        </w:tc>
      </w:tr>
      <w:tr w14:paraId="6A80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ABBBEB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BDA7B4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4103A2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0.00440 </w:t>
            </w:r>
          </w:p>
        </w:tc>
        <w:tc>
          <w:tcPr>
            <w:tcW w:w="678" w:type="pct"/>
            <w:vAlign w:val="center"/>
          </w:tcPr>
          <w:p w14:paraId="09038A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0.0424</w:t>
            </w:r>
            <w:r>
              <w:rPr>
                <w:rFonts w:cs="Times New Roman"/>
                <w:kern w:val="2"/>
                <w:sz w:val="18"/>
                <w:szCs w:val="18"/>
              </w:rPr>
              <w:t>**</w:t>
            </w:r>
          </w:p>
        </w:tc>
        <w:tc>
          <w:tcPr>
            <w:tcW w:w="655" w:type="pct"/>
            <w:vAlign w:val="center"/>
          </w:tcPr>
          <w:p w14:paraId="5F6F7C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695" w:type="pct"/>
            <w:vAlign w:val="center"/>
          </w:tcPr>
          <w:p w14:paraId="04018F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0.000695</w:t>
            </w:r>
            <w:r>
              <w:rPr>
                <w:rFonts w:cs="Times New Roman"/>
                <w:kern w:val="2"/>
                <w:sz w:val="18"/>
                <w:szCs w:val="18"/>
              </w:rPr>
              <w:t>**</w:t>
            </w:r>
          </w:p>
        </w:tc>
        <w:tc>
          <w:tcPr>
            <w:tcW w:w="710" w:type="pct"/>
            <w:vAlign w:val="center"/>
          </w:tcPr>
          <w:p w14:paraId="0885AC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0.0445</w:t>
            </w:r>
            <w:r>
              <w:rPr>
                <w:rFonts w:cs="Times New Roman"/>
                <w:kern w:val="2"/>
                <w:sz w:val="18"/>
                <w:szCs w:val="18"/>
              </w:rPr>
              <w:t>*</w:t>
            </w:r>
          </w:p>
        </w:tc>
        <w:tc>
          <w:tcPr>
            <w:tcW w:w="734" w:type="pct"/>
            <w:vAlign w:val="center"/>
          </w:tcPr>
          <w:p w14:paraId="71E769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0.00864</w:t>
            </w:r>
          </w:p>
        </w:tc>
      </w:tr>
      <w:tr w14:paraId="33CD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42F558E">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02EF12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7CC437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0.00490 </w:t>
            </w:r>
          </w:p>
        </w:tc>
        <w:tc>
          <w:tcPr>
            <w:tcW w:w="678" w:type="pct"/>
            <w:vAlign w:val="center"/>
          </w:tcPr>
          <w:p w14:paraId="5B3F03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655" w:type="pct"/>
            <w:vAlign w:val="center"/>
          </w:tcPr>
          <w:p w14:paraId="12DD79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0.195 </w:t>
            </w:r>
          </w:p>
        </w:tc>
        <w:tc>
          <w:tcPr>
            <w:tcW w:w="695" w:type="pct"/>
            <w:vAlign w:val="center"/>
          </w:tcPr>
          <w:p w14:paraId="42436E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0.000554</w:t>
            </w:r>
            <w:r>
              <w:rPr>
                <w:rFonts w:cs="Times New Roman"/>
                <w:kern w:val="2"/>
                <w:sz w:val="18"/>
                <w:szCs w:val="18"/>
              </w:rPr>
              <w:t>**</w:t>
            </w:r>
          </w:p>
        </w:tc>
        <w:tc>
          <w:tcPr>
            <w:tcW w:w="710" w:type="pct"/>
            <w:vAlign w:val="center"/>
          </w:tcPr>
          <w:p w14:paraId="502A4C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r>
              <w:rPr>
                <w:rFonts w:cs="Times New Roman"/>
                <w:kern w:val="2"/>
                <w:sz w:val="18"/>
                <w:szCs w:val="18"/>
              </w:rPr>
              <w:t>*</w:t>
            </w:r>
          </w:p>
        </w:tc>
        <w:tc>
          <w:tcPr>
            <w:tcW w:w="734" w:type="pct"/>
            <w:vAlign w:val="center"/>
          </w:tcPr>
          <w:p w14:paraId="395F48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0.00746</w:t>
            </w:r>
          </w:p>
        </w:tc>
      </w:tr>
      <w:tr w14:paraId="2BD6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419F482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496" w:type="pct"/>
            <w:vAlign w:val="center"/>
          </w:tcPr>
          <w:p w14:paraId="157891E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6592A7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0.00379</w:t>
            </w:r>
          </w:p>
        </w:tc>
        <w:tc>
          <w:tcPr>
            <w:tcW w:w="678" w:type="pct"/>
            <w:vAlign w:val="center"/>
          </w:tcPr>
          <w:p w14:paraId="3BC586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0.0477</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6BF682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0.222 </w:t>
            </w:r>
          </w:p>
        </w:tc>
        <w:tc>
          <w:tcPr>
            <w:tcW w:w="695" w:type="pct"/>
            <w:vAlign w:val="center"/>
          </w:tcPr>
          <w:p w14:paraId="3A25A8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0.000176</w:t>
            </w:r>
          </w:p>
        </w:tc>
        <w:tc>
          <w:tcPr>
            <w:tcW w:w="710" w:type="pct"/>
            <w:vAlign w:val="center"/>
          </w:tcPr>
          <w:p w14:paraId="554191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0.0546 </w:t>
            </w:r>
          </w:p>
        </w:tc>
        <w:tc>
          <w:tcPr>
            <w:tcW w:w="734" w:type="pct"/>
            <w:vAlign w:val="center"/>
          </w:tcPr>
          <w:p w14:paraId="445F55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0.00812</w:t>
            </w:r>
          </w:p>
        </w:tc>
      </w:tr>
      <w:tr w14:paraId="076B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8425C5B">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1B5F655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2BC403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0.00359</w:t>
            </w:r>
          </w:p>
        </w:tc>
        <w:tc>
          <w:tcPr>
            <w:tcW w:w="678" w:type="pct"/>
            <w:vAlign w:val="center"/>
          </w:tcPr>
          <w:p w14:paraId="5182CA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0.0481</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61983D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509B32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0.000142</w:t>
            </w:r>
          </w:p>
        </w:tc>
        <w:tc>
          <w:tcPr>
            <w:tcW w:w="710" w:type="pct"/>
            <w:vAlign w:val="center"/>
          </w:tcPr>
          <w:p w14:paraId="39281A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0.0538 </w:t>
            </w:r>
          </w:p>
        </w:tc>
        <w:tc>
          <w:tcPr>
            <w:tcW w:w="734" w:type="pct"/>
            <w:vAlign w:val="center"/>
          </w:tcPr>
          <w:p w14:paraId="55CEC4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0.00724</w:t>
            </w:r>
          </w:p>
        </w:tc>
      </w:tr>
      <w:tr w14:paraId="11CA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C5A35C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2F0625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6192B0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0.00362</w:t>
            </w:r>
          </w:p>
        </w:tc>
        <w:tc>
          <w:tcPr>
            <w:tcW w:w="678" w:type="pct"/>
            <w:vAlign w:val="center"/>
          </w:tcPr>
          <w:p w14:paraId="382699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0.0426</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24A272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695" w:type="pct"/>
            <w:vAlign w:val="center"/>
          </w:tcPr>
          <w:p w14:paraId="650ECA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0.000134</w:t>
            </w:r>
          </w:p>
        </w:tc>
        <w:tc>
          <w:tcPr>
            <w:tcW w:w="710" w:type="pct"/>
            <w:vAlign w:val="center"/>
          </w:tcPr>
          <w:p w14:paraId="412B66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0.0599</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734" w:type="pct"/>
            <w:vAlign w:val="center"/>
          </w:tcPr>
          <w:p w14:paraId="2F5351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0.00675</w:t>
            </w:r>
          </w:p>
        </w:tc>
      </w:tr>
      <w:tr w14:paraId="20D1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6E24025">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76BB9EE1">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6C88C2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0.00423</w:t>
            </w:r>
          </w:p>
        </w:tc>
        <w:tc>
          <w:tcPr>
            <w:tcW w:w="678" w:type="pct"/>
            <w:vAlign w:val="center"/>
          </w:tcPr>
          <w:p w14:paraId="56993C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0.0435</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0F5437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0.229 </w:t>
            </w:r>
          </w:p>
        </w:tc>
        <w:tc>
          <w:tcPr>
            <w:tcW w:w="695" w:type="pct"/>
            <w:vAlign w:val="center"/>
          </w:tcPr>
          <w:p w14:paraId="6A92B2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0.000154</w:t>
            </w:r>
          </w:p>
        </w:tc>
        <w:tc>
          <w:tcPr>
            <w:tcW w:w="710" w:type="pct"/>
            <w:vAlign w:val="center"/>
          </w:tcPr>
          <w:p w14:paraId="196CBA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0.0609</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734" w:type="pct"/>
            <w:vAlign w:val="center"/>
          </w:tcPr>
          <w:p w14:paraId="7C98AB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0.00763</w:t>
            </w:r>
          </w:p>
        </w:tc>
      </w:tr>
      <w:tr w14:paraId="7848C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5BAAF358">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86E5A06">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0A81F29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0.00423</w:t>
            </w:r>
          </w:p>
        </w:tc>
        <w:tc>
          <w:tcPr>
            <w:tcW w:w="678" w:type="pct"/>
            <w:vAlign w:val="center"/>
          </w:tcPr>
          <w:p w14:paraId="30A032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0.0456</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31EE77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0.223 </w:t>
            </w:r>
          </w:p>
        </w:tc>
        <w:tc>
          <w:tcPr>
            <w:tcW w:w="695" w:type="pct"/>
            <w:vAlign w:val="center"/>
          </w:tcPr>
          <w:p w14:paraId="15DC84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0.000222</w:t>
            </w:r>
          </w:p>
        </w:tc>
        <w:tc>
          <w:tcPr>
            <w:tcW w:w="710" w:type="pct"/>
            <w:vAlign w:val="center"/>
          </w:tcPr>
          <w:p w14:paraId="20F42D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0.0513</w:t>
            </w:r>
          </w:p>
        </w:tc>
        <w:tc>
          <w:tcPr>
            <w:tcW w:w="734" w:type="pct"/>
            <w:vAlign w:val="center"/>
          </w:tcPr>
          <w:p w14:paraId="7A1110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0.00781</w:t>
            </w:r>
          </w:p>
        </w:tc>
      </w:tr>
      <w:tr w14:paraId="4D55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A573D64">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146014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09F6EF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0.00368</w:t>
            </w:r>
          </w:p>
        </w:tc>
        <w:tc>
          <w:tcPr>
            <w:tcW w:w="678" w:type="pct"/>
            <w:vAlign w:val="center"/>
          </w:tcPr>
          <w:p w14:paraId="615992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0.0468</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7F68CD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695" w:type="pct"/>
            <w:vAlign w:val="center"/>
          </w:tcPr>
          <w:p w14:paraId="37A764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0.000119</w:t>
            </w:r>
          </w:p>
        </w:tc>
        <w:tc>
          <w:tcPr>
            <w:tcW w:w="710" w:type="pct"/>
            <w:vAlign w:val="center"/>
          </w:tcPr>
          <w:p w14:paraId="4724A6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0.0513 </w:t>
            </w:r>
          </w:p>
        </w:tc>
        <w:tc>
          <w:tcPr>
            <w:tcW w:w="734" w:type="pct"/>
            <w:vAlign w:val="center"/>
          </w:tcPr>
          <w:p w14:paraId="561105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0.00835</w:t>
            </w:r>
          </w:p>
        </w:tc>
      </w:tr>
      <w:tr w14:paraId="3A93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F801C4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59D4F7A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04B8B3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0.00375</w:t>
            </w:r>
          </w:p>
        </w:tc>
        <w:tc>
          <w:tcPr>
            <w:tcW w:w="678" w:type="pct"/>
            <w:vAlign w:val="center"/>
          </w:tcPr>
          <w:p w14:paraId="0E6AF0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0.0422</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655" w:type="pct"/>
            <w:vAlign w:val="center"/>
          </w:tcPr>
          <w:p w14:paraId="458E46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0.201 </w:t>
            </w:r>
          </w:p>
        </w:tc>
        <w:tc>
          <w:tcPr>
            <w:tcW w:w="695" w:type="pct"/>
            <w:vAlign w:val="center"/>
          </w:tcPr>
          <w:p w14:paraId="0A575C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0.000211</w:t>
            </w:r>
          </w:p>
        </w:tc>
        <w:tc>
          <w:tcPr>
            <w:tcW w:w="710" w:type="pct"/>
            <w:vAlign w:val="center"/>
          </w:tcPr>
          <w:p w14:paraId="5B010E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0.0597</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734" w:type="pct"/>
            <w:vAlign w:val="center"/>
          </w:tcPr>
          <w:p w14:paraId="443022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0.00716</w:t>
            </w:r>
          </w:p>
        </w:tc>
      </w:tr>
      <w:tr w14:paraId="169A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31" w:type="pct"/>
            <w:vMerge w:val="restart"/>
            <w:vAlign w:val="center"/>
          </w:tcPr>
          <w:p w14:paraId="4425763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496" w:type="pct"/>
            <w:vAlign w:val="center"/>
          </w:tcPr>
          <w:p w14:paraId="7066C1B6">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1036" w:type="dxa"/>
            <w:vAlign w:val="center"/>
          </w:tcPr>
          <w:p w14:paraId="05950D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0.00271 </w:t>
            </w:r>
          </w:p>
        </w:tc>
        <w:tc>
          <w:tcPr>
            <w:tcW w:w="1178" w:type="dxa"/>
            <w:vAlign w:val="center"/>
          </w:tcPr>
          <w:p w14:paraId="1EA70D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0.0497 </w:t>
            </w:r>
          </w:p>
        </w:tc>
        <w:tc>
          <w:tcPr>
            <w:tcW w:w="1137" w:type="dxa"/>
            <w:vAlign w:val="center"/>
          </w:tcPr>
          <w:p w14:paraId="12F45F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0.227 </w:t>
            </w:r>
          </w:p>
        </w:tc>
        <w:tc>
          <w:tcPr>
            <w:tcW w:w="1206" w:type="dxa"/>
            <w:vAlign w:val="center"/>
          </w:tcPr>
          <w:p w14:paraId="2D842F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0.000287</w:t>
            </w:r>
          </w:p>
        </w:tc>
        <w:tc>
          <w:tcPr>
            <w:tcW w:w="1233" w:type="dxa"/>
            <w:vAlign w:val="center"/>
          </w:tcPr>
          <w:p w14:paraId="1EE030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0.0481 </w:t>
            </w:r>
          </w:p>
        </w:tc>
        <w:tc>
          <w:tcPr>
            <w:tcW w:w="1274" w:type="dxa"/>
            <w:vAlign w:val="center"/>
          </w:tcPr>
          <w:p w14:paraId="0F756A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0.00838 </w:t>
            </w:r>
          </w:p>
        </w:tc>
      </w:tr>
      <w:tr w14:paraId="10A1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31" w:type="pct"/>
            <w:vMerge w:val="continue"/>
            <w:vAlign w:val="center"/>
          </w:tcPr>
          <w:p w14:paraId="433BB7F6">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DB7B78C">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1036" w:type="dxa"/>
            <w:vAlign w:val="center"/>
          </w:tcPr>
          <w:p w14:paraId="34C4D2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0.00297 </w:t>
            </w:r>
          </w:p>
        </w:tc>
        <w:tc>
          <w:tcPr>
            <w:tcW w:w="1178" w:type="dxa"/>
            <w:vAlign w:val="center"/>
          </w:tcPr>
          <w:p w14:paraId="234CE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1137" w:type="dxa"/>
            <w:vAlign w:val="center"/>
          </w:tcPr>
          <w:p w14:paraId="0C0F8C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0.220 </w:t>
            </w:r>
          </w:p>
        </w:tc>
        <w:tc>
          <w:tcPr>
            <w:tcW w:w="1206" w:type="dxa"/>
            <w:vAlign w:val="center"/>
          </w:tcPr>
          <w:p w14:paraId="0EB6A0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0.000477</w:t>
            </w:r>
          </w:p>
        </w:tc>
        <w:tc>
          <w:tcPr>
            <w:tcW w:w="1233" w:type="dxa"/>
            <w:vAlign w:val="center"/>
          </w:tcPr>
          <w:p w14:paraId="19E577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0.0498 </w:t>
            </w:r>
          </w:p>
        </w:tc>
        <w:tc>
          <w:tcPr>
            <w:tcW w:w="1274" w:type="dxa"/>
            <w:vAlign w:val="center"/>
          </w:tcPr>
          <w:p w14:paraId="47D914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0.00860 </w:t>
            </w:r>
          </w:p>
        </w:tc>
      </w:tr>
      <w:tr w14:paraId="01C0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A964588">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F6964D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1036" w:type="dxa"/>
            <w:vAlign w:val="center"/>
          </w:tcPr>
          <w:p w14:paraId="4EF8F1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0.00294 </w:t>
            </w:r>
          </w:p>
        </w:tc>
        <w:tc>
          <w:tcPr>
            <w:tcW w:w="1178" w:type="dxa"/>
            <w:vAlign w:val="center"/>
          </w:tcPr>
          <w:p w14:paraId="14E0AE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c>
          <w:tcPr>
            <w:tcW w:w="1137" w:type="dxa"/>
            <w:vAlign w:val="center"/>
          </w:tcPr>
          <w:p w14:paraId="277A6E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1206" w:type="dxa"/>
            <w:vAlign w:val="center"/>
          </w:tcPr>
          <w:p w14:paraId="11F555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0.000395</w:t>
            </w:r>
          </w:p>
        </w:tc>
        <w:tc>
          <w:tcPr>
            <w:tcW w:w="1233" w:type="dxa"/>
            <w:vAlign w:val="center"/>
          </w:tcPr>
          <w:p w14:paraId="3920D1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0.0477 </w:t>
            </w:r>
          </w:p>
        </w:tc>
        <w:tc>
          <w:tcPr>
            <w:tcW w:w="1274" w:type="dxa"/>
            <w:vAlign w:val="center"/>
          </w:tcPr>
          <w:p w14:paraId="4EEAC3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0.00768 </w:t>
            </w:r>
          </w:p>
        </w:tc>
      </w:tr>
      <w:tr w14:paraId="6354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8286404">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51C8B45A">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1036" w:type="dxa"/>
            <w:vAlign w:val="center"/>
          </w:tcPr>
          <w:p w14:paraId="4F2D70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0.00283 </w:t>
            </w:r>
          </w:p>
        </w:tc>
        <w:tc>
          <w:tcPr>
            <w:tcW w:w="1178" w:type="dxa"/>
            <w:vAlign w:val="center"/>
          </w:tcPr>
          <w:p w14:paraId="351C6E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0.0483 </w:t>
            </w:r>
          </w:p>
        </w:tc>
        <w:tc>
          <w:tcPr>
            <w:tcW w:w="1137" w:type="dxa"/>
            <w:vAlign w:val="center"/>
          </w:tcPr>
          <w:p w14:paraId="289BAA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0.197 </w:t>
            </w:r>
          </w:p>
        </w:tc>
        <w:tc>
          <w:tcPr>
            <w:tcW w:w="1206" w:type="dxa"/>
            <w:vAlign w:val="center"/>
          </w:tcPr>
          <w:p w14:paraId="7D0E66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0.000487</w:t>
            </w:r>
          </w:p>
        </w:tc>
        <w:tc>
          <w:tcPr>
            <w:tcW w:w="1233" w:type="dxa"/>
            <w:vAlign w:val="center"/>
          </w:tcPr>
          <w:p w14:paraId="73A7DC1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0.0483 </w:t>
            </w:r>
          </w:p>
        </w:tc>
        <w:tc>
          <w:tcPr>
            <w:tcW w:w="1274" w:type="dxa"/>
            <w:vAlign w:val="center"/>
          </w:tcPr>
          <w:p w14:paraId="312532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0.00796 </w:t>
            </w:r>
          </w:p>
        </w:tc>
      </w:tr>
      <w:tr w14:paraId="10A1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3BCC5A1E">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159BDE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1036" w:type="dxa"/>
            <w:vAlign w:val="center"/>
          </w:tcPr>
          <w:p w14:paraId="54C381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0.00342 </w:t>
            </w:r>
          </w:p>
        </w:tc>
        <w:tc>
          <w:tcPr>
            <w:tcW w:w="1178" w:type="dxa"/>
            <w:vAlign w:val="center"/>
          </w:tcPr>
          <w:p w14:paraId="3869B9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0.0491 </w:t>
            </w:r>
          </w:p>
        </w:tc>
        <w:tc>
          <w:tcPr>
            <w:tcW w:w="1137" w:type="dxa"/>
            <w:vAlign w:val="center"/>
          </w:tcPr>
          <w:p w14:paraId="3ED03B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0.226 </w:t>
            </w:r>
          </w:p>
        </w:tc>
        <w:tc>
          <w:tcPr>
            <w:tcW w:w="1206" w:type="dxa"/>
            <w:vAlign w:val="center"/>
          </w:tcPr>
          <w:p w14:paraId="3663C8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0.000309</w:t>
            </w:r>
          </w:p>
        </w:tc>
        <w:tc>
          <w:tcPr>
            <w:tcW w:w="1233" w:type="dxa"/>
            <w:vAlign w:val="center"/>
          </w:tcPr>
          <w:p w14:paraId="7805A51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0.0481 </w:t>
            </w:r>
          </w:p>
        </w:tc>
        <w:tc>
          <w:tcPr>
            <w:tcW w:w="1274" w:type="dxa"/>
            <w:vAlign w:val="center"/>
          </w:tcPr>
          <w:p w14:paraId="051E5B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0.00852 </w:t>
            </w:r>
          </w:p>
        </w:tc>
      </w:tr>
      <w:tr w14:paraId="5E59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8B2A6D6">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1D46750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1036" w:type="dxa"/>
            <w:vAlign w:val="center"/>
          </w:tcPr>
          <w:p w14:paraId="0524EA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0.00300 </w:t>
            </w:r>
          </w:p>
        </w:tc>
        <w:tc>
          <w:tcPr>
            <w:tcW w:w="1178" w:type="dxa"/>
            <w:vAlign w:val="center"/>
          </w:tcPr>
          <w:p w14:paraId="5CFAB7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0.0506 </w:t>
            </w:r>
          </w:p>
        </w:tc>
        <w:tc>
          <w:tcPr>
            <w:tcW w:w="1137" w:type="dxa"/>
            <w:vAlign w:val="center"/>
          </w:tcPr>
          <w:p w14:paraId="75B26B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1206" w:type="dxa"/>
            <w:vAlign w:val="center"/>
          </w:tcPr>
          <w:p w14:paraId="031AC1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0.000486</w:t>
            </w:r>
          </w:p>
        </w:tc>
        <w:tc>
          <w:tcPr>
            <w:tcW w:w="1233" w:type="dxa"/>
            <w:vAlign w:val="center"/>
          </w:tcPr>
          <w:p w14:paraId="0D42C4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0.0514 </w:t>
            </w:r>
          </w:p>
        </w:tc>
        <w:tc>
          <w:tcPr>
            <w:tcW w:w="1274" w:type="dxa"/>
            <w:vAlign w:val="center"/>
          </w:tcPr>
          <w:p w14:paraId="4FA75F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0.00895 </w:t>
            </w:r>
          </w:p>
        </w:tc>
      </w:tr>
      <w:tr w14:paraId="5F70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3D97CF4A">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A5838D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1036" w:type="dxa"/>
            <w:vAlign w:val="center"/>
          </w:tcPr>
          <w:p w14:paraId="030AF1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0.00298 </w:t>
            </w:r>
          </w:p>
        </w:tc>
        <w:tc>
          <w:tcPr>
            <w:tcW w:w="1178" w:type="dxa"/>
            <w:vAlign w:val="center"/>
          </w:tcPr>
          <w:p w14:paraId="359BAB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0.0487 </w:t>
            </w:r>
          </w:p>
        </w:tc>
        <w:tc>
          <w:tcPr>
            <w:tcW w:w="1137" w:type="dxa"/>
            <w:vAlign w:val="center"/>
          </w:tcPr>
          <w:p w14:paraId="58CF3C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0.203 </w:t>
            </w:r>
          </w:p>
        </w:tc>
        <w:tc>
          <w:tcPr>
            <w:tcW w:w="1206" w:type="dxa"/>
            <w:vAlign w:val="center"/>
          </w:tcPr>
          <w:p w14:paraId="1F495E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0.000519</w:t>
            </w:r>
          </w:p>
        </w:tc>
        <w:tc>
          <w:tcPr>
            <w:tcW w:w="1233" w:type="dxa"/>
            <w:vAlign w:val="center"/>
          </w:tcPr>
          <w:p w14:paraId="153582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c>
          <w:tcPr>
            <w:tcW w:w="1274" w:type="dxa"/>
            <w:vAlign w:val="center"/>
          </w:tcPr>
          <w:p w14:paraId="4D5C6A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0.00796 </w:t>
            </w:r>
          </w:p>
        </w:tc>
      </w:tr>
      <w:tr w14:paraId="3942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0DFDBF9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496" w:type="pct"/>
            <w:vAlign w:val="center"/>
          </w:tcPr>
          <w:p w14:paraId="0E780747">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57A9FE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0.00487</w:t>
            </w:r>
          </w:p>
        </w:tc>
        <w:tc>
          <w:tcPr>
            <w:tcW w:w="678" w:type="pct"/>
            <w:vAlign w:val="center"/>
          </w:tcPr>
          <w:p w14:paraId="4D36CA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655" w:type="pct"/>
            <w:vAlign w:val="center"/>
          </w:tcPr>
          <w:p w14:paraId="3956BD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0.198 </w:t>
            </w:r>
          </w:p>
        </w:tc>
        <w:tc>
          <w:tcPr>
            <w:tcW w:w="695" w:type="pct"/>
            <w:vAlign w:val="center"/>
          </w:tcPr>
          <w:p w14:paraId="00E21A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0.000204</w:t>
            </w:r>
          </w:p>
        </w:tc>
        <w:tc>
          <w:tcPr>
            <w:tcW w:w="710" w:type="pct"/>
            <w:vAlign w:val="center"/>
          </w:tcPr>
          <w:p w14:paraId="22979F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0.0491</w:t>
            </w:r>
          </w:p>
        </w:tc>
        <w:tc>
          <w:tcPr>
            <w:tcW w:w="734" w:type="pct"/>
            <w:vAlign w:val="center"/>
          </w:tcPr>
          <w:p w14:paraId="12071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0.0101</w:t>
            </w:r>
            <w:r>
              <w:rPr>
                <w:rFonts w:cs="Times New Roman"/>
                <w:kern w:val="2"/>
                <w:sz w:val="18"/>
                <w:szCs w:val="18"/>
              </w:rPr>
              <w:t>**</w:t>
            </w:r>
          </w:p>
        </w:tc>
      </w:tr>
      <w:tr w14:paraId="1B68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D2BFC0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736A83E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5957E7A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0.00498</w:t>
            </w:r>
          </w:p>
        </w:tc>
        <w:tc>
          <w:tcPr>
            <w:tcW w:w="678" w:type="pct"/>
            <w:vAlign w:val="center"/>
          </w:tcPr>
          <w:p w14:paraId="574062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0.0513</w:t>
            </w:r>
          </w:p>
        </w:tc>
        <w:tc>
          <w:tcPr>
            <w:tcW w:w="655" w:type="pct"/>
            <w:vAlign w:val="center"/>
          </w:tcPr>
          <w:p w14:paraId="662FAC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0.213 </w:t>
            </w:r>
          </w:p>
        </w:tc>
        <w:tc>
          <w:tcPr>
            <w:tcW w:w="695" w:type="pct"/>
            <w:vAlign w:val="center"/>
          </w:tcPr>
          <w:p w14:paraId="5EBBC8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0.000261</w:t>
            </w:r>
          </w:p>
        </w:tc>
        <w:tc>
          <w:tcPr>
            <w:tcW w:w="710" w:type="pct"/>
            <w:vAlign w:val="center"/>
          </w:tcPr>
          <w:p w14:paraId="6ACA94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0.0481</w:t>
            </w:r>
          </w:p>
        </w:tc>
        <w:tc>
          <w:tcPr>
            <w:tcW w:w="734" w:type="pct"/>
            <w:vAlign w:val="center"/>
          </w:tcPr>
          <w:p w14:paraId="2BF9DD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0.0105</w:t>
            </w:r>
            <w:r>
              <w:rPr>
                <w:rFonts w:cs="Times New Roman"/>
                <w:kern w:val="2"/>
                <w:sz w:val="18"/>
                <w:szCs w:val="18"/>
              </w:rPr>
              <w:t>**</w:t>
            </w:r>
          </w:p>
        </w:tc>
      </w:tr>
      <w:tr w14:paraId="0C06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5B8171D5">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504B4FFC">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478AF6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0.00463</w:t>
            </w:r>
          </w:p>
        </w:tc>
        <w:tc>
          <w:tcPr>
            <w:tcW w:w="678" w:type="pct"/>
            <w:vAlign w:val="center"/>
          </w:tcPr>
          <w:p w14:paraId="52A25E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0.0473</w:t>
            </w:r>
          </w:p>
        </w:tc>
        <w:tc>
          <w:tcPr>
            <w:tcW w:w="655" w:type="pct"/>
            <w:vAlign w:val="center"/>
          </w:tcPr>
          <w:p w14:paraId="0CC633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695" w:type="pct"/>
            <w:vAlign w:val="center"/>
          </w:tcPr>
          <w:p w14:paraId="1C1151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0.000359</w:t>
            </w:r>
          </w:p>
        </w:tc>
        <w:tc>
          <w:tcPr>
            <w:tcW w:w="710" w:type="pct"/>
            <w:vAlign w:val="center"/>
          </w:tcPr>
          <w:p w14:paraId="03B50A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734" w:type="pct"/>
            <w:vAlign w:val="center"/>
          </w:tcPr>
          <w:p w14:paraId="5BCD61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0.00728</w:t>
            </w:r>
          </w:p>
        </w:tc>
      </w:tr>
      <w:tr w14:paraId="3592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36F44C4">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1BDB23B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6B9B14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0.00415</w:t>
            </w:r>
          </w:p>
        </w:tc>
        <w:tc>
          <w:tcPr>
            <w:tcW w:w="678" w:type="pct"/>
            <w:vAlign w:val="center"/>
          </w:tcPr>
          <w:p w14:paraId="7A101F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655" w:type="pct"/>
            <w:vAlign w:val="center"/>
          </w:tcPr>
          <w:p w14:paraId="732501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0.189 </w:t>
            </w:r>
          </w:p>
        </w:tc>
        <w:tc>
          <w:tcPr>
            <w:tcW w:w="695" w:type="pct"/>
            <w:vAlign w:val="center"/>
          </w:tcPr>
          <w:p w14:paraId="401410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0.000297</w:t>
            </w:r>
          </w:p>
        </w:tc>
        <w:tc>
          <w:tcPr>
            <w:tcW w:w="710" w:type="pct"/>
            <w:vAlign w:val="center"/>
          </w:tcPr>
          <w:p w14:paraId="344BA0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0.0514</w:t>
            </w:r>
          </w:p>
        </w:tc>
        <w:tc>
          <w:tcPr>
            <w:tcW w:w="734" w:type="pct"/>
            <w:vAlign w:val="center"/>
          </w:tcPr>
          <w:p w14:paraId="39E661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0.00788</w:t>
            </w:r>
          </w:p>
        </w:tc>
      </w:tr>
      <w:tr w14:paraId="1EB3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D68ACE2">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3EEAC0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7896FE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0.00469</w:t>
            </w:r>
          </w:p>
        </w:tc>
        <w:tc>
          <w:tcPr>
            <w:tcW w:w="678" w:type="pct"/>
            <w:vAlign w:val="center"/>
          </w:tcPr>
          <w:p w14:paraId="42A2114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0.0461</w:t>
            </w:r>
          </w:p>
        </w:tc>
        <w:tc>
          <w:tcPr>
            <w:tcW w:w="655" w:type="pct"/>
            <w:vAlign w:val="center"/>
          </w:tcPr>
          <w:p w14:paraId="53DAC7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46BCE9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0.000354</w:t>
            </w:r>
          </w:p>
        </w:tc>
        <w:tc>
          <w:tcPr>
            <w:tcW w:w="710" w:type="pct"/>
            <w:vAlign w:val="center"/>
          </w:tcPr>
          <w:p w14:paraId="273670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0.0497</w:t>
            </w:r>
          </w:p>
        </w:tc>
        <w:tc>
          <w:tcPr>
            <w:tcW w:w="734" w:type="pct"/>
            <w:vAlign w:val="center"/>
          </w:tcPr>
          <w:p w14:paraId="081E11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0.00874</w:t>
            </w:r>
          </w:p>
        </w:tc>
      </w:tr>
      <w:tr w14:paraId="174A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3593E3B">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A46103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2A2CA8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0.00468</w:t>
            </w:r>
          </w:p>
        </w:tc>
        <w:tc>
          <w:tcPr>
            <w:tcW w:w="678" w:type="pct"/>
            <w:vAlign w:val="center"/>
          </w:tcPr>
          <w:p w14:paraId="1347CC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0.0491</w:t>
            </w:r>
          </w:p>
        </w:tc>
        <w:tc>
          <w:tcPr>
            <w:tcW w:w="655" w:type="pct"/>
            <w:vAlign w:val="center"/>
          </w:tcPr>
          <w:p w14:paraId="7B3DD4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695" w:type="pct"/>
            <w:vAlign w:val="center"/>
          </w:tcPr>
          <w:p w14:paraId="07F33C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0.000233</w:t>
            </w:r>
          </w:p>
        </w:tc>
        <w:tc>
          <w:tcPr>
            <w:tcW w:w="710" w:type="pct"/>
            <w:vAlign w:val="center"/>
          </w:tcPr>
          <w:p w14:paraId="635DC4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0.0474</w:t>
            </w:r>
          </w:p>
        </w:tc>
        <w:tc>
          <w:tcPr>
            <w:tcW w:w="734" w:type="pct"/>
            <w:vAlign w:val="center"/>
          </w:tcPr>
          <w:p w14:paraId="4CE4FE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0.00923</w:t>
            </w:r>
          </w:p>
        </w:tc>
      </w:tr>
      <w:tr w14:paraId="0116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089045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5F2B1F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604974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0.00474</w:t>
            </w:r>
          </w:p>
        </w:tc>
        <w:tc>
          <w:tcPr>
            <w:tcW w:w="678" w:type="pct"/>
            <w:vAlign w:val="center"/>
          </w:tcPr>
          <w:p w14:paraId="5E37C1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0.0476</w:t>
            </w:r>
          </w:p>
        </w:tc>
        <w:tc>
          <w:tcPr>
            <w:tcW w:w="655" w:type="pct"/>
            <w:vAlign w:val="center"/>
          </w:tcPr>
          <w:p w14:paraId="71C712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695" w:type="pct"/>
            <w:vAlign w:val="center"/>
          </w:tcPr>
          <w:p w14:paraId="6CE077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0.000338</w:t>
            </w:r>
          </w:p>
        </w:tc>
        <w:tc>
          <w:tcPr>
            <w:tcW w:w="710" w:type="pct"/>
            <w:vAlign w:val="center"/>
          </w:tcPr>
          <w:p w14:paraId="6EDB31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0.0485</w:t>
            </w:r>
          </w:p>
        </w:tc>
        <w:tc>
          <w:tcPr>
            <w:tcW w:w="734" w:type="pct"/>
            <w:vAlign w:val="center"/>
          </w:tcPr>
          <w:p w14:paraId="3BEF4F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0.00997</w:t>
            </w:r>
            <w:r>
              <w:rPr>
                <w:rFonts w:cs="Times New Roman"/>
                <w:kern w:val="2"/>
                <w:sz w:val="18"/>
                <w:szCs w:val="18"/>
              </w:rPr>
              <w:t>**</w:t>
            </w:r>
          </w:p>
        </w:tc>
      </w:tr>
      <w:tr w14:paraId="4590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65B3DE2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496" w:type="pct"/>
            <w:vAlign w:val="center"/>
          </w:tcPr>
          <w:p w14:paraId="1112E9A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3D45A5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0.00431 </w:t>
            </w:r>
          </w:p>
        </w:tc>
        <w:tc>
          <w:tcPr>
            <w:tcW w:w="678" w:type="pct"/>
            <w:vAlign w:val="center"/>
          </w:tcPr>
          <w:p w14:paraId="0C1B0E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0.0499 </w:t>
            </w:r>
          </w:p>
        </w:tc>
        <w:tc>
          <w:tcPr>
            <w:tcW w:w="655" w:type="pct"/>
            <w:vAlign w:val="center"/>
          </w:tcPr>
          <w:p w14:paraId="297F0B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6EC811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0.000294</w:t>
            </w:r>
          </w:p>
        </w:tc>
        <w:tc>
          <w:tcPr>
            <w:tcW w:w="710" w:type="pct"/>
            <w:vAlign w:val="center"/>
          </w:tcPr>
          <w:p w14:paraId="028480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734" w:type="pct"/>
            <w:vAlign w:val="center"/>
          </w:tcPr>
          <w:p w14:paraId="4AACD8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0.00886 </w:t>
            </w:r>
          </w:p>
        </w:tc>
      </w:tr>
      <w:tr w14:paraId="6F35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5AEF454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E05B73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302695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0.00412 </w:t>
            </w:r>
          </w:p>
        </w:tc>
        <w:tc>
          <w:tcPr>
            <w:tcW w:w="678" w:type="pct"/>
            <w:vAlign w:val="center"/>
          </w:tcPr>
          <w:p w14:paraId="3B2F89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655" w:type="pct"/>
            <w:vAlign w:val="center"/>
          </w:tcPr>
          <w:p w14:paraId="6D5028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695" w:type="pct"/>
            <w:vAlign w:val="center"/>
          </w:tcPr>
          <w:p w14:paraId="388785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0.000255</w:t>
            </w:r>
          </w:p>
        </w:tc>
        <w:tc>
          <w:tcPr>
            <w:tcW w:w="710" w:type="pct"/>
            <w:vAlign w:val="center"/>
          </w:tcPr>
          <w:p w14:paraId="7234AC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0.0507 </w:t>
            </w:r>
          </w:p>
        </w:tc>
        <w:tc>
          <w:tcPr>
            <w:tcW w:w="734" w:type="pct"/>
            <w:vAlign w:val="center"/>
          </w:tcPr>
          <w:p w14:paraId="0089B5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0.00853 </w:t>
            </w:r>
          </w:p>
        </w:tc>
      </w:tr>
      <w:tr w14:paraId="246E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72A87A0">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B7C6BF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6B2B97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0.00425 </w:t>
            </w:r>
          </w:p>
        </w:tc>
        <w:tc>
          <w:tcPr>
            <w:tcW w:w="678" w:type="pct"/>
            <w:vAlign w:val="center"/>
          </w:tcPr>
          <w:p w14:paraId="78CDA4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655" w:type="pct"/>
            <w:vAlign w:val="center"/>
          </w:tcPr>
          <w:p w14:paraId="3FA6F6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695" w:type="pct"/>
            <w:vAlign w:val="center"/>
          </w:tcPr>
          <w:p w14:paraId="77DE87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0.000269</w:t>
            </w:r>
          </w:p>
        </w:tc>
        <w:tc>
          <w:tcPr>
            <w:tcW w:w="710" w:type="pct"/>
            <w:vAlign w:val="center"/>
          </w:tcPr>
          <w:p w14:paraId="07B233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0.0518 </w:t>
            </w:r>
          </w:p>
        </w:tc>
        <w:tc>
          <w:tcPr>
            <w:tcW w:w="734" w:type="pct"/>
            <w:vAlign w:val="center"/>
          </w:tcPr>
          <w:p w14:paraId="356DAB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0.00927 </w:t>
            </w:r>
          </w:p>
        </w:tc>
      </w:tr>
      <w:tr w14:paraId="1406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77E3D17">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487C2B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26EB80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0.00429 </w:t>
            </w:r>
          </w:p>
        </w:tc>
        <w:tc>
          <w:tcPr>
            <w:tcW w:w="678" w:type="pct"/>
            <w:vAlign w:val="center"/>
          </w:tcPr>
          <w:p w14:paraId="69F32E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c>
          <w:tcPr>
            <w:tcW w:w="655" w:type="pct"/>
            <w:vAlign w:val="center"/>
          </w:tcPr>
          <w:p w14:paraId="412B44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695" w:type="pct"/>
            <w:vAlign w:val="center"/>
          </w:tcPr>
          <w:p w14:paraId="419544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0.000294</w:t>
            </w:r>
          </w:p>
        </w:tc>
        <w:tc>
          <w:tcPr>
            <w:tcW w:w="710" w:type="pct"/>
            <w:vAlign w:val="center"/>
          </w:tcPr>
          <w:p w14:paraId="74D5E3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734" w:type="pct"/>
            <w:vAlign w:val="center"/>
          </w:tcPr>
          <w:p w14:paraId="3EBD41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0.00900 </w:t>
            </w:r>
          </w:p>
        </w:tc>
      </w:tr>
      <w:tr w14:paraId="619F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C922F2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06BF13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54A28E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0.00420 </w:t>
            </w:r>
          </w:p>
        </w:tc>
        <w:tc>
          <w:tcPr>
            <w:tcW w:w="678" w:type="pct"/>
            <w:vAlign w:val="center"/>
          </w:tcPr>
          <w:p w14:paraId="6EF69D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0.0462 </w:t>
            </w:r>
          </w:p>
        </w:tc>
        <w:tc>
          <w:tcPr>
            <w:tcW w:w="655" w:type="pct"/>
            <w:vAlign w:val="center"/>
          </w:tcPr>
          <w:p w14:paraId="10098B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695" w:type="pct"/>
            <w:vAlign w:val="center"/>
          </w:tcPr>
          <w:p w14:paraId="4C5AB1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0.000364</w:t>
            </w:r>
          </w:p>
        </w:tc>
        <w:tc>
          <w:tcPr>
            <w:tcW w:w="710" w:type="pct"/>
            <w:vAlign w:val="center"/>
          </w:tcPr>
          <w:p w14:paraId="54D29F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0.0514 </w:t>
            </w:r>
          </w:p>
        </w:tc>
        <w:tc>
          <w:tcPr>
            <w:tcW w:w="734" w:type="pct"/>
            <w:vAlign w:val="center"/>
          </w:tcPr>
          <w:p w14:paraId="4A0445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0.00878 </w:t>
            </w:r>
          </w:p>
        </w:tc>
      </w:tr>
      <w:tr w14:paraId="0616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EA37096">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63EB86A">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1EDD88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0.00431 </w:t>
            </w:r>
          </w:p>
        </w:tc>
        <w:tc>
          <w:tcPr>
            <w:tcW w:w="678" w:type="pct"/>
            <w:vAlign w:val="center"/>
          </w:tcPr>
          <w:p w14:paraId="3B4E3A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0.0475 </w:t>
            </w:r>
          </w:p>
        </w:tc>
        <w:tc>
          <w:tcPr>
            <w:tcW w:w="655" w:type="pct"/>
            <w:vAlign w:val="center"/>
          </w:tcPr>
          <w:p w14:paraId="47C040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0.218 </w:t>
            </w:r>
          </w:p>
        </w:tc>
        <w:tc>
          <w:tcPr>
            <w:tcW w:w="695" w:type="pct"/>
            <w:vAlign w:val="center"/>
          </w:tcPr>
          <w:p w14:paraId="26DDFD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0.000196</w:t>
            </w:r>
          </w:p>
        </w:tc>
        <w:tc>
          <w:tcPr>
            <w:tcW w:w="710" w:type="pct"/>
            <w:vAlign w:val="center"/>
          </w:tcPr>
          <w:p w14:paraId="726290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0.0483</w:t>
            </w:r>
            <w:r>
              <w:rPr>
                <w:rFonts w:cs="Times New Roman"/>
                <w:kern w:val="2"/>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734" w:type="pct"/>
            <w:vAlign w:val="center"/>
          </w:tcPr>
          <w:p w14:paraId="032846A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0.00934 </w:t>
            </w:r>
          </w:p>
        </w:tc>
      </w:tr>
      <w:tr w14:paraId="6F72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D5720D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6A0778F">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48D8A3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0.00435 </w:t>
            </w:r>
          </w:p>
        </w:tc>
        <w:tc>
          <w:tcPr>
            <w:tcW w:w="678" w:type="pct"/>
            <w:vAlign w:val="center"/>
          </w:tcPr>
          <w:p w14:paraId="3701BC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0.0486 </w:t>
            </w:r>
          </w:p>
        </w:tc>
        <w:tc>
          <w:tcPr>
            <w:tcW w:w="655" w:type="pct"/>
            <w:vAlign w:val="center"/>
          </w:tcPr>
          <w:p w14:paraId="0A35A8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c>
          <w:tcPr>
            <w:tcW w:w="695" w:type="pct"/>
            <w:vAlign w:val="center"/>
          </w:tcPr>
          <w:p w14:paraId="4D946B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0.000226</w:t>
            </w:r>
          </w:p>
        </w:tc>
        <w:tc>
          <w:tcPr>
            <w:tcW w:w="710" w:type="pct"/>
            <w:vAlign w:val="center"/>
          </w:tcPr>
          <w:p w14:paraId="2D5777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0.0519 </w:t>
            </w:r>
          </w:p>
        </w:tc>
        <w:tc>
          <w:tcPr>
            <w:tcW w:w="734" w:type="pct"/>
            <w:vAlign w:val="center"/>
          </w:tcPr>
          <w:p w14:paraId="480DA2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0.00827 </w:t>
            </w:r>
          </w:p>
        </w:tc>
      </w:tr>
      <w:tr w14:paraId="5D32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05484E39">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8</w:t>
            </w:r>
          </w:p>
        </w:tc>
        <w:tc>
          <w:tcPr>
            <w:tcW w:w="496" w:type="pct"/>
            <w:vAlign w:val="center"/>
          </w:tcPr>
          <w:p w14:paraId="7449EC1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08F831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0.00333 </w:t>
            </w:r>
          </w:p>
        </w:tc>
        <w:tc>
          <w:tcPr>
            <w:tcW w:w="1178" w:type="dxa"/>
            <w:vAlign w:val="center"/>
          </w:tcPr>
          <w:p w14:paraId="394D57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0.0488</w:t>
            </w:r>
          </w:p>
        </w:tc>
        <w:tc>
          <w:tcPr>
            <w:tcW w:w="655" w:type="pct"/>
            <w:vAlign w:val="center"/>
          </w:tcPr>
          <w:p w14:paraId="0A562C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695" w:type="pct"/>
            <w:vAlign w:val="center"/>
          </w:tcPr>
          <w:p w14:paraId="064278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03C1AFD5">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545</w:t>
            </w:r>
          </w:p>
        </w:tc>
        <w:tc>
          <w:tcPr>
            <w:tcW w:w="734" w:type="pct"/>
            <w:vAlign w:val="center"/>
          </w:tcPr>
          <w:p w14:paraId="463193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0.0105</w:t>
            </w:r>
          </w:p>
        </w:tc>
      </w:tr>
      <w:tr w14:paraId="00F6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C566C4D">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4D2EFE1">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4F29BE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0.00312 </w:t>
            </w:r>
          </w:p>
        </w:tc>
        <w:tc>
          <w:tcPr>
            <w:tcW w:w="1178" w:type="dxa"/>
            <w:vAlign w:val="center"/>
          </w:tcPr>
          <w:p w14:paraId="4B06FD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655" w:type="pct"/>
            <w:vAlign w:val="center"/>
          </w:tcPr>
          <w:p w14:paraId="3950F5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0.198</w:t>
            </w:r>
          </w:p>
        </w:tc>
        <w:tc>
          <w:tcPr>
            <w:tcW w:w="695" w:type="pct"/>
            <w:vAlign w:val="center"/>
          </w:tcPr>
          <w:p w14:paraId="38A0A5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6177CDDC">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478</w:t>
            </w:r>
          </w:p>
        </w:tc>
        <w:tc>
          <w:tcPr>
            <w:tcW w:w="734" w:type="pct"/>
            <w:vAlign w:val="center"/>
          </w:tcPr>
          <w:p w14:paraId="4F8134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0.0102</w:t>
            </w:r>
          </w:p>
        </w:tc>
      </w:tr>
      <w:tr w14:paraId="6C37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AF18C3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1B1EDC06">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321361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0.00333 </w:t>
            </w:r>
          </w:p>
        </w:tc>
        <w:tc>
          <w:tcPr>
            <w:tcW w:w="1178" w:type="dxa"/>
            <w:vAlign w:val="center"/>
          </w:tcPr>
          <w:p w14:paraId="2427BA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0.0493</w:t>
            </w:r>
          </w:p>
        </w:tc>
        <w:tc>
          <w:tcPr>
            <w:tcW w:w="655" w:type="pct"/>
            <w:vAlign w:val="center"/>
          </w:tcPr>
          <w:p w14:paraId="6485E9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0.206</w:t>
            </w:r>
          </w:p>
        </w:tc>
        <w:tc>
          <w:tcPr>
            <w:tcW w:w="695" w:type="pct"/>
            <w:vAlign w:val="center"/>
          </w:tcPr>
          <w:p w14:paraId="201914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7EB772A5">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492</w:t>
            </w:r>
          </w:p>
        </w:tc>
        <w:tc>
          <w:tcPr>
            <w:tcW w:w="734" w:type="pct"/>
            <w:vAlign w:val="center"/>
          </w:tcPr>
          <w:p w14:paraId="6F8A98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0.0103</w:t>
            </w:r>
          </w:p>
        </w:tc>
      </w:tr>
      <w:tr w14:paraId="5F93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6FFE5E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3F733C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7248A0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0.00350 </w:t>
            </w:r>
          </w:p>
        </w:tc>
        <w:tc>
          <w:tcPr>
            <w:tcW w:w="1178" w:type="dxa"/>
            <w:vAlign w:val="center"/>
          </w:tcPr>
          <w:p w14:paraId="4B8868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655" w:type="pct"/>
            <w:vAlign w:val="center"/>
          </w:tcPr>
          <w:p w14:paraId="65BCB4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0.195</w:t>
            </w:r>
          </w:p>
        </w:tc>
        <w:tc>
          <w:tcPr>
            <w:tcW w:w="695" w:type="pct"/>
            <w:vAlign w:val="center"/>
          </w:tcPr>
          <w:p w14:paraId="59F611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48E1E8D5">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415</w:t>
            </w:r>
            <w:r>
              <w:rPr>
                <w:rFonts w:cs="Times New Roman"/>
                <w:kern w:val="2"/>
                <w:sz w:val="18"/>
                <w:szCs w:val="18"/>
              </w:rPr>
              <w:t>**</w:t>
            </w:r>
          </w:p>
        </w:tc>
        <w:tc>
          <w:tcPr>
            <w:tcW w:w="734" w:type="pct"/>
            <w:vAlign w:val="center"/>
          </w:tcPr>
          <w:p w14:paraId="5FDC61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0.00962</w:t>
            </w:r>
          </w:p>
        </w:tc>
      </w:tr>
      <w:tr w14:paraId="2BDD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EDE2A8D">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1F1A7A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40BB6E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0.00434 </w:t>
            </w:r>
          </w:p>
        </w:tc>
        <w:tc>
          <w:tcPr>
            <w:tcW w:w="1178" w:type="dxa"/>
            <w:vAlign w:val="center"/>
          </w:tcPr>
          <w:p w14:paraId="60139F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0.0484</w:t>
            </w:r>
          </w:p>
        </w:tc>
        <w:tc>
          <w:tcPr>
            <w:tcW w:w="655" w:type="pct"/>
            <w:vAlign w:val="center"/>
          </w:tcPr>
          <w:p w14:paraId="6F784E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695" w:type="pct"/>
            <w:vAlign w:val="center"/>
          </w:tcPr>
          <w:p w14:paraId="207771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5889002A">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414</w:t>
            </w:r>
            <w:r>
              <w:rPr>
                <w:rFonts w:cs="Times New Roman"/>
                <w:kern w:val="2"/>
                <w:sz w:val="18"/>
                <w:szCs w:val="18"/>
              </w:rPr>
              <w:t>**</w:t>
            </w:r>
          </w:p>
        </w:tc>
        <w:tc>
          <w:tcPr>
            <w:tcW w:w="734" w:type="pct"/>
            <w:vAlign w:val="center"/>
          </w:tcPr>
          <w:p w14:paraId="642820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0.00901</w:t>
            </w:r>
          </w:p>
        </w:tc>
      </w:tr>
      <w:tr w14:paraId="7EEC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086F2F8">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2C178CB">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6FAC09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0.00368 </w:t>
            </w:r>
          </w:p>
        </w:tc>
        <w:tc>
          <w:tcPr>
            <w:tcW w:w="1178" w:type="dxa"/>
            <w:vAlign w:val="center"/>
          </w:tcPr>
          <w:p w14:paraId="10396B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655" w:type="pct"/>
            <w:vAlign w:val="center"/>
          </w:tcPr>
          <w:p w14:paraId="0A21EC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0.203</w:t>
            </w:r>
          </w:p>
        </w:tc>
        <w:tc>
          <w:tcPr>
            <w:tcW w:w="695" w:type="pct"/>
            <w:vAlign w:val="center"/>
          </w:tcPr>
          <w:p w14:paraId="66C14D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3B39F4C1">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cs="Times New Roman"/>
                <w:i w:val="0"/>
                <w:iCs w:val="0"/>
                <w:color w:val="000000"/>
                <w:kern w:val="0"/>
                <w:sz w:val="18"/>
                <w:szCs w:val="18"/>
                <w:u w:val="none"/>
                <w:lang w:val="en-US" w:eastAsia="zh-CN" w:bidi="ar"/>
              </w:rPr>
              <w:t>0438</w:t>
            </w:r>
            <w:r>
              <w:rPr>
                <w:rFonts w:cs="Times New Roman"/>
                <w:kern w:val="2"/>
                <w:sz w:val="18"/>
                <w:szCs w:val="18"/>
              </w:rPr>
              <w:t>**</w:t>
            </w:r>
          </w:p>
        </w:tc>
        <w:tc>
          <w:tcPr>
            <w:tcW w:w="734" w:type="pct"/>
            <w:vAlign w:val="center"/>
          </w:tcPr>
          <w:p w14:paraId="00AC25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0.00949</w:t>
            </w:r>
          </w:p>
        </w:tc>
      </w:tr>
      <w:tr w14:paraId="733F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A18B8F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A1B1E6C">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5768E3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0.00452 </w:t>
            </w:r>
          </w:p>
        </w:tc>
        <w:tc>
          <w:tcPr>
            <w:tcW w:w="1178" w:type="dxa"/>
            <w:vAlign w:val="center"/>
          </w:tcPr>
          <w:p w14:paraId="5BAFA6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655" w:type="pct"/>
            <w:vAlign w:val="center"/>
          </w:tcPr>
          <w:p w14:paraId="1B1626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0.204</w:t>
            </w:r>
          </w:p>
        </w:tc>
        <w:tc>
          <w:tcPr>
            <w:tcW w:w="695" w:type="pct"/>
            <w:vAlign w:val="center"/>
          </w:tcPr>
          <w:p w14:paraId="21B29B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33" w:type="dxa"/>
            <w:vAlign w:val="center"/>
          </w:tcPr>
          <w:p w14:paraId="765AF53D">
            <w:pPr>
              <w:keepNext w:val="0"/>
              <w:keepLines w:val="0"/>
              <w:widowControl/>
              <w:suppressLineNumbers w:val="0"/>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w:t>
            </w:r>
            <w:r>
              <w:rPr>
                <w:rFonts w:hint="default" w:ascii="Times New Roman" w:hAnsi="Times New Roman" w:cs="Times New Roman"/>
                <w:i w:val="0"/>
                <w:iCs w:val="0"/>
                <w:color w:val="000000"/>
                <w:kern w:val="0"/>
                <w:sz w:val="18"/>
                <w:szCs w:val="18"/>
                <w:u w:val="none"/>
                <w:lang w:val="en-US" w:eastAsia="zh-CN" w:bidi="ar"/>
              </w:rPr>
              <w:t>528</w:t>
            </w:r>
          </w:p>
        </w:tc>
        <w:tc>
          <w:tcPr>
            <w:tcW w:w="734" w:type="pct"/>
            <w:vAlign w:val="center"/>
          </w:tcPr>
          <w:p w14:paraId="0BB5C8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0.0105</w:t>
            </w:r>
          </w:p>
        </w:tc>
      </w:tr>
      <w:tr w14:paraId="3958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041327D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9</w:t>
            </w:r>
          </w:p>
        </w:tc>
        <w:tc>
          <w:tcPr>
            <w:tcW w:w="496" w:type="pct"/>
            <w:vAlign w:val="center"/>
          </w:tcPr>
          <w:p w14:paraId="1BBCCFC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38CDCD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0.00465</w:t>
            </w:r>
          </w:p>
        </w:tc>
        <w:tc>
          <w:tcPr>
            <w:tcW w:w="678" w:type="pct"/>
            <w:vAlign w:val="center"/>
          </w:tcPr>
          <w:p w14:paraId="1390B5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0.0475</w:t>
            </w:r>
          </w:p>
        </w:tc>
        <w:tc>
          <w:tcPr>
            <w:tcW w:w="655" w:type="pct"/>
            <w:vAlign w:val="center"/>
          </w:tcPr>
          <w:p w14:paraId="1AC054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695" w:type="pct"/>
            <w:vAlign w:val="center"/>
          </w:tcPr>
          <w:p w14:paraId="74914F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0.000271</w:t>
            </w:r>
          </w:p>
        </w:tc>
        <w:tc>
          <w:tcPr>
            <w:tcW w:w="710" w:type="pct"/>
            <w:vAlign w:val="center"/>
          </w:tcPr>
          <w:p w14:paraId="427BA9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734" w:type="pct"/>
            <w:vAlign w:val="center"/>
          </w:tcPr>
          <w:p w14:paraId="0F708D1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0.00942</w:t>
            </w:r>
          </w:p>
        </w:tc>
      </w:tr>
      <w:tr w14:paraId="696E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7C050EB">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DD3C3B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037A68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0.00439</w:t>
            </w:r>
          </w:p>
        </w:tc>
        <w:tc>
          <w:tcPr>
            <w:tcW w:w="678" w:type="pct"/>
            <w:vAlign w:val="center"/>
          </w:tcPr>
          <w:p w14:paraId="77CE7A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0.0511</w:t>
            </w:r>
          </w:p>
        </w:tc>
        <w:tc>
          <w:tcPr>
            <w:tcW w:w="655" w:type="pct"/>
            <w:vAlign w:val="center"/>
          </w:tcPr>
          <w:p w14:paraId="795736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695" w:type="pct"/>
            <w:vAlign w:val="center"/>
          </w:tcPr>
          <w:p w14:paraId="0A3597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0.000295</w:t>
            </w:r>
          </w:p>
        </w:tc>
        <w:tc>
          <w:tcPr>
            <w:tcW w:w="710" w:type="pct"/>
            <w:vAlign w:val="center"/>
          </w:tcPr>
          <w:p w14:paraId="785450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0.0505</w:t>
            </w:r>
          </w:p>
        </w:tc>
        <w:tc>
          <w:tcPr>
            <w:tcW w:w="734" w:type="pct"/>
            <w:vAlign w:val="center"/>
          </w:tcPr>
          <w:p w14:paraId="78D33F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0.00891</w:t>
            </w:r>
          </w:p>
        </w:tc>
      </w:tr>
      <w:tr w14:paraId="7B4F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7C6C103">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0B6857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7AF475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0.00481</w:t>
            </w:r>
          </w:p>
        </w:tc>
        <w:tc>
          <w:tcPr>
            <w:tcW w:w="678" w:type="pct"/>
            <w:vAlign w:val="center"/>
          </w:tcPr>
          <w:p w14:paraId="72D587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655" w:type="pct"/>
            <w:vAlign w:val="center"/>
          </w:tcPr>
          <w:p w14:paraId="0A278D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695" w:type="pct"/>
            <w:vAlign w:val="center"/>
          </w:tcPr>
          <w:p w14:paraId="6FB5EF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0.000343</w:t>
            </w:r>
          </w:p>
        </w:tc>
        <w:tc>
          <w:tcPr>
            <w:tcW w:w="710" w:type="pct"/>
            <w:vAlign w:val="center"/>
          </w:tcPr>
          <w:p w14:paraId="376706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734" w:type="pct"/>
            <w:vAlign w:val="center"/>
          </w:tcPr>
          <w:p w14:paraId="50FB96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0.00883</w:t>
            </w:r>
          </w:p>
        </w:tc>
      </w:tr>
      <w:tr w14:paraId="3905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A609EC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1D21808">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0E67BA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0.00452</w:t>
            </w:r>
          </w:p>
        </w:tc>
        <w:tc>
          <w:tcPr>
            <w:tcW w:w="678" w:type="pct"/>
            <w:vAlign w:val="center"/>
          </w:tcPr>
          <w:p w14:paraId="46DAC1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655" w:type="pct"/>
            <w:vAlign w:val="center"/>
          </w:tcPr>
          <w:p w14:paraId="4B5236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3DFF02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0.000315</w:t>
            </w:r>
          </w:p>
        </w:tc>
        <w:tc>
          <w:tcPr>
            <w:tcW w:w="710" w:type="pct"/>
            <w:vAlign w:val="center"/>
          </w:tcPr>
          <w:p w14:paraId="395F8B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0.0511</w:t>
            </w:r>
          </w:p>
        </w:tc>
        <w:tc>
          <w:tcPr>
            <w:tcW w:w="734" w:type="pct"/>
            <w:vAlign w:val="center"/>
          </w:tcPr>
          <w:p w14:paraId="2B70C6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0.00926</w:t>
            </w:r>
          </w:p>
        </w:tc>
      </w:tr>
      <w:tr w14:paraId="6772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73C17F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CE60D8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6BF080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0.00477</w:t>
            </w:r>
          </w:p>
        </w:tc>
        <w:tc>
          <w:tcPr>
            <w:tcW w:w="678" w:type="pct"/>
            <w:vAlign w:val="center"/>
          </w:tcPr>
          <w:p w14:paraId="25ED67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0.0515</w:t>
            </w:r>
          </w:p>
        </w:tc>
        <w:tc>
          <w:tcPr>
            <w:tcW w:w="655" w:type="pct"/>
            <w:vAlign w:val="center"/>
          </w:tcPr>
          <w:p w14:paraId="589955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695" w:type="pct"/>
            <w:vAlign w:val="center"/>
          </w:tcPr>
          <w:p w14:paraId="1CC46D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0.000204</w:t>
            </w:r>
          </w:p>
        </w:tc>
        <w:tc>
          <w:tcPr>
            <w:tcW w:w="710" w:type="pct"/>
            <w:vAlign w:val="center"/>
          </w:tcPr>
          <w:p w14:paraId="295D12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734" w:type="pct"/>
            <w:vAlign w:val="center"/>
          </w:tcPr>
          <w:p w14:paraId="28A479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0.00957</w:t>
            </w:r>
          </w:p>
        </w:tc>
      </w:tr>
      <w:tr w14:paraId="6C8E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72BB364E">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AEE05B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29A2DA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0.00449</w:t>
            </w:r>
          </w:p>
        </w:tc>
        <w:tc>
          <w:tcPr>
            <w:tcW w:w="678" w:type="pct"/>
            <w:vAlign w:val="center"/>
          </w:tcPr>
          <w:p w14:paraId="3A9A75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655" w:type="pct"/>
            <w:vAlign w:val="center"/>
          </w:tcPr>
          <w:p w14:paraId="175160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0.203 </w:t>
            </w:r>
          </w:p>
        </w:tc>
        <w:tc>
          <w:tcPr>
            <w:tcW w:w="695" w:type="pct"/>
            <w:vAlign w:val="center"/>
          </w:tcPr>
          <w:p w14:paraId="4BAC55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0.000263</w:t>
            </w:r>
          </w:p>
        </w:tc>
        <w:tc>
          <w:tcPr>
            <w:tcW w:w="710" w:type="pct"/>
            <w:vAlign w:val="center"/>
          </w:tcPr>
          <w:p w14:paraId="7A0C18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0.0509</w:t>
            </w:r>
          </w:p>
        </w:tc>
        <w:tc>
          <w:tcPr>
            <w:tcW w:w="734" w:type="pct"/>
            <w:vAlign w:val="center"/>
          </w:tcPr>
          <w:p w14:paraId="78DDB8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0.00929</w:t>
            </w:r>
          </w:p>
        </w:tc>
      </w:tr>
      <w:tr w14:paraId="3372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3C07349">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4171C0E">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1D18B1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0.00478</w:t>
            </w:r>
          </w:p>
        </w:tc>
        <w:tc>
          <w:tcPr>
            <w:tcW w:w="678" w:type="pct"/>
            <w:vAlign w:val="center"/>
          </w:tcPr>
          <w:p w14:paraId="0CB73E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0.0497</w:t>
            </w:r>
          </w:p>
        </w:tc>
        <w:tc>
          <w:tcPr>
            <w:tcW w:w="655" w:type="pct"/>
            <w:vAlign w:val="center"/>
          </w:tcPr>
          <w:p w14:paraId="499FCA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0.217 </w:t>
            </w:r>
          </w:p>
        </w:tc>
        <w:tc>
          <w:tcPr>
            <w:tcW w:w="695" w:type="pct"/>
            <w:vAlign w:val="center"/>
          </w:tcPr>
          <w:p w14:paraId="569D73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0.000216</w:t>
            </w:r>
          </w:p>
        </w:tc>
        <w:tc>
          <w:tcPr>
            <w:tcW w:w="710" w:type="pct"/>
            <w:vAlign w:val="center"/>
          </w:tcPr>
          <w:p w14:paraId="673C32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0.0507</w:t>
            </w:r>
          </w:p>
        </w:tc>
        <w:tc>
          <w:tcPr>
            <w:tcW w:w="734" w:type="pct"/>
            <w:vAlign w:val="center"/>
          </w:tcPr>
          <w:p w14:paraId="4E4268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0.00937</w:t>
            </w:r>
          </w:p>
        </w:tc>
      </w:tr>
      <w:tr w14:paraId="4ABA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45F73BA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10</w:t>
            </w:r>
          </w:p>
        </w:tc>
        <w:tc>
          <w:tcPr>
            <w:tcW w:w="496" w:type="pct"/>
            <w:vAlign w:val="center"/>
          </w:tcPr>
          <w:p w14:paraId="6A30182F">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5390A7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0.00459 </w:t>
            </w:r>
          </w:p>
        </w:tc>
        <w:tc>
          <w:tcPr>
            <w:tcW w:w="678" w:type="pct"/>
            <w:vAlign w:val="center"/>
          </w:tcPr>
          <w:p w14:paraId="5E7119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0.0485 </w:t>
            </w:r>
          </w:p>
        </w:tc>
        <w:tc>
          <w:tcPr>
            <w:tcW w:w="655" w:type="pct"/>
            <w:vAlign w:val="center"/>
          </w:tcPr>
          <w:p w14:paraId="1EC0D3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0.207</w:t>
            </w:r>
          </w:p>
        </w:tc>
        <w:tc>
          <w:tcPr>
            <w:tcW w:w="695" w:type="pct"/>
            <w:vAlign w:val="center"/>
          </w:tcPr>
          <w:p w14:paraId="0A798E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0.000287</w:t>
            </w:r>
          </w:p>
        </w:tc>
        <w:tc>
          <w:tcPr>
            <w:tcW w:w="710" w:type="pct"/>
            <w:vAlign w:val="center"/>
          </w:tcPr>
          <w:p w14:paraId="24835C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734" w:type="pct"/>
            <w:vAlign w:val="center"/>
          </w:tcPr>
          <w:p w14:paraId="57E67D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0.00914</w:t>
            </w:r>
          </w:p>
        </w:tc>
      </w:tr>
      <w:tr w14:paraId="41D8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7DBB624">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48CE3AA">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5EA892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0.00451 </w:t>
            </w:r>
          </w:p>
        </w:tc>
        <w:tc>
          <w:tcPr>
            <w:tcW w:w="678" w:type="pct"/>
            <w:vAlign w:val="center"/>
          </w:tcPr>
          <w:p w14:paraId="3E8192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0.0466 </w:t>
            </w:r>
          </w:p>
        </w:tc>
        <w:tc>
          <w:tcPr>
            <w:tcW w:w="655" w:type="pct"/>
            <w:vAlign w:val="center"/>
          </w:tcPr>
          <w:p w14:paraId="737948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0.218</w:t>
            </w:r>
          </w:p>
        </w:tc>
        <w:tc>
          <w:tcPr>
            <w:tcW w:w="695" w:type="pct"/>
            <w:vAlign w:val="center"/>
          </w:tcPr>
          <w:p w14:paraId="55980F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0.000271</w:t>
            </w:r>
          </w:p>
        </w:tc>
        <w:tc>
          <w:tcPr>
            <w:tcW w:w="710" w:type="pct"/>
            <w:vAlign w:val="center"/>
          </w:tcPr>
          <w:p w14:paraId="16FF7D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0.0505 </w:t>
            </w:r>
          </w:p>
        </w:tc>
        <w:tc>
          <w:tcPr>
            <w:tcW w:w="734" w:type="pct"/>
            <w:vAlign w:val="center"/>
          </w:tcPr>
          <w:p w14:paraId="7E9AA7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0.00901</w:t>
            </w:r>
          </w:p>
        </w:tc>
      </w:tr>
      <w:tr w14:paraId="0F99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774C3B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815D5EF">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73920A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0.00448 </w:t>
            </w:r>
          </w:p>
        </w:tc>
        <w:tc>
          <w:tcPr>
            <w:tcW w:w="678" w:type="pct"/>
            <w:vAlign w:val="center"/>
          </w:tcPr>
          <w:p w14:paraId="4B921B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0.0475 </w:t>
            </w:r>
          </w:p>
        </w:tc>
        <w:tc>
          <w:tcPr>
            <w:tcW w:w="655" w:type="pct"/>
            <w:vAlign w:val="center"/>
          </w:tcPr>
          <w:p w14:paraId="1A3736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695" w:type="pct"/>
            <w:vAlign w:val="center"/>
          </w:tcPr>
          <w:p w14:paraId="7D5D67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0.000266</w:t>
            </w:r>
          </w:p>
        </w:tc>
        <w:tc>
          <w:tcPr>
            <w:tcW w:w="710" w:type="pct"/>
            <w:vAlign w:val="center"/>
          </w:tcPr>
          <w:p w14:paraId="43C3FD1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0.0487 </w:t>
            </w:r>
          </w:p>
        </w:tc>
        <w:tc>
          <w:tcPr>
            <w:tcW w:w="734" w:type="pct"/>
            <w:vAlign w:val="center"/>
          </w:tcPr>
          <w:p w14:paraId="4C9C67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0.00895</w:t>
            </w:r>
          </w:p>
        </w:tc>
      </w:tr>
      <w:tr w14:paraId="4EAA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4070847">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0A0F1B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06982C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0.00469 </w:t>
            </w:r>
          </w:p>
        </w:tc>
        <w:tc>
          <w:tcPr>
            <w:tcW w:w="678" w:type="pct"/>
            <w:vAlign w:val="center"/>
          </w:tcPr>
          <w:p w14:paraId="739D20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0.0488 </w:t>
            </w:r>
          </w:p>
        </w:tc>
        <w:tc>
          <w:tcPr>
            <w:tcW w:w="655" w:type="pct"/>
            <w:vAlign w:val="center"/>
          </w:tcPr>
          <w:p w14:paraId="2E7F18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c>
          <w:tcPr>
            <w:tcW w:w="695" w:type="pct"/>
            <w:vAlign w:val="center"/>
          </w:tcPr>
          <w:p w14:paraId="5E3054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0.000285</w:t>
            </w:r>
          </w:p>
        </w:tc>
        <w:tc>
          <w:tcPr>
            <w:tcW w:w="710" w:type="pct"/>
            <w:vAlign w:val="center"/>
          </w:tcPr>
          <w:p w14:paraId="4514FD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0.0509 </w:t>
            </w:r>
          </w:p>
        </w:tc>
        <w:tc>
          <w:tcPr>
            <w:tcW w:w="734" w:type="pct"/>
            <w:vAlign w:val="center"/>
          </w:tcPr>
          <w:p w14:paraId="32A0DE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0.00914</w:t>
            </w:r>
          </w:p>
        </w:tc>
      </w:tr>
      <w:tr w14:paraId="0440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9DE306D">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7F3C832E">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41EC68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0.00452 </w:t>
            </w:r>
          </w:p>
        </w:tc>
        <w:tc>
          <w:tcPr>
            <w:tcW w:w="678" w:type="pct"/>
            <w:vAlign w:val="center"/>
          </w:tcPr>
          <w:p w14:paraId="19E80E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0.0486 </w:t>
            </w:r>
          </w:p>
        </w:tc>
        <w:tc>
          <w:tcPr>
            <w:tcW w:w="655" w:type="pct"/>
            <w:vAlign w:val="center"/>
          </w:tcPr>
          <w:p w14:paraId="06B68D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0.216</w:t>
            </w:r>
          </w:p>
        </w:tc>
        <w:tc>
          <w:tcPr>
            <w:tcW w:w="695" w:type="pct"/>
            <w:vAlign w:val="center"/>
          </w:tcPr>
          <w:p w14:paraId="60DC3D7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0.000264</w:t>
            </w:r>
          </w:p>
        </w:tc>
        <w:tc>
          <w:tcPr>
            <w:tcW w:w="710" w:type="pct"/>
            <w:vAlign w:val="center"/>
          </w:tcPr>
          <w:p w14:paraId="2E751A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734" w:type="pct"/>
            <w:vAlign w:val="center"/>
          </w:tcPr>
          <w:p w14:paraId="51EBCB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0.00906</w:t>
            </w:r>
          </w:p>
        </w:tc>
      </w:tr>
      <w:tr w14:paraId="7779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621D1B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3005E3E">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32D540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0.00471 </w:t>
            </w:r>
          </w:p>
        </w:tc>
        <w:tc>
          <w:tcPr>
            <w:tcW w:w="678" w:type="pct"/>
            <w:vAlign w:val="center"/>
          </w:tcPr>
          <w:p w14:paraId="4928F9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0.0491 </w:t>
            </w:r>
          </w:p>
        </w:tc>
        <w:tc>
          <w:tcPr>
            <w:tcW w:w="655" w:type="pct"/>
            <w:vAlign w:val="center"/>
          </w:tcPr>
          <w:p w14:paraId="2DE970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0.209</w:t>
            </w:r>
          </w:p>
        </w:tc>
        <w:tc>
          <w:tcPr>
            <w:tcW w:w="695" w:type="pct"/>
            <w:vAlign w:val="center"/>
          </w:tcPr>
          <w:p w14:paraId="4EDE08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0.000259</w:t>
            </w:r>
          </w:p>
        </w:tc>
        <w:tc>
          <w:tcPr>
            <w:tcW w:w="710" w:type="pct"/>
            <w:vAlign w:val="center"/>
          </w:tcPr>
          <w:p w14:paraId="3FFE90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734" w:type="pct"/>
            <w:vAlign w:val="center"/>
          </w:tcPr>
          <w:p w14:paraId="6787F8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0.00882</w:t>
            </w:r>
          </w:p>
        </w:tc>
      </w:tr>
      <w:tr w14:paraId="7AF6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C586D9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2C583A4">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2C4239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0.00460 </w:t>
            </w:r>
          </w:p>
        </w:tc>
        <w:tc>
          <w:tcPr>
            <w:tcW w:w="678" w:type="pct"/>
            <w:vAlign w:val="center"/>
          </w:tcPr>
          <w:p w14:paraId="4370DC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0.0470 </w:t>
            </w:r>
          </w:p>
        </w:tc>
        <w:tc>
          <w:tcPr>
            <w:tcW w:w="655" w:type="pct"/>
            <w:vAlign w:val="center"/>
          </w:tcPr>
          <w:p w14:paraId="3CD3E3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c>
          <w:tcPr>
            <w:tcW w:w="695" w:type="pct"/>
            <w:vAlign w:val="center"/>
          </w:tcPr>
          <w:p w14:paraId="0EFCC0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0.000293</w:t>
            </w:r>
          </w:p>
        </w:tc>
        <w:tc>
          <w:tcPr>
            <w:tcW w:w="710" w:type="pct"/>
            <w:vAlign w:val="center"/>
          </w:tcPr>
          <w:p w14:paraId="2EF0C4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0.0508 </w:t>
            </w:r>
          </w:p>
        </w:tc>
        <w:tc>
          <w:tcPr>
            <w:tcW w:w="734" w:type="pct"/>
            <w:vAlign w:val="center"/>
          </w:tcPr>
          <w:p w14:paraId="29C77E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0.00917</w:t>
            </w:r>
          </w:p>
        </w:tc>
      </w:tr>
      <w:tr w14:paraId="7726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679A407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11</w:t>
            </w:r>
          </w:p>
        </w:tc>
        <w:tc>
          <w:tcPr>
            <w:tcW w:w="496" w:type="pct"/>
            <w:vAlign w:val="center"/>
          </w:tcPr>
          <w:p w14:paraId="5085B770">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31793C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0.00536</w:t>
            </w:r>
          </w:p>
        </w:tc>
        <w:tc>
          <w:tcPr>
            <w:tcW w:w="678" w:type="pct"/>
            <w:vAlign w:val="center"/>
          </w:tcPr>
          <w:p w14:paraId="78C2CC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655" w:type="pct"/>
            <w:vAlign w:val="center"/>
          </w:tcPr>
          <w:p w14:paraId="1ED4C4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0.213 </w:t>
            </w:r>
          </w:p>
        </w:tc>
        <w:tc>
          <w:tcPr>
            <w:tcW w:w="695" w:type="pct"/>
            <w:vAlign w:val="center"/>
          </w:tcPr>
          <w:p w14:paraId="2005A0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0.000441 </w:t>
            </w:r>
          </w:p>
        </w:tc>
        <w:tc>
          <w:tcPr>
            <w:tcW w:w="710" w:type="pct"/>
            <w:vAlign w:val="center"/>
          </w:tcPr>
          <w:p w14:paraId="235B64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0.0519 </w:t>
            </w:r>
          </w:p>
        </w:tc>
        <w:tc>
          <w:tcPr>
            <w:tcW w:w="734" w:type="pct"/>
            <w:vAlign w:val="center"/>
          </w:tcPr>
          <w:p w14:paraId="08267F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0.00985</w:t>
            </w:r>
          </w:p>
        </w:tc>
      </w:tr>
      <w:tr w14:paraId="184E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85213CC">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23B0C87F">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6E71BD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0.00501</w:t>
            </w:r>
          </w:p>
        </w:tc>
        <w:tc>
          <w:tcPr>
            <w:tcW w:w="678" w:type="pct"/>
            <w:vAlign w:val="center"/>
          </w:tcPr>
          <w:p w14:paraId="6F456B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0.0504</w:t>
            </w:r>
          </w:p>
        </w:tc>
        <w:tc>
          <w:tcPr>
            <w:tcW w:w="655" w:type="pct"/>
            <w:vAlign w:val="center"/>
          </w:tcPr>
          <w:p w14:paraId="78010F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c>
          <w:tcPr>
            <w:tcW w:w="695" w:type="pct"/>
            <w:vAlign w:val="center"/>
          </w:tcPr>
          <w:p w14:paraId="77B87B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0.000374 </w:t>
            </w:r>
          </w:p>
        </w:tc>
        <w:tc>
          <w:tcPr>
            <w:tcW w:w="710" w:type="pct"/>
            <w:vAlign w:val="center"/>
          </w:tcPr>
          <w:p w14:paraId="1F1262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0.0512 </w:t>
            </w:r>
          </w:p>
        </w:tc>
        <w:tc>
          <w:tcPr>
            <w:tcW w:w="734" w:type="pct"/>
            <w:vAlign w:val="center"/>
          </w:tcPr>
          <w:p w14:paraId="387126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0.00856</w:t>
            </w:r>
          </w:p>
        </w:tc>
      </w:tr>
      <w:tr w14:paraId="5928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35CEC9A">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C43D585">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746679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0.00512</w:t>
            </w:r>
          </w:p>
        </w:tc>
        <w:tc>
          <w:tcPr>
            <w:tcW w:w="678" w:type="pct"/>
            <w:vAlign w:val="center"/>
          </w:tcPr>
          <w:p w14:paraId="40EF5A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0.0492</w:t>
            </w:r>
          </w:p>
        </w:tc>
        <w:tc>
          <w:tcPr>
            <w:tcW w:w="655" w:type="pct"/>
            <w:vAlign w:val="center"/>
          </w:tcPr>
          <w:p w14:paraId="36F581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0.216 </w:t>
            </w:r>
          </w:p>
        </w:tc>
        <w:tc>
          <w:tcPr>
            <w:tcW w:w="695" w:type="pct"/>
            <w:vAlign w:val="center"/>
          </w:tcPr>
          <w:p w14:paraId="6C56C8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0.000290 </w:t>
            </w:r>
          </w:p>
        </w:tc>
        <w:tc>
          <w:tcPr>
            <w:tcW w:w="710" w:type="pct"/>
            <w:vAlign w:val="center"/>
          </w:tcPr>
          <w:p w14:paraId="22DE23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0.0526 </w:t>
            </w:r>
          </w:p>
        </w:tc>
        <w:tc>
          <w:tcPr>
            <w:tcW w:w="734" w:type="pct"/>
            <w:vAlign w:val="center"/>
          </w:tcPr>
          <w:p w14:paraId="34FFC2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0.00879</w:t>
            </w:r>
          </w:p>
        </w:tc>
      </w:tr>
      <w:tr w14:paraId="0600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33446CCD">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0B07C20">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4E9D3C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0.00482</w:t>
            </w:r>
          </w:p>
        </w:tc>
        <w:tc>
          <w:tcPr>
            <w:tcW w:w="678" w:type="pct"/>
            <w:vAlign w:val="center"/>
          </w:tcPr>
          <w:p w14:paraId="02324D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0.0502</w:t>
            </w:r>
          </w:p>
        </w:tc>
        <w:tc>
          <w:tcPr>
            <w:tcW w:w="655" w:type="pct"/>
            <w:vAlign w:val="center"/>
          </w:tcPr>
          <w:p w14:paraId="54E803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6E0963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0.000342 </w:t>
            </w:r>
          </w:p>
        </w:tc>
        <w:tc>
          <w:tcPr>
            <w:tcW w:w="710" w:type="pct"/>
            <w:vAlign w:val="center"/>
          </w:tcPr>
          <w:p w14:paraId="578540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0.0516 </w:t>
            </w:r>
          </w:p>
        </w:tc>
        <w:tc>
          <w:tcPr>
            <w:tcW w:w="734" w:type="pct"/>
            <w:vAlign w:val="center"/>
          </w:tcPr>
          <w:p w14:paraId="411D91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0.00974</w:t>
            </w:r>
          </w:p>
        </w:tc>
      </w:tr>
      <w:tr w14:paraId="72A4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1E34B50">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C0E73CC">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1B0902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0.00474</w:t>
            </w:r>
          </w:p>
        </w:tc>
        <w:tc>
          <w:tcPr>
            <w:tcW w:w="678" w:type="pct"/>
            <w:vAlign w:val="center"/>
          </w:tcPr>
          <w:p w14:paraId="585F47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655" w:type="pct"/>
            <w:vAlign w:val="center"/>
          </w:tcPr>
          <w:p w14:paraId="2C89BF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695" w:type="pct"/>
            <w:vAlign w:val="center"/>
          </w:tcPr>
          <w:p w14:paraId="0B6DBB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0.000482 </w:t>
            </w:r>
          </w:p>
        </w:tc>
        <w:tc>
          <w:tcPr>
            <w:tcW w:w="710" w:type="pct"/>
            <w:vAlign w:val="center"/>
          </w:tcPr>
          <w:p w14:paraId="2149A7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0.0512 </w:t>
            </w:r>
          </w:p>
        </w:tc>
        <w:tc>
          <w:tcPr>
            <w:tcW w:w="734" w:type="pct"/>
            <w:vAlign w:val="center"/>
          </w:tcPr>
          <w:p w14:paraId="678261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0.00912</w:t>
            </w:r>
          </w:p>
        </w:tc>
      </w:tr>
      <w:tr w14:paraId="48DB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471A49E3">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4EF319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327584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0.00417</w:t>
            </w:r>
          </w:p>
        </w:tc>
        <w:tc>
          <w:tcPr>
            <w:tcW w:w="678" w:type="pct"/>
            <w:vAlign w:val="center"/>
          </w:tcPr>
          <w:p w14:paraId="360E8C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0.0512</w:t>
            </w:r>
          </w:p>
        </w:tc>
        <w:tc>
          <w:tcPr>
            <w:tcW w:w="655" w:type="pct"/>
            <w:vAlign w:val="center"/>
          </w:tcPr>
          <w:p w14:paraId="13E266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695" w:type="pct"/>
            <w:vAlign w:val="center"/>
          </w:tcPr>
          <w:p w14:paraId="595071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0.000421 </w:t>
            </w:r>
          </w:p>
        </w:tc>
        <w:tc>
          <w:tcPr>
            <w:tcW w:w="710" w:type="pct"/>
            <w:vAlign w:val="center"/>
          </w:tcPr>
          <w:p w14:paraId="76F968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734" w:type="pct"/>
            <w:vAlign w:val="center"/>
          </w:tcPr>
          <w:p w14:paraId="7F3596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0.00843</w:t>
            </w:r>
          </w:p>
        </w:tc>
      </w:tr>
      <w:tr w14:paraId="123D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2935993D">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724F55D9">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1BBC05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0.00476</w:t>
            </w:r>
          </w:p>
        </w:tc>
        <w:tc>
          <w:tcPr>
            <w:tcW w:w="678" w:type="pct"/>
            <w:vAlign w:val="center"/>
          </w:tcPr>
          <w:p w14:paraId="2AFBEB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0.0525</w:t>
            </w:r>
          </w:p>
        </w:tc>
        <w:tc>
          <w:tcPr>
            <w:tcW w:w="655" w:type="pct"/>
            <w:vAlign w:val="center"/>
          </w:tcPr>
          <w:p w14:paraId="70921C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695" w:type="pct"/>
            <w:vAlign w:val="center"/>
          </w:tcPr>
          <w:p w14:paraId="6078BE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0.000463 </w:t>
            </w:r>
          </w:p>
        </w:tc>
        <w:tc>
          <w:tcPr>
            <w:tcW w:w="710" w:type="pct"/>
            <w:vAlign w:val="center"/>
          </w:tcPr>
          <w:p w14:paraId="0E7FC8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734" w:type="pct"/>
            <w:vAlign w:val="center"/>
          </w:tcPr>
          <w:p w14:paraId="30669E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0.00864</w:t>
            </w:r>
          </w:p>
        </w:tc>
      </w:tr>
      <w:tr w14:paraId="0C87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restart"/>
            <w:vAlign w:val="center"/>
          </w:tcPr>
          <w:p w14:paraId="2A5D6E73">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12</w:t>
            </w:r>
          </w:p>
        </w:tc>
        <w:tc>
          <w:tcPr>
            <w:tcW w:w="496" w:type="pct"/>
            <w:vAlign w:val="center"/>
          </w:tcPr>
          <w:p w14:paraId="6CF9112E">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1</w:t>
            </w:r>
          </w:p>
        </w:tc>
        <w:tc>
          <w:tcPr>
            <w:tcW w:w="597" w:type="pct"/>
            <w:vAlign w:val="center"/>
          </w:tcPr>
          <w:p w14:paraId="6A7ECF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0.00351</w:t>
            </w:r>
          </w:p>
        </w:tc>
        <w:tc>
          <w:tcPr>
            <w:tcW w:w="678" w:type="pct"/>
            <w:vAlign w:val="center"/>
          </w:tcPr>
          <w:p w14:paraId="2949B3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655" w:type="pct"/>
            <w:vAlign w:val="center"/>
          </w:tcPr>
          <w:p w14:paraId="5DB40F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0.205 </w:t>
            </w:r>
          </w:p>
        </w:tc>
        <w:tc>
          <w:tcPr>
            <w:tcW w:w="695" w:type="pct"/>
            <w:vAlign w:val="center"/>
          </w:tcPr>
          <w:p w14:paraId="082F0D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0.000179</w:t>
            </w:r>
          </w:p>
        </w:tc>
        <w:tc>
          <w:tcPr>
            <w:tcW w:w="710" w:type="pct"/>
            <w:vAlign w:val="center"/>
          </w:tcPr>
          <w:p w14:paraId="0D1A75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0.0490 </w:t>
            </w:r>
          </w:p>
        </w:tc>
        <w:tc>
          <w:tcPr>
            <w:tcW w:w="734" w:type="pct"/>
            <w:vAlign w:val="center"/>
          </w:tcPr>
          <w:p w14:paraId="56053C8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0.00893</w:t>
            </w:r>
          </w:p>
        </w:tc>
      </w:tr>
      <w:tr w14:paraId="7C61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44D2E3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16483CB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2</w:t>
            </w:r>
          </w:p>
        </w:tc>
        <w:tc>
          <w:tcPr>
            <w:tcW w:w="597" w:type="pct"/>
            <w:vAlign w:val="center"/>
          </w:tcPr>
          <w:p w14:paraId="2CEB7C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0.00363</w:t>
            </w:r>
          </w:p>
        </w:tc>
        <w:tc>
          <w:tcPr>
            <w:tcW w:w="678" w:type="pct"/>
            <w:vAlign w:val="center"/>
          </w:tcPr>
          <w:p w14:paraId="1EDA10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655" w:type="pct"/>
            <w:vAlign w:val="center"/>
          </w:tcPr>
          <w:p w14:paraId="7E0F3B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695" w:type="pct"/>
            <w:vAlign w:val="center"/>
          </w:tcPr>
          <w:p w14:paraId="735F4C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0.000188</w:t>
            </w:r>
          </w:p>
        </w:tc>
        <w:tc>
          <w:tcPr>
            <w:tcW w:w="710" w:type="pct"/>
            <w:vAlign w:val="center"/>
          </w:tcPr>
          <w:p w14:paraId="61C4FA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734" w:type="pct"/>
            <w:vAlign w:val="center"/>
          </w:tcPr>
          <w:p w14:paraId="6BAF3D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0.00913</w:t>
            </w:r>
          </w:p>
        </w:tc>
      </w:tr>
      <w:tr w14:paraId="29D1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9E09111">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368E68B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3</w:t>
            </w:r>
          </w:p>
        </w:tc>
        <w:tc>
          <w:tcPr>
            <w:tcW w:w="597" w:type="pct"/>
            <w:vAlign w:val="center"/>
          </w:tcPr>
          <w:p w14:paraId="08EB56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0.00365</w:t>
            </w:r>
          </w:p>
        </w:tc>
        <w:tc>
          <w:tcPr>
            <w:tcW w:w="678" w:type="pct"/>
            <w:vAlign w:val="center"/>
          </w:tcPr>
          <w:p w14:paraId="0FE35A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655" w:type="pct"/>
            <w:vAlign w:val="center"/>
          </w:tcPr>
          <w:p w14:paraId="232477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695" w:type="pct"/>
            <w:vAlign w:val="center"/>
          </w:tcPr>
          <w:p w14:paraId="5AAC91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0.000213</w:t>
            </w:r>
          </w:p>
        </w:tc>
        <w:tc>
          <w:tcPr>
            <w:tcW w:w="710" w:type="pct"/>
            <w:vAlign w:val="center"/>
          </w:tcPr>
          <w:p w14:paraId="021DB8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0.0487 </w:t>
            </w:r>
          </w:p>
        </w:tc>
        <w:tc>
          <w:tcPr>
            <w:tcW w:w="734" w:type="pct"/>
            <w:vAlign w:val="center"/>
          </w:tcPr>
          <w:p w14:paraId="192F7F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0.00866</w:t>
            </w:r>
          </w:p>
        </w:tc>
      </w:tr>
      <w:tr w14:paraId="6082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15D46087">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20DC77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4</w:t>
            </w:r>
          </w:p>
        </w:tc>
        <w:tc>
          <w:tcPr>
            <w:tcW w:w="597" w:type="pct"/>
            <w:vAlign w:val="center"/>
          </w:tcPr>
          <w:p w14:paraId="69ECA7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0.00383</w:t>
            </w:r>
          </w:p>
        </w:tc>
        <w:tc>
          <w:tcPr>
            <w:tcW w:w="678" w:type="pct"/>
            <w:vAlign w:val="center"/>
          </w:tcPr>
          <w:p w14:paraId="24336E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0.0503</w:t>
            </w:r>
          </w:p>
        </w:tc>
        <w:tc>
          <w:tcPr>
            <w:tcW w:w="655" w:type="pct"/>
            <w:vAlign w:val="center"/>
          </w:tcPr>
          <w:p w14:paraId="491199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695" w:type="pct"/>
            <w:vAlign w:val="center"/>
          </w:tcPr>
          <w:p w14:paraId="5A49F7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0.000222</w:t>
            </w:r>
          </w:p>
        </w:tc>
        <w:tc>
          <w:tcPr>
            <w:tcW w:w="710" w:type="pct"/>
            <w:vAlign w:val="center"/>
          </w:tcPr>
          <w:p w14:paraId="128CE0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0.0489 </w:t>
            </w:r>
          </w:p>
        </w:tc>
        <w:tc>
          <w:tcPr>
            <w:tcW w:w="734" w:type="pct"/>
            <w:vAlign w:val="center"/>
          </w:tcPr>
          <w:p w14:paraId="560BB5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0.00859</w:t>
            </w:r>
          </w:p>
        </w:tc>
      </w:tr>
      <w:tr w14:paraId="4C90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896DFEF">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0BEA682F">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5</w:t>
            </w:r>
          </w:p>
        </w:tc>
        <w:tc>
          <w:tcPr>
            <w:tcW w:w="597" w:type="pct"/>
            <w:vAlign w:val="center"/>
          </w:tcPr>
          <w:p w14:paraId="2293EC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0.00489</w:t>
            </w:r>
          </w:p>
        </w:tc>
        <w:tc>
          <w:tcPr>
            <w:tcW w:w="678" w:type="pct"/>
            <w:vAlign w:val="center"/>
          </w:tcPr>
          <w:p w14:paraId="7AA8F1D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655" w:type="pct"/>
            <w:vAlign w:val="center"/>
          </w:tcPr>
          <w:p w14:paraId="62947C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0.212 </w:t>
            </w:r>
          </w:p>
        </w:tc>
        <w:tc>
          <w:tcPr>
            <w:tcW w:w="695" w:type="pct"/>
            <w:vAlign w:val="center"/>
          </w:tcPr>
          <w:p w14:paraId="6ACCC2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0.000254</w:t>
            </w:r>
          </w:p>
        </w:tc>
        <w:tc>
          <w:tcPr>
            <w:tcW w:w="710" w:type="pct"/>
            <w:vAlign w:val="center"/>
          </w:tcPr>
          <w:p w14:paraId="61A7D6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734" w:type="pct"/>
            <w:vAlign w:val="center"/>
          </w:tcPr>
          <w:p w14:paraId="429108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0.00825</w:t>
            </w:r>
          </w:p>
        </w:tc>
      </w:tr>
      <w:tr w14:paraId="6265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016BE460">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49D1AF12">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6</w:t>
            </w:r>
          </w:p>
        </w:tc>
        <w:tc>
          <w:tcPr>
            <w:tcW w:w="597" w:type="pct"/>
            <w:vAlign w:val="center"/>
          </w:tcPr>
          <w:p w14:paraId="6A9A62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0.00508</w:t>
            </w:r>
            <w:r>
              <w:rPr>
                <w:rFonts w:cs="Times New Roman"/>
                <w:kern w:val="2"/>
                <w:sz w:val="18"/>
                <w:szCs w:val="18"/>
              </w:rPr>
              <w:t>**</w:t>
            </w:r>
          </w:p>
        </w:tc>
        <w:tc>
          <w:tcPr>
            <w:tcW w:w="678" w:type="pct"/>
            <w:vAlign w:val="center"/>
          </w:tcPr>
          <w:p w14:paraId="65EBAD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655" w:type="pct"/>
            <w:vAlign w:val="center"/>
          </w:tcPr>
          <w:p w14:paraId="171EC2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695" w:type="pct"/>
            <w:vAlign w:val="center"/>
          </w:tcPr>
          <w:p w14:paraId="04D9B7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0.000307</w:t>
            </w:r>
          </w:p>
        </w:tc>
        <w:tc>
          <w:tcPr>
            <w:tcW w:w="710" w:type="pct"/>
            <w:vAlign w:val="center"/>
          </w:tcPr>
          <w:p w14:paraId="2C5C5A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734" w:type="pct"/>
            <w:vAlign w:val="center"/>
          </w:tcPr>
          <w:p w14:paraId="460A0D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0.00824</w:t>
            </w:r>
          </w:p>
        </w:tc>
      </w:tr>
      <w:tr w14:paraId="13B5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1" w:type="pct"/>
            <w:vMerge w:val="continue"/>
            <w:vAlign w:val="center"/>
          </w:tcPr>
          <w:p w14:paraId="667E4FD5">
            <w:pPr>
              <w:keepNext w:val="0"/>
              <w:keepLines w:val="0"/>
              <w:pageBreakBefore w:val="0"/>
              <w:kinsoku/>
              <w:wordWrap/>
              <w:overflowPunct/>
              <w:topLinePunct w:val="0"/>
              <w:autoSpaceDE/>
              <w:autoSpaceDN/>
              <w:bidi w:val="0"/>
              <w:adjustRightInd/>
              <w:snapToGrid/>
              <w:spacing w:line="240" w:lineRule="auto"/>
              <w:ind w:firstLine="360" w:firstLineChars="200"/>
              <w:jc w:val="center"/>
              <w:rPr>
                <w:rFonts w:cs="Times New Roman"/>
                <w:kern w:val="2"/>
                <w:sz w:val="18"/>
                <w:szCs w:val="18"/>
              </w:rPr>
            </w:pPr>
          </w:p>
        </w:tc>
        <w:tc>
          <w:tcPr>
            <w:tcW w:w="496" w:type="pct"/>
            <w:vAlign w:val="center"/>
          </w:tcPr>
          <w:p w14:paraId="60D4C23D">
            <w:pPr>
              <w:keepNext w:val="0"/>
              <w:keepLines w:val="0"/>
              <w:pageBreakBefore w:val="0"/>
              <w:kinsoku/>
              <w:wordWrap/>
              <w:overflowPunct/>
              <w:topLinePunct w:val="0"/>
              <w:autoSpaceDE/>
              <w:autoSpaceDN/>
              <w:bidi w:val="0"/>
              <w:adjustRightInd/>
              <w:snapToGrid/>
              <w:spacing w:line="240" w:lineRule="auto"/>
              <w:jc w:val="center"/>
              <w:rPr>
                <w:rFonts w:cs="Times New Roman"/>
                <w:kern w:val="2"/>
                <w:sz w:val="18"/>
                <w:szCs w:val="18"/>
              </w:rPr>
            </w:pPr>
            <w:r>
              <w:rPr>
                <w:rFonts w:cs="Times New Roman"/>
                <w:kern w:val="2"/>
                <w:sz w:val="18"/>
                <w:szCs w:val="18"/>
              </w:rPr>
              <w:t>7</w:t>
            </w:r>
          </w:p>
        </w:tc>
        <w:tc>
          <w:tcPr>
            <w:tcW w:w="597" w:type="pct"/>
            <w:vAlign w:val="center"/>
          </w:tcPr>
          <w:p w14:paraId="37E869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0.00528</w:t>
            </w:r>
            <w:r>
              <w:rPr>
                <w:rFonts w:cs="Times New Roman"/>
                <w:kern w:val="2"/>
                <w:sz w:val="18"/>
                <w:szCs w:val="18"/>
              </w:rPr>
              <w:t>**</w:t>
            </w:r>
          </w:p>
        </w:tc>
        <w:tc>
          <w:tcPr>
            <w:tcW w:w="678" w:type="pct"/>
            <w:vAlign w:val="center"/>
          </w:tcPr>
          <w:p w14:paraId="55D6E8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0.0502</w:t>
            </w:r>
          </w:p>
        </w:tc>
        <w:tc>
          <w:tcPr>
            <w:tcW w:w="655" w:type="pct"/>
            <w:vAlign w:val="center"/>
          </w:tcPr>
          <w:p w14:paraId="5038D4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c>
          <w:tcPr>
            <w:tcW w:w="695" w:type="pct"/>
            <w:vAlign w:val="center"/>
          </w:tcPr>
          <w:p w14:paraId="4332FE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0.000372</w:t>
            </w:r>
          </w:p>
        </w:tc>
        <w:tc>
          <w:tcPr>
            <w:tcW w:w="710" w:type="pct"/>
            <w:vAlign w:val="center"/>
          </w:tcPr>
          <w:p w14:paraId="42846E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0.0498 </w:t>
            </w:r>
          </w:p>
        </w:tc>
        <w:tc>
          <w:tcPr>
            <w:tcW w:w="734" w:type="pct"/>
            <w:vAlign w:val="center"/>
          </w:tcPr>
          <w:p w14:paraId="121F64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Times New Roman" w:hAnsi="Times New Roman" w:eastAsia="宋体"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0.00802</w:t>
            </w:r>
          </w:p>
        </w:tc>
      </w:tr>
    </w:tbl>
    <w:p w14:paraId="102A5131">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3.2.2.2</w:t>
      </w:r>
      <w:r>
        <w:rPr>
          <w:rFonts w:hint="eastAsia" w:ascii="黑体" w:hAnsi="Times New Roman" w:eastAsia="黑体" w:cs="Times New Roman"/>
          <w:b w:val="0"/>
          <w:bCs/>
          <w:kern w:val="2"/>
          <w:sz w:val="21"/>
          <w:szCs w:val="21"/>
          <w:lang w:val="en-US" w:eastAsia="zh-CN"/>
        </w:rPr>
        <w:t>碳和硫</w:t>
      </w:r>
      <w:r>
        <w:rPr>
          <w:rFonts w:hint="eastAsia" w:ascii="黑体" w:hAnsi="Times New Roman" w:eastAsia="黑体" w:cs="Times New Roman"/>
          <w:b w:val="0"/>
          <w:bCs/>
          <w:kern w:val="2"/>
          <w:sz w:val="21"/>
          <w:szCs w:val="21"/>
        </w:rPr>
        <w:t>元素的异常值判定</w:t>
      </w:r>
    </w:p>
    <w:p w14:paraId="7CA709CA">
      <w:pPr>
        <w:keepNext w:val="0"/>
        <w:keepLines w:val="0"/>
        <w:pageBreakBefore w:val="0"/>
        <w:widowControl w:val="0"/>
        <w:tabs>
          <w:tab w:val="left" w:pos="840"/>
        </w:tabs>
        <w:kinsoku/>
        <w:wordWrap/>
        <w:overflowPunct/>
        <w:topLinePunct w:val="0"/>
        <w:autoSpaceDE/>
        <w:autoSpaceDN/>
        <w:bidi w:val="0"/>
        <w:adjustRightInd/>
        <w:snapToGrid w:val="0"/>
        <w:spacing w:line="240" w:lineRule="auto"/>
        <w:ind w:firstLine="420" w:firstLineChars="200"/>
        <w:jc w:val="left"/>
        <w:textAlignment w:val="auto"/>
        <w:rPr>
          <w:rFonts w:hint="eastAsia" w:cs="Times New Roman"/>
          <w:kern w:val="2"/>
          <w:sz w:val="21"/>
          <w:szCs w:val="21"/>
        </w:rPr>
      </w:pPr>
      <w:r>
        <w:rPr>
          <w:rFonts w:hint="eastAsia" w:cs="Times New Roman"/>
          <w:kern w:val="2"/>
          <w:sz w:val="21"/>
          <w:szCs w:val="21"/>
        </w:rPr>
        <w:t>对</w:t>
      </w:r>
      <w:r>
        <w:rPr>
          <w:rFonts w:cs="Times New Roman"/>
          <w:kern w:val="2"/>
          <w:sz w:val="21"/>
          <w:szCs w:val="21"/>
        </w:rPr>
        <w:t>实验室数据采用格拉布斯检验，查表。当n=</w:t>
      </w:r>
      <w:r>
        <w:rPr>
          <w:rFonts w:hint="eastAsia" w:cs="Times New Roman"/>
          <w:kern w:val="2"/>
          <w:sz w:val="21"/>
          <w:szCs w:val="21"/>
        </w:rPr>
        <w:t>7</w:t>
      </w:r>
      <w:r>
        <w:rPr>
          <w:rFonts w:cs="Times New Roman"/>
          <w:kern w:val="2"/>
          <w:sz w:val="21"/>
          <w:szCs w:val="21"/>
        </w:rPr>
        <w:t>，α=0.05时临界值为2.</w:t>
      </w:r>
      <w:r>
        <w:rPr>
          <w:rFonts w:hint="eastAsia" w:cs="Times New Roman"/>
          <w:kern w:val="2"/>
          <w:sz w:val="21"/>
          <w:szCs w:val="21"/>
        </w:rPr>
        <w:t>020</w:t>
      </w:r>
      <w:r>
        <w:rPr>
          <w:rFonts w:cs="Times New Roman"/>
          <w:kern w:val="2"/>
          <w:sz w:val="21"/>
          <w:szCs w:val="21"/>
        </w:rPr>
        <w:t>，α=0.01时临界值为2.</w:t>
      </w:r>
      <w:r>
        <w:rPr>
          <w:rFonts w:hint="eastAsia" w:cs="Times New Roman"/>
          <w:kern w:val="2"/>
          <w:sz w:val="21"/>
          <w:szCs w:val="21"/>
        </w:rPr>
        <w:t>139</w:t>
      </w:r>
      <w:r>
        <w:rPr>
          <w:rFonts w:cs="Times New Roman"/>
          <w:kern w:val="2"/>
          <w:sz w:val="21"/>
          <w:szCs w:val="21"/>
        </w:rPr>
        <w:t>。当检验统计量大于5%临界值，但小于1%临界值，为岐离值，在表1</w:t>
      </w:r>
      <w:r>
        <w:rPr>
          <w:rFonts w:hint="eastAsia" w:cs="Times New Roman"/>
          <w:kern w:val="2"/>
          <w:sz w:val="21"/>
          <w:szCs w:val="21"/>
          <w:lang w:val="en-US" w:eastAsia="zh-CN"/>
        </w:rPr>
        <w:t>1</w:t>
      </w:r>
      <w:r>
        <w:rPr>
          <w:rFonts w:cs="Times New Roman"/>
          <w:kern w:val="2"/>
          <w:sz w:val="21"/>
          <w:szCs w:val="21"/>
        </w:rPr>
        <w:t>中用“</w:t>
      </w:r>
      <w:r>
        <w:rPr>
          <w:rFonts w:cs="Times New Roman"/>
          <w:kern w:val="2"/>
          <w:sz w:val="22"/>
          <w:szCs w:val="22"/>
        </w:rPr>
        <w:t>*</w:t>
      </w:r>
      <w:r>
        <w:rPr>
          <w:rFonts w:cs="Times New Roman"/>
          <w:kern w:val="2"/>
          <w:sz w:val="21"/>
          <w:szCs w:val="21"/>
        </w:rPr>
        <w:t>”标出；当检验统计量大于1%临界值，为离群值，在表1</w:t>
      </w:r>
      <w:r>
        <w:rPr>
          <w:rFonts w:hint="eastAsia" w:cs="Times New Roman"/>
          <w:kern w:val="2"/>
          <w:sz w:val="21"/>
          <w:szCs w:val="21"/>
          <w:lang w:val="en-US" w:eastAsia="zh-CN"/>
        </w:rPr>
        <w:t>1</w:t>
      </w:r>
      <w:r>
        <w:rPr>
          <w:rFonts w:cs="Times New Roman"/>
          <w:kern w:val="2"/>
          <w:sz w:val="21"/>
          <w:szCs w:val="21"/>
        </w:rPr>
        <w:t>中用“</w:t>
      </w:r>
      <w:r>
        <w:rPr>
          <w:rFonts w:cs="Times New Roman"/>
          <w:kern w:val="2"/>
          <w:sz w:val="22"/>
          <w:szCs w:val="22"/>
        </w:rPr>
        <w:t>**</w:t>
      </w:r>
      <w:r>
        <w:rPr>
          <w:rFonts w:cs="Times New Roman"/>
          <w:kern w:val="2"/>
          <w:sz w:val="21"/>
          <w:szCs w:val="21"/>
        </w:rPr>
        <w:t>”标出，予以舍弃。</w:t>
      </w:r>
    </w:p>
    <w:p w14:paraId="7F9BBB1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3.2.2.2.1</w:t>
      </w:r>
      <w:r>
        <w:rPr>
          <w:rFonts w:hint="eastAsia" w:ascii="黑体" w:hAnsi="Times New Roman" w:eastAsia="黑体" w:cs="Times New Roman"/>
          <w:b w:val="0"/>
          <w:bCs/>
          <w:kern w:val="2"/>
          <w:sz w:val="21"/>
          <w:szCs w:val="21"/>
          <w:lang w:val="en-US" w:eastAsia="zh-CN"/>
        </w:rPr>
        <w:t>碳和硫</w:t>
      </w:r>
      <w:r>
        <w:rPr>
          <w:rFonts w:hint="eastAsia" w:ascii="黑体" w:hAnsi="Times New Roman" w:eastAsia="黑体" w:cs="Times New Roman"/>
          <w:b w:val="0"/>
          <w:bCs/>
          <w:kern w:val="2"/>
          <w:sz w:val="21"/>
          <w:szCs w:val="21"/>
        </w:rPr>
        <w:t>元素的柯克伦检验</w:t>
      </w:r>
    </w:p>
    <w:p w14:paraId="2AB7D82E">
      <w:pPr>
        <w:keepNext w:val="0"/>
        <w:keepLines w:val="0"/>
        <w:pageBreakBefore w:val="0"/>
        <w:widowControl w:val="0"/>
        <w:tabs>
          <w:tab w:val="left" w:pos="0"/>
        </w:tabs>
        <w:kinsoku/>
        <w:wordWrap/>
        <w:overflowPunct/>
        <w:topLinePunct w:val="0"/>
        <w:autoSpaceDE/>
        <w:autoSpaceDN/>
        <w:bidi w:val="0"/>
        <w:adjustRightInd/>
        <w:snapToGrid w:val="0"/>
        <w:spacing w:line="240" w:lineRule="auto"/>
        <w:ind w:firstLine="420" w:firstLineChars="200"/>
        <w:textAlignment w:val="auto"/>
        <w:rPr>
          <w:rFonts w:hint="default" w:eastAsia="宋体" w:cs="Times New Roman"/>
          <w:kern w:val="2"/>
          <w:sz w:val="21"/>
          <w:szCs w:val="21"/>
          <w:lang w:val="en-US" w:eastAsia="zh-CN"/>
        </w:rPr>
      </w:pPr>
      <w:r>
        <w:rPr>
          <w:rFonts w:cs="Times New Roman"/>
          <w:kern w:val="2"/>
          <w:sz w:val="21"/>
          <w:szCs w:val="21"/>
        </w:rPr>
        <w:t>各实验室提供的精密度数据重复次数为</w:t>
      </w:r>
      <w:r>
        <w:rPr>
          <w:rFonts w:hint="eastAsia" w:cs="Times New Roman"/>
          <w:kern w:val="2"/>
          <w:sz w:val="21"/>
          <w:szCs w:val="21"/>
        </w:rPr>
        <w:t>7次，根据GB/T 6379.2-2004规定n可取为多数单元中的检测结果数，同时GB/T 6379.2-2004只提供到n=6时的C临界值，因此C临界值采用n=6，</w:t>
      </w:r>
      <w:r>
        <w:rPr>
          <w:rFonts w:hint="eastAsia" w:cs="Times New Roman"/>
          <w:kern w:val="2"/>
          <w:sz w:val="21"/>
          <w:szCs w:val="21"/>
          <w:highlight w:val="none"/>
        </w:rPr>
        <w:t>p=</w:t>
      </w:r>
      <w:r>
        <w:rPr>
          <w:rFonts w:hint="eastAsia" w:cs="Times New Roman"/>
          <w:kern w:val="2"/>
          <w:sz w:val="21"/>
          <w:szCs w:val="21"/>
          <w:highlight w:val="none"/>
          <w:lang w:val="en-US" w:eastAsia="zh-CN"/>
        </w:rPr>
        <w:t>11</w:t>
      </w:r>
      <w:r>
        <w:rPr>
          <w:rFonts w:hint="eastAsia" w:cs="Times New Roman"/>
          <w:kern w:val="2"/>
          <w:sz w:val="21"/>
          <w:szCs w:val="21"/>
        </w:rPr>
        <w:t>，此时柯克伦检验5%临界值为0.</w:t>
      </w:r>
      <w:r>
        <w:rPr>
          <w:rFonts w:hint="eastAsia" w:cs="Times New Roman"/>
          <w:kern w:val="2"/>
          <w:sz w:val="21"/>
          <w:szCs w:val="21"/>
          <w:lang w:val="en-US" w:eastAsia="zh-CN"/>
        </w:rPr>
        <w:t>281</w:t>
      </w:r>
      <w:r>
        <w:rPr>
          <w:rFonts w:hint="eastAsia" w:cs="Times New Roman"/>
          <w:kern w:val="2"/>
          <w:sz w:val="21"/>
          <w:szCs w:val="21"/>
        </w:rPr>
        <w:t>，1%临界值为0.</w:t>
      </w:r>
      <w:r>
        <w:rPr>
          <w:rFonts w:hint="eastAsia" w:cs="Times New Roman"/>
          <w:kern w:val="2"/>
          <w:sz w:val="21"/>
          <w:szCs w:val="21"/>
          <w:lang w:val="en-US" w:eastAsia="zh-CN"/>
        </w:rPr>
        <w:t>332</w:t>
      </w:r>
      <w:r>
        <w:rPr>
          <w:rFonts w:hint="eastAsia" w:cs="Times New Roman"/>
          <w:kern w:val="2"/>
          <w:sz w:val="21"/>
          <w:szCs w:val="21"/>
        </w:rPr>
        <w:t>。</w:t>
      </w:r>
      <w:r>
        <w:rPr>
          <w:rFonts w:hint="eastAsia" w:cs="Times New Roman"/>
          <w:kern w:val="2"/>
          <w:sz w:val="21"/>
          <w:szCs w:val="21"/>
          <w:lang w:val="en-US" w:eastAsia="zh-CN"/>
        </w:rPr>
        <w:t>硫元素水平1的</w:t>
      </w:r>
      <w:r>
        <w:rPr>
          <w:rFonts w:hint="eastAsia" w:cs="Times New Roman"/>
          <w:kern w:val="2"/>
          <w:sz w:val="21"/>
          <w:szCs w:val="21"/>
        </w:rPr>
        <w:t>C临界值</w:t>
      </w:r>
      <w:r>
        <w:rPr>
          <w:rFonts w:hint="eastAsia" w:cs="Times New Roman"/>
          <w:kern w:val="2"/>
          <w:sz w:val="21"/>
          <w:szCs w:val="21"/>
          <w:lang w:val="en-US" w:eastAsia="zh-CN"/>
        </w:rPr>
        <w:t>采用</w:t>
      </w:r>
      <w:r>
        <w:rPr>
          <w:rFonts w:hint="eastAsia" w:cs="Times New Roman"/>
          <w:kern w:val="2"/>
          <w:sz w:val="21"/>
          <w:szCs w:val="21"/>
        </w:rPr>
        <w:t>n=6，</w:t>
      </w:r>
      <w:r>
        <w:rPr>
          <w:rFonts w:hint="eastAsia" w:cs="Times New Roman"/>
          <w:kern w:val="2"/>
          <w:sz w:val="21"/>
          <w:szCs w:val="21"/>
          <w:highlight w:val="none"/>
        </w:rPr>
        <w:t>p=</w:t>
      </w:r>
      <w:r>
        <w:rPr>
          <w:rFonts w:hint="eastAsia" w:cs="Times New Roman"/>
          <w:kern w:val="2"/>
          <w:sz w:val="21"/>
          <w:szCs w:val="21"/>
          <w:highlight w:val="none"/>
          <w:lang w:val="en-US" w:eastAsia="zh-CN"/>
        </w:rPr>
        <w:t>10，</w:t>
      </w:r>
      <w:r>
        <w:rPr>
          <w:rFonts w:hint="eastAsia" w:cs="Times New Roman"/>
          <w:kern w:val="2"/>
          <w:sz w:val="21"/>
          <w:szCs w:val="21"/>
        </w:rPr>
        <w:t>此时柯克伦检验5%临界值为0.</w:t>
      </w:r>
      <w:r>
        <w:rPr>
          <w:rFonts w:hint="eastAsia" w:cs="Times New Roman"/>
          <w:kern w:val="2"/>
          <w:sz w:val="21"/>
          <w:szCs w:val="21"/>
          <w:lang w:val="en-US" w:eastAsia="zh-CN"/>
        </w:rPr>
        <w:t>303</w:t>
      </w:r>
      <w:r>
        <w:rPr>
          <w:rFonts w:hint="eastAsia" w:cs="Times New Roman"/>
          <w:kern w:val="2"/>
          <w:sz w:val="21"/>
          <w:szCs w:val="21"/>
        </w:rPr>
        <w:t>，1%临界值为0.</w:t>
      </w:r>
      <w:r>
        <w:rPr>
          <w:rFonts w:hint="eastAsia" w:cs="Times New Roman"/>
          <w:kern w:val="2"/>
          <w:sz w:val="21"/>
          <w:szCs w:val="21"/>
          <w:lang w:val="en-US" w:eastAsia="zh-CN"/>
        </w:rPr>
        <w:t>357。</w:t>
      </w:r>
      <w:r>
        <w:rPr>
          <w:rFonts w:hint="eastAsia" w:cs="Times New Roman"/>
          <w:kern w:val="2"/>
          <w:sz w:val="21"/>
          <w:szCs w:val="21"/>
        </w:rPr>
        <w:t>柯克伦检验结果见表</w:t>
      </w:r>
      <w:r>
        <w:rPr>
          <w:rFonts w:hint="eastAsia" w:eastAsia="黑体" w:cs="Times New Roman"/>
          <w:kern w:val="2"/>
          <w:sz w:val="21"/>
          <w:szCs w:val="21"/>
          <w:lang w:val="en-US" w:eastAsia="zh-CN"/>
        </w:rPr>
        <w:t>12</w:t>
      </w:r>
      <w:r>
        <w:rPr>
          <w:rFonts w:hint="eastAsia" w:cs="Times New Roman"/>
          <w:kern w:val="2"/>
          <w:sz w:val="21"/>
          <w:szCs w:val="21"/>
        </w:rPr>
        <w:t>，检验结果表明</w:t>
      </w:r>
      <w:r>
        <w:rPr>
          <w:rFonts w:hint="eastAsia" w:cs="Times New Roman"/>
          <w:kern w:val="2"/>
          <w:sz w:val="21"/>
          <w:szCs w:val="21"/>
          <w:lang w:val="en-US" w:eastAsia="zh-CN"/>
        </w:rPr>
        <w:t>实验室2金川集团</w:t>
      </w:r>
      <w:r>
        <w:rPr>
          <w:rFonts w:hint="eastAsia" w:cs="Times New Roman"/>
          <w:kern w:val="2"/>
          <w:sz w:val="21"/>
          <w:szCs w:val="21"/>
        </w:rPr>
        <w:t>股份有限公司</w:t>
      </w:r>
      <w:r>
        <w:rPr>
          <w:rFonts w:hint="eastAsia" w:cs="Times New Roman"/>
          <w:kern w:val="2"/>
          <w:sz w:val="21"/>
          <w:szCs w:val="21"/>
          <w:lang w:val="en-US" w:eastAsia="zh-CN"/>
        </w:rPr>
        <w:t>的碳元素水平2有一离群值、实验室3</w:t>
      </w:r>
      <w:r>
        <w:rPr>
          <w:rFonts w:hint="eastAsia" w:cs="Times New Roman"/>
          <w:kern w:val="2"/>
          <w:sz w:val="21"/>
          <w:szCs w:val="21"/>
        </w:rPr>
        <w:t>浙江华友钴业股份有限公司</w:t>
      </w:r>
      <w:r>
        <w:rPr>
          <w:rFonts w:hint="eastAsia" w:cs="Times New Roman"/>
          <w:kern w:val="2"/>
          <w:sz w:val="21"/>
          <w:szCs w:val="21"/>
          <w:lang w:val="en-US" w:eastAsia="zh-CN"/>
        </w:rPr>
        <w:t>的硫元素水平2</w:t>
      </w:r>
      <w:r>
        <w:rPr>
          <w:rFonts w:hint="eastAsia" w:cs="Times New Roman"/>
          <w:kern w:val="2"/>
          <w:sz w:val="21"/>
          <w:szCs w:val="21"/>
        </w:rPr>
        <w:t>有</w:t>
      </w:r>
      <w:r>
        <w:rPr>
          <w:rFonts w:hint="eastAsia" w:cs="Times New Roman"/>
          <w:kern w:val="2"/>
          <w:sz w:val="21"/>
          <w:szCs w:val="21"/>
          <w:lang w:val="en-US" w:eastAsia="zh-CN"/>
        </w:rPr>
        <w:t>三</w:t>
      </w:r>
      <w:r>
        <w:rPr>
          <w:rFonts w:hint="eastAsia" w:cs="Times New Roman"/>
          <w:kern w:val="2"/>
          <w:sz w:val="21"/>
          <w:szCs w:val="21"/>
        </w:rPr>
        <w:t>个离群值</w:t>
      </w:r>
      <w:r>
        <w:rPr>
          <w:rFonts w:hint="eastAsia" w:cs="Times New Roman"/>
          <w:kern w:val="2"/>
          <w:sz w:val="21"/>
          <w:szCs w:val="21"/>
          <w:lang w:eastAsia="zh-CN"/>
        </w:rPr>
        <w:t>、</w:t>
      </w:r>
      <w:r>
        <w:rPr>
          <w:rFonts w:hint="eastAsia" w:cs="Times New Roman"/>
          <w:kern w:val="2"/>
          <w:sz w:val="21"/>
          <w:szCs w:val="21"/>
          <w:lang w:val="en-US" w:eastAsia="zh-CN"/>
        </w:rPr>
        <w:t>实验室6</w:t>
      </w:r>
      <w:r>
        <w:rPr>
          <w:rFonts w:hint="eastAsia" w:cs="Times New Roman"/>
          <w:kern w:val="2"/>
          <w:sz w:val="21"/>
          <w:szCs w:val="21"/>
        </w:rPr>
        <w:t>大冶有色设计研究院有限公司</w:t>
      </w:r>
      <w:r>
        <w:rPr>
          <w:rFonts w:hint="eastAsia" w:cs="Times New Roman"/>
          <w:kern w:val="2"/>
          <w:sz w:val="21"/>
          <w:szCs w:val="21"/>
          <w:lang w:val="en-US" w:eastAsia="zh-CN"/>
        </w:rPr>
        <w:t>的硫元素水平3</w:t>
      </w:r>
      <w:r>
        <w:rPr>
          <w:rFonts w:hint="eastAsia" w:cs="Times New Roman"/>
          <w:kern w:val="2"/>
          <w:sz w:val="21"/>
          <w:szCs w:val="21"/>
        </w:rPr>
        <w:t>有</w:t>
      </w:r>
      <w:r>
        <w:rPr>
          <w:rFonts w:hint="eastAsia" w:cs="Times New Roman"/>
          <w:kern w:val="2"/>
          <w:sz w:val="21"/>
          <w:szCs w:val="21"/>
          <w:lang w:val="en-US" w:eastAsia="zh-CN"/>
        </w:rPr>
        <w:t>三</w:t>
      </w:r>
      <w:r>
        <w:rPr>
          <w:rFonts w:hint="eastAsia" w:cs="Times New Roman"/>
          <w:kern w:val="2"/>
          <w:sz w:val="21"/>
          <w:szCs w:val="21"/>
        </w:rPr>
        <w:t>个离群值</w:t>
      </w:r>
      <w:r>
        <w:rPr>
          <w:rFonts w:hint="eastAsia" w:cs="Times New Roman"/>
          <w:kern w:val="2"/>
          <w:sz w:val="21"/>
          <w:szCs w:val="21"/>
          <w:lang w:eastAsia="zh-CN"/>
        </w:rPr>
        <w:t>、</w:t>
      </w:r>
      <w:r>
        <w:rPr>
          <w:rFonts w:hint="eastAsia" w:cs="Times New Roman"/>
          <w:kern w:val="2"/>
          <w:sz w:val="21"/>
          <w:szCs w:val="21"/>
          <w:lang w:val="en-US" w:eastAsia="zh-CN"/>
        </w:rPr>
        <w:t>实验室8</w:t>
      </w:r>
      <w:r>
        <w:rPr>
          <w:rFonts w:hint="eastAsia" w:cs="Times New Roman"/>
          <w:kern w:val="2"/>
          <w:sz w:val="21"/>
          <w:szCs w:val="21"/>
        </w:rPr>
        <w:t>国和通用（青岛）测试评价有限公司</w:t>
      </w:r>
      <w:r>
        <w:rPr>
          <w:rFonts w:hint="eastAsia" w:cs="Times New Roman"/>
          <w:kern w:val="2"/>
          <w:sz w:val="21"/>
          <w:szCs w:val="21"/>
          <w:lang w:val="en-US" w:eastAsia="zh-CN"/>
        </w:rPr>
        <w:t>硫元素的水平2有三个离群值、实验室12有研亿金新材料有限公司碳元素的水平1有两个离群值</w:t>
      </w:r>
      <w:r>
        <w:rPr>
          <w:rFonts w:hint="eastAsia" w:cs="Times New Roman"/>
          <w:kern w:val="2"/>
          <w:sz w:val="21"/>
          <w:szCs w:val="21"/>
        </w:rPr>
        <w:t>（用“**”标出）予以舍弃</w:t>
      </w:r>
      <w:r>
        <w:rPr>
          <w:rFonts w:hint="eastAsia" w:cs="Times New Roman"/>
          <w:kern w:val="2"/>
          <w:sz w:val="21"/>
          <w:szCs w:val="21"/>
          <w:lang w:eastAsia="zh-CN"/>
        </w:rPr>
        <w:t>，</w:t>
      </w:r>
      <w:r>
        <w:rPr>
          <w:rFonts w:hint="eastAsia" w:cs="Times New Roman"/>
          <w:kern w:val="2"/>
          <w:sz w:val="21"/>
          <w:szCs w:val="21"/>
          <w:lang w:val="en-US" w:eastAsia="zh-CN"/>
        </w:rPr>
        <w:t>实验室8</w:t>
      </w:r>
      <w:r>
        <w:rPr>
          <w:rFonts w:hint="eastAsia" w:cs="Times New Roman"/>
          <w:kern w:val="2"/>
          <w:sz w:val="21"/>
          <w:szCs w:val="21"/>
        </w:rPr>
        <w:t>国和通用（青岛）测试评价有限公司硫元素的水平1没有实数</w:t>
      </w:r>
      <w:r>
        <w:rPr>
          <w:rFonts w:hint="eastAsia" w:cs="Times New Roman"/>
          <w:kern w:val="2"/>
          <w:sz w:val="21"/>
          <w:szCs w:val="21"/>
          <w:lang w:eastAsia="zh-CN"/>
        </w:rPr>
        <w:t>（</w:t>
      </w:r>
      <w:r>
        <w:rPr>
          <w:rFonts w:hint="eastAsia" w:cs="Times New Roman"/>
          <w:kern w:val="2"/>
          <w:sz w:val="21"/>
          <w:szCs w:val="21"/>
          <w:lang w:val="en-US" w:eastAsia="zh-CN"/>
        </w:rPr>
        <w:t>用“-”标出</w:t>
      </w:r>
      <w:r>
        <w:rPr>
          <w:rFonts w:hint="eastAsia" w:cs="Times New Roman"/>
          <w:kern w:val="2"/>
          <w:sz w:val="21"/>
          <w:szCs w:val="21"/>
          <w:lang w:eastAsia="zh-CN"/>
        </w:rPr>
        <w:t>）</w:t>
      </w:r>
      <w:r>
        <w:rPr>
          <w:rFonts w:hint="eastAsia" w:cs="Times New Roman"/>
          <w:kern w:val="2"/>
          <w:sz w:val="21"/>
          <w:szCs w:val="21"/>
        </w:rPr>
        <w:t>，予以舍弃，其余数值参与后续统计分析。</w:t>
      </w:r>
    </w:p>
    <w:p w14:paraId="5FDF1C2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黑体" w:hAnsi="黑体" w:eastAsia="黑体" w:cs="宋体"/>
          <w:kern w:val="2"/>
          <w:sz w:val="21"/>
          <w:szCs w:val="21"/>
          <w:highlight w:val="none"/>
        </w:rPr>
      </w:pPr>
      <w:r>
        <w:rPr>
          <w:rFonts w:hint="eastAsia" w:ascii="黑体" w:hAnsi="黑体" w:eastAsia="黑体" w:cs="宋体"/>
          <w:kern w:val="2"/>
          <w:sz w:val="21"/>
          <w:szCs w:val="21"/>
          <w:highlight w:val="none"/>
        </w:rPr>
        <w:t>表</w:t>
      </w:r>
      <w:r>
        <w:rPr>
          <w:rFonts w:hint="eastAsia" w:ascii="黑体" w:hAnsi="黑体" w:eastAsia="黑体" w:cs="宋体"/>
          <w:kern w:val="2"/>
          <w:sz w:val="21"/>
          <w:szCs w:val="21"/>
          <w:highlight w:val="none"/>
          <w:lang w:val="en-US" w:eastAsia="zh-CN"/>
        </w:rPr>
        <w:t>12</w:t>
      </w:r>
      <w:r>
        <w:rPr>
          <w:rFonts w:hint="eastAsia" w:ascii="黑体" w:hAnsi="黑体" w:eastAsia="黑体" w:cs="宋体"/>
          <w:kern w:val="2"/>
          <w:sz w:val="21"/>
          <w:szCs w:val="21"/>
          <w:highlight w:val="none"/>
        </w:rPr>
        <w:t xml:space="preserve"> </w:t>
      </w:r>
      <w:r>
        <w:rPr>
          <w:rFonts w:hint="eastAsia" w:ascii="黑体" w:hAnsi="黑体" w:eastAsia="黑体" w:cs="宋体"/>
          <w:kern w:val="2"/>
          <w:sz w:val="21"/>
          <w:szCs w:val="21"/>
          <w:highlight w:val="none"/>
          <w:lang w:val="en-US" w:eastAsia="zh-CN"/>
        </w:rPr>
        <w:t>碳和硫的</w:t>
      </w:r>
      <w:r>
        <w:rPr>
          <w:rFonts w:hint="eastAsia" w:ascii="黑体" w:hAnsi="黑体" w:eastAsia="黑体" w:cs="宋体"/>
          <w:kern w:val="2"/>
          <w:sz w:val="21"/>
          <w:szCs w:val="21"/>
          <w:highlight w:val="none"/>
        </w:rPr>
        <w:t>柯克伦检验结果（各实验室标准差）</w:t>
      </w:r>
    </w:p>
    <w:tbl>
      <w:tblPr>
        <w:tblStyle w:val="89"/>
        <w:tblW w:w="52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1036"/>
        <w:gridCol w:w="844"/>
        <w:gridCol w:w="1009"/>
        <w:gridCol w:w="983"/>
        <w:gridCol w:w="839"/>
        <w:gridCol w:w="864"/>
      </w:tblGrid>
      <w:tr w14:paraId="5243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blHeader/>
          <w:jc w:val="center"/>
        </w:trPr>
        <w:tc>
          <w:tcPr>
            <w:tcW w:w="1933" w:type="pct"/>
            <w:vMerge w:val="restart"/>
            <w:noWrap/>
            <w:vAlign w:val="center"/>
          </w:tcPr>
          <w:p w14:paraId="05FDB926">
            <w:pPr>
              <w:widowControl/>
              <w:spacing w:line="312" w:lineRule="auto"/>
              <w:ind w:firstLine="360" w:firstLineChars="200"/>
              <w:jc w:val="center"/>
              <w:rPr>
                <w:rFonts w:cs="Times New Roman"/>
                <w:sz w:val="18"/>
                <w:szCs w:val="18"/>
              </w:rPr>
            </w:pPr>
            <w:r>
              <w:rPr>
                <w:rFonts w:cs="Times New Roman"/>
                <w:kern w:val="2"/>
                <w:sz w:val="18"/>
                <w:szCs w:val="18"/>
              </w:rPr>
              <w:t>实验室</w:t>
            </w:r>
          </w:p>
        </w:tc>
        <w:tc>
          <w:tcPr>
            <w:tcW w:w="1589" w:type="pct"/>
            <w:gridSpan w:val="3"/>
            <w:noWrap/>
            <w:vAlign w:val="center"/>
          </w:tcPr>
          <w:p w14:paraId="53ECC65D">
            <w:pPr>
              <w:spacing w:line="312" w:lineRule="auto"/>
              <w:jc w:val="center"/>
              <w:rPr>
                <w:rFonts w:hint="eastAsia" w:eastAsia="宋体" w:cs="Times New Roman"/>
                <w:kern w:val="2"/>
                <w:sz w:val="18"/>
                <w:szCs w:val="18"/>
                <w:lang w:val="en-US" w:eastAsia="zh-CN"/>
              </w:rPr>
            </w:pPr>
            <w:r>
              <w:rPr>
                <w:rFonts w:hint="eastAsia" w:cs="Times New Roman"/>
                <w:kern w:val="2"/>
                <w:sz w:val="18"/>
                <w:szCs w:val="18"/>
                <w:lang w:val="en-US" w:eastAsia="zh-CN"/>
              </w:rPr>
              <w:t>C</w:t>
            </w:r>
          </w:p>
        </w:tc>
        <w:tc>
          <w:tcPr>
            <w:tcW w:w="1477" w:type="pct"/>
            <w:gridSpan w:val="3"/>
            <w:noWrap/>
            <w:vAlign w:val="center"/>
          </w:tcPr>
          <w:p w14:paraId="2A185209">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S</w:t>
            </w:r>
          </w:p>
        </w:tc>
      </w:tr>
      <w:tr w14:paraId="185D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1933" w:type="pct"/>
            <w:vMerge w:val="continue"/>
            <w:noWrap/>
            <w:vAlign w:val="center"/>
          </w:tcPr>
          <w:p w14:paraId="5FF5168B">
            <w:pPr>
              <w:widowControl/>
              <w:spacing w:line="312" w:lineRule="auto"/>
              <w:ind w:firstLine="360" w:firstLineChars="200"/>
              <w:jc w:val="center"/>
              <w:rPr>
                <w:rFonts w:cs="Times New Roman"/>
                <w:sz w:val="18"/>
                <w:szCs w:val="18"/>
              </w:rPr>
            </w:pPr>
          </w:p>
        </w:tc>
        <w:tc>
          <w:tcPr>
            <w:tcW w:w="569" w:type="pct"/>
            <w:noWrap/>
            <w:vAlign w:val="center"/>
          </w:tcPr>
          <w:p w14:paraId="05A6FFA8">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水平1</w:t>
            </w:r>
          </w:p>
        </w:tc>
        <w:tc>
          <w:tcPr>
            <w:tcW w:w="464" w:type="pct"/>
            <w:noWrap/>
            <w:vAlign w:val="center"/>
          </w:tcPr>
          <w:p w14:paraId="3825652F">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水平2</w:t>
            </w:r>
          </w:p>
        </w:tc>
        <w:tc>
          <w:tcPr>
            <w:tcW w:w="555" w:type="pct"/>
            <w:noWrap/>
            <w:vAlign w:val="center"/>
          </w:tcPr>
          <w:p w14:paraId="4262C919">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水平3</w:t>
            </w:r>
          </w:p>
        </w:tc>
        <w:tc>
          <w:tcPr>
            <w:tcW w:w="540" w:type="pct"/>
            <w:noWrap/>
            <w:vAlign w:val="center"/>
          </w:tcPr>
          <w:p w14:paraId="72725518">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水平1</w:t>
            </w:r>
          </w:p>
        </w:tc>
        <w:tc>
          <w:tcPr>
            <w:tcW w:w="461" w:type="pct"/>
            <w:noWrap/>
            <w:vAlign w:val="center"/>
          </w:tcPr>
          <w:p w14:paraId="41EAEE40">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水平2</w:t>
            </w:r>
          </w:p>
        </w:tc>
        <w:tc>
          <w:tcPr>
            <w:tcW w:w="475" w:type="pct"/>
            <w:noWrap/>
            <w:vAlign w:val="center"/>
          </w:tcPr>
          <w:p w14:paraId="350C393F">
            <w:pPr>
              <w:spacing w:line="312" w:lineRule="auto"/>
              <w:jc w:val="center"/>
              <w:rPr>
                <w:rFonts w:hint="default" w:eastAsia="宋体" w:cs="Times New Roman"/>
                <w:kern w:val="2"/>
                <w:sz w:val="18"/>
                <w:szCs w:val="18"/>
                <w:lang w:val="en-US" w:eastAsia="zh-CN"/>
              </w:rPr>
            </w:pPr>
            <w:r>
              <w:rPr>
                <w:rFonts w:hint="eastAsia" w:cs="Times New Roman"/>
                <w:kern w:val="2"/>
                <w:sz w:val="18"/>
                <w:szCs w:val="18"/>
                <w:lang w:val="en-US" w:eastAsia="zh-CN"/>
              </w:rPr>
              <w:t>水平3</w:t>
            </w:r>
          </w:p>
        </w:tc>
      </w:tr>
      <w:tr w14:paraId="4DC2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23C5EFC6">
            <w:pPr>
              <w:spacing w:line="312" w:lineRule="auto"/>
              <w:jc w:val="left"/>
              <w:rPr>
                <w:rFonts w:cs="Times New Roman"/>
                <w:kern w:val="2"/>
                <w:sz w:val="18"/>
                <w:szCs w:val="18"/>
              </w:rPr>
            </w:pPr>
            <w:r>
              <w:rPr>
                <w:rFonts w:cs="Times New Roman"/>
                <w:kern w:val="2"/>
                <w:sz w:val="18"/>
                <w:szCs w:val="18"/>
              </w:rPr>
              <w:t>1北矿检测技术股份有限公司</w:t>
            </w:r>
          </w:p>
        </w:tc>
        <w:tc>
          <w:tcPr>
            <w:tcW w:w="569" w:type="pct"/>
            <w:noWrap/>
            <w:vAlign w:val="center"/>
          </w:tcPr>
          <w:p w14:paraId="2ADCC16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0.00017 </w:t>
            </w:r>
          </w:p>
        </w:tc>
        <w:tc>
          <w:tcPr>
            <w:tcW w:w="464" w:type="pct"/>
            <w:noWrap/>
            <w:vAlign w:val="center"/>
          </w:tcPr>
          <w:p w14:paraId="3C907EE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0.0014 </w:t>
            </w:r>
          </w:p>
        </w:tc>
        <w:tc>
          <w:tcPr>
            <w:tcW w:w="555" w:type="pct"/>
            <w:noWrap/>
            <w:vAlign w:val="center"/>
          </w:tcPr>
          <w:p w14:paraId="53BD0DB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 </w:t>
            </w:r>
          </w:p>
        </w:tc>
        <w:tc>
          <w:tcPr>
            <w:tcW w:w="540" w:type="pct"/>
            <w:noWrap/>
            <w:vAlign w:val="center"/>
          </w:tcPr>
          <w:p w14:paraId="55C58CA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0.000069 </w:t>
            </w:r>
          </w:p>
        </w:tc>
        <w:tc>
          <w:tcPr>
            <w:tcW w:w="461" w:type="pct"/>
            <w:noWrap/>
            <w:vAlign w:val="center"/>
          </w:tcPr>
          <w:p w14:paraId="1AA6FBB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0.0012 </w:t>
            </w:r>
          </w:p>
        </w:tc>
        <w:tc>
          <w:tcPr>
            <w:tcW w:w="475" w:type="pct"/>
            <w:noWrap/>
            <w:vAlign w:val="center"/>
          </w:tcPr>
          <w:p w14:paraId="398DA70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0.00030 </w:t>
            </w:r>
          </w:p>
        </w:tc>
      </w:tr>
      <w:tr w14:paraId="6628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4BE1C808">
            <w:pPr>
              <w:spacing w:line="312" w:lineRule="auto"/>
              <w:jc w:val="left"/>
              <w:rPr>
                <w:rFonts w:cs="Times New Roman"/>
                <w:kern w:val="2"/>
                <w:sz w:val="18"/>
                <w:szCs w:val="18"/>
              </w:rPr>
            </w:pPr>
            <w:r>
              <w:rPr>
                <w:rFonts w:cs="Times New Roman"/>
                <w:kern w:val="2"/>
                <w:sz w:val="18"/>
                <w:szCs w:val="18"/>
              </w:rPr>
              <w:t>2</w:t>
            </w:r>
            <w:r>
              <w:rPr>
                <w:rFonts w:hint="eastAsia" w:cs="Times New Roman"/>
                <w:kern w:val="2"/>
                <w:sz w:val="18"/>
                <w:szCs w:val="18"/>
              </w:rPr>
              <w:t>金川集团股份有限公司</w:t>
            </w:r>
          </w:p>
        </w:tc>
        <w:tc>
          <w:tcPr>
            <w:tcW w:w="569" w:type="pct"/>
            <w:noWrap/>
            <w:vAlign w:val="center"/>
          </w:tcPr>
          <w:p w14:paraId="19C24D7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0.00034 </w:t>
            </w:r>
          </w:p>
        </w:tc>
        <w:tc>
          <w:tcPr>
            <w:tcW w:w="464" w:type="pct"/>
            <w:noWrap/>
            <w:vAlign w:val="center"/>
          </w:tcPr>
          <w:p w14:paraId="20DA567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31</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noWrap/>
            <w:vAlign w:val="center"/>
          </w:tcPr>
          <w:p w14:paraId="1EC291B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 </w:t>
            </w:r>
          </w:p>
        </w:tc>
        <w:tc>
          <w:tcPr>
            <w:tcW w:w="540" w:type="pct"/>
            <w:noWrap/>
            <w:vAlign w:val="center"/>
          </w:tcPr>
          <w:p w14:paraId="4DBA238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0.000059 </w:t>
            </w:r>
          </w:p>
        </w:tc>
        <w:tc>
          <w:tcPr>
            <w:tcW w:w="461" w:type="pct"/>
            <w:noWrap/>
            <w:vAlign w:val="center"/>
          </w:tcPr>
          <w:p w14:paraId="2898B44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0.0034 </w:t>
            </w:r>
          </w:p>
        </w:tc>
        <w:tc>
          <w:tcPr>
            <w:tcW w:w="475" w:type="pct"/>
            <w:noWrap/>
            <w:vAlign w:val="center"/>
          </w:tcPr>
          <w:p w14:paraId="73C9D84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0.00041 </w:t>
            </w:r>
          </w:p>
        </w:tc>
      </w:tr>
      <w:tr w14:paraId="50BB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57F3940E">
            <w:pPr>
              <w:spacing w:line="312" w:lineRule="auto"/>
              <w:jc w:val="left"/>
              <w:rPr>
                <w:rFonts w:cs="Times New Roman"/>
                <w:kern w:val="2"/>
                <w:sz w:val="18"/>
                <w:szCs w:val="18"/>
              </w:rPr>
            </w:pPr>
            <w:r>
              <w:rPr>
                <w:rFonts w:cs="Times New Roman"/>
                <w:kern w:val="2"/>
                <w:sz w:val="18"/>
                <w:szCs w:val="18"/>
              </w:rPr>
              <w:t>3</w:t>
            </w:r>
            <w:r>
              <w:rPr>
                <w:rFonts w:hint="eastAsia" w:cs="Times New Roman"/>
                <w:kern w:val="2"/>
                <w:sz w:val="18"/>
                <w:szCs w:val="18"/>
              </w:rPr>
              <w:t>浙江华友钴业股份有限公司</w:t>
            </w:r>
          </w:p>
        </w:tc>
        <w:tc>
          <w:tcPr>
            <w:tcW w:w="569" w:type="pct"/>
            <w:noWrap/>
            <w:vAlign w:val="center"/>
          </w:tcPr>
          <w:p w14:paraId="374E046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0.00027 </w:t>
            </w:r>
          </w:p>
        </w:tc>
        <w:tc>
          <w:tcPr>
            <w:tcW w:w="464" w:type="pct"/>
            <w:noWrap/>
            <w:vAlign w:val="center"/>
          </w:tcPr>
          <w:p w14:paraId="769889A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0.0024 </w:t>
            </w:r>
          </w:p>
        </w:tc>
        <w:tc>
          <w:tcPr>
            <w:tcW w:w="555" w:type="pct"/>
            <w:noWrap/>
            <w:vAlign w:val="center"/>
          </w:tcPr>
          <w:p w14:paraId="6377163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0.0104 </w:t>
            </w:r>
          </w:p>
        </w:tc>
        <w:tc>
          <w:tcPr>
            <w:tcW w:w="540" w:type="pct"/>
            <w:noWrap/>
            <w:vAlign w:val="center"/>
          </w:tcPr>
          <w:p w14:paraId="0705AD7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0.000039 </w:t>
            </w:r>
          </w:p>
        </w:tc>
        <w:tc>
          <w:tcPr>
            <w:tcW w:w="461" w:type="pct"/>
            <w:noWrap/>
            <w:vAlign w:val="center"/>
          </w:tcPr>
          <w:p w14:paraId="62381B5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42</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noWrap/>
            <w:vAlign w:val="center"/>
          </w:tcPr>
          <w:p w14:paraId="7DC31AC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0.00057 </w:t>
            </w:r>
          </w:p>
        </w:tc>
      </w:tr>
      <w:tr w14:paraId="3AEC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5B472175">
            <w:pPr>
              <w:spacing w:line="312" w:lineRule="auto"/>
              <w:jc w:val="left"/>
              <w:rPr>
                <w:rFonts w:cs="Times New Roman"/>
                <w:kern w:val="2"/>
                <w:sz w:val="18"/>
                <w:szCs w:val="18"/>
              </w:rPr>
            </w:pPr>
            <w:r>
              <w:rPr>
                <w:rFonts w:cs="Times New Roman"/>
                <w:kern w:val="2"/>
                <w:sz w:val="18"/>
                <w:szCs w:val="18"/>
              </w:rPr>
              <w:t>5</w:t>
            </w:r>
            <w:r>
              <w:rPr>
                <w:rFonts w:hint="eastAsia" w:cs="Times New Roman"/>
                <w:kern w:val="2"/>
                <w:sz w:val="18"/>
                <w:szCs w:val="18"/>
              </w:rPr>
              <w:t>国标（北京）检验认证有限公司</w:t>
            </w:r>
          </w:p>
        </w:tc>
        <w:tc>
          <w:tcPr>
            <w:tcW w:w="569" w:type="pct"/>
            <w:noWrap/>
            <w:vAlign w:val="center"/>
          </w:tcPr>
          <w:p w14:paraId="09B2C9C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0.00022 </w:t>
            </w:r>
          </w:p>
        </w:tc>
        <w:tc>
          <w:tcPr>
            <w:tcW w:w="464" w:type="pct"/>
            <w:noWrap/>
            <w:vAlign w:val="center"/>
          </w:tcPr>
          <w:p w14:paraId="7AF65F0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79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noWrap/>
            <w:vAlign w:val="center"/>
          </w:tcPr>
          <w:p w14:paraId="7C9288F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0.01</w:t>
            </w:r>
            <w:r>
              <w:rPr>
                <w:rFonts w:hint="eastAsia" w:cs="Times New Roman"/>
                <w:i w:val="0"/>
                <w:iCs w:val="0"/>
                <w:color w:val="000000"/>
                <w:kern w:val="0"/>
                <w:sz w:val="18"/>
                <w:szCs w:val="18"/>
                <w:u w:val="none"/>
                <w:lang w:val="en-US" w:eastAsia="zh-CN" w:bidi="ar"/>
              </w:rPr>
              <w:t>15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40" w:type="pct"/>
            <w:noWrap/>
            <w:vAlign w:val="center"/>
          </w:tcPr>
          <w:p w14:paraId="60394C9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0.000094 </w:t>
            </w:r>
          </w:p>
        </w:tc>
        <w:tc>
          <w:tcPr>
            <w:tcW w:w="461" w:type="pct"/>
            <w:noWrap/>
            <w:vAlign w:val="center"/>
          </w:tcPr>
          <w:p w14:paraId="06911E6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0.001</w:t>
            </w:r>
            <w:r>
              <w:rPr>
                <w:rFonts w:hint="eastAsia" w:cs="Times New Roman"/>
                <w:i w:val="0"/>
                <w:iCs w:val="0"/>
                <w:color w:val="000000"/>
                <w:kern w:val="0"/>
                <w:sz w:val="18"/>
                <w:szCs w:val="18"/>
                <w:u w:val="none"/>
                <w:lang w:val="en-US" w:eastAsia="zh-CN" w:bidi="ar"/>
              </w:rPr>
              <w:t>4</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noWrap/>
            <w:vAlign w:val="center"/>
          </w:tcPr>
          <w:p w14:paraId="7475F9D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0.0004</w:t>
            </w:r>
            <w:r>
              <w:rPr>
                <w:rFonts w:hint="eastAsia" w:cs="Times New Roman"/>
                <w:i w:val="0"/>
                <w:iCs w:val="0"/>
                <w:color w:val="000000"/>
                <w:kern w:val="0"/>
                <w:sz w:val="18"/>
                <w:szCs w:val="18"/>
                <w:u w:val="none"/>
                <w:lang w:val="en-US" w:eastAsia="zh-CN" w:bidi="ar"/>
              </w:rPr>
              <w:t>4</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0BD8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4BDE20C0">
            <w:pPr>
              <w:spacing w:line="312" w:lineRule="auto"/>
              <w:jc w:val="left"/>
              <w:rPr>
                <w:rFonts w:cs="Times New Roman"/>
                <w:kern w:val="2"/>
                <w:sz w:val="18"/>
                <w:szCs w:val="18"/>
              </w:rPr>
            </w:pPr>
            <w:r>
              <w:rPr>
                <w:rFonts w:cs="Times New Roman"/>
                <w:kern w:val="2"/>
                <w:sz w:val="18"/>
                <w:szCs w:val="18"/>
              </w:rPr>
              <w:t>6</w:t>
            </w:r>
            <w:r>
              <w:rPr>
                <w:rFonts w:hint="eastAsia" w:cs="Times New Roman"/>
                <w:kern w:val="2"/>
                <w:sz w:val="18"/>
                <w:szCs w:val="18"/>
              </w:rPr>
              <w:t>大冶有色设计研究院有限公司</w:t>
            </w:r>
          </w:p>
        </w:tc>
        <w:tc>
          <w:tcPr>
            <w:tcW w:w="569" w:type="pct"/>
            <w:noWrap/>
            <w:vAlign w:val="center"/>
          </w:tcPr>
          <w:p w14:paraId="7866960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0.00026 </w:t>
            </w:r>
          </w:p>
        </w:tc>
        <w:tc>
          <w:tcPr>
            <w:tcW w:w="464" w:type="pct"/>
            <w:noWrap/>
            <w:vAlign w:val="center"/>
          </w:tcPr>
          <w:p w14:paraId="2B06083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0.0017 </w:t>
            </w:r>
          </w:p>
        </w:tc>
        <w:tc>
          <w:tcPr>
            <w:tcW w:w="555" w:type="pct"/>
            <w:noWrap/>
            <w:vAlign w:val="center"/>
          </w:tcPr>
          <w:p w14:paraId="4C43D6C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0.0092 </w:t>
            </w:r>
          </w:p>
        </w:tc>
        <w:tc>
          <w:tcPr>
            <w:tcW w:w="540" w:type="pct"/>
            <w:noWrap/>
            <w:vAlign w:val="center"/>
          </w:tcPr>
          <w:p w14:paraId="3F7D47B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0.000061 </w:t>
            </w:r>
          </w:p>
        </w:tc>
        <w:tc>
          <w:tcPr>
            <w:tcW w:w="461" w:type="pct"/>
            <w:noWrap/>
            <w:vAlign w:val="center"/>
          </w:tcPr>
          <w:p w14:paraId="2951D21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0.0013 </w:t>
            </w:r>
          </w:p>
        </w:tc>
        <w:tc>
          <w:tcPr>
            <w:tcW w:w="475" w:type="pct"/>
            <w:noWrap/>
            <w:vAlign w:val="center"/>
          </w:tcPr>
          <w:p w14:paraId="381C0A7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12</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646B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71601BE0">
            <w:pPr>
              <w:spacing w:line="312" w:lineRule="auto"/>
              <w:jc w:val="left"/>
              <w:rPr>
                <w:rFonts w:cs="Times New Roman"/>
                <w:kern w:val="2"/>
                <w:sz w:val="18"/>
                <w:szCs w:val="18"/>
              </w:rPr>
            </w:pPr>
            <w:r>
              <w:rPr>
                <w:rFonts w:cs="Times New Roman"/>
                <w:kern w:val="2"/>
                <w:sz w:val="18"/>
                <w:szCs w:val="18"/>
              </w:rPr>
              <w:t>7</w:t>
            </w:r>
            <w:r>
              <w:rPr>
                <w:rFonts w:hint="eastAsia" w:cs="Times New Roman"/>
                <w:kern w:val="2"/>
                <w:sz w:val="18"/>
                <w:szCs w:val="18"/>
              </w:rPr>
              <w:t>中国检验认证集团广西有限公司</w:t>
            </w:r>
          </w:p>
        </w:tc>
        <w:tc>
          <w:tcPr>
            <w:tcW w:w="569" w:type="pct"/>
            <w:noWrap/>
            <w:vAlign w:val="center"/>
          </w:tcPr>
          <w:p w14:paraId="25EC314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0.00008 </w:t>
            </w:r>
          </w:p>
        </w:tc>
        <w:tc>
          <w:tcPr>
            <w:tcW w:w="464" w:type="pct"/>
            <w:noWrap/>
            <w:vAlign w:val="center"/>
          </w:tcPr>
          <w:p w14:paraId="329B905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0.0014 </w:t>
            </w:r>
          </w:p>
        </w:tc>
        <w:tc>
          <w:tcPr>
            <w:tcW w:w="555" w:type="pct"/>
            <w:noWrap/>
            <w:vAlign w:val="center"/>
          </w:tcPr>
          <w:p w14:paraId="77DE6C3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0.0036 </w:t>
            </w:r>
          </w:p>
        </w:tc>
        <w:tc>
          <w:tcPr>
            <w:tcW w:w="540" w:type="pct"/>
            <w:noWrap/>
            <w:vAlign w:val="center"/>
          </w:tcPr>
          <w:p w14:paraId="1A1C6EA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0.000054 </w:t>
            </w:r>
          </w:p>
        </w:tc>
        <w:tc>
          <w:tcPr>
            <w:tcW w:w="461" w:type="pct"/>
            <w:noWrap/>
            <w:vAlign w:val="center"/>
          </w:tcPr>
          <w:p w14:paraId="5FB80B3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0.0012 </w:t>
            </w:r>
          </w:p>
        </w:tc>
        <w:tc>
          <w:tcPr>
            <w:tcW w:w="475" w:type="pct"/>
            <w:noWrap/>
            <w:vAlign w:val="center"/>
          </w:tcPr>
          <w:p w14:paraId="1852F54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0.00038 </w:t>
            </w:r>
          </w:p>
        </w:tc>
      </w:tr>
      <w:tr w14:paraId="0937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6A1C3D45">
            <w:pPr>
              <w:spacing w:line="312" w:lineRule="auto"/>
              <w:jc w:val="left"/>
              <w:rPr>
                <w:rFonts w:cs="Times New Roman"/>
                <w:kern w:val="2"/>
                <w:sz w:val="18"/>
                <w:szCs w:val="18"/>
              </w:rPr>
            </w:pPr>
            <w:r>
              <w:rPr>
                <w:rFonts w:cs="Times New Roman"/>
                <w:kern w:val="2"/>
                <w:sz w:val="18"/>
                <w:szCs w:val="18"/>
              </w:rPr>
              <w:t>8</w:t>
            </w:r>
            <w:r>
              <w:rPr>
                <w:rFonts w:hint="eastAsia" w:cs="Times New Roman"/>
                <w:kern w:val="2"/>
                <w:sz w:val="18"/>
                <w:szCs w:val="18"/>
              </w:rPr>
              <w:t>国和通用（青岛）测试评价有限公司</w:t>
            </w:r>
          </w:p>
        </w:tc>
        <w:tc>
          <w:tcPr>
            <w:tcW w:w="569" w:type="pct"/>
            <w:noWrap/>
            <w:vAlign w:val="center"/>
          </w:tcPr>
          <w:p w14:paraId="314A5A8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0.00054 </w:t>
            </w:r>
          </w:p>
        </w:tc>
        <w:tc>
          <w:tcPr>
            <w:tcW w:w="464" w:type="pct"/>
            <w:noWrap/>
            <w:vAlign w:val="center"/>
          </w:tcPr>
          <w:p w14:paraId="519B7FB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47</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noWrap/>
            <w:vAlign w:val="center"/>
          </w:tcPr>
          <w:p w14:paraId="0B8ACAA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0.0040 </w:t>
            </w:r>
          </w:p>
        </w:tc>
        <w:tc>
          <w:tcPr>
            <w:tcW w:w="540" w:type="pct"/>
            <w:noWrap/>
            <w:vAlign w:val="center"/>
          </w:tcPr>
          <w:p w14:paraId="65282B84">
            <w:pPr>
              <w:keepNext w:val="0"/>
              <w:keepLines w:val="0"/>
              <w:widowControl/>
              <w:suppressLineNumbers w:val="0"/>
              <w:jc w:val="center"/>
              <w:textAlignment w:val="center"/>
              <w:rPr>
                <w:rFonts w:hint="eastAsia" w:eastAsia="宋体" w:cs="Times New Roman"/>
                <w:kern w:val="2"/>
                <w:sz w:val="18"/>
                <w:szCs w:val="18"/>
                <w:lang w:val="en-US" w:eastAsia="zh-CN"/>
              </w:rPr>
            </w:pPr>
            <w:r>
              <w:rPr>
                <w:rFonts w:hint="eastAsia" w:cs="Times New Roman"/>
                <w:kern w:val="2"/>
                <w:sz w:val="18"/>
                <w:szCs w:val="18"/>
                <w:lang w:val="en-US" w:eastAsia="zh-CN"/>
              </w:rPr>
              <w:t>-</w:t>
            </w:r>
          </w:p>
        </w:tc>
        <w:tc>
          <w:tcPr>
            <w:tcW w:w="461" w:type="pct"/>
            <w:noWrap/>
            <w:vAlign w:val="center"/>
          </w:tcPr>
          <w:p w14:paraId="18933EB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53</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noWrap/>
            <w:vAlign w:val="center"/>
          </w:tcPr>
          <w:p w14:paraId="365FB36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0.00058 </w:t>
            </w:r>
          </w:p>
        </w:tc>
      </w:tr>
      <w:tr w14:paraId="4BD6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690110ED">
            <w:pPr>
              <w:spacing w:line="312" w:lineRule="auto"/>
              <w:jc w:val="left"/>
              <w:rPr>
                <w:rFonts w:cs="Times New Roman"/>
                <w:kern w:val="2"/>
                <w:sz w:val="18"/>
                <w:szCs w:val="18"/>
              </w:rPr>
            </w:pPr>
            <w:r>
              <w:rPr>
                <w:rFonts w:cs="Times New Roman"/>
                <w:kern w:val="2"/>
                <w:sz w:val="18"/>
                <w:szCs w:val="18"/>
              </w:rPr>
              <w:t>9</w:t>
            </w:r>
            <w:r>
              <w:rPr>
                <w:rFonts w:hint="eastAsia" w:cs="Times New Roman"/>
                <w:kern w:val="2"/>
                <w:sz w:val="18"/>
                <w:szCs w:val="18"/>
              </w:rPr>
              <w:t>中国有色桂林矿产地质研究院有限公司</w:t>
            </w:r>
          </w:p>
        </w:tc>
        <w:tc>
          <w:tcPr>
            <w:tcW w:w="569" w:type="pct"/>
            <w:noWrap/>
            <w:vAlign w:val="center"/>
          </w:tcPr>
          <w:p w14:paraId="71D53A9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0.00017 </w:t>
            </w:r>
          </w:p>
        </w:tc>
        <w:tc>
          <w:tcPr>
            <w:tcW w:w="464" w:type="pct"/>
            <w:noWrap/>
            <w:vAlign w:val="center"/>
          </w:tcPr>
          <w:p w14:paraId="1300FFF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0.0015 </w:t>
            </w:r>
          </w:p>
        </w:tc>
        <w:tc>
          <w:tcPr>
            <w:tcW w:w="555" w:type="pct"/>
            <w:noWrap/>
            <w:vAlign w:val="center"/>
          </w:tcPr>
          <w:p w14:paraId="49D1474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0.0049 </w:t>
            </w:r>
          </w:p>
        </w:tc>
        <w:tc>
          <w:tcPr>
            <w:tcW w:w="540" w:type="pct"/>
            <w:noWrap/>
            <w:vAlign w:val="center"/>
          </w:tcPr>
          <w:p w14:paraId="36DD4BE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0.000050 </w:t>
            </w:r>
          </w:p>
        </w:tc>
        <w:tc>
          <w:tcPr>
            <w:tcW w:w="461" w:type="pct"/>
            <w:noWrap/>
            <w:vAlign w:val="center"/>
          </w:tcPr>
          <w:p w14:paraId="16FCEF4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0.0012 </w:t>
            </w:r>
          </w:p>
        </w:tc>
        <w:tc>
          <w:tcPr>
            <w:tcW w:w="475" w:type="pct"/>
            <w:noWrap/>
            <w:vAlign w:val="center"/>
          </w:tcPr>
          <w:p w14:paraId="723EB35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0.00027 </w:t>
            </w:r>
          </w:p>
        </w:tc>
      </w:tr>
      <w:tr w14:paraId="3851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7165B6EF">
            <w:pPr>
              <w:spacing w:line="312" w:lineRule="auto"/>
              <w:jc w:val="left"/>
              <w:rPr>
                <w:rFonts w:cs="Times New Roman"/>
                <w:kern w:val="2"/>
                <w:sz w:val="18"/>
                <w:szCs w:val="18"/>
              </w:rPr>
            </w:pPr>
            <w:r>
              <w:rPr>
                <w:rFonts w:cs="Times New Roman"/>
                <w:kern w:val="2"/>
                <w:sz w:val="18"/>
                <w:szCs w:val="18"/>
              </w:rPr>
              <w:t>10</w:t>
            </w:r>
            <w:r>
              <w:rPr>
                <w:rFonts w:hint="eastAsia" w:cs="Times New Roman"/>
                <w:kern w:val="2"/>
                <w:sz w:val="18"/>
                <w:szCs w:val="18"/>
              </w:rPr>
              <w:t>山东恒邦冶炼股份有限公司</w:t>
            </w:r>
          </w:p>
        </w:tc>
        <w:tc>
          <w:tcPr>
            <w:tcW w:w="569" w:type="pct"/>
            <w:noWrap/>
            <w:vAlign w:val="center"/>
          </w:tcPr>
          <w:p w14:paraId="2792AA3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0.00009 </w:t>
            </w:r>
          </w:p>
        </w:tc>
        <w:tc>
          <w:tcPr>
            <w:tcW w:w="464" w:type="pct"/>
            <w:noWrap/>
            <w:vAlign w:val="center"/>
          </w:tcPr>
          <w:p w14:paraId="0BE8E23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097</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noWrap/>
            <w:vAlign w:val="center"/>
          </w:tcPr>
          <w:p w14:paraId="152C42C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0.0068 </w:t>
            </w:r>
          </w:p>
        </w:tc>
        <w:tc>
          <w:tcPr>
            <w:tcW w:w="540" w:type="pct"/>
            <w:noWrap/>
            <w:vAlign w:val="center"/>
          </w:tcPr>
          <w:p w14:paraId="3D4EF01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0.000013 </w:t>
            </w:r>
          </w:p>
        </w:tc>
        <w:tc>
          <w:tcPr>
            <w:tcW w:w="461" w:type="pct"/>
            <w:noWrap/>
            <w:vAlign w:val="center"/>
          </w:tcPr>
          <w:p w14:paraId="744A61E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0.0012 </w:t>
            </w:r>
          </w:p>
        </w:tc>
        <w:tc>
          <w:tcPr>
            <w:tcW w:w="475" w:type="pct"/>
            <w:noWrap/>
            <w:vAlign w:val="center"/>
          </w:tcPr>
          <w:p w14:paraId="68D490B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0.00013 </w:t>
            </w:r>
          </w:p>
        </w:tc>
      </w:tr>
      <w:tr w14:paraId="5AD5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2057E532">
            <w:pPr>
              <w:spacing w:line="312" w:lineRule="auto"/>
              <w:jc w:val="left"/>
              <w:rPr>
                <w:rFonts w:cs="Times New Roman"/>
                <w:kern w:val="2"/>
                <w:sz w:val="18"/>
                <w:szCs w:val="18"/>
              </w:rPr>
            </w:pPr>
            <w:r>
              <w:rPr>
                <w:rFonts w:cs="Times New Roman"/>
                <w:kern w:val="2"/>
                <w:sz w:val="18"/>
                <w:szCs w:val="18"/>
              </w:rPr>
              <w:t>11</w:t>
            </w:r>
            <w:r>
              <w:rPr>
                <w:rFonts w:hint="eastAsia" w:cs="Times New Roman"/>
                <w:kern w:val="2"/>
                <w:sz w:val="18"/>
                <w:szCs w:val="18"/>
              </w:rPr>
              <w:t>酒泉钢铁（集团）有限责任公司</w:t>
            </w:r>
          </w:p>
        </w:tc>
        <w:tc>
          <w:tcPr>
            <w:tcW w:w="569" w:type="pct"/>
            <w:noWrap/>
            <w:vAlign w:val="center"/>
          </w:tcPr>
          <w:p w14:paraId="6F65DC9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0.00037 </w:t>
            </w:r>
          </w:p>
        </w:tc>
        <w:tc>
          <w:tcPr>
            <w:tcW w:w="464" w:type="pct"/>
            <w:noWrap/>
            <w:vAlign w:val="center"/>
          </w:tcPr>
          <w:p w14:paraId="1E6F84E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0.0011 </w:t>
            </w:r>
          </w:p>
        </w:tc>
        <w:tc>
          <w:tcPr>
            <w:tcW w:w="555" w:type="pct"/>
            <w:noWrap/>
            <w:vAlign w:val="center"/>
          </w:tcPr>
          <w:p w14:paraId="4F1F8EB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0.0033 </w:t>
            </w:r>
          </w:p>
        </w:tc>
        <w:tc>
          <w:tcPr>
            <w:tcW w:w="540" w:type="pct"/>
            <w:noWrap/>
            <w:vAlign w:val="center"/>
          </w:tcPr>
          <w:p w14:paraId="064AEB8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0.000069 </w:t>
            </w:r>
          </w:p>
        </w:tc>
        <w:tc>
          <w:tcPr>
            <w:tcW w:w="461" w:type="pct"/>
            <w:noWrap/>
            <w:vAlign w:val="center"/>
          </w:tcPr>
          <w:p w14:paraId="22E20B6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0.0017 </w:t>
            </w:r>
          </w:p>
        </w:tc>
        <w:tc>
          <w:tcPr>
            <w:tcW w:w="475" w:type="pct"/>
            <w:noWrap/>
            <w:vAlign w:val="center"/>
          </w:tcPr>
          <w:p w14:paraId="2BF3754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0.00057 </w:t>
            </w:r>
          </w:p>
        </w:tc>
      </w:tr>
      <w:tr w14:paraId="6A60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tcPr>
          <w:p w14:paraId="75A60166">
            <w:pPr>
              <w:spacing w:line="312" w:lineRule="auto"/>
              <w:jc w:val="left"/>
              <w:rPr>
                <w:rFonts w:cs="Times New Roman"/>
                <w:kern w:val="2"/>
                <w:sz w:val="18"/>
                <w:szCs w:val="18"/>
              </w:rPr>
            </w:pPr>
            <w:r>
              <w:rPr>
                <w:rFonts w:cs="Times New Roman"/>
                <w:kern w:val="2"/>
                <w:sz w:val="18"/>
                <w:szCs w:val="18"/>
              </w:rPr>
              <w:t>12</w:t>
            </w:r>
            <w:r>
              <w:rPr>
                <w:rFonts w:hint="eastAsia" w:cs="Times New Roman"/>
                <w:kern w:val="2"/>
                <w:sz w:val="18"/>
                <w:szCs w:val="18"/>
              </w:rPr>
              <w:t>有研亿金新材料有限公司</w:t>
            </w:r>
          </w:p>
        </w:tc>
        <w:tc>
          <w:tcPr>
            <w:tcW w:w="569" w:type="pct"/>
            <w:noWrap/>
            <w:vAlign w:val="center"/>
          </w:tcPr>
          <w:p w14:paraId="1A665C4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78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64" w:type="pct"/>
            <w:noWrap/>
            <w:vAlign w:val="center"/>
          </w:tcPr>
          <w:p w14:paraId="5DF1A97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 </w:t>
            </w:r>
          </w:p>
        </w:tc>
        <w:tc>
          <w:tcPr>
            <w:tcW w:w="555" w:type="pct"/>
            <w:noWrap/>
            <w:vAlign w:val="center"/>
          </w:tcPr>
          <w:p w14:paraId="628F990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0.0025 </w:t>
            </w:r>
          </w:p>
        </w:tc>
        <w:tc>
          <w:tcPr>
            <w:tcW w:w="540" w:type="pct"/>
            <w:noWrap/>
            <w:vAlign w:val="center"/>
          </w:tcPr>
          <w:p w14:paraId="14376B4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0.000070 </w:t>
            </w:r>
          </w:p>
        </w:tc>
        <w:tc>
          <w:tcPr>
            <w:tcW w:w="461" w:type="pct"/>
            <w:noWrap/>
            <w:vAlign w:val="center"/>
          </w:tcPr>
          <w:p w14:paraId="2CC7C78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0.0004</w:t>
            </w:r>
            <w:r>
              <w:rPr>
                <w:rFonts w:hint="eastAsia"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noWrap/>
            <w:vAlign w:val="center"/>
          </w:tcPr>
          <w:p w14:paraId="2510F01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0.00040 </w:t>
            </w:r>
          </w:p>
        </w:tc>
      </w:tr>
      <w:tr w14:paraId="5351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vAlign w:val="center"/>
          </w:tcPr>
          <w:p w14:paraId="1A414520">
            <w:pPr>
              <w:widowControl/>
              <w:spacing w:line="312" w:lineRule="auto"/>
              <w:ind w:firstLine="360" w:firstLineChars="200"/>
              <w:jc w:val="center"/>
              <w:textAlignment w:val="center"/>
              <w:rPr>
                <w:rFonts w:cs="Times New Roman"/>
                <w:sz w:val="18"/>
                <w:szCs w:val="18"/>
                <w:lang w:bidi="ar"/>
              </w:rPr>
            </w:pPr>
            <w:r>
              <w:rPr>
                <w:rFonts w:cs="Times New Roman"/>
                <w:sz w:val="18"/>
                <w:szCs w:val="18"/>
                <w:lang w:bidi="ar"/>
              </w:rPr>
              <w:t>S</w:t>
            </w:r>
            <w:r>
              <w:rPr>
                <w:rFonts w:cs="Times New Roman"/>
                <w:sz w:val="18"/>
                <w:szCs w:val="18"/>
                <w:vertAlign w:val="subscript"/>
                <w:lang w:bidi="ar"/>
              </w:rPr>
              <w:t>max</w:t>
            </w:r>
          </w:p>
        </w:tc>
        <w:tc>
          <w:tcPr>
            <w:tcW w:w="569" w:type="pct"/>
            <w:tcBorders>
              <w:top w:val="single" w:color="auto" w:sz="4" w:space="0"/>
              <w:left w:val="nil"/>
              <w:bottom w:val="single" w:color="auto" w:sz="4" w:space="0"/>
              <w:right w:val="single" w:color="auto" w:sz="4" w:space="0"/>
            </w:tcBorders>
            <w:noWrap/>
            <w:vAlign w:val="center"/>
          </w:tcPr>
          <w:p w14:paraId="6F12275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78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64" w:type="pct"/>
            <w:tcBorders>
              <w:top w:val="single" w:color="auto" w:sz="4" w:space="0"/>
              <w:left w:val="single" w:color="auto" w:sz="4" w:space="0"/>
              <w:bottom w:val="single" w:color="auto" w:sz="4" w:space="0"/>
              <w:right w:val="single" w:color="auto" w:sz="4" w:space="0"/>
            </w:tcBorders>
            <w:noWrap/>
            <w:vAlign w:val="center"/>
          </w:tcPr>
          <w:p w14:paraId="27843B8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31</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tcBorders>
              <w:top w:val="single" w:color="auto" w:sz="4" w:space="0"/>
              <w:left w:val="single" w:color="auto" w:sz="4" w:space="0"/>
              <w:bottom w:val="single" w:color="auto" w:sz="4" w:space="0"/>
              <w:right w:val="single" w:color="auto" w:sz="4" w:space="0"/>
            </w:tcBorders>
            <w:noWrap/>
            <w:vAlign w:val="center"/>
          </w:tcPr>
          <w:p w14:paraId="52BC200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0.01</w:t>
            </w:r>
            <w:r>
              <w:rPr>
                <w:rFonts w:hint="eastAsia" w:cs="Times New Roman"/>
                <w:i w:val="0"/>
                <w:iCs w:val="0"/>
                <w:color w:val="000000"/>
                <w:kern w:val="0"/>
                <w:sz w:val="18"/>
                <w:szCs w:val="18"/>
                <w:u w:val="none"/>
                <w:lang w:val="en-US" w:eastAsia="zh-CN" w:bidi="ar"/>
              </w:rPr>
              <w:t>15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40" w:type="pct"/>
            <w:tcBorders>
              <w:top w:val="single" w:color="auto" w:sz="4" w:space="0"/>
              <w:left w:val="single" w:color="auto" w:sz="4" w:space="0"/>
              <w:bottom w:val="single" w:color="auto" w:sz="4" w:space="0"/>
              <w:right w:val="single" w:color="auto" w:sz="4" w:space="0"/>
            </w:tcBorders>
            <w:noWrap/>
            <w:vAlign w:val="center"/>
          </w:tcPr>
          <w:p w14:paraId="2856BDC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0.000094 </w:t>
            </w:r>
          </w:p>
        </w:tc>
        <w:tc>
          <w:tcPr>
            <w:tcW w:w="461" w:type="pct"/>
            <w:tcBorders>
              <w:top w:val="single" w:color="auto" w:sz="4" w:space="0"/>
              <w:left w:val="single" w:color="auto" w:sz="4" w:space="0"/>
              <w:bottom w:val="single" w:color="auto" w:sz="4" w:space="0"/>
              <w:right w:val="single" w:color="auto" w:sz="4" w:space="0"/>
            </w:tcBorders>
            <w:noWrap/>
            <w:vAlign w:val="center"/>
          </w:tcPr>
          <w:p w14:paraId="691852F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53</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tcBorders>
              <w:top w:val="single" w:color="auto" w:sz="4" w:space="0"/>
              <w:left w:val="single" w:color="auto" w:sz="4" w:space="0"/>
              <w:bottom w:val="single" w:color="auto" w:sz="4" w:space="0"/>
              <w:right w:val="single" w:color="auto" w:sz="4" w:space="0"/>
            </w:tcBorders>
            <w:noWrap/>
            <w:vAlign w:val="center"/>
          </w:tcPr>
          <w:p w14:paraId="0553C8FB">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12</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5988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933" w:type="pct"/>
            <w:noWrap/>
            <w:vAlign w:val="center"/>
          </w:tcPr>
          <w:p w14:paraId="452F7E57">
            <w:pPr>
              <w:widowControl/>
              <w:spacing w:line="312" w:lineRule="auto"/>
              <w:ind w:firstLine="360" w:firstLineChars="200"/>
              <w:jc w:val="center"/>
              <w:textAlignment w:val="center"/>
              <w:rPr>
                <w:rFonts w:cs="Times New Roman"/>
                <w:sz w:val="18"/>
                <w:szCs w:val="18"/>
                <w:lang w:bidi="ar"/>
              </w:rPr>
            </w:pPr>
            <w:r>
              <w:rPr>
                <w:rFonts w:cs="Times New Roman"/>
                <w:sz w:val="18"/>
                <w:szCs w:val="18"/>
                <w:lang w:bidi="ar"/>
              </w:rPr>
              <w:t>C</w:t>
            </w:r>
          </w:p>
        </w:tc>
        <w:tc>
          <w:tcPr>
            <w:tcW w:w="569" w:type="pct"/>
            <w:tcBorders>
              <w:top w:val="single" w:color="auto" w:sz="4" w:space="0"/>
              <w:left w:val="nil"/>
              <w:bottom w:val="single" w:color="auto" w:sz="4" w:space="0"/>
              <w:right w:val="single" w:color="auto" w:sz="4" w:space="0"/>
            </w:tcBorders>
            <w:noWrap/>
            <w:vAlign w:val="center"/>
          </w:tcPr>
          <w:p w14:paraId="3E0C336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427</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64" w:type="pct"/>
            <w:tcBorders>
              <w:top w:val="single" w:color="auto" w:sz="4" w:space="0"/>
              <w:left w:val="single" w:color="auto" w:sz="4" w:space="0"/>
              <w:bottom w:val="single" w:color="auto" w:sz="4" w:space="0"/>
              <w:right w:val="single" w:color="auto" w:sz="4" w:space="0"/>
            </w:tcBorders>
            <w:noWrap/>
            <w:vAlign w:val="center"/>
          </w:tcPr>
          <w:p w14:paraId="480F434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337</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55" w:type="pct"/>
            <w:tcBorders>
              <w:top w:val="single" w:color="auto" w:sz="4" w:space="0"/>
              <w:left w:val="single" w:color="auto" w:sz="4" w:space="0"/>
              <w:bottom w:val="single" w:color="auto" w:sz="4" w:space="0"/>
              <w:right w:val="single" w:color="auto" w:sz="4" w:space="0"/>
            </w:tcBorders>
            <w:noWrap/>
            <w:vAlign w:val="center"/>
          </w:tcPr>
          <w:p w14:paraId="69ECF2A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w:t>
            </w:r>
            <w:r>
              <w:rPr>
                <w:rFonts w:hint="eastAsia" w:cs="Times New Roman"/>
                <w:i w:val="0"/>
                <w:iCs w:val="0"/>
                <w:color w:val="000000"/>
                <w:kern w:val="0"/>
                <w:sz w:val="18"/>
                <w:szCs w:val="18"/>
                <w:u w:val="none"/>
                <w:lang w:val="en-US" w:eastAsia="zh-CN" w:bidi="ar"/>
              </w:rPr>
              <w:t>75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40" w:type="pct"/>
            <w:tcBorders>
              <w:top w:val="single" w:color="auto" w:sz="4" w:space="0"/>
              <w:left w:val="single" w:color="auto" w:sz="4" w:space="0"/>
              <w:bottom w:val="single" w:color="auto" w:sz="4" w:space="0"/>
              <w:right w:val="single" w:color="auto" w:sz="4" w:space="0"/>
            </w:tcBorders>
            <w:noWrap/>
            <w:vAlign w:val="center"/>
          </w:tcPr>
          <w:p w14:paraId="70A3BA0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0.233 </w:t>
            </w:r>
          </w:p>
        </w:tc>
        <w:tc>
          <w:tcPr>
            <w:tcW w:w="461" w:type="pct"/>
            <w:tcBorders>
              <w:top w:val="single" w:color="auto" w:sz="4" w:space="0"/>
              <w:left w:val="single" w:color="auto" w:sz="4" w:space="0"/>
              <w:bottom w:val="single" w:color="auto" w:sz="4" w:space="0"/>
              <w:right w:val="single" w:color="auto" w:sz="4" w:space="0"/>
            </w:tcBorders>
            <w:noWrap/>
            <w:vAlign w:val="center"/>
          </w:tcPr>
          <w:p w14:paraId="210AB62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404</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5" w:type="pct"/>
            <w:tcBorders>
              <w:top w:val="single" w:color="auto" w:sz="4" w:space="0"/>
              <w:left w:val="single" w:color="auto" w:sz="4" w:space="0"/>
              <w:bottom w:val="single" w:color="auto" w:sz="4" w:space="0"/>
              <w:right w:val="single" w:color="auto" w:sz="4" w:space="0"/>
            </w:tcBorders>
            <w:noWrap/>
            <w:vAlign w:val="center"/>
          </w:tcPr>
          <w:p w14:paraId="70908BE1">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441</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bl>
    <w:p w14:paraId="357ACD45">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3.2.2.2.2</w:t>
      </w:r>
      <w:r>
        <w:rPr>
          <w:rFonts w:hint="eastAsia" w:ascii="黑体" w:hAnsi="Times New Roman" w:eastAsia="黑体" w:cs="Times New Roman"/>
          <w:b w:val="0"/>
          <w:bCs/>
          <w:kern w:val="2"/>
          <w:sz w:val="21"/>
          <w:szCs w:val="21"/>
          <w:lang w:val="en-US" w:eastAsia="zh-CN"/>
        </w:rPr>
        <w:t>碳和硫</w:t>
      </w:r>
      <w:r>
        <w:rPr>
          <w:rFonts w:hint="eastAsia" w:ascii="黑体" w:hAnsi="Times New Roman" w:eastAsia="黑体" w:cs="Times New Roman"/>
          <w:b w:val="0"/>
          <w:bCs/>
          <w:kern w:val="2"/>
          <w:sz w:val="21"/>
          <w:szCs w:val="21"/>
        </w:rPr>
        <w:t>元素的实验室间格拉布斯检验</w:t>
      </w:r>
    </w:p>
    <w:p w14:paraId="545E48FD">
      <w:pPr>
        <w:tabs>
          <w:tab w:val="left" w:pos="0"/>
        </w:tabs>
        <w:snapToGrid w:val="0"/>
        <w:spacing w:before="163" w:beforeLines="50"/>
        <w:ind w:firstLine="420" w:firstLineChars="200"/>
        <w:rPr>
          <w:rFonts w:hint="default" w:eastAsia="宋体" w:cs="Times New Roman"/>
          <w:kern w:val="2"/>
          <w:sz w:val="21"/>
          <w:szCs w:val="21"/>
          <w:lang w:val="en-US" w:eastAsia="zh-CN"/>
        </w:rPr>
      </w:pPr>
      <w:r>
        <w:rPr>
          <w:rFonts w:hint="eastAsia" w:cs="Times New Roman"/>
          <w:kern w:val="2"/>
          <w:sz w:val="21"/>
          <w:szCs w:val="21"/>
        </w:rPr>
        <w:t>将格拉布斯检验应用于单元平均值，表</w:t>
      </w:r>
      <w:r>
        <w:rPr>
          <w:rFonts w:hint="eastAsia" w:eastAsia="黑体" w:cs="Times New Roman"/>
          <w:kern w:val="2"/>
          <w:sz w:val="21"/>
          <w:szCs w:val="21"/>
          <w:lang w:val="en-US" w:eastAsia="zh-CN"/>
        </w:rPr>
        <w:t>13</w:t>
      </w:r>
      <w:r>
        <w:rPr>
          <w:rFonts w:hint="eastAsia" w:cs="Times New Roman"/>
          <w:kern w:val="2"/>
          <w:sz w:val="21"/>
          <w:szCs w:val="21"/>
        </w:rPr>
        <w:t>为</w:t>
      </w:r>
      <w:r>
        <w:rPr>
          <w:rFonts w:hint="eastAsia" w:cs="Times New Roman"/>
          <w:kern w:val="2"/>
          <w:sz w:val="21"/>
          <w:szCs w:val="21"/>
          <w:lang w:val="en-US" w:eastAsia="zh-CN"/>
        </w:rPr>
        <w:t>碳和硫</w:t>
      </w:r>
      <w:r>
        <w:rPr>
          <w:rFonts w:hint="eastAsia" w:cs="Times New Roman"/>
          <w:kern w:val="2"/>
          <w:sz w:val="21"/>
          <w:szCs w:val="21"/>
        </w:rPr>
        <w:t>的相应检验结果。</w:t>
      </w:r>
      <w:r>
        <w:rPr>
          <w:rFonts w:cs="Times New Roman"/>
          <w:kern w:val="2"/>
          <w:sz w:val="21"/>
          <w:szCs w:val="21"/>
        </w:rPr>
        <w:t>一个离群观测值检验结果实验室数p=</w:t>
      </w:r>
      <w:r>
        <w:rPr>
          <w:rFonts w:hint="eastAsia" w:cs="Times New Roman"/>
          <w:kern w:val="2"/>
          <w:sz w:val="21"/>
          <w:szCs w:val="21"/>
          <w:lang w:val="en-US" w:eastAsia="zh-CN"/>
        </w:rPr>
        <w:t>11</w:t>
      </w:r>
      <w:r>
        <w:rPr>
          <w:rFonts w:cs="Times New Roman"/>
          <w:kern w:val="2"/>
          <w:sz w:val="21"/>
          <w:szCs w:val="21"/>
        </w:rPr>
        <w:t>时，显著性水平为1%时G临界值为</w:t>
      </w:r>
      <w:r>
        <w:rPr>
          <w:rFonts w:hint="eastAsia" w:cs="Times New Roman"/>
          <w:kern w:val="2"/>
          <w:sz w:val="21"/>
          <w:szCs w:val="21"/>
          <w:lang w:val="en-US" w:eastAsia="zh-CN"/>
        </w:rPr>
        <w:t>2.564</w:t>
      </w:r>
      <w:r>
        <w:rPr>
          <w:rFonts w:cs="Times New Roman"/>
          <w:kern w:val="2"/>
          <w:sz w:val="21"/>
          <w:szCs w:val="21"/>
        </w:rPr>
        <w:t>；显著性水平为5%时G临界值为2.</w:t>
      </w:r>
      <w:r>
        <w:rPr>
          <w:rFonts w:hint="eastAsia" w:cs="Times New Roman"/>
          <w:kern w:val="2"/>
          <w:sz w:val="21"/>
          <w:szCs w:val="21"/>
          <w:lang w:val="en-US" w:eastAsia="zh-CN"/>
        </w:rPr>
        <w:t>355</w:t>
      </w:r>
      <w:r>
        <w:rPr>
          <w:rFonts w:cs="Times New Roman"/>
          <w:kern w:val="2"/>
          <w:sz w:val="21"/>
          <w:szCs w:val="21"/>
        </w:rPr>
        <w:t>。一个离群观测值检验结果实验室数p=</w:t>
      </w:r>
      <w:r>
        <w:rPr>
          <w:rFonts w:hint="eastAsia" w:cs="Times New Roman"/>
          <w:kern w:val="2"/>
          <w:sz w:val="21"/>
          <w:szCs w:val="21"/>
          <w:lang w:val="en-US" w:eastAsia="zh-CN"/>
        </w:rPr>
        <w:t>10</w:t>
      </w:r>
      <w:r>
        <w:rPr>
          <w:rFonts w:cs="Times New Roman"/>
          <w:kern w:val="2"/>
          <w:sz w:val="21"/>
          <w:szCs w:val="21"/>
        </w:rPr>
        <w:t>时，显著性水平为1%时G临界值为</w:t>
      </w:r>
      <w:r>
        <w:rPr>
          <w:rFonts w:hint="eastAsia" w:cs="Times New Roman"/>
          <w:kern w:val="2"/>
          <w:sz w:val="21"/>
          <w:szCs w:val="21"/>
          <w:lang w:val="en-US" w:eastAsia="zh-CN"/>
        </w:rPr>
        <w:t>2.482</w:t>
      </w:r>
      <w:r>
        <w:rPr>
          <w:rFonts w:cs="Times New Roman"/>
          <w:kern w:val="2"/>
          <w:sz w:val="21"/>
          <w:szCs w:val="21"/>
        </w:rPr>
        <w:t>；显著性水平为5%时G临界值为2.</w:t>
      </w:r>
      <w:r>
        <w:rPr>
          <w:rFonts w:hint="eastAsia" w:cs="Times New Roman"/>
          <w:kern w:val="2"/>
          <w:sz w:val="21"/>
          <w:szCs w:val="21"/>
          <w:lang w:val="en-US" w:eastAsia="zh-CN"/>
        </w:rPr>
        <w:t>290</w:t>
      </w:r>
      <w:r>
        <w:rPr>
          <w:rFonts w:cs="Times New Roman"/>
          <w:kern w:val="2"/>
          <w:sz w:val="21"/>
          <w:szCs w:val="21"/>
        </w:rPr>
        <w:t>。</w:t>
      </w:r>
      <w:r>
        <w:rPr>
          <w:rFonts w:hint="eastAsia" w:cs="Times New Roman"/>
          <w:kern w:val="2"/>
          <w:sz w:val="21"/>
          <w:szCs w:val="21"/>
        </w:rPr>
        <w:t>结果表明</w:t>
      </w:r>
      <w:r>
        <w:rPr>
          <w:rFonts w:hint="eastAsia" w:cs="Times New Roman"/>
          <w:kern w:val="2"/>
          <w:sz w:val="21"/>
          <w:szCs w:val="21"/>
          <w:lang w:val="en-US" w:eastAsia="zh-CN"/>
        </w:rPr>
        <w:t>硫元素</w:t>
      </w:r>
      <w:r>
        <w:rPr>
          <w:rFonts w:hint="eastAsia" w:cs="Times New Roman"/>
          <w:kern w:val="2"/>
          <w:sz w:val="21"/>
          <w:szCs w:val="21"/>
        </w:rPr>
        <w:t>水平</w:t>
      </w:r>
      <w:r>
        <w:rPr>
          <w:rFonts w:hint="eastAsia" w:cs="Times New Roman"/>
          <w:kern w:val="2"/>
          <w:sz w:val="21"/>
          <w:szCs w:val="21"/>
          <w:lang w:eastAsia="zh-CN"/>
        </w:rPr>
        <w:t>1</w:t>
      </w:r>
      <w:r>
        <w:rPr>
          <w:rFonts w:hint="eastAsia" w:cs="Times New Roman"/>
          <w:kern w:val="2"/>
          <w:sz w:val="21"/>
          <w:szCs w:val="21"/>
          <w:lang w:val="en-US" w:eastAsia="zh-CN"/>
        </w:rPr>
        <w:t>的</w:t>
      </w:r>
      <w:r>
        <w:rPr>
          <w:rFonts w:hint="eastAsia" w:cs="Times New Roman"/>
          <w:kern w:val="2"/>
          <w:sz w:val="21"/>
          <w:szCs w:val="21"/>
        </w:rPr>
        <w:t>最大值离群，实验室</w:t>
      </w:r>
      <w:r>
        <w:rPr>
          <w:rFonts w:hint="eastAsia" w:cs="Times New Roman"/>
          <w:kern w:val="2"/>
          <w:sz w:val="21"/>
          <w:szCs w:val="21"/>
          <w:lang w:eastAsia="zh-CN"/>
        </w:rPr>
        <w:t>2</w:t>
      </w:r>
      <w:r>
        <w:rPr>
          <w:rFonts w:hint="eastAsia" w:cs="Times New Roman"/>
          <w:kern w:val="2"/>
          <w:sz w:val="21"/>
          <w:szCs w:val="21"/>
        </w:rPr>
        <w:t>金川集团股份有限公司的</w:t>
      </w:r>
      <w:r>
        <w:rPr>
          <w:rFonts w:hint="eastAsia" w:cs="Times New Roman"/>
          <w:kern w:val="2"/>
          <w:sz w:val="21"/>
          <w:szCs w:val="21"/>
          <w:lang w:val="en-US" w:eastAsia="zh-CN"/>
        </w:rPr>
        <w:t>硫元素</w:t>
      </w:r>
      <w:r>
        <w:rPr>
          <w:rFonts w:hint="eastAsia" w:cs="Times New Roman"/>
          <w:kern w:val="2"/>
          <w:sz w:val="21"/>
          <w:szCs w:val="21"/>
        </w:rPr>
        <w:t>水平</w:t>
      </w:r>
      <w:r>
        <w:rPr>
          <w:rFonts w:hint="eastAsia" w:cs="Times New Roman"/>
          <w:kern w:val="2"/>
          <w:sz w:val="21"/>
          <w:szCs w:val="21"/>
          <w:lang w:eastAsia="zh-CN"/>
        </w:rPr>
        <w:t>1</w:t>
      </w:r>
      <w:r>
        <w:rPr>
          <w:rFonts w:hint="eastAsia" w:cs="Times New Roman"/>
          <w:kern w:val="2"/>
          <w:sz w:val="21"/>
          <w:szCs w:val="21"/>
        </w:rPr>
        <w:t>予以剔除</w:t>
      </w:r>
      <w:r>
        <w:rPr>
          <w:rFonts w:hint="eastAsia" w:cs="Times New Roman"/>
          <w:kern w:val="2"/>
          <w:sz w:val="21"/>
          <w:szCs w:val="21"/>
          <w:lang w:eastAsia="zh-CN"/>
        </w:rPr>
        <w:t>。</w:t>
      </w:r>
    </w:p>
    <w:p w14:paraId="617CE43D">
      <w:pPr>
        <w:tabs>
          <w:tab w:val="left" w:pos="840"/>
        </w:tabs>
        <w:snapToGrid w:val="0"/>
        <w:ind w:firstLine="420" w:firstLineChars="200"/>
        <w:jc w:val="center"/>
        <w:rPr>
          <w:rFonts w:hint="eastAsia" w:eastAsia="黑体" w:cs="Times New Roman"/>
          <w:kern w:val="2"/>
          <w:sz w:val="21"/>
          <w:szCs w:val="21"/>
        </w:rPr>
      </w:pPr>
      <w:r>
        <w:rPr>
          <w:rFonts w:hint="eastAsia" w:eastAsia="黑体" w:cs="Times New Roman"/>
          <w:kern w:val="2"/>
          <w:sz w:val="21"/>
          <w:szCs w:val="21"/>
        </w:rPr>
        <w:t>表</w:t>
      </w:r>
      <w:r>
        <w:rPr>
          <w:rFonts w:hint="eastAsia" w:eastAsia="黑体" w:cs="Times New Roman"/>
          <w:kern w:val="2"/>
          <w:sz w:val="21"/>
          <w:szCs w:val="21"/>
          <w:lang w:val="en-US" w:eastAsia="zh-CN"/>
        </w:rPr>
        <w:t>13</w:t>
      </w:r>
      <w:r>
        <w:rPr>
          <w:rFonts w:eastAsia="黑体" w:cs="Times New Roman"/>
          <w:kern w:val="2"/>
          <w:sz w:val="21"/>
          <w:szCs w:val="21"/>
        </w:rPr>
        <w:t xml:space="preserve"> </w:t>
      </w:r>
      <w:r>
        <w:rPr>
          <w:rFonts w:hint="eastAsia" w:eastAsia="黑体" w:cs="Times New Roman"/>
          <w:kern w:val="2"/>
          <w:sz w:val="21"/>
          <w:szCs w:val="21"/>
          <w:lang w:val="en-US" w:eastAsia="zh-CN"/>
        </w:rPr>
        <w:t>碳和硫</w:t>
      </w:r>
      <w:r>
        <w:rPr>
          <w:rFonts w:hint="eastAsia" w:eastAsia="黑体" w:cs="Times New Roman"/>
          <w:kern w:val="2"/>
          <w:sz w:val="21"/>
          <w:szCs w:val="21"/>
        </w:rPr>
        <w:t>格拉布斯检验（一个离群观测值情形）</w:t>
      </w:r>
    </w:p>
    <w:tbl>
      <w:tblPr>
        <w:tblStyle w:val="89"/>
        <w:tblW w:w="49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7"/>
        <w:gridCol w:w="910"/>
        <w:gridCol w:w="825"/>
        <w:gridCol w:w="863"/>
        <w:gridCol w:w="979"/>
        <w:gridCol w:w="824"/>
        <w:gridCol w:w="908"/>
      </w:tblGrid>
      <w:tr w14:paraId="2BA8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933" w:type="pct"/>
            <w:vMerge w:val="restart"/>
            <w:noWrap/>
            <w:vAlign w:val="center"/>
          </w:tcPr>
          <w:p w14:paraId="2F22A0CE">
            <w:pPr>
              <w:widowControl/>
              <w:spacing w:line="312" w:lineRule="auto"/>
              <w:jc w:val="center"/>
              <w:textAlignment w:val="center"/>
              <w:rPr>
                <w:rFonts w:cs="Times New Roman"/>
                <w:kern w:val="2"/>
                <w:sz w:val="18"/>
                <w:szCs w:val="18"/>
              </w:rPr>
            </w:pPr>
            <w:r>
              <w:rPr>
                <w:rFonts w:cs="Times New Roman"/>
                <w:sz w:val="18"/>
                <w:szCs w:val="18"/>
                <w:lang w:bidi="ar"/>
              </w:rPr>
              <w:t>实验室</w:t>
            </w:r>
          </w:p>
        </w:tc>
        <w:tc>
          <w:tcPr>
            <w:tcW w:w="1500" w:type="pct"/>
            <w:gridSpan w:val="3"/>
            <w:noWrap/>
            <w:vAlign w:val="center"/>
          </w:tcPr>
          <w:p w14:paraId="1D3A480A">
            <w:pPr>
              <w:widowControl/>
              <w:spacing w:line="312" w:lineRule="auto"/>
              <w:jc w:val="center"/>
              <w:textAlignment w:val="center"/>
              <w:rPr>
                <w:rFonts w:hint="eastAsia" w:eastAsia="宋体" w:cs="Times New Roman"/>
                <w:sz w:val="18"/>
                <w:szCs w:val="18"/>
                <w:lang w:val="en-US" w:eastAsia="zh-CN" w:bidi="ar"/>
              </w:rPr>
            </w:pPr>
            <w:r>
              <w:rPr>
                <w:rFonts w:hint="eastAsia" w:cs="Times New Roman"/>
                <w:sz w:val="18"/>
                <w:szCs w:val="18"/>
                <w:lang w:val="en-US" w:eastAsia="zh-CN" w:bidi="ar"/>
              </w:rPr>
              <w:t>C</w:t>
            </w:r>
          </w:p>
        </w:tc>
        <w:tc>
          <w:tcPr>
            <w:tcW w:w="1565" w:type="pct"/>
            <w:gridSpan w:val="3"/>
            <w:noWrap/>
            <w:vAlign w:val="center"/>
          </w:tcPr>
          <w:p w14:paraId="206693C4">
            <w:pPr>
              <w:widowControl/>
              <w:spacing w:line="312" w:lineRule="auto"/>
              <w:jc w:val="center"/>
              <w:textAlignment w:val="center"/>
              <w:rPr>
                <w:rFonts w:hint="eastAsia" w:eastAsia="宋体" w:cs="Times New Roman"/>
                <w:sz w:val="18"/>
                <w:szCs w:val="18"/>
                <w:lang w:val="en-US" w:eastAsia="zh-CN" w:bidi="ar"/>
              </w:rPr>
            </w:pPr>
            <w:r>
              <w:rPr>
                <w:rFonts w:hint="eastAsia" w:cs="Times New Roman"/>
                <w:sz w:val="18"/>
                <w:szCs w:val="18"/>
                <w:lang w:val="en-US" w:eastAsia="zh-CN" w:bidi="ar"/>
              </w:rPr>
              <w:t>S</w:t>
            </w:r>
          </w:p>
        </w:tc>
      </w:tr>
      <w:tr w14:paraId="261A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933" w:type="pct"/>
            <w:vMerge w:val="continue"/>
            <w:noWrap/>
            <w:vAlign w:val="center"/>
          </w:tcPr>
          <w:p w14:paraId="00448FBD">
            <w:pPr>
              <w:widowControl/>
              <w:spacing w:line="312" w:lineRule="auto"/>
              <w:jc w:val="center"/>
              <w:textAlignment w:val="center"/>
              <w:rPr>
                <w:rFonts w:cs="Times New Roman"/>
                <w:kern w:val="2"/>
                <w:sz w:val="18"/>
                <w:szCs w:val="18"/>
              </w:rPr>
            </w:pPr>
          </w:p>
        </w:tc>
        <w:tc>
          <w:tcPr>
            <w:tcW w:w="525" w:type="pct"/>
            <w:noWrap/>
            <w:vAlign w:val="center"/>
          </w:tcPr>
          <w:p w14:paraId="1F296DC5">
            <w:pPr>
              <w:widowControl/>
              <w:spacing w:line="312" w:lineRule="auto"/>
              <w:jc w:val="center"/>
              <w:textAlignment w:val="center"/>
              <w:rPr>
                <w:rFonts w:cs="Times New Roman"/>
                <w:kern w:val="2"/>
                <w:sz w:val="18"/>
                <w:szCs w:val="18"/>
              </w:rPr>
            </w:pPr>
            <w:r>
              <w:rPr>
                <w:rFonts w:cs="Times New Roman"/>
                <w:sz w:val="18"/>
                <w:szCs w:val="18"/>
                <w:lang w:bidi="ar"/>
              </w:rPr>
              <w:t>水平1</w:t>
            </w:r>
          </w:p>
        </w:tc>
        <w:tc>
          <w:tcPr>
            <w:tcW w:w="476" w:type="pct"/>
            <w:noWrap/>
            <w:vAlign w:val="center"/>
          </w:tcPr>
          <w:p w14:paraId="7FD05233">
            <w:pPr>
              <w:widowControl/>
              <w:spacing w:line="312" w:lineRule="auto"/>
              <w:jc w:val="center"/>
              <w:textAlignment w:val="center"/>
              <w:rPr>
                <w:rFonts w:cs="Times New Roman"/>
                <w:kern w:val="2"/>
                <w:sz w:val="18"/>
                <w:szCs w:val="18"/>
              </w:rPr>
            </w:pPr>
            <w:r>
              <w:rPr>
                <w:rFonts w:cs="Times New Roman"/>
                <w:sz w:val="18"/>
                <w:szCs w:val="18"/>
                <w:lang w:bidi="ar"/>
              </w:rPr>
              <w:t>水平2</w:t>
            </w:r>
          </w:p>
        </w:tc>
        <w:tc>
          <w:tcPr>
            <w:tcW w:w="498" w:type="pct"/>
            <w:noWrap/>
            <w:vAlign w:val="center"/>
          </w:tcPr>
          <w:p w14:paraId="3319E5D3">
            <w:pPr>
              <w:widowControl/>
              <w:spacing w:line="312" w:lineRule="auto"/>
              <w:jc w:val="center"/>
              <w:textAlignment w:val="center"/>
              <w:rPr>
                <w:rFonts w:cs="Times New Roman"/>
                <w:kern w:val="2"/>
                <w:sz w:val="18"/>
                <w:szCs w:val="18"/>
              </w:rPr>
            </w:pPr>
            <w:r>
              <w:rPr>
                <w:rFonts w:cs="Times New Roman"/>
                <w:sz w:val="18"/>
                <w:szCs w:val="18"/>
                <w:lang w:bidi="ar"/>
              </w:rPr>
              <w:t>水平3</w:t>
            </w:r>
          </w:p>
        </w:tc>
        <w:tc>
          <w:tcPr>
            <w:tcW w:w="565" w:type="pct"/>
            <w:noWrap/>
            <w:vAlign w:val="center"/>
          </w:tcPr>
          <w:p w14:paraId="512CA13B">
            <w:pPr>
              <w:widowControl/>
              <w:spacing w:line="312" w:lineRule="auto"/>
              <w:jc w:val="center"/>
              <w:textAlignment w:val="center"/>
              <w:rPr>
                <w:rFonts w:cs="Times New Roman"/>
                <w:kern w:val="2"/>
                <w:sz w:val="18"/>
                <w:szCs w:val="18"/>
              </w:rPr>
            </w:pPr>
            <w:r>
              <w:rPr>
                <w:rFonts w:cs="Times New Roman"/>
                <w:sz w:val="18"/>
                <w:szCs w:val="18"/>
                <w:lang w:bidi="ar"/>
              </w:rPr>
              <w:t>水平1</w:t>
            </w:r>
          </w:p>
        </w:tc>
        <w:tc>
          <w:tcPr>
            <w:tcW w:w="475" w:type="pct"/>
            <w:noWrap/>
            <w:vAlign w:val="center"/>
          </w:tcPr>
          <w:p w14:paraId="46945D37">
            <w:pPr>
              <w:widowControl/>
              <w:spacing w:line="312" w:lineRule="auto"/>
              <w:jc w:val="center"/>
              <w:textAlignment w:val="center"/>
              <w:rPr>
                <w:rFonts w:cs="Times New Roman"/>
                <w:kern w:val="2"/>
                <w:sz w:val="18"/>
                <w:szCs w:val="18"/>
              </w:rPr>
            </w:pPr>
            <w:r>
              <w:rPr>
                <w:rFonts w:cs="Times New Roman"/>
                <w:sz w:val="18"/>
                <w:szCs w:val="18"/>
                <w:lang w:bidi="ar"/>
              </w:rPr>
              <w:t>水平2</w:t>
            </w:r>
          </w:p>
        </w:tc>
        <w:tc>
          <w:tcPr>
            <w:tcW w:w="524" w:type="pct"/>
            <w:noWrap/>
            <w:vAlign w:val="center"/>
          </w:tcPr>
          <w:p w14:paraId="01E1AD4E">
            <w:pPr>
              <w:widowControl/>
              <w:spacing w:line="312" w:lineRule="auto"/>
              <w:jc w:val="center"/>
              <w:textAlignment w:val="center"/>
              <w:rPr>
                <w:rFonts w:cs="Times New Roman"/>
                <w:sz w:val="18"/>
                <w:szCs w:val="18"/>
                <w:lang w:bidi="ar"/>
              </w:rPr>
            </w:pPr>
            <w:r>
              <w:rPr>
                <w:rFonts w:cs="Times New Roman"/>
                <w:sz w:val="18"/>
                <w:szCs w:val="18"/>
                <w:lang w:bidi="ar"/>
              </w:rPr>
              <w:t>水平3</w:t>
            </w:r>
          </w:p>
        </w:tc>
      </w:tr>
      <w:tr w14:paraId="0972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47278473">
            <w:pPr>
              <w:spacing w:line="312" w:lineRule="auto"/>
              <w:jc w:val="left"/>
              <w:rPr>
                <w:rFonts w:cs="Times New Roman"/>
                <w:kern w:val="2"/>
                <w:sz w:val="18"/>
                <w:szCs w:val="18"/>
              </w:rPr>
            </w:pPr>
            <w:r>
              <w:rPr>
                <w:rFonts w:cs="Times New Roman"/>
                <w:kern w:val="2"/>
                <w:sz w:val="18"/>
                <w:szCs w:val="18"/>
              </w:rPr>
              <w:t>1北矿检测技术股份有限公司</w:t>
            </w:r>
          </w:p>
        </w:tc>
        <w:tc>
          <w:tcPr>
            <w:tcW w:w="525" w:type="pct"/>
            <w:noWrap/>
            <w:vAlign w:val="center"/>
          </w:tcPr>
          <w:p w14:paraId="48E3C48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0.00456 </w:t>
            </w:r>
          </w:p>
        </w:tc>
        <w:tc>
          <w:tcPr>
            <w:tcW w:w="476" w:type="pct"/>
            <w:noWrap/>
            <w:vAlign w:val="center"/>
          </w:tcPr>
          <w:p w14:paraId="52D51BB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0.0483 </w:t>
            </w:r>
          </w:p>
        </w:tc>
        <w:tc>
          <w:tcPr>
            <w:tcW w:w="498" w:type="pct"/>
            <w:noWrap/>
            <w:vAlign w:val="center"/>
          </w:tcPr>
          <w:p w14:paraId="3680893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565" w:type="pct"/>
            <w:noWrap/>
            <w:vAlign w:val="center"/>
          </w:tcPr>
          <w:p w14:paraId="2D34F64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0.000286 </w:t>
            </w:r>
          </w:p>
        </w:tc>
        <w:tc>
          <w:tcPr>
            <w:tcW w:w="475" w:type="pct"/>
            <w:noWrap/>
            <w:vAlign w:val="center"/>
          </w:tcPr>
          <w:p w14:paraId="0BBEE3E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0.0491 </w:t>
            </w:r>
          </w:p>
        </w:tc>
        <w:tc>
          <w:tcPr>
            <w:tcW w:w="524" w:type="pct"/>
            <w:noWrap/>
            <w:vAlign w:val="center"/>
          </w:tcPr>
          <w:p w14:paraId="2673B90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0.00883 </w:t>
            </w:r>
          </w:p>
        </w:tc>
      </w:tr>
      <w:tr w14:paraId="0253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6A03AB1D">
            <w:pPr>
              <w:spacing w:line="312" w:lineRule="auto"/>
              <w:jc w:val="left"/>
              <w:rPr>
                <w:rFonts w:hint="eastAsia" w:eastAsia="宋体" w:cs="Times New Roman"/>
                <w:kern w:val="2"/>
                <w:sz w:val="18"/>
                <w:szCs w:val="18"/>
                <w:lang w:eastAsia="zh-CN"/>
              </w:rPr>
            </w:pPr>
            <w:r>
              <w:rPr>
                <w:rFonts w:cs="Times New Roman"/>
                <w:kern w:val="2"/>
                <w:sz w:val="18"/>
                <w:szCs w:val="18"/>
              </w:rPr>
              <w:t>2</w:t>
            </w:r>
            <w:r>
              <w:rPr>
                <w:rFonts w:hint="eastAsia" w:cs="Times New Roman"/>
                <w:kern w:val="2"/>
                <w:sz w:val="18"/>
                <w:szCs w:val="18"/>
              </w:rPr>
              <w:t>金川集团股份有限公司</w:t>
            </w:r>
          </w:p>
        </w:tc>
        <w:tc>
          <w:tcPr>
            <w:tcW w:w="525" w:type="pct"/>
            <w:noWrap/>
            <w:vAlign w:val="center"/>
          </w:tcPr>
          <w:p w14:paraId="60049A3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0.00451 </w:t>
            </w:r>
          </w:p>
        </w:tc>
        <w:tc>
          <w:tcPr>
            <w:tcW w:w="476" w:type="pct"/>
            <w:noWrap/>
            <w:vAlign w:val="center"/>
          </w:tcPr>
          <w:p w14:paraId="15BDD88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0.0470 </w:t>
            </w:r>
          </w:p>
        </w:tc>
        <w:tc>
          <w:tcPr>
            <w:tcW w:w="498" w:type="pct"/>
            <w:noWrap/>
            <w:vAlign w:val="center"/>
          </w:tcPr>
          <w:p w14:paraId="4A2FD70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0.198</w:t>
            </w:r>
          </w:p>
        </w:tc>
        <w:tc>
          <w:tcPr>
            <w:tcW w:w="565" w:type="pct"/>
            <w:noWrap/>
            <w:vAlign w:val="center"/>
          </w:tcPr>
          <w:p w14:paraId="59C347A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0.000590 </w:t>
            </w:r>
          </w:p>
        </w:tc>
        <w:tc>
          <w:tcPr>
            <w:tcW w:w="475" w:type="pct"/>
            <w:noWrap/>
            <w:vAlign w:val="center"/>
          </w:tcPr>
          <w:p w14:paraId="07B2DF5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0.0447 </w:t>
            </w:r>
          </w:p>
        </w:tc>
        <w:tc>
          <w:tcPr>
            <w:tcW w:w="524" w:type="pct"/>
            <w:noWrap/>
            <w:vAlign w:val="center"/>
          </w:tcPr>
          <w:p w14:paraId="21CEEFF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0.00802 </w:t>
            </w:r>
          </w:p>
        </w:tc>
      </w:tr>
      <w:tr w14:paraId="7B69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267AAB03">
            <w:pPr>
              <w:spacing w:line="312" w:lineRule="auto"/>
              <w:jc w:val="left"/>
              <w:rPr>
                <w:rFonts w:cs="Times New Roman"/>
                <w:kern w:val="2"/>
                <w:sz w:val="18"/>
                <w:szCs w:val="18"/>
              </w:rPr>
            </w:pPr>
            <w:r>
              <w:rPr>
                <w:rFonts w:cs="Times New Roman"/>
                <w:kern w:val="2"/>
                <w:sz w:val="18"/>
                <w:szCs w:val="18"/>
              </w:rPr>
              <w:t>3</w:t>
            </w:r>
            <w:r>
              <w:rPr>
                <w:rFonts w:hint="eastAsia" w:cs="Times New Roman"/>
                <w:kern w:val="2"/>
                <w:sz w:val="18"/>
                <w:szCs w:val="18"/>
              </w:rPr>
              <w:t>浙江华友钴业股份有限公司</w:t>
            </w:r>
          </w:p>
        </w:tc>
        <w:tc>
          <w:tcPr>
            <w:tcW w:w="525" w:type="pct"/>
            <w:noWrap/>
            <w:vAlign w:val="center"/>
          </w:tcPr>
          <w:p w14:paraId="441BEA1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0.00384 </w:t>
            </w:r>
          </w:p>
        </w:tc>
        <w:tc>
          <w:tcPr>
            <w:tcW w:w="476" w:type="pct"/>
            <w:noWrap/>
            <w:vAlign w:val="center"/>
          </w:tcPr>
          <w:p w14:paraId="0FEB4CB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0.0452 </w:t>
            </w:r>
          </w:p>
        </w:tc>
        <w:tc>
          <w:tcPr>
            <w:tcW w:w="498" w:type="pct"/>
            <w:noWrap/>
            <w:vAlign w:val="center"/>
          </w:tcPr>
          <w:p w14:paraId="3D59B73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0.214</w:t>
            </w:r>
          </w:p>
        </w:tc>
        <w:tc>
          <w:tcPr>
            <w:tcW w:w="565" w:type="pct"/>
            <w:noWrap/>
            <w:vAlign w:val="center"/>
          </w:tcPr>
          <w:p w14:paraId="165FFAF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0.000165 </w:t>
            </w:r>
          </w:p>
        </w:tc>
        <w:tc>
          <w:tcPr>
            <w:tcW w:w="475" w:type="pct"/>
            <w:noWrap/>
            <w:vAlign w:val="center"/>
          </w:tcPr>
          <w:p w14:paraId="5B255A2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w:t>
            </w:r>
            <w:r>
              <w:rPr>
                <w:rFonts w:hint="eastAsia" w:cs="Times New Roman"/>
                <w:i w:val="0"/>
                <w:iCs w:val="0"/>
                <w:color w:val="000000"/>
                <w:kern w:val="0"/>
                <w:sz w:val="18"/>
                <w:szCs w:val="18"/>
                <w:u w:val="none"/>
                <w:lang w:val="en-US" w:eastAsia="zh-CN" w:bidi="ar"/>
              </w:rPr>
              <w:t>28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24" w:type="pct"/>
            <w:noWrap/>
            <w:vAlign w:val="center"/>
          </w:tcPr>
          <w:p w14:paraId="3D99753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0.00758 </w:t>
            </w:r>
          </w:p>
        </w:tc>
      </w:tr>
      <w:tr w14:paraId="1376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5132D20B">
            <w:pPr>
              <w:spacing w:line="312" w:lineRule="auto"/>
              <w:jc w:val="left"/>
              <w:rPr>
                <w:rFonts w:cs="Times New Roman"/>
                <w:kern w:val="2"/>
                <w:sz w:val="18"/>
                <w:szCs w:val="18"/>
              </w:rPr>
            </w:pPr>
            <w:r>
              <w:rPr>
                <w:rFonts w:cs="Times New Roman"/>
                <w:kern w:val="2"/>
                <w:sz w:val="18"/>
                <w:szCs w:val="18"/>
              </w:rPr>
              <w:t>5</w:t>
            </w:r>
            <w:r>
              <w:rPr>
                <w:rFonts w:hint="eastAsia" w:cs="Times New Roman"/>
                <w:kern w:val="2"/>
                <w:sz w:val="18"/>
                <w:szCs w:val="18"/>
              </w:rPr>
              <w:t>国标（北京）检验认证有限公司</w:t>
            </w:r>
          </w:p>
        </w:tc>
        <w:tc>
          <w:tcPr>
            <w:tcW w:w="525" w:type="pct"/>
            <w:noWrap/>
            <w:vAlign w:val="center"/>
          </w:tcPr>
          <w:p w14:paraId="691094F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0.00298 </w:t>
            </w:r>
          </w:p>
        </w:tc>
        <w:tc>
          <w:tcPr>
            <w:tcW w:w="476" w:type="pct"/>
            <w:noWrap/>
            <w:vAlign w:val="center"/>
          </w:tcPr>
          <w:p w14:paraId="4D3FBED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494</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98" w:type="pct"/>
            <w:noWrap/>
            <w:vAlign w:val="center"/>
          </w:tcPr>
          <w:p w14:paraId="34C002F8">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0.2</w:t>
            </w:r>
            <w:r>
              <w:rPr>
                <w:rFonts w:hint="eastAsia" w:cs="Times New Roman"/>
                <w:i w:val="0"/>
                <w:iCs w:val="0"/>
                <w:color w:val="000000"/>
                <w:kern w:val="0"/>
                <w:sz w:val="18"/>
                <w:szCs w:val="18"/>
                <w:u w:val="none"/>
                <w:lang w:val="en-US" w:eastAsia="zh-CN" w:bidi="ar"/>
              </w:rPr>
              <w:t>14</w:t>
            </w:r>
          </w:p>
        </w:tc>
        <w:tc>
          <w:tcPr>
            <w:tcW w:w="565" w:type="pct"/>
            <w:noWrap/>
            <w:vAlign w:val="center"/>
          </w:tcPr>
          <w:p w14:paraId="1546F29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0.000423 </w:t>
            </w:r>
          </w:p>
        </w:tc>
        <w:tc>
          <w:tcPr>
            <w:tcW w:w="475" w:type="pct"/>
            <w:noWrap/>
            <w:vAlign w:val="center"/>
          </w:tcPr>
          <w:p w14:paraId="6F8AF4A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491</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24" w:type="pct"/>
            <w:noWrap/>
            <w:vAlign w:val="center"/>
          </w:tcPr>
          <w:p w14:paraId="63D0C68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829</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4577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1706F043">
            <w:pPr>
              <w:spacing w:line="312" w:lineRule="auto"/>
              <w:jc w:val="left"/>
              <w:rPr>
                <w:rFonts w:cs="Times New Roman"/>
                <w:kern w:val="2"/>
                <w:sz w:val="18"/>
                <w:szCs w:val="18"/>
              </w:rPr>
            </w:pPr>
            <w:r>
              <w:rPr>
                <w:rFonts w:cs="Times New Roman"/>
                <w:kern w:val="2"/>
                <w:sz w:val="18"/>
                <w:szCs w:val="18"/>
              </w:rPr>
              <w:t>6</w:t>
            </w:r>
            <w:r>
              <w:rPr>
                <w:rFonts w:hint="eastAsia" w:cs="Times New Roman"/>
                <w:kern w:val="2"/>
                <w:sz w:val="18"/>
                <w:szCs w:val="18"/>
              </w:rPr>
              <w:t>大冶有色设计研究院有限公司</w:t>
            </w:r>
          </w:p>
        </w:tc>
        <w:tc>
          <w:tcPr>
            <w:tcW w:w="525" w:type="pct"/>
            <w:noWrap/>
            <w:vAlign w:val="center"/>
          </w:tcPr>
          <w:p w14:paraId="083E321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0.00468 </w:t>
            </w:r>
          </w:p>
        </w:tc>
        <w:tc>
          <w:tcPr>
            <w:tcW w:w="476" w:type="pct"/>
            <w:noWrap/>
            <w:vAlign w:val="center"/>
          </w:tcPr>
          <w:p w14:paraId="63D8380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0.0486 </w:t>
            </w:r>
          </w:p>
        </w:tc>
        <w:tc>
          <w:tcPr>
            <w:tcW w:w="498" w:type="pct"/>
            <w:noWrap/>
            <w:vAlign w:val="center"/>
          </w:tcPr>
          <w:p w14:paraId="5AF1582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0.204</w:t>
            </w:r>
          </w:p>
        </w:tc>
        <w:tc>
          <w:tcPr>
            <w:tcW w:w="565" w:type="pct"/>
            <w:noWrap/>
            <w:vAlign w:val="center"/>
          </w:tcPr>
          <w:p w14:paraId="247DCE4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0.000292 </w:t>
            </w:r>
          </w:p>
        </w:tc>
        <w:tc>
          <w:tcPr>
            <w:tcW w:w="475" w:type="pct"/>
            <w:noWrap/>
            <w:vAlign w:val="center"/>
          </w:tcPr>
          <w:p w14:paraId="7ACAD9B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0.0489 </w:t>
            </w:r>
          </w:p>
        </w:tc>
        <w:tc>
          <w:tcPr>
            <w:tcW w:w="524" w:type="pct"/>
            <w:noWrap/>
            <w:vAlign w:val="center"/>
          </w:tcPr>
          <w:p w14:paraId="56C0208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828</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77D5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537DA347">
            <w:pPr>
              <w:spacing w:line="312" w:lineRule="auto"/>
              <w:jc w:val="left"/>
              <w:rPr>
                <w:rFonts w:cs="Times New Roman"/>
                <w:kern w:val="2"/>
                <w:sz w:val="18"/>
                <w:szCs w:val="18"/>
              </w:rPr>
            </w:pPr>
            <w:r>
              <w:rPr>
                <w:rFonts w:cs="Times New Roman"/>
                <w:kern w:val="2"/>
                <w:sz w:val="18"/>
                <w:szCs w:val="18"/>
              </w:rPr>
              <w:t>7</w:t>
            </w:r>
            <w:r>
              <w:rPr>
                <w:rFonts w:hint="eastAsia" w:cs="Times New Roman"/>
                <w:kern w:val="2"/>
                <w:sz w:val="18"/>
                <w:szCs w:val="18"/>
              </w:rPr>
              <w:t>中国检验认证集团广西有限公司</w:t>
            </w:r>
          </w:p>
        </w:tc>
        <w:tc>
          <w:tcPr>
            <w:tcW w:w="525" w:type="pct"/>
            <w:noWrap/>
            <w:vAlign w:val="center"/>
          </w:tcPr>
          <w:p w14:paraId="4167101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0.00426 </w:t>
            </w:r>
          </w:p>
        </w:tc>
        <w:tc>
          <w:tcPr>
            <w:tcW w:w="476" w:type="pct"/>
            <w:noWrap/>
            <w:vAlign w:val="center"/>
          </w:tcPr>
          <w:p w14:paraId="03EED1E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0.0485 </w:t>
            </w:r>
          </w:p>
        </w:tc>
        <w:tc>
          <w:tcPr>
            <w:tcW w:w="498" w:type="pct"/>
            <w:noWrap/>
            <w:vAlign w:val="center"/>
          </w:tcPr>
          <w:p w14:paraId="6F4F052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565" w:type="pct"/>
            <w:noWrap/>
            <w:vAlign w:val="center"/>
          </w:tcPr>
          <w:p w14:paraId="3CA07DC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0.000271 </w:t>
            </w:r>
          </w:p>
        </w:tc>
        <w:tc>
          <w:tcPr>
            <w:tcW w:w="475" w:type="pct"/>
            <w:noWrap/>
            <w:vAlign w:val="center"/>
          </w:tcPr>
          <w:p w14:paraId="48718EB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0.0509 </w:t>
            </w:r>
          </w:p>
        </w:tc>
        <w:tc>
          <w:tcPr>
            <w:tcW w:w="524" w:type="pct"/>
            <w:noWrap/>
            <w:vAlign w:val="center"/>
          </w:tcPr>
          <w:p w14:paraId="241663E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0.00886 </w:t>
            </w:r>
          </w:p>
        </w:tc>
      </w:tr>
      <w:tr w14:paraId="33A5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46F0761E">
            <w:pPr>
              <w:spacing w:line="312" w:lineRule="auto"/>
              <w:jc w:val="left"/>
              <w:rPr>
                <w:rFonts w:cs="Times New Roman"/>
                <w:sz w:val="18"/>
                <w:szCs w:val="18"/>
                <w:lang w:bidi="ar"/>
              </w:rPr>
            </w:pPr>
            <w:r>
              <w:rPr>
                <w:rFonts w:cs="Times New Roman"/>
                <w:kern w:val="2"/>
                <w:sz w:val="18"/>
                <w:szCs w:val="18"/>
              </w:rPr>
              <w:t>8</w:t>
            </w:r>
            <w:r>
              <w:rPr>
                <w:rFonts w:hint="eastAsia" w:cs="Times New Roman"/>
                <w:kern w:val="2"/>
                <w:sz w:val="18"/>
                <w:szCs w:val="18"/>
              </w:rPr>
              <w:t>国和通用（青岛）测试评价有限公司</w:t>
            </w:r>
          </w:p>
        </w:tc>
        <w:tc>
          <w:tcPr>
            <w:tcW w:w="525" w:type="pct"/>
            <w:noWrap/>
            <w:vAlign w:val="center"/>
          </w:tcPr>
          <w:p w14:paraId="2B7C33C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0.00369 </w:t>
            </w:r>
          </w:p>
        </w:tc>
        <w:tc>
          <w:tcPr>
            <w:tcW w:w="476" w:type="pct"/>
            <w:noWrap/>
            <w:vAlign w:val="center"/>
          </w:tcPr>
          <w:p w14:paraId="65403216">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w:t>
            </w:r>
            <w:r>
              <w:rPr>
                <w:rFonts w:hint="eastAsia" w:cs="Times New Roman"/>
                <w:i w:val="0"/>
                <w:iCs w:val="0"/>
                <w:color w:val="000000"/>
                <w:kern w:val="0"/>
                <w:sz w:val="18"/>
                <w:szCs w:val="18"/>
                <w:u w:val="none"/>
                <w:lang w:val="en-US" w:eastAsia="zh-CN" w:bidi="ar"/>
              </w:rPr>
              <w:t>492</w:t>
            </w:r>
          </w:p>
        </w:tc>
        <w:tc>
          <w:tcPr>
            <w:tcW w:w="498" w:type="pct"/>
            <w:noWrap/>
            <w:vAlign w:val="center"/>
          </w:tcPr>
          <w:p w14:paraId="248A867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565" w:type="pct"/>
            <w:noWrap/>
            <w:vAlign w:val="center"/>
          </w:tcPr>
          <w:p w14:paraId="717DA223">
            <w:pPr>
              <w:keepNext w:val="0"/>
              <w:keepLines w:val="0"/>
              <w:widowControl/>
              <w:suppressLineNumbers w:val="0"/>
              <w:jc w:val="center"/>
              <w:textAlignment w:val="center"/>
              <w:rPr>
                <w:rFonts w:cs="Times New Roman"/>
                <w:kern w:val="2"/>
                <w:sz w:val="18"/>
                <w:szCs w:val="18"/>
              </w:rPr>
            </w:pPr>
            <w:r>
              <w:rPr>
                <w:rFonts w:hint="eastAsia" w:cs="Times New Roman"/>
                <w:i w:val="0"/>
                <w:iCs w:val="0"/>
                <w:color w:val="FF0000"/>
                <w:kern w:val="0"/>
                <w:sz w:val="18"/>
                <w:szCs w:val="18"/>
                <w:u w:val="none"/>
                <w:lang w:val="en-US" w:eastAsia="zh-CN" w:bidi="ar"/>
              </w:rPr>
              <w:t>-</w:t>
            </w:r>
          </w:p>
        </w:tc>
        <w:tc>
          <w:tcPr>
            <w:tcW w:w="475" w:type="pct"/>
            <w:noWrap/>
            <w:vAlign w:val="center"/>
          </w:tcPr>
          <w:p w14:paraId="7F18712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511</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24" w:type="pct"/>
            <w:noWrap/>
            <w:vAlign w:val="center"/>
          </w:tcPr>
          <w:p w14:paraId="4E5F901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0.00995 </w:t>
            </w:r>
          </w:p>
        </w:tc>
      </w:tr>
      <w:tr w14:paraId="1443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6D278629">
            <w:pPr>
              <w:spacing w:line="312" w:lineRule="auto"/>
              <w:jc w:val="left"/>
              <w:rPr>
                <w:rFonts w:cs="Times New Roman"/>
                <w:kern w:val="2"/>
                <w:sz w:val="18"/>
                <w:szCs w:val="18"/>
              </w:rPr>
            </w:pPr>
            <w:r>
              <w:rPr>
                <w:rFonts w:cs="Times New Roman"/>
                <w:kern w:val="2"/>
                <w:sz w:val="18"/>
                <w:szCs w:val="18"/>
              </w:rPr>
              <w:t>9</w:t>
            </w:r>
            <w:r>
              <w:rPr>
                <w:rFonts w:hint="eastAsia" w:cs="Times New Roman"/>
                <w:kern w:val="2"/>
                <w:sz w:val="18"/>
                <w:szCs w:val="18"/>
              </w:rPr>
              <w:t>中国有色桂林矿产地质研究院有限公司</w:t>
            </w:r>
          </w:p>
        </w:tc>
        <w:tc>
          <w:tcPr>
            <w:tcW w:w="525" w:type="pct"/>
            <w:noWrap/>
            <w:vAlign w:val="center"/>
          </w:tcPr>
          <w:p w14:paraId="4E7BF9D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0.00463 </w:t>
            </w:r>
          </w:p>
        </w:tc>
        <w:tc>
          <w:tcPr>
            <w:tcW w:w="476" w:type="pct"/>
            <w:noWrap/>
            <w:vAlign w:val="center"/>
          </w:tcPr>
          <w:p w14:paraId="659E2EC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0.0495 </w:t>
            </w:r>
          </w:p>
        </w:tc>
        <w:tc>
          <w:tcPr>
            <w:tcW w:w="498" w:type="pct"/>
            <w:noWrap/>
            <w:vAlign w:val="center"/>
          </w:tcPr>
          <w:p w14:paraId="1D63AF6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0.211</w:t>
            </w:r>
          </w:p>
        </w:tc>
        <w:tc>
          <w:tcPr>
            <w:tcW w:w="565" w:type="pct"/>
            <w:noWrap/>
            <w:vAlign w:val="center"/>
          </w:tcPr>
          <w:p w14:paraId="5D256D9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0.000272 </w:t>
            </w:r>
          </w:p>
        </w:tc>
        <w:tc>
          <w:tcPr>
            <w:tcW w:w="475" w:type="pct"/>
            <w:noWrap/>
            <w:vAlign w:val="center"/>
          </w:tcPr>
          <w:p w14:paraId="2DDD6CC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c>
          <w:tcPr>
            <w:tcW w:w="524" w:type="pct"/>
            <w:noWrap/>
            <w:vAlign w:val="center"/>
          </w:tcPr>
          <w:p w14:paraId="1CCF239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0.00924 </w:t>
            </w:r>
          </w:p>
        </w:tc>
      </w:tr>
      <w:tr w14:paraId="61A5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2CF1B636">
            <w:pPr>
              <w:spacing w:line="312" w:lineRule="auto"/>
              <w:jc w:val="left"/>
              <w:rPr>
                <w:rFonts w:cs="Times New Roman"/>
                <w:kern w:val="2"/>
                <w:sz w:val="18"/>
                <w:szCs w:val="18"/>
              </w:rPr>
            </w:pPr>
            <w:r>
              <w:rPr>
                <w:rFonts w:cs="Times New Roman"/>
                <w:kern w:val="2"/>
                <w:sz w:val="18"/>
                <w:szCs w:val="18"/>
              </w:rPr>
              <w:t>10</w:t>
            </w:r>
            <w:r>
              <w:rPr>
                <w:rFonts w:hint="eastAsia" w:cs="Times New Roman"/>
                <w:kern w:val="2"/>
                <w:sz w:val="18"/>
                <w:szCs w:val="18"/>
              </w:rPr>
              <w:t>山东恒邦冶炼股份有限公司</w:t>
            </w:r>
          </w:p>
        </w:tc>
        <w:tc>
          <w:tcPr>
            <w:tcW w:w="525" w:type="pct"/>
            <w:noWrap/>
            <w:vAlign w:val="center"/>
          </w:tcPr>
          <w:p w14:paraId="715F0CE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0.00459 </w:t>
            </w:r>
          </w:p>
        </w:tc>
        <w:tc>
          <w:tcPr>
            <w:tcW w:w="476" w:type="pct"/>
            <w:noWrap/>
            <w:vAlign w:val="center"/>
          </w:tcPr>
          <w:p w14:paraId="3617501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0.0480 </w:t>
            </w:r>
          </w:p>
        </w:tc>
        <w:tc>
          <w:tcPr>
            <w:tcW w:w="498" w:type="pct"/>
            <w:noWrap/>
            <w:vAlign w:val="center"/>
          </w:tcPr>
          <w:p w14:paraId="3DC12E4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0.209</w:t>
            </w:r>
          </w:p>
        </w:tc>
        <w:tc>
          <w:tcPr>
            <w:tcW w:w="565" w:type="pct"/>
            <w:noWrap/>
            <w:vAlign w:val="center"/>
          </w:tcPr>
          <w:p w14:paraId="581B776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0.000275 </w:t>
            </w:r>
          </w:p>
        </w:tc>
        <w:tc>
          <w:tcPr>
            <w:tcW w:w="475" w:type="pct"/>
            <w:noWrap/>
            <w:vAlign w:val="center"/>
          </w:tcPr>
          <w:p w14:paraId="6EEC7FD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0.0499 </w:t>
            </w:r>
          </w:p>
        </w:tc>
        <w:tc>
          <w:tcPr>
            <w:tcW w:w="524" w:type="pct"/>
            <w:noWrap/>
            <w:vAlign w:val="center"/>
          </w:tcPr>
          <w:p w14:paraId="5A212B9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0.00904 </w:t>
            </w:r>
          </w:p>
        </w:tc>
      </w:tr>
      <w:tr w14:paraId="3239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1ACFA94C">
            <w:pPr>
              <w:spacing w:line="312" w:lineRule="auto"/>
              <w:jc w:val="left"/>
              <w:rPr>
                <w:rFonts w:cs="Times New Roman"/>
                <w:kern w:val="2"/>
                <w:sz w:val="18"/>
                <w:szCs w:val="18"/>
              </w:rPr>
            </w:pPr>
            <w:r>
              <w:rPr>
                <w:rFonts w:cs="Times New Roman"/>
                <w:kern w:val="2"/>
                <w:sz w:val="18"/>
                <w:szCs w:val="18"/>
              </w:rPr>
              <w:t>11</w:t>
            </w:r>
            <w:r>
              <w:rPr>
                <w:rFonts w:hint="eastAsia" w:cs="Times New Roman"/>
                <w:kern w:val="2"/>
                <w:sz w:val="18"/>
                <w:szCs w:val="18"/>
              </w:rPr>
              <w:t>酒泉钢铁（集团）有限责任公司</w:t>
            </w:r>
          </w:p>
        </w:tc>
        <w:tc>
          <w:tcPr>
            <w:tcW w:w="525" w:type="pct"/>
            <w:noWrap/>
            <w:vAlign w:val="center"/>
          </w:tcPr>
          <w:p w14:paraId="45D2E61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0.00485 </w:t>
            </w:r>
          </w:p>
        </w:tc>
        <w:tc>
          <w:tcPr>
            <w:tcW w:w="476" w:type="pct"/>
            <w:noWrap/>
            <w:vAlign w:val="center"/>
          </w:tcPr>
          <w:p w14:paraId="4E3E176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0.0504 </w:t>
            </w:r>
          </w:p>
        </w:tc>
        <w:tc>
          <w:tcPr>
            <w:tcW w:w="498" w:type="pct"/>
            <w:noWrap/>
            <w:vAlign w:val="center"/>
          </w:tcPr>
          <w:p w14:paraId="25A185C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0.212</w:t>
            </w:r>
          </w:p>
        </w:tc>
        <w:tc>
          <w:tcPr>
            <w:tcW w:w="565" w:type="pct"/>
            <w:noWrap/>
            <w:vAlign w:val="center"/>
          </w:tcPr>
          <w:p w14:paraId="766159A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0.000402 </w:t>
            </w:r>
          </w:p>
        </w:tc>
        <w:tc>
          <w:tcPr>
            <w:tcW w:w="475" w:type="pct"/>
            <w:noWrap/>
            <w:vAlign w:val="center"/>
          </w:tcPr>
          <w:p w14:paraId="5552863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0.0508 </w:t>
            </w:r>
          </w:p>
        </w:tc>
        <w:tc>
          <w:tcPr>
            <w:tcW w:w="524" w:type="pct"/>
            <w:noWrap/>
            <w:vAlign w:val="center"/>
          </w:tcPr>
          <w:p w14:paraId="410A1A9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0.00902 </w:t>
            </w:r>
          </w:p>
        </w:tc>
      </w:tr>
      <w:tr w14:paraId="7A1F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933" w:type="pct"/>
            <w:noWrap/>
            <w:vAlign w:val="top"/>
          </w:tcPr>
          <w:p w14:paraId="03B0F841">
            <w:pPr>
              <w:spacing w:line="312" w:lineRule="auto"/>
              <w:jc w:val="left"/>
              <w:rPr>
                <w:rFonts w:cs="Times New Roman"/>
                <w:kern w:val="2"/>
                <w:sz w:val="18"/>
                <w:szCs w:val="18"/>
              </w:rPr>
            </w:pPr>
            <w:r>
              <w:rPr>
                <w:rFonts w:cs="Times New Roman"/>
                <w:kern w:val="2"/>
                <w:sz w:val="18"/>
                <w:szCs w:val="18"/>
              </w:rPr>
              <w:t>12</w:t>
            </w:r>
            <w:r>
              <w:rPr>
                <w:rFonts w:hint="eastAsia" w:cs="Times New Roman"/>
                <w:kern w:val="2"/>
                <w:sz w:val="18"/>
                <w:szCs w:val="18"/>
              </w:rPr>
              <w:t>有研亿金新材料有限公司</w:t>
            </w:r>
          </w:p>
        </w:tc>
        <w:tc>
          <w:tcPr>
            <w:tcW w:w="525" w:type="pct"/>
            <w:noWrap/>
            <w:vAlign w:val="center"/>
          </w:tcPr>
          <w:p w14:paraId="1114408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390</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76" w:type="pct"/>
            <w:noWrap/>
            <w:vAlign w:val="center"/>
          </w:tcPr>
          <w:p w14:paraId="59CCE6E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0.0499 </w:t>
            </w:r>
          </w:p>
        </w:tc>
        <w:tc>
          <w:tcPr>
            <w:tcW w:w="498" w:type="pct"/>
            <w:noWrap/>
            <w:vAlign w:val="center"/>
          </w:tcPr>
          <w:p w14:paraId="665F13A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0.209</w:t>
            </w:r>
          </w:p>
        </w:tc>
        <w:tc>
          <w:tcPr>
            <w:tcW w:w="565" w:type="pct"/>
            <w:noWrap/>
            <w:vAlign w:val="center"/>
          </w:tcPr>
          <w:p w14:paraId="6D00394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0.000248 </w:t>
            </w:r>
          </w:p>
        </w:tc>
        <w:tc>
          <w:tcPr>
            <w:tcW w:w="475" w:type="pct"/>
            <w:noWrap/>
            <w:vAlign w:val="center"/>
          </w:tcPr>
          <w:p w14:paraId="1BDC2A8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0.0493 </w:t>
            </w:r>
          </w:p>
        </w:tc>
        <w:tc>
          <w:tcPr>
            <w:tcW w:w="524" w:type="pct"/>
            <w:noWrap/>
            <w:vAlign w:val="center"/>
          </w:tcPr>
          <w:p w14:paraId="0850B42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0.00855 </w:t>
            </w:r>
          </w:p>
        </w:tc>
      </w:tr>
      <w:tr w14:paraId="3CDE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33" w:type="pct"/>
            <w:noWrap/>
            <w:vAlign w:val="center"/>
          </w:tcPr>
          <w:p w14:paraId="5B402648">
            <w:pPr>
              <w:widowControl/>
              <w:spacing w:line="312" w:lineRule="auto"/>
              <w:jc w:val="center"/>
              <w:textAlignment w:val="center"/>
              <w:rPr>
                <w:rFonts w:cs="Times New Roman"/>
                <w:kern w:val="2"/>
                <w:sz w:val="18"/>
                <w:szCs w:val="18"/>
              </w:rPr>
            </w:pPr>
            <w:r>
              <w:rPr>
                <w:rFonts w:cs="Times New Roman"/>
                <w:sz w:val="18"/>
                <w:szCs w:val="18"/>
                <w:lang w:bidi="ar"/>
              </w:rPr>
              <w:t>Max/%</w:t>
            </w:r>
          </w:p>
        </w:tc>
        <w:tc>
          <w:tcPr>
            <w:tcW w:w="525" w:type="pct"/>
            <w:noWrap/>
            <w:vAlign w:val="center"/>
          </w:tcPr>
          <w:p w14:paraId="06687B7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0.00485 </w:t>
            </w:r>
          </w:p>
        </w:tc>
        <w:tc>
          <w:tcPr>
            <w:tcW w:w="476" w:type="pct"/>
            <w:noWrap/>
            <w:vAlign w:val="center"/>
          </w:tcPr>
          <w:p w14:paraId="06259D2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0.0504 </w:t>
            </w:r>
          </w:p>
        </w:tc>
        <w:tc>
          <w:tcPr>
            <w:tcW w:w="498" w:type="pct"/>
            <w:noWrap/>
            <w:vAlign w:val="center"/>
          </w:tcPr>
          <w:p w14:paraId="6229E53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565" w:type="pct"/>
            <w:noWrap/>
            <w:vAlign w:val="center"/>
          </w:tcPr>
          <w:p w14:paraId="3DA0B10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0.000590 </w:t>
            </w:r>
          </w:p>
        </w:tc>
        <w:tc>
          <w:tcPr>
            <w:tcW w:w="475" w:type="pct"/>
            <w:noWrap/>
            <w:vAlign w:val="center"/>
          </w:tcPr>
          <w:p w14:paraId="44D3F9A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0.05</w:t>
            </w:r>
            <w:r>
              <w:rPr>
                <w:rFonts w:hint="eastAsia" w:cs="Times New Roman"/>
                <w:i w:val="0"/>
                <w:iCs w:val="0"/>
                <w:color w:val="000000"/>
                <w:kern w:val="0"/>
                <w:sz w:val="18"/>
                <w:szCs w:val="18"/>
                <w:u w:val="none"/>
                <w:lang w:val="en-US" w:eastAsia="zh-CN" w:bidi="ar"/>
              </w:rPr>
              <w:t>28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24" w:type="pct"/>
            <w:noWrap/>
            <w:vAlign w:val="center"/>
          </w:tcPr>
          <w:p w14:paraId="2F69BD2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0.00995 </w:t>
            </w:r>
          </w:p>
        </w:tc>
      </w:tr>
      <w:tr w14:paraId="6840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33" w:type="pct"/>
            <w:noWrap/>
            <w:vAlign w:val="center"/>
          </w:tcPr>
          <w:p w14:paraId="4660AC75">
            <w:pPr>
              <w:widowControl/>
              <w:spacing w:line="312" w:lineRule="auto"/>
              <w:jc w:val="center"/>
              <w:textAlignment w:val="center"/>
              <w:rPr>
                <w:rFonts w:cs="Times New Roman"/>
                <w:kern w:val="2"/>
                <w:sz w:val="18"/>
                <w:szCs w:val="18"/>
              </w:rPr>
            </w:pPr>
            <w:r>
              <w:rPr>
                <w:rFonts w:cs="Times New Roman"/>
                <w:sz w:val="18"/>
                <w:szCs w:val="18"/>
                <w:lang w:bidi="ar"/>
              </w:rPr>
              <w:t>Min/%</w:t>
            </w:r>
          </w:p>
        </w:tc>
        <w:tc>
          <w:tcPr>
            <w:tcW w:w="525" w:type="pct"/>
            <w:noWrap/>
            <w:vAlign w:val="center"/>
          </w:tcPr>
          <w:p w14:paraId="5D1E5C9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0.00298 </w:t>
            </w:r>
          </w:p>
        </w:tc>
        <w:tc>
          <w:tcPr>
            <w:tcW w:w="476" w:type="pct"/>
            <w:noWrap/>
            <w:vAlign w:val="center"/>
          </w:tcPr>
          <w:p w14:paraId="33C2497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452</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498" w:type="pct"/>
            <w:noWrap/>
            <w:vAlign w:val="center"/>
          </w:tcPr>
          <w:p w14:paraId="370CF50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0.198</w:t>
            </w:r>
          </w:p>
        </w:tc>
        <w:tc>
          <w:tcPr>
            <w:tcW w:w="565" w:type="pct"/>
            <w:noWrap/>
            <w:vAlign w:val="center"/>
          </w:tcPr>
          <w:p w14:paraId="2D32A83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0.000165 </w:t>
            </w:r>
          </w:p>
        </w:tc>
        <w:tc>
          <w:tcPr>
            <w:tcW w:w="475" w:type="pct"/>
            <w:noWrap/>
            <w:vAlign w:val="center"/>
          </w:tcPr>
          <w:p w14:paraId="14B4CB4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447</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524" w:type="pct"/>
            <w:noWrap/>
            <w:vAlign w:val="center"/>
          </w:tcPr>
          <w:p w14:paraId="67FD990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0.00758 </w:t>
            </w:r>
          </w:p>
        </w:tc>
      </w:tr>
      <w:tr w14:paraId="1BA0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pct"/>
            <w:noWrap/>
            <w:vAlign w:val="center"/>
          </w:tcPr>
          <w:p w14:paraId="2F6E6245">
            <w:pPr>
              <w:widowControl/>
              <w:spacing w:line="312" w:lineRule="auto"/>
              <w:jc w:val="center"/>
              <w:textAlignment w:val="center"/>
              <w:rPr>
                <w:rFonts w:cs="Times New Roman"/>
                <w:kern w:val="2"/>
                <w:sz w:val="18"/>
                <w:szCs w:val="18"/>
              </w:rPr>
            </w:pPr>
            <w:r>
              <w:rPr>
                <w:rFonts w:cs="Times New Roman"/>
                <w:sz w:val="18"/>
                <w:szCs w:val="18"/>
                <w:lang w:bidi="ar"/>
              </w:rPr>
              <w:t>Gmax</w:t>
            </w:r>
          </w:p>
        </w:tc>
        <w:tc>
          <w:tcPr>
            <w:tcW w:w="910" w:type="dxa"/>
            <w:tcBorders>
              <w:top w:val="single" w:color="auto" w:sz="4" w:space="0"/>
              <w:left w:val="nil"/>
              <w:bottom w:val="single" w:color="auto" w:sz="4" w:space="0"/>
              <w:right w:val="single" w:color="auto" w:sz="4" w:space="0"/>
            </w:tcBorders>
            <w:noWrap/>
            <w:vAlign w:val="center"/>
          </w:tcPr>
          <w:p w14:paraId="6B5B8C1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1.112 </w:t>
            </w:r>
          </w:p>
        </w:tc>
        <w:tc>
          <w:tcPr>
            <w:tcW w:w="825" w:type="dxa"/>
            <w:tcBorders>
              <w:top w:val="single" w:color="auto" w:sz="4" w:space="0"/>
              <w:left w:val="single" w:color="auto" w:sz="4" w:space="0"/>
              <w:bottom w:val="single" w:color="auto" w:sz="4" w:space="0"/>
              <w:right w:val="single" w:color="auto" w:sz="4" w:space="0"/>
            </w:tcBorders>
            <w:noWrap/>
            <w:vAlign w:val="center"/>
          </w:tcPr>
          <w:p w14:paraId="7751127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1.267 </w:t>
            </w:r>
          </w:p>
        </w:tc>
        <w:tc>
          <w:tcPr>
            <w:tcW w:w="863" w:type="dxa"/>
            <w:tcBorders>
              <w:top w:val="single" w:color="auto" w:sz="4" w:space="0"/>
              <w:left w:val="single" w:color="auto" w:sz="4" w:space="0"/>
              <w:bottom w:val="single" w:color="auto" w:sz="4" w:space="0"/>
              <w:right w:val="single" w:color="auto" w:sz="4" w:space="0"/>
            </w:tcBorders>
            <w:noWrap/>
            <w:vAlign w:val="center"/>
          </w:tcPr>
          <w:p w14:paraId="48BD9C9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1.138 </w:t>
            </w:r>
          </w:p>
        </w:tc>
        <w:tc>
          <w:tcPr>
            <w:tcW w:w="979" w:type="dxa"/>
            <w:tcBorders>
              <w:top w:val="single" w:color="auto" w:sz="4" w:space="0"/>
              <w:left w:val="single" w:color="auto" w:sz="4" w:space="0"/>
              <w:bottom w:val="single" w:color="auto" w:sz="4" w:space="0"/>
              <w:right w:val="single" w:color="auto" w:sz="4" w:space="0"/>
            </w:tcBorders>
            <w:noWrap/>
            <w:vAlign w:val="center"/>
          </w:tcPr>
          <w:p w14:paraId="4DECA2A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FF0000"/>
                <w:kern w:val="0"/>
                <w:sz w:val="18"/>
                <w:szCs w:val="18"/>
                <w:u w:val="none"/>
                <w:lang w:val="en-US" w:eastAsia="zh-CN" w:bidi="ar"/>
              </w:rPr>
              <w:t xml:space="preserve">2.844 </w:t>
            </w:r>
          </w:p>
        </w:tc>
        <w:tc>
          <w:tcPr>
            <w:tcW w:w="824" w:type="dxa"/>
            <w:tcBorders>
              <w:top w:val="single" w:color="auto" w:sz="4" w:space="0"/>
              <w:left w:val="single" w:color="auto" w:sz="4" w:space="0"/>
              <w:bottom w:val="single" w:color="auto" w:sz="4" w:space="0"/>
              <w:right w:val="single" w:color="auto" w:sz="4" w:space="0"/>
            </w:tcBorders>
            <w:noWrap/>
            <w:vAlign w:val="center"/>
          </w:tcPr>
          <w:p w14:paraId="63344FF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1.538 </w:t>
            </w:r>
          </w:p>
        </w:tc>
        <w:tc>
          <w:tcPr>
            <w:tcW w:w="908" w:type="dxa"/>
            <w:tcBorders>
              <w:top w:val="single" w:color="auto" w:sz="4" w:space="0"/>
              <w:left w:val="single" w:color="auto" w:sz="4" w:space="0"/>
              <w:bottom w:val="single" w:color="auto" w:sz="4" w:space="0"/>
              <w:right w:val="single" w:color="auto" w:sz="4" w:space="0"/>
            </w:tcBorders>
            <w:noWrap/>
            <w:vAlign w:val="center"/>
          </w:tcPr>
          <w:p w14:paraId="119A6759">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1.932 </w:t>
            </w:r>
          </w:p>
        </w:tc>
      </w:tr>
      <w:tr w14:paraId="435F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pct"/>
            <w:noWrap/>
            <w:vAlign w:val="center"/>
          </w:tcPr>
          <w:p w14:paraId="13D5A689">
            <w:pPr>
              <w:widowControl/>
              <w:spacing w:line="312" w:lineRule="auto"/>
              <w:jc w:val="center"/>
              <w:textAlignment w:val="center"/>
              <w:rPr>
                <w:rFonts w:cs="Times New Roman"/>
                <w:kern w:val="2"/>
                <w:sz w:val="18"/>
                <w:szCs w:val="18"/>
              </w:rPr>
            </w:pPr>
            <w:r>
              <w:rPr>
                <w:rFonts w:cs="Times New Roman"/>
                <w:sz w:val="18"/>
                <w:szCs w:val="18"/>
                <w:lang w:bidi="ar"/>
              </w:rPr>
              <w:t>Gmin</w:t>
            </w:r>
          </w:p>
        </w:tc>
        <w:tc>
          <w:tcPr>
            <w:tcW w:w="910" w:type="dxa"/>
            <w:tcBorders>
              <w:top w:val="single" w:color="auto" w:sz="4" w:space="0"/>
              <w:left w:val="nil"/>
              <w:bottom w:val="single" w:color="auto" w:sz="4" w:space="0"/>
              <w:right w:val="single" w:color="auto" w:sz="4" w:space="0"/>
            </w:tcBorders>
            <w:noWrap/>
            <w:vAlign w:val="center"/>
          </w:tcPr>
          <w:p w14:paraId="135BF41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2.212 </w:t>
            </w:r>
          </w:p>
        </w:tc>
        <w:tc>
          <w:tcPr>
            <w:tcW w:w="825" w:type="dxa"/>
            <w:tcBorders>
              <w:top w:val="single" w:color="auto" w:sz="4" w:space="0"/>
              <w:left w:val="single" w:color="auto" w:sz="4" w:space="0"/>
              <w:bottom w:val="single" w:color="auto" w:sz="4" w:space="0"/>
              <w:right w:val="single" w:color="auto" w:sz="4" w:space="0"/>
            </w:tcBorders>
            <w:noWrap/>
            <w:vAlign w:val="center"/>
          </w:tcPr>
          <w:p w14:paraId="07E34A7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75BD42"/>
                <w:kern w:val="0"/>
                <w:sz w:val="18"/>
                <w:szCs w:val="18"/>
                <w:u w:val="none"/>
                <w:lang w:val="en-US" w:eastAsia="zh-CN" w:bidi="ar"/>
              </w:rPr>
              <w:t xml:space="preserve">2.439 </w:t>
            </w:r>
          </w:p>
        </w:tc>
        <w:tc>
          <w:tcPr>
            <w:tcW w:w="863" w:type="dxa"/>
            <w:tcBorders>
              <w:top w:val="single" w:color="auto" w:sz="4" w:space="0"/>
              <w:left w:val="single" w:color="auto" w:sz="4" w:space="0"/>
              <w:bottom w:val="single" w:color="auto" w:sz="4" w:space="0"/>
              <w:right w:val="single" w:color="auto" w:sz="4" w:space="0"/>
            </w:tcBorders>
            <w:noWrap/>
            <w:vAlign w:val="center"/>
          </w:tcPr>
          <w:p w14:paraId="27AEF48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2.009 </w:t>
            </w:r>
          </w:p>
        </w:tc>
        <w:tc>
          <w:tcPr>
            <w:tcW w:w="979" w:type="dxa"/>
            <w:tcBorders>
              <w:top w:val="single" w:color="auto" w:sz="4" w:space="0"/>
              <w:left w:val="single" w:color="auto" w:sz="4" w:space="0"/>
              <w:bottom w:val="single" w:color="auto" w:sz="4" w:space="0"/>
              <w:right w:val="single" w:color="auto" w:sz="4" w:space="0"/>
            </w:tcBorders>
            <w:noWrap/>
            <w:vAlign w:val="center"/>
          </w:tcPr>
          <w:p w14:paraId="276F2E1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0.388 </w:t>
            </w:r>
          </w:p>
        </w:tc>
        <w:tc>
          <w:tcPr>
            <w:tcW w:w="824" w:type="dxa"/>
            <w:tcBorders>
              <w:top w:val="single" w:color="auto" w:sz="4" w:space="0"/>
              <w:left w:val="single" w:color="auto" w:sz="4" w:space="0"/>
              <w:bottom w:val="single" w:color="auto" w:sz="4" w:space="0"/>
              <w:right w:val="single" w:color="auto" w:sz="4" w:space="0"/>
            </w:tcBorders>
            <w:noWrap/>
            <w:vAlign w:val="center"/>
          </w:tcPr>
          <w:p w14:paraId="3467D24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75BD42"/>
                <w:kern w:val="0"/>
                <w:sz w:val="18"/>
                <w:szCs w:val="18"/>
                <w:u w:val="none"/>
                <w:lang w:val="en-US" w:eastAsia="zh-CN" w:bidi="ar"/>
              </w:rPr>
              <w:t xml:space="preserve">2.464 </w:t>
            </w:r>
          </w:p>
        </w:tc>
        <w:tc>
          <w:tcPr>
            <w:tcW w:w="908" w:type="dxa"/>
            <w:tcBorders>
              <w:top w:val="single" w:color="auto" w:sz="4" w:space="0"/>
              <w:left w:val="single" w:color="auto" w:sz="4" w:space="0"/>
              <w:bottom w:val="single" w:color="auto" w:sz="4" w:space="0"/>
              <w:right w:val="single" w:color="auto" w:sz="4" w:space="0"/>
            </w:tcBorders>
            <w:noWrap/>
            <w:vAlign w:val="center"/>
          </w:tcPr>
          <w:p w14:paraId="477A7D7C">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1.726 </w:t>
            </w:r>
          </w:p>
        </w:tc>
      </w:tr>
    </w:tbl>
    <w:p w14:paraId="73B1C86D">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3.2.2.3</w:t>
      </w:r>
      <w:r>
        <w:rPr>
          <w:rFonts w:hint="eastAsia" w:ascii="黑体" w:eastAsia="黑体" w:cs="Times New Roman"/>
          <w:b w:val="0"/>
          <w:bCs/>
          <w:kern w:val="2"/>
          <w:sz w:val="21"/>
          <w:szCs w:val="21"/>
          <w:lang w:val="en-US" w:eastAsia="zh-CN"/>
        </w:rPr>
        <w:t>碳和硫</w:t>
      </w:r>
      <w:r>
        <w:rPr>
          <w:rFonts w:hint="eastAsia" w:ascii="黑体" w:hAnsi="Times New Roman" w:eastAsia="黑体" w:cs="Times New Roman"/>
          <w:b w:val="0"/>
          <w:bCs/>
          <w:kern w:val="2"/>
          <w:sz w:val="21"/>
          <w:szCs w:val="21"/>
        </w:rPr>
        <w:t>元素的精密度计算</w:t>
      </w:r>
    </w:p>
    <w:p w14:paraId="2FFA5EF6">
      <w:pPr>
        <w:ind w:firstLine="420" w:firstLineChars="200"/>
        <w:rPr>
          <w:rFonts w:cs="Times New Roman"/>
          <w:kern w:val="2"/>
        </w:rPr>
      </w:pPr>
      <w:r>
        <w:rPr>
          <w:rFonts w:hint="eastAsia" w:cs="Times New Roman"/>
          <w:kern w:val="2"/>
          <w:sz w:val="21"/>
          <w:szCs w:val="21"/>
        </w:rPr>
        <w:t>剔除离群值后，</w:t>
      </w:r>
      <w:r>
        <w:rPr>
          <w:rFonts w:hint="eastAsia" w:cs="Times New Roman"/>
          <w:kern w:val="2"/>
          <w:sz w:val="21"/>
          <w:szCs w:val="21"/>
          <w:lang w:val="en-US" w:eastAsia="zh-CN"/>
        </w:rPr>
        <w:t>碳和硫</w:t>
      </w:r>
      <w:r>
        <w:rPr>
          <w:rFonts w:hint="eastAsia" w:cs="Times New Roman"/>
          <w:kern w:val="2"/>
          <w:sz w:val="21"/>
          <w:szCs w:val="21"/>
        </w:rPr>
        <w:t>的重复性、再现性计算结果见表</w:t>
      </w:r>
      <w:r>
        <w:rPr>
          <w:rFonts w:hint="eastAsia" w:eastAsia="黑体" w:cs="Times New Roman"/>
          <w:kern w:val="2"/>
          <w:sz w:val="21"/>
          <w:szCs w:val="21"/>
          <w:lang w:val="en-US" w:eastAsia="zh-CN"/>
        </w:rPr>
        <w:t>14</w:t>
      </w:r>
      <w:r>
        <w:rPr>
          <w:rFonts w:hint="eastAsia" w:cs="Times New Roman"/>
          <w:kern w:val="2"/>
          <w:sz w:val="21"/>
          <w:szCs w:val="21"/>
        </w:rPr>
        <w:t>。</w:t>
      </w:r>
    </w:p>
    <w:p w14:paraId="797AD585">
      <w:pPr>
        <w:tabs>
          <w:tab w:val="left" w:pos="0"/>
        </w:tabs>
        <w:snapToGrid w:val="0"/>
        <w:spacing w:before="163" w:beforeLines="50"/>
        <w:ind w:firstLine="420" w:firstLineChars="200"/>
        <w:jc w:val="center"/>
        <w:rPr>
          <w:rFonts w:hint="eastAsia" w:eastAsia="黑体" w:cs="Times New Roman"/>
          <w:kern w:val="2"/>
          <w:sz w:val="21"/>
          <w:szCs w:val="21"/>
        </w:rPr>
      </w:pPr>
      <w:r>
        <w:rPr>
          <w:rFonts w:hint="eastAsia" w:eastAsia="黑体" w:cs="Times New Roman"/>
          <w:kern w:val="2"/>
          <w:sz w:val="21"/>
          <w:szCs w:val="21"/>
        </w:rPr>
        <w:t>表</w:t>
      </w:r>
      <w:r>
        <w:rPr>
          <w:rFonts w:hint="eastAsia" w:eastAsia="黑体" w:cs="Times New Roman"/>
          <w:kern w:val="2"/>
          <w:sz w:val="21"/>
          <w:szCs w:val="21"/>
          <w:lang w:val="en-US" w:eastAsia="zh-CN"/>
        </w:rPr>
        <w:t>14</w:t>
      </w:r>
      <w:r>
        <w:rPr>
          <w:rFonts w:hint="eastAsia" w:eastAsia="黑体" w:cs="Times New Roman"/>
          <w:kern w:val="2"/>
          <w:sz w:val="21"/>
          <w:szCs w:val="21"/>
        </w:rPr>
        <w:t xml:space="preserve"> </w:t>
      </w:r>
      <w:r>
        <w:rPr>
          <w:rFonts w:hint="eastAsia" w:eastAsia="黑体" w:cs="Times New Roman"/>
          <w:kern w:val="2"/>
          <w:sz w:val="21"/>
          <w:szCs w:val="21"/>
          <w:lang w:val="en-US" w:eastAsia="zh-CN"/>
        </w:rPr>
        <w:t>碳和硫</w:t>
      </w:r>
      <w:r>
        <w:rPr>
          <w:rFonts w:hint="eastAsia" w:eastAsia="黑体" w:cs="Times New Roman"/>
          <w:kern w:val="2"/>
          <w:sz w:val="21"/>
          <w:szCs w:val="21"/>
        </w:rPr>
        <w:t>的重复性和再现性</w:t>
      </w:r>
    </w:p>
    <w:tbl>
      <w:tblPr>
        <w:tblStyle w:val="89"/>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1245"/>
        <w:gridCol w:w="1242"/>
        <w:gridCol w:w="1247"/>
        <w:gridCol w:w="1270"/>
        <w:gridCol w:w="1230"/>
        <w:gridCol w:w="1234"/>
      </w:tblGrid>
      <w:tr w14:paraId="6E76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vMerge w:val="restart"/>
            <w:noWrap/>
            <w:vAlign w:val="center"/>
          </w:tcPr>
          <w:p w14:paraId="3E322FFE">
            <w:pPr>
              <w:widowControl/>
              <w:spacing w:line="312" w:lineRule="auto"/>
              <w:jc w:val="center"/>
              <w:rPr>
                <w:rFonts w:cs="Times New Roman"/>
                <w:kern w:val="2"/>
                <w:sz w:val="18"/>
                <w:szCs w:val="18"/>
              </w:rPr>
            </w:pPr>
            <w:r>
              <w:rPr>
                <w:rFonts w:cs="Times New Roman"/>
                <w:sz w:val="18"/>
                <w:szCs w:val="18"/>
              </w:rPr>
              <w:t>统计量</w:t>
            </w:r>
          </w:p>
        </w:tc>
        <w:tc>
          <w:tcPr>
            <w:tcW w:w="2144" w:type="pct"/>
            <w:gridSpan w:val="3"/>
            <w:tcBorders>
              <w:bottom w:val="single" w:color="auto" w:sz="4" w:space="0"/>
            </w:tcBorders>
            <w:noWrap/>
            <w:vAlign w:val="center"/>
          </w:tcPr>
          <w:p w14:paraId="60C4E26C">
            <w:pPr>
              <w:widowControl/>
              <w:spacing w:line="312" w:lineRule="auto"/>
              <w:jc w:val="center"/>
              <w:textAlignment w:val="center"/>
              <w:rPr>
                <w:rFonts w:hint="eastAsia" w:eastAsia="宋体" w:cs="Times New Roman"/>
                <w:sz w:val="18"/>
                <w:szCs w:val="18"/>
                <w:lang w:val="en-US" w:eastAsia="zh-CN" w:bidi="ar"/>
              </w:rPr>
            </w:pPr>
            <w:r>
              <w:rPr>
                <w:rFonts w:hint="eastAsia" w:cs="Times New Roman"/>
                <w:sz w:val="18"/>
                <w:szCs w:val="18"/>
                <w:lang w:val="en-US" w:eastAsia="zh-CN" w:bidi="ar"/>
              </w:rPr>
              <w:t>C</w:t>
            </w:r>
          </w:p>
        </w:tc>
        <w:tc>
          <w:tcPr>
            <w:tcW w:w="2143" w:type="pct"/>
            <w:gridSpan w:val="3"/>
            <w:tcBorders>
              <w:bottom w:val="single" w:color="auto" w:sz="4" w:space="0"/>
            </w:tcBorders>
            <w:noWrap/>
            <w:vAlign w:val="center"/>
          </w:tcPr>
          <w:p w14:paraId="0828ECCE">
            <w:pPr>
              <w:widowControl/>
              <w:spacing w:line="312" w:lineRule="auto"/>
              <w:jc w:val="center"/>
              <w:textAlignment w:val="center"/>
              <w:rPr>
                <w:rFonts w:hint="eastAsia" w:eastAsia="宋体" w:cs="Times New Roman"/>
                <w:sz w:val="18"/>
                <w:szCs w:val="18"/>
                <w:lang w:val="en-US" w:eastAsia="zh-CN" w:bidi="ar"/>
              </w:rPr>
            </w:pPr>
            <w:r>
              <w:rPr>
                <w:rFonts w:hint="eastAsia" w:cs="Times New Roman"/>
                <w:sz w:val="18"/>
                <w:szCs w:val="18"/>
                <w:lang w:val="en-US" w:eastAsia="zh-CN" w:bidi="ar"/>
              </w:rPr>
              <w:t>S</w:t>
            </w:r>
          </w:p>
        </w:tc>
      </w:tr>
      <w:tr w14:paraId="10E0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vMerge w:val="continue"/>
            <w:noWrap/>
            <w:vAlign w:val="center"/>
          </w:tcPr>
          <w:p w14:paraId="138093FC">
            <w:pPr>
              <w:widowControl/>
              <w:spacing w:line="312" w:lineRule="auto"/>
              <w:jc w:val="center"/>
              <w:rPr>
                <w:rFonts w:cs="Times New Roman"/>
                <w:kern w:val="2"/>
                <w:sz w:val="18"/>
                <w:szCs w:val="18"/>
              </w:rPr>
            </w:pPr>
          </w:p>
        </w:tc>
        <w:tc>
          <w:tcPr>
            <w:tcW w:w="715" w:type="pct"/>
            <w:tcBorders>
              <w:bottom w:val="single" w:color="auto" w:sz="4" w:space="0"/>
            </w:tcBorders>
            <w:noWrap/>
            <w:vAlign w:val="center"/>
          </w:tcPr>
          <w:p w14:paraId="4B34ECC1">
            <w:pPr>
              <w:widowControl/>
              <w:spacing w:line="312" w:lineRule="auto"/>
              <w:jc w:val="center"/>
              <w:textAlignment w:val="center"/>
              <w:rPr>
                <w:rFonts w:cs="Times New Roman"/>
                <w:kern w:val="2"/>
                <w:sz w:val="18"/>
                <w:szCs w:val="18"/>
              </w:rPr>
            </w:pPr>
            <w:r>
              <w:rPr>
                <w:rFonts w:cs="Times New Roman"/>
                <w:sz w:val="18"/>
                <w:szCs w:val="18"/>
                <w:lang w:bidi="ar"/>
              </w:rPr>
              <w:t>水平1</w:t>
            </w:r>
          </w:p>
        </w:tc>
        <w:tc>
          <w:tcPr>
            <w:tcW w:w="713" w:type="pct"/>
            <w:tcBorders>
              <w:bottom w:val="single" w:color="auto" w:sz="4" w:space="0"/>
            </w:tcBorders>
            <w:noWrap/>
            <w:vAlign w:val="center"/>
          </w:tcPr>
          <w:p w14:paraId="45DE0811">
            <w:pPr>
              <w:widowControl/>
              <w:spacing w:line="312" w:lineRule="auto"/>
              <w:jc w:val="center"/>
              <w:textAlignment w:val="center"/>
              <w:rPr>
                <w:rFonts w:cs="Times New Roman"/>
                <w:kern w:val="2"/>
                <w:sz w:val="18"/>
                <w:szCs w:val="18"/>
              </w:rPr>
            </w:pPr>
            <w:r>
              <w:rPr>
                <w:rFonts w:cs="Times New Roman"/>
                <w:sz w:val="18"/>
                <w:szCs w:val="18"/>
                <w:lang w:bidi="ar"/>
              </w:rPr>
              <w:t>水平2</w:t>
            </w:r>
          </w:p>
        </w:tc>
        <w:tc>
          <w:tcPr>
            <w:tcW w:w="716" w:type="pct"/>
            <w:tcBorders>
              <w:bottom w:val="single" w:color="auto" w:sz="4" w:space="0"/>
            </w:tcBorders>
            <w:noWrap/>
            <w:vAlign w:val="center"/>
          </w:tcPr>
          <w:p w14:paraId="1E17901F">
            <w:pPr>
              <w:widowControl/>
              <w:spacing w:line="312" w:lineRule="auto"/>
              <w:jc w:val="center"/>
              <w:textAlignment w:val="center"/>
              <w:rPr>
                <w:rFonts w:cs="Times New Roman"/>
                <w:kern w:val="2"/>
                <w:sz w:val="18"/>
                <w:szCs w:val="18"/>
              </w:rPr>
            </w:pPr>
            <w:r>
              <w:rPr>
                <w:rFonts w:cs="Times New Roman"/>
                <w:sz w:val="18"/>
                <w:szCs w:val="18"/>
                <w:lang w:bidi="ar"/>
              </w:rPr>
              <w:t>水平3</w:t>
            </w:r>
          </w:p>
        </w:tc>
        <w:tc>
          <w:tcPr>
            <w:tcW w:w="1208" w:type="dxa"/>
            <w:tcBorders>
              <w:bottom w:val="single" w:color="auto" w:sz="4" w:space="0"/>
            </w:tcBorders>
            <w:noWrap/>
            <w:vAlign w:val="center"/>
          </w:tcPr>
          <w:p w14:paraId="12CFC38B">
            <w:pPr>
              <w:widowControl/>
              <w:spacing w:line="312" w:lineRule="auto"/>
              <w:jc w:val="center"/>
              <w:textAlignment w:val="center"/>
              <w:rPr>
                <w:rFonts w:cs="Times New Roman"/>
                <w:kern w:val="2"/>
                <w:sz w:val="18"/>
                <w:szCs w:val="18"/>
              </w:rPr>
            </w:pPr>
            <w:r>
              <w:rPr>
                <w:rFonts w:cs="Times New Roman"/>
                <w:sz w:val="18"/>
                <w:szCs w:val="18"/>
                <w:lang w:bidi="ar"/>
              </w:rPr>
              <w:t>水平1</w:t>
            </w:r>
          </w:p>
        </w:tc>
        <w:tc>
          <w:tcPr>
            <w:tcW w:w="1213" w:type="dxa"/>
            <w:tcBorders>
              <w:bottom w:val="single" w:color="auto" w:sz="4" w:space="0"/>
            </w:tcBorders>
            <w:noWrap/>
            <w:vAlign w:val="center"/>
          </w:tcPr>
          <w:p w14:paraId="0EE666E4">
            <w:pPr>
              <w:widowControl/>
              <w:spacing w:line="312" w:lineRule="auto"/>
              <w:jc w:val="center"/>
              <w:textAlignment w:val="center"/>
              <w:rPr>
                <w:rFonts w:cs="Times New Roman"/>
                <w:kern w:val="2"/>
                <w:sz w:val="18"/>
                <w:szCs w:val="18"/>
              </w:rPr>
            </w:pPr>
            <w:r>
              <w:rPr>
                <w:rFonts w:cs="Times New Roman"/>
                <w:sz w:val="18"/>
                <w:szCs w:val="18"/>
                <w:lang w:bidi="ar"/>
              </w:rPr>
              <w:t>水平2</w:t>
            </w:r>
          </w:p>
        </w:tc>
        <w:tc>
          <w:tcPr>
            <w:tcW w:w="1215" w:type="dxa"/>
            <w:tcBorders>
              <w:bottom w:val="single" w:color="auto" w:sz="4" w:space="0"/>
            </w:tcBorders>
            <w:noWrap/>
            <w:vAlign w:val="center"/>
          </w:tcPr>
          <w:p w14:paraId="292182BF">
            <w:pPr>
              <w:widowControl/>
              <w:spacing w:line="312" w:lineRule="auto"/>
              <w:jc w:val="center"/>
              <w:textAlignment w:val="center"/>
              <w:rPr>
                <w:rFonts w:cs="Times New Roman"/>
                <w:sz w:val="18"/>
                <w:szCs w:val="18"/>
                <w:lang w:bidi="ar"/>
              </w:rPr>
            </w:pPr>
            <w:r>
              <w:rPr>
                <w:rFonts w:cs="Times New Roman"/>
                <w:sz w:val="18"/>
                <w:szCs w:val="18"/>
                <w:lang w:bidi="ar"/>
              </w:rPr>
              <w:t>水平3</w:t>
            </w:r>
          </w:p>
        </w:tc>
      </w:tr>
      <w:tr w14:paraId="2D3E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3D6CC546">
            <w:pPr>
              <w:widowControl/>
              <w:spacing w:line="312" w:lineRule="auto"/>
              <w:jc w:val="center"/>
              <w:rPr>
                <w:rFonts w:cs="Times New Roman"/>
                <w:kern w:val="2"/>
                <w:sz w:val="18"/>
                <w:szCs w:val="18"/>
              </w:rPr>
            </w:pPr>
            <w:r>
              <w:rPr>
                <w:rFonts w:cs="Times New Roman"/>
                <w:sz w:val="18"/>
                <w:szCs w:val="18"/>
              </w:rPr>
              <w:t>T</w:t>
            </w:r>
            <w:r>
              <w:rPr>
                <w:rFonts w:cs="Times New Roman"/>
                <w:sz w:val="18"/>
                <w:szCs w:val="18"/>
                <w:vertAlign w:val="subscript"/>
              </w:rPr>
              <w:t>1</w:t>
            </w:r>
          </w:p>
        </w:tc>
        <w:tc>
          <w:tcPr>
            <w:tcW w:w="1213" w:type="dxa"/>
            <w:tcBorders>
              <w:top w:val="single" w:color="auto" w:sz="4" w:space="0"/>
              <w:left w:val="nil"/>
              <w:bottom w:val="single" w:color="auto" w:sz="4" w:space="0"/>
              <w:right w:val="single" w:color="auto" w:sz="4" w:space="0"/>
            </w:tcBorders>
            <w:noWrap/>
            <w:vAlign w:val="center"/>
          </w:tcPr>
          <w:p w14:paraId="1645E787">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0.32 </w:t>
            </w:r>
          </w:p>
        </w:tc>
        <w:tc>
          <w:tcPr>
            <w:tcW w:w="1210" w:type="dxa"/>
            <w:tcBorders>
              <w:top w:val="single" w:color="auto" w:sz="4" w:space="0"/>
              <w:left w:val="single" w:color="auto" w:sz="4" w:space="0"/>
              <w:bottom w:val="single" w:color="auto" w:sz="4" w:space="0"/>
              <w:right w:val="single" w:color="auto" w:sz="4" w:space="0"/>
            </w:tcBorders>
            <w:noWrap/>
            <w:vAlign w:val="center"/>
          </w:tcPr>
          <w:p w14:paraId="54E16389">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3.70 </w:t>
            </w:r>
          </w:p>
        </w:tc>
        <w:tc>
          <w:tcPr>
            <w:tcW w:w="1215" w:type="dxa"/>
            <w:tcBorders>
              <w:top w:val="single" w:color="auto" w:sz="4" w:space="0"/>
              <w:left w:val="single" w:color="auto" w:sz="4" w:space="0"/>
              <w:bottom w:val="single" w:color="auto" w:sz="4" w:space="0"/>
              <w:right w:val="single" w:color="auto" w:sz="4" w:space="0"/>
            </w:tcBorders>
            <w:noWrap/>
            <w:vAlign w:val="center"/>
          </w:tcPr>
          <w:p w14:paraId="097E451D">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16.03 </w:t>
            </w:r>
          </w:p>
        </w:tc>
        <w:tc>
          <w:tcPr>
            <w:tcW w:w="1208" w:type="dxa"/>
            <w:tcBorders>
              <w:top w:val="single" w:color="auto" w:sz="4" w:space="0"/>
              <w:left w:val="single" w:color="auto" w:sz="4" w:space="0"/>
              <w:bottom w:val="single" w:color="auto" w:sz="4" w:space="0"/>
              <w:right w:val="single" w:color="auto" w:sz="4" w:space="0"/>
            </w:tcBorders>
            <w:noWrap/>
            <w:vAlign w:val="center"/>
          </w:tcPr>
          <w:p w14:paraId="3DCFDBEC">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0.02 </w:t>
            </w:r>
          </w:p>
        </w:tc>
        <w:tc>
          <w:tcPr>
            <w:tcW w:w="1213" w:type="dxa"/>
            <w:tcBorders>
              <w:top w:val="single" w:color="auto" w:sz="4" w:space="0"/>
              <w:left w:val="single" w:color="auto" w:sz="4" w:space="0"/>
              <w:bottom w:val="single" w:color="auto" w:sz="4" w:space="0"/>
              <w:right w:val="single" w:color="auto" w:sz="4" w:space="0"/>
            </w:tcBorders>
            <w:noWrap/>
            <w:vAlign w:val="center"/>
          </w:tcPr>
          <w:p w14:paraId="0DF48D16">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3.51 </w:t>
            </w:r>
          </w:p>
        </w:tc>
        <w:tc>
          <w:tcPr>
            <w:tcW w:w="1215" w:type="dxa"/>
            <w:tcBorders>
              <w:top w:val="single" w:color="auto" w:sz="4" w:space="0"/>
              <w:left w:val="single" w:color="auto" w:sz="4" w:space="0"/>
              <w:bottom w:val="single" w:color="auto" w:sz="4" w:space="0"/>
              <w:right w:val="single" w:color="auto" w:sz="4" w:space="0"/>
            </w:tcBorders>
            <w:noWrap/>
            <w:vAlign w:val="center"/>
          </w:tcPr>
          <w:p w14:paraId="0E9BA40F">
            <w:pPr>
              <w:keepNext w:val="0"/>
              <w:keepLines w:val="0"/>
              <w:widowControl/>
              <w:suppressLineNumbers w:val="0"/>
              <w:jc w:val="center"/>
              <w:textAlignment w:val="center"/>
              <w:rPr>
                <w:rFonts w:hint="default"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0.64 </w:t>
            </w:r>
          </w:p>
        </w:tc>
      </w:tr>
      <w:tr w14:paraId="5E22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6EA9B9BF">
            <w:pPr>
              <w:widowControl/>
              <w:spacing w:line="312" w:lineRule="auto"/>
              <w:jc w:val="center"/>
              <w:rPr>
                <w:rFonts w:cs="Times New Roman"/>
                <w:kern w:val="2"/>
                <w:sz w:val="18"/>
                <w:szCs w:val="18"/>
              </w:rPr>
            </w:pPr>
            <w:r>
              <w:rPr>
                <w:rFonts w:cs="Times New Roman"/>
                <w:sz w:val="18"/>
                <w:szCs w:val="18"/>
              </w:rPr>
              <w:t>T</w:t>
            </w:r>
            <w:r>
              <w:rPr>
                <w:rFonts w:cs="Times New Roman"/>
                <w:sz w:val="18"/>
                <w:szCs w:val="18"/>
                <w:vertAlign w:val="subscript"/>
              </w:rPr>
              <w:t>2</w:t>
            </w:r>
          </w:p>
        </w:tc>
        <w:tc>
          <w:tcPr>
            <w:tcW w:w="1213" w:type="dxa"/>
            <w:tcBorders>
              <w:top w:val="single" w:color="auto" w:sz="4" w:space="0"/>
              <w:left w:val="nil"/>
              <w:bottom w:val="single" w:color="auto" w:sz="4" w:space="0"/>
              <w:right w:val="single" w:color="auto" w:sz="4" w:space="0"/>
            </w:tcBorders>
            <w:noWrap/>
            <w:vAlign w:val="center"/>
          </w:tcPr>
          <w:p w14:paraId="40ADA1DA">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1210" w:type="dxa"/>
            <w:tcBorders>
              <w:top w:val="single" w:color="auto" w:sz="4" w:space="0"/>
              <w:left w:val="single" w:color="auto" w:sz="4" w:space="0"/>
              <w:bottom w:val="single" w:color="auto" w:sz="4" w:space="0"/>
              <w:right w:val="single" w:color="auto" w:sz="4" w:space="0"/>
            </w:tcBorders>
            <w:noWrap/>
            <w:vAlign w:val="center"/>
          </w:tcPr>
          <w:p w14:paraId="54D8D16F">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0.180</w:t>
            </w:r>
          </w:p>
        </w:tc>
        <w:tc>
          <w:tcPr>
            <w:tcW w:w="1215" w:type="dxa"/>
            <w:tcBorders>
              <w:top w:val="single" w:color="auto" w:sz="4" w:space="0"/>
              <w:left w:val="single" w:color="auto" w:sz="4" w:space="0"/>
              <w:bottom w:val="single" w:color="auto" w:sz="4" w:space="0"/>
              <w:right w:val="single" w:color="auto" w:sz="4" w:space="0"/>
            </w:tcBorders>
            <w:noWrap/>
            <w:vAlign w:val="center"/>
          </w:tcPr>
          <w:p w14:paraId="016934A5">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3.339</w:t>
            </w:r>
          </w:p>
        </w:tc>
        <w:tc>
          <w:tcPr>
            <w:tcW w:w="1208" w:type="dxa"/>
            <w:tcBorders>
              <w:top w:val="single" w:color="auto" w:sz="4" w:space="0"/>
              <w:left w:val="single" w:color="auto" w:sz="4" w:space="0"/>
              <w:bottom w:val="single" w:color="auto" w:sz="4" w:space="0"/>
              <w:right w:val="single" w:color="auto" w:sz="4" w:space="0"/>
            </w:tcBorders>
            <w:noWrap/>
            <w:vAlign w:val="center"/>
          </w:tcPr>
          <w:p w14:paraId="4481771B">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0.000</w:t>
            </w:r>
          </w:p>
        </w:tc>
        <w:tc>
          <w:tcPr>
            <w:tcW w:w="1213" w:type="dxa"/>
            <w:tcBorders>
              <w:top w:val="single" w:color="auto" w:sz="4" w:space="0"/>
              <w:left w:val="single" w:color="auto" w:sz="4" w:space="0"/>
              <w:bottom w:val="single" w:color="auto" w:sz="4" w:space="0"/>
              <w:right w:val="single" w:color="auto" w:sz="4" w:space="0"/>
            </w:tcBorders>
            <w:noWrap/>
            <w:vAlign w:val="center"/>
          </w:tcPr>
          <w:p w14:paraId="231B0FF0">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0.174</w:t>
            </w:r>
          </w:p>
        </w:tc>
        <w:tc>
          <w:tcPr>
            <w:tcW w:w="1215" w:type="dxa"/>
            <w:tcBorders>
              <w:top w:val="single" w:color="auto" w:sz="4" w:space="0"/>
              <w:left w:val="single" w:color="auto" w:sz="4" w:space="0"/>
              <w:bottom w:val="single" w:color="auto" w:sz="4" w:space="0"/>
              <w:right w:val="single" w:color="auto" w:sz="4" w:space="0"/>
            </w:tcBorders>
            <w:noWrap/>
            <w:vAlign w:val="center"/>
          </w:tcPr>
          <w:p w14:paraId="35E0D04F">
            <w:pPr>
              <w:keepNext w:val="0"/>
              <w:keepLines w:val="0"/>
              <w:widowControl/>
              <w:suppressLineNumbers w:val="0"/>
              <w:jc w:val="center"/>
              <w:textAlignment w:val="center"/>
              <w:rPr>
                <w:rFonts w:hint="default"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0.006</w:t>
            </w:r>
          </w:p>
        </w:tc>
      </w:tr>
      <w:tr w14:paraId="447D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02F39D6F">
            <w:pPr>
              <w:widowControl/>
              <w:spacing w:line="312" w:lineRule="auto"/>
              <w:jc w:val="center"/>
              <w:rPr>
                <w:rFonts w:cs="Times New Roman"/>
                <w:kern w:val="2"/>
                <w:sz w:val="18"/>
                <w:szCs w:val="18"/>
              </w:rPr>
            </w:pPr>
            <w:r>
              <w:rPr>
                <w:rFonts w:cs="Times New Roman"/>
                <w:sz w:val="18"/>
                <w:szCs w:val="18"/>
              </w:rPr>
              <w:t>T</w:t>
            </w:r>
            <w:r>
              <w:rPr>
                <w:rFonts w:cs="Times New Roman"/>
                <w:sz w:val="18"/>
                <w:szCs w:val="18"/>
                <w:vertAlign w:val="subscript"/>
              </w:rPr>
              <w:t>3</w:t>
            </w:r>
          </w:p>
        </w:tc>
        <w:tc>
          <w:tcPr>
            <w:tcW w:w="1213" w:type="dxa"/>
            <w:tcBorders>
              <w:top w:val="single" w:color="auto" w:sz="4" w:space="0"/>
              <w:left w:val="nil"/>
              <w:bottom w:val="single" w:color="auto" w:sz="4" w:space="0"/>
              <w:right w:val="single" w:color="auto" w:sz="4" w:space="0"/>
            </w:tcBorders>
            <w:noWrap/>
            <w:vAlign w:val="center"/>
          </w:tcPr>
          <w:p w14:paraId="12E964DB">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1210" w:type="dxa"/>
            <w:tcBorders>
              <w:top w:val="single" w:color="auto" w:sz="4" w:space="0"/>
              <w:left w:val="single" w:color="auto" w:sz="4" w:space="0"/>
              <w:bottom w:val="single" w:color="auto" w:sz="4" w:space="0"/>
              <w:right w:val="single" w:color="auto" w:sz="4" w:space="0"/>
            </w:tcBorders>
            <w:noWrap/>
            <w:vAlign w:val="center"/>
          </w:tcPr>
          <w:p w14:paraId="176A7B69">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76</w:t>
            </w:r>
          </w:p>
        </w:tc>
        <w:tc>
          <w:tcPr>
            <w:tcW w:w="1215" w:type="dxa"/>
            <w:tcBorders>
              <w:top w:val="single" w:color="auto" w:sz="4" w:space="0"/>
              <w:left w:val="single" w:color="auto" w:sz="4" w:space="0"/>
              <w:bottom w:val="single" w:color="auto" w:sz="4" w:space="0"/>
              <w:right w:val="single" w:color="auto" w:sz="4" w:space="0"/>
            </w:tcBorders>
            <w:noWrap/>
            <w:vAlign w:val="center"/>
          </w:tcPr>
          <w:p w14:paraId="21634A7B">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77</w:t>
            </w:r>
          </w:p>
        </w:tc>
        <w:tc>
          <w:tcPr>
            <w:tcW w:w="1208" w:type="dxa"/>
            <w:tcBorders>
              <w:top w:val="single" w:color="auto" w:sz="4" w:space="0"/>
              <w:left w:val="single" w:color="auto" w:sz="4" w:space="0"/>
              <w:bottom w:val="single" w:color="auto" w:sz="4" w:space="0"/>
              <w:right w:val="single" w:color="auto" w:sz="4" w:space="0"/>
            </w:tcBorders>
            <w:noWrap/>
            <w:vAlign w:val="center"/>
          </w:tcPr>
          <w:p w14:paraId="70E2322B">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63</w:t>
            </w:r>
          </w:p>
        </w:tc>
        <w:tc>
          <w:tcPr>
            <w:tcW w:w="1213" w:type="dxa"/>
            <w:tcBorders>
              <w:top w:val="single" w:color="auto" w:sz="4" w:space="0"/>
              <w:left w:val="single" w:color="auto" w:sz="4" w:space="0"/>
              <w:bottom w:val="single" w:color="auto" w:sz="4" w:space="0"/>
              <w:right w:val="single" w:color="auto" w:sz="4" w:space="0"/>
            </w:tcBorders>
            <w:noWrap/>
            <w:vAlign w:val="center"/>
          </w:tcPr>
          <w:p w14:paraId="552794DC">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71</w:t>
            </w:r>
          </w:p>
        </w:tc>
        <w:tc>
          <w:tcPr>
            <w:tcW w:w="1215" w:type="dxa"/>
            <w:tcBorders>
              <w:top w:val="single" w:color="auto" w:sz="4" w:space="0"/>
              <w:left w:val="single" w:color="auto" w:sz="4" w:space="0"/>
              <w:bottom w:val="single" w:color="auto" w:sz="4" w:space="0"/>
              <w:right w:val="single" w:color="auto" w:sz="4" w:space="0"/>
            </w:tcBorders>
            <w:noWrap/>
            <w:vAlign w:val="center"/>
          </w:tcPr>
          <w:p w14:paraId="4EA991E0">
            <w:pPr>
              <w:keepNext w:val="0"/>
              <w:keepLines w:val="0"/>
              <w:widowControl/>
              <w:suppressLineNumbers w:val="0"/>
              <w:jc w:val="center"/>
              <w:textAlignment w:val="center"/>
              <w:rPr>
                <w:rFonts w:hint="default"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74</w:t>
            </w:r>
          </w:p>
        </w:tc>
      </w:tr>
      <w:tr w14:paraId="25E0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1134FFE1">
            <w:pPr>
              <w:widowControl/>
              <w:spacing w:line="312" w:lineRule="auto"/>
              <w:jc w:val="center"/>
              <w:rPr>
                <w:rFonts w:cs="Times New Roman"/>
                <w:kern w:val="2"/>
                <w:sz w:val="18"/>
                <w:szCs w:val="18"/>
              </w:rPr>
            </w:pPr>
            <w:r>
              <w:rPr>
                <w:rFonts w:cs="Times New Roman"/>
                <w:sz w:val="18"/>
                <w:szCs w:val="18"/>
              </w:rPr>
              <w:t>T</w:t>
            </w:r>
            <w:r>
              <w:rPr>
                <w:rFonts w:cs="Times New Roman"/>
                <w:sz w:val="18"/>
                <w:szCs w:val="18"/>
                <w:vertAlign w:val="subscript"/>
              </w:rPr>
              <w:t>4</w:t>
            </w:r>
          </w:p>
        </w:tc>
        <w:tc>
          <w:tcPr>
            <w:tcW w:w="1213" w:type="dxa"/>
            <w:tcBorders>
              <w:top w:val="single" w:color="auto" w:sz="4" w:space="0"/>
              <w:left w:val="nil"/>
              <w:bottom w:val="single" w:color="auto" w:sz="4" w:space="0"/>
              <w:right w:val="single" w:color="auto" w:sz="4" w:space="0"/>
            </w:tcBorders>
            <w:noWrap/>
            <w:vAlign w:val="center"/>
          </w:tcPr>
          <w:p w14:paraId="37C91405">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1210" w:type="dxa"/>
            <w:tcBorders>
              <w:top w:val="single" w:color="auto" w:sz="4" w:space="0"/>
              <w:left w:val="single" w:color="auto" w:sz="4" w:space="0"/>
              <w:bottom w:val="single" w:color="auto" w:sz="4" w:space="0"/>
              <w:right w:val="single" w:color="auto" w:sz="4" w:space="0"/>
            </w:tcBorders>
            <w:noWrap/>
            <w:vAlign w:val="center"/>
          </w:tcPr>
          <w:p w14:paraId="11D01465">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526</w:t>
            </w:r>
          </w:p>
        </w:tc>
        <w:tc>
          <w:tcPr>
            <w:tcW w:w="1215" w:type="dxa"/>
            <w:tcBorders>
              <w:top w:val="single" w:color="auto" w:sz="4" w:space="0"/>
              <w:left w:val="single" w:color="auto" w:sz="4" w:space="0"/>
              <w:bottom w:val="single" w:color="auto" w:sz="4" w:space="0"/>
              <w:right w:val="single" w:color="auto" w:sz="4" w:space="0"/>
            </w:tcBorders>
            <w:noWrap/>
            <w:vAlign w:val="center"/>
          </w:tcPr>
          <w:p w14:paraId="2D6F6A59">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539</w:t>
            </w:r>
          </w:p>
        </w:tc>
        <w:tc>
          <w:tcPr>
            <w:tcW w:w="1208" w:type="dxa"/>
            <w:tcBorders>
              <w:top w:val="single" w:color="auto" w:sz="4" w:space="0"/>
              <w:left w:val="single" w:color="auto" w:sz="4" w:space="0"/>
              <w:bottom w:val="single" w:color="auto" w:sz="4" w:space="0"/>
              <w:right w:val="single" w:color="auto" w:sz="4" w:space="0"/>
            </w:tcBorders>
            <w:noWrap/>
            <w:vAlign w:val="center"/>
          </w:tcPr>
          <w:p w14:paraId="05AFC9F4">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441</w:t>
            </w:r>
          </w:p>
        </w:tc>
        <w:tc>
          <w:tcPr>
            <w:tcW w:w="1213" w:type="dxa"/>
            <w:tcBorders>
              <w:top w:val="single" w:color="auto" w:sz="4" w:space="0"/>
              <w:left w:val="single" w:color="auto" w:sz="4" w:space="0"/>
              <w:bottom w:val="single" w:color="auto" w:sz="4" w:space="0"/>
              <w:right w:val="single" w:color="auto" w:sz="4" w:space="0"/>
            </w:tcBorders>
            <w:noWrap/>
            <w:vAlign w:val="center"/>
          </w:tcPr>
          <w:p w14:paraId="394535FC">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473</w:t>
            </w:r>
          </w:p>
        </w:tc>
        <w:tc>
          <w:tcPr>
            <w:tcW w:w="1215" w:type="dxa"/>
            <w:tcBorders>
              <w:top w:val="single" w:color="auto" w:sz="4" w:space="0"/>
              <w:left w:val="single" w:color="auto" w:sz="4" w:space="0"/>
              <w:bottom w:val="single" w:color="auto" w:sz="4" w:space="0"/>
              <w:right w:val="single" w:color="auto" w:sz="4" w:space="0"/>
            </w:tcBorders>
            <w:noWrap/>
            <w:vAlign w:val="center"/>
          </w:tcPr>
          <w:p w14:paraId="3209B651">
            <w:pPr>
              <w:keepNext w:val="0"/>
              <w:keepLines w:val="0"/>
              <w:widowControl/>
              <w:suppressLineNumbers w:val="0"/>
              <w:jc w:val="center"/>
              <w:textAlignment w:val="center"/>
              <w:rPr>
                <w:rFonts w:hint="default"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506</w:t>
            </w:r>
          </w:p>
        </w:tc>
      </w:tr>
      <w:tr w14:paraId="1C7E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2AA02A1B">
            <w:pPr>
              <w:widowControl/>
              <w:spacing w:line="312" w:lineRule="auto"/>
              <w:jc w:val="center"/>
              <w:rPr>
                <w:rFonts w:cs="Times New Roman"/>
                <w:kern w:val="2"/>
                <w:sz w:val="18"/>
                <w:szCs w:val="18"/>
              </w:rPr>
            </w:pPr>
            <w:r>
              <w:rPr>
                <w:rFonts w:cs="Times New Roman"/>
                <w:sz w:val="18"/>
                <w:szCs w:val="18"/>
              </w:rPr>
              <w:t>T</w:t>
            </w:r>
            <w:r>
              <w:rPr>
                <w:rFonts w:cs="Times New Roman"/>
                <w:sz w:val="18"/>
                <w:szCs w:val="18"/>
                <w:vertAlign w:val="subscript"/>
              </w:rPr>
              <w:t>5</w:t>
            </w:r>
          </w:p>
        </w:tc>
        <w:tc>
          <w:tcPr>
            <w:tcW w:w="1213" w:type="dxa"/>
            <w:tcBorders>
              <w:top w:val="single" w:color="auto" w:sz="4" w:space="0"/>
              <w:left w:val="nil"/>
              <w:bottom w:val="single" w:color="auto" w:sz="4" w:space="0"/>
              <w:right w:val="single" w:color="auto" w:sz="4" w:space="0"/>
            </w:tcBorders>
            <w:noWrap/>
            <w:vAlign w:val="center"/>
          </w:tcPr>
          <w:p w14:paraId="580A9DB8">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0.0000061 </w:t>
            </w:r>
          </w:p>
        </w:tc>
        <w:tc>
          <w:tcPr>
            <w:tcW w:w="1210" w:type="dxa"/>
            <w:tcBorders>
              <w:top w:val="single" w:color="auto" w:sz="4" w:space="0"/>
              <w:left w:val="single" w:color="auto" w:sz="4" w:space="0"/>
              <w:bottom w:val="single" w:color="auto" w:sz="4" w:space="0"/>
              <w:right w:val="single" w:color="auto" w:sz="4" w:space="0"/>
            </w:tcBorders>
            <w:noWrap/>
            <w:vAlign w:val="center"/>
          </w:tcPr>
          <w:p w14:paraId="6A5A76E8">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0.00014 </w:t>
            </w:r>
          </w:p>
        </w:tc>
        <w:tc>
          <w:tcPr>
            <w:tcW w:w="1215" w:type="dxa"/>
            <w:tcBorders>
              <w:top w:val="single" w:color="auto" w:sz="4" w:space="0"/>
              <w:left w:val="single" w:color="auto" w:sz="4" w:space="0"/>
              <w:bottom w:val="single" w:color="auto" w:sz="4" w:space="0"/>
              <w:right w:val="single" w:color="auto" w:sz="4" w:space="0"/>
            </w:tcBorders>
            <w:noWrap/>
            <w:vAlign w:val="center"/>
          </w:tcPr>
          <w:p w14:paraId="6EAFC6E9">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0.0029 </w:t>
            </w:r>
          </w:p>
        </w:tc>
        <w:tc>
          <w:tcPr>
            <w:tcW w:w="1208" w:type="dxa"/>
            <w:tcBorders>
              <w:top w:val="single" w:color="auto" w:sz="4" w:space="0"/>
              <w:left w:val="single" w:color="auto" w:sz="4" w:space="0"/>
              <w:bottom w:val="single" w:color="auto" w:sz="4" w:space="0"/>
              <w:right w:val="single" w:color="auto" w:sz="4" w:space="0"/>
            </w:tcBorders>
            <w:noWrap/>
            <w:vAlign w:val="center"/>
          </w:tcPr>
          <w:p w14:paraId="608EBAC3">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0.00000020 </w:t>
            </w:r>
          </w:p>
        </w:tc>
        <w:tc>
          <w:tcPr>
            <w:tcW w:w="1213" w:type="dxa"/>
            <w:tcBorders>
              <w:top w:val="single" w:color="auto" w:sz="4" w:space="0"/>
              <w:left w:val="single" w:color="auto" w:sz="4" w:space="0"/>
              <w:bottom w:val="single" w:color="auto" w:sz="4" w:space="0"/>
              <w:right w:val="single" w:color="auto" w:sz="4" w:space="0"/>
            </w:tcBorders>
            <w:noWrap/>
            <w:vAlign w:val="center"/>
          </w:tcPr>
          <w:p w14:paraId="28928EFA">
            <w:pPr>
              <w:keepNext w:val="0"/>
              <w:keepLines w:val="0"/>
              <w:widowControl/>
              <w:suppressLineNumbers w:val="0"/>
              <w:jc w:val="center"/>
              <w:textAlignment w:val="center"/>
              <w:rPr>
                <w:rFonts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0.00018 </w:t>
            </w:r>
          </w:p>
        </w:tc>
        <w:tc>
          <w:tcPr>
            <w:tcW w:w="1215" w:type="dxa"/>
            <w:tcBorders>
              <w:top w:val="single" w:color="auto" w:sz="4" w:space="0"/>
              <w:left w:val="single" w:color="auto" w:sz="4" w:space="0"/>
              <w:bottom w:val="single" w:color="auto" w:sz="4" w:space="0"/>
              <w:right w:val="single" w:color="auto" w:sz="4" w:space="0"/>
            </w:tcBorders>
            <w:noWrap/>
            <w:vAlign w:val="center"/>
          </w:tcPr>
          <w:p w14:paraId="14195E63">
            <w:pPr>
              <w:keepNext w:val="0"/>
              <w:keepLines w:val="0"/>
              <w:widowControl/>
              <w:suppressLineNumbers w:val="0"/>
              <w:jc w:val="center"/>
              <w:textAlignment w:val="center"/>
              <w:rPr>
                <w:rFonts w:hint="default" w:cs="Times New Roman"/>
                <w:color w:val="000000"/>
                <w:kern w:val="0"/>
                <w:sz w:val="18"/>
                <w:szCs w:val="18"/>
                <w:u w:val="none"/>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0.000013 </w:t>
            </w:r>
          </w:p>
        </w:tc>
      </w:tr>
      <w:tr w14:paraId="41E6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5D783FE0">
            <w:pPr>
              <w:widowControl/>
              <w:spacing w:line="312" w:lineRule="auto"/>
              <w:jc w:val="center"/>
              <w:rPr>
                <w:rFonts w:cs="Times New Roman"/>
                <w:kern w:val="2"/>
                <w:sz w:val="18"/>
                <w:szCs w:val="18"/>
              </w:rPr>
            </w:pPr>
            <w:r>
              <w:rPr>
                <w:rFonts w:cs="Times New Roman"/>
                <w:sz w:val="18"/>
                <w:szCs w:val="18"/>
              </w:rPr>
              <w:t>S</w:t>
            </w:r>
            <w:r>
              <w:rPr>
                <w:rFonts w:cs="Times New Roman"/>
                <w:sz w:val="18"/>
                <w:szCs w:val="18"/>
                <w:vertAlign w:val="subscript"/>
              </w:rPr>
              <w:t>r</w:t>
            </w:r>
            <w:r>
              <w:rPr>
                <w:rFonts w:cs="Times New Roman"/>
                <w:sz w:val="18"/>
                <w:szCs w:val="18"/>
                <w:vertAlign w:val="superscript"/>
              </w:rPr>
              <w:t>2</w:t>
            </w:r>
          </w:p>
        </w:tc>
        <w:tc>
          <w:tcPr>
            <w:tcW w:w="1213" w:type="dxa"/>
            <w:tcBorders>
              <w:top w:val="single" w:color="auto" w:sz="4" w:space="0"/>
              <w:left w:val="nil"/>
              <w:bottom w:val="single" w:color="auto" w:sz="4" w:space="0"/>
              <w:right w:val="single" w:color="auto" w:sz="4" w:space="0"/>
            </w:tcBorders>
            <w:noWrap/>
            <w:vAlign w:val="center"/>
          </w:tcPr>
          <w:p w14:paraId="55B74D9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0.000000096 </w:t>
            </w:r>
          </w:p>
        </w:tc>
        <w:tc>
          <w:tcPr>
            <w:tcW w:w="1210" w:type="dxa"/>
            <w:tcBorders>
              <w:top w:val="single" w:color="auto" w:sz="4" w:space="0"/>
              <w:left w:val="single" w:color="auto" w:sz="4" w:space="0"/>
              <w:bottom w:val="single" w:color="auto" w:sz="4" w:space="0"/>
              <w:right w:val="single" w:color="auto" w:sz="4" w:space="0"/>
            </w:tcBorders>
            <w:noWrap/>
            <w:vAlign w:val="center"/>
          </w:tcPr>
          <w:p w14:paraId="5564D8C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0.0000022 </w:t>
            </w:r>
          </w:p>
        </w:tc>
        <w:tc>
          <w:tcPr>
            <w:tcW w:w="1215" w:type="dxa"/>
            <w:tcBorders>
              <w:top w:val="single" w:color="auto" w:sz="4" w:space="0"/>
              <w:left w:val="single" w:color="auto" w:sz="4" w:space="0"/>
              <w:bottom w:val="single" w:color="auto" w:sz="4" w:space="0"/>
              <w:right w:val="single" w:color="auto" w:sz="4" w:space="0"/>
            </w:tcBorders>
            <w:noWrap/>
            <w:vAlign w:val="center"/>
          </w:tcPr>
          <w:p w14:paraId="469E6DC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0.000044 </w:t>
            </w:r>
          </w:p>
        </w:tc>
        <w:tc>
          <w:tcPr>
            <w:tcW w:w="1208" w:type="dxa"/>
            <w:tcBorders>
              <w:top w:val="single" w:color="auto" w:sz="4" w:space="0"/>
              <w:left w:val="single" w:color="auto" w:sz="4" w:space="0"/>
              <w:bottom w:val="single" w:color="auto" w:sz="4" w:space="0"/>
              <w:right w:val="single" w:color="auto" w:sz="4" w:space="0"/>
            </w:tcBorders>
            <w:noWrap/>
            <w:vAlign w:val="center"/>
          </w:tcPr>
          <w:p w14:paraId="38DE56C2">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0.0000000038 </w:t>
            </w:r>
          </w:p>
        </w:tc>
        <w:tc>
          <w:tcPr>
            <w:tcW w:w="1213" w:type="dxa"/>
            <w:tcBorders>
              <w:top w:val="single" w:color="auto" w:sz="4" w:space="0"/>
              <w:left w:val="single" w:color="auto" w:sz="4" w:space="0"/>
              <w:bottom w:val="single" w:color="auto" w:sz="4" w:space="0"/>
              <w:right w:val="single" w:color="auto" w:sz="4" w:space="0"/>
            </w:tcBorders>
            <w:noWrap/>
            <w:vAlign w:val="center"/>
          </w:tcPr>
          <w:p w14:paraId="5631E8F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0.0000030 </w:t>
            </w:r>
          </w:p>
        </w:tc>
        <w:tc>
          <w:tcPr>
            <w:tcW w:w="1215" w:type="dxa"/>
            <w:tcBorders>
              <w:top w:val="single" w:color="auto" w:sz="4" w:space="0"/>
              <w:left w:val="single" w:color="auto" w:sz="4" w:space="0"/>
              <w:bottom w:val="single" w:color="auto" w:sz="4" w:space="0"/>
              <w:right w:val="single" w:color="auto" w:sz="4" w:space="0"/>
            </w:tcBorders>
            <w:noWrap/>
            <w:vAlign w:val="center"/>
          </w:tcPr>
          <w:p w14:paraId="3065AFED">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0.00000021 </w:t>
            </w:r>
          </w:p>
        </w:tc>
      </w:tr>
      <w:tr w14:paraId="19EA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473DC194">
            <w:pPr>
              <w:widowControl/>
              <w:spacing w:line="312" w:lineRule="auto"/>
              <w:jc w:val="center"/>
              <w:rPr>
                <w:rFonts w:cs="Times New Roman"/>
                <w:kern w:val="2"/>
                <w:sz w:val="18"/>
                <w:szCs w:val="18"/>
              </w:rPr>
            </w:pPr>
            <w:r>
              <w:rPr>
                <w:rFonts w:cs="Times New Roman"/>
                <w:sz w:val="18"/>
                <w:szCs w:val="18"/>
              </w:rPr>
              <w:t>S</w:t>
            </w:r>
            <w:r>
              <w:rPr>
                <w:rFonts w:cs="Times New Roman"/>
                <w:sz w:val="18"/>
                <w:szCs w:val="18"/>
                <w:vertAlign w:val="subscript"/>
              </w:rPr>
              <w:t>L</w:t>
            </w:r>
            <w:r>
              <w:rPr>
                <w:rFonts w:cs="Times New Roman"/>
                <w:sz w:val="18"/>
                <w:szCs w:val="18"/>
                <w:vertAlign w:val="superscript"/>
              </w:rPr>
              <w:t>2</w:t>
            </w:r>
          </w:p>
        </w:tc>
        <w:tc>
          <w:tcPr>
            <w:tcW w:w="1213" w:type="dxa"/>
            <w:tcBorders>
              <w:top w:val="single" w:color="auto" w:sz="4" w:space="0"/>
              <w:left w:val="nil"/>
              <w:bottom w:val="single" w:color="auto" w:sz="4" w:space="0"/>
              <w:right w:val="single" w:color="auto" w:sz="4" w:space="0"/>
            </w:tcBorders>
            <w:noWrap/>
            <w:vAlign w:val="center"/>
          </w:tcPr>
          <w:p w14:paraId="63A88C7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0.00000034 </w:t>
            </w:r>
          </w:p>
        </w:tc>
        <w:tc>
          <w:tcPr>
            <w:tcW w:w="1210" w:type="dxa"/>
            <w:tcBorders>
              <w:top w:val="single" w:color="auto" w:sz="4" w:space="0"/>
              <w:left w:val="single" w:color="auto" w:sz="4" w:space="0"/>
              <w:bottom w:val="single" w:color="auto" w:sz="4" w:space="0"/>
              <w:right w:val="single" w:color="auto" w:sz="4" w:space="0"/>
            </w:tcBorders>
            <w:noWrap/>
            <w:vAlign w:val="center"/>
          </w:tcPr>
          <w:p w14:paraId="61E8151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0.0000016 </w:t>
            </w:r>
          </w:p>
        </w:tc>
        <w:tc>
          <w:tcPr>
            <w:tcW w:w="1215" w:type="dxa"/>
            <w:tcBorders>
              <w:top w:val="single" w:color="auto" w:sz="4" w:space="0"/>
              <w:left w:val="single" w:color="auto" w:sz="4" w:space="0"/>
              <w:bottom w:val="single" w:color="auto" w:sz="4" w:space="0"/>
              <w:right w:val="single" w:color="auto" w:sz="4" w:space="0"/>
            </w:tcBorders>
            <w:noWrap/>
            <w:vAlign w:val="center"/>
          </w:tcPr>
          <w:p w14:paraId="65B8E12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0.000022 </w:t>
            </w:r>
          </w:p>
        </w:tc>
        <w:tc>
          <w:tcPr>
            <w:tcW w:w="1208" w:type="dxa"/>
            <w:tcBorders>
              <w:top w:val="single" w:color="auto" w:sz="4" w:space="0"/>
              <w:left w:val="single" w:color="auto" w:sz="4" w:space="0"/>
              <w:bottom w:val="single" w:color="auto" w:sz="4" w:space="0"/>
              <w:right w:val="single" w:color="auto" w:sz="4" w:space="0"/>
            </w:tcBorders>
            <w:noWrap/>
            <w:vAlign w:val="center"/>
          </w:tcPr>
          <w:p w14:paraId="47532DE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0.0000000055 </w:t>
            </w:r>
          </w:p>
        </w:tc>
        <w:tc>
          <w:tcPr>
            <w:tcW w:w="1213" w:type="dxa"/>
            <w:tcBorders>
              <w:top w:val="single" w:color="auto" w:sz="4" w:space="0"/>
              <w:left w:val="single" w:color="auto" w:sz="4" w:space="0"/>
              <w:bottom w:val="single" w:color="auto" w:sz="4" w:space="0"/>
              <w:right w:val="single" w:color="auto" w:sz="4" w:space="0"/>
            </w:tcBorders>
            <w:noWrap/>
            <w:vAlign w:val="center"/>
          </w:tcPr>
          <w:p w14:paraId="54C5E19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0.0000033 </w:t>
            </w:r>
          </w:p>
        </w:tc>
        <w:tc>
          <w:tcPr>
            <w:tcW w:w="1215" w:type="dxa"/>
            <w:tcBorders>
              <w:top w:val="single" w:color="auto" w:sz="4" w:space="0"/>
              <w:left w:val="single" w:color="auto" w:sz="4" w:space="0"/>
              <w:bottom w:val="single" w:color="auto" w:sz="4" w:space="0"/>
              <w:right w:val="single" w:color="auto" w:sz="4" w:space="0"/>
            </w:tcBorders>
            <w:noWrap/>
            <w:vAlign w:val="center"/>
          </w:tcPr>
          <w:p w14:paraId="2E02205B">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0.00000040 </w:t>
            </w:r>
          </w:p>
        </w:tc>
      </w:tr>
      <w:tr w14:paraId="51F5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11" w:type="pct"/>
            <w:noWrap/>
            <w:vAlign w:val="center"/>
          </w:tcPr>
          <w:p w14:paraId="0089B70D">
            <w:pPr>
              <w:widowControl/>
              <w:spacing w:line="312" w:lineRule="auto"/>
              <w:jc w:val="center"/>
              <w:rPr>
                <w:rFonts w:cs="Times New Roman"/>
                <w:kern w:val="2"/>
                <w:sz w:val="18"/>
                <w:szCs w:val="18"/>
              </w:rPr>
            </w:pPr>
            <w:r>
              <w:rPr>
                <w:rFonts w:cs="Times New Roman"/>
                <w:sz w:val="18"/>
                <w:szCs w:val="18"/>
              </w:rPr>
              <w:t>S</w:t>
            </w:r>
            <w:r>
              <w:rPr>
                <w:rFonts w:cs="Times New Roman"/>
                <w:sz w:val="18"/>
                <w:szCs w:val="18"/>
                <w:vertAlign w:val="subscript"/>
              </w:rPr>
              <w:t>R</w:t>
            </w:r>
            <w:r>
              <w:rPr>
                <w:rFonts w:cs="Times New Roman"/>
                <w:sz w:val="18"/>
                <w:szCs w:val="18"/>
                <w:vertAlign w:val="superscript"/>
              </w:rPr>
              <w:t>2</w:t>
            </w:r>
          </w:p>
        </w:tc>
        <w:tc>
          <w:tcPr>
            <w:tcW w:w="1213" w:type="dxa"/>
            <w:tcBorders>
              <w:top w:val="single" w:color="auto" w:sz="4" w:space="0"/>
              <w:left w:val="nil"/>
              <w:bottom w:val="single" w:color="auto" w:sz="4" w:space="0"/>
              <w:right w:val="single" w:color="auto" w:sz="4" w:space="0"/>
            </w:tcBorders>
            <w:noWrap/>
            <w:vAlign w:val="center"/>
          </w:tcPr>
          <w:p w14:paraId="181B6A53">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0.00000043 </w:t>
            </w:r>
          </w:p>
        </w:tc>
        <w:tc>
          <w:tcPr>
            <w:tcW w:w="1210" w:type="dxa"/>
            <w:tcBorders>
              <w:top w:val="single" w:color="auto" w:sz="4" w:space="0"/>
              <w:left w:val="single" w:color="auto" w:sz="4" w:space="0"/>
              <w:bottom w:val="single" w:color="auto" w:sz="4" w:space="0"/>
              <w:right w:val="single" w:color="auto" w:sz="4" w:space="0"/>
            </w:tcBorders>
            <w:noWrap/>
            <w:vAlign w:val="center"/>
          </w:tcPr>
          <w:p w14:paraId="2BC67FA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 </w:t>
            </w:r>
          </w:p>
        </w:tc>
        <w:tc>
          <w:tcPr>
            <w:tcW w:w="1215" w:type="dxa"/>
            <w:tcBorders>
              <w:top w:val="single" w:color="auto" w:sz="4" w:space="0"/>
              <w:left w:val="single" w:color="auto" w:sz="4" w:space="0"/>
              <w:bottom w:val="single" w:color="auto" w:sz="4" w:space="0"/>
              <w:right w:val="single" w:color="auto" w:sz="4" w:space="0"/>
            </w:tcBorders>
            <w:noWrap/>
            <w:vAlign w:val="center"/>
          </w:tcPr>
          <w:p w14:paraId="283802BA">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0.000065 </w:t>
            </w:r>
          </w:p>
        </w:tc>
        <w:tc>
          <w:tcPr>
            <w:tcW w:w="1208" w:type="dxa"/>
            <w:tcBorders>
              <w:top w:val="single" w:color="auto" w:sz="4" w:space="0"/>
              <w:left w:val="single" w:color="auto" w:sz="4" w:space="0"/>
              <w:bottom w:val="single" w:color="auto" w:sz="4" w:space="0"/>
              <w:right w:val="single" w:color="auto" w:sz="4" w:space="0"/>
            </w:tcBorders>
            <w:noWrap/>
            <w:vAlign w:val="center"/>
          </w:tcPr>
          <w:p w14:paraId="39FF1CE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0.0000000093 </w:t>
            </w:r>
          </w:p>
        </w:tc>
        <w:tc>
          <w:tcPr>
            <w:tcW w:w="1213" w:type="dxa"/>
            <w:tcBorders>
              <w:top w:val="single" w:color="auto" w:sz="4" w:space="0"/>
              <w:left w:val="single" w:color="auto" w:sz="4" w:space="0"/>
              <w:bottom w:val="single" w:color="auto" w:sz="4" w:space="0"/>
              <w:right w:val="single" w:color="auto" w:sz="4" w:space="0"/>
            </w:tcBorders>
            <w:noWrap/>
            <w:vAlign w:val="center"/>
          </w:tcPr>
          <w:p w14:paraId="2B5238D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0.0000063 </w:t>
            </w:r>
          </w:p>
        </w:tc>
        <w:tc>
          <w:tcPr>
            <w:tcW w:w="1215" w:type="dxa"/>
            <w:tcBorders>
              <w:top w:val="single" w:color="auto" w:sz="4" w:space="0"/>
              <w:left w:val="single" w:color="auto" w:sz="4" w:space="0"/>
              <w:bottom w:val="single" w:color="auto" w:sz="4" w:space="0"/>
              <w:right w:val="single" w:color="auto" w:sz="4" w:space="0"/>
            </w:tcBorders>
            <w:noWrap/>
            <w:vAlign w:val="center"/>
          </w:tcPr>
          <w:p w14:paraId="786E332C">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0.00000061 </w:t>
            </w:r>
          </w:p>
        </w:tc>
      </w:tr>
      <w:tr w14:paraId="5965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55056F3E">
            <w:pPr>
              <w:widowControl/>
              <w:spacing w:line="312" w:lineRule="auto"/>
              <w:jc w:val="center"/>
              <w:rPr>
                <w:rFonts w:cs="Times New Roman"/>
                <w:kern w:val="2"/>
                <w:sz w:val="18"/>
                <w:szCs w:val="18"/>
              </w:rPr>
            </w:pPr>
            <w:r>
              <w:rPr>
                <w:rFonts w:cs="Times New Roman"/>
                <w:sz w:val="18"/>
                <w:szCs w:val="18"/>
              </w:rPr>
              <w:t>S</w:t>
            </w:r>
            <w:r>
              <w:rPr>
                <w:rFonts w:cs="Times New Roman"/>
                <w:sz w:val="18"/>
                <w:szCs w:val="18"/>
                <w:vertAlign w:val="subscript"/>
              </w:rPr>
              <w:t>r</w:t>
            </w:r>
          </w:p>
        </w:tc>
        <w:tc>
          <w:tcPr>
            <w:tcW w:w="1213" w:type="dxa"/>
            <w:tcBorders>
              <w:top w:val="single" w:color="auto" w:sz="4" w:space="0"/>
              <w:left w:val="nil"/>
              <w:bottom w:val="single" w:color="auto" w:sz="4" w:space="0"/>
              <w:right w:val="single" w:color="auto" w:sz="4" w:space="0"/>
            </w:tcBorders>
            <w:noWrap/>
            <w:vAlign w:val="center"/>
          </w:tcPr>
          <w:p w14:paraId="024C148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0.00031 </w:t>
            </w:r>
          </w:p>
        </w:tc>
        <w:tc>
          <w:tcPr>
            <w:tcW w:w="1210" w:type="dxa"/>
            <w:tcBorders>
              <w:top w:val="single" w:color="auto" w:sz="4" w:space="0"/>
              <w:left w:val="single" w:color="auto" w:sz="4" w:space="0"/>
              <w:bottom w:val="single" w:color="auto" w:sz="4" w:space="0"/>
              <w:right w:val="single" w:color="auto" w:sz="4" w:space="0"/>
            </w:tcBorders>
            <w:noWrap/>
            <w:vAlign w:val="center"/>
          </w:tcPr>
          <w:p w14:paraId="763488C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0.0015 </w:t>
            </w:r>
          </w:p>
        </w:tc>
        <w:tc>
          <w:tcPr>
            <w:tcW w:w="1215" w:type="dxa"/>
            <w:tcBorders>
              <w:top w:val="single" w:color="auto" w:sz="4" w:space="0"/>
              <w:left w:val="single" w:color="auto" w:sz="4" w:space="0"/>
              <w:bottom w:val="single" w:color="auto" w:sz="4" w:space="0"/>
              <w:right w:val="single" w:color="auto" w:sz="4" w:space="0"/>
            </w:tcBorders>
            <w:noWrap/>
            <w:vAlign w:val="center"/>
          </w:tcPr>
          <w:p w14:paraId="57706A2F">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0.0066 </w:t>
            </w:r>
          </w:p>
        </w:tc>
        <w:tc>
          <w:tcPr>
            <w:tcW w:w="1208" w:type="dxa"/>
            <w:tcBorders>
              <w:top w:val="single" w:color="auto" w:sz="4" w:space="0"/>
              <w:left w:val="single" w:color="auto" w:sz="4" w:space="0"/>
              <w:bottom w:val="single" w:color="auto" w:sz="4" w:space="0"/>
              <w:right w:val="single" w:color="auto" w:sz="4" w:space="0"/>
            </w:tcBorders>
            <w:noWrap/>
            <w:vAlign w:val="center"/>
          </w:tcPr>
          <w:p w14:paraId="5F6CA0F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0.000062 </w:t>
            </w:r>
          </w:p>
        </w:tc>
        <w:tc>
          <w:tcPr>
            <w:tcW w:w="1213" w:type="dxa"/>
            <w:tcBorders>
              <w:top w:val="single" w:color="auto" w:sz="4" w:space="0"/>
              <w:left w:val="single" w:color="auto" w:sz="4" w:space="0"/>
              <w:bottom w:val="single" w:color="auto" w:sz="4" w:space="0"/>
              <w:right w:val="single" w:color="auto" w:sz="4" w:space="0"/>
            </w:tcBorders>
            <w:noWrap/>
            <w:vAlign w:val="center"/>
          </w:tcPr>
          <w:p w14:paraId="3734317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0.0017 </w:t>
            </w:r>
          </w:p>
        </w:tc>
        <w:tc>
          <w:tcPr>
            <w:tcW w:w="1215" w:type="dxa"/>
            <w:tcBorders>
              <w:top w:val="single" w:color="auto" w:sz="4" w:space="0"/>
              <w:left w:val="single" w:color="auto" w:sz="4" w:space="0"/>
              <w:bottom w:val="single" w:color="auto" w:sz="4" w:space="0"/>
              <w:right w:val="single" w:color="auto" w:sz="4" w:space="0"/>
            </w:tcBorders>
            <w:noWrap/>
            <w:vAlign w:val="center"/>
          </w:tcPr>
          <w:p w14:paraId="450E8564">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0.00046 </w:t>
            </w:r>
          </w:p>
        </w:tc>
      </w:tr>
      <w:tr w14:paraId="1638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7547D634">
            <w:pPr>
              <w:widowControl/>
              <w:spacing w:line="312" w:lineRule="auto"/>
              <w:jc w:val="center"/>
              <w:rPr>
                <w:rFonts w:cs="Times New Roman"/>
                <w:kern w:val="2"/>
                <w:sz w:val="18"/>
                <w:szCs w:val="18"/>
              </w:rPr>
            </w:pPr>
            <w:r>
              <w:rPr>
                <w:rFonts w:cs="Times New Roman"/>
                <w:sz w:val="18"/>
                <w:szCs w:val="18"/>
              </w:rPr>
              <w:t>S</w:t>
            </w:r>
            <w:r>
              <w:rPr>
                <w:rFonts w:cs="Times New Roman"/>
                <w:sz w:val="18"/>
                <w:szCs w:val="18"/>
                <w:vertAlign w:val="subscript"/>
              </w:rPr>
              <w:t>R</w:t>
            </w:r>
          </w:p>
        </w:tc>
        <w:tc>
          <w:tcPr>
            <w:tcW w:w="1213" w:type="dxa"/>
            <w:tcBorders>
              <w:top w:val="single" w:color="auto" w:sz="4" w:space="0"/>
              <w:left w:val="nil"/>
              <w:bottom w:val="single" w:color="auto" w:sz="4" w:space="0"/>
              <w:right w:val="single" w:color="auto" w:sz="4" w:space="0"/>
            </w:tcBorders>
            <w:noWrap/>
            <w:vAlign w:val="center"/>
          </w:tcPr>
          <w:p w14:paraId="433E2F5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0.00066 </w:t>
            </w:r>
          </w:p>
        </w:tc>
        <w:tc>
          <w:tcPr>
            <w:tcW w:w="1210" w:type="dxa"/>
            <w:tcBorders>
              <w:top w:val="single" w:color="auto" w:sz="4" w:space="0"/>
              <w:left w:val="single" w:color="auto" w:sz="4" w:space="0"/>
              <w:bottom w:val="single" w:color="auto" w:sz="4" w:space="0"/>
              <w:right w:val="single" w:color="auto" w:sz="4" w:space="0"/>
            </w:tcBorders>
            <w:noWrap/>
            <w:vAlign w:val="center"/>
          </w:tcPr>
          <w:p w14:paraId="6919875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1215" w:type="dxa"/>
            <w:tcBorders>
              <w:top w:val="single" w:color="auto" w:sz="4" w:space="0"/>
              <w:left w:val="single" w:color="auto" w:sz="4" w:space="0"/>
              <w:bottom w:val="single" w:color="auto" w:sz="4" w:space="0"/>
              <w:right w:val="single" w:color="auto" w:sz="4" w:space="0"/>
            </w:tcBorders>
            <w:noWrap/>
            <w:vAlign w:val="center"/>
          </w:tcPr>
          <w:p w14:paraId="455E173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0.0081 </w:t>
            </w:r>
          </w:p>
        </w:tc>
        <w:tc>
          <w:tcPr>
            <w:tcW w:w="1208" w:type="dxa"/>
            <w:tcBorders>
              <w:top w:val="single" w:color="auto" w:sz="4" w:space="0"/>
              <w:left w:val="single" w:color="auto" w:sz="4" w:space="0"/>
              <w:bottom w:val="single" w:color="auto" w:sz="4" w:space="0"/>
              <w:right w:val="single" w:color="auto" w:sz="4" w:space="0"/>
            </w:tcBorders>
            <w:noWrap/>
            <w:vAlign w:val="center"/>
          </w:tcPr>
          <w:p w14:paraId="7B4FFF8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0.000096 </w:t>
            </w:r>
          </w:p>
        </w:tc>
        <w:tc>
          <w:tcPr>
            <w:tcW w:w="1213" w:type="dxa"/>
            <w:tcBorders>
              <w:top w:val="single" w:color="auto" w:sz="4" w:space="0"/>
              <w:left w:val="single" w:color="auto" w:sz="4" w:space="0"/>
              <w:bottom w:val="single" w:color="auto" w:sz="4" w:space="0"/>
              <w:right w:val="single" w:color="auto" w:sz="4" w:space="0"/>
            </w:tcBorders>
            <w:noWrap/>
            <w:vAlign w:val="center"/>
          </w:tcPr>
          <w:p w14:paraId="5CD40E6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0.0025 </w:t>
            </w:r>
          </w:p>
        </w:tc>
        <w:tc>
          <w:tcPr>
            <w:tcW w:w="1215" w:type="dxa"/>
            <w:tcBorders>
              <w:top w:val="single" w:color="auto" w:sz="4" w:space="0"/>
              <w:left w:val="single" w:color="auto" w:sz="4" w:space="0"/>
              <w:bottom w:val="single" w:color="auto" w:sz="4" w:space="0"/>
              <w:right w:val="single" w:color="auto" w:sz="4" w:space="0"/>
            </w:tcBorders>
            <w:noWrap/>
            <w:vAlign w:val="center"/>
          </w:tcPr>
          <w:p w14:paraId="695619A4">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0.00078 </w:t>
            </w:r>
          </w:p>
        </w:tc>
      </w:tr>
      <w:tr w14:paraId="7DCB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6F29027F">
            <w:pPr>
              <w:widowControl/>
              <w:spacing w:line="312" w:lineRule="auto"/>
              <w:jc w:val="center"/>
              <w:rPr>
                <w:rFonts w:cs="Times New Roman"/>
                <w:kern w:val="2"/>
                <w:sz w:val="18"/>
                <w:szCs w:val="18"/>
              </w:rPr>
            </w:pPr>
            <w:r>
              <w:rPr>
                <w:rFonts w:cs="Times New Roman"/>
                <w:sz w:val="18"/>
                <w:szCs w:val="18"/>
              </w:rPr>
              <w:t>总平均值</w:t>
            </w:r>
          </w:p>
        </w:tc>
        <w:tc>
          <w:tcPr>
            <w:tcW w:w="1213" w:type="dxa"/>
            <w:tcBorders>
              <w:top w:val="single" w:color="auto" w:sz="4" w:space="0"/>
              <w:left w:val="nil"/>
              <w:bottom w:val="single" w:color="auto" w:sz="4" w:space="0"/>
              <w:right w:val="single" w:color="auto" w:sz="4" w:space="0"/>
            </w:tcBorders>
            <w:noWrap/>
            <w:vAlign w:val="bottom"/>
          </w:tcPr>
          <w:p w14:paraId="7E21E35F">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 </w:t>
            </w:r>
          </w:p>
        </w:tc>
        <w:tc>
          <w:tcPr>
            <w:tcW w:w="1210" w:type="dxa"/>
            <w:tcBorders>
              <w:top w:val="single" w:color="auto" w:sz="4" w:space="0"/>
              <w:left w:val="single" w:color="auto" w:sz="4" w:space="0"/>
              <w:bottom w:val="single" w:color="auto" w:sz="4" w:space="0"/>
              <w:right w:val="single" w:color="auto" w:sz="4" w:space="0"/>
            </w:tcBorders>
            <w:noWrap/>
            <w:vAlign w:val="bottom"/>
          </w:tcPr>
          <w:p w14:paraId="0EA2A16D">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 </w:t>
            </w:r>
          </w:p>
        </w:tc>
        <w:tc>
          <w:tcPr>
            <w:tcW w:w="1215" w:type="dxa"/>
            <w:tcBorders>
              <w:top w:val="single" w:color="auto" w:sz="4" w:space="0"/>
              <w:left w:val="single" w:color="auto" w:sz="4" w:space="0"/>
              <w:bottom w:val="single" w:color="auto" w:sz="4" w:space="0"/>
              <w:right w:val="single" w:color="auto" w:sz="4" w:space="0"/>
            </w:tcBorders>
            <w:noWrap/>
            <w:vAlign w:val="bottom"/>
          </w:tcPr>
          <w:p w14:paraId="59D66298">
            <w:pPr>
              <w:keepNext w:val="0"/>
              <w:keepLines w:val="0"/>
              <w:widowControl/>
              <w:suppressLineNumbers w:val="0"/>
              <w:jc w:val="center"/>
              <w:textAlignment w:val="bottom"/>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 xml:space="preserve">0.21 </w:t>
            </w:r>
          </w:p>
        </w:tc>
        <w:tc>
          <w:tcPr>
            <w:tcW w:w="1208" w:type="dxa"/>
            <w:tcBorders>
              <w:top w:val="single" w:color="auto" w:sz="4" w:space="0"/>
              <w:left w:val="single" w:color="auto" w:sz="4" w:space="0"/>
              <w:bottom w:val="single" w:color="auto" w:sz="4" w:space="0"/>
              <w:right w:val="single" w:color="auto" w:sz="4" w:space="0"/>
            </w:tcBorders>
            <w:noWrap/>
            <w:vAlign w:val="bottom"/>
          </w:tcPr>
          <w:p w14:paraId="1BF0F177">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1213" w:type="dxa"/>
            <w:tcBorders>
              <w:top w:val="single" w:color="auto" w:sz="4" w:space="0"/>
              <w:left w:val="single" w:color="auto" w:sz="4" w:space="0"/>
              <w:bottom w:val="single" w:color="auto" w:sz="4" w:space="0"/>
              <w:right w:val="single" w:color="auto" w:sz="4" w:space="0"/>
            </w:tcBorders>
            <w:noWrap/>
            <w:vAlign w:val="bottom"/>
          </w:tcPr>
          <w:p w14:paraId="34B5E1B2">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 </w:t>
            </w:r>
          </w:p>
        </w:tc>
        <w:tc>
          <w:tcPr>
            <w:tcW w:w="1215" w:type="dxa"/>
            <w:tcBorders>
              <w:top w:val="single" w:color="auto" w:sz="4" w:space="0"/>
              <w:left w:val="single" w:color="auto" w:sz="4" w:space="0"/>
              <w:bottom w:val="single" w:color="auto" w:sz="4" w:space="0"/>
              <w:right w:val="single" w:color="auto" w:sz="4" w:space="0"/>
            </w:tcBorders>
            <w:noWrap/>
            <w:vAlign w:val="bottom"/>
          </w:tcPr>
          <w:p w14:paraId="0501D037">
            <w:pPr>
              <w:keepNext w:val="0"/>
              <w:keepLines w:val="0"/>
              <w:widowControl/>
              <w:suppressLineNumbers w:val="0"/>
              <w:jc w:val="center"/>
              <w:textAlignment w:val="bottom"/>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0.0087 </w:t>
            </w:r>
          </w:p>
        </w:tc>
      </w:tr>
      <w:tr w14:paraId="7AAF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0FBEAB1C">
            <w:pPr>
              <w:widowControl/>
              <w:spacing w:line="312" w:lineRule="auto"/>
              <w:jc w:val="center"/>
              <w:rPr>
                <w:rFonts w:cs="Times New Roman"/>
                <w:kern w:val="2"/>
                <w:sz w:val="18"/>
                <w:szCs w:val="18"/>
              </w:rPr>
            </w:pPr>
            <w:r>
              <w:rPr>
                <w:rFonts w:cs="Times New Roman"/>
                <w:sz w:val="18"/>
                <w:szCs w:val="18"/>
              </w:rPr>
              <w:t>r</w:t>
            </w:r>
          </w:p>
        </w:tc>
        <w:tc>
          <w:tcPr>
            <w:tcW w:w="1213" w:type="dxa"/>
            <w:tcBorders>
              <w:top w:val="single" w:color="auto" w:sz="4" w:space="0"/>
              <w:left w:val="nil"/>
              <w:bottom w:val="single" w:color="auto" w:sz="4" w:space="0"/>
              <w:right w:val="single" w:color="auto" w:sz="4" w:space="0"/>
            </w:tcBorders>
            <w:noWrap/>
            <w:vAlign w:val="center"/>
          </w:tcPr>
          <w:p w14:paraId="6B7608D8">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0.0009 </w:t>
            </w:r>
          </w:p>
        </w:tc>
        <w:tc>
          <w:tcPr>
            <w:tcW w:w="1210" w:type="dxa"/>
            <w:tcBorders>
              <w:top w:val="single" w:color="auto" w:sz="4" w:space="0"/>
              <w:left w:val="single" w:color="auto" w:sz="4" w:space="0"/>
              <w:bottom w:val="single" w:color="auto" w:sz="4" w:space="0"/>
              <w:right w:val="single" w:color="auto" w:sz="4" w:space="0"/>
            </w:tcBorders>
            <w:noWrap/>
            <w:vAlign w:val="center"/>
          </w:tcPr>
          <w:p w14:paraId="349A1F45">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15" w:type="dxa"/>
            <w:tcBorders>
              <w:top w:val="single" w:color="auto" w:sz="4" w:space="0"/>
              <w:left w:val="single" w:color="auto" w:sz="4" w:space="0"/>
              <w:bottom w:val="single" w:color="auto" w:sz="4" w:space="0"/>
              <w:right w:val="single" w:color="auto" w:sz="4" w:space="0"/>
            </w:tcBorders>
            <w:noWrap/>
            <w:vAlign w:val="center"/>
          </w:tcPr>
          <w:p w14:paraId="62131C9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08" w:type="dxa"/>
            <w:tcBorders>
              <w:top w:val="single" w:color="auto" w:sz="4" w:space="0"/>
              <w:left w:val="single" w:color="auto" w:sz="4" w:space="0"/>
              <w:bottom w:val="single" w:color="auto" w:sz="4" w:space="0"/>
              <w:right w:val="single" w:color="auto" w:sz="4" w:space="0"/>
            </w:tcBorders>
            <w:noWrap/>
            <w:vAlign w:val="center"/>
          </w:tcPr>
          <w:p w14:paraId="6605E40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 </w:t>
            </w:r>
          </w:p>
        </w:tc>
        <w:tc>
          <w:tcPr>
            <w:tcW w:w="1213" w:type="dxa"/>
            <w:tcBorders>
              <w:top w:val="single" w:color="auto" w:sz="4" w:space="0"/>
              <w:left w:val="single" w:color="auto" w:sz="4" w:space="0"/>
              <w:bottom w:val="single" w:color="auto" w:sz="4" w:space="0"/>
              <w:right w:val="single" w:color="auto" w:sz="4" w:space="0"/>
            </w:tcBorders>
            <w:noWrap/>
            <w:vAlign w:val="center"/>
          </w:tcPr>
          <w:p w14:paraId="602FDD67">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15" w:type="dxa"/>
            <w:tcBorders>
              <w:top w:val="single" w:color="auto" w:sz="4" w:space="0"/>
              <w:left w:val="single" w:color="auto" w:sz="4" w:space="0"/>
              <w:bottom w:val="single" w:color="auto" w:sz="4" w:space="0"/>
              <w:right w:val="single" w:color="auto" w:sz="4" w:space="0"/>
            </w:tcBorders>
            <w:noWrap/>
            <w:vAlign w:val="center"/>
          </w:tcPr>
          <w:p w14:paraId="6147C5F5">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0.0013 </w:t>
            </w:r>
          </w:p>
        </w:tc>
      </w:tr>
      <w:tr w14:paraId="6EE8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11" w:type="pct"/>
            <w:noWrap/>
            <w:vAlign w:val="center"/>
          </w:tcPr>
          <w:p w14:paraId="304DE92B">
            <w:pPr>
              <w:widowControl/>
              <w:spacing w:line="312" w:lineRule="auto"/>
              <w:jc w:val="center"/>
              <w:rPr>
                <w:rFonts w:cs="Times New Roman"/>
                <w:kern w:val="2"/>
                <w:sz w:val="18"/>
                <w:szCs w:val="18"/>
              </w:rPr>
            </w:pPr>
            <w:r>
              <w:rPr>
                <w:rFonts w:cs="Times New Roman"/>
                <w:sz w:val="18"/>
                <w:szCs w:val="18"/>
              </w:rPr>
              <w:t>R</w:t>
            </w:r>
          </w:p>
        </w:tc>
        <w:tc>
          <w:tcPr>
            <w:tcW w:w="1213" w:type="dxa"/>
            <w:tcBorders>
              <w:top w:val="single" w:color="auto" w:sz="4" w:space="0"/>
              <w:left w:val="nil"/>
              <w:bottom w:val="single" w:color="auto" w:sz="4" w:space="0"/>
              <w:right w:val="single" w:color="auto" w:sz="4" w:space="0"/>
            </w:tcBorders>
            <w:noWrap/>
            <w:vAlign w:val="center"/>
          </w:tcPr>
          <w:p w14:paraId="5F4CCAC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0.0019 </w:t>
            </w:r>
          </w:p>
        </w:tc>
        <w:tc>
          <w:tcPr>
            <w:tcW w:w="1210" w:type="dxa"/>
            <w:tcBorders>
              <w:top w:val="single" w:color="auto" w:sz="4" w:space="0"/>
              <w:left w:val="single" w:color="auto" w:sz="4" w:space="0"/>
              <w:bottom w:val="single" w:color="auto" w:sz="4" w:space="0"/>
              <w:right w:val="single" w:color="auto" w:sz="4" w:space="0"/>
            </w:tcBorders>
            <w:noWrap/>
            <w:vAlign w:val="center"/>
          </w:tcPr>
          <w:p w14:paraId="16C366B5">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6</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15" w:type="dxa"/>
            <w:tcBorders>
              <w:top w:val="single" w:color="auto" w:sz="4" w:space="0"/>
              <w:left w:val="single" w:color="auto" w:sz="4" w:space="0"/>
              <w:bottom w:val="single" w:color="auto" w:sz="4" w:space="0"/>
              <w:right w:val="single" w:color="auto" w:sz="4" w:space="0"/>
            </w:tcBorders>
            <w:noWrap/>
            <w:vAlign w:val="center"/>
          </w:tcPr>
          <w:p w14:paraId="753F5B9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08" w:type="dxa"/>
            <w:tcBorders>
              <w:top w:val="single" w:color="auto" w:sz="4" w:space="0"/>
              <w:left w:val="single" w:color="auto" w:sz="4" w:space="0"/>
              <w:bottom w:val="single" w:color="auto" w:sz="4" w:space="0"/>
              <w:right w:val="single" w:color="auto" w:sz="4" w:space="0"/>
            </w:tcBorders>
            <w:noWrap/>
            <w:vAlign w:val="center"/>
          </w:tcPr>
          <w:p w14:paraId="6A7EBA01">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1213" w:type="dxa"/>
            <w:tcBorders>
              <w:top w:val="single" w:color="auto" w:sz="4" w:space="0"/>
              <w:left w:val="single" w:color="auto" w:sz="4" w:space="0"/>
              <w:bottom w:val="single" w:color="auto" w:sz="4" w:space="0"/>
              <w:right w:val="single" w:color="auto" w:sz="4" w:space="0"/>
            </w:tcBorders>
            <w:noWrap/>
            <w:vAlign w:val="center"/>
          </w:tcPr>
          <w:p w14:paraId="5F1F21F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215" w:type="dxa"/>
            <w:tcBorders>
              <w:top w:val="single" w:color="auto" w:sz="4" w:space="0"/>
              <w:left w:val="single" w:color="auto" w:sz="4" w:space="0"/>
              <w:bottom w:val="single" w:color="auto" w:sz="4" w:space="0"/>
              <w:right w:val="single" w:color="auto" w:sz="4" w:space="0"/>
            </w:tcBorders>
            <w:noWrap/>
            <w:vAlign w:val="center"/>
          </w:tcPr>
          <w:p w14:paraId="2D13986B">
            <w:pPr>
              <w:keepNext w:val="0"/>
              <w:keepLines w:val="0"/>
              <w:widowControl/>
              <w:suppressLineNumbers w:val="0"/>
              <w:jc w:val="center"/>
              <w:textAlignment w:val="center"/>
              <w:rPr>
                <w:rFonts w:hint="eastAsia"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0.0022 </w:t>
            </w:r>
          </w:p>
        </w:tc>
      </w:tr>
    </w:tbl>
    <w:p w14:paraId="7F505B65">
      <w:pPr>
        <w:keepNext w:val="0"/>
        <w:keepLines w:val="0"/>
        <w:pageBreakBefore w:val="0"/>
        <w:widowControl w:val="0"/>
        <w:kinsoku/>
        <w:wordWrap/>
        <w:overflowPunct/>
        <w:topLinePunct w:val="0"/>
        <w:autoSpaceDE/>
        <w:autoSpaceDN/>
        <w:bidi w:val="0"/>
        <w:adjustRightInd/>
        <w:snapToGrid/>
        <w:spacing w:before="164" w:beforeLines="50" w:line="240" w:lineRule="auto"/>
        <w:textAlignment w:val="auto"/>
        <w:rPr>
          <w:rFonts w:hint="eastAsia" w:ascii="黑体" w:hAnsi="Times New Roman" w:eastAsia="黑体" w:cs="Times New Roman"/>
          <w:b w:val="0"/>
          <w:bCs/>
          <w:kern w:val="2"/>
          <w:sz w:val="21"/>
          <w:szCs w:val="21"/>
        </w:rPr>
      </w:pPr>
      <w:r>
        <w:rPr>
          <w:rFonts w:hint="eastAsia" w:ascii="黑体" w:hAnsi="Times New Roman" w:eastAsia="黑体" w:cs="Times New Roman"/>
          <w:b w:val="0"/>
          <w:bCs/>
          <w:kern w:val="2"/>
          <w:sz w:val="21"/>
          <w:szCs w:val="21"/>
        </w:rPr>
        <w:t>3.2.</w:t>
      </w:r>
      <w:r>
        <w:rPr>
          <w:rFonts w:hint="eastAsia" w:ascii="黑体" w:hAnsi="Times New Roman" w:eastAsia="黑体" w:cs="Times New Roman"/>
          <w:b w:val="0"/>
          <w:bCs/>
          <w:kern w:val="2"/>
          <w:sz w:val="21"/>
          <w:szCs w:val="21"/>
          <w:lang w:val="en-US" w:eastAsia="zh-CN"/>
        </w:rPr>
        <w:t>3</w:t>
      </w:r>
      <w:r>
        <w:rPr>
          <w:rFonts w:hint="eastAsia" w:ascii="黑体" w:hAnsi="Times New Roman" w:eastAsia="黑体" w:cs="Times New Roman"/>
          <w:b w:val="0"/>
          <w:bCs/>
          <w:kern w:val="2"/>
          <w:sz w:val="21"/>
          <w:szCs w:val="21"/>
        </w:rPr>
        <w:t>重复性和再现性</w:t>
      </w:r>
    </w:p>
    <w:p w14:paraId="75E685FF">
      <w:pPr>
        <w:widowControl/>
        <w:autoSpaceDE w:val="0"/>
        <w:autoSpaceDN w:val="0"/>
        <w:spacing w:line="240" w:lineRule="auto"/>
        <w:ind w:firstLine="420" w:firstLineChars="200"/>
        <w:rPr>
          <w:rFonts w:hint="eastAsia" w:ascii="宋体" w:hAnsi="宋体" w:cs="Times New Roman"/>
          <w:sz w:val="21"/>
          <w:szCs w:val="20"/>
        </w:rPr>
      </w:pPr>
      <w:r>
        <w:rPr>
          <w:rFonts w:hint="eastAsia" w:ascii="宋体" w:hAnsi="宋体" w:cs="Times New Roman"/>
          <w:sz w:val="21"/>
          <w:szCs w:val="20"/>
          <w:lang w:val="en-US" w:eastAsia="zh-CN"/>
        </w:rPr>
        <w:t>碳</w:t>
      </w:r>
      <w:r>
        <w:rPr>
          <w:rFonts w:hint="eastAsia" w:ascii="宋体" w:hAnsi="宋体" w:cs="Times New Roman"/>
          <w:sz w:val="21"/>
          <w:szCs w:val="20"/>
        </w:rPr>
        <w:t>和</w:t>
      </w:r>
      <w:r>
        <w:rPr>
          <w:rFonts w:hint="eastAsia" w:ascii="宋体" w:hAnsi="宋体" w:cs="Times New Roman"/>
          <w:sz w:val="21"/>
          <w:szCs w:val="20"/>
          <w:lang w:val="en-US" w:eastAsia="zh-CN"/>
        </w:rPr>
        <w:t>硫</w:t>
      </w:r>
      <w:r>
        <w:rPr>
          <w:rFonts w:hint="eastAsia" w:ascii="宋体" w:hAnsi="宋体" w:cs="Times New Roman"/>
          <w:sz w:val="21"/>
          <w:szCs w:val="20"/>
        </w:rPr>
        <w:t>元素所有水平的重复性、再现性计算结果见表。</w:t>
      </w:r>
    </w:p>
    <w:p w14:paraId="7CD6EA4F">
      <w:pPr>
        <w:tabs>
          <w:tab w:val="left" w:pos="0"/>
        </w:tabs>
        <w:snapToGrid w:val="0"/>
        <w:spacing w:before="163" w:beforeLines="50"/>
        <w:jc w:val="center"/>
        <w:rPr>
          <w:rFonts w:hint="eastAsia" w:eastAsia="黑体" w:cs="Times New Roman"/>
          <w:kern w:val="2"/>
          <w:sz w:val="21"/>
          <w:szCs w:val="21"/>
        </w:rPr>
      </w:pPr>
      <w:bookmarkStart w:id="9" w:name="_Hlk182959518"/>
      <w:r>
        <w:rPr>
          <w:rFonts w:hint="eastAsia" w:eastAsia="黑体" w:cs="Times New Roman"/>
          <w:kern w:val="2"/>
          <w:sz w:val="21"/>
          <w:szCs w:val="21"/>
        </w:rPr>
        <w:t>表</w:t>
      </w:r>
      <w:r>
        <w:rPr>
          <w:rFonts w:hint="eastAsia" w:eastAsia="黑体" w:cs="Times New Roman"/>
          <w:kern w:val="2"/>
          <w:sz w:val="21"/>
          <w:szCs w:val="21"/>
          <w:lang w:val="en-US" w:eastAsia="zh-CN"/>
        </w:rPr>
        <w:t>1</w:t>
      </w:r>
      <w:r>
        <w:rPr>
          <w:rFonts w:eastAsia="黑体" w:cs="Times New Roman"/>
          <w:kern w:val="2"/>
          <w:sz w:val="21"/>
          <w:szCs w:val="21"/>
        </w:rPr>
        <w:t xml:space="preserve">5 </w:t>
      </w:r>
      <w:r>
        <w:rPr>
          <w:rFonts w:hint="eastAsia" w:eastAsia="黑体" w:cs="Times New Roman"/>
          <w:kern w:val="2"/>
          <w:sz w:val="21"/>
          <w:szCs w:val="21"/>
          <w:lang w:val="en-US" w:eastAsia="zh-CN"/>
        </w:rPr>
        <w:t>碳</w:t>
      </w:r>
      <w:r>
        <w:rPr>
          <w:rFonts w:hint="eastAsia" w:eastAsia="黑体" w:cs="Times New Roman"/>
          <w:kern w:val="2"/>
          <w:sz w:val="21"/>
          <w:szCs w:val="21"/>
        </w:rPr>
        <w:t>重复性和再现性</w:t>
      </w:r>
    </w:p>
    <w:bookmarkEnd w:id="9"/>
    <w:tbl>
      <w:tblPr>
        <w:tblStyle w:val="89"/>
        <w:tblW w:w="48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2015"/>
        <w:gridCol w:w="2015"/>
        <w:gridCol w:w="2193"/>
      </w:tblGrid>
      <w:tr w14:paraId="3381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35" w:type="pct"/>
            <w:noWrap/>
            <w:vAlign w:val="center"/>
          </w:tcPr>
          <w:p w14:paraId="452417EA">
            <w:pPr>
              <w:snapToGrid w:val="0"/>
              <w:spacing w:line="312" w:lineRule="auto"/>
              <w:ind w:firstLine="360" w:firstLineChars="200"/>
              <w:jc w:val="center"/>
              <w:rPr>
                <w:rFonts w:cs="Times New Roman"/>
                <w:bCs/>
                <w:kern w:val="2"/>
                <w:sz w:val="18"/>
                <w:szCs w:val="18"/>
              </w:rPr>
            </w:pPr>
            <w:r>
              <w:rPr>
                <w:rFonts w:cs="Times New Roman"/>
                <w:i/>
                <w:kern w:val="2"/>
                <w:sz w:val="18"/>
                <w:szCs w:val="18"/>
              </w:rPr>
              <w:t>w</w:t>
            </w:r>
            <w:r>
              <w:rPr>
                <w:rFonts w:hint="eastAsia" w:cs="Times New Roman"/>
                <w:iCs/>
                <w:kern w:val="2"/>
                <w:sz w:val="18"/>
                <w:szCs w:val="18"/>
                <w:vertAlign w:val="subscript"/>
                <w:lang w:val="en-US" w:eastAsia="zh-CN"/>
              </w:rPr>
              <w:t>C</w:t>
            </w:r>
            <w:r>
              <w:rPr>
                <w:rFonts w:cs="Times New Roman"/>
                <w:kern w:val="2"/>
                <w:sz w:val="18"/>
                <w:szCs w:val="18"/>
              </w:rPr>
              <w:t>/%</w:t>
            </w:r>
          </w:p>
        </w:tc>
        <w:tc>
          <w:tcPr>
            <w:tcW w:w="2015" w:type="dxa"/>
            <w:noWrap/>
            <w:vAlign w:val="bottom"/>
          </w:tcPr>
          <w:p w14:paraId="698B25E6">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0.004</w:t>
            </w:r>
            <w:r>
              <w:rPr>
                <w:rFonts w:hint="eastAsia"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015" w:type="dxa"/>
            <w:noWrap/>
            <w:vAlign w:val="bottom"/>
          </w:tcPr>
          <w:p w14:paraId="5C46378E">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w:t>
            </w:r>
            <w:r>
              <w:rPr>
                <w:rFonts w:hint="eastAsia" w:cs="Times New Roman"/>
                <w:i w:val="0"/>
                <w:iCs w:val="0"/>
                <w:color w:val="000000"/>
                <w:kern w:val="0"/>
                <w:sz w:val="18"/>
                <w:szCs w:val="18"/>
                <w:u w:val="none"/>
                <w:lang w:val="en-US" w:eastAsia="zh-CN" w:bidi="ar"/>
              </w:rPr>
              <w:t>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193" w:type="dxa"/>
            <w:noWrap/>
            <w:vAlign w:val="bottom"/>
          </w:tcPr>
          <w:p w14:paraId="497B5F05">
            <w:pPr>
              <w:keepNext w:val="0"/>
              <w:keepLines w:val="0"/>
              <w:widowControl/>
              <w:suppressLineNumbers w:val="0"/>
              <w:jc w:val="center"/>
              <w:textAlignment w:val="bottom"/>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0.2</w:t>
            </w:r>
            <w:r>
              <w:rPr>
                <w:rFonts w:hint="eastAsia" w:cs="Times New Roman"/>
                <w:i w:val="0"/>
                <w:iCs w:val="0"/>
                <w:color w:val="000000"/>
                <w:kern w:val="0"/>
                <w:sz w:val="18"/>
                <w:szCs w:val="18"/>
                <w:u w:val="none"/>
                <w:lang w:val="en-US" w:eastAsia="zh-CN" w:bidi="ar"/>
              </w:rPr>
              <w:t>1</w:t>
            </w:r>
          </w:p>
        </w:tc>
      </w:tr>
      <w:tr w14:paraId="6D58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35" w:type="pct"/>
            <w:noWrap/>
            <w:vAlign w:val="center"/>
          </w:tcPr>
          <w:p w14:paraId="0A08D351">
            <w:pPr>
              <w:snapToGrid w:val="0"/>
              <w:spacing w:line="312" w:lineRule="auto"/>
              <w:ind w:firstLine="360" w:firstLineChars="200"/>
              <w:jc w:val="center"/>
              <w:rPr>
                <w:rFonts w:cs="Times New Roman"/>
                <w:bCs/>
                <w:kern w:val="2"/>
                <w:sz w:val="18"/>
                <w:szCs w:val="18"/>
              </w:rPr>
            </w:pPr>
            <w:r>
              <w:rPr>
                <w:rFonts w:cs="Times New Roman"/>
                <w:bCs/>
                <w:i/>
                <w:kern w:val="2"/>
                <w:sz w:val="18"/>
                <w:szCs w:val="18"/>
              </w:rPr>
              <w:t>r/</w:t>
            </w:r>
            <w:r>
              <w:rPr>
                <w:rFonts w:cs="Times New Roman"/>
                <w:bCs/>
                <w:iCs/>
                <w:kern w:val="2"/>
                <w:sz w:val="18"/>
                <w:szCs w:val="18"/>
              </w:rPr>
              <w:t>%</w:t>
            </w:r>
          </w:p>
        </w:tc>
        <w:tc>
          <w:tcPr>
            <w:tcW w:w="2015" w:type="dxa"/>
            <w:noWrap/>
            <w:vAlign w:val="center"/>
          </w:tcPr>
          <w:p w14:paraId="3BE33CBB">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015" w:type="dxa"/>
            <w:noWrap/>
            <w:vAlign w:val="center"/>
          </w:tcPr>
          <w:p w14:paraId="29CB4C99">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193" w:type="dxa"/>
            <w:noWrap/>
            <w:vAlign w:val="center"/>
          </w:tcPr>
          <w:p w14:paraId="55E46D5C">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18B5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35" w:type="pct"/>
            <w:noWrap/>
            <w:vAlign w:val="center"/>
          </w:tcPr>
          <w:p w14:paraId="792A1CD2">
            <w:pPr>
              <w:snapToGrid w:val="0"/>
              <w:spacing w:line="312" w:lineRule="auto"/>
              <w:ind w:firstLine="360" w:firstLineChars="200"/>
              <w:jc w:val="center"/>
              <w:rPr>
                <w:rFonts w:cs="Times New Roman"/>
                <w:bCs/>
                <w:i/>
                <w:kern w:val="2"/>
                <w:sz w:val="18"/>
                <w:szCs w:val="18"/>
              </w:rPr>
            </w:pPr>
            <w:r>
              <w:rPr>
                <w:rFonts w:cs="Times New Roman"/>
                <w:bCs/>
                <w:i/>
                <w:kern w:val="2"/>
                <w:sz w:val="18"/>
                <w:szCs w:val="18"/>
              </w:rPr>
              <w:t>R</w:t>
            </w:r>
            <w:r>
              <w:rPr>
                <w:rFonts w:cs="Times New Roman"/>
                <w:bCs/>
                <w:kern w:val="2"/>
                <w:sz w:val="18"/>
                <w:szCs w:val="18"/>
              </w:rPr>
              <w:t>/%</w:t>
            </w:r>
          </w:p>
        </w:tc>
        <w:tc>
          <w:tcPr>
            <w:tcW w:w="2015" w:type="dxa"/>
            <w:noWrap/>
            <w:vAlign w:val="center"/>
          </w:tcPr>
          <w:p w14:paraId="34BD2EF6">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19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015" w:type="dxa"/>
            <w:noWrap/>
            <w:vAlign w:val="center"/>
          </w:tcPr>
          <w:p w14:paraId="04912F9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6</w:t>
            </w:r>
          </w:p>
        </w:tc>
        <w:tc>
          <w:tcPr>
            <w:tcW w:w="2193" w:type="dxa"/>
            <w:noWrap/>
            <w:vAlign w:val="center"/>
          </w:tcPr>
          <w:p w14:paraId="1A60D491">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0.0</w:t>
            </w:r>
            <w:r>
              <w:rPr>
                <w:rFonts w:hint="eastAsia" w:cs="Times New Roman"/>
                <w:i w:val="0"/>
                <w:iCs w:val="0"/>
                <w:color w:val="000000"/>
                <w:kern w:val="0"/>
                <w:sz w:val="18"/>
                <w:szCs w:val="18"/>
                <w:u w:val="none"/>
                <w:lang w:val="en-US" w:eastAsia="zh-CN" w:bidi="ar"/>
              </w:rPr>
              <w:t>3</w:t>
            </w:r>
          </w:p>
        </w:tc>
      </w:tr>
    </w:tbl>
    <w:p w14:paraId="559AC026">
      <w:pPr>
        <w:tabs>
          <w:tab w:val="left" w:pos="0"/>
        </w:tabs>
        <w:snapToGrid w:val="0"/>
        <w:spacing w:before="163" w:beforeLines="50"/>
        <w:jc w:val="center"/>
        <w:rPr>
          <w:rFonts w:hint="eastAsia" w:eastAsia="黑体" w:cs="Times New Roman"/>
          <w:kern w:val="2"/>
          <w:sz w:val="21"/>
          <w:szCs w:val="21"/>
        </w:rPr>
      </w:pPr>
      <w:r>
        <w:rPr>
          <w:rFonts w:hint="eastAsia" w:eastAsia="黑体" w:cs="Times New Roman"/>
          <w:kern w:val="2"/>
          <w:sz w:val="21"/>
          <w:szCs w:val="21"/>
        </w:rPr>
        <w:t>表</w:t>
      </w:r>
      <w:r>
        <w:rPr>
          <w:rFonts w:hint="eastAsia" w:eastAsia="黑体" w:cs="Times New Roman"/>
          <w:kern w:val="2"/>
          <w:sz w:val="21"/>
          <w:szCs w:val="21"/>
          <w:lang w:val="en-US" w:eastAsia="zh-CN"/>
        </w:rPr>
        <w:t>1</w:t>
      </w:r>
      <w:r>
        <w:rPr>
          <w:rFonts w:eastAsia="黑体" w:cs="Times New Roman"/>
          <w:kern w:val="2"/>
          <w:sz w:val="21"/>
          <w:szCs w:val="21"/>
        </w:rPr>
        <w:t xml:space="preserve">6 </w:t>
      </w:r>
      <w:r>
        <w:rPr>
          <w:rFonts w:hint="eastAsia" w:eastAsia="黑体" w:cs="Times New Roman"/>
          <w:kern w:val="2"/>
          <w:sz w:val="21"/>
          <w:szCs w:val="21"/>
          <w:lang w:val="en-US" w:eastAsia="zh-CN"/>
        </w:rPr>
        <w:t>硫</w:t>
      </w:r>
      <w:r>
        <w:rPr>
          <w:rFonts w:hint="eastAsia" w:eastAsia="黑体" w:cs="Times New Roman"/>
          <w:kern w:val="2"/>
          <w:sz w:val="21"/>
          <w:szCs w:val="21"/>
        </w:rPr>
        <w:t>重复性和再现性</w:t>
      </w:r>
    </w:p>
    <w:tbl>
      <w:tblPr>
        <w:tblStyle w:val="89"/>
        <w:tblW w:w="48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9"/>
        <w:gridCol w:w="2087"/>
        <w:gridCol w:w="2087"/>
        <w:gridCol w:w="2087"/>
      </w:tblGrid>
      <w:tr w14:paraId="25B6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13" w:type="pct"/>
            <w:vAlign w:val="center"/>
          </w:tcPr>
          <w:p w14:paraId="153ECEA3">
            <w:pPr>
              <w:snapToGrid w:val="0"/>
              <w:spacing w:line="312" w:lineRule="auto"/>
              <w:ind w:firstLine="360" w:firstLineChars="200"/>
              <w:jc w:val="center"/>
              <w:rPr>
                <w:rFonts w:cs="Times New Roman"/>
                <w:bCs/>
                <w:i/>
                <w:kern w:val="2"/>
                <w:sz w:val="18"/>
                <w:szCs w:val="18"/>
              </w:rPr>
            </w:pPr>
            <w:r>
              <w:rPr>
                <w:rFonts w:hint="eastAsia" w:cs="Times New Roman"/>
                <w:bCs/>
                <w:i/>
                <w:kern w:val="2"/>
                <w:sz w:val="18"/>
                <w:szCs w:val="18"/>
              </w:rPr>
              <w:t>w</w:t>
            </w:r>
            <w:r>
              <w:rPr>
                <w:rFonts w:hint="eastAsia" w:cs="Times New Roman"/>
                <w:bCs/>
                <w:iCs/>
                <w:kern w:val="2"/>
                <w:sz w:val="18"/>
                <w:szCs w:val="18"/>
                <w:vertAlign w:val="subscript"/>
                <w:lang w:val="en-US" w:eastAsia="zh-CN"/>
              </w:rPr>
              <w:t>S</w:t>
            </w:r>
            <w:r>
              <w:rPr>
                <w:rFonts w:cs="Times New Roman"/>
                <w:bCs/>
                <w:i/>
                <w:kern w:val="2"/>
                <w:sz w:val="18"/>
                <w:szCs w:val="18"/>
              </w:rPr>
              <w:t>/</w:t>
            </w:r>
            <w:r>
              <w:rPr>
                <w:rFonts w:cs="Times New Roman"/>
                <w:bCs/>
                <w:iCs/>
                <w:kern w:val="2"/>
                <w:sz w:val="18"/>
                <w:szCs w:val="18"/>
              </w:rPr>
              <w:t>%</w:t>
            </w:r>
          </w:p>
        </w:tc>
        <w:tc>
          <w:tcPr>
            <w:tcW w:w="2087" w:type="dxa"/>
            <w:vAlign w:val="bottom"/>
          </w:tcPr>
          <w:p w14:paraId="6A765789">
            <w:pPr>
              <w:keepNext w:val="0"/>
              <w:keepLines w:val="0"/>
              <w:widowControl/>
              <w:suppressLineNumbers w:val="0"/>
              <w:jc w:val="center"/>
              <w:textAlignment w:val="bottom"/>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0.000</w:t>
            </w:r>
            <w:r>
              <w:rPr>
                <w:rFonts w:hint="eastAsia" w:cs="Times New Roman"/>
                <w:i w:val="0"/>
                <w:iCs w:val="0"/>
                <w:color w:val="000000"/>
                <w:kern w:val="0"/>
                <w:sz w:val="18"/>
                <w:szCs w:val="18"/>
                <w:u w:val="none"/>
                <w:lang w:val="en-US" w:eastAsia="zh-CN" w:bidi="ar"/>
              </w:rPr>
              <w:t>3</w:t>
            </w:r>
          </w:p>
        </w:tc>
        <w:tc>
          <w:tcPr>
            <w:tcW w:w="2087" w:type="dxa"/>
            <w:vAlign w:val="bottom"/>
          </w:tcPr>
          <w:p w14:paraId="4B3878A3">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0.04</w:t>
            </w:r>
            <w:r>
              <w:rPr>
                <w:rFonts w:hint="eastAsia" w:cs="Times New Roman"/>
                <w:i w:val="0"/>
                <w:iCs w:val="0"/>
                <w:color w:val="000000"/>
                <w:kern w:val="0"/>
                <w:sz w:val="18"/>
                <w:szCs w:val="18"/>
                <w:u w:val="none"/>
                <w:lang w:val="en-US" w:eastAsia="zh-CN" w:bidi="ar"/>
              </w:rPr>
              <w:t>9</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087" w:type="dxa"/>
            <w:vAlign w:val="bottom"/>
          </w:tcPr>
          <w:p w14:paraId="405F2017">
            <w:pPr>
              <w:keepNext w:val="0"/>
              <w:keepLines w:val="0"/>
              <w:widowControl/>
              <w:suppressLineNumbers w:val="0"/>
              <w:jc w:val="center"/>
              <w:textAlignment w:val="bottom"/>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r>
              <w:rPr>
                <w:rFonts w:hint="eastAsia" w:cs="Times New Roman"/>
                <w:i w:val="0"/>
                <w:iCs w:val="0"/>
                <w:color w:val="000000"/>
                <w:kern w:val="0"/>
                <w:sz w:val="18"/>
                <w:szCs w:val="18"/>
                <w:u w:val="none"/>
                <w:lang w:val="en-US" w:eastAsia="zh-CN" w:bidi="ar"/>
              </w:rPr>
              <w:t>7</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5E3D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13" w:type="pct"/>
            <w:vAlign w:val="center"/>
          </w:tcPr>
          <w:p w14:paraId="1B696364">
            <w:pPr>
              <w:snapToGrid w:val="0"/>
              <w:spacing w:line="312" w:lineRule="auto"/>
              <w:ind w:firstLine="360" w:firstLineChars="200"/>
              <w:jc w:val="center"/>
              <w:rPr>
                <w:rFonts w:cs="Times New Roman"/>
                <w:bCs/>
                <w:i/>
                <w:kern w:val="2"/>
                <w:sz w:val="18"/>
                <w:szCs w:val="18"/>
              </w:rPr>
            </w:pPr>
            <w:r>
              <w:rPr>
                <w:rFonts w:cs="Times New Roman"/>
                <w:bCs/>
                <w:i/>
                <w:kern w:val="2"/>
                <w:sz w:val="18"/>
                <w:szCs w:val="18"/>
              </w:rPr>
              <w:t>r/</w:t>
            </w:r>
            <w:r>
              <w:rPr>
                <w:rFonts w:cs="Times New Roman"/>
                <w:bCs/>
                <w:iCs/>
                <w:kern w:val="2"/>
                <w:sz w:val="18"/>
                <w:szCs w:val="18"/>
              </w:rPr>
              <w:t>%</w:t>
            </w:r>
          </w:p>
        </w:tc>
        <w:tc>
          <w:tcPr>
            <w:tcW w:w="2087" w:type="dxa"/>
            <w:vAlign w:val="center"/>
          </w:tcPr>
          <w:p w14:paraId="1FBF568E">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 </w:t>
            </w:r>
          </w:p>
        </w:tc>
        <w:tc>
          <w:tcPr>
            <w:tcW w:w="2087" w:type="dxa"/>
            <w:vAlign w:val="center"/>
          </w:tcPr>
          <w:p w14:paraId="44BAF2EB">
            <w:pPr>
              <w:keepNext w:val="0"/>
              <w:keepLines w:val="0"/>
              <w:widowControl/>
              <w:suppressLineNumbers w:val="0"/>
              <w:jc w:val="center"/>
              <w:textAlignment w:val="center"/>
              <w:rPr>
                <w:rFonts w:hint="default" w:cs="Times New Roman"/>
                <w:kern w:val="2"/>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5</w:t>
            </w:r>
          </w:p>
        </w:tc>
        <w:tc>
          <w:tcPr>
            <w:tcW w:w="2087" w:type="dxa"/>
            <w:vAlign w:val="center"/>
          </w:tcPr>
          <w:p w14:paraId="35795107">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0.001</w:t>
            </w:r>
            <w:r>
              <w:rPr>
                <w:rFonts w:hint="eastAsia" w:cs="Times New Roman"/>
                <w:i w:val="0"/>
                <w:iCs w:val="0"/>
                <w:color w:val="000000"/>
                <w:kern w:val="0"/>
                <w:sz w:val="18"/>
                <w:szCs w:val="18"/>
                <w:u w:val="none"/>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103D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13" w:type="pct"/>
            <w:vAlign w:val="center"/>
          </w:tcPr>
          <w:p w14:paraId="4B39BAD0">
            <w:pPr>
              <w:snapToGrid w:val="0"/>
              <w:spacing w:line="312" w:lineRule="auto"/>
              <w:ind w:firstLine="360" w:firstLineChars="200"/>
              <w:jc w:val="center"/>
              <w:rPr>
                <w:rFonts w:cs="Times New Roman"/>
                <w:bCs/>
                <w:i/>
                <w:kern w:val="2"/>
                <w:sz w:val="18"/>
                <w:szCs w:val="18"/>
              </w:rPr>
            </w:pPr>
            <w:r>
              <w:rPr>
                <w:rFonts w:hint="eastAsia" w:cs="Times New Roman"/>
                <w:bCs/>
                <w:i/>
                <w:kern w:val="2"/>
                <w:sz w:val="18"/>
                <w:szCs w:val="18"/>
              </w:rPr>
              <w:t>R</w:t>
            </w:r>
            <w:r>
              <w:rPr>
                <w:rFonts w:cs="Times New Roman"/>
                <w:bCs/>
                <w:i/>
                <w:kern w:val="2"/>
                <w:sz w:val="18"/>
                <w:szCs w:val="18"/>
              </w:rPr>
              <w:t>/</w:t>
            </w:r>
            <w:r>
              <w:rPr>
                <w:rFonts w:cs="Times New Roman"/>
                <w:bCs/>
                <w:iCs/>
                <w:kern w:val="2"/>
                <w:sz w:val="18"/>
                <w:szCs w:val="18"/>
              </w:rPr>
              <w:t>%</w:t>
            </w:r>
          </w:p>
        </w:tc>
        <w:tc>
          <w:tcPr>
            <w:tcW w:w="2087" w:type="dxa"/>
            <w:vAlign w:val="center"/>
          </w:tcPr>
          <w:p w14:paraId="595A0980">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2087" w:type="dxa"/>
            <w:vAlign w:val="center"/>
          </w:tcPr>
          <w:p w14:paraId="27C7B864">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w:t>
            </w:r>
            <w:r>
              <w:rPr>
                <w:rFonts w:hint="eastAsia" w:cs="Times New Roman"/>
                <w:i w:val="0"/>
                <w:iCs w:val="0"/>
                <w:color w:val="000000"/>
                <w:kern w:val="0"/>
                <w:sz w:val="18"/>
                <w:szCs w:val="18"/>
                <w:u w:val="none"/>
                <w:lang w:val="en-US" w:eastAsia="zh-CN" w:bidi="ar"/>
              </w:rPr>
              <w:t>8</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2087" w:type="dxa"/>
            <w:vAlign w:val="center"/>
          </w:tcPr>
          <w:p w14:paraId="4D99590D">
            <w:pPr>
              <w:keepNext w:val="0"/>
              <w:keepLines w:val="0"/>
              <w:widowControl/>
              <w:suppressLineNumbers w:val="0"/>
              <w:jc w:val="center"/>
              <w:textAlignment w:val="center"/>
              <w:rPr>
                <w:rFonts w:cs="Times New Roman"/>
                <w:kern w:val="2"/>
                <w:sz w:val="18"/>
                <w:szCs w:val="18"/>
              </w:rPr>
            </w:pPr>
            <w:r>
              <w:rPr>
                <w:rFonts w:hint="default" w:ascii="Times New Roman" w:hAnsi="Times New Roman" w:eastAsia="宋体" w:cs="Times New Roman"/>
                <w:i w:val="0"/>
                <w:iCs w:val="0"/>
                <w:color w:val="000000"/>
                <w:kern w:val="0"/>
                <w:sz w:val="18"/>
                <w:szCs w:val="18"/>
                <w:u w:val="none"/>
                <w:lang w:val="en-US" w:eastAsia="zh-CN" w:bidi="ar"/>
              </w:rPr>
              <w:t>0.002</w:t>
            </w:r>
            <w:r>
              <w:rPr>
                <w:rFonts w:hint="eastAsia" w:cs="Times New Roman"/>
                <w:i w:val="0"/>
                <w:iCs w:val="0"/>
                <w:color w:val="000000"/>
                <w:kern w:val="0"/>
                <w:sz w:val="18"/>
                <w:szCs w:val="18"/>
                <w:u w:val="none"/>
                <w:lang w:val="en-US" w:eastAsia="zh-CN" w:bidi="ar"/>
              </w:rPr>
              <w:t>2</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bl>
    <w:p w14:paraId="28C728B3">
      <w:pPr>
        <w:widowControl/>
        <w:tabs>
          <w:tab w:val="left" w:pos="675"/>
        </w:tabs>
        <w:spacing w:before="163" w:beforeLines="50" w:after="163" w:afterLines="50" w:line="240" w:lineRule="auto"/>
        <w:outlineLvl w:val="1"/>
        <w:rPr>
          <w:rFonts w:hint="eastAsia" w:eastAsia="黑体" w:cs="Times New Roman"/>
          <w:szCs w:val="20"/>
        </w:rPr>
      </w:pPr>
      <w:r>
        <w:rPr>
          <w:rFonts w:hint="eastAsia" w:eastAsia="黑体" w:cs="Times New Roman"/>
          <w:szCs w:val="20"/>
        </w:rPr>
        <w:t>二）预期效益</w:t>
      </w:r>
    </w:p>
    <w:p w14:paraId="7A22D5AE">
      <w:pPr>
        <w:spacing w:line="240" w:lineRule="auto"/>
        <w:ind w:firstLine="420" w:firstLineChars="200"/>
        <w:rPr>
          <w:rFonts w:hint="eastAsia" w:cs="Times New Roman"/>
          <w:kern w:val="2"/>
          <w:sz w:val="21"/>
          <w:szCs w:val="21"/>
        </w:rPr>
      </w:pPr>
      <w:r>
        <w:rPr>
          <w:rFonts w:hint="eastAsia" w:cs="Times New Roman"/>
          <w:kern w:val="2"/>
          <w:sz w:val="21"/>
          <w:szCs w:val="21"/>
        </w:rPr>
        <w:t>本标准整合了</w:t>
      </w:r>
      <w:r>
        <w:rPr>
          <w:rFonts w:hint="eastAsia" w:ascii="宋体" w:hAnsi="宋体" w:cs="Times New Roman"/>
          <w:kern w:val="2"/>
          <w:sz w:val="21"/>
          <w:szCs w:val="21"/>
        </w:rPr>
        <w:t>YS/T 281.13-2011《钴化学分析方法 第13部分：硫量的测定 高频感应炉燃烧红外吸收法》和YS/T 281.14-2011《钴化学分析方法 第14部分：碳量的测定 高频感应炉燃烧红外吸收法》</w:t>
      </w:r>
      <w:r>
        <w:rPr>
          <w:rFonts w:hint="eastAsia" w:ascii="宋体" w:hAnsi="宋体" w:cs="Times New Roman"/>
          <w:kern w:val="2"/>
          <w:sz w:val="21"/>
          <w:szCs w:val="21"/>
          <w:lang w:eastAsia="zh-CN"/>
        </w:rPr>
        <w:t>，</w:t>
      </w:r>
      <w:r>
        <w:rPr>
          <w:rFonts w:hint="eastAsia" w:ascii="宋体" w:hAnsi="宋体" w:cs="Times New Roman"/>
          <w:kern w:val="2"/>
          <w:sz w:val="21"/>
          <w:szCs w:val="21"/>
          <w:lang w:val="en-US" w:eastAsia="zh-CN"/>
        </w:rPr>
        <w:t>优化了标准结构，采用碳、硫标准样品，同步校准仪器碳通道和硫通道，</w:t>
      </w:r>
      <w:r>
        <w:rPr>
          <w:rFonts w:hint="eastAsia" w:ascii="宋体" w:hAnsi="宋体" w:cs="Times New Roman"/>
          <w:kern w:val="2"/>
          <w:sz w:val="21"/>
          <w:szCs w:val="21"/>
        </w:rPr>
        <w:t>实现</w:t>
      </w:r>
      <w:r>
        <w:rPr>
          <w:rFonts w:hint="eastAsia" w:ascii="宋体" w:hAnsi="宋体" w:cs="Times New Roman"/>
          <w:kern w:val="2"/>
          <w:sz w:val="21"/>
          <w:szCs w:val="21"/>
          <w:lang w:val="en-US" w:eastAsia="zh-CN"/>
        </w:rPr>
        <w:t>碳</w:t>
      </w:r>
      <w:r>
        <w:rPr>
          <w:rFonts w:hint="eastAsia" w:ascii="宋体" w:hAnsi="宋体" w:cs="Times New Roman"/>
          <w:kern w:val="2"/>
          <w:sz w:val="21"/>
          <w:szCs w:val="21"/>
        </w:rPr>
        <w:t>、</w:t>
      </w:r>
      <w:r>
        <w:rPr>
          <w:rFonts w:hint="eastAsia" w:ascii="宋体" w:hAnsi="宋体" w:cs="Times New Roman"/>
          <w:kern w:val="2"/>
          <w:sz w:val="21"/>
          <w:szCs w:val="21"/>
          <w:lang w:val="en-US" w:eastAsia="zh-CN"/>
        </w:rPr>
        <w:t>硫同时</w:t>
      </w:r>
      <w:r>
        <w:rPr>
          <w:rFonts w:hint="eastAsia" w:ascii="宋体" w:hAnsi="宋体" w:cs="Times New Roman"/>
          <w:kern w:val="2"/>
          <w:sz w:val="21"/>
          <w:szCs w:val="21"/>
        </w:rPr>
        <w:t>测定，更新了重复性和再现性的数值，对贸易结算和指导生产具有重要意义</w:t>
      </w:r>
      <w:r>
        <w:rPr>
          <w:rFonts w:hint="eastAsia" w:cs="Times New Roman"/>
          <w:kern w:val="2"/>
          <w:sz w:val="21"/>
          <w:szCs w:val="21"/>
        </w:rPr>
        <w:t>。本标准在制定过程中，调研了国内多家企业，标准技术先进，具有充分的可操作性、适用性，综合水平达到了国内先进水平，完全能够满足国内外用户、市场的需求。本标准为</w:t>
      </w:r>
      <w:r>
        <w:rPr>
          <w:rFonts w:hint="eastAsia" w:cs="Times New Roman"/>
          <w:kern w:val="2"/>
          <w:sz w:val="21"/>
          <w:szCs w:val="21"/>
          <w:lang w:val="en-US" w:eastAsia="zh-CN"/>
        </w:rPr>
        <w:t>金属钴</w:t>
      </w:r>
      <w:r>
        <w:rPr>
          <w:rFonts w:hint="eastAsia" w:cs="Times New Roman"/>
          <w:kern w:val="2"/>
          <w:sz w:val="21"/>
          <w:szCs w:val="21"/>
        </w:rPr>
        <w:t>中</w:t>
      </w:r>
      <w:r>
        <w:rPr>
          <w:rFonts w:hint="eastAsia" w:cs="Times New Roman"/>
          <w:kern w:val="2"/>
          <w:sz w:val="21"/>
          <w:szCs w:val="21"/>
          <w:lang w:val="en-US" w:eastAsia="zh-CN"/>
        </w:rPr>
        <w:t>碳和硫</w:t>
      </w:r>
      <w:r>
        <w:rPr>
          <w:rFonts w:hint="eastAsia" w:cs="Times New Roman"/>
          <w:kern w:val="2"/>
          <w:sz w:val="21"/>
          <w:szCs w:val="21"/>
        </w:rPr>
        <w:t>含量的</w:t>
      </w:r>
      <w:r>
        <w:rPr>
          <w:rFonts w:hint="eastAsia" w:cs="Times New Roman"/>
          <w:kern w:val="2"/>
          <w:sz w:val="21"/>
          <w:szCs w:val="21"/>
          <w:lang w:val="en-US" w:eastAsia="zh-CN"/>
        </w:rPr>
        <w:t>同时</w:t>
      </w:r>
      <w:r>
        <w:rPr>
          <w:rFonts w:hint="eastAsia" w:cs="Times New Roman"/>
          <w:kern w:val="2"/>
          <w:sz w:val="21"/>
          <w:szCs w:val="21"/>
        </w:rPr>
        <w:t>测定提供依据，有利于企业</w:t>
      </w:r>
      <w:r>
        <w:rPr>
          <w:rFonts w:hint="eastAsia" w:cs="Times New Roman"/>
          <w:kern w:val="2"/>
          <w:sz w:val="21"/>
          <w:szCs w:val="21"/>
          <w:lang w:val="en-US" w:eastAsia="zh-CN"/>
        </w:rPr>
        <w:t>精准把控金属钴原料质量，提升产品合格率与国际市场竞争力。</w:t>
      </w:r>
    </w:p>
    <w:p w14:paraId="4F579A8D">
      <w:pPr>
        <w:spacing w:line="240" w:lineRule="auto"/>
        <w:ind w:firstLine="420" w:firstLineChars="200"/>
        <w:rPr>
          <w:rFonts w:hint="eastAsia" w:cs="Times New Roman"/>
          <w:kern w:val="2"/>
          <w:sz w:val="21"/>
          <w:szCs w:val="21"/>
        </w:rPr>
      </w:pPr>
      <w:r>
        <w:rPr>
          <w:rFonts w:hint="eastAsia" w:cs="Times New Roman"/>
          <w:kern w:val="2"/>
          <w:sz w:val="21"/>
          <w:szCs w:val="21"/>
        </w:rPr>
        <w:t>本标准作为行业基础性标准，起到了规范、统一方法，指导生产、科研、贸易的作用，被广泛用于生产、科研单位的生产、研究和经贸单位的贸易质量检验和仲裁。本标准有效解决了贸易往来之间的质量异议和技术交流，保证了量值的正常传递，并被众多单位列为实验室的认可项目和处理质量异议、仲裁分析的首选方法。</w:t>
      </w:r>
    </w:p>
    <w:p w14:paraId="45312325">
      <w:pPr>
        <w:widowControl/>
        <w:autoSpaceDE w:val="0"/>
        <w:autoSpaceDN w:val="0"/>
        <w:spacing w:line="240" w:lineRule="auto"/>
        <w:ind w:firstLine="420" w:firstLineChars="200"/>
        <w:rPr>
          <w:rFonts w:cs="Times New Roman"/>
          <w:kern w:val="2"/>
          <w:sz w:val="21"/>
          <w:szCs w:val="21"/>
        </w:rPr>
      </w:pPr>
      <w:r>
        <w:rPr>
          <w:rFonts w:hint="eastAsia" w:cs="Times New Roman"/>
          <w:kern w:val="2"/>
          <w:sz w:val="21"/>
          <w:szCs w:val="21"/>
        </w:rPr>
        <w:t>本标准注重环保性和节能减排，为促进国际经贸往来和国民经济可持续发展提供了强有力的技术支持。我国涉</w:t>
      </w:r>
      <w:r>
        <w:rPr>
          <w:rFonts w:hint="eastAsia" w:cs="Times New Roman"/>
          <w:kern w:val="2"/>
          <w:sz w:val="21"/>
          <w:szCs w:val="21"/>
          <w:lang w:val="en-US" w:eastAsia="zh-CN"/>
        </w:rPr>
        <w:t>金属钴</w:t>
      </w:r>
      <w:r>
        <w:rPr>
          <w:rFonts w:hint="eastAsia" w:cs="Times New Roman"/>
          <w:kern w:val="2"/>
          <w:sz w:val="21"/>
          <w:szCs w:val="21"/>
        </w:rPr>
        <w:t>生产、加工、科研和贸易的企事业和研究单位上百家，涉及到的间接经济效益高达数亿元。</w:t>
      </w:r>
      <w:r>
        <w:rPr>
          <w:rFonts w:cs="Times New Roman"/>
          <w:kern w:val="2"/>
          <w:sz w:val="21"/>
          <w:szCs w:val="21"/>
        </w:rPr>
        <w:t>验证单位一致认为：《</w:t>
      </w:r>
      <w:r>
        <w:rPr>
          <w:rFonts w:hint="eastAsia" w:cs="Times New Roman"/>
          <w:kern w:val="2"/>
          <w:sz w:val="21"/>
          <w:szCs w:val="21"/>
          <w:lang w:val="en-US" w:eastAsia="zh-CN"/>
        </w:rPr>
        <w:t>钴</w:t>
      </w:r>
      <w:r>
        <w:rPr>
          <w:rFonts w:cs="Times New Roman"/>
          <w:kern w:val="2"/>
          <w:sz w:val="21"/>
          <w:szCs w:val="21"/>
        </w:rPr>
        <w:t>化学分析方法》系列标准的编写符合GB/T 1.1-2020《标准化工作导则》的编制要求。该标准技术先进、可操作性强，结构合理、文字简练、条理清晰，达到了国内先进水平。</w:t>
      </w:r>
    </w:p>
    <w:p w14:paraId="3D8780AB">
      <w:pPr>
        <w:pStyle w:val="5"/>
        <w:spacing w:line="240" w:lineRule="auto"/>
        <w:rPr>
          <w:rFonts w:hint="eastAsia" w:eastAsia="黑体" w:cs="Times New Roman"/>
          <w:sz w:val="28"/>
          <w:szCs w:val="28"/>
        </w:rPr>
      </w:pPr>
      <w:r>
        <w:rPr>
          <w:rFonts w:hint="eastAsia" w:eastAsia="黑体" w:cs="Times New Roman"/>
          <w:sz w:val="28"/>
          <w:szCs w:val="28"/>
        </w:rPr>
        <w:t>四、</w:t>
      </w:r>
      <w:bookmarkStart w:id="10" w:name="_Hlk197355524"/>
      <w:r>
        <w:rPr>
          <w:rFonts w:hint="eastAsia" w:eastAsia="黑体" w:cs="Times New Roman"/>
          <w:sz w:val="28"/>
          <w:szCs w:val="28"/>
        </w:rPr>
        <w:t>与国际、国外同类标准对比情况</w:t>
      </w:r>
    </w:p>
    <w:p w14:paraId="533A3C48">
      <w:pPr>
        <w:spacing w:line="312" w:lineRule="auto"/>
        <w:ind w:firstLine="420" w:firstLineChars="200"/>
        <w:rPr>
          <w:rFonts w:hint="eastAsia" w:cs="Times New Roman"/>
          <w:kern w:val="2"/>
          <w:sz w:val="21"/>
          <w:szCs w:val="21"/>
        </w:rPr>
      </w:pPr>
      <w:r>
        <w:rPr>
          <w:rFonts w:hint="eastAsia" w:cs="Times New Roman"/>
          <w:kern w:val="2"/>
          <w:sz w:val="21"/>
          <w:szCs w:val="21"/>
        </w:rPr>
        <w:t>无。</w:t>
      </w:r>
    </w:p>
    <w:bookmarkEnd w:id="10"/>
    <w:p w14:paraId="5F318C54">
      <w:pPr>
        <w:pStyle w:val="5"/>
        <w:spacing w:line="240" w:lineRule="auto"/>
        <w:rPr>
          <w:rFonts w:hint="eastAsia" w:eastAsia="黑体" w:cs="Times New Roman"/>
          <w:sz w:val="28"/>
          <w:szCs w:val="28"/>
        </w:rPr>
      </w:pPr>
      <w:r>
        <w:rPr>
          <w:rFonts w:hint="eastAsia" w:eastAsia="黑体" w:cs="Times New Roman"/>
          <w:sz w:val="28"/>
          <w:szCs w:val="28"/>
        </w:rPr>
        <w:t>五、采用国际标准和国外先进标准的情况</w:t>
      </w:r>
    </w:p>
    <w:p w14:paraId="04957726">
      <w:pPr>
        <w:spacing w:line="312" w:lineRule="auto"/>
        <w:ind w:firstLine="420" w:firstLineChars="200"/>
        <w:rPr>
          <w:rFonts w:cs="Times New Roman"/>
          <w:kern w:val="2"/>
          <w:sz w:val="21"/>
          <w:szCs w:val="21"/>
        </w:rPr>
      </w:pPr>
      <w:r>
        <w:rPr>
          <w:rFonts w:hint="eastAsia" w:cs="Times New Roman"/>
          <w:kern w:val="2"/>
          <w:sz w:val="21"/>
          <w:szCs w:val="21"/>
        </w:rPr>
        <w:t>无。</w:t>
      </w:r>
    </w:p>
    <w:p w14:paraId="302EE92E">
      <w:pPr>
        <w:keepNext/>
        <w:keepLines/>
        <w:spacing w:before="10" w:after="10" w:line="240" w:lineRule="auto"/>
        <w:outlineLvl w:val="1"/>
        <w:rPr>
          <w:rFonts w:eastAsia="黑体" w:cs="Times New Roman"/>
          <w:b/>
          <w:sz w:val="28"/>
          <w:szCs w:val="28"/>
        </w:rPr>
      </w:pPr>
      <w:r>
        <w:rPr>
          <w:rFonts w:hint="eastAsia" w:eastAsia="黑体" w:cs="Times New Roman"/>
          <w:b/>
          <w:sz w:val="28"/>
          <w:szCs w:val="28"/>
        </w:rPr>
        <w:t>六、与现行法律、法规、强制性国家标准及相关标准的关系</w:t>
      </w:r>
    </w:p>
    <w:p w14:paraId="3F1F61DD">
      <w:pPr>
        <w:ind w:firstLine="420" w:firstLineChars="200"/>
        <w:rPr>
          <w:rFonts w:ascii="宋体" w:hAnsi="宋体" w:cs="Times New Roman"/>
          <w:kern w:val="2"/>
          <w:sz w:val="21"/>
          <w:szCs w:val="21"/>
        </w:rPr>
      </w:pPr>
      <w:r>
        <w:rPr>
          <w:rFonts w:hint="eastAsia" w:ascii="宋体" w:hAnsi="宋体" w:cs="Times New Roman"/>
          <w:kern w:val="2"/>
          <w:sz w:val="21"/>
          <w:szCs w:val="21"/>
        </w:rPr>
        <w:t>本标准完全满足现行法律、法规等的要求，标准格式规范。</w:t>
      </w:r>
    </w:p>
    <w:p w14:paraId="75A17F8F">
      <w:pPr>
        <w:keepNext/>
        <w:keepLines/>
        <w:spacing w:before="10" w:after="10" w:line="240" w:lineRule="auto"/>
        <w:outlineLvl w:val="1"/>
        <w:rPr>
          <w:rFonts w:eastAsia="黑体" w:cs="Times New Roman"/>
          <w:b/>
          <w:sz w:val="28"/>
          <w:szCs w:val="28"/>
        </w:rPr>
      </w:pPr>
      <w:r>
        <w:rPr>
          <w:rFonts w:hint="eastAsia" w:eastAsia="黑体" w:cs="Times New Roman"/>
          <w:b/>
          <w:sz w:val="28"/>
          <w:szCs w:val="28"/>
        </w:rPr>
        <w:t>七、重大分歧意见的处理和依据</w:t>
      </w:r>
    </w:p>
    <w:p w14:paraId="1030E402">
      <w:pPr>
        <w:spacing w:line="240" w:lineRule="auto"/>
        <w:ind w:firstLine="420" w:firstLineChars="200"/>
        <w:rPr>
          <w:rFonts w:cs="Times New Roman"/>
          <w:kern w:val="2"/>
          <w:sz w:val="21"/>
          <w:szCs w:val="21"/>
        </w:rPr>
      </w:pPr>
      <w:r>
        <w:rPr>
          <w:rFonts w:hint="eastAsia" w:cs="Times New Roman"/>
          <w:kern w:val="2"/>
          <w:sz w:val="21"/>
          <w:szCs w:val="21"/>
        </w:rPr>
        <w:t>无。</w:t>
      </w:r>
    </w:p>
    <w:p w14:paraId="0714D837">
      <w:pPr>
        <w:keepNext/>
        <w:keepLines/>
        <w:spacing w:line="240" w:lineRule="auto"/>
        <w:outlineLvl w:val="1"/>
        <w:rPr>
          <w:rFonts w:hint="eastAsia" w:eastAsia="黑体" w:cs="Times New Roman"/>
          <w:b/>
          <w:sz w:val="28"/>
          <w:szCs w:val="28"/>
        </w:rPr>
      </w:pPr>
      <w:r>
        <w:rPr>
          <w:rFonts w:hint="eastAsia" w:eastAsia="黑体" w:cs="Times New Roman"/>
          <w:b/>
          <w:sz w:val="28"/>
          <w:szCs w:val="28"/>
        </w:rPr>
        <w:t>八、标准中涉及专利的情况</w:t>
      </w:r>
    </w:p>
    <w:p w14:paraId="5559258D">
      <w:pPr>
        <w:spacing w:line="240" w:lineRule="auto"/>
        <w:ind w:firstLine="420" w:firstLineChars="200"/>
        <w:rPr>
          <w:rFonts w:hint="eastAsia" w:cs="Times New Roman"/>
          <w:kern w:val="2"/>
          <w:sz w:val="21"/>
          <w:szCs w:val="21"/>
        </w:rPr>
      </w:pPr>
      <w:r>
        <w:rPr>
          <w:rFonts w:hint="eastAsia" w:cs="Times New Roman"/>
          <w:kern w:val="2"/>
          <w:sz w:val="21"/>
          <w:szCs w:val="21"/>
        </w:rPr>
        <w:t>本标准不涉及专利和知识产权问题。</w:t>
      </w:r>
    </w:p>
    <w:p w14:paraId="0FECA26A">
      <w:pPr>
        <w:keepNext/>
        <w:keepLines/>
        <w:spacing w:before="10" w:after="10" w:line="240" w:lineRule="auto"/>
        <w:outlineLvl w:val="1"/>
        <w:rPr>
          <w:rFonts w:eastAsia="黑体" w:cs="Times New Roman"/>
          <w:b/>
          <w:sz w:val="28"/>
          <w:szCs w:val="28"/>
        </w:rPr>
      </w:pPr>
      <w:r>
        <w:rPr>
          <w:rFonts w:hint="eastAsia" w:eastAsia="黑体" w:cs="Times New Roman"/>
          <w:b/>
          <w:sz w:val="28"/>
          <w:szCs w:val="28"/>
        </w:rPr>
        <w:t>九、标准作为强制性或推荐性国家（或行业）标准的建议</w:t>
      </w:r>
    </w:p>
    <w:p w14:paraId="41579630">
      <w:pPr>
        <w:widowControl/>
        <w:autoSpaceDE w:val="0"/>
        <w:autoSpaceDN w:val="0"/>
        <w:spacing w:line="240" w:lineRule="auto"/>
        <w:ind w:firstLine="420" w:firstLineChars="200"/>
        <w:rPr>
          <w:rFonts w:ascii="宋体" w:hAnsi="宋体" w:cs="Times New Roman"/>
          <w:sz w:val="21"/>
          <w:szCs w:val="21"/>
        </w:rPr>
      </w:pPr>
      <w:r>
        <w:rPr>
          <w:rFonts w:hint="eastAsia" w:cs="Times New Roman"/>
          <w:kern w:val="2"/>
          <w:sz w:val="21"/>
          <w:szCs w:val="21"/>
        </w:rPr>
        <w:t>建议该标准作为推荐性</w:t>
      </w:r>
      <w:r>
        <w:rPr>
          <w:rFonts w:hint="eastAsia" w:cs="Times New Roman"/>
          <w:kern w:val="2"/>
          <w:sz w:val="21"/>
          <w:szCs w:val="21"/>
          <w:lang w:val="en-US" w:eastAsia="zh-CN"/>
        </w:rPr>
        <w:t>行业</w:t>
      </w:r>
      <w:r>
        <w:rPr>
          <w:rFonts w:hint="eastAsia" w:cs="Times New Roman"/>
          <w:kern w:val="2"/>
          <w:sz w:val="21"/>
          <w:szCs w:val="21"/>
        </w:rPr>
        <w:t>标准，发布六个月后实施。</w:t>
      </w:r>
      <w:r>
        <w:rPr>
          <w:rFonts w:hint="eastAsia" w:ascii="宋体" w:hAnsi="宋体" w:cs="宋体"/>
          <w:sz w:val="21"/>
          <w:szCs w:val="20"/>
        </w:rPr>
        <w:t>本标准实施同时，废止</w:t>
      </w:r>
      <w:r>
        <w:rPr>
          <w:rFonts w:hint="eastAsia" w:ascii="宋体" w:hAnsi="宋体" w:cs="Times New Roman"/>
          <w:sz w:val="21"/>
          <w:szCs w:val="21"/>
        </w:rPr>
        <w:t>YS/T 281.13-2011，YS/T 281.14-2011。</w:t>
      </w:r>
    </w:p>
    <w:p w14:paraId="0B497DDF">
      <w:pPr>
        <w:spacing w:line="312" w:lineRule="auto"/>
        <w:ind w:firstLine="420" w:firstLineChars="200"/>
        <w:rPr>
          <w:rFonts w:cs="Times New Roman"/>
          <w:kern w:val="2"/>
          <w:sz w:val="21"/>
          <w:szCs w:val="21"/>
        </w:rPr>
      </w:pPr>
      <w:r>
        <w:rPr>
          <w:rFonts w:hint="eastAsia" w:cs="Times New Roman"/>
          <w:kern w:val="2"/>
          <w:sz w:val="21"/>
          <w:szCs w:val="21"/>
        </w:rPr>
        <w:t>建议加大力度对此标准进行宣贯和培训，将此标准推广给相关企业，以扩大此标准在相关机构中的使用。</w:t>
      </w:r>
    </w:p>
    <w:p w14:paraId="539EA326">
      <w:pPr>
        <w:keepNext/>
        <w:keepLines/>
        <w:spacing w:before="10" w:after="10" w:line="240" w:lineRule="auto"/>
        <w:outlineLvl w:val="1"/>
        <w:rPr>
          <w:rFonts w:eastAsia="黑体" w:cs="Times New Roman"/>
          <w:b/>
          <w:sz w:val="28"/>
          <w:szCs w:val="28"/>
        </w:rPr>
      </w:pPr>
      <w:r>
        <w:rPr>
          <w:rFonts w:hint="eastAsia" w:eastAsia="黑体" w:cs="Times New Roman"/>
          <w:b/>
          <w:sz w:val="28"/>
          <w:szCs w:val="28"/>
        </w:rPr>
        <w:t>十、其他应予说明的事项</w:t>
      </w:r>
    </w:p>
    <w:p w14:paraId="55AF6577">
      <w:pPr>
        <w:spacing w:line="240" w:lineRule="auto"/>
        <w:ind w:firstLine="420" w:firstLineChars="200"/>
        <w:rPr>
          <w:rFonts w:cs="Times New Roman"/>
          <w:sz w:val="21"/>
          <w:szCs w:val="21"/>
        </w:rPr>
      </w:pPr>
      <w:r>
        <w:rPr>
          <w:rFonts w:hint="eastAsia" w:cs="Times New Roman"/>
          <w:sz w:val="21"/>
          <w:szCs w:val="21"/>
        </w:rPr>
        <w:t>无。</w:t>
      </w:r>
    </w:p>
    <w:p w14:paraId="6623244F">
      <w:pPr>
        <w:widowControl/>
        <w:autoSpaceDE w:val="0"/>
        <w:autoSpaceDN w:val="0"/>
        <w:spacing w:line="240" w:lineRule="auto"/>
        <w:jc w:val="right"/>
        <w:rPr>
          <w:rFonts w:cs="Times New Roman"/>
        </w:rPr>
      </w:pPr>
      <w:r>
        <w:rPr>
          <w:rFonts w:cs="Times New Roman"/>
        </w:rPr>
        <w:t>编制组</w:t>
      </w:r>
    </w:p>
    <w:p w14:paraId="6566557D">
      <w:pPr>
        <w:widowControl/>
        <w:autoSpaceDE w:val="0"/>
        <w:autoSpaceDN w:val="0"/>
        <w:spacing w:line="240" w:lineRule="auto"/>
        <w:jc w:val="right"/>
        <w:rPr>
          <w:rFonts w:cs="Times New Roman"/>
        </w:rPr>
      </w:pPr>
      <w:r>
        <w:rPr>
          <w:rFonts w:cs="Times New Roman"/>
        </w:rPr>
        <w:t>202</w:t>
      </w:r>
      <w:r>
        <w:rPr>
          <w:rFonts w:hint="eastAsia" w:cs="Times New Roman"/>
          <w:lang w:val="en-US" w:eastAsia="zh-CN"/>
        </w:rPr>
        <w:t>6</w:t>
      </w:r>
      <w:r>
        <w:rPr>
          <w:rFonts w:cs="Times New Roman"/>
        </w:rPr>
        <w:t>年</w:t>
      </w:r>
      <w:r>
        <w:rPr>
          <w:rFonts w:hint="eastAsia" w:cs="Times New Roman"/>
          <w:lang w:val="en-US" w:eastAsia="zh-CN"/>
        </w:rPr>
        <w:t>8</w:t>
      </w:r>
      <w:r>
        <w:rPr>
          <w:rFonts w:cs="Times New Roman"/>
        </w:rPr>
        <w:t>月</w:t>
      </w:r>
    </w:p>
    <w:p w14:paraId="7B098C12"/>
    <w:p w14:paraId="12712235"/>
    <w:p w14:paraId="36BE9169">
      <w:bookmarkStart w:id="11" w:name="_GoBack"/>
      <w:bookmarkEnd w:id="11"/>
    </w:p>
    <w:sectPr>
      <w:footerReference r:id="rId5" w:type="default"/>
      <w:pgSz w:w="11906" w:h="16838"/>
      <w:pgMar w:top="1418" w:right="1701" w:bottom="1418" w:left="1701" w:header="851" w:footer="851"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微软雅黑">
    <w:panose1 w:val="020B0503020204020204"/>
    <w:charset w:val="86"/>
    <w:family w:val="auto"/>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cs="Times New Roman"/>
        <w:sz w:val="21"/>
        <w:szCs w:val="21"/>
      </w:rPr>
      <w:id w:val="115417413"/>
      <w:docPartObj>
        <w:docPartGallery w:val="autotext"/>
      </w:docPartObj>
    </w:sdtPr>
    <w:sdtEndPr>
      <w:rPr>
        <w:rFonts w:cs="Times New Roman"/>
        <w:sz w:val="21"/>
        <w:szCs w:val="21"/>
      </w:rPr>
    </w:sdtEndPr>
    <w:sdtContent>
      <w:sdt>
        <w:sdtPr>
          <w:rPr>
            <w:rFonts w:cs="Times New Roman"/>
            <w:sz w:val="21"/>
            <w:szCs w:val="21"/>
          </w:rPr>
          <w:id w:val="-1705238520"/>
          <w:docPartObj>
            <w:docPartGallery w:val="autotext"/>
          </w:docPartObj>
        </w:sdtPr>
        <w:sdtEndPr>
          <w:rPr>
            <w:rFonts w:cs="Times New Roman"/>
            <w:sz w:val="21"/>
            <w:szCs w:val="21"/>
          </w:rPr>
        </w:sdtEndPr>
        <w:sdtContent>
          <w:p w14:paraId="2CDC8F14">
            <w:pPr>
              <w:spacing w:line="240" w:lineRule="auto"/>
              <w:jc w:val="center"/>
              <w:rPr>
                <w:rFonts w:cs="Times New Roman"/>
                <w:sz w:val="21"/>
                <w:szCs w:val="21"/>
              </w:rPr>
            </w:pPr>
            <w:r>
              <w:rPr>
                <w:rFonts w:cs="Times New Roman"/>
                <w:sz w:val="21"/>
                <w:szCs w:val="21"/>
              </w:rPr>
              <w:t>第</w:t>
            </w:r>
            <w:r>
              <w:rPr>
                <w:rFonts w:cs="Times New Roman"/>
                <w:sz w:val="21"/>
                <w:szCs w:val="21"/>
                <w:lang w:val="zh-CN"/>
              </w:rPr>
              <w:t xml:space="preserve"> </w:t>
            </w:r>
            <w:r>
              <w:rPr>
                <w:rFonts w:cs="Times New Roman"/>
                <w:sz w:val="21"/>
                <w:szCs w:val="21"/>
              </w:rPr>
              <w:fldChar w:fldCharType="begin"/>
            </w:r>
            <w:r>
              <w:rPr>
                <w:rFonts w:cs="Times New Roman"/>
                <w:sz w:val="21"/>
                <w:szCs w:val="21"/>
              </w:rPr>
              <w:instrText xml:space="preserve">PAGE</w:instrText>
            </w:r>
            <w:r>
              <w:rPr>
                <w:rFonts w:cs="Times New Roman"/>
                <w:sz w:val="21"/>
                <w:szCs w:val="21"/>
              </w:rPr>
              <w:fldChar w:fldCharType="separate"/>
            </w:r>
            <w:r>
              <w:rPr>
                <w:rFonts w:cs="Times New Roman"/>
                <w:sz w:val="21"/>
                <w:szCs w:val="21"/>
                <w:lang w:val="zh-CN"/>
              </w:rPr>
              <w:t>2</w:t>
            </w:r>
            <w:r>
              <w:rPr>
                <w:rFonts w:cs="Times New Roman"/>
                <w:sz w:val="21"/>
                <w:szCs w:val="21"/>
              </w:rPr>
              <w:fldChar w:fldCharType="end"/>
            </w:r>
            <w:r>
              <w:rPr>
                <w:rFonts w:cs="Times New Roman"/>
                <w:sz w:val="21"/>
                <w:szCs w:val="21"/>
                <w:lang w:val="zh-CN"/>
              </w:rPr>
              <w:t xml:space="preserve"> 页 / 共 </w:t>
            </w:r>
            <w:r>
              <w:rPr>
                <w:rFonts w:cs="Times New Roman"/>
                <w:sz w:val="21"/>
                <w:szCs w:val="21"/>
              </w:rPr>
              <w:fldChar w:fldCharType="begin"/>
            </w:r>
            <w:r>
              <w:rPr>
                <w:rFonts w:cs="Times New Roman"/>
                <w:sz w:val="21"/>
                <w:szCs w:val="21"/>
              </w:rPr>
              <w:instrText xml:space="preserve">NUMPAGES</w:instrText>
            </w:r>
            <w:r>
              <w:rPr>
                <w:rFonts w:cs="Times New Roman"/>
                <w:sz w:val="21"/>
                <w:szCs w:val="21"/>
              </w:rPr>
              <w:fldChar w:fldCharType="separate"/>
            </w:r>
            <w:r>
              <w:rPr>
                <w:rFonts w:cs="Times New Roman"/>
                <w:sz w:val="21"/>
                <w:szCs w:val="21"/>
                <w:lang w:val="zh-CN"/>
              </w:rPr>
              <w:t>2</w:t>
            </w:r>
            <w:r>
              <w:rPr>
                <w:rFonts w:cs="Times New Roman"/>
                <w:sz w:val="21"/>
                <w:szCs w:val="21"/>
              </w:rPr>
              <w:fldChar w:fldCharType="end"/>
            </w:r>
            <w:r>
              <w:rPr>
                <w:rFonts w:cs="Times New Roman"/>
                <w:sz w:val="21"/>
                <w:szCs w:val="21"/>
              </w:rPr>
              <w:t xml:space="preserve"> 页</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A26C27"/>
    <w:multiLevelType w:val="singleLevel"/>
    <w:tmpl w:val="9EA26C27"/>
    <w:lvl w:ilvl="0" w:tentative="0">
      <w:start w:val="2"/>
      <w:numFmt w:val="chineseCounting"/>
      <w:pStyle w:val="314"/>
      <w:suff w:val="nothing"/>
      <w:lvlText w:val="%1、"/>
      <w:lvlJc w:val="left"/>
      <w:rPr>
        <w:rFonts w:hint="eastAsia" w:cs="Times New Roman"/>
      </w:rPr>
    </w:lvl>
  </w:abstractNum>
  <w:abstractNum w:abstractNumId="1">
    <w:nsid w:val="0961104D"/>
    <w:multiLevelType w:val="multilevel"/>
    <w:tmpl w:val="0961104D"/>
    <w:lvl w:ilvl="0" w:tentative="0">
      <w:start w:val="1"/>
      <w:numFmt w:val="decimal"/>
      <w:pStyle w:val="295"/>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2">
    <w:nsid w:val="1677134F"/>
    <w:multiLevelType w:val="multilevel"/>
    <w:tmpl w:val="1677134F"/>
    <w:lvl w:ilvl="0" w:tentative="0">
      <w:start w:val="1"/>
      <w:numFmt w:val="decimal"/>
      <w:pStyle w:val="280"/>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3">
    <w:nsid w:val="20D9505F"/>
    <w:multiLevelType w:val="multilevel"/>
    <w:tmpl w:val="20D9505F"/>
    <w:lvl w:ilvl="0" w:tentative="0">
      <w:start w:val="1"/>
      <w:numFmt w:val="decimal"/>
      <w:pStyle w:val="273"/>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333"/>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4">
    <w:nsid w:val="21392EA8"/>
    <w:multiLevelType w:val="multilevel"/>
    <w:tmpl w:val="21392EA8"/>
    <w:lvl w:ilvl="0" w:tentative="0">
      <w:start w:val="1"/>
      <w:numFmt w:val="decimal"/>
      <w:pStyle w:val="296"/>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298"/>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pStyle w:val="304"/>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5">
    <w:nsid w:val="2EDB493A"/>
    <w:multiLevelType w:val="multilevel"/>
    <w:tmpl w:val="2EDB493A"/>
    <w:lvl w:ilvl="0" w:tentative="0">
      <w:start w:val="1"/>
      <w:numFmt w:val="decimal"/>
      <w:pStyle w:val="292"/>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6">
    <w:nsid w:val="34B368A0"/>
    <w:multiLevelType w:val="multilevel"/>
    <w:tmpl w:val="34B368A0"/>
    <w:lvl w:ilvl="0" w:tentative="0">
      <w:start w:val="1"/>
      <w:numFmt w:val="decimal"/>
      <w:pStyle w:val="274"/>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7">
    <w:nsid w:val="34CB1C07"/>
    <w:multiLevelType w:val="multilevel"/>
    <w:tmpl w:val="34CB1C07"/>
    <w:lvl w:ilvl="0" w:tentative="0">
      <w:start w:val="1"/>
      <w:numFmt w:val="decimal"/>
      <w:pStyle w:val="307"/>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8">
    <w:nsid w:val="3BD10B6A"/>
    <w:multiLevelType w:val="multilevel"/>
    <w:tmpl w:val="3BD10B6A"/>
    <w:lvl w:ilvl="0" w:tentative="0">
      <w:start w:val="1"/>
      <w:numFmt w:val="decimal"/>
      <w:pStyle w:val="305"/>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300"/>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pStyle w:val="312"/>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9">
    <w:nsid w:val="55FC5988"/>
    <w:multiLevelType w:val="multilevel"/>
    <w:tmpl w:val="55FC5988"/>
    <w:lvl w:ilvl="0" w:tentative="0">
      <w:start w:val="1"/>
      <w:numFmt w:val="decimal"/>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342"/>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pStyle w:val="316"/>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pStyle w:val="283"/>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pStyle w:val="313"/>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10">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pStyle w:val="345"/>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1">
    <w:nsid w:val="61246EB3"/>
    <w:multiLevelType w:val="multilevel"/>
    <w:tmpl w:val="61246EB3"/>
    <w:lvl w:ilvl="0" w:tentative="0">
      <w:start w:val="1"/>
      <w:numFmt w:val="decimal"/>
      <w:pStyle w:val="303"/>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335"/>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12">
    <w:nsid w:val="6C414C37"/>
    <w:multiLevelType w:val="multilevel"/>
    <w:tmpl w:val="6C414C37"/>
    <w:lvl w:ilvl="0" w:tentative="0">
      <w:start w:val="1"/>
      <w:numFmt w:val="decimal"/>
      <w:pStyle w:val="285"/>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13">
    <w:nsid w:val="71691726"/>
    <w:multiLevelType w:val="multilevel"/>
    <w:tmpl w:val="71691726"/>
    <w:lvl w:ilvl="0" w:tentative="0">
      <w:start w:val="1"/>
      <w:numFmt w:val="decimal"/>
      <w:pStyle w:val="297"/>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abstractNum w:abstractNumId="14">
    <w:nsid w:val="7CF04E45"/>
    <w:multiLevelType w:val="multilevel"/>
    <w:tmpl w:val="7CF04E45"/>
    <w:lvl w:ilvl="0" w:tentative="0">
      <w:start w:val="1"/>
      <w:numFmt w:val="decimal"/>
      <w:pStyle w:val="278"/>
      <w:suff w:val="space"/>
      <w:lvlText w:val="%1"/>
      <w:lvlJc w:val="left"/>
      <w:pPr>
        <w:ind w:left="0" w:firstLine="0"/>
      </w:pPr>
      <w:rPr>
        <w:rFonts w:hint="default" w:ascii="Times New Roman" w:hAnsi="Times New Roman" w:eastAsia="宋体"/>
        <w:b/>
        <w:i w:val="0"/>
        <w:caps w:val="0"/>
        <w:smallCaps w:val="0"/>
        <w:strike w:val="0"/>
        <w:dstrike w:val="0"/>
        <w:snapToGrid w:val="0"/>
        <w:vanish w:val="0"/>
        <w:kern w:val="0"/>
        <w:sz w:val="24"/>
        <w:vertAlign w:val="baseline"/>
        <w14:cntxtalts w14:val="0"/>
      </w:rPr>
    </w:lvl>
    <w:lvl w:ilvl="1" w:tentative="0">
      <w:start w:val="1"/>
      <w:numFmt w:val="decimal"/>
      <w:suff w:val="space"/>
      <w:lvlText w:val="%1.%2"/>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2" w:tentative="0">
      <w:start w:val="1"/>
      <w:numFmt w:val="decimal"/>
      <w:suff w:val="space"/>
      <w:lvlText w:val="%1.%2.%3"/>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3" w:tentative="0">
      <w:start w:val="1"/>
      <w:numFmt w:val="decimal"/>
      <w:suff w:val="space"/>
      <w:lvlText w:val="%1.%2.%3.%4"/>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4" w:tentative="0">
      <w:start w:val="1"/>
      <w:numFmt w:val="decimal"/>
      <w:suff w:val="space"/>
      <w:lvlText w:val="%1.%2.%3.%4.%5"/>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5" w:tentative="0">
      <w:start w:val="1"/>
      <w:numFmt w:val="decimal"/>
      <w:suff w:val="space"/>
      <w:lvlText w:val="%1.%2.%3.%4.%5.%6"/>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6" w:tentative="0">
      <w:start w:val="1"/>
      <w:numFmt w:val="decimal"/>
      <w:suff w:val="space"/>
      <w:lvlText w:val="%1.%2.%3.%4.%5.%6.%7"/>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7" w:tentative="0">
      <w:start w:val="1"/>
      <w:numFmt w:val="decimal"/>
      <w:suff w:val="space"/>
      <w:lvlText w:val="%1.%2.%3.%4.%5.%6.%7.%8"/>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lvl w:ilvl="8" w:tentative="0">
      <w:start w:val="1"/>
      <w:numFmt w:val="decimal"/>
      <w:suff w:val="space"/>
      <w:lvlText w:val="%1.%2.%3.%4.%5.%6.%7.%8.%9"/>
      <w:lvlJc w:val="left"/>
      <w:pPr>
        <w:ind w:left="0" w:firstLine="0"/>
      </w:pPr>
      <w:rPr>
        <w:rFonts w:hint="default" w:ascii="Times New Roman" w:hAnsi="Times New Roman" w:eastAsia="宋体"/>
        <w:b/>
        <w:i w:val="0"/>
        <w:caps w:val="0"/>
        <w:strike w:val="0"/>
        <w:dstrike w:val="0"/>
        <w:snapToGrid w:val="0"/>
        <w:vanish w:val="0"/>
        <w:kern w:val="0"/>
        <w:sz w:val="24"/>
        <w:vertAlign w:val="baseline"/>
        <w14:cntxtalts w14:val="0"/>
      </w:rPr>
    </w:lvl>
  </w:abstractNum>
  <w:abstractNum w:abstractNumId="15">
    <w:nsid w:val="7F065134"/>
    <w:multiLevelType w:val="multilevel"/>
    <w:tmpl w:val="7F065134"/>
    <w:lvl w:ilvl="0" w:tentative="0">
      <w:start w:val="1"/>
      <w:numFmt w:val="decimal"/>
      <w:pStyle w:val="339"/>
      <w:suff w:val="space"/>
      <w:lvlText w:val="%1"/>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1" w:tentative="0">
      <w:start w:val="1"/>
      <w:numFmt w:val="decimal"/>
      <w:pStyle w:val="275"/>
      <w:suff w:val="space"/>
      <w:lvlText w:val="%1.%2"/>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2" w:tentative="0">
      <w:start w:val="1"/>
      <w:numFmt w:val="decimal"/>
      <w:suff w:val="space"/>
      <w:lvlText w:val="%1.%2.%3"/>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3" w:tentative="0">
      <w:start w:val="1"/>
      <w:numFmt w:val="decimal"/>
      <w:suff w:val="space"/>
      <w:lvlText w:val="%1.%2.%3.%4"/>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4" w:tentative="0">
      <w:start w:val="1"/>
      <w:numFmt w:val="decimal"/>
      <w:suff w:val="space"/>
      <w:lvlText w:val="%1.%2.%3.%4.%5"/>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5" w:tentative="0">
      <w:start w:val="1"/>
      <w:numFmt w:val="decimal"/>
      <w:suff w:val="space"/>
      <w:lvlText w:val="%1.%2.%3.%4.%5.%6"/>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6" w:tentative="0">
      <w:start w:val="1"/>
      <w:numFmt w:val="decimal"/>
      <w:suff w:val="space"/>
      <w:lvlText w:val="%1.%2.%3.%4.%5.%6.%7"/>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7" w:tentative="0">
      <w:start w:val="1"/>
      <w:numFmt w:val="decimal"/>
      <w:suff w:val="space"/>
      <w:lvlText w:val="%1.%2.%3.%4.%5.%6.%7.%8"/>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lvl w:ilvl="8" w:tentative="0">
      <w:start w:val="1"/>
      <w:numFmt w:val="decimal"/>
      <w:suff w:val="space"/>
      <w:lvlText w:val="%1.%2.%3.%4.%5.%6.%7.%8.%9"/>
      <w:lvlJc w:val="left"/>
      <w:pPr>
        <w:ind w:left="0" w:firstLine="0"/>
      </w:pPr>
      <w:rPr>
        <w:rFonts w:ascii="Times New Roman" w:hAnsi="Times New Roman" w:eastAsia="宋体"/>
        <w:b/>
        <w:i w:val="0"/>
        <w:caps w:val="0"/>
        <w:smallCaps w:val="0"/>
        <w:strike w:val="0"/>
        <w:dstrike w:val="0"/>
        <w:snapToGrid/>
        <w:vanish w:val="0"/>
        <w:kern w:val="0"/>
        <w:sz w:val="24"/>
        <w:vertAlign w:val="baseline"/>
        <w14:cntxtalts w14:val="0"/>
      </w:rPr>
    </w:lvl>
  </w:abstractNum>
  <w:num w:numId="1">
    <w:abstractNumId w:val="3"/>
  </w:num>
  <w:num w:numId="2">
    <w:abstractNumId w:val="6"/>
  </w:num>
  <w:num w:numId="3">
    <w:abstractNumId w:val="15"/>
  </w:num>
  <w:num w:numId="4">
    <w:abstractNumId w:val="14"/>
  </w:num>
  <w:num w:numId="5">
    <w:abstractNumId w:val="2"/>
  </w:num>
  <w:num w:numId="6">
    <w:abstractNumId w:val="9"/>
  </w:num>
  <w:num w:numId="7">
    <w:abstractNumId w:val="12"/>
  </w:num>
  <w:num w:numId="8">
    <w:abstractNumId w:val="5"/>
  </w:num>
  <w:num w:numId="9">
    <w:abstractNumId w:val="1"/>
  </w:num>
  <w:num w:numId="10">
    <w:abstractNumId w:val="4"/>
  </w:num>
  <w:num w:numId="11">
    <w:abstractNumId w:val="13"/>
  </w:num>
  <w:num w:numId="12">
    <w:abstractNumId w:val="8"/>
  </w:num>
  <w:num w:numId="13">
    <w:abstractNumId w:val="11"/>
  </w:num>
  <w:num w:numId="14">
    <w:abstractNumId w:val="7"/>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0MTg0YzljMWJiYzUzOTA5NjMzZjkzNTdjZGUwMjAifQ=="/>
  </w:docVars>
  <w:rsids>
    <w:rsidRoot w:val="00C66C34"/>
    <w:rsid w:val="0003586A"/>
    <w:rsid w:val="0005065B"/>
    <w:rsid w:val="000B2962"/>
    <w:rsid w:val="00183BDA"/>
    <w:rsid w:val="001F4308"/>
    <w:rsid w:val="00270DF3"/>
    <w:rsid w:val="002951EA"/>
    <w:rsid w:val="002E5BC7"/>
    <w:rsid w:val="002F21C2"/>
    <w:rsid w:val="00331CB6"/>
    <w:rsid w:val="003433BD"/>
    <w:rsid w:val="00347AD7"/>
    <w:rsid w:val="0038692E"/>
    <w:rsid w:val="00404204"/>
    <w:rsid w:val="00432EC1"/>
    <w:rsid w:val="00460ECA"/>
    <w:rsid w:val="004B536F"/>
    <w:rsid w:val="004E79AB"/>
    <w:rsid w:val="00517152"/>
    <w:rsid w:val="005367EB"/>
    <w:rsid w:val="005700D2"/>
    <w:rsid w:val="005A5417"/>
    <w:rsid w:val="005F6118"/>
    <w:rsid w:val="006206C4"/>
    <w:rsid w:val="00646165"/>
    <w:rsid w:val="00651421"/>
    <w:rsid w:val="0069789C"/>
    <w:rsid w:val="006D3C34"/>
    <w:rsid w:val="006E4A80"/>
    <w:rsid w:val="00783AB7"/>
    <w:rsid w:val="00787AFA"/>
    <w:rsid w:val="007B07CD"/>
    <w:rsid w:val="00807C97"/>
    <w:rsid w:val="008C5978"/>
    <w:rsid w:val="008D2BB4"/>
    <w:rsid w:val="008D3861"/>
    <w:rsid w:val="008F57D7"/>
    <w:rsid w:val="0093378F"/>
    <w:rsid w:val="00941B31"/>
    <w:rsid w:val="00952F7B"/>
    <w:rsid w:val="00994905"/>
    <w:rsid w:val="00997C29"/>
    <w:rsid w:val="009D5329"/>
    <w:rsid w:val="009E49BD"/>
    <w:rsid w:val="00A25092"/>
    <w:rsid w:val="00A27459"/>
    <w:rsid w:val="00A5766D"/>
    <w:rsid w:val="00AA1B15"/>
    <w:rsid w:val="00AB29FC"/>
    <w:rsid w:val="00AB480A"/>
    <w:rsid w:val="00AB486A"/>
    <w:rsid w:val="00AC19AB"/>
    <w:rsid w:val="00AF3AB0"/>
    <w:rsid w:val="00B00031"/>
    <w:rsid w:val="00B076D0"/>
    <w:rsid w:val="00B271B7"/>
    <w:rsid w:val="00B3602F"/>
    <w:rsid w:val="00B805DE"/>
    <w:rsid w:val="00BA79C1"/>
    <w:rsid w:val="00BC01E7"/>
    <w:rsid w:val="00C3668E"/>
    <w:rsid w:val="00C55A12"/>
    <w:rsid w:val="00C60944"/>
    <w:rsid w:val="00C66C34"/>
    <w:rsid w:val="00C81018"/>
    <w:rsid w:val="00C90AE1"/>
    <w:rsid w:val="00CC00AD"/>
    <w:rsid w:val="00CD6179"/>
    <w:rsid w:val="00CE6A80"/>
    <w:rsid w:val="00CF3CED"/>
    <w:rsid w:val="00D6599C"/>
    <w:rsid w:val="00D661E8"/>
    <w:rsid w:val="00D72ED5"/>
    <w:rsid w:val="00D77769"/>
    <w:rsid w:val="00E05235"/>
    <w:rsid w:val="00E132E0"/>
    <w:rsid w:val="00E14EB4"/>
    <w:rsid w:val="00E271B4"/>
    <w:rsid w:val="00E44971"/>
    <w:rsid w:val="00E70FDF"/>
    <w:rsid w:val="00EC3278"/>
    <w:rsid w:val="00EC63BA"/>
    <w:rsid w:val="00EC6FF3"/>
    <w:rsid w:val="00F7274A"/>
    <w:rsid w:val="00FA08CA"/>
    <w:rsid w:val="00FB7A71"/>
    <w:rsid w:val="00FB7F5A"/>
    <w:rsid w:val="00FC6EEA"/>
    <w:rsid w:val="01121891"/>
    <w:rsid w:val="012B5687"/>
    <w:rsid w:val="02B74F8B"/>
    <w:rsid w:val="07240427"/>
    <w:rsid w:val="07DE1DF4"/>
    <w:rsid w:val="088904D8"/>
    <w:rsid w:val="0CA14066"/>
    <w:rsid w:val="0D551AD2"/>
    <w:rsid w:val="0D897928"/>
    <w:rsid w:val="10027266"/>
    <w:rsid w:val="13313DF9"/>
    <w:rsid w:val="15FF1F8C"/>
    <w:rsid w:val="175D5EE1"/>
    <w:rsid w:val="1CED6FE2"/>
    <w:rsid w:val="1D061E52"/>
    <w:rsid w:val="1DD66278"/>
    <w:rsid w:val="208E288A"/>
    <w:rsid w:val="240115C5"/>
    <w:rsid w:val="245327D6"/>
    <w:rsid w:val="258B4B2A"/>
    <w:rsid w:val="25981AB5"/>
    <w:rsid w:val="27337CE7"/>
    <w:rsid w:val="27532138"/>
    <w:rsid w:val="27E30014"/>
    <w:rsid w:val="287C746C"/>
    <w:rsid w:val="28E848A9"/>
    <w:rsid w:val="28EF053A"/>
    <w:rsid w:val="2A842608"/>
    <w:rsid w:val="2B00457D"/>
    <w:rsid w:val="2B795EE5"/>
    <w:rsid w:val="2C533B34"/>
    <w:rsid w:val="31354FD6"/>
    <w:rsid w:val="37636C46"/>
    <w:rsid w:val="389C01B1"/>
    <w:rsid w:val="39333B77"/>
    <w:rsid w:val="39FC4997"/>
    <w:rsid w:val="3CFD7446"/>
    <w:rsid w:val="3EC72255"/>
    <w:rsid w:val="3EE627FA"/>
    <w:rsid w:val="40113242"/>
    <w:rsid w:val="440C3942"/>
    <w:rsid w:val="44D50B67"/>
    <w:rsid w:val="45811C41"/>
    <w:rsid w:val="471022FC"/>
    <w:rsid w:val="4852175F"/>
    <w:rsid w:val="4977462A"/>
    <w:rsid w:val="499210E4"/>
    <w:rsid w:val="49E70BAD"/>
    <w:rsid w:val="4A60328A"/>
    <w:rsid w:val="4A6A4F1F"/>
    <w:rsid w:val="4A8202B7"/>
    <w:rsid w:val="4AF80E68"/>
    <w:rsid w:val="4C9E2987"/>
    <w:rsid w:val="4CEB6A8F"/>
    <w:rsid w:val="4DB5164E"/>
    <w:rsid w:val="4F156424"/>
    <w:rsid w:val="523920F4"/>
    <w:rsid w:val="52F67F77"/>
    <w:rsid w:val="56A87CBD"/>
    <w:rsid w:val="56E85B49"/>
    <w:rsid w:val="58DC16DE"/>
    <w:rsid w:val="59D177A4"/>
    <w:rsid w:val="5BE6588E"/>
    <w:rsid w:val="5DE2046D"/>
    <w:rsid w:val="5F012A08"/>
    <w:rsid w:val="5FD01A5D"/>
    <w:rsid w:val="60C0725B"/>
    <w:rsid w:val="63F44E75"/>
    <w:rsid w:val="65844EA7"/>
    <w:rsid w:val="659E6956"/>
    <w:rsid w:val="66811B16"/>
    <w:rsid w:val="66AB2CEB"/>
    <w:rsid w:val="66DE2AC5"/>
    <w:rsid w:val="675E2746"/>
    <w:rsid w:val="699933EF"/>
    <w:rsid w:val="69C40CB0"/>
    <w:rsid w:val="6C9D1969"/>
    <w:rsid w:val="6D972C1C"/>
    <w:rsid w:val="6DE767C2"/>
    <w:rsid w:val="6E880397"/>
    <w:rsid w:val="6F1C2D8F"/>
    <w:rsid w:val="6F9A75A1"/>
    <w:rsid w:val="70424143"/>
    <w:rsid w:val="70CC2FE5"/>
    <w:rsid w:val="72433E82"/>
    <w:rsid w:val="754B0076"/>
    <w:rsid w:val="756B429F"/>
    <w:rsid w:val="77912837"/>
    <w:rsid w:val="77F57C6E"/>
    <w:rsid w:val="78570929"/>
    <w:rsid w:val="7C01669E"/>
    <w:rsid w:val="7D6E0214"/>
    <w:rsid w:val="7D84175E"/>
    <w:rsid w:val="7EEA6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0" w:semiHidden="0" w:name="Normal Indent"/>
    <w:lsdException w:qFormat="1" w:unhideWhenUsed="0" w:uiPriority="99" w:semiHidden="0" w:name="footnote text"/>
    <w:lsdException w:qFormat="1" w:uiPriority="99"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99" w:semiHidden="0" w:name="line number"/>
    <w:lsdException w:qFormat="1" w:uiPriority="0" w:semiHidden="0" w:name="page number"/>
    <w:lsdException w:qFormat="1" w:unhideWhenUsed="0" w:uiPriority="0"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10" w:semiHidden="0" w:name="Title"/>
    <w:lsdException w:qFormat="1" w:unhideWhenUsed="0" w:uiPriority="99" w:semiHidden="0" w:name="Closing"/>
    <w:lsdException w:qFormat="1" w:unhideWhenUsed="0" w:uiPriority="99"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99" w:semiHidden="0" w:name="E-mail Signature"/>
    <w:lsdException w:qFormat="1"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0"/>
      <w:sz w:val="24"/>
      <w:szCs w:val="24"/>
      <w:lang w:val="en-US" w:eastAsia="zh-CN" w:bidi="ar-SA"/>
    </w:rPr>
  </w:style>
  <w:style w:type="paragraph" w:styleId="3">
    <w:name w:val="heading 1"/>
    <w:next w:val="4"/>
    <w:link w:val="111"/>
    <w:qFormat/>
    <w:uiPriority w:val="9"/>
    <w:pPr>
      <w:keepNext/>
      <w:spacing w:line="360" w:lineRule="auto"/>
      <w:jc w:val="both"/>
      <w:outlineLvl w:val="0"/>
    </w:pPr>
    <w:rPr>
      <w:rFonts w:ascii="Times New Roman" w:hAnsi="Times New Roman" w:eastAsia="宋体" w:cstheme="minorBidi"/>
      <w:b/>
      <w:bCs/>
      <w:kern w:val="0"/>
      <w:sz w:val="24"/>
      <w:szCs w:val="44"/>
      <w:lang w:val="en-US" w:eastAsia="zh-CN" w:bidi="ar-SA"/>
    </w:rPr>
  </w:style>
  <w:style w:type="paragraph" w:styleId="5">
    <w:name w:val="heading 2"/>
    <w:basedOn w:val="3"/>
    <w:next w:val="4"/>
    <w:link w:val="109"/>
    <w:qFormat/>
    <w:uiPriority w:val="9"/>
    <w:pPr>
      <w:outlineLvl w:val="1"/>
    </w:pPr>
    <w:rPr>
      <w:rFonts w:cstheme="majorBidi"/>
      <w:bCs w:val="0"/>
      <w:szCs w:val="32"/>
    </w:rPr>
  </w:style>
  <w:style w:type="paragraph" w:styleId="6">
    <w:name w:val="heading 3"/>
    <w:basedOn w:val="3"/>
    <w:next w:val="4"/>
    <w:link w:val="112"/>
    <w:qFormat/>
    <w:uiPriority w:val="9"/>
    <w:pPr>
      <w:outlineLvl w:val="2"/>
    </w:pPr>
    <w:rPr>
      <w:bCs w:val="0"/>
      <w:szCs w:val="32"/>
    </w:rPr>
  </w:style>
  <w:style w:type="paragraph" w:styleId="7">
    <w:name w:val="heading 4"/>
    <w:basedOn w:val="3"/>
    <w:next w:val="4"/>
    <w:link w:val="113"/>
    <w:qFormat/>
    <w:uiPriority w:val="9"/>
    <w:pPr>
      <w:outlineLvl w:val="3"/>
    </w:pPr>
    <w:rPr>
      <w:rFonts w:cstheme="majorBidi"/>
      <w:bCs w:val="0"/>
      <w:szCs w:val="28"/>
    </w:rPr>
  </w:style>
  <w:style w:type="paragraph" w:styleId="8">
    <w:name w:val="heading 5"/>
    <w:basedOn w:val="3"/>
    <w:next w:val="4"/>
    <w:link w:val="114"/>
    <w:qFormat/>
    <w:uiPriority w:val="9"/>
    <w:pPr>
      <w:outlineLvl w:val="4"/>
    </w:pPr>
    <w:rPr>
      <w:bCs w:val="0"/>
      <w:szCs w:val="28"/>
    </w:rPr>
  </w:style>
  <w:style w:type="paragraph" w:styleId="9">
    <w:name w:val="heading 6"/>
    <w:basedOn w:val="3"/>
    <w:next w:val="4"/>
    <w:link w:val="115"/>
    <w:qFormat/>
    <w:uiPriority w:val="9"/>
    <w:pPr>
      <w:outlineLvl w:val="5"/>
    </w:pPr>
    <w:rPr>
      <w:rFonts w:cstheme="majorBidi"/>
      <w:bCs w:val="0"/>
    </w:rPr>
  </w:style>
  <w:style w:type="paragraph" w:styleId="10">
    <w:name w:val="heading 7"/>
    <w:basedOn w:val="3"/>
    <w:next w:val="4"/>
    <w:link w:val="116"/>
    <w:qFormat/>
    <w:uiPriority w:val="9"/>
    <w:pPr>
      <w:outlineLvl w:val="6"/>
    </w:pPr>
    <w:rPr>
      <w:bCs w:val="0"/>
    </w:rPr>
  </w:style>
  <w:style w:type="paragraph" w:styleId="11">
    <w:name w:val="heading 8"/>
    <w:basedOn w:val="3"/>
    <w:next w:val="4"/>
    <w:link w:val="117"/>
    <w:qFormat/>
    <w:uiPriority w:val="9"/>
    <w:pPr>
      <w:outlineLvl w:val="7"/>
    </w:pPr>
    <w:rPr>
      <w:rFonts w:cstheme="majorBidi"/>
    </w:rPr>
  </w:style>
  <w:style w:type="paragraph" w:styleId="12">
    <w:name w:val="heading 9"/>
    <w:basedOn w:val="3"/>
    <w:next w:val="4"/>
    <w:link w:val="118"/>
    <w:qFormat/>
    <w:uiPriority w:val="9"/>
    <w:pPr>
      <w:outlineLvl w:val="8"/>
    </w:pPr>
    <w:rPr>
      <w:rFonts w:cstheme="majorBidi"/>
      <w:szCs w:val="21"/>
    </w:rPr>
  </w:style>
  <w:style w:type="character" w:default="1" w:styleId="91">
    <w:name w:val="Default Paragraph Font"/>
    <w:unhideWhenUsed/>
    <w:qFormat/>
    <w:uiPriority w:val="1"/>
  </w:style>
  <w:style w:type="table" w:default="1" w:styleId="89">
    <w:name w:val="Normal Table"/>
    <w:semiHidden/>
    <w:unhideWhenUsed/>
    <w:qFormat/>
    <w:uiPriority w:val="99"/>
    <w:tblPr>
      <w:tblCellMar>
        <w:top w:w="0" w:type="dxa"/>
        <w:left w:w="108" w:type="dxa"/>
        <w:bottom w:w="0" w:type="dxa"/>
        <w:right w:w="108" w:type="dxa"/>
      </w:tblCellMar>
    </w:tblPr>
  </w:style>
  <w:style w:type="paragraph" w:styleId="2">
    <w:name w:val="macro"/>
    <w:link w:val="131"/>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jc w:val="left"/>
    </w:pPr>
    <w:rPr>
      <w:rFonts w:ascii="Courier New" w:hAnsi="Courier New" w:eastAsia="宋体" w:cs="Courier New"/>
      <w:kern w:val="2"/>
      <w:sz w:val="24"/>
      <w:szCs w:val="24"/>
      <w:lang w:val="en-US" w:eastAsia="zh-CN" w:bidi="ar-SA"/>
    </w:rPr>
  </w:style>
  <w:style w:type="paragraph" w:customStyle="1" w:styleId="4">
    <w:name w:val="首行缩进"/>
    <w:basedOn w:val="1"/>
    <w:link w:val="110"/>
    <w:qFormat/>
    <w:uiPriority w:val="1"/>
    <w:pPr>
      <w:ind w:firstLine="200" w:firstLineChars="200"/>
    </w:pPr>
  </w:style>
  <w:style w:type="paragraph" w:styleId="13">
    <w:name w:val="List 3"/>
    <w:basedOn w:val="1"/>
    <w:qFormat/>
    <w:uiPriority w:val="99"/>
    <w:pPr>
      <w:spacing w:line="312" w:lineRule="auto"/>
      <w:ind w:left="100" w:leftChars="400" w:hanging="200" w:hangingChars="200"/>
    </w:pPr>
    <w:rPr>
      <w:rFonts w:cs="Times New Roman"/>
      <w:kern w:val="2"/>
    </w:rPr>
  </w:style>
  <w:style w:type="paragraph" w:styleId="14">
    <w:name w:val="toc 7"/>
    <w:basedOn w:val="1"/>
    <w:next w:val="1"/>
    <w:qFormat/>
    <w:uiPriority w:val="0"/>
    <w:pPr>
      <w:spacing w:line="312" w:lineRule="auto"/>
      <w:ind w:left="2520" w:leftChars="1200" w:firstLine="883" w:firstLineChars="200"/>
    </w:pPr>
    <w:rPr>
      <w:rFonts w:cs="Times New Roman"/>
      <w:kern w:val="2"/>
    </w:rPr>
  </w:style>
  <w:style w:type="paragraph" w:styleId="15">
    <w:name w:val="List Number 2"/>
    <w:basedOn w:val="1"/>
    <w:qFormat/>
    <w:uiPriority w:val="99"/>
    <w:pPr>
      <w:tabs>
        <w:tab w:val="left" w:pos="675"/>
        <w:tab w:val="left" w:pos="780"/>
      </w:tabs>
      <w:spacing w:line="312" w:lineRule="auto"/>
      <w:ind w:left="675" w:hanging="360" w:firstLineChars="200"/>
    </w:pPr>
    <w:rPr>
      <w:rFonts w:cs="Times New Roman"/>
      <w:kern w:val="2"/>
    </w:rPr>
  </w:style>
  <w:style w:type="paragraph" w:styleId="16">
    <w:name w:val="table of authorities"/>
    <w:basedOn w:val="1"/>
    <w:next w:val="1"/>
    <w:qFormat/>
    <w:uiPriority w:val="99"/>
    <w:pPr>
      <w:spacing w:line="312" w:lineRule="auto"/>
      <w:ind w:left="420" w:leftChars="200" w:firstLine="883" w:firstLineChars="200"/>
    </w:pPr>
    <w:rPr>
      <w:rFonts w:cs="Times New Roman"/>
      <w:kern w:val="2"/>
    </w:rPr>
  </w:style>
  <w:style w:type="paragraph" w:styleId="17">
    <w:name w:val="Note Heading"/>
    <w:basedOn w:val="1"/>
    <w:next w:val="1"/>
    <w:link w:val="133"/>
    <w:qFormat/>
    <w:uiPriority w:val="99"/>
    <w:pPr>
      <w:spacing w:line="312" w:lineRule="auto"/>
      <w:ind w:firstLine="883" w:firstLineChars="200"/>
      <w:jc w:val="center"/>
    </w:pPr>
    <w:rPr>
      <w:rFonts w:cs="Times New Roman"/>
      <w:kern w:val="2"/>
    </w:rPr>
  </w:style>
  <w:style w:type="paragraph" w:styleId="18">
    <w:name w:val="List Bullet 4"/>
    <w:basedOn w:val="1"/>
    <w:qFormat/>
    <w:uiPriority w:val="99"/>
    <w:pPr>
      <w:tabs>
        <w:tab w:val="left" w:pos="750"/>
        <w:tab w:val="left" w:pos="1620"/>
      </w:tabs>
      <w:spacing w:line="312" w:lineRule="auto"/>
      <w:ind w:left="750" w:hanging="750" w:firstLineChars="200"/>
    </w:pPr>
    <w:rPr>
      <w:rFonts w:cs="Times New Roman"/>
      <w:kern w:val="2"/>
    </w:rPr>
  </w:style>
  <w:style w:type="paragraph" w:styleId="19">
    <w:name w:val="index 8"/>
    <w:basedOn w:val="1"/>
    <w:next w:val="1"/>
    <w:qFormat/>
    <w:uiPriority w:val="0"/>
    <w:pPr>
      <w:spacing w:line="312" w:lineRule="auto"/>
      <w:ind w:left="1400" w:leftChars="1400" w:firstLine="883" w:firstLineChars="200"/>
    </w:pPr>
    <w:rPr>
      <w:rFonts w:cs="Times New Roman"/>
      <w:kern w:val="2"/>
    </w:rPr>
  </w:style>
  <w:style w:type="paragraph" w:styleId="20">
    <w:name w:val="E-mail Signature"/>
    <w:basedOn w:val="1"/>
    <w:link w:val="134"/>
    <w:qFormat/>
    <w:uiPriority w:val="99"/>
    <w:pPr>
      <w:spacing w:line="312" w:lineRule="auto"/>
      <w:ind w:firstLine="883" w:firstLineChars="200"/>
    </w:pPr>
    <w:rPr>
      <w:rFonts w:cs="Times New Roman"/>
      <w:kern w:val="2"/>
    </w:rPr>
  </w:style>
  <w:style w:type="paragraph" w:styleId="21">
    <w:name w:val="List Number"/>
    <w:basedOn w:val="1"/>
    <w:qFormat/>
    <w:uiPriority w:val="99"/>
    <w:pPr>
      <w:tabs>
        <w:tab w:val="left" w:pos="360"/>
        <w:tab w:val="left" w:pos="720"/>
      </w:tabs>
      <w:spacing w:line="312" w:lineRule="auto"/>
      <w:ind w:left="720" w:hanging="720" w:firstLineChars="200"/>
    </w:pPr>
    <w:rPr>
      <w:rFonts w:cs="Times New Roman"/>
      <w:kern w:val="2"/>
    </w:rPr>
  </w:style>
  <w:style w:type="paragraph" w:styleId="22">
    <w:name w:val="Normal Indent"/>
    <w:basedOn w:val="1"/>
    <w:unhideWhenUsed/>
    <w:qFormat/>
    <w:uiPriority w:val="0"/>
    <w:pPr>
      <w:spacing w:line="312" w:lineRule="auto"/>
      <w:ind w:firstLine="420" w:firstLineChars="200"/>
    </w:pPr>
    <w:rPr>
      <w:rFonts w:cs="Times New Roman"/>
      <w:kern w:val="2"/>
    </w:rPr>
  </w:style>
  <w:style w:type="paragraph" w:styleId="23">
    <w:name w:val="caption"/>
    <w:next w:val="4"/>
    <w:link w:val="126"/>
    <w:qFormat/>
    <w:uiPriority w:val="0"/>
    <w:pPr>
      <w:keepNext/>
      <w:spacing w:line="240" w:lineRule="auto"/>
      <w:ind w:left="200" w:leftChars="200" w:right="200" w:rightChars="200"/>
      <w:jc w:val="center"/>
    </w:pPr>
    <w:rPr>
      <w:rFonts w:ascii="Times New Roman" w:hAnsi="Times New Roman" w:eastAsia="宋体" w:cstheme="majorBidi"/>
      <w:kern w:val="0"/>
      <w:sz w:val="21"/>
      <w:szCs w:val="20"/>
      <w:lang w:val="en-US" w:eastAsia="zh-CN" w:bidi="ar-SA"/>
    </w:rPr>
  </w:style>
  <w:style w:type="paragraph" w:styleId="24">
    <w:name w:val="index 5"/>
    <w:basedOn w:val="1"/>
    <w:next w:val="1"/>
    <w:qFormat/>
    <w:uiPriority w:val="0"/>
    <w:pPr>
      <w:spacing w:line="312" w:lineRule="auto"/>
      <w:ind w:left="800" w:leftChars="800" w:firstLine="883" w:firstLineChars="200"/>
    </w:pPr>
    <w:rPr>
      <w:rFonts w:cs="Times New Roman"/>
      <w:kern w:val="2"/>
    </w:rPr>
  </w:style>
  <w:style w:type="paragraph" w:styleId="25">
    <w:name w:val="List Bullet"/>
    <w:basedOn w:val="1"/>
    <w:qFormat/>
    <w:uiPriority w:val="99"/>
    <w:pPr>
      <w:tabs>
        <w:tab w:val="left" w:pos="360"/>
        <w:tab w:val="left" w:pos="720"/>
      </w:tabs>
      <w:spacing w:line="312" w:lineRule="auto"/>
      <w:ind w:left="720" w:hanging="720" w:firstLineChars="200"/>
    </w:pPr>
    <w:rPr>
      <w:rFonts w:cs="Times New Roman"/>
      <w:kern w:val="2"/>
    </w:rPr>
  </w:style>
  <w:style w:type="paragraph" w:styleId="26">
    <w:name w:val="envelope address"/>
    <w:basedOn w:val="1"/>
    <w:qFormat/>
    <w:uiPriority w:val="99"/>
    <w:pPr>
      <w:snapToGrid w:val="0"/>
      <w:spacing w:line="312" w:lineRule="auto"/>
      <w:ind w:left="100" w:leftChars="1400" w:firstLine="883" w:firstLineChars="200"/>
    </w:pPr>
    <w:rPr>
      <w:rFonts w:ascii="Arial" w:hAnsi="Arial" w:cs="Arial"/>
      <w:kern w:val="2"/>
    </w:rPr>
  </w:style>
  <w:style w:type="paragraph" w:styleId="27">
    <w:name w:val="Document Map"/>
    <w:basedOn w:val="1"/>
    <w:link w:val="135"/>
    <w:qFormat/>
    <w:uiPriority w:val="99"/>
    <w:pPr>
      <w:shd w:val="clear" w:color="auto" w:fill="000080"/>
      <w:spacing w:line="312" w:lineRule="auto"/>
      <w:ind w:firstLine="883" w:firstLineChars="200"/>
    </w:pPr>
    <w:rPr>
      <w:rFonts w:cs="Times New Roman"/>
      <w:kern w:val="2"/>
    </w:rPr>
  </w:style>
  <w:style w:type="paragraph" w:styleId="28">
    <w:name w:val="toa heading"/>
    <w:basedOn w:val="1"/>
    <w:next w:val="1"/>
    <w:qFormat/>
    <w:uiPriority w:val="99"/>
    <w:pPr>
      <w:spacing w:before="120" w:line="312" w:lineRule="auto"/>
      <w:ind w:firstLine="883" w:firstLineChars="200"/>
    </w:pPr>
    <w:rPr>
      <w:rFonts w:ascii="Arial" w:hAnsi="Arial" w:cs="Arial"/>
      <w:kern w:val="2"/>
    </w:rPr>
  </w:style>
  <w:style w:type="paragraph" w:styleId="29">
    <w:name w:val="annotation text"/>
    <w:basedOn w:val="1"/>
    <w:link w:val="136"/>
    <w:unhideWhenUsed/>
    <w:qFormat/>
    <w:uiPriority w:val="99"/>
    <w:pPr>
      <w:spacing w:line="312" w:lineRule="auto"/>
      <w:ind w:firstLine="883" w:firstLineChars="200"/>
      <w:jc w:val="left"/>
    </w:pPr>
    <w:rPr>
      <w:rFonts w:cs="Times New Roman"/>
      <w:kern w:val="2"/>
      <w:sz w:val="21"/>
      <w:szCs w:val="21"/>
    </w:rPr>
  </w:style>
  <w:style w:type="paragraph" w:styleId="30">
    <w:name w:val="index 6"/>
    <w:basedOn w:val="1"/>
    <w:next w:val="1"/>
    <w:qFormat/>
    <w:uiPriority w:val="0"/>
    <w:pPr>
      <w:spacing w:line="312" w:lineRule="auto"/>
      <w:ind w:left="1000" w:leftChars="1000" w:firstLine="883" w:firstLineChars="200"/>
    </w:pPr>
    <w:rPr>
      <w:rFonts w:cs="Times New Roman"/>
      <w:kern w:val="2"/>
    </w:rPr>
  </w:style>
  <w:style w:type="paragraph" w:styleId="31">
    <w:name w:val="Salutation"/>
    <w:basedOn w:val="1"/>
    <w:next w:val="1"/>
    <w:link w:val="137"/>
    <w:qFormat/>
    <w:uiPriority w:val="99"/>
    <w:pPr>
      <w:spacing w:line="312" w:lineRule="auto"/>
      <w:ind w:firstLine="883" w:firstLineChars="200"/>
    </w:pPr>
    <w:rPr>
      <w:rFonts w:cs="Times New Roman"/>
      <w:kern w:val="2"/>
    </w:rPr>
  </w:style>
  <w:style w:type="paragraph" w:styleId="32">
    <w:name w:val="Body Text 3"/>
    <w:basedOn w:val="1"/>
    <w:link w:val="138"/>
    <w:qFormat/>
    <w:uiPriority w:val="99"/>
    <w:pPr>
      <w:spacing w:after="120" w:line="312" w:lineRule="auto"/>
      <w:ind w:firstLine="883" w:firstLineChars="200"/>
    </w:pPr>
    <w:rPr>
      <w:rFonts w:cs="Times New Roman"/>
      <w:kern w:val="2"/>
      <w:sz w:val="16"/>
      <w:szCs w:val="16"/>
    </w:rPr>
  </w:style>
  <w:style w:type="paragraph" w:styleId="33">
    <w:name w:val="Closing"/>
    <w:basedOn w:val="1"/>
    <w:link w:val="139"/>
    <w:qFormat/>
    <w:uiPriority w:val="99"/>
    <w:pPr>
      <w:spacing w:line="312" w:lineRule="auto"/>
      <w:ind w:left="100" w:leftChars="2100" w:firstLine="883" w:firstLineChars="200"/>
    </w:pPr>
    <w:rPr>
      <w:rFonts w:cs="Times New Roman"/>
      <w:kern w:val="2"/>
    </w:rPr>
  </w:style>
  <w:style w:type="paragraph" w:styleId="34">
    <w:name w:val="List Bullet 3"/>
    <w:basedOn w:val="1"/>
    <w:qFormat/>
    <w:uiPriority w:val="99"/>
    <w:pPr>
      <w:tabs>
        <w:tab w:val="left" w:pos="480"/>
        <w:tab w:val="left" w:pos="1200"/>
      </w:tabs>
      <w:spacing w:line="312" w:lineRule="auto"/>
      <w:ind w:left="480" w:hanging="480" w:firstLineChars="200"/>
    </w:pPr>
    <w:rPr>
      <w:rFonts w:cs="Times New Roman"/>
      <w:kern w:val="2"/>
    </w:rPr>
  </w:style>
  <w:style w:type="paragraph" w:styleId="35">
    <w:name w:val="Body Text"/>
    <w:basedOn w:val="1"/>
    <w:link w:val="140"/>
    <w:qFormat/>
    <w:uiPriority w:val="99"/>
    <w:pPr>
      <w:spacing w:after="120" w:line="312" w:lineRule="auto"/>
      <w:ind w:firstLine="883" w:firstLineChars="200"/>
    </w:pPr>
    <w:rPr>
      <w:rFonts w:cs="Times New Roman"/>
      <w:kern w:val="2"/>
    </w:rPr>
  </w:style>
  <w:style w:type="paragraph" w:styleId="36">
    <w:name w:val="Body Text Indent"/>
    <w:basedOn w:val="1"/>
    <w:link w:val="141"/>
    <w:qFormat/>
    <w:uiPriority w:val="0"/>
    <w:pPr>
      <w:spacing w:after="120" w:line="312" w:lineRule="auto"/>
      <w:ind w:left="420" w:leftChars="200" w:firstLine="883" w:firstLineChars="200"/>
    </w:pPr>
    <w:rPr>
      <w:rFonts w:cs="Times New Roman"/>
      <w:kern w:val="2"/>
    </w:rPr>
  </w:style>
  <w:style w:type="paragraph" w:styleId="37">
    <w:name w:val="List Number 3"/>
    <w:basedOn w:val="1"/>
    <w:qFormat/>
    <w:uiPriority w:val="99"/>
    <w:pPr>
      <w:tabs>
        <w:tab w:val="left" w:pos="360"/>
        <w:tab w:val="left" w:pos="1200"/>
      </w:tabs>
      <w:spacing w:line="312" w:lineRule="auto"/>
      <w:ind w:left="360" w:hanging="360" w:firstLineChars="200"/>
    </w:pPr>
    <w:rPr>
      <w:rFonts w:cs="Times New Roman"/>
      <w:kern w:val="2"/>
    </w:rPr>
  </w:style>
  <w:style w:type="paragraph" w:styleId="38">
    <w:name w:val="List 2"/>
    <w:basedOn w:val="1"/>
    <w:qFormat/>
    <w:uiPriority w:val="99"/>
    <w:pPr>
      <w:spacing w:line="312" w:lineRule="auto"/>
      <w:ind w:left="100" w:leftChars="200" w:hanging="200" w:hangingChars="200"/>
      <w:contextualSpacing/>
    </w:pPr>
    <w:rPr>
      <w:rFonts w:cs="Times New Roman"/>
      <w:kern w:val="2"/>
    </w:rPr>
  </w:style>
  <w:style w:type="paragraph" w:styleId="39">
    <w:name w:val="List Continue"/>
    <w:basedOn w:val="1"/>
    <w:qFormat/>
    <w:uiPriority w:val="99"/>
    <w:pPr>
      <w:spacing w:after="120" w:line="312" w:lineRule="auto"/>
      <w:ind w:left="420" w:leftChars="200" w:firstLine="883" w:firstLineChars="200"/>
    </w:pPr>
    <w:rPr>
      <w:rFonts w:cs="Times New Roman"/>
      <w:kern w:val="2"/>
    </w:rPr>
  </w:style>
  <w:style w:type="paragraph" w:styleId="40">
    <w:name w:val="Block Text"/>
    <w:basedOn w:val="1"/>
    <w:qFormat/>
    <w:uiPriority w:val="99"/>
    <w:pPr>
      <w:spacing w:after="120" w:line="312" w:lineRule="auto"/>
      <w:ind w:left="1440" w:leftChars="700" w:right="1440" w:rightChars="700" w:firstLine="883" w:firstLineChars="200"/>
    </w:pPr>
    <w:rPr>
      <w:rFonts w:cs="Times New Roman"/>
      <w:kern w:val="2"/>
    </w:rPr>
  </w:style>
  <w:style w:type="paragraph" w:styleId="41">
    <w:name w:val="List Bullet 2"/>
    <w:basedOn w:val="1"/>
    <w:qFormat/>
    <w:uiPriority w:val="99"/>
    <w:pPr>
      <w:tabs>
        <w:tab w:val="left" w:pos="720"/>
        <w:tab w:val="left" w:pos="780"/>
      </w:tabs>
      <w:spacing w:line="312" w:lineRule="auto"/>
      <w:ind w:left="720" w:hanging="360" w:firstLineChars="200"/>
    </w:pPr>
    <w:rPr>
      <w:rFonts w:cs="Times New Roman"/>
      <w:kern w:val="2"/>
    </w:rPr>
  </w:style>
  <w:style w:type="paragraph" w:styleId="42">
    <w:name w:val="HTML Address"/>
    <w:basedOn w:val="1"/>
    <w:link w:val="142"/>
    <w:qFormat/>
    <w:uiPriority w:val="99"/>
    <w:pPr>
      <w:spacing w:line="312" w:lineRule="auto"/>
      <w:ind w:firstLine="883" w:firstLineChars="200"/>
    </w:pPr>
    <w:rPr>
      <w:rFonts w:cs="Times New Roman"/>
      <w:i/>
      <w:iCs/>
      <w:kern w:val="2"/>
    </w:rPr>
  </w:style>
  <w:style w:type="paragraph" w:styleId="43">
    <w:name w:val="index 4"/>
    <w:basedOn w:val="1"/>
    <w:next w:val="1"/>
    <w:qFormat/>
    <w:uiPriority w:val="0"/>
    <w:pPr>
      <w:spacing w:line="312" w:lineRule="auto"/>
      <w:ind w:left="600" w:leftChars="600" w:firstLine="883" w:firstLineChars="200"/>
    </w:pPr>
    <w:rPr>
      <w:rFonts w:cs="Times New Roman"/>
      <w:kern w:val="2"/>
    </w:rPr>
  </w:style>
  <w:style w:type="paragraph" w:styleId="44">
    <w:name w:val="toc 5"/>
    <w:basedOn w:val="1"/>
    <w:next w:val="1"/>
    <w:qFormat/>
    <w:uiPriority w:val="0"/>
    <w:pPr>
      <w:spacing w:line="312" w:lineRule="auto"/>
      <w:ind w:left="1680" w:leftChars="800" w:firstLine="883" w:firstLineChars="200"/>
    </w:pPr>
    <w:rPr>
      <w:rFonts w:cs="Times New Roman"/>
      <w:kern w:val="2"/>
    </w:rPr>
  </w:style>
  <w:style w:type="paragraph" w:styleId="45">
    <w:name w:val="toc 3"/>
    <w:basedOn w:val="1"/>
    <w:next w:val="1"/>
    <w:qFormat/>
    <w:uiPriority w:val="0"/>
    <w:pPr>
      <w:tabs>
        <w:tab w:val="right" w:leader="dot" w:pos="8296"/>
      </w:tabs>
      <w:spacing w:line="312" w:lineRule="auto"/>
      <w:ind w:left="400" w:leftChars="400" w:firstLine="883" w:firstLineChars="200"/>
    </w:pPr>
    <w:rPr>
      <w:rFonts w:cs="Times New Roman"/>
      <w:kern w:val="2"/>
    </w:rPr>
  </w:style>
  <w:style w:type="paragraph" w:styleId="46">
    <w:name w:val="Plain Text"/>
    <w:basedOn w:val="1"/>
    <w:link w:val="144"/>
    <w:qFormat/>
    <w:uiPriority w:val="0"/>
    <w:pPr>
      <w:spacing w:line="312" w:lineRule="auto"/>
      <w:ind w:firstLine="883" w:firstLineChars="200"/>
    </w:pPr>
    <w:rPr>
      <w:rFonts w:ascii="宋体" w:hAnsi="Courier New" w:cs="Times New Roman"/>
      <w:kern w:val="2"/>
      <w:sz w:val="21"/>
      <w:szCs w:val="21"/>
    </w:rPr>
  </w:style>
  <w:style w:type="paragraph" w:styleId="47">
    <w:name w:val="List Bullet 5"/>
    <w:basedOn w:val="1"/>
    <w:qFormat/>
    <w:uiPriority w:val="99"/>
    <w:pPr>
      <w:tabs>
        <w:tab w:val="left" w:pos="840"/>
        <w:tab w:val="left" w:pos="2040"/>
      </w:tabs>
      <w:spacing w:line="312" w:lineRule="auto"/>
      <w:ind w:left="840" w:hanging="420" w:firstLineChars="200"/>
    </w:pPr>
    <w:rPr>
      <w:rFonts w:cs="Times New Roman"/>
      <w:kern w:val="2"/>
    </w:rPr>
  </w:style>
  <w:style w:type="paragraph" w:styleId="48">
    <w:name w:val="List Number 4"/>
    <w:basedOn w:val="1"/>
    <w:qFormat/>
    <w:uiPriority w:val="99"/>
    <w:pPr>
      <w:tabs>
        <w:tab w:val="left" w:pos="960"/>
        <w:tab w:val="left" w:pos="1620"/>
      </w:tabs>
      <w:spacing w:line="312" w:lineRule="auto"/>
      <w:ind w:left="960" w:hanging="720" w:firstLineChars="200"/>
    </w:pPr>
    <w:rPr>
      <w:rFonts w:cs="Times New Roman"/>
      <w:kern w:val="2"/>
    </w:rPr>
  </w:style>
  <w:style w:type="paragraph" w:styleId="49">
    <w:name w:val="toc 8"/>
    <w:basedOn w:val="1"/>
    <w:next w:val="1"/>
    <w:qFormat/>
    <w:uiPriority w:val="0"/>
    <w:pPr>
      <w:spacing w:line="312" w:lineRule="auto"/>
      <w:ind w:left="2940" w:leftChars="1400" w:firstLine="883" w:firstLineChars="200"/>
    </w:pPr>
    <w:rPr>
      <w:rFonts w:cs="Times New Roman"/>
      <w:kern w:val="2"/>
    </w:rPr>
  </w:style>
  <w:style w:type="paragraph" w:styleId="50">
    <w:name w:val="index 3"/>
    <w:basedOn w:val="1"/>
    <w:next w:val="1"/>
    <w:qFormat/>
    <w:uiPriority w:val="0"/>
    <w:pPr>
      <w:spacing w:line="312" w:lineRule="auto"/>
      <w:ind w:left="400" w:leftChars="400" w:firstLine="883" w:firstLineChars="200"/>
    </w:pPr>
    <w:rPr>
      <w:rFonts w:cs="Times New Roman"/>
      <w:kern w:val="2"/>
    </w:rPr>
  </w:style>
  <w:style w:type="paragraph" w:styleId="51">
    <w:name w:val="Date"/>
    <w:basedOn w:val="1"/>
    <w:next w:val="1"/>
    <w:link w:val="145"/>
    <w:qFormat/>
    <w:uiPriority w:val="99"/>
    <w:pPr>
      <w:spacing w:line="312" w:lineRule="auto"/>
      <w:ind w:left="100" w:leftChars="2500" w:firstLine="883" w:firstLineChars="200"/>
    </w:pPr>
    <w:rPr>
      <w:rFonts w:cs="Times New Roman"/>
      <w:kern w:val="2"/>
    </w:rPr>
  </w:style>
  <w:style w:type="paragraph" w:styleId="52">
    <w:name w:val="Body Text Indent 2"/>
    <w:basedOn w:val="1"/>
    <w:link w:val="146"/>
    <w:qFormat/>
    <w:uiPriority w:val="99"/>
    <w:pPr>
      <w:spacing w:after="120" w:line="480" w:lineRule="auto"/>
      <w:ind w:left="420" w:leftChars="200" w:firstLine="883" w:firstLineChars="200"/>
    </w:pPr>
    <w:rPr>
      <w:rFonts w:cs="Times New Roman"/>
      <w:kern w:val="2"/>
    </w:rPr>
  </w:style>
  <w:style w:type="paragraph" w:styleId="53">
    <w:name w:val="endnote text"/>
    <w:basedOn w:val="1"/>
    <w:link w:val="130"/>
    <w:qFormat/>
    <w:uiPriority w:val="99"/>
    <w:pPr>
      <w:snapToGrid w:val="0"/>
      <w:spacing w:line="312" w:lineRule="auto"/>
      <w:ind w:firstLine="883" w:firstLineChars="200"/>
      <w:jc w:val="left"/>
    </w:pPr>
    <w:rPr>
      <w:rFonts w:cs="Times New Roman"/>
      <w:kern w:val="2"/>
    </w:rPr>
  </w:style>
  <w:style w:type="paragraph" w:styleId="54">
    <w:name w:val="List Continue 5"/>
    <w:basedOn w:val="1"/>
    <w:qFormat/>
    <w:uiPriority w:val="99"/>
    <w:pPr>
      <w:spacing w:after="120" w:line="312" w:lineRule="auto"/>
      <w:ind w:left="2100" w:leftChars="1000" w:firstLine="883" w:firstLineChars="200"/>
    </w:pPr>
    <w:rPr>
      <w:rFonts w:cs="Times New Roman"/>
      <w:kern w:val="2"/>
    </w:rPr>
  </w:style>
  <w:style w:type="paragraph" w:styleId="55">
    <w:name w:val="Balloon Text"/>
    <w:basedOn w:val="1"/>
    <w:link w:val="147"/>
    <w:qFormat/>
    <w:uiPriority w:val="99"/>
    <w:pPr>
      <w:spacing w:line="312" w:lineRule="auto"/>
      <w:ind w:firstLine="883" w:firstLineChars="200"/>
    </w:pPr>
    <w:rPr>
      <w:rFonts w:cs="Times New Roman"/>
      <w:kern w:val="2"/>
      <w:sz w:val="18"/>
      <w:szCs w:val="18"/>
    </w:rPr>
  </w:style>
  <w:style w:type="paragraph" w:styleId="56">
    <w:name w:val="footer"/>
    <w:basedOn w:val="1"/>
    <w:link w:val="129"/>
    <w:unhideWhenUsed/>
    <w:qFormat/>
    <w:uiPriority w:val="99"/>
    <w:pPr>
      <w:tabs>
        <w:tab w:val="center" w:pos="4153"/>
        <w:tab w:val="right" w:pos="8306"/>
      </w:tabs>
      <w:jc w:val="left"/>
    </w:pPr>
    <w:rPr>
      <w:sz w:val="18"/>
      <w:szCs w:val="18"/>
    </w:rPr>
  </w:style>
  <w:style w:type="paragraph" w:styleId="57">
    <w:name w:val="envelope return"/>
    <w:basedOn w:val="1"/>
    <w:qFormat/>
    <w:uiPriority w:val="99"/>
    <w:pPr>
      <w:snapToGrid w:val="0"/>
      <w:spacing w:line="312" w:lineRule="auto"/>
      <w:ind w:firstLine="883" w:firstLineChars="200"/>
    </w:pPr>
    <w:rPr>
      <w:rFonts w:ascii="Arial" w:hAnsi="Arial" w:cs="Arial"/>
      <w:kern w:val="2"/>
    </w:rPr>
  </w:style>
  <w:style w:type="paragraph" w:styleId="58">
    <w:name w:val="header"/>
    <w:basedOn w:val="1"/>
    <w:link w:val="128"/>
    <w:unhideWhenUsed/>
    <w:qFormat/>
    <w:uiPriority w:val="0"/>
    <w:pPr>
      <w:pBdr>
        <w:bottom w:val="single" w:color="auto" w:sz="6" w:space="1"/>
      </w:pBdr>
      <w:tabs>
        <w:tab w:val="center" w:pos="4153"/>
        <w:tab w:val="right" w:pos="8306"/>
      </w:tabs>
      <w:jc w:val="center"/>
    </w:pPr>
    <w:rPr>
      <w:sz w:val="18"/>
      <w:szCs w:val="18"/>
    </w:rPr>
  </w:style>
  <w:style w:type="paragraph" w:styleId="59">
    <w:name w:val="Signature"/>
    <w:basedOn w:val="1"/>
    <w:link w:val="148"/>
    <w:qFormat/>
    <w:uiPriority w:val="99"/>
    <w:pPr>
      <w:spacing w:line="312" w:lineRule="auto"/>
      <w:ind w:left="100" w:leftChars="2100" w:firstLine="883" w:firstLineChars="200"/>
    </w:pPr>
    <w:rPr>
      <w:rFonts w:cs="Times New Roman"/>
      <w:kern w:val="2"/>
    </w:rPr>
  </w:style>
  <w:style w:type="paragraph" w:styleId="60">
    <w:name w:val="toc 1"/>
    <w:basedOn w:val="1"/>
    <w:next w:val="1"/>
    <w:qFormat/>
    <w:uiPriority w:val="0"/>
    <w:pPr>
      <w:tabs>
        <w:tab w:val="right" w:leader="dot" w:pos="8296"/>
      </w:tabs>
      <w:spacing w:line="312" w:lineRule="auto"/>
      <w:ind w:firstLine="883" w:firstLineChars="200"/>
    </w:pPr>
    <w:rPr>
      <w:rFonts w:cs="Times New Roman"/>
      <w:kern w:val="2"/>
    </w:rPr>
  </w:style>
  <w:style w:type="paragraph" w:styleId="61">
    <w:name w:val="List Continue 4"/>
    <w:basedOn w:val="1"/>
    <w:qFormat/>
    <w:uiPriority w:val="99"/>
    <w:pPr>
      <w:spacing w:after="120" w:line="312" w:lineRule="auto"/>
      <w:ind w:left="1680" w:leftChars="800" w:firstLine="883" w:firstLineChars="200"/>
    </w:pPr>
    <w:rPr>
      <w:rFonts w:cs="Times New Roman"/>
      <w:kern w:val="2"/>
    </w:rPr>
  </w:style>
  <w:style w:type="paragraph" w:styleId="62">
    <w:name w:val="toc 4"/>
    <w:basedOn w:val="1"/>
    <w:next w:val="1"/>
    <w:qFormat/>
    <w:uiPriority w:val="0"/>
    <w:pPr>
      <w:spacing w:line="312" w:lineRule="auto"/>
      <w:ind w:left="1260" w:leftChars="600" w:firstLine="883" w:firstLineChars="200"/>
    </w:pPr>
    <w:rPr>
      <w:rFonts w:cs="Times New Roman"/>
      <w:kern w:val="2"/>
    </w:rPr>
  </w:style>
  <w:style w:type="paragraph" w:styleId="63">
    <w:name w:val="index heading"/>
    <w:basedOn w:val="1"/>
    <w:next w:val="64"/>
    <w:qFormat/>
    <w:uiPriority w:val="0"/>
    <w:pPr>
      <w:spacing w:line="312" w:lineRule="auto"/>
      <w:ind w:firstLine="883" w:firstLineChars="200"/>
    </w:pPr>
    <w:rPr>
      <w:rFonts w:ascii="Arial" w:hAnsi="Arial" w:cs="Arial"/>
      <w:b/>
      <w:bCs/>
      <w:kern w:val="2"/>
    </w:rPr>
  </w:style>
  <w:style w:type="paragraph" w:styleId="64">
    <w:name w:val="index 1"/>
    <w:basedOn w:val="1"/>
    <w:next w:val="1"/>
    <w:autoRedefine/>
    <w:unhideWhenUsed/>
    <w:qFormat/>
    <w:uiPriority w:val="0"/>
  </w:style>
  <w:style w:type="paragraph" w:styleId="65">
    <w:name w:val="Subtitle"/>
    <w:basedOn w:val="66"/>
    <w:next w:val="4"/>
    <w:link w:val="122"/>
    <w:qFormat/>
    <w:uiPriority w:val="11"/>
    <w:rPr>
      <w:bCs w:val="0"/>
      <w:sz w:val="30"/>
    </w:rPr>
  </w:style>
  <w:style w:type="paragraph" w:styleId="66">
    <w:name w:val="Title"/>
    <w:next w:val="4"/>
    <w:link w:val="121"/>
    <w:qFormat/>
    <w:uiPriority w:val="10"/>
    <w:pPr>
      <w:keepNext/>
      <w:spacing w:line="360" w:lineRule="auto"/>
      <w:ind w:left="200" w:leftChars="200" w:right="200" w:rightChars="200"/>
      <w:jc w:val="center"/>
      <w:outlineLvl w:val="0"/>
    </w:pPr>
    <w:rPr>
      <w:rFonts w:ascii="Times New Roman" w:hAnsi="Times New Roman" w:eastAsia="宋体" w:cstheme="majorBidi"/>
      <w:b/>
      <w:bCs/>
      <w:kern w:val="0"/>
      <w:sz w:val="32"/>
      <w:szCs w:val="32"/>
      <w:lang w:val="en-US" w:eastAsia="zh-CN" w:bidi="ar-SA"/>
    </w:rPr>
  </w:style>
  <w:style w:type="paragraph" w:styleId="67">
    <w:name w:val="List Number 5"/>
    <w:basedOn w:val="1"/>
    <w:qFormat/>
    <w:uiPriority w:val="99"/>
    <w:pPr>
      <w:tabs>
        <w:tab w:val="left" w:pos="2040"/>
      </w:tabs>
      <w:spacing w:line="312" w:lineRule="auto"/>
      <w:ind w:firstLine="883" w:firstLineChars="200"/>
    </w:pPr>
    <w:rPr>
      <w:rFonts w:cs="Times New Roman"/>
      <w:kern w:val="2"/>
    </w:rPr>
  </w:style>
  <w:style w:type="paragraph" w:styleId="68">
    <w:name w:val="List"/>
    <w:basedOn w:val="1"/>
    <w:qFormat/>
    <w:uiPriority w:val="99"/>
    <w:pPr>
      <w:spacing w:line="312" w:lineRule="auto"/>
      <w:ind w:left="200" w:hanging="200" w:hangingChars="200"/>
    </w:pPr>
    <w:rPr>
      <w:rFonts w:cs="Times New Roman"/>
      <w:kern w:val="2"/>
    </w:rPr>
  </w:style>
  <w:style w:type="paragraph" w:styleId="69">
    <w:name w:val="footnote text"/>
    <w:basedOn w:val="1"/>
    <w:link w:val="149"/>
    <w:qFormat/>
    <w:uiPriority w:val="99"/>
    <w:pPr>
      <w:snapToGrid w:val="0"/>
      <w:spacing w:line="312" w:lineRule="auto"/>
      <w:ind w:firstLine="883" w:firstLineChars="200"/>
      <w:jc w:val="left"/>
    </w:pPr>
    <w:rPr>
      <w:rFonts w:cs="Times New Roman"/>
      <w:kern w:val="2"/>
      <w:sz w:val="18"/>
      <w:szCs w:val="18"/>
    </w:rPr>
  </w:style>
  <w:style w:type="paragraph" w:styleId="70">
    <w:name w:val="toc 6"/>
    <w:basedOn w:val="1"/>
    <w:next w:val="1"/>
    <w:qFormat/>
    <w:uiPriority w:val="0"/>
    <w:pPr>
      <w:spacing w:line="312" w:lineRule="auto"/>
      <w:ind w:left="2100" w:leftChars="1000" w:firstLine="883" w:firstLineChars="200"/>
    </w:pPr>
    <w:rPr>
      <w:rFonts w:cs="Times New Roman"/>
      <w:kern w:val="2"/>
    </w:rPr>
  </w:style>
  <w:style w:type="paragraph" w:styleId="71">
    <w:name w:val="List 5"/>
    <w:basedOn w:val="1"/>
    <w:qFormat/>
    <w:uiPriority w:val="99"/>
    <w:pPr>
      <w:spacing w:line="312" w:lineRule="auto"/>
      <w:ind w:left="100" w:leftChars="800" w:hanging="200" w:hangingChars="200"/>
    </w:pPr>
    <w:rPr>
      <w:rFonts w:cs="Times New Roman"/>
      <w:kern w:val="2"/>
    </w:rPr>
  </w:style>
  <w:style w:type="paragraph" w:styleId="72">
    <w:name w:val="Body Text Indent 3"/>
    <w:basedOn w:val="1"/>
    <w:link w:val="150"/>
    <w:qFormat/>
    <w:uiPriority w:val="99"/>
    <w:pPr>
      <w:spacing w:after="120" w:line="312" w:lineRule="auto"/>
      <w:ind w:left="420" w:leftChars="200" w:firstLine="883" w:firstLineChars="200"/>
    </w:pPr>
    <w:rPr>
      <w:rFonts w:cs="Times New Roman"/>
      <w:kern w:val="2"/>
      <w:sz w:val="16"/>
      <w:szCs w:val="16"/>
    </w:rPr>
  </w:style>
  <w:style w:type="paragraph" w:styleId="73">
    <w:name w:val="index 7"/>
    <w:basedOn w:val="1"/>
    <w:next w:val="1"/>
    <w:qFormat/>
    <w:uiPriority w:val="0"/>
    <w:pPr>
      <w:spacing w:line="312" w:lineRule="auto"/>
      <w:ind w:left="1200" w:leftChars="1200" w:firstLine="883" w:firstLineChars="200"/>
    </w:pPr>
    <w:rPr>
      <w:rFonts w:cs="Times New Roman"/>
      <w:kern w:val="2"/>
    </w:rPr>
  </w:style>
  <w:style w:type="paragraph" w:styleId="74">
    <w:name w:val="index 9"/>
    <w:basedOn w:val="1"/>
    <w:next w:val="1"/>
    <w:qFormat/>
    <w:uiPriority w:val="0"/>
    <w:pPr>
      <w:spacing w:line="312" w:lineRule="auto"/>
      <w:ind w:left="1600" w:leftChars="1600" w:firstLine="883" w:firstLineChars="200"/>
    </w:pPr>
    <w:rPr>
      <w:rFonts w:cs="Times New Roman"/>
      <w:kern w:val="2"/>
    </w:rPr>
  </w:style>
  <w:style w:type="paragraph" w:styleId="75">
    <w:name w:val="table of figures"/>
    <w:basedOn w:val="1"/>
    <w:next w:val="1"/>
    <w:qFormat/>
    <w:uiPriority w:val="99"/>
    <w:pPr>
      <w:spacing w:line="312" w:lineRule="auto"/>
      <w:ind w:left="200" w:leftChars="200" w:hanging="200" w:hangingChars="200"/>
    </w:pPr>
    <w:rPr>
      <w:rFonts w:cs="Times New Roman"/>
      <w:kern w:val="2"/>
    </w:rPr>
  </w:style>
  <w:style w:type="paragraph" w:styleId="76">
    <w:name w:val="toc 2"/>
    <w:basedOn w:val="1"/>
    <w:next w:val="1"/>
    <w:qFormat/>
    <w:uiPriority w:val="0"/>
    <w:pPr>
      <w:tabs>
        <w:tab w:val="right" w:leader="dot" w:pos="8296"/>
      </w:tabs>
      <w:spacing w:line="312" w:lineRule="auto"/>
      <w:ind w:left="420" w:leftChars="200" w:firstLine="883" w:firstLineChars="200"/>
    </w:pPr>
    <w:rPr>
      <w:rFonts w:cs="Times New Roman"/>
      <w:kern w:val="2"/>
    </w:rPr>
  </w:style>
  <w:style w:type="paragraph" w:styleId="77">
    <w:name w:val="toc 9"/>
    <w:basedOn w:val="1"/>
    <w:next w:val="1"/>
    <w:qFormat/>
    <w:uiPriority w:val="0"/>
    <w:pPr>
      <w:spacing w:line="312" w:lineRule="auto"/>
      <w:ind w:left="3360" w:leftChars="1600" w:firstLine="883" w:firstLineChars="200"/>
    </w:pPr>
    <w:rPr>
      <w:rFonts w:cs="Times New Roman"/>
      <w:kern w:val="2"/>
    </w:rPr>
  </w:style>
  <w:style w:type="paragraph" w:styleId="78">
    <w:name w:val="Body Text 2"/>
    <w:basedOn w:val="1"/>
    <w:link w:val="151"/>
    <w:qFormat/>
    <w:uiPriority w:val="99"/>
    <w:pPr>
      <w:spacing w:after="120" w:line="480" w:lineRule="auto"/>
      <w:ind w:firstLine="883" w:firstLineChars="200"/>
    </w:pPr>
    <w:rPr>
      <w:rFonts w:cs="Times New Roman"/>
      <w:kern w:val="2"/>
    </w:rPr>
  </w:style>
  <w:style w:type="paragraph" w:styleId="79">
    <w:name w:val="List 4"/>
    <w:basedOn w:val="1"/>
    <w:qFormat/>
    <w:uiPriority w:val="99"/>
    <w:pPr>
      <w:spacing w:line="312" w:lineRule="auto"/>
      <w:ind w:left="100" w:leftChars="600" w:hanging="200" w:hangingChars="200"/>
    </w:pPr>
    <w:rPr>
      <w:rFonts w:cs="Times New Roman"/>
      <w:kern w:val="2"/>
    </w:rPr>
  </w:style>
  <w:style w:type="paragraph" w:styleId="80">
    <w:name w:val="List Continue 2"/>
    <w:basedOn w:val="1"/>
    <w:qFormat/>
    <w:uiPriority w:val="99"/>
    <w:pPr>
      <w:spacing w:after="120" w:line="312" w:lineRule="auto"/>
      <w:ind w:left="840" w:leftChars="400" w:firstLine="883" w:firstLineChars="200"/>
    </w:pPr>
    <w:rPr>
      <w:rFonts w:cs="Times New Roman"/>
      <w:kern w:val="2"/>
    </w:rPr>
  </w:style>
  <w:style w:type="paragraph" w:styleId="81">
    <w:name w:val="Message Header"/>
    <w:basedOn w:val="1"/>
    <w:link w:val="152"/>
    <w:qFormat/>
    <w:uiPriority w:val="99"/>
    <w:pPr>
      <w:pBdr>
        <w:top w:val="single" w:color="auto" w:sz="6" w:space="1"/>
        <w:left w:val="single" w:color="auto" w:sz="6" w:space="1"/>
        <w:bottom w:val="single" w:color="auto" w:sz="6" w:space="1"/>
        <w:right w:val="single" w:color="auto" w:sz="6" w:space="1"/>
      </w:pBdr>
      <w:shd w:val="pct20" w:color="auto" w:fill="auto"/>
      <w:spacing w:line="312" w:lineRule="auto"/>
      <w:ind w:left="1080" w:leftChars="500" w:hanging="1080" w:hangingChars="500"/>
    </w:pPr>
    <w:rPr>
      <w:rFonts w:ascii="Arial" w:hAnsi="Arial" w:cs="Times New Roman"/>
      <w:kern w:val="2"/>
    </w:rPr>
  </w:style>
  <w:style w:type="paragraph" w:styleId="82">
    <w:name w:val="HTML Preformatted"/>
    <w:basedOn w:val="1"/>
    <w:link w:val="15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firstLine="883" w:firstLineChars="200"/>
      <w:jc w:val="left"/>
    </w:pPr>
    <w:rPr>
      <w:rFonts w:ascii="宋体" w:cs="Times New Roman"/>
    </w:rPr>
  </w:style>
  <w:style w:type="paragraph" w:styleId="83">
    <w:name w:val="Normal (Web)"/>
    <w:basedOn w:val="1"/>
    <w:unhideWhenUsed/>
    <w:qFormat/>
    <w:uiPriority w:val="99"/>
    <w:pPr>
      <w:widowControl/>
      <w:spacing w:before="100" w:beforeAutospacing="1" w:after="100" w:afterAutospacing="1" w:line="312" w:lineRule="auto"/>
      <w:ind w:firstLine="883" w:firstLineChars="200"/>
      <w:jc w:val="left"/>
    </w:pPr>
    <w:rPr>
      <w:rFonts w:ascii="宋体" w:hAnsi="宋体" w:cs="宋体"/>
    </w:rPr>
  </w:style>
  <w:style w:type="paragraph" w:styleId="84">
    <w:name w:val="List Continue 3"/>
    <w:basedOn w:val="1"/>
    <w:qFormat/>
    <w:uiPriority w:val="99"/>
    <w:pPr>
      <w:spacing w:after="120" w:line="312" w:lineRule="auto"/>
      <w:ind w:left="1260" w:leftChars="600" w:firstLine="883" w:firstLineChars="200"/>
    </w:pPr>
    <w:rPr>
      <w:rFonts w:cs="Times New Roman"/>
      <w:kern w:val="2"/>
    </w:rPr>
  </w:style>
  <w:style w:type="paragraph" w:styleId="85">
    <w:name w:val="index 2"/>
    <w:basedOn w:val="1"/>
    <w:next w:val="1"/>
    <w:qFormat/>
    <w:uiPriority w:val="0"/>
    <w:pPr>
      <w:spacing w:line="312" w:lineRule="auto"/>
      <w:ind w:left="200" w:leftChars="200" w:firstLine="883" w:firstLineChars="200"/>
    </w:pPr>
    <w:rPr>
      <w:rFonts w:cs="Times New Roman"/>
      <w:kern w:val="2"/>
    </w:rPr>
  </w:style>
  <w:style w:type="paragraph" w:styleId="86">
    <w:name w:val="annotation subject"/>
    <w:basedOn w:val="29"/>
    <w:next w:val="29"/>
    <w:link w:val="154"/>
    <w:qFormat/>
    <w:uiPriority w:val="0"/>
    <w:rPr>
      <w:b/>
      <w:bCs/>
      <w:kern w:val="0"/>
      <w:sz w:val="24"/>
      <w:szCs w:val="24"/>
    </w:rPr>
  </w:style>
  <w:style w:type="paragraph" w:styleId="87">
    <w:name w:val="Body Text First Indent"/>
    <w:basedOn w:val="35"/>
    <w:link w:val="155"/>
    <w:qFormat/>
    <w:uiPriority w:val="99"/>
    <w:pPr>
      <w:ind w:firstLine="420" w:firstLineChars="100"/>
    </w:pPr>
  </w:style>
  <w:style w:type="paragraph" w:styleId="88">
    <w:name w:val="Body Text First Indent 2"/>
    <w:basedOn w:val="36"/>
    <w:link w:val="156"/>
    <w:qFormat/>
    <w:uiPriority w:val="99"/>
    <w:pPr>
      <w:ind w:firstLine="420"/>
    </w:pPr>
  </w:style>
  <w:style w:type="table" w:styleId="90">
    <w:name w:val="Table Grid"/>
    <w:basedOn w:val="89"/>
    <w:qFormat/>
    <w:uiPriority w:val="39"/>
    <w:pPr>
      <w:widowControl w:val="0"/>
      <w:spacing w:line="240" w:lineRule="auto"/>
      <w:jc w:val="center"/>
    </w:pPr>
    <w:rPr>
      <w:kern w:val="0"/>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rPr>
      <w:jc w:val="center"/>
    </w:trPr>
    <w:tcPr>
      <w:vAlign w:val="center"/>
    </w:tcPr>
    <w:tblStylePr w:type="firstRow">
      <w:pPr>
        <w:jc w:val="center"/>
      </w:pPr>
      <w:tblPr/>
      <w:trPr>
        <w:tblHeader/>
      </w:trPr>
      <w:tcPr>
        <w:shd w:val="clear" w:color="auto" w:fill="D8D8D8" w:themeFill="background1" w:themeFillShade="D9"/>
      </w:tcPr>
    </w:tblStylePr>
  </w:style>
  <w:style w:type="character" w:styleId="92">
    <w:name w:val="Strong"/>
    <w:qFormat/>
    <w:uiPriority w:val="22"/>
    <w:rPr>
      <w:rFonts w:cs="Times New Roman"/>
      <w:b/>
      <w:bCs/>
    </w:rPr>
  </w:style>
  <w:style w:type="character" w:styleId="93">
    <w:name w:val="endnote reference"/>
    <w:qFormat/>
    <w:uiPriority w:val="0"/>
    <w:rPr>
      <w:vertAlign w:val="superscript"/>
    </w:rPr>
  </w:style>
  <w:style w:type="character" w:styleId="94">
    <w:name w:val="page number"/>
    <w:unhideWhenUsed/>
    <w:qFormat/>
    <w:uiPriority w:val="0"/>
    <w:rPr>
      <w:rFonts w:ascii="Times New Roman" w:hAnsi="Times New Roman" w:eastAsia="宋体" w:cs="Times New Roman"/>
      <w:sz w:val="18"/>
    </w:rPr>
  </w:style>
  <w:style w:type="character" w:styleId="95">
    <w:name w:val="FollowedHyperlink"/>
    <w:qFormat/>
    <w:uiPriority w:val="99"/>
    <w:rPr>
      <w:rFonts w:cs="Times New Roman"/>
      <w:color w:val="800080"/>
      <w:u w:val="single"/>
    </w:rPr>
  </w:style>
  <w:style w:type="character" w:styleId="96">
    <w:name w:val="Emphasis"/>
    <w:qFormat/>
    <w:uiPriority w:val="20"/>
    <w:rPr>
      <w:i/>
    </w:rPr>
  </w:style>
  <w:style w:type="character" w:styleId="97">
    <w:name w:val="line number"/>
    <w:qFormat/>
    <w:uiPriority w:val="99"/>
    <w:rPr>
      <w:rFonts w:cs="Times New Roman"/>
    </w:rPr>
  </w:style>
  <w:style w:type="character" w:styleId="98">
    <w:name w:val="HTML Definition"/>
    <w:qFormat/>
    <w:uiPriority w:val="99"/>
    <w:rPr>
      <w:i/>
    </w:rPr>
  </w:style>
  <w:style w:type="character" w:styleId="99">
    <w:name w:val="HTML Typewriter"/>
    <w:qFormat/>
    <w:uiPriority w:val="99"/>
    <w:rPr>
      <w:rFonts w:ascii="Courier New" w:hAnsi="Courier New"/>
      <w:sz w:val="20"/>
    </w:rPr>
  </w:style>
  <w:style w:type="character" w:styleId="100">
    <w:name w:val="HTML Acronym"/>
    <w:qFormat/>
    <w:uiPriority w:val="99"/>
    <w:rPr>
      <w:rFonts w:cs="Times New Roman"/>
    </w:rPr>
  </w:style>
  <w:style w:type="character" w:styleId="101">
    <w:name w:val="HTML Variable"/>
    <w:qFormat/>
    <w:uiPriority w:val="99"/>
    <w:rPr>
      <w:i/>
    </w:rPr>
  </w:style>
  <w:style w:type="character" w:styleId="102">
    <w:name w:val="Hyperlink"/>
    <w:qFormat/>
    <w:uiPriority w:val="0"/>
    <w:rPr>
      <w:rFonts w:cs="Times New Roman"/>
      <w:color w:val="0000FF"/>
      <w:u w:val="single"/>
    </w:rPr>
  </w:style>
  <w:style w:type="character" w:styleId="103">
    <w:name w:val="HTML Code"/>
    <w:qFormat/>
    <w:uiPriority w:val="99"/>
    <w:rPr>
      <w:rFonts w:ascii="Courier New" w:hAnsi="Courier New"/>
      <w:sz w:val="20"/>
    </w:rPr>
  </w:style>
  <w:style w:type="character" w:styleId="104">
    <w:name w:val="annotation reference"/>
    <w:qFormat/>
    <w:uiPriority w:val="99"/>
    <w:rPr>
      <w:rFonts w:cs="Times New Roman"/>
      <w:sz w:val="21"/>
      <w:szCs w:val="21"/>
    </w:rPr>
  </w:style>
  <w:style w:type="character" w:styleId="105">
    <w:name w:val="HTML Cite"/>
    <w:qFormat/>
    <w:uiPriority w:val="99"/>
    <w:rPr>
      <w:i/>
    </w:rPr>
  </w:style>
  <w:style w:type="character" w:styleId="106">
    <w:name w:val="footnote reference"/>
    <w:qFormat/>
    <w:uiPriority w:val="0"/>
    <w:rPr>
      <w:vertAlign w:val="superscript"/>
    </w:rPr>
  </w:style>
  <w:style w:type="character" w:styleId="107">
    <w:name w:val="HTML Keyboard"/>
    <w:qFormat/>
    <w:uiPriority w:val="99"/>
    <w:rPr>
      <w:rFonts w:ascii="Courier New" w:hAnsi="Courier New"/>
      <w:sz w:val="20"/>
    </w:rPr>
  </w:style>
  <w:style w:type="character" w:styleId="108">
    <w:name w:val="HTML Sample"/>
    <w:qFormat/>
    <w:uiPriority w:val="99"/>
    <w:rPr>
      <w:rFonts w:ascii="Courier New" w:hAnsi="Courier New"/>
    </w:rPr>
  </w:style>
  <w:style w:type="character" w:customStyle="1" w:styleId="109">
    <w:name w:val="标题 2 字符"/>
    <w:basedOn w:val="91"/>
    <w:link w:val="5"/>
    <w:qFormat/>
    <w:uiPriority w:val="0"/>
    <w:rPr>
      <w:rFonts w:cstheme="majorBidi"/>
      <w:b/>
      <w:kern w:val="0"/>
      <w:szCs w:val="32"/>
    </w:rPr>
  </w:style>
  <w:style w:type="character" w:customStyle="1" w:styleId="110">
    <w:name w:val="首行缩进 字符"/>
    <w:basedOn w:val="91"/>
    <w:link w:val="4"/>
    <w:qFormat/>
    <w:uiPriority w:val="1"/>
    <w:rPr>
      <w:kern w:val="0"/>
    </w:rPr>
  </w:style>
  <w:style w:type="character" w:customStyle="1" w:styleId="111">
    <w:name w:val="标题 1 字符"/>
    <w:basedOn w:val="91"/>
    <w:link w:val="3"/>
    <w:qFormat/>
    <w:uiPriority w:val="9"/>
    <w:rPr>
      <w:b/>
      <w:bCs/>
      <w:kern w:val="0"/>
      <w:szCs w:val="44"/>
    </w:rPr>
  </w:style>
  <w:style w:type="character" w:customStyle="1" w:styleId="112">
    <w:name w:val="标题 3 字符"/>
    <w:basedOn w:val="91"/>
    <w:link w:val="6"/>
    <w:qFormat/>
    <w:uiPriority w:val="9"/>
    <w:rPr>
      <w:b/>
      <w:kern w:val="0"/>
      <w:szCs w:val="32"/>
    </w:rPr>
  </w:style>
  <w:style w:type="character" w:customStyle="1" w:styleId="113">
    <w:name w:val="标题 4 字符"/>
    <w:basedOn w:val="91"/>
    <w:link w:val="7"/>
    <w:qFormat/>
    <w:uiPriority w:val="9"/>
    <w:rPr>
      <w:rFonts w:cstheme="majorBidi"/>
      <w:b/>
      <w:kern w:val="0"/>
      <w:szCs w:val="28"/>
    </w:rPr>
  </w:style>
  <w:style w:type="character" w:customStyle="1" w:styleId="114">
    <w:name w:val="标题 5 字符"/>
    <w:basedOn w:val="91"/>
    <w:link w:val="8"/>
    <w:qFormat/>
    <w:uiPriority w:val="9"/>
    <w:rPr>
      <w:b/>
      <w:kern w:val="0"/>
      <w:szCs w:val="28"/>
    </w:rPr>
  </w:style>
  <w:style w:type="character" w:customStyle="1" w:styleId="115">
    <w:name w:val="标题 6 字符"/>
    <w:basedOn w:val="91"/>
    <w:link w:val="9"/>
    <w:qFormat/>
    <w:uiPriority w:val="9"/>
    <w:rPr>
      <w:rFonts w:cstheme="majorBidi"/>
      <w:b/>
      <w:kern w:val="0"/>
      <w:szCs w:val="44"/>
    </w:rPr>
  </w:style>
  <w:style w:type="character" w:customStyle="1" w:styleId="116">
    <w:name w:val="标题 7 字符"/>
    <w:basedOn w:val="91"/>
    <w:link w:val="10"/>
    <w:qFormat/>
    <w:uiPriority w:val="9"/>
    <w:rPr>
      <w:b/>
      <w:kern w:val="0"/>
      <w:szCs w:val="44"/>
    </w:rPr>
  </w:style>
  <w:style w:type="character" w:customStyle="1" w:styleId="117">
    <w:name w:val="标题 8 字符"/>
    <w:basedOn w:val="91"/>
    <w:link w:val="11"/>
    <w:qFormat/>
    <w:uiPriority w:val="9"/>
    <w:rPr>
      <w:rFonts w:cstheme="majorBidi"/>
      <w:b/>
      <w:bCs/>
      <w:kern w:val="0"/>
      <w:szCs w:val="44"/>
    </w:rPr>
  </w:style>
  <w:style w:type="character" w:customStyle="1" w:styleId="118">
    <w:name w:val="标题 9 字符"/>
    <w:basedOn w:val="91"/>
    <w:link w:val="12"/>
    <w:qFormat/>
    <w:uiPriority w:val="9"/>
    <w:rPr>
      <w:rFonts w:cstheme="majorBidi"/>
      <w:b/>
      <w:bCs/>
      <w:kern w:val="0"/>
      <w:szCs w:val="21"/>
    </w:rPr>
  </w:style>
  <w:style w:type="paragraph" w:customStyle="1" w:styleId="119">
    <w:name w:val="五号居中"/>
    <w:next w:val="4"/>
    <w:link w:val="120"/>
    <w:qFormat/>
    <w:uiPriority w:val="2"/>
    <w:pPr>
      <w:widowControl w:val="0"/>
      <w:spacing w:line="240" w:lineRule="auto"/>
      <w:jc w:val="center"/>
    </w:pPr>
    <w:rPr>
      <w:rFonts w:ascii="Times New Roman" w:hAnsi="Times New Roman" w:eastAsia="宋体" w:cstheme="minorBidi"/>
      <w:kern w:val="0"/>
      <w:sz w:val="21"/>
      <w:szCs w:val="21"/>
      <w:lang w:val="en-US" w:eastAsia="zh-CN" w:bidi="ar-SA"/>
    </w:rPr>
  </w:style>
  <w:style w:type="character" w:customStyle="1" w:styleId="120">
    <w:name w:val="五号居中 字符"/>
    <w:basedOn w:val="91"/>
    <w:link w:val="119"/>
    <w:qFormat/>
    <w:uiPriority w:val="2"/>
    <w:rPr>
      <w:kern w:val="0"/>
      <w:sz w:val="21"/>
      <w:szCs w:val="21"/>
    </w:rPr>
  </w:style>
  <w:style w:type="character" w:customStyle="1" w:styleId="121">
    <w:name w:val="标题 字符"/>
    <w:basedOn w:val="91"/>
    <w:link w:val="66"/>
    <w:qFormat/>
    <w:uiPriority w:val="10"/>
    <w:rPr>
      <w:rFonts w:cstheme="majorBidi"/>
      <w:b/>
      <w:bCs/>
      <w:kern w:val="0"/>
      <w:sz w:val="32"/>
      <w:szCs w:val="32"/>
    </w:rPr>
  </w:style>
  <w:style w:type="character" w:customStyle="1" w:styleId="122">
    <w:name w:val="副标题 字符"/>
    <w:basedOn w:val="91"/>
    <w:link w:val="65"/>
    <w:qFormat/>
    <w:uiPriority w:val="11"/>
    <w:rPr>
      <w:rFonts w:cstheme="majorBidi"/>
      <w:b/>
      <w:kern w:val="0"/>
      <w:sz w:val="30"/>
      <w:szCs w:val="32"/>
    </w:rPr>
  </w:style>
  <w:style w:type="paragraph" w:customStyle="1" w:styleId="123">
    <w:name w:val="章标题"/>
    <w:basedOn w:val="66"/>
    <w:next w:val="4"/>
    <w:link w:val="125"/>
    <w:qFormat/>
    <w:uiPriority w:val="0"/>
    <w:rPr>
      <w:sz w:val="28"/>
    </w:rPr>
  </w:style>
  <w:style w:type="paragraph" w:customStyle="1" w:styleId="124">
    <w:name w:val="节标题"/>
    <w:basedOn w:val="66"/>
    <w:next w:val="4"/>
    <w:link w:val="127"/>
    <w:qFormat/>
    <w:uiPriority w:val="7"/>
    <w:rPr>
      <w:sz w:val="24"/>
    </w:rPr>
  </w:style>
  <w:style w:type="character" w:customStyle="1" w:styleId="125">
    <w:name w:val="章标题 字符"/>
    <w:basedOn w:val="91"/>
    <w:link w:val="123"/>
    <w:qFormat/>
    <w:uiPriority w:val="6"/>
    <w:rPr>
      <w:rFonts w:cstheme="majorBidi"/>
      <w:b/>
      <w:bCs/>
      <w:kern w:val="0"/>
      <w:sz w:val="28"/>
      <w:szCs w:val="32"/>
    </w:rPr>
  </w:style>
  <w:style w:type="character" w:customStyle="1" w:styleId="126">
    <w:name w:val="题注 字符"/>
    <w:basedOn w:val="91"/>
    <w:link w:val="23"/>
    <w:qFormat/>
    <w:uiPriority w:val="8"/>
    <w:rPr>
      <w:rFonts w:cstheme="majorBidi"/>
      <w:kern w:val="0"/>
      <w:sz w:val="21"/>
      <w:szCs w:val="20"/>
    </w:rPr>
  </w:style>
  <w:style w:type="character" w:customStyle="1" w:styleId="127">
    <w:name w:val="节标题 字符"/>
    <w:basedOn w:val="91"/>
    <w:link w:val="124"/>
    <w:qFormat/>
    <w:uiPriority w:val="7"/>
    <w:rPr>
      <w:rFonts w:cstheme="majorBidi"/>
      <w:b/>
      <w:bCs/>
      <w:kern w:val="0"/>
      <w:szCs w:val="32"/>
    </w:rPr>
  </w:style>
  <w:style w:type="character" w:customStyle="1" w:styleId="128">
    <w:name w:val="页眉 字符"/>
    <w:basedOn w:val="91"/>
    <w:link w:val="58"/>
    <w:qFormat/>
    <w:uiPriority w:val="0"/>
    <w:rPr>
      <w:snapToGrid w:val="0"/>
      <w:kern w:val="0"/>
      <w:sz w:val="18"/>
      <w:szCs w:val="18"/>
    </w:rPr>
  </w:style>
  <w:style w:type="character" w:customStyle="1" w:styleId="129">
    <w:name w:val="页脚 字符"/>
    <w:basedOn w:val="91"/>
    <w:link w:val="56"/>
    <w:qFormat/>
    <w:uiPriority w:val="99"/>
    <w:rPr>
      <w:snapToGrid w:val="0"/>
      <w:kern w:val="0"/>
      <w:sz w:val="18"/>
      <w:szCs w:val="18"/>
    </w:rPr>
  </w:style>
  <w:style w:type="character" w:customStyle="1" w:styleId="130">
    <w:name w:val="尾注文本 字符"/>
    <w:basedOn w:val="91"/>
    <w:link w:val="53"/>
    <w:qFormat/>
    <w:uiPriority w:val="99"/>
    <w:rPr>
      <w:rFonts w:cs="Times New Roman"/>
    </w:rPr>
  </w:style>
  <w:style w:type="character" w:customStyle="1" w:styleId="131">
    <w:name w:val="宏文本 字符"/>
    <w:basedOn w:val="91"/>
    <w:link w:val="2"/>
    <w:qFormat/>
    <w:uiPriority w:val="99"/>
    <w:rPr>
      <w:rFonts w:ascii="Courier New" w:hAnsi="Courier New" w:cs="Courier New"/>
    </w:rPr>
  </w:style>
  <w:style w:type="character" w:customStyle="1" w:styleId="132">
    <w:name w:val="标题 2 字符1"/>
    <w:qFormat/>
    <w:locked/>
    <w:uiPriority w:val="9"/>
    <w:rPr>
      <w:rFonts w:ascii="Arial" w:hAnsi="Arial" w:eastAsia="黑体"/>
      <w:b/>
      <w:sz w:val="32"/>
    </w:rPr>
  </w:style>
  <w:style w:type="character" w:customStyle="1" w:styleId="133">
    <w:name w:val="注释标题 字符"/>
    <w:basedOn w:val="91"/>
    <w:link w:val="17"/>
    <w:qFormat/>
    <w:uiPriority w:val="99"/>
    <w:rPr>
      <w:rFonts w:cs="Times New Roman"/>
    </w:rPr>
  </w:style>
  <w:style w:type="character" w:customStyle="1" w:styleId="134">
    <w:name w:val="电子邮件签名 字符"/>
    <w:basedOn w:val="91"/>
    <w:link w:val="20"/>
    <w:qFormat/>
    <w:uiPriority w:val="99"/>
    <w:rPr>
      <w:rFonts w:cs="Times New Roman"/>
    </w:rPr>
  </w:style>
  <w:style w:type="character" w:customStyle="1" w:styleId="135">
    <w:name w:val="文档结构图 字符"/>
    <w:basedOn w:val="91"/>
    <w:link w:val="27"/>
    <w:qFormat/>
    <w:uiPriority w:val="99"/>
    <w:rPr>
      <w:rFonts w:cs="Times New Roman"/>
      <w:shd w:val="clear" w:color="auto" w:fill="000080"/>
    </w:rPr>
  </w:style>
  <w:style w:type="character" w:customStyle="1" w:styleId="136">
    <w:name w:val="批注文字 字符"/>
    <w:basedOn w:val="91"/>
    <w:link w:val="29"/>
    <w:qFormat/>
    <w:uiPriority w:val="99"/>
    <w:rPr>
      <w:rFonts w:cs="Times New Roman"/>
      <w:sz w:val="21"/>
      <w:szCs w:val="21"/>
    </w:rPr>
  </w:style>
  <w:style w:type="character" w:customStyle="1" w:styleId="137">
    <w:name w:val="称呼 字符"/>
    <w:basedOn w:val="91"/>
    <w:link w:val="31"/>
    <w:qFormat/>
    <w:uiPriority w:val="99"/>
    <w:rPr>
      <w:rFonts w:cs="Times New Roman"/>
    </w:rPr>
  </w:style>
  <w:style w:type="character" w:customStyle="1" w:styleId="138">
    <w:name w:val="正文文本 3 字符"/>
    <w:basedOn w:val="91"/>
    <w:link w:val="32"/>
    <w:qFormat/>
    <w:uiPriority w:val="99"/>
    <w:rPr>
      <w:rFonts w:cs="Times New Roman"/>
      <w:sz w:val="16"/>
      <w:szCs w:val="16"/>
    </w:rPr>
  </w:style>
  <w:style w:type="character" w:customStyle="1" w:styleId="139">
    <w:name w:val="结束语 字符"/>
    <w:basedOn w:val="91"/>
    <w:link w:val="33"/>
    <w:qFormat/>
    <w:uiPriority w:val="99"/>
    <w:rPr>
      <w:rFonts w:cs="Times New Roman"/>
    </w:rPr>
  </w:style>
  <w:style w:type="character" w:customStyle="1" w:styleId="140">
    <w:name w:val="正文文本 字符"/>
    <w:basedOn w:val="91"/>
    <w:link w:val="35"/>
    <w:qFormat/>
    <w:uiPriority w:val="99"/>
    <w:rPr>
      <w:rFonts w:cs="Times New Roman"/>
    </w:rPr>
  </w:style>
  <w:style w:type="character" w:customStyle="1" w:styleId="141">
    <w:name w:val="正文文本缩进 字符"/>
    <w:basedOn w:val="91"/>
    <w:link w:val="36"/>
    <w:qFormat/>
    <w:uiPriority w:val="0"/>
    <w:rPr>
      <w:rFonts w:cs="Times New Roman"/>
    </w:rPr>
  </w:style>
  <w:style w:type="character" w:customStyle="1" w:styleId="142">
    <w:name w:val="HTML 地址 字符"/>
    <w:basedOn w:val="91"/>
    <w:link w:val="42"/>
    <w:qFormat/>
    <w:uiPriority w:val="99"/>
    <w:rPr>
      <w:rFonts w:cs="Times New Roman"/>
      <w:i/>
      <w:iCs/>
    </w:rPr>
  </w:style>
  <w:style w:type="character" w:customStyle="1" w:styleId="143">
    <w:name w:val="纯文本 字符"/>
    <w:basedOn w:val="91"/>
    <w:qFormat/>
    <w:uiPriority w:val="0"/>
    <w:rPr>
      <w:rFonts w:hAnsi="Courier New" w:cs="Courier New" w:asciiTheme="minorEastAsia" w:eastAsiaTheme="minorEastAsia"/>
      <w:kern w:val="0"/>
    </w:rPr>
  </w:style>
  <w:style w:type="character" w:customStyle="1" w:styleId="144">
    <w:name w:val="纯文本 字符1"/>
    <w:link w:val="46"/>
    <w:qFormat/>
    <w:locked/>
    <w:uiPriority w:val="0"/>
    <w:rPr>
      <w:rFonts w:ascii="宋体" w:hAnsi="Courier New" w:cs="Times New Roman"/>
      <w:sz w:val="21"/>
      <w:szCs w:val="21"/>
    </w:rPr>
  </w:style>
  <w:style w:type="character" w:customStyle="1" w:styleId="145">
    <w:name w:val="日期 字符"/>
    <w:basedOn w:val="91"/>
    <w:link w:val="51"/>
    <w:qFormat/>
    <w:uiPriority w:val="99"/>
    <w:rPr>
      <w:rFonts w:cs="Times New Roman"/>
    </w:rPr>
  </w:style>
  <w:style w:type="character" w:customStyle="1" w:styleId="146">
    <w:name w:val="正文文本缩进 2 字符"/>
    <w:basedOn w:val="91"/>
    <w:link w:val="52"/>
    <w:qFormat/>
    <w:uiPriority w:val="99"/>
    <w:rPr>
      <w:rFonts w:cs="Times New Roman"/>
    </w:rPr>
  </w:style>
  <w:style w:type="character" w:customStyle="1" w:styleId="147">
    <w:name w:val="批注框文本 字符"/>
    <w:basedOn w:val="91"/>
    <w:link w:val="55"/>
    <w:qFormat/>
    <w:uiPriority w:val="99"/>
    <w:rPr>
      <w:rFonts w:cs="Times New Roman"/>
      <w:sz w:val="18"/>
      <w:szCs w:val="18"/>
    </w:rPr>
  </w:style>
  <w:style w:type="character" w:customStyle="1" w:styleId="148">
    <w:name w:val="签名 字符"/>
    <w:basedOn w:val="91"/>
    <w:link w:val="59"/>
    <w:qFormat/>
    <w:uiPriority w:val="99"/>
    <w:rPr>
      <w:rFonts w:cs="Times New Roman"/>
    </w:rPr>
  </w:style>
  <w:style w:type="character" w:customStyle="1" w:styleId="149">
    <w:name w:val="脚注文本 字符"/>
    <w:basedOn w:val="91"/>
    <w:link w:val="69"/>
    <w:qFormat/>
    <w:uiPriority w:val="99"/>
    <w:rPr>
      <w:rFonts w:cs="Times New Roman"/>
      <w:sz w:val="18"/>
      <w:szCs w:val="18"/>
    </w:rPr>
  </w:style>
  <w:style w:type="character" w:customStyle="1" w:styleId="150">
    <w:name w:val="正文文本缩进 3 字符"/>
    <w:basedOn w:val="91"/>
    <w:link w:val="72"/>
    <w:qFormat/>
    <w:uiPriority w:val="99"/>
    <w:rPr>
      <w:rFonts w:cs="Times New Roman"/>
      <w:sz w:val="16"/>
      <w:szCs w:val="16"/>
    </w:rPr>
  </w:style>
  <w:style w:type="character" w:customStyle="1" w:styleId="151">
    <w:name w:val="正文文本 2 字符"/>
    <w:basedOn w:val="91"/>
    <w:link w:val="78"/>
    <w:qFormat/>
    <w:uiPriority w:val="99"/>
    <w:rPr>
      <w:rFonts w:cs="Times New Roman"/>
    </w:rPr>
  </w:style>
  <w:style w:type="character" w:customStyle="1" w:styleId="152">
    <w:name w:val="信息标题 字符"/>
    <w:basedOn w:val="91"/>
    <w:link w:val="81"/>
    <w:qFormat/>
    <w:uiPriority w:val="99"/>
    <w:rPr>
      <w:rFonts w:ascii="Arial" w:hAnsi="Arial" w:cs="Times New Roman"/>
      <w:shd w:val="pct20" w:color="auto" w:fill="auto"/>
    </w:rPr>
  </w:style>
  <w:style w:type="character" w:customStyle="1" w:styleId="153">
    <w:name w:val="HTML 预设格式 字符"/>
    <w:basedOn w:val="91"/>
    <w:link w:val="82"/>
    <w:qFormat/>
    <w:uiPriority w:val="99"/>
    <w:rPr>
      <w:rFonts w:ascii="宋体" w:cs="Times New Roman"/>
      <w:kern w:val="0"/>
    </w:rPr>
  </w:style>
  <w:style w:type="character" w:customStyle="1" w:styleId="154">
    <w:name w:val="批注主题 字符"/>
    <w:basedOn w:val="136"/>
    <w:link w:val="86"/>
    <w:qFormat/>
    <w:uiPriority w:val="0"/>
    <w:rPr>
      <w:rFonts w:cs="Times New Roman"/>
      <w:b/>
      <w:bCs/>
      <w:kern w:val="0"/>
      <w:sz w:val="21"/>
      <w:szCs w:val="21"/>
    </w:rPr>
  </w:style>
  <w:style w:type="character" w:customStyle="1" w:styleId="155">
    <w:name w:val="正文文本首行缩进 字符"/>
    <w:basedOn w:val="140"/>
    <w:link w:val="87"/>
    <w:qFormat/>
    <w:uiPriority w:val="99"/>
    <w:rPr>
      <w:rFonts w:cs="Times New Roman"/>
    </w:rPr>
  </w:style>
  <w:style w:type="character" w:customStyle="1" w:styleId="156">
    <w:name w:val="正文文本首行缩进 2 字符"/>
    <w:basedOn w:val="141"/>
    <w:link w:val="88"/>
    <w:qFormat/>
    <w:uiPriority w:val="99"/>
    <w:rPr>
      <w:rFonts w:cs="Times New Roman"/>
    </w:rPr>
  </w:style>
  <w:style w:type="table" w:customStyle="1" w:styleId="157">
    <w:name w:val="网格型1"/>
    <w:basedOn w:val="89"/>
    <w:qFormat/>
    <w:uiPriority w:val="0"/>
    <w:pPr>
      <w:widowControl w:val="0"/>
      <w:spacing w:line="240" w:lineRule="auto"/>
    </w:pPr>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8">
    <w:name w:val="段"/>
    <w:link w:val="159"/>
    <w:qFormat/>
    <w:uiPriority w:val="99"/>
    <w:pPr>
      <w:autoSpaceDE w:val="0"/>
      <w:autoSpaceDN w:val="0"/>
      <w:spacing w:line="240" w:lineRule="auto"/>
      <w:ind w:firstLine="200" w:firstLineChars="200"/>
      <w:jc w:val="both"/>
    </w:pPr>
    <w:rPr>
      <w:rFonts w:ascii="宋体" w:hAnsi="宋体" w:eastAsia="宋体" w:cs="Times New Roman"/>
      <w:kern w:val="0"/>
      <w:sz w:val="21"/>
      <w:szCs w:val="20"/>
      <w:lang w:val="en-US" w:eastAsia="zh-CN" w:bidi="ar-SA"/>
    </w:rPr>
  </w:style>
  <w:style w:type="character" w:customStyle="1" w:styleId="159">
    <w:name w:val="段 Char Char"/>
    <w:link w:val="158"/>
    <w:qFormat/>
    <w:locked/>
    <w:uiPriority w:val="99"/>
    <w:rPr>
      <w:rFonts w:ascii="宋体" w:hAnsi="宋体" w:cs="Times New Roman"/>
      <w:kern w:val="0"/>
      <w:sz w:val="21"/>
      <w:szCs w:val="20"/>
    </w:rPr>
  </w:style>
  <w:style w:type="character" w:customStyle="1" w:styleId="160">
    <w:name w:val="z题名页其他"/>
    <w:qFormat/>
    <w:uiPriority w:val="0"/>
    <w:rPr>
      <w:rFonts w:ascii="Times New Roman" w:hAnsi="Times New Roman" w:eastAsia="宋体"/>
      <w:sz w:val="21"/>
    </w:rPr>
  </w:style>
  <w:style w:type="character" w:customStyle="1" w:styleId="161">
    <w:name w:val="段 Char"/>
    <w:qFormat/>
    <w:uiPriority w:val="99"/>
    <w:rPr>
      <w:rFonts w:ascii="宋体"/>
      <w:sz w:val="21"/>
    </w:rPr>
  </w:style>
  <w:style w:type="character" w:customStyle="1" w:styleId="162">
    <w:name w:val="z封二题名"/>
    <w:qFormat/>
    <w:uiPriority w:val="0"/>
    <w:rPr>
      <w:rFonts w:ascii="Times New Roman" w:hAnsi="Times New Roman" w:eastAsia="宋体"/>
      <w:sz w:val="36"/>
    </w:rPr>
  </w:style>
  <w:style w:type="character" w:customStyle="1" w:styleId="163">
    <w:name w:val="z封面其他"/>
    <w:qFormat/>
    <w:uiPriority w:val="0"/>
    <w:rPr>
      <w:rFonts w:ascii="Times New Roman" w:hAnsi="Times New Roman" w:eastAsia="宋体"/>
      <w:spacing w:val="0"/>
      <w:sz w:val="30"/>
    </w:rPr>
  </w:style>
  <w:style w:type="character" w:customStyle="1" w:styleId="164">
    <w:name w:val="t_tag"/>
    <w:qFormat/>
    <w:uiPriority w:val="0"/>
    <w:rPr>
      <w:rFonts w:cs="Times New Roman"/>
    </w:rPr>
  </w:style>
  <w:style w:type="character" w:customStyle="1" w:styleId="165">
    <w:name w:val="font31"/>
    <w:qFormat/>
    <w:uiPriority w:val="0"/>
    <w:rPr>
      <w:rFonts w:ascii="Calibri" w:hAnsi="Calibri" w:cs="Calibri"/>
      <w:color w:val="000000"/>
      <w:sz w:val="30"/>
      <w:szCs w:val="30"/>
      <w:u w:val="none"/>
    </w:rPr>
  </w:style>
  <w:style w:type="character" w:customStyle="1" w:styleId="166">
    <w:name w:val="datatitle1"/>
    <w:qFormat/>
    <w:uiPriority w:val="0"/>
    <w:rPr>
      <w:b/>
      <w:color w:val="10619F"/>
      <w:sz w:val="21"/>
    </w:rPr>
  </w:style>
  <w:style w:type="character" w:styleId="167">
    <w:name w:val="Placeholder Text"/>
    <w:semiHidden/>
    <w:qFormat/>
    <w:uiPriority w:val="99"/>
    <w:rPr>
      <w:rFonts w:cs="Times New Roman"/>
      <w:color w:val="808080"/>
    </w:rPr>
  </w:style>
  <w:style w:type="character" w:customStyle="1" w:styleId="168">
    <w:name w:val="z封面题名"/>
    <w:qFormat/>
    <w:uiPriority w:val="0"/>
    <w:rPr>
      <w:rFonts w:ascii="Times New Roman" w:hAnsi="Times New Roman" w:eastAsia="宋体"/>
      <w:b/>
      <w:spacing w:val="0"/>
      <w:sz w:val="36"/>
    </w:rPr>
  </w:style>
  <w:style w:type="character" w:customStyle="1" w:styleId="169">
    <w:name w:val="short_text1"/>
    <w:qFormat/>
    <w:uiPriority w:val="0"/>
    <w:rPr>
      <w:rFonts w:cs="Times New Roman"/>
      <w:sz w:val="19"/>
      <w:szCs w:val="19"/>
    </w:rPr>
  </w:style>
  <w:style w:type="character" w:customStyle="1" w:styleId="170">
    <w:name w:val="font11"/>
    <w:qFormat/>
    <w:uiPriority w:val="0"/>
    <w:rPr>
      <w:rFonts w:ascii="宋体" w:hAnsi="宋体" w:eastAsia="宋体" w:cs="宋体"/>
      <w:color w:val="000000"/>
      <w:sz w:val="18"/>
      <w:szCs w:val="18"/>
      <w:u w:val="none"/>
    </w:rPr>
  </w:style>
  <w:style w:type="character" w:customStyle="1" w:styleId="171">
    <w:name w:val="z书脊"/>
    <w:qFormat/>
    <w:uiPriority w:val="0"/>
    <w:rPr>
      <w:rFonts w:ascii="Times New Roman" w:hAnsi="Times New Roman" w:eastAsia="宋体"/>
      <w:b/>
      <w:sz w:val="32"/>
    </w:rPr>
  </w:style>
  <w:style w:type="character" w:customStyle="1" w:styleId="172">
    <w:name w:val="z封二其他"/>
    <w:qFormat/>
    <w:uiPriority w:val="0"/>
    <w:rPr>
      <w:rFonts w:ascii="Times New Roman" w:hAnsi="Times New Roman" w:eastAsia="宋体"/>
      <w:sz w:val="24"/>
    </w:rPr>
  </w:style>
  <w:style w:type="character" w:customStyle="1" w:styleId="173">
    <w:name w:val="上标"/>
    <w:qFormat/>
    <w:uiPriority w:val="0"/>
    <w:rPr>
      <w:vertAlign w:val="superscript"/>
    </w:rPr>
  </w:style>
  <w:style w:type="character" w:customStyle="1" w:styleId="174">
    <w:name w:val="apple-style-span"/>
    <w:qFormat/>
    <w:uiPriority w:val="0"/>
    <w:rPr>
      <w:rFonts w:cs="Times New Roman"/>
    </w:rPr>
  </w:style>
  <w:style w:type="character" w:customStyle="1" w:styleId="175">
    <w:name w:val="z题名页作者"/>
    <w:qFormat/>
    <w:uiPriority w:val="0"/>
    <w:rPr>
      <w:rFonts w:cs="Times New Roman"/>
    </w:rPr>
  </w:style>
  <w:style w:type="character" w:customStyle="1" w:styleId="176">
    <w:name w:val="apple-converted-space"/>
    <w:qFormat/>
    <w:uiPriority w:val="0"/>
    <w:rPr>
      <w:rFonts w:cs="Times New Roman"/>
    </w:rPr>
  </w:style>
  <w:style w:type="character" w:customStyle="1" w:styleId="177">
    <w:name w:val="u正文 Char Char"/>
    <w:link w:val="178"/>
    <w:qFormat/>
    <w:locked/>
    <w:uiPriority w:val="0"/>
  </w:style>
  <w:style w:type="paragraph" w:customStyle="1" w:styleId="178">
    <w:name w:val="u正文 Char"/>
    <w:basedOn w:val="1"/>
    <w:link w:val="177"/>
    <w:qFormat/>
    <w:uiPriority w:val="0"/>
    <w:pPr>
      <w:spacing w:beforeLines="10" w:afterLines="10" w:line="312" w:lineRule="auto"/>
      <w:ind w:firstLine="200" w:firstLineChars="200"/>
    </w:pPr>
    <w:rPr>
      <w:kern w:val="2"/>
    </w:rPr>
  </w:style>
  <w:style w:type="character" w:customStyle="1" w:styleId="179">
    <w:name w:val="z题名页题名"/>
    <w:qFormat/>
    <w:uiPriority w:val="0"/>
    <w:rPr>
      <w:rFonts w:ascii="Times New Roman" w:hAnsi="Times New Roman" w:eastAsia="宋体"/>
      <w:sz w:val="28"/>
    </w:rPr>
  </w:style>
  <w:style w:type="character" w:customStyle="1" w:styleId="180">
    <w:name w:val="z题名页日期"/>
    <w:qFormat/>
    <w:uiPriority w:val="0"/>
    <w:rPr>
      <w:rFonts w:ascii="Times New Roman" w:hAnsi="Times New Roman" w:eastAsia="宋体"/>
      <w:spacing w:val="0"/>
      <w:sz w:val="28"/>
    </w:rPr>
  </w:style>
  <w:style w:type="character" w:customStyle="1" w:styleId="181">
    <w:name w:val="章标题 Char Char"/>
    <w:qFormat/>
    <w:uiPriority w:val="0"/>
    <w:rPr>
      <w:rFonts w:ascii="黑体" w:hAnsi="黑体" w:eastAsia="黑体"/>
      <w:sz w:val="24"/>
      <w:lang w:val="en-US" w:eastAsia="zh-CN" w:bidi="ar-SA"/>
    </w:rPr>
  </w:style>
  <w:style w:type="character" w:customStyle="1" w:styleId="182">
    <w:name w:val="u关键词"/>
    <w:qFormat/>
    <w:uiPriority w:val="0"/>
    <w:rPr>
      <w:rFonts w:ascii="Times New Roman" w:hAnsi="Times New Roman" w:eastAsia="黑体"/>
      <w:b/>
      <w:sz w:val="24"/>
    </w:rPr>
  </w:style>
  <w:style w:type="character" w:customStyle="1" w:styleId="183">
    <w:name w:val="font21"/>
    <w:qFormat/>
    <w:uiPriority w:val="0"/>
    <w:rPr>
      <w:rFonts w:ascii="宋体" w:hAnsi="宋体" w:eastAsia="宋体" w:cs="宋体"/>
      <w:color w:val="000000"/>
      <w:sz w:val="22"/>
      <w:szCs w:val="22"/>
      <w:u w:val="none"/>
    </w:rPr>
  </w:style>
  <w:style w:type="paragraph" w:customStyle="1" w:styleId="184">
    <w:name w:val="图标题"/>
    <w:basedOn w:val="1"/>
    <w:next w:val="1"/>
    <w:qFormat/>
    <w:uiPriority w:val="0"/>
    <w:pPr>
      <w:widowControl/>
      <w:spacing w:before="200" w:after="400" w:line="312" w:lineRule="auto"/>
      <w:ind w:firstLine="476" w:firstLineChars="200"/>
      <w:jc w:val="center"/>
    </w:pPr>
    <w:rPr>
      <w:rFonts w:cs="Times New Roman"/>
      <w:b/>
      <w:spacing w:val="-5"/>
      <w:szCs w:val="20"/>
    </w:rPr>
  </w:style>
  <w:style w:type="paragraph" w:customStyle="1" w:styleId="185">
    <w:name w:val="三级条标题"/>
    <w:basedOn w:val="186"/>
    <w:next w:val="158"/>
    <w:qFormat/>
    <w:uiPriority w:val="0"/>
    <w:pPr>
      <w:tabs>
        <w:tab w:val="left" w:pos="1680"/>
        <w:tab w:val="left" w:pos="2100"/>
        <w:tab w:val="left" w:pos="2520"/>
      </w:tabs>
      <w:ind w:left="2520"/>
      <w:outlineLvl w:val="4"/>
    </w:pPr>
  </w:style>
  <w:style w:type="paragraph" w:customStyle="1" w:styleId="186">
    <w:name w:val="二级条标题"/>
    <w:basedOn w:val="187"/>
    <w:next w:val="158"/>
    <w:qFormat/>
    <w:uiPriority w:val="0"/>
    <w:pPr>
      <w:tabs>
        <w:tab w:val="left" w:pos="1680"/>
        <w:tab w:val="left" w:pos="2100"/>
      </w:tabs>
      <w:ind w:left="2100"/>
      <w:outlineLvl w:val="3"/>
    </w:pPr>
  </w:style>
  <w:style w:type="paragraph" w:customStyle="1" w:styleId="187">
    <w:name w:val="一级条标题"/>
    <w:basedOn w:val="123"/>
    <w:next w:val="158"/>
    <w:qFormat/>
    <w:uiPriority w:val="99"/>
    <w:pPr>
      <w:keepNext w:val="0"/>
      <w:tabs>
        <w:tab w:val="left" w:pos="1680"/>
      </w:tabs>
      <w:spacing w:line="240" w:lineRule="auto"/>
      <w:ind w:left="1680" w:leftChars="0" w:right="0" w:rightChars="0" w:hanging="420"/>
      <w:jc w:val="both"/>
      <w:outlineLvl w:val="2"/>
    </w:pPr>
    <w:rPr>
      <w:rFonts w:ascii="黑体" w:hAnsi="黑体" w:eastAsia="黑体" w:cs="Times New Roman"/>
      <w:b w:val="0"/>
      <w:bCs w:val="0"/>
      <w:sz w:val="24"/>
      <w:szCs w:val="20"/>
    </w:rPr>
  </w:style>
  <w:style w:type="paragraph" w:customStyle="1" w:styleId="188">
    <w:name w:val="四级条标题"/>
    <w:basedOn w:val="185"/>
    <w:next w:val="158"/>
    <w:qFormat/>
    <w:uiPriority w:val="0"/>
    <w:pPr>
      <w:tabs>
        <w:tab w:val="left" w:pos="2940"/>
      </w:tabs>
      <w:ind w:left="2940"/>
      <w:outlineLvl w:val="5"/>
    </w:pPr>
  </w:style>
  <w:style w:type="paragraph" w:customStyle="1" w:styleId="189">
    <w:name w:val="表标题"/>
    <w:basedOn w:val="1"/>
    <w:next w:val="1"/>
    <w:qFormat/>
    <w:uiPriority w:val="0"/>
    <w:pPr>
      <w:widowControl/>
      <w:spacing w:before="400" w:after="200" w:line="312" w:lineRule="auto"/>
      <w:ind w:firstLine="883" w:firstLineChars="200"/>
      <w:jc w:val="left"/>
    </w:pPr>
    <w:rPr>
      <w:rFonts w:cs="Times New Roman"/>
      <w:b/>
      <w:spacing w:val="-5"/>
      <w:szCs w:val="20"/>
    </w:rPr>
  </w:style>
  <w:style w:type="paragraph" w:customStyle="1" w:styleId="190">
    <w:name w:val="xl72"/>
    <w:basedOn w:val="1"/>
    <w:qFormat/>
    <w:uiPriority w:val="0"/>
    <w:pPr>
      <w:widowControl/>
      <w:pBdr>
        <w:left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191">
    <w:name w:val="其他"/>
    <w:basedOn w:val="1"/>
    <w:qFormat/>
    <w:uiPriority w:val="0"/>
    <w:pPr>
      <w:spacing w:line="312" w:lineRule="auto"/>
      <w:ind w:firstLine="883" w:firstLineChars="200"/>
    </w:pPr>
    <w:rPr>
      <w:rFonts w:cs="Times New Roman"/>
      <w:kern w:val="2"/>
    </w:rPr>
  </w:style>
  <w:style w:type="paragraph" w:customStyle="1" w:styleId="192">
    <w:name w:val="u参考文献条目著者出版年制"/>
    <w:basedOn w:val="1"/>
    <w:qFormat/>
    <w:uiPriority w:val="0"/>
    <w:pPr>
      <w:spacing w:line="312" w:lineRule="auto"/>
      <w:ind w:left="200" w:hanging="200" w:hangingChars="200"/>
    </w:pPr>
    <w:rPr>
      <w:rFonts w:cs="Times New Roman"/>
      <w:kern w:val="2"/>
    </w:rPr>
  </w:style>
  <w:style w:type="paragraph" w:customStyle="1" w:styleId="193">
    <w:name w:val="尾消息标题"/>
    <w:basedOn w:val="1"/>
    <w:next w:val="35"/>
    <w:qFormat/>
    <w:uiPriority w:val="0"/>
    <w:pPr>
      <w:widowControl/>
      <w:pBdr>
        <w:bottom w:val="single" w:color="auto" w:sz="6" w:space="19"/>
        <w:between w:val="single" w:color="auto" w:sz="6" w:space="19"/>
      </w:pBdr>
      <w:tabs>
        <w:tab w:val="left" w:pos="1260"/>
        <w:tab w:val="left" w:pos="2940"/>
      </w:tabs>
      <w:spacing w:before="120" w:after="120" w:line="312" w:lineRule="auto"/>
      <w:ind w:firstLine="883" w:firstLineChars="200"/>
      <w:jc w:val="left"/>
    </w:pPr>
    <w:rPr>
      <w:rFonts w:cs="Times New Roman"/>
      <w:spacing w:val="-5"/>
      <w:szCs w:val="20"/>
    </w:rPr>
  </w:style>
  <w:style w:type="paragraph" w:customStyle="1" w:styleId="194">
    <w:name w:val="Char Char Char Char"/>
    <w:basedOn w:val="1"/>
    <w:qFormat/>
    <w:uiPriority w:val="0"/>
    <w:pPr>
      <w:widowControl/>
      <w:spacing w:after="160" w:line="240" w:lineRule="exact"/>
      <w:ind w:firstLine="883" w:firstLineChars="200"/>
      <w:jc w:val="left"/>
    </w:pPr>
    <w:rPr>
      <w:rFonts w:cs="Times New Roman"/>
      <w:kern w:val="2"/>
    </w:rPr>
  </w:style>
  <w:style w:type="paragraph" w:customStyle="1" w:styleId="195">
    <w:name w:val="附录章标题"/>
    <w:next w:val="158"/>
    <w:qFormat/>
    <w:uiPriority w:val="0"/>
    <w:pPr>
      <w:wordWrap w:val="0"/>
      <w:overflowPunct w:val="0"/>
      <w:autoSpaceDE w:val="0"/>
      <w:spacing w:beforeLines="50" w:afterLines="50" w:line="240" w:lineRule="auto"/>
      <w:jc w:val="both"/>
      <w:textAlignment w:val="baseline"/>
      <w:outlineLvl w:val="1"/>
    </w:pPr>
    <w:rPr>
      <w:rFonts w:ascii="黑体" w:hAnsi="Times New Roman" w:eastAsia="黑体" w:cs="Times New Roman"/>
      <w:kern w:val="21"/>
      <w:sz w:val="21"/>
      <w:szCs w:val="20"/>
      <w:lang w:val="en-US" w:eastAsia="zh-CN" w:bidi="ar-SA"/>
    </w:rPr>
  </w:style>
  <w:style w:type="paragraph" w:customStyle="1" w:styleId="196">
    <w:name w:val="ustb bt1"/>
    <w:basedOn w:val="3"/>
    <w:qFormat/>
    <w:uiPriority w:val="0"/>
    <w:pPr>
      <w:keepLines/>
      <w:widowControl w:val="0"/>
      <w:spacing w:before="340" w:after="330" w:line="576" w:lineRule="auto"/>
      <w:ind w:firstLine="883" w:firstLineChars="200"/>
    </w:pPr>
    <w:rPr>
      <w:rFonts w:cs="Times New Roman"/>
      <w:kern w:val="44"/>
      <w:sz w:val="44"/>
    </w:rPr>
  </w:style>
  <w:style w:type="paragraph" w:customStyle="1" w:styleId="197">
    <w:name w:val="列出段落1"/>
    <w:basedOn w:val="1"/>
    <w:qFormat/>
    <w:uiPriority w:val="0"/>
    <w:pPr>
      <w:spacing w:line="312" w:lineRule="auto"/>
      <w:ind w:firstLine="420" w:firstLineChars="200"/>
    </w:pPr>
    <w:rPr>
      <w:rFonts w:ascii="Calibri" w:hAnsi="Calibri" w:cs="黑体"/>
      <w:kern w:val="2"/>
      <w:szCs w:val="22"/>
    </w:rPr>
  </w:style>
  <w:style w:type="paragraph" w:customStyle="1" w:styleId="198">
    <w:name w:val="xl78"/>
    <w:basedOn w:val="1"/>
    <w:qFormat/>
    <w:uiPriority w:val="0"/>
    <w:pPr>
      <w:widowControl/>
      <w:pBdr>
        <w:top w:val="single" w:color="auto" w:sz="8" w:space="0"/>
        <w:left w:val="single" w:color="auto" w:sz="8" w:space="0"/>
        <w:bottom w:val="single" w:color="auto" w:sz="8" w:space="0"/>
        <w:right w:val="single" w:color="auto" w:sz="8" w:space="0"/>
      </w:pBdr>
      <w:shd w:val="clear" w:color="000000" w:fill="C0C0C0"/>
      <w:spacing w:before="100" w:beforeAutospacing="1" w:after="100" w:afterAutospacing="1" w:line="312" w:lineRule="auto"/>
      <w:ind w:firstLine="883" w:firstLineChars="200"/>
      <w:jc w:val="center"/>
    </w:pPr>
    <w:rPr>
      <w:rFonts w:cs="Times New Roman"/>
      <w:sz w:val="20"/>
      <w:szCs w:val="20"/>
    </w:rPr>
  </w:style>
  <w:style w:type="paragraph" w:customStyle="1" w:styleId="199">
    <w:name w:val="标准"/>
    <w:basedOn w:val="1"/>
    <w:qFormat/>
    <w:uiPriority w:val="0"/>
    <w:pPr>
      <w:adjustRightInd w:val="0"/>
      <w:spacing w:line="312" w:lineRule="atLeast"/>
      <w:ind w:firstLine="883" w:firstLineChars="200"/>
      <w:jc w:val="center"/>
      <w:textAlignment w:val="baseline"/>
    </w:pPr>
    <w:rPr>
      <w:rFonts w:cs="Times New Roman"/>
      <w:szCs w:val="20"/>
    </w:rPr>
  </w:style>
  <w:style w:type="paragraph" w:customStyle="1" w:styleId="200">
    <w:name w:val="u脚注"/>
    <w:basedOn w:val="1"/>
    <w:qFormat/>
    <w:uiPriority w:val="0"/>
    <w:pPr>
      <w:spacing w:before="100" w:beforeAutospacing="1" w:after="100" w:afterAutospacing="1" w:line="312" w:lineRule="auto"/>
      <w:ind w:firstLine="883" w:firstLineChars="200"/>
    </w:pPr>
    <w:rPr>
      <w:rFonts w:cs="Times New Roman"/>
      <w:kern w:val="2"/>
    </w:rPr>
  </w:style>
  <w:style w:type="paragraph" w:customStyle="1" w:styleId="201">
    <w:name w:val="样式 u正文 + 首行缩进:  2 字符 段前: 0.5 行 段后: 0.5 行1"/>
    <w:basedOn w:val="202"/>
    <w:qFormat/>
    <w:uiPriority w:val="0"/>
  </w:style>
  <w:style w:type="paragraph" w:customStyle="1" w:styleId="202">
    <w:name w:val="u正文"/>
    <w:basedOn w:val="1"/>
    <w:qFormat/>
    <w:uiPriority w:val="0"/>
    <w:pPr>
      <w:spacing w:beforeLines="10" w:afterLines="10" w:line="312" w:lineRule="auto"/>
      <w:ind w:firstLine="200" w:firstLineChars="200"/>
    </w:pPr>
    <w:rPr>
      <w:rFonts w:cs="宋体"/>
      <w:kern w:val="2"/>
      <w:szCs w:val="20"/>
    </w:rPr>
  </w:style>
  <w:style w:type="paragraph" w:customStyle="1" w:styleId="203">
    <w:name w:val="u正文 + 首行缩进:  2 字符 段前: 0.5 行2"/>
    <w:basedOn w:val="202"/>
    <w:qFormat/>
    <w:uiPriority w:val="0"/>
    <w:pPr>
      <w:spacing w:beforeLines="20"/>
    </w:pPr>
    <w:rPr>
      <w:kern w:val="0"/>
    </w:rPr>
  </w:style>
  <w:style w:type="paragraph" w:customStyle="1" w:styleId="204">
    <w:name w:val="xl74"/>
    <w:basedOn w:val="1"/>
    <w:qFormat/>
    <w:uiPriority w:val="0"/>
    <w:pPr>
      <w:widowControl/>
      <w:pBdr>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05">
    <w:name w:val="附录一级条标题"/>
    <w:basedOn w:val="195"/>
    <w:next w:val="158"/>
    <w:qFormat/>
    <w:uiPriority w:val="0"/>
    <w:pPr>
      <w:autoSpaceDN w:val="0"/>
      <w:spacing w:beforeLines="0" w:afterLines="0"/>
      <w:outlineLvl w:val="2"/>
    </w:pPr>
  </w:style>
  <w:style w:type="paragraph" w:customStyle="1" w:styleId="206">
    <w:name w:val="附录五级条标题"/>
    <w:basedOn w:val="207"/>
    <w:next w:val="158"/>
    <w:qFormat/>
    <w:uiPriority w:val="0"/>
    <w:pPr>
      <w:outlineLvl w:val="6"/>
    </w:pPr>
  </w:style>
  <w:style w:type="paragraph" w:customStyle="1" w:styleId="207">
    <w:name w:val="附录四级条标题"/>
    <w:basedOn w:val="208"/>
    <w:next w:val="158"/>
    <w:qFormat/>
    <w:uiPriority w:val="0"/>
    <w:pPr>
      <w:outlineLvl w:val="5"/>
    </w:pPr>
  </w:style>
  <w:style w:type="paragraph" w:customStyle="1" w:styleId="208">
    <w:name w:val="附录三级条标题"/>
    <w:basedOn w:val="209"/>
    <w:next w:val="158"/>
    <w:qFormat/>
    <w:uiPriority w:val="0"/>
    <w:pPr>
      <w:outlineLvl w:val="4"/>
    </w:pPr>
  </w:style>
  <w:style w:type="paragraph" w:customStyle="1" w:styleId="209">
    <w:name w:val="附录二级条标题"/>
    <w:basedOn w:val="205"/>
    <w:next w:val="158"/>
    <w:qFormat/>
    <w:uiPriority w:val="0"/>
    <w:pPr>
      <w:outlineLvl w:val="3"/>
    </w:pPr>
  </w:style>
  <w:style w:type="paragraph" w:customStyle="1" w:styleId="21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11">
    <w:name w:val="五级条标题"/>
    <w:basedOn w:val="188"/>
    <w:next w:val="158"/>
    <w:qFormat/>
    <w:uiPriority w:val="0"/>
    <w:pPr>
      <w:tabs>
        <w:tab w:val="left" w:pos="3360"/>
      </w:tabs>
      <w:ind w:left="3360"/>
      <w:outlineLvl w:val="6"/>
    </w:pPr>
  </w:style>
  <w:style w:type="paragraph" w:customStyle="1" w:styleId="212">
    <w:name w:val="xl83"/>
    <w:basedOn w:val="1"/>
    <w:qFormat/>
    <w:uiPriority w:val="0"/>
    <w:pPr>
      <w:widowControl/>
      <w:pBdr>
        <w:top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13">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sz w:val="20"/>
      <w:szCs w:val="20"/>
    </w:rPr>
  </w:style>
  <w:style w:type="paragraph" w:customStyle="1" w:styleId="215">
    <w:name w:val="xl7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20"/>
      <w:szCs w:val="20"/>
    </w:rPr>
  </w:style>
  <w:style w:type="paragraph" w:customStyle="1" w:styleId="216">
    <w:name w:val="u正文3级标题"/>
    <w:basedOn w:val="6"/>
    <w:next w:val="1"/>
    <w:qFormat/>
    <w:uiPriority w:val="0"/>
    <w:pPr>
      <w:keepLines/>
      <w:widowControl w:val="0"/>
      <w:spacing w:before="260" w:after="260" w:line="312" w:lineRule="auto"/>
      <w:ind w:left="2160" w:firstLine="883" w:firstLineChars="200"/>
    </w:pPr>
    <w:rPr>
      <w:rFonts w:cs="Times New Roman"/>
      <w:bCs/>
      <w:kern w:val="2"/>
      <w:sz w:val="28"/>
    </w:rPr>
  </w:style>
  <w:style w:type="paragraph" w:customStyle="1" w:styleId="217">
    <w:name w:val="u标题 不入目录"/>
    <w:basedOn w:val="1"/>
    <w:qFormat/>
    <w:uiPriority w:val="0"/>
    <w:pPr>
      <w:spacing w:line="312" w:lineRule="auto"/>
      <w:ind w:firstLine="883" w:firstLineChars="200"/>
      <w:jc w:val="center"/>
    </w:pPr>
    <w:rPr>
      <w:rFonts w:eastAsia="黑体" w:cs="Times New Roman"/>
      <w:b/>
      <w:kern w:val="2"/>
      <w:sz w:val="30"/>
      <w:szCs w:val="30"/>
    </w:rPr>
  </w:style>
  <w:style w:type="paragraph" w:customStyle="1" w:styleId="218">
    <w:name w:val="样式 u正文 + 首行缩进:  2 字符 段前: 0.5 行 段后: 0.5 行"/>
    <w:basedOn w:val="202"/>
    <w:qFormat/>
    <w:uiPriority w:val="0"/>
  </w:style>
  <w:style w:type="paragraph" w:customStyle="1" w:styleId="219">
    <w:name w:val="xl80"/>
    <w:basedOn w:val="1"/>
    <w:qFormat/>
    <w:uiPriority w:val="0"/>
    <w:pPr>
      <w:widowControl/>
      <w:pBdr>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ascii="宋体" w:hAnsi="宋体" w:cs="宋体"/>
      <w:sz w:val="18"/>
      <w:szCs w:val="18"/>
    </w:rPr>
  </w:style>
  <w:style w:type="paragraph" w:customStyle="1" w:styleId="220">
    <w:name w:val="u正文2级标题"/>
    <w:basedOn w:val="5"/>
    <w:next w:val="1"/>
    <w:qFormat/>
    <w:uiPriority w:val="0"/>
    <w:pPr>
      <w:keepLines/>
      <w:widowControl w:val="0"/>
      <w:spacing w:before="10" w:after="10" w:line="312" w:lineRule="auto"/>
      <w:ind w:left="360"/>
    </w:pPr>
    <w:rPr>
      <w:rFonts w:cs="Times New Roman"/>
      <w:sz w:val="28"/>
      <w:szCs w:val="20"/>
    </w:rPr>
  </w:style>
  <w:style w:type="paragraph" w:customStyle="1" w:styleId="221">
    <w:name w:val="标准书眉_奇数页"/>
    <w:next w:val="1"/>
    <w:qFormat/>
    <w:uiPriority w:val="0"/>
    <w:pPr>
      <w:tabs>
        <w:tab w:val="center" w:pos="4154"/>
        <w:tab w:val="right" w:pos="8306"/>
      </w:tabs>
      <w:spacing w:after="220" w:line="240" w:lineRule="auto"/>
      <w:jc w:val="right"/>
    </w:pPr>
    <w:rPr>
      <w:rFonts w:ascii="黑体" w:hAnsi="Times New Roman" w:eastAsia="黑体" w:cs="Times New Roman"/>
      <w:kern w:val="0"/>
      <w:sz w:val="21"/>
      <w:szCs w:val="21"/>
      <w:lang w:val="en-US" w:eastAsia="zh-CN" w:bidi="ar-SA"/>
    </w:rPr>
  </w:style>
  <w:style w:type="paragraph" w:customStyle="1" w:styleId="222">
    <w:name w:val="附录标识"/>
    <w:basedOn w:val="223"/>
    <w:qFormat/>
    <w:uiPriority w:val="0"/>
    <w:pPr>
      <w:tabs>
        <w:tab w:val="left" w:pos="780"/>
        <w:tab w:val="left" w:pos="6405"/>
      </w:tabs>
      <w:spacing w:after="200"/>
      <w:ind w:left="0" w:firstLine="0"/>
    </w:pPr>
    <w:rPr>
      <w:sz w:val="21"/>
    </w:rPr>
  </w:style>
  <w:style w:type="paragraph" w:customStyle="1" w:styleId="223">
    <w:name w:val="前言、引言标题"/>
    <w:next w:val="1"/>
    <w:qFormat/>
    <w:uiPriority w:val="0"/>
    <w:pPr>
      <w:shd w:val="clear" w:color="FFFFFF" w:fill="FFFFFF"/>
      <w:tabs>
        <w:tab w:val="left" w:pos="780"/>
      </w:tabs>
      <w:spacing w:before="640" w:after="560" w:line="240" w:lineRule="auto"/>
      <w:ind w:left="780" w:hanging="360"/>
      <w:jc w:val="center"/>
      <w:outlineLvl w:val="0"/>
    </w:pPr>
    <w:rPr>
      <w:rFonts w:ascii="黑体" w:hAnsi="Times New Roman" w:eastAsia="黑体" w:cs="Times New Roman"/>
      <w:kern w:val="0"/>
      <w:sz w:val="32"/>
      <w:szCs w:val="20"/>
      <w:lang w:val="en-US" w:eastAsia="zh-CN" w:bidi="ar-SA"/>
    </w:rPr>
  </w:style>
  <w:style w:type="paragraph" w:customStyle="1" w:styleId="224">
    <w:name w:val="xl76"/>
    <w:basedOn w:val="1"/>
    <w:qFormat/>
    <w:uiPriority w:val="0"/>
    <w:pPr>
      <w:widowControl/>
      <w:pBdr>
        <w:top w:val="single" w:color="auto" w:sz="8" w:space="0"/>
        <w:left w:val="single" w:color="auto" w:sz="8" w:space="0"/>
        <w:bottom w:val="single" w:color="auto" w:sz="8" w:space="0"/>
        <w:right w:val="single" w:color="auto" w:sz="8" w:space="0"/>
      </w:pBdr>
      <w:shd w:val="clear" w:color="000000" w:fill="FFCC99"/>
      <w:spacing w:before="100" w:beforeAutospacing="1" w:after="100" w:afterAutospacing="1" w:line="312" w:lineRule="auto"/>
      <w:ind w:firstLine="883" w:firstLineChars="200"/>
      <w:jc w:val="center"/>
    </w:pPr>
    <w:rPr>
      <w:rFonts w:cs="Times New Roman"/>
      <w:sz w:val="20"/>
      <w:szCs w:val="20"/>
    </w:rPr>
  </w:style>
  <w:style w:type="paragraph" w:customStyle="1" w:styleId="22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26">
    <w:name w:val="标准书脚_奇数页"/>
    <w:qFormat/>
    <w:uiPriority w:val="0"/>
    <w:pPr>
      <w:spacing w:before="120" w:line="240" w:lineRule="auto"/>
      <w:ind w:right="198"/>
      <w:jc w:val="right"/>
    </w:pPr>
    <w:rPr>
      <w:rFonts w:ascii="宋体" w:hAnsi="Times New Roman" w:eastAsia="宋体" w:cs="Times New Roman"/>
      <w:kern w:val="0"/>
      <w:sz w:val="18"/>
      <w:szCs w:val="18"/>
      <w:lang w:val="en-US" w:eastAsia="zh-CN" w:bidi="ar-SA"/>
    </w:rPr>
  </w:style>
  <w:style w:type="paragraph" w:customStyle="1" w:styleId="227">
    <w:name w:val="u图标题"/>
    <w:basedOn w:val="1"/>
    <w:next w:val="202"/>
    <w:qFormat/>
    <w:uiPriority w:val="0"/>
    <w:pPr>
      <w:spacing w:beforeLines="50" w:afterLines="150"/>
      <w:ind w:firstLine="883" w:firstLineChars="200"/>
      <w:jc w:val="center"/>
    </w:pPr>
    <w:rPr>
      <w:rFonts w:eastAsia="黑体" w:cs="Times New Roman"/>
      <w:b/>
      <w:kern w:val="2"/>
    </w:rPr>
  </w:style>
  <w:style w:type="paragraph" w:customStyle="1" w:styleId="228">
    <w:name w:val="u标题 自动分页"/>
    <w:basedOn w:val="229"/>
    <w:next w:val="202"/>
    <w:qFormat/>
    <w:uiPriority w:val="0"/>
    <w:pPr>
      <w:pageBreakBefore/>
    </w:pPr>
  </w:style>
  <w:style w:type="paragraph" w:customStyle="1" w:styleId="229">
    <w:name w:val="u标题"/>
    <w:basedOn w:val="3"/>
    <w:next w:val="178"/>
    <w:qFormat/>
    <w:uiPriority w:val="0"/>
    <w:pPr>
      <w:keepLines/>
      <w:widowControl w:val="0"/>
      <w:spacing w:before="340" w:after="330" w:line="576" w:lineRule="auto"/>
      <w:ind w:firstLine="883" w:firstLineChars="200"/>
      <w:jc w:val="center"/>
    </w:pPr>
    <w:rPr>
      <w:rFonts w:eastAsia="黑体" w:cs="Times New Roman"/>
      <w:kern w:val="44"/>
      <w:sz w:val="30"/>
    </w:rPr>
  </w:style>
  <w:style w:type="paragraph" w:customStyle="1" w:styleId="23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31">
    <w:name w:val="样式 u正文 + 首行缩进:  2 字符 段前: 0.5 行"/>
    <w:basedOn w:val="202"/>
    <w:qFormat/>
    <w:uiPriority w:val="0"/>
    <w:pPr>
      <w:spacing w:beforeLines="0" w:beforeAutospacing="1"/>
    </w:pPr>
  </w:style>
  <w:style w:type="paragraph" w:customStyle="1" w:styleId="232">
    <w:name w:val="u参考文献条目顺序编码制"/>
    <w:basedOn w:val="1"/>
    <w:qFormat/>
    <w:uiPriority w:val="0"/>
    <w:pPr>
      <w:tabs>
        <w:tab w:val="left" w:pos="525"/>
        <w:tab w:val="left" w:pos="927"/>
      </w:tabs>
      <w:spacing w:before="100" w:beforeAutospacing="1" w:after="100" w:afterAutospacing="1" w:line="312" w:lineRule="auto"/>
      <w:ind w:left="525" w:hanging="525" w:firstLineChars="200"/>
    </w:pPr>
    <w:rPr>
      <w:rFonts w:cs="Times New Roman"/>
      <w:kern w:val="2"/>
    </w:rPr>
  </w:style>
  <w:style w:type="paragraph" w:customStyle="1" w:styleId="233">
    <w:name w:val="xl81"/>
    <w:basedOn w:val="1"/>
    <w:qFormat/>
    <w:uiPriority w:val="0"/>
    <w:pPr>
      <w:widowControl/>
      <w:pBdr>
        <w:top w:val="single" w:color="auto" w:sz="8" w:space="0"/>
        <w:left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34">
    <w:name w:val="1"/>
    <w:qFormat/>
    <w:uiPriority w:val="99"/>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235">
    <w:name w:val="List Paragraph"/>
    <w:basedOn w:val="1"/>
    <w:qFormat/>
    <w:uiPriority w:val="34"/>
    <w:pPr>
      <w:spacing w:line="312" w:lineRule="auto"/>
      <w:ind w:firstLine="420" w:firstLineChars="200"/>
    </w:pPr>
    <w:rPr>
      <w:rFonts w:cs="Times New Roman"/>
      <w:kern w:val="2"/>
    </w:rPr>
  </w:style>
  <w:style w:type="paragraph" w:customStyle="1" w:styleId="236">
    <w:name w:val="xl7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20"/>
      <w:szCs w:val="20"/>
    </w:rPr>
  </w:style>
  <w:style w:type="paragraph" w:customStyle="1" w:styleId="237">
    <w:name w:val="Char Char Char Char Char Char Char Char Char"/>
    <w:basedOn w:val="1"/>
    <w:qFormat/>
    <w:uiPriority w:val="0"/>
    <w:pPr>
      <w:widowControl/>
      <w:spacing w:after="160" w:line="240" w:lineRule="exact"/>
      <w:ind w:firstLine="883" w:firstLineChars="200"/>
      <w:jc w:val="left"/>
    </w:pPr>
    <w:rPr>
      <w:rFonts w:ascii="Verdana" w:hAnsi="Verdana" w:eastAsia="仿宋_GB2312" w:cs="Times New Roman"/>
      <w:szCs w:val="20"/>
      <w:lang w:eastAsia="en-US"/>
    </w:rPr>
  </w:style>
  <w:style w:type="paragraph" w:customStyle="1" w:styleId="238">
    <w:name w:val="样式 u正文 + 首行缩进:  2 字符 段前: 0.5 行1"/>
    <w:basedOn w:val="202"/>
    <w:qFormat/>
    <w:uiPriority w:val="0"/>
    <w:pPr>
      <w:spacing w:beforeLines="20"/>
    </w:pPr>
    <w:rPr>
      <w:kern w:val="0"/>
    </w:rPr>
  </w:style>
  <w:style w:type="paragraph" w:customStyle="1" w:styleId="239">
    <w:name w:val="xl75"/>
    <w:basedOn w:val="1"/>
    <w:qFormat/>
    <w:uiPriority w:val="0"/>
    <w:pPr>
      <w:widowControl/>
      <w:pBdr>
        <w:top w:val="single" w:color="auto" w:sz="8" w:space="0"/>
        <w:left w:val="single" w:color="auto" w:sz="8" w:space="0"/>
        <w:bottom w:val="single" w:color="auto" w:sz="8" w:space="0"/>
        <w:right w:val="single" w:color="auto" w:sz="8" w:space="0"/>
      </w:pBdr>
      <w:shd w:val="clear" w:color="000000" w:fill="FF8080"/>
      <w:spacing w:before="100" w:beforeAutospacing="1" w:after="100" w:afterAutospacing="1" w:line="312" w:lineRule="auto"/>
      <w:ind w:firstLine="883" w:firstLineChars="200"/>
      <w:jc w:val="center"/>
    </w:pPr>
    <w:rPr>
      <w:rFonts w:cs="Times New Roman"/>
      <w:sz w:val="20"/>
      <w:szCs w:val="20"/>
    </w:rPr>
  </w:style>
  <w:style w:type="paragraph" w:customStyle="1" w:styleId="240">
    <w:name w:val="图片"/>
    <w:basedOn w:val="1"/>
    <w:next w:val="23"/>
    <w:qFormat/>
    <w:uiPriority w:val="0"/>
    <w:pPr>
      <w:keepNext/>
      <w:widowControl/>
      <w:spacing w:line="312" w:lineRule="auto"/>
      <w:ind w:firstLine="476" w:firstLineChars="200"/>
      <w:jc w:val="left"/>
    </w:pPr>
    <w:rPr>
      <w:rFonts w:cs="Times New Roman"/>
      <w:spacing w:val="-5"/>
      <w:szCs w:val="20"/>
    </w:rPr>
  </w:style>
  <w:style w:type="paragraph" w:customStyle="1" w:styleId="241">
    <w:name w:val="图表题"/>
    <w:basedOn w:val="1"/>
    <w:qFormat/>
    <w:uiPriority w:val="0"/>
    <w:pPr>
      <w:adjustRightInd w:val="0"/>
      <w:snapToGrid w:val="0"/>
      <w:spacing w:line="400" w:lineRule="exact"/>
      <w:ind w:firstLine="883" w:firstLineChars="200"/>
      <w:jc w:val="center"/>
    </w:pPr>
    <w:rPr>
      <w:rFonts w:cs="Times New Roman"/>
      <w:kern w:val="2"/>
    </w:rPr>
  </w:style>
  <w:style w:type="paragraph" w:customStyle="1" w:styleId="24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43">
    <w:name w:val="xl85"/>
    <w:basedOn w:val="1"/>
    <w:qFormat/>
    <w:uiPriority w:val="0"/>
    <w:pPr>
      <w:widowControl/>
      <w:pBdr>
        <w:top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44">
    <w:name w:val="连续正文文字"/>
    <w:basedOn w:val="35"/>
    <w:qFormat/>
    <w:uiPriority w:val="0"/>
    <w:pPr>
      <w:keepNext/>
      <w:widowControl/>
      <w:spacing w:after="220" w:line="180" w:lineRule="atLeast"/>
      <w:ind w:firstLine="476"/>
      <w:jc w:val="center"/>
    </w:pPr>
    <w:rPr>
      <w:spacing w:val="-5"/>
      <w:kern w:val="0"/>
      <w:sz w:val="30"/>
      <w:szCs w:val="20"/>
    </w:rPr>
  </w:style>
  <w:style w:type="paragraph" w:customStyle="1" w:styleId="245">
    <w:name w:val="封面标准号2"/>
    <w:basedOn w:val="1"/>
    <w:qFormat/>
    <w:uiPriority w:val="0"/>
    <w:pPr>
      <w:spacing w:line="312" w:lineRule="auto"/>
      <w:ind w:firstLine="883" w:firstLineChars="200"/>
    </w:pPr>
    <w:rPr>
      <w:rFonts w:cs="Times New Roman"/>
      <w:kern w:val="2"/>
    </w:rPr>
  </w:style>
  <w:style w:type="paragraph" w:customStyle="1" w:styleId="246">
    <w:name w:val="u正文1级标题"/>
    <w:basedOn w:val="3"/>
    <w:next w:val="1"/>
    <w:qFormat/>
    <w:uiPriority w:val="0"/>
    <w:pPr>
      <w:keepLines/>
      <w:pageBreakBefore/>
      <w:widowControl w:val="0"/>
      <w:spacing w:before="340" w:after="340" w:line="312" w:lineRule="auto"/>
      <w:ind w:firstLine="883" w:firstLineChars="200"/>
    </w:pPr>
    <w:rPr>
      <w:rFonts w:eastAsia="黑体" w:cs="Times New Roman"/>
      <w:kern w:val="44"/>
      <w:sz w:val="30"/>
    </w:rPr>
  </w:style>
  <w:style w:type="paragraph" w:customStyle="1" w:styleId="247">
    <w:name w:val="基准页脚样式"/>
    <w:basedOn w:val="35"/>
    <w:qFormat/>
    <w:uiPriority w:val="0"/>
    <w:pPr>
      <w:keepLines/>
      <w:widowControl/>
      <w:spacing w:after="220" w:line="200" w:lineRule="atLeast"/>
      <w:ind w:firstLine="476"/>
      <w:jc w:val="center"/>
    </w:pPr>
    <w:rPr>
      <w:spacing w:val="-5"/>
      <w:kern w:val="0"/>
      <w:sz w:val="16"/>
      <w:szCs w:val="20"/>
    </w:rPr>
  </w:style>
  <w:style w:type="paragraph" w:customStyle="1" w:styleId="248">
    <w:name w:val="font5"/>
    <w:basedOn w:val="1"/>
    <w:qFormat/>
    <w:uiPriority w:val="0"/>
    <w:pPr>
      <w:widowControl/>
      <w:spacing w:before="100" w:beforeAutospacing="1" w:after="100" w:afterAutospacing="1" w:line="312" w:lineRule="auto"/>
      <w:ind w:firstLine="883" w:firstLineChars="200"/>
      <w:jc w:val="left"/>
    </w:pPr>
    <w:rPr>
      <w:rFonts w:ascii="宋体" w:hAnsi="宋体" w:cs="宋体"/>
      <w:sz w:val="18"/>
      <w:szCs w:val="18"/>
    </w:rPr>
  </w:style>
  <w:style w:type="paragraph" w:customStyle="1" w:styleId="249">
    <w:name w:val="基准页眉样式"/>
    <w:basedOn w:val="35"/>
    <w:qFormat/>
    <w:uiPriority w:val="0"/>
    <w:pPr>
      <w:keepLines/>
      <w:widowControl/>
      <w:tabs>
        <w:tab w:val="center" w:pos="4320"/>
        <w:tab w:val="right" w:pos="8640"/>
      </w:tabs>
      <w:spacing w:after="0" w:line="180" w:lineRule="atLeast"/>
      <w:ind w:firstLine="476"/>
      <w:jc w:val="center"/>
    </w:pPr>
    <w:rPr>
      <w:spacing w:val="-5"/>
      <w:kern w:val="0"/>
      <w:sz w:val="30"/>
      <w:szCs w:val="20"/>
    </w:rPr>
  </w:style>
  <w:style w:type="paragraph" w:customStyle="1" w:styleId="250">
    <w:name w:val="封面标准英文名称"/>
    <w:qFormat/>
    <w:uiPriority w:val="99"/>
    <w:pPr>
      <w:widowControl w:val="0"/>
      <w:spacing w:before="370" w:line="400" w:lineRule="exact"/>
      <w:ind w:firstLine="200" w:firstLineChars="200"/>
      <w:jc w:val="center"/>
    </w:pPr>
    <w:rPr>
      <w:rFonts w:ascii="Times New Roman" w:hAnsi="Times New Roman" w:eastAsia="宋体" w:cs="Times New Roman"/>
      <w:kern w:val="0"/>
      <w:sz w:val="28"/>
      <w:szCs w:val="20"/>
      <w:lang w:val="en-US" w:eastAsia="zh-CN" w:bidi="ar-SA"/>
    </w:rPr>
  </w:style>
  <w:style w:type="paragraph" w:customStyle="1" w:styleId="251">
    <w:name w:val="Char"/>
    <w:basedOn w:val="1"/>
    <w:qFormat/>
    <w:uiPriority w:val="0"/>
    <w:pPr>
      <w:widowControl/>
      <w:spacing w:after="160" w:line="240" w:lineRule="exact"/>
      <w:ind w:firstLine="883" w:firstLineChars="200"/>
      <w:jc w:val="left"/>
    </w:pPr>
    <w:rPr>
      <w:rFonts w:ascii="Verdana" w:hAnsi="Verdana" w:cs="Times New Roman"/>
      <w:sz w:val="20"/>
      <w:szCs w:val="20"/>
      <w:lang w:eastAsia="en-US"/>
    </w:rPr>
  </w:style>
  <w:style w:type="paragraph" w:customStyle="1" w:styleId="252">
    <w:name w:val="u页眉"/>
    <w:basedOn w:val="1"/>
    <w:qFormat/>
    <w:uiPriority w:val="0"/>
    <w:pPr>
      <w:pBdr>
        <w:bottom w:val="single" w:color="auto" w:sz="4" w:space="1"/>
      </w:pBdr>
      <w:spacing w:line="312" w:lineRule="auto"/>
      <w:ind w:firstLine="883" w:firstLineChars="200"/>
      <w:jc w:val="center"/>
    </w:pPr>
    <w:rPr>
      <w:rFonts w:cs="Times New Roman"/>
      <w:kern w:val="2"/>
    </w:rPr>
  </w:style>
  <w:style w:type="paragraph" w:customStyle="1" w:styleId="253">
    <w:name w:val="xl63"/>
    <w:basedOn w:val="1"/>
    <w:qFormat/>
    <w:uiPriority w:val="0"/>
    <w:pPr>
      <w:widowControl/>
      <w:spacing w:before="100" w:beforeAutospacing="1" w:after="100" w:afterAutospacing="1" w:line="312" w:lineRule="auto"/>
      <w:ind w:firstLine="883" w:firstLineChars="200"/>
      <w:jc w:val="center"/>
      <w:textAlignment w:val="center"/>
    </w:pPr>
    <w:rPr>
      <w:rFonts w:ascii="宋体" w:hAnsi="宋体" w:cs="宋体"/>
    </w:rPr>
  </w:style>
  <w:style w:type="paragraph" w:customStyle="1" w:styleId="254">
    <w:name w:val="样式 u表标题 + 段前: 1.5 行"/>
    <w:basedOn w:val="255"/>
    <w:qFormat/>
    <w:uiPriority w:val="0"/>
    <w:rPr>
      <w:rFonts w:cs="宋体"/>
      <w:bCs/>
      <w:szCs w:val="20"/>
    </w:rPr>
  </w:style>
  <w:style w:type="paragraph" w:customStyle="1" w:styleId="255">
    <w:name w:val="u表标题"/>
    <w:basedOn w:val="1"/>
    <w:qFormat/>
    <w:uiPriority w:val="0"/>
    <w:pPr>
      <w:spacing w:beforeLines="150" w:afterLines="50"/>
      <w:ind w:firstLine="883" w:firstLineChars="200"/>
      <w:jc w:val="center"/>
    </w:pPr>
    <w:rPr>
      <w:rFonts w:eastAsia="黑体" w:cs="Times New Roman"/>
      <w:b/>
      <w:kern w:val="2"/>
    </w:rPr>
  </w:style>
  <w:style w:type="paragraph" w:customStyle="1" w:styleId="256">
    <w:name w:val="样式1"/>
    <w:basedOn w:val="1"/>
    <w:qFormat/>
    <w:uiPriority w:val="0"/>
    <w:pPr>
      <w:spacing w:beforeLines="10" w:afterLines="10" w:line="312" w:lineRule="auto"/>
      <w:ind w:firstLine="480" w:firstLineChars="200"/>
    </w:pPr>
    <w:rPr>
      <w:rFonts w:hAnsi="宋体" w:cs="宋体"/>
      <w:kern w:val="2"/>
    </w:rPr>
  </w:style>
  <w:style w:type="paragraph" w:customStyle="1" w:styleId="257">
    <w:name w:val="xl79"/>
    <w:basedOn w:val="1"/>
    <w:qFormat/>
    <w:uiPriority w:val="0"/>
    <w:pPr>
      <w:widowControl/>
      <w:pBdr>
        <w:top w:val="single" w:color="auto" w:sz="8" w:space="0"/>
        <w:left w:val="single" w:color="auto" w:sz="8" w:space="0"/>
        <w:right w:val="single" w:color="auto" w:sz="8" w:space="0"/>
      </w:pBdr>
      <w:spacing w:before="100" w:beforeAutospacing="1" w:after="100" w:afterAutospacing="1" w:line="312" w:lineRule="auto"/>
      <w:ind w:firstLine="883" w:firstLineChars="200"/>
      <w:jc w:val="center"/>
    </w:pPr>
    <w:rPr>
      <w:rFonts w:ascii="宋体" w:hAnsi="宋体" w:cs="宋体"/>
      <w:sz w:val="18"/>
      <w:szCs w:val="18"/>
    </w:rPr>
  </w:style>
  <w:style w:type="paragraph" w:customStyle="1" w:styleId="258">
    <w:name w:val="xl7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5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12" w:lineRule="auto"/>
      <w:ind w:firstLine="883" w:firstLineChars="200"/>
      <w:jc w:val="center"/>
      <w:textAlignment w:val="center"/>
    </w:pPr>
    <w:rPr>
      <w:rFonts w:ascii="宋体" w:hAnsi="宋体" w:cs="宋体"/>
      <w:sz w:val="20"/>
      <w:szCs w:val="20"/>
    </w:rPr>
  </w:style>
  <w:style w:type="paragraph" w:customStyle="1" w:styleId="260">
    <w:name w:val="附录"/>
    <w:basedOn w:val="3"/>
    <w:next w:val="1"/>
    <w:qFormat/>
    <w:uiPriority w:val="0"/>
    <w:pPr>
      <w:keepLines/>
      <w:tabs>
        <w:tab w:val="left" w:pos="360"/>
        <w:tab w:val="left" w:pos="720"/>
      </w:tabs>
      <w:spacing w:after="220"/>
      <w:ind w:left="360" w:hanging="360" w:firstLineChars="200"/>
      <w:jc w:val="center"/>
    </w:pPr>
    <w:rPr>
      <w:rFonts w:cs="Times New Roman"/>
      <w:bCs w:val="0"/>
      <w:spacing w:val="-10"/>
      <w:kern w:val="28"/>
      <w:sz w:val="30"/>
      <w:szCs w:val="20"/>
    </w:rPr>
  </w:style>
  <w:style w:type="paragraph" w:customStyle="1" w:styleId="261">
    <w:name w:val="xl84"/>
    <w:basedOn w:val="1"/>
    <w:qFormat/>
    <w:uiPriority w:val="0"/>
    <w:pPr>
      <w:widowControl/>
      <w:pBdr>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62">
    <w:name w:val="基准标题"/>
    <w:basedOn w:val="35"/>
    <w:next w:val="35"/>
    <w:qFormat/>
    <w:uiPriority w:val="0"/>
    <w:pPr>
      <w:keepNext/>
      <w:keepLines/>
      <w:widowControl/>
      <w:spacing w:after="0" w:line="180" w:lineRule="atLeast"/>
      <w:ind w:firstLine="476"/>
      <w:jc w:val="left"/>
    </w:pPr>
    <w:rPr>
      <w:rFonts w:ascii="Arial Black" w:hAnsi="Arial Black"/>
      <w:spacing w:val="-10"/>
      <w:kern w:val="28"/>
      <w:sz w:val="30"/>
      <w:szCs w:val="20"/>
    </w:rPr>
  </w:style>
  <w:style w:type="paragraph" w:customStyle="1" w:styleId="263">
    <w:name w:val="xl82"/>
    <w:basedOn w:val="1"/>
    <w:qFormat/>
    <w:uiPriority w:val="0"/>
    <w:pPr>
      <w:widowControl/>
      <w:pBdr>
        <w:left w:val="single" w:color="auto" w:sz="8" w:space="0"/>
        <w:bottom w:val="single" w:color="auto" w:sz="8" w:space="0"/>
        <w:right w:val="single" w:color="auto" w:sz="8" w:space="0"/>
      </w:pBdr>
      <w:spacing w:before="100" w:beforeAutospacing="1" w:after="100" w:afterAutospacing="1" w:line="312" w:lineRule="auto"/>
      <w:ind w:firstLine="883" w:firstLineChars="200"/>
      <w:jc w:val="center"/>
    </w:pPr>
    <w:rPr>
      <w:rFonts w:cs="Times New Roman"/>
      <w:sz w:val="18"/>
      <w:szCs w:val="18"/>
    </w:rPr>
  </w:style>
  <w:style w:type="paragraph" w:customStyle="1" w:styleId="264">
    <w:name w:val="2"/>
    <w:unhideWhenUsed/>
    <w:qFormat/>
    <w:uiPriority w:val="99"/>
    <w:pPr>
      <w:widowControl w:val="0"/>
      <w:spacing w:line="240" w:lineRule="auto"/>
      <w:jc w:val="both"/>
    </w:pPr>
    <w:rPr>
      <w:rFonts w:ascii="Times New Roman" w:hAnsi="Times New Roman" w:eastAsia="宋体" w:cs="Times New Roman"/>
      <w:kern w:val="2"/>
      <w:sz w:val="21"/>
      <w:szCs w:val="24"/>
      <w:lang w:val="en-US" w:eastAsia="zh-CN" w:bidi="ar-SA"/>
    </w:rPr>
  </w:style>
  <w:style w:type="paragraph" w:customStyle="1" w:styleId="265">
    <w:name w:val="u附录标题"/>
    <w:basedOn w:val="228"/>
    <w:qFormat/>
    <w:uiPriority w:val="0"/>
    <w:pPr>
      <w:pageBreakBefore w:val="0"/>
      <w:tabs>
        <w:tab w:val="left" w:pos="735"/>
        <w:tab w:val="left" w:pos="907"/>
      </w:tabs>
      <w:ind w:left="735" w:hanging="735"/>
      <w:jc w:val="left"/>
    </w:pPr>
  </w:style>
  <w:style w:type="paragraph" w:customStyle="1" w:styleId="266">
    <w:name w:val="正文（结尾部分）"/>
    <w:basedOn w:val="1"/>
    <w:qFormat/>
    <w:uiPriority w:val="0"/>
    <w:pPr>
      <w:adjustRightInd w:val="0"/>
      <w:snapToGrid w:val="0"/>
      <w:spacing w:line="320" w:lineRule="exact"/>
      <w:ind w:firstLine="200" w:firstLineChars="200"/>
    </w:pPr>
    <w:rPr>
      <w:rFonts w:cs="Times New Roman"/>
      <w:kern w:val="2"/>
    </w:rPr>
  </w:style>
  <w:style w:type="paragraph" w:customStyle="1" w:styleId="267">
    <w:name w:val="图标脚注说明"/>
    <w:basedOn w:val="158"/>
    <w:qFormat/>
    <w:uiPriority w:val="0"/>
    <w:pPr>
      <w:tabs>
        <w:tab w:val="center" w:pos="4201"/>
        <w:tab w:val="right" w:leader="dot" w:pos="9298"/>
      </w:tabs>
      <w:ind w:left="840" w:hanging="420" w:firstLineChars="0"/>
    </w:pPr>
    <w:rPr>
      <w:rFonts w:hAnsi="Times New Roman"/>
      <w:sz w:val="18"/>
      <w:szCs w:val="18"/>
    </w:rPr>
  </w:style>
  <w:style w:type="paragraph" w:customStyle="1" w:styleId="268">
    <w:name w:val="封面标准文稿类别"/>
    <w:basedOn w:val="269"/>
    <w:qFormat/>
    <w:uiPriority w:val="99"/>
    <w:pPr>
      <w:framePr w:wrap="around"/>
      <w:spacing w:after="160" w:line="240" w:lineRule="auto"/>
    </w:pPr>
    <w:rPr>
      <w:sz w:val="24"/>
    </w:rPr>
  </w:style>
  <w:style w:type="paragraph" w:customStyle="1" w:styleId="269">
    <w:name w:val="封面一致性程度标识"/>
    <w:basedOn w:val="250"/>
    <w:qFormat/>
    <w:uiPriority w:val="0"/>
    <w:pPr>
      <w:framePr w:w="9639" w:h="6917" w:hRule="exact" w:wrap="around" w:vAnchor="page" w:hAnchor="page" w:xAlign="center" w:y="6408" w:anchorLock="1"/>
      <w:spacing w:before="440"/>
      <w:ind w:firstLine="0" w:firstLineChars="0"/>
      <w:textAlignment w:val="center"/>
    </w:pPr>
    <w:rPr>
      <w:rFonts w:ascii="宋体"/>
      <w:szCs w:val="28"/>
    </w:rPr>
  </w:style>
  <w:style w:type="paragraph" w:customStyle="1" w:styleId="270">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customStyle="1" w:styleId="271">
    <w:name w:val="附录一级无"/>
    <w:basedOn w:val="205"/>
    <w:qFormat/>
    <w:uiPriority w:val="0"/>
    <w:pPr>
      <w:tabs>
        <w:tab w:val="left" w:pos="360"/>
      </w:tabs>
    </w:pPr>
    <w:rPr>
      <w:rFonts w:ascii="宋体" w:eastAsia="宋体"/>
      <w:szCs w:val="21"/>
    </w:rPr>
  </w:style>
  <w:style w:type="paragraph" w:customStyle="1" w:styleId="272">
    <w:name w:val="图的脚注"/>
    <w:next w:val="158"/>
    <w:qFormat/>
    <w:uiPriority w:val="0"/>
    <w:pPr>
      <w:widowControl w:val="0"/>
      <w:spacing w:line="240" w:lineRule="auto"/>
      <w:ind w:left="840" w:leftChars="200" w:hanging="420" w:hangingChars="200"/>
      <w:jc w:val="both"/>
    </w:pPr>
    <w:rPr>
      <w:rFonts w:ascii="宋体" w:hAnsi="Times New Roman" w:eastAsia="宋体" w:cs="Times New Roman"/>
      <w:kern w:val="0"/>
      <w:sz w:val="18"/>
      <w:szCs w:val="20"/>
      <w:lang w:val="en-US" w:eastAsia="zh-CN" w:bidi="ar-SA"/>
    </w:rPr>
  </w:style>
  <w:style w:type="paragraph" w:customStyle="1" w:styleId="273">
    <w:name w:val="附录表标号"/>
    <w:basedOn w:val="1"/>
    <w:next w:val="158"/>
    <w:qFormat/>
    <w:uiPriority w:val="0"/>
    <w:pPr>
      <w:numPr>
        <w:ilvl w:val="0"/>
        <w:numId w:val="1"/>
      </w:numPr>
      <w:spacing w:line="14" w:lineRule="exact"/>
      <w:ind w:left="811" w:hanging="448"/>
      <w:jc w:val="center"/>
      <w:outlineLvl w:val="0"/>
    </w:pPr>
    <w:rPr>
      <w:rFonts w:cs="Times New Roman"/>
      <w:color w:val="FFFFFF"/>
      <w:kern w:val="2"/>
      <w:sz w:val="21"/>
    </w:rPr>
  </w:style>
  <w:style w:type="paragraph" w:customStyle="1" w:styleId="274">
    <w:name w:val="注："/>
    <w:next w:val="158"/>
    <w:qFormat/>
    <w:uiPriority w:val="0"/>
    <w:pPr>
      <w:widowControl w:val="0"/>
      <w:numPr>
        <w:ilvl w:val="0"/>
        <w:numId w:val="2"/>
      </w:numPr>
      <w:autoSpaceDE w:val="0"/>
      <w:autoSpaceDN w:val="0"/>
      <w:spacing w:line="240" w:lineRule="auto"/>
      <w:jc w:val="both"/>
    </w:pPr>
    <w:rPr>
      <w:rFonts w:ascii="宋体" w:hAnsi="Times New Roman" w:eastAsia="宋体" w:cs="Times New Roman"/>
      <w:kern w:val="0"/>
      <w:sz w:val="18"/>
      <w:szCs w:val="18"/>
      <w:lang w:val="en-US" w:eastAsia="zh-CN" w:bidi="ar-SA"/>
    </w:rPr>
  </w:style>
  <w:style w:type="paragraph" w:customStyle="1" w:styleId="275">
    <w:name w:val="附录图标题"/>
    <w:basedOn w:val="1"/>
    <w:next w:val="158"/>
    <w:qFormat/>
    <w:uiPriority w:val="0"/>
    <w:pPr>
      <w:numPr>
        <w:ilvl w:val="1"/>
        <w:numId w:val="3"/>
      </w:numPr>
      <w:tabs>
        <w:tab w:val="left" w:pos="363"/>
      </w:tabs>
      <w:spacing w:beforeLines="50" w:afterLines="50" w:line="240" w:lineRule="auto"/>
      <w:jc w:val="center"/>
    </w:pPr>
    <w:rPr>
      <w:rFonts w:ascii="黑体" w:eastAsia="黑体" w:cs="Times New Roman"/>
      <w:kern w:val="2"/>
      <w:sz w:val="21"/>
      <w:szCs w:val="21"/>
    </w:rPr>
  </w:style>
  <w:style w:type="paragraph" w:customStyle="1" w:styleId="276">
    <w:name w:val="附录三级无"/>
    <w:basedOn w:val="208"/>
    <w:qFormat/>
    <w:uiPriority w:val="0"/>
    <w:pPr>
      <w:tabs>
        <w:tab w:val="left" w:pos="360"/>
      </w:tabs>
    </w:pPr>
    <w:rPr>
      <w:rFonts w:ascii="宋体" w:eastAsia="宋体"/>
      <w:szCs w:val="21"/>
    </w:rPr>
  </w:style>
  <w:style w:type="paragraph" w:customStyle="1" w:styleId="277">
    <w:name w:val="封面一致性程度标识2"/>
    <w:basedOn w:val="269"/>
    <w:qFormat/>
    <w:uiPriority w:val="0"/>
    <w:pPr>
      <w:framePr w:wrap="around" w:y="4469"/>
    </w:pPr>
  </w:style>
  <w:style w:type="paragraph" w:customStyle="1" w:styleId="278">
    <w:name w:val="首示例"/>
    <w:next w:val="158"/>
    <w:link w:val="279"/>
    <w:qFormat/>
    <w:uiPriority w:val="0"/>
    <w:pPr>
      <w:numPr>
        <w:ilvl w:val="0"/>
        <w:numId w:val="4"/>
      </w:numPr>
      <w:tabs>
        <w:tab w:val="left" w:pos="360"/>
      </w:tabs>
      <w:spacing w:line="240" w:lineRule="auto"/>
      <w:jc w:val="left"/>
    </w:pPr>
    <w:rPr>
      <w:rFonts w:ascii="宋体" w:hAnsi="宋体" w:eastAsia="宋体" w:cs="Times New Roman"/>
      <w:kern w:val="2"/>
      <w:sz w:val="18"/>
      <w:szCs w:val="18"/>
      <w:lang w:val="en-US" w:eastAsia="zh-CN" w:bidi="ar-SA"/>
    </w:rPr>
  </w:style>
  <w:style w:type="character" w:customStyle="1" w:styleId="279">
    <w:name w:val="首示例 Char"/>
    <w:link w:val="278"/>
    <w:qFormat/>
    <w:uiPriority w:val="0"/>
    <w:rPr>
      <w:rFonts w:ascii="宋体" w:hAnsi="宋体" w:cs="Times New Roman"/>
      <w:sz w:val="18"/>
      <w:szCs w:val="18"/>
    </w:rPr>
  </w:style>
  <w:style w:type="paragraph" w:customStyle="1" w:styleId="280">
    <w:name w:val="示例"/>
    <w:next w:val="281"/>
    <w:qFormat/>
    <w:uiPriority w:val="0"/>
    <w:pPr>
      <w:widowControl w:val="0"/>
      <w:numPr>
        <w:ilvl w:val="0"/>
        <w:numId w:val="5"/>
      </w:numPr>
      <w:spacing w:line="240" w:lineRule="auto"/>
      <w:jc w:val="both"/>
    </w:pPr>
    <w:rPr>
      <w:rFonts w:ascii="宋体" w:hAnsi="Times New Roman" w:eastAsia="宋体" w:cs="Times New Roman"/>
      <w:kern w:val="0"/>
      <w:sz w:val="18"/>
      <w:szCs w:val="18"/>
      <w:lang w:val="en-US" w:eastAsia="zh-CN" w:bidi="ar-SA"/>
    </w:rPr>
  </w:style>
  <w:style w:type="paragraph" w:customStyle="1" w:styleId="281">
    <w:name w:val="示例内容"/>
    <w:qFormat/>
    <w:uiPriority w:val="0"/>
    <w:pPr>
      <w:spacing w:line="240" w:lineRule="auto"/>
      <w:ind w:firstLine="200" w:firstLineChars="200"/>
      <w:jc w:val="left"/>
    </w:pPr>
    <w:rPr>
      <w:rFonts w:ascii="宋体" w:hAnsi="Times New Roman" w:eastAsia="宋体" w:cs="Times New Roman"/>
      <w:kern w:val="0"/>
      <w:sz w:val="18"/>
      <w:szCs w:val="18"/>
      <w:lang w:val="en-US" w:eastAsia="zh-CN" w:bidi="ar-SA"/>
    </w:rPr>
  </w:style>
  <w:style w:type="paragraph" w:customStyle="1" w:styleId="282">
    <w:name w:val="三级无"/>
    <w:basedOn w:val="185"/>
    <w:qFormat/>
    <w:uiPriority w:val="0"/>
    <w:pPr>
      <w:tabs>
        <w:tab w:val="clear" w:pos="1680"/>
        <w:tab w:val="clear" w:pos="2100"/>
        <w:tab w:val="clear" w:pos="2520"/>
      </w:tabs>
      <w:spacing w:before="50" w:after="50"/>
      <w:ind w:left="0" w:firstLine="0"/>
      <w:jc w:val="left"/>
    </w:pPr>
    <w:rPr>
      <w:rFonts w:ascii="宋体" w:hAnsi="Times New Roman" w:eastAsia="宋体"/>
      <w:sz w:val="21"/>
      <w:szCs w:val="21"/>
    </w:rPr>
  </w:style>
  <w:style w:type="paragraph" w:customStyle="1" w:styleId="283">
    <w:name w:val="四级无"/>
    <w:basedOn w:val="188"/>
    <w:qFormat/>
    <w:uiPriority w:val="0"/>
    <w:pPr>
      <w:numPr>
        <w:ilvl w:val="4"/>
        <w:numId w:val="6"/>
      </w:numPr>
      <w:tabs>
        <w:tab w:val="clear" w:pos="1680"/>
        <w:tab w:val="clear" w:pos="2100"/>
        <w:tab w:val="clear" w:pos="2520"/>
        <w:tab w:val="clear" w:pos="2940"/>
      </w:tabs>
      <w:spacing w:before="50" w:after="50"/>
      <w:jc w:val="left"/>
    </w:pPr>
    <w:rPr>
      <w:rFonts w:ascii="宋体" w:hAnsi="Times New Roman" w:eastAsia="宋体"/>
      <w:sz w:val="21"/>
      <w:szCs w:val="21"/>
    </w:rPr>
  </w:style>
  <w:style w:type="paragraph" w:customStyle="1" w:styleId="284">
    <w:name w:val="封面标准文稿编辑信息"/>
    <w:basedOn w:val="268"/>
    <w:qFormat/>
    <w:uiPriority w:val="0"/>
    <w:pPr>
      <w:framePr w:wrap="around"/>
      <w:spacing w:before="180" w:line="180" w:lineRule="exact"/>
    </w:pPr>
    <w:rPr>
      <w:sz w:val="21"/>
    </w:rPr>
  </w:style>
  <w:style w:type="paragraph" w:customStyle="1" w:styleId="285">
    <w:name w:val="正文表标题"/>
    <w:next w:val="158"/>
    <w:qFormat/>
    <w:uiPriority w:val="0"/>
    <w:pPr>
      <w:numPr>
        <w:ilvl w:val="0"/>
        <w:numId w:val="7"/>
      </w:numPr>
      <w:tabs>
        <w:tab w:val="left" w:pos="360"/>
      </w:tabs>
      <w:spacing w:beforeLines="50" w:afterLines="50" w:line="240" w:lineRule="auto"/>
      <w:jc w:val="center"/>
    </w:pPr>
    <w:rPr>
      <w:rFonts w:ascii="黑体" w:hAnsi="Times New Roman" w:eastAsia="黑体" w:cs="Times New Roman"/>
      <w:kern w:val="0"/>
      <w:sz w:val="21"/>
      <w:szCs w:val="20"/>
      <w:lang w:val="en-US" w:eastAsia="zh-CN" w:bidi="ar-SA"/>
    </w:rPr>
  </w:style>
  <w:style w:type="paragraph" w:customStyle="1" w:styleId="286">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kern w:val="0"/>
      <w:sz w:val="96"/>
      <w:szCs w:val="96"/>
      <w:lang w:val="en-US" w:eastAsia="zh-CN" w:bidi="ar-SA"/>
    </w:rPr>
  </w:style>
  <w:style w:type="paragraph" w:customStyle="1" w:styleId="287">
    <w:name w:val="其他发布日期"/>
    <w:basedOn w:val="288"/>
    <w:qFormat/>
    <w:uiPriority w:val="0"/>
    <w:pPr>
      <w:framePr w:wrap="around" w:vAnchor="page" w:hAnchor="text" w:x="1419"/>
    </w:pPr>
  </w:style>
  <w:style w:type="paragraph" w:customStyle="1" w:styleId="288">
    <w:name w:val="发布日期"/>
    <w:qFormat/>
    <w:uiPriority w:val="0"/>
    <w:pPr>
      <w:framePr w:w="3997" w:h="471" w:hRule="exact" w:vSpace="181" w:wrap="around" w:vAnchor="margin" w:hAnchor="page" w:x="7089" w:y="14097" w:anchorLock="1"/>
      <w:spacing w:line="240" w:lineRule="auto"/>
      <w:jc w:val="left"/>
    </w:pPr>
    <w:rPr>
      <w:rFonts w:ascii="Times New Roman" w:hAnsi="Times New Roman" w:eastAsia="黑体" w:cs="Times New Roman"/>
      <w:kern w:val="0"/>
      <w:sz w:val="28"/>
      <w:szCs w:val="20"/>
      <w:lang w:val="en-US" w:eastAsia="zh-CN" w:bidi="ar-SA"/>
    </w:rPr>
  </w:style>
  <w:style w:type="paragraph" w:customStyle="1" w:styleId="289">
    <w:name w:val="实施日期"/>
    <w:basedOn w:val="288"/>
    <w:qFormat/>
    <w:uiPriority w:val="0"/>
    <w:pPr>
      <w:framePr w:wrap="around" w:vAnchor="page" w:hAnchor="text"/>
      <w:jc w:val="right"/>
    </w:pPr>
  </w:style>
  <w:style w:type="paragraph" w:customStyle="1" w:styleId="290">
    <w:name w:val="附录标题"/>
    <w:basedOn w:val="158"/>
    <w:next w:val="158"/>
    <w:qFormat/>
    <w:uiPriority w:val="0"/>
    <w:pPr>
      <w:tabs>
        <w:tab w:val="center" w:pos="4201"/>
        <w:tab w:val="right" w:leader="dot" w:pos="9298"/>
      </w:tabs>
      <w:ind w:firstLine="0" w:firstLineChars="0"/>
      <w:jc w:val="center"/>
    </w:pPr>
    <w:rPr>
      <w:rFonts w:ascii="黑体" w:hAnsi="Times New Roman" w:eastAsia="黑体"/>
    </w:rPr>
  </w:style>
  <w:style w:type="paragraph" w:customStyle="1" w:styleId="291">
    <w:name w:val="其他实施日期"/>
    <w:basedOn w:val="289"/>
    <w:qFormat/>
    <w:uiPriority w:val="0"/>
    <w:pPr>
      <w:framePr w:wrap="around"/>
    </w:pPr>
  </w:style>
  <w:style w:type="paragraph" w:customStyle="1" w:styleId="292">
    <w:name w:val="注×：（正文）"/>
    <w:qFormat/>
    <w:uiPriority w:val="0"/>
    <w:pPr>
      <w:numPr>
        <w:ilvl w:val="0"/>
        <w:numId w:val="8"/>
      </w:numPr>
      <w:spacing w:line="240" w:lineRule="auto"/>
      <w:jc w:val="both"/>
    </w:pPr>
    <w:rPr>
      <w:rFonts w:ascii="宋体" w:hAnsi="Times New Roman" w:eastAsia="宋体" w:cs="Times New Roman"/>
      <w:kern w:val="0"/>
      <w:sz w:val="18"/>
      <w:szCs w:val="18"/>
      <w:lang w:val="en-US" w:eastAsia="zh-CN" w:bidi="ar-SA"/>
    </w:rPr>
  </w:style>
  <w:style w:type="paragraph" w:customStyle="1" w:styleId="293">
    <w:name w:val="参考文献、索引标题"/>
    <w:basedOn w:val="1"/>
    <w:next w:val="158"/>
    <w:qFormat/>
    <w:uiPriority w:val="0"/>
    <w:pPr>
      <w:keepNext/>
      <w:pageBreakBefore/>
      <w:widowControl/>
      <w:shd w:val="clear" w:color="FFFFFF" w:fill="FFFFFF"/>
      <w:spacing w:before="640" w:after="200" w:line="240" w:lineRule="auto"/>
      <w:jc w:val="center"/>
      <w:outlineLvl w:val="0"/>
    </w:pPr>
    <w:rPr>
      <w:rFonts w:ascii="黑体" w:eastAsia="黑体" w:cs="Times New Roman"/>
      <w:sz w:val="21"/>
      <w:szCs w:val="20"/>
    </w:rPr>
  </w:style>
  <w:style w:type="paragraph" w:customStyle="1" w:styleId="294">
    <w:name w:val="文献分类号"/>
    <w:qFormat/>
    <w:uiPriority w:val="0"/>
    <w:pPr>
      <w:framePr w:hSpace="180" w:vSpace="180" w:wrap="around" w:vAnchor="margin" w:hAnchor="margin" w:y="1" w:anchorLock="1"/>
      <w:widowControl w:val="0"/>
      <w:spacing w:line="240" w:lineRule="auto"/>
      <w:jc w:val="left"/>
      <w:textAlignment w:val="center"/>
    </w:pPr>
    <w:rPr>
      <w:rFonts w:ascii="黑体" w:hAnsi="Times New Roman" w:eastAsia="黑体" w:cs="Times New Roman"/>
      <w:kern w:val="0"/>
      <w:sz w:val="21"/>
      <w:szCs w:val="21"/>
      <w:lang w:val="en-US" w:eastAsia="zh-CN" w:bidi="ar-SA"/>
    </w:rPr>
  </w:style>
  <w:style w:type="paragraph" w:customStyle="1" w:styleId="295">
    <w:name w:val="注×："/>
    <w:qFormat/>
    <w:uiPriority w:val="0"/>
    <w:pPr>
      <w:widowControl w:val="0"/>
      <w:numPr>
        <w:ilvl w:val="0"/>
        <w:numId w:val="9"/>
      </w:numPr>
      <w:autoSpaceDE w:val="0"/>
      <w:autoSpaceDN w:val="0"/>
      <w:spacing w:line="240" w:lineRule="auto"/>
      <w:jc w:val="both"/>
    </w:pPr>
    <w:rPr>
      <w:rFonts w:ascii="宋体" w:hAnsi="Times New Roman" w:eastAsia="宋体" w:cs="Times New Roman"/>
      <w:kern w:val="0"/>
      <w:sz w:val="18"/>
      <w:szCs w:val="18"/>
      <w:lang w:val="en-US" w:eastAsia="zh-CN" w:bidi="ar-SA"/>
    </w:rPr>
  </w:style>
  <w:style w:type="paragraph" w:customStyle="1" w:styleId="296">
    <w:name w:val="字母编号列项（一级）"/>
    <w:qFormat/>
    <w:uiPriority w:val="0"/>
    <w:pPr>
      <w:numPr>
        <w:ilvl w:val="0"/>
        <w:numId w:val="10"/>
      </w:numPr>
      <w:tabs>
        <w:tab w:val="left" w:pos="840"/>
      </w:tabs>
      <w:spacing w:line="240" w:lineRule="auto"/>
      <w:jc w:val="both"/>
    </w:pPr>
    <w:rPr>
      <w:rFonts w:ascii="宋体" w:hAnsi="Times New Roman" w:eastAsia="宋体" w:cs="Times New Roman"/>
      <w:kern w:val="0"/>
      <w:sz w:val="21"/>
      <w:szCs w:val="20"/>
      <w:lang w:val="en-US" w:eastAsia="zh-CN" w:bidi="ar-SA"/>
    </w:rPr>
  </w:style>
  <w:style w:type="paragraph" w:customStyle="1" w:styleId="297">
    <w:name w:val="图表脚注说明"/>
    <w:basedOn w:val="1"/>
    <w:qFormat/>
    <w:uiPriority w:val="0"/>
    <w:pPr>
      <w:numPr>
        <w:ilvl w:val="0"/>
        <w:numId w:val="11"/>
      </w:numPr>
      <w:spacing w:line="240" w:lineRule="auto"/>
    </w:pPr>
    <w:rPr>
      <w:rFonts w:ascii="宋体" w:cs="Times New Roman"/>
      <w:kern w:val="2"/>
      <w:sz w:val="18"/>
      <w:szCs w:val="18"/>
    </w:rPr>
  </w:style>
  <w:style w:type="paragraph" w:customStyle="1" w:styleId="298">
    <w:name w:val="数字编号列项（二级）"/>
    <w:qFormat/>
    <w:uiPriority w:val="0"/>
    <w:pPr>
      <w:numPr>
        <w:ilvl w:val="1"/>
        <w:numId w:val="10"/>
      </w:numPr>
      <w:tabs>
        <w:tab w:val="left" w:pos="1260"/>
      </w:tabs>
      <w:spacing w:line="240" w:lineRule="auto"/>
      <w:jc w:val="both"/>
    </w:pPr>
    <w:rPr>
      <w:rFonts w:ascii="宋体" w:hAnsi="Times New Roman" w:eastAsia="宋体" w:cs="Times New Roman"/>
      <w:kern w:val="0"/>
      <w:sz w:val="21"/>
      <w:szCs w:val="20"/>
      <w:lang w:val="en-US" w:eastAsia="zh-CN" w:bidi="ar-SA"/>
    </w:rPr>
  </w:style>
  <w:style w:type="paragraph" w:customStyle="1" w:styleId="299">
    <w:name w:val="其他标准标志"/>
    <w:basedOn w:val="286"/>
    <w:qFormat/>
    <w:uiPriority w:val="0"/>
    <w:pPr>
      <w:framePr w:w="6101" w:wrap="around" w:vAnchor="page" w:hAnchor="page" w:x="4673" w:y="942"/>
    </w:pPr>
    <w:rPr>
      <w:w w:val="130"/>
    </w:rPr>
  </w:style>
  <w:style w:type="paragraph" w:customStyle="1" w:styleId="300">
    <w:name w:val="列项●（二级）"/>
    <w:qFormat/>
    <w:uiPriority w:val="0"/>
    <w:pPr>
      <w:numPr>
        <w:ilvl w:val="1"/>
        <w:numId w:val="12"/>
      </w:numPr>
      <w:tabs>
        <w:tab w:val="left" w:pos="760"/>
        <w:tab w:val="left" w:pos="840"/>
      </w:tabs>
      <w:spacing w:line="240" w:lineRule="auto"/>
      <w:jc w:val="both"/>
    </w:pPr>
    <w:rPr>
      <w:rFonts w:ascii="宋体" w:hAnsi="Times New Roman" w:eastAsia="宋体" w:cs="Times New Roman"/>
      <w:kern w:val="0"/>
      <w:sz w:val="21"/>
      <w:szCs w:val="20"/>
      <w:lang w:val="en-US" w:eastAsia="zh-CN" w:bidi="ar-SA"/>
    </w:rPr>
  </w:style>
  <w:style w:type="paragraph" w:customStyle="1" w:styleId="301">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kern w:val="0"/>
      <w:sz w:val="48"/>
      <w:szCs w:val="20"/>
      <w:lang w:val="en-US" w:eastAsia="zh-CN" w:bidi="ar-SA"/>
    </w:rPr>
  </w:style>
  <w:style w:type="paragraph" w:customStyle="1" w:styleId="302">
    <w:name w:val="注：（正文）"/>
    <w:basedOn w:val="274"/>
    <w:next w:val="158"/>
    <w:qFormat/>
    <w:uiPriority w:val="0"/>
  </w:style>
  <w:style w:type="paragraph" w:customStyle="1" w:styleId="303">
    <w:name w:val="附录字母编号列项（一级）"/>
    <w:qFormat/>
    <w:uiPriority w:val="0"/>
    <w:pPr>
      <w:numPr>
        <w:ilvl w:val="0"/>
        <w:numId w:val="13"/>
      </w:numPr>
      <w:tabs>
        <w:tab w:val="left" w:pos="839"/>
      </w:tabs>
      <w:spacing w:line="240" w:lineRule="auto"/>
      <w:jc w:val="left"/>
    </w:pPr>
    <w:rPr>
      <w:rFonts w:ascii="宋体" w:hAnsi="Times New Roman" w:eastAsia="宋体" w:cs="Times New Roman"/>
      <w:kern w:val="0"/>
      <w:sz w:val="21"/>
      <w:szCs w:val="20"/>
      <w:lang w:val="en-US" w:eastAsia="zh-CN" w:bidi="ar-SA"/>
    </w:rPr>
  </w:style>
  <w:style w:type="paragraph" w:customStyle="1" w:styleId="304">
    <w:name w:val="编号列项（三级）"/>
    <w:qFormat/>
    <w:uiPriority w:val="0"/>
    <w:pPr>
      <w:numPr>
        <w:ilvl w:val="2"/>
        <w:numId w:val="10"/>
      </w:numPr>
      <w:tabs>
        <w:tab w:val="left" w:pos="0"/>
      </w:tabs>
      <w:spacing w:line="240" w:lineRule="auto"/>
      <w:jc w:val="left"/>
    </w:pPr>
    <w:rPr>
      <w:rFonts w:ascii="宋体" w:hAnsi="Times New Roman" w:eastAsia="宋体" w:cs="Times New Roman"/>
      <w:kern w:val="0"/>
      <w:sz w:val="21"/>
      <w:szCs w:val="20"/>
      <w:lang w:val="en-US" w:eastAsia="zh-CN" w:bidi="ar-SA"/>
    </w:rPr>
  </w:style>
  <w:style w:type="paragraph" w:customStyle="1" w:styleId="305">
    <w:name w:val="列项——（一级）"/>
    <w:qFormat/>
    <w:uiPriority w:val="0"/>
    <w:pPr>
      <w:widowControl w:val="0"/>
      <w:numPr>
        <w:ilvl w:val="0"/>
        <w:numId w:val="12"/>
      </w:numPr>
      <w:spacing w:line="240" w:lineRule="auto"/>
      <w:jc w:val="both"/>
    </w:pPr>
    <w:rPr>
      <w:rFonts w:ascii="宋体" w:hAnsi="Times New Roman" w:eastAsia="宋体" w:cs="Times New Roman"/>
      <w:kern w:val="0"/>
      <w:sz w:val="21"/>
      <w:szCs w:val="20"/>
      <w:lang w:val="en-US" w:eastAsia="zh-CN" w:bidi="ar-SA"/>
    </w:rPr>
  </w:style>
  <w:style w:type="paragraph" w:customStyle="1" w:styleId="306">
    <w:name w:val="标准书脚_偶数页"/>
    <w:qFormat/>
    <w:uiPriority w:val="0"/>
    <w:pPr>
      <w:spacing w:before="120" w:line="240" w:lineRule="auto"/>
      <w:ind w:left="221"/>
      <w:jc w:val="left"/>
    </w:pPr>
    <w:rPr>
      <w:rFonts w:ascii="宋体" w:hAnsi="Times New Roman" w:eastAsia="宋体" w:cs="Times New Roman"/>
      <w:kern w:val="0"/>
      <w:sz w:val="18"/>
      <w:szCs w:val="18"/>
      <w:lang w:val="en-US" w:eastAsia="zh-CN" w:bidi="ar-SA"/>
    </w:rPr>
  </w:style>
  <w:style w:type="paragraph" w:customStyle="1" w:styleId="307">
    <w:name w:val="正文图标题"/>
    <w:next w:val="158"/>
    <w:qFormat/>
    <w:uiPriority w:val="0"/>
    <w:pPr>
      <w:numPr>
        <w:ilvl w:val="0"/>
        <w:numId w:val="14"/>
      </w:numPr>
      <w:tabs>
        <w:tab w:val="left" w:pos="360"/>
      </w:tabs>
      <w:spacing w:beforeLines="50" w:afterLines="50" w:line="240" w:lineRule="auto"/>
      <w:jc w:val="center"/>
    </w:pPr>
    <w:rPr>
      <w:rFonts w:ascii="黑体" w:hAnsi="Times New Roman" w:eastAsia="黑体" w:cs="Times New Roman"/>
      <w:kern w:val="0"/>
      <w:sz w:val="21"/>
      <w:szCs w:val="20"/>
      <w:lang w:val="en-US" w:eastAsia="zh-CN" w:bidi="ar-SA"/>
    </w:rPr>
  </w:style>
  <w:style w:type="paragraph" w:customStyle="1" w:styleId="308">
    <w:name w:val="列项说明数字编号"/>
    <w:qFormat/>
    <w:uiPriority w:val="0"/>
    <w:pPr>
      <w:spacing w:line="240" w:lineRule="auto"/>
      <w:ind w:left="600" w:leftChars="400" w:hanging="200" w:hangingChars="200"/>
      <w:jc w:val="left"/>
    </w:pPr>
    <w:rPr>
      <w:rFonts w:ascii="宋体" w:hAnsi="Times New Roman" w:eastAsia="宋体" w:cs="Times New Roman"/>
      <w:kern w:val="0"/>
      <w:sz w:val="21"/>
      <w:szCs w:val="20"/>
      <w:lang w:val="en-US" w:eastAsia="zh-CN" w:bidi="ar-SA"/>
    </w:rPr>
  </w:style>
  <w:style w:type="paragraph" w:customStyle="1" w:styleId="309">
    <w:name w:val="发布部门"/>
    <w:next w:val="158"/>
    <w:qFormat/>
    <w:uiPriority w:val="0"/>
    <w:pPr>
      <w:framePr w:w="7938" w:h="1134" w:hRule="exact" w:hSpace="125" w:vSpace="181" w:wrap="around" w:vAnchor="page" w:hAnchor="page" w:x="2150" w:y="14630" w:anchorLock="1"/>
      <w:spacing w:line="240" w:lineRule="auto"/>
      <w:jc w:val="center"/>
    </w:pPr>
    <w:rPr>
      <w:rFonts w:ascii="宋体" w:hAnsi="Times New Roman" w:eastAsia="宋体" w:cs="Times New Roman"/>
      <w:b/>
      <w:spacing w:val="20"/>
      <w:w w:val="135"/>
      <w:kern w:val="0"/>
      <w:sz w:val="28"/>
      <w:szCs w:val="20"/>
      <w:lang w:val="en-US" w:eastAsia="zh-CN" w:bidi="ar-SA"/>
    </w:rPr>
  </w:style>
  <w:style w:type="paragraph" w:customStyle="1" w:styleId="310">
    <w:name w:val="目次、标准名称标题"/>
    <w:basedOn w:val="1"/>
    <w:next w:val="158"/>
    <w:qFormat/>
    <w:uiPriority w:val="0"/>
    <w:pPr>
      <w:keepNext/>
      <w:pageBreakBefore/>
      <w:widowControl/>
      <w:shd w:val="clear" w:color="FFFFFF" w:fill="FFFFFF"/>
      <w:spacing w:before="640" w:after="560" w:line="460" w:lineRule="exact"/>
      <w:jc w:val="center"/>
      <w:outlineLvl w:val="0"/>
    </w:pPr>
    <w:rPr>
      <w:rFonts w:ascii="黑体" w:eastAsia="黑体" w:cs="Times New Roman"/>
      <w:sz w:val="32"/>
      <w:szCs w:val="20"/>
    </w:rPr>
  </w:style>
  <w:style w:type="paragraph" w:customStyle="1" w:styleId="311">
    <w:name w:val="封面标准文稿类别2"/>
    <w:basedOn w:val="268"/>
    <w:qFormat/>
    <w:uiPriority w:val="0"/>
    <w:pPr>
      <w:framePr w:wrap="around" w:y="4469"/>
    </w:pPr>
  </w:style>
  <w:style w:type="paragraph" w:customStyle="1" w:styleId="312">
    <w:name w:val="列项◆（三级）"/>
    <w:basedOn w:val="1"/>
    <w:qFormat/>
    <w:uiPriority w:val="0"/>
    <w:pPr>
      <w:numPr>
        <w:ilvl w:val="2"/>
        <w:numId w:val="12"/>
      </w:numPr>
      <w:tabs>
        <w:tab w:val="left" w:pos="1678"/>
      </w:tabs>
      <w:spacing w:line="240" w:lineRule="auto"/>
    </w:pPr>
    <w:rPr>
      <w:rFonts w:ascii="宋体" w:cs="Times New Roman"/>
      <w:kern w:val="2"/>
      <w:sz w:val="21"/>
      <w:szCs w:val="21"/>
    </w:rPr>
  </w:style>
  <w:style w:type="paragraph" w:customStyle="1" w:styleId="313">
    <w:name w:val="五级无"/>
    <w:basedOn w:val="211"/>
    <w:qFormat/>
    <w:uiPriority w:val="0"/>
    <w:pPr>
      <w:numPr>
        <w:ilvl w:val="5"/>
        <w:numId w:val="6"/>
      </w:numPr>
      <w:tabs>
        <w:tab w:val="clear" w:pos="1680"/>
        <w:tab w:val="clear" w:pos="2100"/>
        <w:tab w:val="clear" w:pos="2520"/>
        <w:tab w:val="clear" w:pos="2940"/>
        <w:tab w:val="clear" w:pos="3360"/>
      </w:tabs>
      <w:spacing w:before="50" w:after="50"/>
      <w:jc w:val="left"/>
    </w:pPr>
    <w:rPr>
      <w:rFonts w:ascii="宋体" w:hAnsi="Times New Roman" w:eastAsia="宋体"/>
      <w:sz w:val="21"/>
      <w:szCs w:val="21"/>
    </w:rPr>
  </w:style>
  <w:style w:type="paragraph" w:customStyle="1" w:styleId="314">
    <w:name w:val="示例×："/>
    <w:basedOn w:val="123"/>
    <w:qFormat/>
    <w:uiPriority w:val="0"/>
    <w:pPr>
      <w:keepNext w:val="0"/>
      <w:numPr>
        <w:ilvl w:val="0"/>
        <w:numId w:val="15"/>
      </w:numPr>
      <w:spacing w:line="240" w:lineRule="auto"/>
      <w:ind w:leftChars="0" w:right="0" w:rightChars="0"/>
      <w:jc w:val="both"/>
      <w:outlineLvl w:val="9"/>
    </w:pPr>
    <w:rPr>
      <w:rFonts w:ascii="宋体" w:cs="Times New Roman"/>
      <w:b w:val="0"/>
      <w:bCs w:val="0"/>
      <w:sz w:val="18"/>
      <w:szCs w:val="18"/>
    </w:rPr>
  </w:style>
  <w:style w:type="paragraph" w:customStyle="1" w:styleId="315">
    <w:name w:val="示例后文字"/>
    <w:basedOn w:val="158"/>
    <w:next w:val="158"/>
    <w:qFormat/>
    <w:uiPriority w:val="0"/>
    <w:pPr>
      <w:tabs>
        <w:tab w:val="center" w:pos="4201"/>
        <w:tab w:val="right" w:leader="dot" w:pos="9298"/>
      </w:tabs>
      <w:ind w:firstLine="360"/>
    </w:pPr>
    <w:rPr>
      <w:rFonts w:hAnsi="Times New Roman"/>
      <w:sz w:val="18"/>
    </w:rPr>
  </w:style>
  <w:style w:type="paragraph" w:customStyle="1" w:styleId="316">
    <w:name w:val="二级无"/>
    <w:basedOn w:val="186"/>
    <w:qFormat/>
    <w:uiPriority w:val="0"/>
    <w:pPr>
      <w:numPr>
        <w:ilvl w:val="2"/>
        <w:numId w:val="6"/>
      </w:numPr>
      <w:tabs>
        <w:tab w:val="clear" w:pos="1680"/>
        <w:tab w:val="clear" w:pos="2100"/>
      </w:tabs>
      <w:spacing w:before="50" w:after="50"/>
      <w:jc w:val="left"/>
    </w:pPr>
    <w:rPr>
      <w:rFonts w:ascii="宋体" w:hAnsi="Times New Roman" w:eastAsia="宋体"/>
      <w:sz w:val="21"/>
      <w:szCs w:val="21"/>
    </w:rPr>
  </w:style>
  <w:style w:type="paragraph" w:customStyle="1" w:styleId="317">
    <w:name w:val="封面标准文稿编辑信息2"/>
    <w:basedOn w:val="284"/>
    <w:qFormat/>
    <w:uiPriority w:val="0"/>
    <w:pPr>
      <w:framePr w:wrap="around" w:y="4469"/>
    </w:pPr>
  </w:style>
  <w:style w:type="paragraph" w:customStyle="1" w:styleId="318">
    <w:name w:val="终结线"/>
    <w:basedOn w:val="1"/>
    <w:qFormat/>
    <w:uiPriority w:val="0"/>
    <w:pPr>
      <w:framePr w:hSpace="181" w:vSpace="181" w:wrap="around" w:vAnchor="text" w:hAnchor="margin" w:xAlign="center" w:y="285"/>
      <w:spacing w:line="240" w:lineRule="auto"/>
    </w:pPr>
    <w:rPr>
      <w:rFonts w:cs="Times New Roman"/>
      <w:kern w:val="2"/>
      <w:sz w:val="21"/>
    </w:rPr>
  </w:style>
  <w:style w:type="paragraph" w:customStyle="1" w:styleId="319">
    <w:name w:val="参考文献"/>
    <w:basedOn w:val="1"/>
    <w:next w:val="158"/>
    <w:qFormat/>
    <w:uiPriority w:val="0"/>
    <w:pPr>
      <w:keepNext/>
      <w:pageBreakBefore/>
      <w:widowControl/>
      <w:shd w:val="clear" w:color="FFFFFF" w:fill="FFFFFF"/>
      <w:spacing w:before="640" w:after="200" w:line="240" w:lineRule="auto"/>
      <w:jc w:val="center"/>
      <w:outlineLvl w:val="0"/>
    </w:pPr>
    <w:rPr>
      <w:rFonts w:ascii="黑体" w:eastAsia="黑体" w:cs="Times New Roman"/>
      <w:sz w:val="21"/>
      <w:szCs w:val="20"/>
    </w:rPr>
  </w:style>
  <w:style w:type="paragraph" w:customStyle="1" w:styleId="320">
    <w:name w:val="附录公式编号制表符"/>
    <w:basedOn w:val="1"/>
    <w:next w:val="158"/>
    <w:qFormat/>
    <w:uiPriority w:val="0"/>
    <w:pPr>
      <w:widowControl/>
      <w:tabs>
        <w:tab w:val="center" w:pos="4201"/>
        <w:tab w:val="right" w:leader="dot" w:pos="9298"/>
      </w:tabs>
      <w:autoSpaceDE w:val="0"/>
      <w:autoSpaceDN w:val="0"/>
      <w:spacing w:line="240" w:lineRule="auto"/>
    </w:pPr>
    <w:rPr>
      <w:rFonts w:ascii="宋体" w:cs="Times New Roman"/>
      <w:sz w:val="21"/>
      <w:szCs w:val="20"/>
    </w:rPr>
  </w:style>
  <w:style w:type="paragraph" w:customStyle="1" w:styleId="321">
    <w:name w:val="正文公式编号制表符"/>
    <w:basedOn w:val="158"/>
    <w:next w:val="158"/>
    <w:qFormat/>
    <w:uiPriority w:val="0"/>
    <w:pPr>
      <w:tabs>
        <w:tab w:val="center" w:pos="4201"/>
        <w:tab w:val="right" w:leader="dot" w:pos="9298"/>
      </w:tabs>
      <w:ind w:firstLine="0" w:firstLineChars="0"/>
    </w:pPr>
    <w:rPr>
      <w:rFonts w:hAnsi="Times New Roman"/>
    </w:rPr>
  </w:style>
  <w:style w:type="paragraph" w:customStyle="1" w:styleId="322">
    <w:name w:val="附录四级无"/>
    <w:basedOn w:val="207"/>
    <w:qFormat/>
    <w:uiPriority w:val="0"/>
    <w:rPr>
      <w:rFonts w:ascii="宋体" w:eastAsia="宋体"/>
      <w:szCs w:val="21"/>
    </w:rPr>
  </w:style>
  <w:style w:type="paragraph" w:customStyle="1" w:styleId="323">
    <w:name w:val="标准书眉_偶数页"/>
    <w:basedOn w:val="221"/>
    <w:next w:val="1"/>
    <w:qFormat/>
    <w:uiPriority w:val="0"/>
    <w:pPr>
      <w:jc w:val="left"/>
    </w:pPr>
  </w:style>
  <w:style w:type="paragraph" w:customStyle="1" w:styleId="324">
    <w:name w:val="条文脚注"/>
    <w:basedOn w:val="69"/>
    <w:qFormat/>
    <w:uiPriority w:val="0"/>
    <w:pPr>
      <w:tabs>
        <w:tab w:val="left" w:pos="0"/>
      </w:tabs>
      <w:spacing w:line="240" w:lineRule="auto"/>
      <w:ind w:firstLine="0" w:firstLineChars="0"/>
      <w:jc w:val="both"/>
    </w:pPr>
    <w:rPr>
      <w:rFonts w:ascii="宋体"/>
    </w:rPr>
  </w:style>
  <w:style w:type="paragraph" w:customStyle="1" w:styleId="325">
    <w:name w:val="附录公式"/>
    <w:basedOn w:val="158"/>
    <w:next w:val="158"/>
    <w:link w:val="326"/>
    <w:qFormat/>
    <w:uiPriority w:val="0"/>
    <w:pPr>
      <w:tabs>
        <w:tab w:val="center" w:pos="4201"/>
        <w:tab w:val="right" w:leader="dot" w:pos="9298"/>
      </w:tabs>
      <w:ind w:firstLine="420"/>
    </w:pPr>
    <w:rPr>
      <w:rFonts w:hAnsi="Times New Roman"/>
    </w:rPr>
  </w:style>
  <w:style w:type="character" w:customStyle="1" w:styleId="326">
    <w:name w:val="附录公式 Char"/>
    <w:link w:val="325"/>
    <w:qFormat/>
    <w:uiPriority w:val="0"/>
    <w:rPr>
      <w:rFonts w:ascii="宋体" w:cs="Times New Roman"/>
      <w:kern w:val="0"/>
      <w:sz w:val="21"/>
      <w:szCs w:val="20"/>
    </w:rPr>
  </w:style>
  <w:style w:type="paragraph" w:customStyle="1" w:styleId="327">
    <w:name w:val="标准书眉一"/>
    <w:qFormat/>
    <w:uiPriority w:val="0"/>
    <w:pPr>
      <w:spacing w:line="240" w:lineRule="auto"/>
      <w:jc w:val="both"/>
    </w:pPr>
    <w:rPr>
      <w:rFonts w:ascii="Times New Roman" w:hAnsi="Times New Roman" w:eastAsia="宋体" w:cs="Times New Roman"/>
      <w:kern w:val="0"/>
      <w:sz w:val="20"/>
      <w:szCs w:val="20"/>
      <w:lang w:val="en-US" w:eastAsia="zh-CN" w:bidi="ar-SA"/>
    </w:rPr>
  </w:style>
  <w:style w:type="paragraph" w:customStyle="1" w:styleId="328">
    <w:name w:val="目次、索引正文"/>
    <w:qFormat/>
    <w:uiPriority w:val="0"/>
    <w:pPr>
      <w:spacing w:line="320" w:lineRule="exact"/>
      <w:jc w:val="both"/>
    </w:pPr>
    <w:rPr>
      <w:rFonts w:ascii="宋体" w:hAnsi="Times New Roman" w:eastAsia="宋体" w:cs="Times New Roman"/>
      <w:kern w:val="0"/>
      <w:sz w:val="21"/>
      <w:szCs w:val="20"/>
      <w:lang w:val="en-US" w:eastAsia="zh-CN" w:bidi="ar-SA"/>
    </w:rPr>
  </w:style>
  <w:style w:type="paragraph" w:customStyle="1" w:styleId="329">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kern w:val="0"/>
      <w:sz w:val="21"/>
      <w:szCs w:val="21"/>
      <w:lang w:val="en-US" w:eastAsia="zh-CN" w:bidi="ar-SA"/>
    </w:rPr>
  </w:style>
  <w:style w:type="paragraph" w:customStyle="1" w:styleId="330">
    <w:name w:val="封面标准号1"/>
    <w:qFormat/>
    <w:uiPriority w:val="0"/>
    <w:pPr>
      <w:widowControl w:val="0"/>
      <w:kinsoku w:val="0"/>
      <w:overflowPunct w:val="0"/>
      <w:autoSpaceDE w:val="0"/>
      <w:autoSpaceDN w:val="0"/>
      <w:spacing w:before="308" w:line="240" w:lineRule="auto"/>
      <w:jc w:val="right"/>
      <w:textAlignment w:val="center"/>
    </w:pPr>
    <w:rPr>
      <w:rFonts w:ascii="Times New Roman" w:hAnsi="Times New Roman" w:eastAsia="宋体" w:cs="Times New Roman"/>
      <w:kern w:val="0"/>
      <w:sz w:val="28"/>
      <w:szCs w:val="20"/>
      <w:lang w:val="en-US" w:eastAsia="zh-CN" w:bidi="ar-SA"/>
    </w:rPr>
  </w:style>
  <w:style w:type="paragraph" w:customStyle="1" w:styleId="33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kern w:val="0"/>
      <w:sz w:val="48"/>
      <w:szCs w:val="52"/>
      <w:lang w:val="en-US" w:eastAsia="zh-CN" w:bidi="ar-SA"/>
    </w:rPr>
  </w:style>
  <w:style w:type="paragraph" w:customStyle="1" w:styleId="332">
    <w:name w:val="封面正文"/>
    <w:qFormat/>
    <w:uiPriority w:val="0"/>
    <w:pPr>
      <w:spacing w:line="240" w:lineRule="auto"/>
      <w:jc w:val="both"/>
    </w:pPr>
    <w:rPr>
      <w:rFonts w:ascii="Times New Roman" w:hAnsi="Times New Roman" w:eastAsia="宋体" w:cs="Times New Roman"/>
      <w:kern w:val="0"/>
      <w:sz w:val="20"/>
      <w:szCs w:val="20"/>
      <w:lang w:val="en-US" w:eastAsia="zh-CN" w:bidi="ar-SA"/>
    </w:rPr>
  </w:style>
  <w:style w:type="paragraph" w:customStyle="1" w:styleId="333">
    <w:name w:val="附录表标题"/>
    <w:basedOn w:val="1"/>
    <w:next w:val="158"/>
    <w:qFormat/>
    <w:uiPriority w:val="0"/>
    <w:pPr>
      <w:numPr>
        <w:ilvl w:val="1"/>
        <w:numId w:val="1"/>
      </w:numPr>
      <w:tabs>
        <w:tab w:val="left" w:pos="180"/>
      </w:tabs>
      <w:spacing w:beforeLines="50" w:afterLines="50" w:line="240" w:lineRule="auto"/>
      <w:jc w:val="center"/>
    </w:pPr>
    <w:rPr>
      <w:rFonts w:ascii="黑体" w:eastAsia="黑体" w:cs="Times New Roman"/>
      <w:kern w:val="2"/>
      <w:sz w:val="21"/>
      <w:szCs w:val="21"/>
    </w:rPr>
  </w:style>
  <w:style w:type="paragraph" w:customStyle="1" w:styleId="334">
    <w:name w:val="附录二级无"/>
    <w:basedOn w:val="209"/>
    <w:qFormat/>
    <w:uiPriority w:val="0"/>
    <w:rPr>
      <w:rFonts w:ascii="宋体" w:eastAsia="宋体"/>
      <w:szCs w:val="21"/>
    </w:rPr>
  </w:style>
  <w:style w:type="paragraph" w:customStyle="1" w:styleId="335">
    <w:name w:val="附录数字编号列项（二级）"/>
    <w:qFormat/>
    <w:uiPriority w:val="0"/>
    <w:pPr>
      <w:numPr>
        <w:ilvl w:val="1"/>
        <w:numId w:val="13"/>
      </w:numPr>
      <w:tabs>
        <w:tab w:val="left" w:pos="840"/>
      </w:tabs>
      <w:spacing w:line="240" w:lineRule="auto"/>
      <w:jc w:val="left"/>
    </w:pPr>
    <w:rPr>
      <w:rFonts w:ascii="宋体" w:hAnsi="Times New Roman" w:eastAsia="宋体" w:cs="Times New Roman"/>
      <w:kern w:val="0"/>
      <w:sz w:val="21"/>
      <w:szCs w:val="20"/>
      <w:lang w:val="en-US" w:eastAsia="zh-CN" w:bidi="ar-SA"/>
    </w:rPr>
  </w:style>
  <w:style w:type="paragraph" w:customStyle="1" w:styleId="336">
    <w:name w:val="封面标准英文名称2"/>
    <w:basedOn w:val="250"/>
    <w:qFormat/>
    <w:uiPriority w:val="0"/>
    <w:pPr>
      <w:framePr w:w="9639" w:h="6917" w:hRule="exact" w:wrap="around" w:vAnchor="page" w:hAnchor="page" w:xAlign="center" w:y="4469" w:anchorLock="1"/>
      <w:ind w:firstLine="0" w:firstLineChars="0"/>
      <w:textAlignment w:val="center"/>
    </w:pPr>
    <w:rPr>
      <w:rFonts w:eastAsia="黑体"/>
      <w:szCs w:val="28"/>
    </w:rPr>
  </w:style>
  <w:style w:type="paragraph" w:customStyle="1" w:styleId="337">
    <w:name w:val="列项说明"/>
    <w:basedOn w:val="1"/>
    <w:qFormat/>
    <w:uiPriority w:val="0"/>
    <w:pPr>
      <w:adjustRightInd w:val="0"/>
      <w:spacing w:line="320" w:lineRule="exact"/>
      <w:ind w:left="400" w:leftChars="200" w:hanging="200" w:hangingChars="200"/>
      <w:jc w:val="left"/>
      <w:textAlignment w:val="baseline"/>
    </w:pPr>
    <w:rPr>
      <w:rFonts w:ascii="宋体" w:cs="Times New Roman"/>
      <w:sz w:val="21"/>
      <w:szCs w:val="20"/>
    </w:rPr>
  </w:style>
  <w:style w:type="paragraph" w:customStyle="1" w:styleId="338">
    <w:name w:val="封面标准名称2"/>
    <w:basedOn w:val="270"/>
    <w:qFormat/>
    <w:uiPriority w:val="0"/>
    <w:pPr>
      <w:framePr w:wrap="around" w:y="4469"/>
      <w:spacing w:beforeLines="630"/>
    </w:pPr>
  </w:style>
  <w:style w:type="paragraph" w:customStyle="1" w:styleId="339">
    <w:name w:val="附录图标号"/>
    <w:basedOn w:val="1"/>
    <w:qFormat/>
    <w:uiPriority w:val="0"/>
    <w:pPr>
      <w:keepNext/>
      <w:pageBreakBefore/>
      <w:widowControl/>
      <w:numPr>
        <w:ilvl w:val="0"/>
        <w:numId w:val="3"/>
      </w:numPr>
      <w:spacing w:line="14" w:lineRule="exact"/>
      <w:ind w:firstLine="363"/>
      <w:jc w:val="center"/>
      <w:outlineLvl w:val="0"/>
    </w:pPr>
    <w:rPr>
      <w:rFonts w:cs="Times New Roman"/>
      <w:color w:val="FFFFFF"/>
      <w:kern w:val="2"/>
      <w:sz w:val="21"/>
    </w:rPr>
  </w:style>
  <w:style w:type="paragraph" w:customStyle="1" w:styleId="340">
    <w:name w:val="附录五级无"/>
    <w:basedOn w:val="206"/>
    <w:qFormat/>
    <w:uiPriority w:val="0"/>
    <w:rPr>
      <w:rFonts w:ascii="宋体" w:eastAsia="宋体"/>
      <w:szCs w:val="21"/>
    </w:rPr>
  </w:style>
  <w:style w:type="paragraph" w:customStyle="1" w:styleId="341">
    <w:name w:val="其他发布部门"/>
    <w:basedOn w:val="309"/>
    <w:qFormat/>
    <w:uiPriority w:val="0"/>
    <w:pPr>
      <w:framePr w:wrap="around" w:y="15310"/>
      <w:spacing w:line="0" w:lineRule="atLeast"/>
    </w:pPr>
    <w:rPr>
      <w:rFonts w:ascii="黑体" w:eastAsia="黑体"/>
      <w:b w:val="0"/>
    </w:rPr>
  </w:style>
  <w:style w:type="paragraph" w:customStyle="1" w:styleId="342">
    <w:name w:val="一级无"/>
    <w:basedOn w:val="187"/>
    <w:qFormat/>
    <w:uiPriority w:val="0"/>
    <w:pPr>
      <w:numPr>
        <w:ilvl w:val="1"/>
        <w:numId w:val="6"/>
      </w:numPr>
      <w:tabs>
        <w:tab w:val="clear" w:pos="1680"/>
      </w:tabs>
      <w:jc w:val="left"/>
    </w:pPr>
    <w:rPr>
      <w:rFonts w:ascii="宋体" w:hAnsi="Times New Roman" w:eastAsia="宋体"/>
      <w:sz w:val="21"/>
      <w:szCs w:val="21"/>
    </w:rPr>
  </w:style>
  <w:style w:type="character" w:customStyle="1" w:styleId="343">
    <w:name w:val="发布"/>
    <w:qFormat/>
    <w:uiPriority w:val="0"/>
    <w:rPr>
      <w:rFonts w:ascii="黑体" w:eastAsia="黑体"/>
      <w:spacing w:val="85"/>
      <w:w w:val="100"/>
      <w:position w:val="3"/>
      <w:sz w:val="28"/>
      <w:szCs w:val="28"/>
    </w:rPr>
  </w:style>
  <w:style w:type="paragraph" w:customStyle="1" w:styleId="344">
    <w:name w:val="p0"/>
    <w:basedOn w:val="1"/>
    <w:qFormat/>
    <w:uiPriority w:val="0"/>
    <w:pPr>
      <w:widowControl/>
      <w:spacing w:line="240" w:lineRule="auto"/>
    </w:pPr>
    <w:rPr>
      <w:rFonts w:cs="Times New Roman"/>
      <w:sz w:val="21"/>
      <w:szCs w:val="21"/>
    </w:rPr>
  </w:style>
  <w:style w:type="paragraph" w:customStyle="1" w:styleId="345">
    <w:name w:val="二级无标题条"/>
    <w:basedOn w:val="1"/>
    <w:qFormat/>
    <w:uiPriority w:val="0"/>
    <w:pPr>
      <w:numPr>
        <w:ilvl w:val="3"/>
        <w:numId w:val="16"/>
      </w:numPr>
      <w:spacing w:line="240" w:lineRule="auto"/>
    </w:pPr>
    <w:rPr>
      <w:rFonts w:cs="Times New Roman"/>
      <w:kern w:val="2"/>
      <w:sz w:val="21"/>
    </w:rPr>
  </w:style>
  <w:style w:type="character" w:customStyle="1" w:styleId="346">
    <w:name w:val="批注文字 Char1"/>
    <w:qFormat/>
    <w:uiPriority w:val="0"/>
    <w:rPr>
      <w:kern w:val="2"/>
      <w:sz w:val="21"/>
      <w:szCs w:val="24"/>
    </w:rPr>
  </w:style>
  <w:style w:type="paragraph" w:customStyle="1" w:styleId="347">
    <w:name w:val="无间隔1"/>
    <w:qFormat/>
    <w:uiPriority w:val="0"/>
    <w:pPr>
      <w:widowControl w:val="0"/>
      <w:spacing w:line="240" w:lineRule="auto"/>
      <w:jc w:val="both"/>
    </w:pPr>
    <w:rPr>
      <w:rFonts w:ascii="Times New Roman" w:hAnsi="Times New Roman" w:eastAsia="宋体" w:cs="Times New Roman"/>
      <w:kern w:val="2"/>
      <w:sz w:val="21"/>
      <w:szCs w:val="21"/>
      <w:lang w:val="en-US" w:eastAsia="zh-CN" w:bidi="ar-SA"/>
    </w:rPr>
  </w:style>
  <w:style w:type="paragraph" w:customStyle="1" w:styleId="348">
    <w:name w:val="正文 A"/>
    <w:qFormat/>
    <w:uiPriority w:val="0"/>
    <w:pPr>
      <w:widowControl w:val="0"/>
      <w:spacing w:line="240" w:lineRule="auto"/>
      <w:jc w:val="both"/>
    </w:pPr>
    <w:rPr>
      <w:rFonts w:ascii="Calibri" w:hAnsi="Calibri" w:eastAsia="Calibri" w:cs="Calibri"/>
      <w:color w:val="000000"/>
      <w:kern w:val="2"/>
      <w:sz w:val="21"/>
      <w:szCs w:val="21"/>
      <w:lang w:val="en-US" w:eastAsia="zh-CN" w:bidi="ar-SA"/>
    </w:rPr>
  </w:style>
  <w:style w:type="character" w:customStyle="1" w:styleId="349">
    <w:name w:val="标题 1 Char1"/>
    <w:qFormat/>
    <w:locked/>
    <w:uiPriority w:val="9"/>
    <w:rPr>
      <w:b/>
      <w:kern w:val="44"/>
      <w:sz w:val="44"/>
      <w:szCs w:val="24"/>
    </w:rPr>
  </w:style>
  <w:style w:type="character" w:customStyle="1" w:styleId="350">
    <w:name w:val="font41"/>
    <w:qFormat/>
    <w:uiPriority w:val="0"/>
    <w:rPr>
      <w:rFonts w:hint="eastAsia" w:ascii="仿宋_GB2312" w:eastAsia="仿宋_GB2312" w:cs="仿宋_GB2312"/>
      <w:color w:val="FF0000"/>
      <w:sz w:val="24"/>
      <w:szCs w:val="24"/>
      <w:u w:val="none"/>
    </w:rPr>
  </w:style>
  <w:style w:type="character" w:customStyle="1" w:styleId="351">
    <w:name w:val="章标题 Char"/>
    <w:qFormat/>
    <w:uiPriority w:val="0"/>
    <w:rPr>
      <w:rFonts w:hint="eastAsia" w:ascii="黑体" w:eastAsia="黑体" w:cs="Times New Roman"/>
      <w:sz w:val="21"/>
      <w:lang w:val="en-US" w:eastAsia="zh-CN" w:bidi="ar-SA"/>
    </w:rPr>
  </w:style>
  <w:style w:type="character" w:customStyle="1" w:styleId="352">
    <w:name w:val="正文文本 Char1"/>
    <w:semiHidden/>
    <w:qFormat/>
    <w:locked/>
    <w:uiPriority w:val="0"/>
    <w:rPr>
      <w:kern w:val="2"/>
      <w:sz w:val="24"/>
      <w:szCs w:val="24"/>
    </w:rPr>
  </w:style>
  <w:style w:type="character" w:customStyle="1" w:styleId="353">
    <w:name w:val="日期 Char1"/>
    <w:semiHidden/>
    <w:qFormat/>
    <w:locked/>
    <w:uiPriority w:val="99"/>
    <w:rPr>
      <w:kern w:val="2"/>
      <w:sz w:val="24"/>
      <w:szCs w:val="24"/>
    </w:rPr>
  </w:style>
  <w:style w:type="character" w:customStyle="1" w:styleId="354">
    <w:name w:val="批注框文本 Char1"/>
    <w:semiHidden/>
    <w:qFormat/>
    <w:locked/>
    <w:uiPriority w:val="0"/>
    <w:rPr>
      <w:kern w:val="2"/>
      <w:sz w:val="18"/>
      <w:szCs w:val="18"/>
    </w:rPr>
  </w:style>
  <w:style w:type="character" w:customStyle="1" w:styleId="355">
    <w:name w:val="页脚 Char1"/>
    <w:semiHidden/>
    <w:qFormat/>
    <w:locked/>
    <w:uiPriority w:val="0"/>
    <w:rPr>
      <w:kern w:val="2"/>
      <w:sz w:val="18"/>
      <w:szCs w:val="18"/>
    </w:rPr>
  </w:style>
  <w:style w:type="character" w:customStyle="1" w:styleId="356">
    <w:name w:val="页眉 Char1"/>
    <w:semiHidden/>
    <w:qFormat/>
    <w:locked/>
    <w:uiPriority w:val="0"/>
    <w:rPr>
      <w:kern w:val="2"/>
      <w:sz w:val="18"/>
      <w:szCs w:val="18"/>
    </w:rPr>
  </w:style>
  <w:style w:type="character" w:customStyle="1" w:styleId="357">
    <w:name w:val="批注主题 Char1"/>
    <w:semiHidden/>
    <w:qFormat/>
    <w:locked/>
    <w:uiPriority w:val="0"/>
    <w:rPr>
      <w:b/>
      <w:bCs/>
      <w:kern w:val="2"/>
      <w:sz w:val="21"/>
      <w:szCs w:val="24"/>
    </w:rPr>
  </w:style>
  <w:style w:type="table" w:customStyle="1" w:styleId="358">
    <w:name w:val="网格型11"/>
    <w:basedOn w:val="89"/>
    <w:qFormat/>
    <w:uiPriority w:val="0"/>
    <w:pPr>
      <w:spacing w:line="240" w:lineRule="auto"/>
      <w:jc w:val="left"/>
    </w:pPr>
    <w:rPr>
      <w:rFonts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59">
    <w:name w:val="网格型2"/>
    <w:basedOn w:val="89"/>
    <w:qFormat/>
    <w:uiPriority w:val="0"/>
    <w:pPr>
      <w:widowControl w:val="0"/>
      <w:spacing w:line="240" w:lineRule="auto"/>
      <w:jc w:val="center"/>
    </w:pPr>
    <w:rPr>
      <w:rFonts w:cs="Times New Roman"/>
      <w:kern w:val="0"/>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rPr>
      <w:jc w:val="center"/>
    </w:trPr>
    <w:tcPr>
      <w:vAlign w:val="center"/>
    </w:tcPr>
    <w:tblStylePr w:type="firstRow">
      <w:pPr>
        <w:jc w:val="center"/>
      </w:pPr>
      <w:tblPr/>
      <w:trPr>
        <w:tblHeader/>
      </w:trPr>
      <w:tcPr>
        <w:shd w:val="clear" w:color="auto" w:fill="D9D9D9"/>
      </w:tcPr>
    </w:tblStylePr>
  </w:style>
  <w:style w:type="table" w:customStyle="1" w:styleId="360">
    <w:name w:val="网格型3"/>
    <w:basedOn w:val="89"/>
    <w:qFormat/>
    <w:uiPriority w:val="39"/>
    <w:pPr>
      <w:widowControl w:val="0"/>
      <w:spacing w:line="240" w:lineRule="auto"/>
      <w:jc w:val="center"/>
    </w:pPr>
    <w:rPr>
      <w:rFonts w:cs="Times New Roman"/>
      <w:kern w:val="0"/>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Pr>
    <w:trPr>
      <w:jc w:val="center"/>
    </w:trPr>
    <w:tcPr>
      <w:vAlign w:val="center"/>
    </w:tcPr>
    <w:tblStylePr w:type="firstRow">
      <w:pPr>
        <w:jc w:val="center"/>
      </w:pPr>
      <w:tblPr/>
      <w:trPr>
        <w:tblHeader/>
      </w:trPr>
      <w:tcPr>
        <w:shd w:val="clear" w:color="auto" w:fill="D9D9D9"/>
      </w:tcPr>
    </w:tblStylePr>
  </w:style>
  <w:style w:type="table" w:customStyle="1" w:styleId="361">
    <w:name w:val="网格型4"/>
    <w:basedOn w:val="89"/>
    <w:qFormat/>
    <w:uiPriority w:val="0"/>
    <w:pPr>
      <w:widowControl w:val="0"/>
      <w:spacing w:line="240" w:lineRule="auto"/>
    </w:pPr>
    <w:rPr>
      <w:rFonts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2">
    <w:name w:val="网格型12"/>
    <w:basedOn w:val="89"/>
    <w:qFormat/>
    <w:uiPriority w:val="0"/>
    <w:pPr>
      <w:spacing w:line="240" w:lineRule="auto"/>
      <w:jc w:val="left"/>
    </w:pPr>
    <w:rPr>
      <w:rFonts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E502D-9F71-42C3-A626-4DD5E54A85AB}">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5681</Words>
  <Characters>6294</Characters>
  <Lines>290</Lines>
  <Paragraphs>81</Paragraphs>
  <TotalTime>4</TotalTime>
  <ScaleCrop>false</ScaleCrop>
  <LinksUpToDate>false</LinksUpToDate>
  <CharactersWithSpaces>6367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2025-05-05T07:07:00Z</dcterms:created>
  <dc:creator>fanweiping</dc:creator>
  <cp:lastModifiedBy>阮桂色</cp:lastModifiedBy>
  <dcterms:modified xsi:type="dcterms:W3CDTF">2026-08-20T07:42:20Z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C23DF731BB0D4E108E820D6534C6A6E9_13</vt:lpwstr>
  </property>
  <property fmtid="{D5CDD505-2E9C-101B-9397-08002B2CF9AE}" pid="4" name="KSOTemplateDocerSaveRecord">
    <vt:lpwstr>eyJoZGlkIjoiYzZiMWIyNjgwZjY4YTY3MGMwZmMxNzhiNGM0YjEyN2UiLCJ1c2VySWQiOiI3NjUzOTY3ODkifQ==</vt:lpwstr>
  </property>
</Properties>
</file>