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8A4E33">
      <w:pPr>
        <w:jc w:val="center"/>
        <w:rPr>
          <w:rFonts w:hint="eastAsia" w:eastAsia="黑体"/>
          <w:color w:val="auto"/>
          <w:sz w:val="32"/>
          <w:szCs w:val="32"/>
          <w:lang w:val="en-US" w:eastAsia="zh-CN"/>
        </w:rPr>
      </w:pPr>
    </w:p>
    <w:p w14:paraId="43B6A713">
      <w:pPr>
        <w:jc w:val="center"/>
        <w:rPr>
          <w:rFonts w:hint="eastAsia" w:eastAsia="黑体"/>
          <w:color w:val="auto"/>
          <w:sz w:val="32"/>
          <w:szCs w:val="32"/>
          <w:lang w:val="en-US" w:eastAsia="zh-CN"/>
        </w:rPr>
      </w:pPr>
    </w:p>
    <w:p w14:paraId="077F43BF">
      <w:pPr>
        <w:jc w:val="center"/>
        <w:rPr>
          <w:rFonts w:hint="eastAsia" w:eastAsia="黑体"/>
          <w:color w:val="auto"/>
          <w:sz w:val="32"/>
          <w:szCs w:val="32"/>
          <w:lang w:val="en-US" w:eastAsia="zh-CN"/>
        </w:rPr>
      </w:pPr>
    </w:p>
    <w:p w14:paraId="53969195">
      <w:pPr>
        <w:jc w:val="center"/>
        <w:rPr>
          <w:rFonts w:hint="eastAsia" w:eastAsia="黑体"/>
          <w:color w:val="auto"/>
          <w:sz w:val="32"/>
          <w:szCs w:val="32"/>
          <w:lang w:val="en-US" w:eastAsia="zh-CN"/>
        </w:rPr>
      </w:pPr>
    </w:p>
    <w:p w14:paraId="49B2B3D8">
      <w:pPr>
        <w:jc w:val="center"/>
        <w:rPr>
          <w:rFonts w:hint="eastAsia" w:eastAsia="黑体"/>
          <w:color w:val="auto"/>
          <w:sz w:val="32"/>
          <w:szCs w:val="32"/>
          <w:lang w:val="en-US" w:eastAsia="zh-CN"/>
        </w:rPr>
      </w:pPr>
    </w:p>
    <w:p w14:paraId="68A45F7A">
      <w:pPr>
        <w:jc w:val="center"/>
        <w:rPr>
          <w:rFonts w:hint="eastAsia" w:eastAsia="黑体"/>
          <w:color w:val="auto"/>
          <w:sz w:val="44"/>
          <w:szCs w:val="44"/>
          <w:lang w:val="en-US" w:eastAsia="zh-CN"/>
        </w:rPr>
      </w:pPr>
    </w:p>
    <w:p w14:paraId="56C0E303">
      <w:pPr>
        <w:jc w:val="center"/>
        <w:rPr>
          <w:rFonts w:hint="eastAsia" w:eastAsia="黑体"/>
          <w:color w:val="auto"/>
          <w:sz w:val="44"/>
          <w:szCs w:val="44"/>
          <w:lang w:val="en-US" w:eastAsia="zh-CN"/>
        </w:rPr>
      </w:pPr>
      <w:r>
        <w:rPr>
          <w:rFonts w:hint="eastAsia" w:eastAsia="黑体"/>
          <w:color w:val="auto"/>
          <w:sz w:val="44"/>
          <w:szCs w:val="44"/>
          <w:lang w:val="en-US" w:eastAsia="zh-CN"/>
        </w:rPr>
        <w:t>国家标准《均热板散热器用无氧铜带》</w:t>
      </w:r>
    </w:p>
    <w:p w14:paraId="00AE9882">
      <w:pPr>
        <w:jc w:val="center"/>
        <w:rPr>
          <w:rFonts w:hint="eastAsia" w:eastAsia="黑体"/>
          <w:color w:val="auto"/>
          <w:sz w:val="44"/>
          <w:szCs w:val="44"/>
          <w:lang w:val="en-US" w:eastAsia="zh-CN"/>
        </w:rPr>
      </w:pPr>
      <w:r>
        <w:rPr>
          <w:rFonts w:hint="eastAsia" w:eastAsia="黑体"/>
          <w:color w:val="auto"/>
          <w:sz w:val="44"/>
          <w:szCs w:val="44"/>
          <w:lang w:val="en-US" w:eastAsia="zh-CN"/>
        </w:rPr>
        <w:t>编制说明</w:t>
      </w:r>
    </w:p>
    <w:p w14:paraId="2B0E82A0">
      <w:pPr>
        <w:pStyle w:val="3"/>
        <w:rPr>
          <w:rFonts w:hint="eastAsia"/>
          <w:lang w:val="en-US" w:eastAsia="zh-CN"/>
        </w:rPr>
      </w:pPr>
    </w:p>
    <w:p w14:paraId="6FD979E8">
      <w:pPr>
        <w:jc w:val="center"/>
        <w:rPr>
          <w:rFonts w:hint="eastAsia" w:eastAsia="黑体"/>
          <w:color w:val="auto"/>
          <w:sz w:val="32"/>
          <w:szCs w:val="32"/>
          <w:lang w:val="en-US" w:eastAsia="zh-CN"/>
        </w:rPr>
      </w:pPr>
      <w:r>
        <w:rPr>
          <w:rFonts w:hint="eastAsia" w:eastAsia="黑体"/>
          <w:color w:val="auto"/>
          <w:sz w:val="32"/>
          <w:szCs w:val="32"/>
          <w:lang w:val="en-US" w:eastAsia="zh-CN"/>
        </w:rPr>
        <w:t>（讨论稿）</w:t>
      </w:r>
    </w:p>
    <w:p w14:paraId="083AF3D4">
      <w:pPr>
        <w:jc w:val="center"/>
        <w:rPr>
          <w:rFonts w:hint="eastAsia" w:eastAsia="黑体"/>
          <w:color w:val="auto"/>
          <w:sz w:val="28"/>
          <w:szCs w:val="28"/>
          <w:lang w:val="en-US" w:eastAsia="zh-CN"/>
        </w:rPr>
      </w:pPr>
    </w:p>
    <w:p w14:paraId="67D435A6">
      <w:pPr>
        <w:jc w:val="center"/>
        <w:rPr>
          <w:rFonts w:hint="eastAsia" w:eastAsia="黑体"/>
          <w:color w:val="auto"/>
          <w:sz w:val="28"/>
          <w:szCs w:val="28"/>
          <w:lang w:val="en-US" w:eastAsia="zh-CN"/>
        </w:rPr>
      </w:pPr>
    </w:p>
    <w:p w14:paraId="4D5E62B0">
      <w:pPr>
        <w:jc w:val="center"/>
        <w:rPr>
          <w:rFonts w:hint="eastAsia" w:eastAsia="黑体"/>
          <w:color w:val="auto"/>
          <w:sz w:val="28"/>
          <w:szCs w:val="28"/>
          <w:lang w:val="en-US" w:eastAsia="zh-CN"/>
        </w:rPr>
      </w:pPr>
    </w:p>
    <w:p w14:paraId="15B73921">
      <w:pPr>
        <w:jc w:val="center"/>
        <w:rPr>
          <w:rFonts w:hint="eastAsia" w:eastAsia="黑体"/>
          <w:color w:val="auto"/>
          <w:sz w:val="28"/>
          <w:szCs w:val="28"/>
          <w:lang w:val="en-US" w:eastAsia="zh-CN"/>
        </w:rPr>
      </w:pPr>
    </w:p>
    <w:p w14:paraId="4AE6AF22">
      <w:pPr>
        <w:jc w:val="center"/>
        <w:rPr>
          <w:rFonts w:hint="eastAsia" w:eastAsia="黑体"/>
          <w:color w:val="auto"/>
          <w:sz w:val="28"/>
          <w:szCs w:val="28"/>
          <w:lang w:val="en-US" w:eastAsia="zh-CN"/>
        </w:rPr>
      </w:pPr>
    </w:p>
    <w:p w14:paraId="65CCCD6A">
      <w:pPr>
        <w:jc w:val="center"/>
        <w:rPr>
          <w:rFonts w:hint="eastAsia" w:eastAsia="黑体"/>
          <w:color w:val="auto"/>
          <w:sz w:val="28"/>
          <w:szCs w:val="28"/>
          <w:lang w:val="en-US" w:eastAsia="zh-CN"/>
        </w:rPr>
      </w:pPr>
    </w:p>
    <w:p w14:paraId="00909E4C">
      <w:pPr>
        <w:jc w:val="center"/>
        <w:rPr>
          <w:rFonts w:hint="eastAsia" w:eastAsia="黑体"/>
          <w:color w:val="auto"/>
          <w:sz w:val="28"/>
          <w:szCs w:val="28"/>
          <w:lang w:val="en-US" w:eastAsia="zh-CN"/>
        </w:rPr>
      </w:pPr>
    </w:p>
    <w:p w14:paraId="154E1BBE">
      <w:pPr>
        <w:jc w:val="center"/>
        <w:rPr>
          <w:rFonts w:hint="default" w:eastAsia="黑体"/>
          <w:color w:val="auto"/>
          <w:sz w:val="28"/>
          <w:szCs w:val="28"/>
          <w:lang w:val="en-US" w:eastAsia="zh-CN"/>
        </w:rPr>
      </w:pPr>
      <w:r>
        <w:rPr>
          <w:rFonts w:hint="eastAsia" w:eastAsia="黑体"/>
          <w:color w:val="auto"/>
          <w:sz w:val="28"/>
          <w:szCs w:val="28"/>
          <w:lang w:val="en-US" w:eastAsia="zh-CN"/>
        </w:rPr>
        <w:t>江西铜业集团铜板带有限公司</w:t>
      </w:r>
    </w:p>
    <w:p w14:paraId="23FDA1D1">
      <w:pPr>
        <w:jc w:val="center"/>
        <w:rPr>
          <w:rFonts w:hint="default" w:eastAsia="黑体"/>
          <w:color w:val="auto"/>
          <w:sz w:val="28"/>
          <w:szCs w:val="28"/>
          <w:lang w:val="en-US" w:eastAsia="zh-CN"/>
        </w:rPr>
      </w:pPr>
      <w:r>
        <w:rPr>
          <w:rFonts w:hint="eastAsia" w:eastAsia="黑体"/>
          <w:color w:val="auto"/>
          <w:sz w:val="28"/>
          <w:szCs w:val="28"/>
          <w:lang w:val="en-US" w:eastAsia="zh-CN"/>
        </w:rPr>
        <w:t>2026年7月</w:t>
      </w:r>
      <w:r>
        <w:rPr>
          <w:rFonts w:hint="eastAsia" w:eastAsia="黑体"/>
          <w:color w:val="auto"/>
          <w:sz w:val="28"/>
          <w:szCs w:val="28"/>
          <w:lang w:val="en-US" w:eastAsia="zh-CN"/>
        </w:rPr>
        <w:br w:type="page"/>
      </w:r>
    </w:p>
    <w:p w14:paraId="7315AEC6">
      <w:pPr>
        <w:jc w:val="center"/>
        <w:rPr>
          <w:rFonts w:hint="eastAsia" w:eastAsia="黑体"/>
          <w:color w:val="auto"/>
          <w:sz w:val="44"/>
          <w:szCs w:val="44"/>
          <w:lang w:val="en-US" w:eastAsia="zh-CN"/>
        </w:rPr>
      </w:pPr>
      <w:r>
        <w:rPr>
          <w:rFonts w:hint="eastAsia" w:eastAsia="黑体"/>
          <w:color w:val="auto"/>
          <w:sz w:val="44"/>
          <w:szCs w:val="44"/>
          <w:lang w:val="en-US" w:eastAsia="zh-CN"/>
        </w:rPr>
        <w:t>国家标准《均热板散热器用无氧铜带》</w:t>
      </w:r>
    </w:p>
    <w:p w14:paraId="4C94D104">
      <w:pPr>
        <w:jc w:val="center"/>
        <w:rPr>
          <w:rFonts w:hint="eastAsia" w:eastAsia="黑体"/>
          <w:color w:val="auto"/>
          <w:sz w:val="44"/>
          <w:szCs w:val="44"/>
          <w:lang w:val="en-US" w:eastAsia="zh-CN"/>
        </w:rPr>
      </w:pPr>
      <w:r>
        <w:rPr>
          <w:rFonts w:hint="eastAsia" w:eastAsia="黑体"/>
          <w:color w:val="auto"/>
          <w:sz w:val="44"/>
          <w:szCs w:val="44"/>
          <w:lang w:val="en-US" w:eastAsia="zh-CN"/>
        </w:rPr>
        <w:t>编制说明</w:t>
      </w:r>
    </w:p>
    <w:p w14:paraId="6E03AA90">
      <w:pPr>
        <w:jc w:val="center"/>
        <w:rPr>
          <w:rFonts w:hint="eastAsia" w:eastAsia="黑体"/>
          <w:color w:val="auto"/>
          <w:sz w:val="44"/>
          <w:szCs w:val="44"/>
          <w:lang w:val="en-US" w:eastAsia="zh-CN"/>
        </w:rPr>
      </w:pPr>
      <w:r>
        <w:rPr>
          <w:rFonts w:hint="eastAsia" w:eastAsia="黑体"/>
          <w:color w:val="auto"/>
          <w:sz w:val="44"/>
          <w:szCs w:val="44"/>
          <w:lang w:val="en-US" w:eastAsia="zh-CN"/>
        </w:rPr>
        <w:t>（讨论稿）</w:t>
      </w:r>
    </w:p>
    <w:p w14:paraId="5229526A">
      <w:pPr>
        <w:pStyle w:val="8"/>
        <w:keepNext w:val="0"/>
        <w:keepLines w:val="0"/>
        <w:pageBreakBefore w:val="0"/>
        <w:kinsoku/>
        <w:wordWrap/>
        <w:overflowPunct/>
        <w:topLinePunct w:val="0"/>
        <w:autoSpaceDE/>
        <w:autoSpaceDN/>
        <w:bidi w:val="0"/>
        <w:adjustRightInd/>
        <w:snapToGrid/>
        <w:spacing w:before="0" w:beforeAutospacing="0" w:after="0" w:afterAutospacing="0" w:line="440" w:lineRule="exact"/>
        <w:jc w:val="both"/>
        <w:textAlignment w:val="auto"/>
        <w:rPr>
          <w:rFonts w:ascii="黑体" w:eastAsia="黑体" w:cs="Arial"/>
          <w:color w:val="auto"/>
          <w:sz w:val="21"/>
          <w:szCs w:val="21"/>
        </w:rPr>
      </w:pPr>
      <w:r>
        <w:rPr>
          <w:rFonts w:hint="eastAsia" w:ascii="黑体" w:eastAsia="黑体" w:cs="Arial"/>
          <w:color w:val="auto"/>
          <w:sz w:val="21"/>
          <w:szCs w:val="21"/>
        </w:rPr>
        <w:t>一、工作简况</w:t>
      </w:r>
    </w:p>
    <w:p w14:paraId="7889C107">
      <w:pPr>
        <w:pStyle w:val="8"/>
        <w:keepNext w:val="0"/>
        <w:keepLines w:val="0"/>
        <w:pageBreakBefore w:val="0"/>
        <w:kinsoku/>
        <w:wordWrap/>
        <w:overflowPunct/>
        <w:topLinePunct w:val="0"/>
        <w:autoSpaceDE/>
        <w:autoSpaceDN/>
        <w:bidi w:val="0"/>
        <w:adjustRightInd/>
        <w:snapToGrid/>
        <w:spacing w:before="0" w:beforeAutospacing="0" w:after="0" w:afterAutospacing="0" w:line="440" w:lineRule="exact"/>
        <w:jc w:val="both"/>
        <w:textAlignment w:val="auto"/>
        <w:rPr>
          <w:rFonts w:ascii="黑体" w:eastAsia="黑体" w:cs="Arial"/>
          <w:color w:val="auto"/>
          <w:sz w:val="21"/>
          <w:szCs w:val="21"/>
        </w:rPr>
      </w:pPr>
      <w:r>
        <w:rPr>
          <w:rFonts w:hint="eastAsia" w:ascii="黑体" w:eastAsia="黑体" w:cs="Arial"/>
          <w:color w:val="auto"/>
          <w:sz w:val="21"/>
          <w:szCs w:val="21"/>
        </w:rPr>
        <w:t>1.1任务来源</w:t>
      </w:r>
    </w:p>
    <w:p w14:paraId="01ED61D6">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color w:val="auto"/>
          <w:sz w:val="21"/>
          <w:szCs w:val="21"/>
          <w:lang w:val="en-US" w:eastAsia="zh-CN"/>
        </w:rPr>
      </w:pPr>
      <w:r>
        <w:rPr>
          <w:rFonts w:hint="eastAsia" w:ascii="宋体" w:hAnsi="宋体"/>
          <w:color w:val="auto"/>
          <w:sz w:val="21"/>
          <w:szCs w:val="21"/>
          <w:lang w:val="en-US" w:eastAsia="zh-CN"/>
        </w:rPr>
        <w:t>2026年6月，国家标准化管理委员会下达《国家标准委关于下达2026 年第六批推荐性国家标准计划及相关标准外文版计划的通知》（国标委发[2026]40号文件），其中《均热板散热器用无氧铜带》的制定工作由江西铜业集团铜板带有限公司负责起草，项目计划编号为20214807-T-610，项目周期15个月，计划完成年限2027年10月。</w:t>
      </w:r>
    </w:p>
    <w:p w14:paraId="5E7A022E">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default" w:ascii="宋体" w:hAnsi="宋体"/>
          <w:color w:val="auto"/>
          <w:sz w:val="21"/>
          <w:szCs w:val="21"/>
          <w:lang w:val="en-US" w:eastAsia="zh-CN"/>
        </w:rPr>
      </w:pPr>
      <w:r>
        <w:rPr>
          <w:rFonts w:hint="eastAsia" w:ascii="宋体" w:hAnsi="宋体"/>
          <w:color w:val="auto"/>
          <w:sz w:val="21"/>
          <w:szCs w:val="21"/>
          <w:lang w:val="en-US" w:eastAsia="zh-CN"/>
        </w:rPr>
        <w:t>项目编制组单位编制组成员包括江西铜业集团铜板带有限公司、安徽众源新材料股份有限公司、浙江力博实业股份有限公司、铜陵有色金属集团股份有限公司金威铜业分公司、国标（北京）检验认证有限公司、宁波金田铜业（集团）股份有限公司。其中国标委下文负责起草单位为江西铜业股份有限公司，江西铜业集团铜板带有限公司作为江西铜业下级全资子公司，经江西铜业内部安排，指定由江西铜业集团铜板带有限公司承接本标准的牵头起草工作。</w:t>
      </w:r>
    </w:p>
    <w:p w14:paraId="78559F10">
      <w:pPr>
        <w:pStyle w:val="15"/>
        <w:keepNext w:val="0"/>
        <w:keepLines w:val="0"/>
        <w:pageBreakBefore w:val="0"/>
        <w:kinsoku/>
        <w:wordWrap/>
        <w:overflowPunct/>
        <w:topLinePunct w:val="0"/>
        <w:autoSpaceDE/>
        <w:autoSpaceDN/>
        <w:bidi w:val="0"/>
        <w:adjustRightInd/>
        <w:snapToGrid/>
        <w:spacing w:beforeLines="0" w:afterLines="0" w:line="440" w:lineRule="exact"/>
        <w:textAlignment w:val="auto"/>
        <w:outlineLvl w:val="9"/>
        <w:rPr>
          <w:rFonts w:hint="eastAsia" w:hAnsi="黑体" w:cs="黑体"/>
          <w:color w:val="auto"/>
          <w:sz w:val="21"/>
          <w:szCs w:val="21"/>
        </w:rPr>
      </w:pPr>
      <w:r>
        <w:rPr>
          <w:rFonts w:hint="eastAsia" w:hAnsi="黑体" w:cs="黑体"/>
          <w:color w:val="auto"/>
          <w:sz w:val="21"/>
          <w:szCs w:val="21"/>
        </w:rPr>
        <w:t>1.2立项目的和意义</w:t>
      </w:r>
    </w:p>
    <w:p w14:paraId="783FD786">
      <w:pPr>
        <w:spacing w:line="360" w:lineRule="auto"/>
        <w:ind w:firstLine="420" w:firstLineChars="200"/>
        <w:rPr>
          <w:rFonts w:hint="eastAsia" w:hAnsi="黑体" w:cs="黑体"/>
          <w:color w:val="auto"/>
          <w:sz w:val="21"/>
          <w:szCs w:val="21"/>
          <w:lang w:val="en-US" w:eastAsia="zh-CN"/>
        </w:rPr>
      </w:pPr>
      <w:r>
        <w:rPr>
          <w:rFonts w:hint="eastAsia" w:hAnsi="黑体" w:cs="黑体"/>
          <w:color w:val="auto"/>
          <w:sz w:val="21"/>
          <w:szCs w:val="21"/>
          <w:lang w:val="en-US" w:eastAsia="zh-CN"/>
        </w:rPr>
        <w:t>根据工信部联科〔2024〕235号《标准提升引领原材料工业优化升级行动方案（2025—2027年）》中指出“加强新材料产品标准培育，围绕推动重点产业链高质量发展，突出应用场景和产业研发紧密结合，同步推进关键标准研制实施”。</w:t>
      </w:r>
    </w:p>
    <w:p w14:paraId="30341DDF">
      <w:pPr>
        <w:spacing w:line="360" w:lineRule="auto"/>
        <w:ind w:firstLine="420" w:firstLineChars="200"/>
        <w:rPr>
          <w:rFonts w:hint="eastAsia" w:hAnsi="黑体" w:cs="黑体"/>
          <w:color w:val="auto"/>
          <w:sz w:val="21"/>
          <w:szCs w:val="21"/>
          <w:lang w:val="en-US" w:eastAsia="zh-CN"/>
        </w:rPr>
      </w:pPr>
      <w:r>
        <w:rPr>
          <w:rFonts w:hint="eastAsia" w:hAnsi="黑体" w:cs="黑体"/>
          <w:color w:val="auto"/>
          <w:sz w:val="21"/>
          <w:szCs w:val="21"/>
          <w:lang w:val="en-US" w:eastAsia="zh-CN"/>
        </w:rPr>
        <w:t>随着第五代移动通信（5G）、人工智能（AI）、高性能计算（HPC）及先进封装等技术的飞速发展，电子设备热流密度急剧攀升，散热问题已成为制约其性能与可靠性的核心瓶颈。均热板（Vapor Chamber）作为一种利用工质相变进行高效二维热传导的被动散热元件，因其优异的等温性和传热效率，已成为解决芯片等高热源散热问题的关键方案。</w:t>
      </w:r>
    </w:p>
    <w:p w14:paraId="5B192B54">
      <w:pPr>
        <w:spacing w:line="360" w:lineRule="auto"/>
        <w:ind w:firstLine="420" w:firstLineChars="200"/>
        <w:rPr>
          <w:rFonts w:hint="eastAsia" w:hAnsi="黑体" w:cs="黑体"/>
          <w:color w:val="auto"/>
          <w:sz w:val="21"/>
          <w:szCs w:val="21"/>
          <w:lang w:val="en-US" w:eastAsia="zh-CN"/>
        </w:rPr>
      </w:pPr>
      <w:r>
        <w:rPr>
          <w:rFonts w:hint="eastAsia" w:hAnsi="黑体" w:cs="黑体"/>
          <w:color w:val="auto"/>
          <w:sz w:val="21"/>
          <w:szCs w:val="21"/>
          <w:lang w:val="en-US" w:eastAsia="zh-CN"/>
        </w:rPr>
        <w:t>均热板的核心制造工艺涉及对无氧铜带进行精密冲压、清洗、高温烧结及真空封装等。其中，高温烧结是形成稳定毛细结构、确保最终散热性能的决定性环节。然而，这一过程会显著改变材料的微观组织与力学性能，如晶粒长大、强度变化等。现行标准体系存在标准空白和标准错位现象，一方面国内外均无专门针对“均热板散热器用无氧铜带”的国家标准或行业标准，另一方面现有其它标准仅规定原材料出厂性能，无法预测和保证其在严苛烧结工艺后的最终状态，导致当前行业存在痛点是均热板产品性能不稳定、良率波动，严重制约了产业向高端化、标准化发展。</w:t>
      </w:r>
    </w:p>
    <w:p w14:paraId="4FC8CF9A">
      <w:pPr>
        <w:pStyle w:val="3"/>
        <w:keepNext w:val="0"/>
        <w:keepLines w:val="0"/>
        <w:pageBreakBefore w:val="0"/>
        <w:widowControl w:val="0"/>
        <w:kinsoku/>
        <w:wordWrap/>
        <w:overflowPunct/>
        <w:topLinePunct w:val="0"/>
        <w:autoSpaceDE/>
        <w:autoSpaceDN/>
        <w:bidi w:val="0"/>
        <w:adjustRightInd/>
        <w:snapToGrid/>
        <w:spacing w:after="0" w:line="360" w:lineRule="auto"/>
        <w:ind w:firstLine="420"/>
        <w:textAlignment w:val="auto"/>
        <w:rPr>
          <w:rFonts w:hint="eastAsia" w:hAnsi="黑体" w:cs="黑体" w:asciiTheme="minorHAnsi" w:eastAsiaTheme="minorEastAsia"/>
          <w:color w:val="auto"/>
          <w:kern w:val="2"/>
          <w:sz w:val="21"/>
          <w:szCs w:val="21"/>
          <w:lang w:val="en-US" w:eastAsia="zh-CN" w:bidi="ar-SA"/>
        </w:rPr>
      </w:pPr>
      <w:r>
        <w:rPr>
          <w:rFonts w:hint="eastAsia" w:hAnsi="黑体" w:cs="黑体" w:asciiTheme="minorHAnsi" w:eastAsiaTheme="minorEastAsia"/>
          <w:color w:val="auto"/>
          <w:kern w:val="2"/>
          <w:sz w:val="21"/>
          <w:szCs w:val="21"/>
          <w:lang w:val="en-US" w:eastAsia="zh-CN" w:bidi="ar-SA"/>
        </w:rPr>
        <w:t>通过制定《均热板散热器用无氧铜带》</w:t>
      </w:r>
      <w:r>
        <w:rPr>
          <w:rFonts w:hint="eastAsia" w:hAnsi="黑体" w:cs="黑体" w:eastAsiaTheme="minorEastAsia"/>
          <w:color w:val="auto"/>
          <w:kern w:val="2"/>
          <w:sz w:val="21"/>
          <w:szCs w:val="21"/>
          <w:lang w:val="en-US" w:eastAsia="zh-CN" w:bidi="ar-SA"/>
        </w:rPr>
        <w:t>标准</w:t>
      </w:r>
      <w:r>
        <w:rPr>
          <w:rFonts w:hint="eastAsia" w:hAnsi="黑体" w:cs="黑体" w:asciiTheme="minorHAnsi" w:eastAsiaTheme="minorEastAsia"/>
          <w:color w:val="auto"/>
          <w:kern w:val="2"/>
          <w:sz w:val="21"/>
          <w:szCs w:val="21"/>
          <w:lang w:val="en-US" w:eastAsia="zh-CN" w:bidi="ar-SA"/>
        </w:rPr>
        <w:t>，首创“应用场景驱动”的标准制定思路。标准技术内容不仅规定原材性能，更核心聚焦于材料经历850℃/2h模拟烧结后的性能指标（如烧结态力学性能、晶粒度、电性能、表面质量及气密性），实现了从“材料标准”到“工艺保证标准”的跨越。引导行业研发与生产从追求“单一指标”转向保障“综合服役性能”，推动铜加工行业技术进步与工艺革新。同步通过标准统一质量标尺，减少因标准不一导致的贸易纠纷和产品退货损失，帮助下游企业提升良率，降低综合成本。</w:t>
      </w:r>
    </w:p>
    <w:p w14:paraId="6B4BFA7D">
      <w:pPr>
        <w:pStyle w:val="3"/>
        <w:keepNext w:val="0"/>
        <w:keepLines w:val="0"/>
        <w:pageBreakBefore w:val="0"/>
        <w:widowControl w:val="0"/>
        <w:kinsoku/>
        <w:wordWrap/>
        <w:overflowPunct/>
        <w:topLinePunct w:val="0"/>
        <w:autoSpaceDE/>
        <w:autoSpaceDN/>
        <w:bidi w:val="0"/>
        <w:adjustRightInd/>
        <w:snapToGrid/>
        <w:spacing w:after="0" w:line="360" w:lineRule="auto"/>
        <w:ind w:firstLine="420"/>
        <w:textAlignment w:val="auto"/>
        <w:rPr>
          <w:rFonts w:hint="default" w:hAnsi="黑体" w:cs="黑体" w:asciiTheme="minorHAnsi" w:eastAsiaTheme="minorEastAsia"/>
          <w:color w:val="auto"/>
          <w:kern w:val="2"/>
          <w:sz w:val="21"/>
          <w:szCs w:val="21"/>
          <w:lang w:val="en-US" w:eastAsia="zh-CN" w:bidi="ar-SA"/>
        </w:rPr>
      </w:pPr>
      <w:r>
        <w:rPr>
          <w:rFonts w:hint="eastAsia" w:hAnsi="黑体" w:cs="黑体" w:asciiTheme="minorHAnsi" w:eastAsiaTheme="minorEastAsia"/>
          <w:color w:val="auto"/>
          <w:kern w:val="2"/>
          <w:sz w:val="21"/>
          <w:szCs w:val="21"/>
          <w:lang w:val="en-US" w:eastAsia="zh-CN" w:bidi="ar-SA"/>
        </w:rPr>
        <w:t>本标准制定可</w:t>
      </w:r>
      <w:r>
        <w:rPr>
          <w:rFonts w:hint="default" w:hAnsi="黑体" w:cs="黑体" w:asciiTheme="minorHAnsi" w:eastAsiaTheme="minorEastAsia"/>
          <w:color w:val="auto"/>
          <w:kern w:val="2"/>
          <w:sz w:val="21"/>
          <w:szCs w:val="21"/>
          <w:lang w:val="en-US" w:eastAsia="zh-CN" w:bidi="ar-SA"/>
        </w:rPr>
        <w:t>提升我国高端散热产业链的自主可控能力和整体竞争力，为电子信息、通讯设备、新能源汽车等国家战略性产业提供可靠的基础材料保障，社会效益显著。</w:t>
      </w:r>
    </w:p>
    <w:p w14:paraId="57437CB9">
      <w:pPr>
        <w:pStyle w:val="15"/>
        <w:keepNext w:val="0"/>
        <w:keepLines w:val="0"/>
        <w:pageBreakBefore w:val="0"/>
        <w:kinsoku/>
        <w:wordWrap/>
        <w:overflowPunct/>
        <w:topLinePunct w:val="0"/>
        <w:autoSpaceDE/>
        <w:autoSpaceDN/>
        <w:bidi w:val="0"/>
        <w:adjustRightInd/>
        <w:snapToGrid/>
        <w:spacing w:beforeLines="0" w:afterLines="0" w:line="440" w:lineRule="exact"/>
        <w:textAlignment w:val="auto"/>
        <w:outlineLvl w:val="9"/>
        <w:rPr>
          <w:rFonts w:hint="eastAsia" w:hAnsi="黑体" w:cs="黑体"/>
          <w:color w:val="auto"/>
          <w:sz w:val="21"/>
          <w:szCs w:val="21"/>
          <w:lang w:val="en-US" w:eastAsia="zh-CN"/>
        </w:rPr>
      </w:pPr>
      <w:r>
        <w:rPr>
          <w:rFonts w:hint="eastAsia" w:hAnsi="黑体" w:cs="黑体"/>
          <w:color w:val="auto"/>
          <w:sz w:val="21"/>
          <w:szCs w:val="21"/>
        </w:rPr>
        <w:t>1.3</w:t>
      </w:r>
      <w:r>
        <w:rPr>
          <w:rFonts w:hint="eastAsia" w:hAnsi="黑体" w:cs="黑体"/>
          <w:color w:val="auto"/>
          <w:sz w:val="21"/>
          <w:szCs w:val="21"/>
          <w:lang w:val="en-US" w:eastAsia="zh-CN"/>
        </w:rPr>
        <w:t>主要参加单位和工作成员所作的工作</w:t>
      </w:r>
    </w:p>
    <w:p w14:paraId="676DAEF8">
      <w:pPr>
        <w:pStyle w:val="15"/>
        <w:keepNext w:val="0"/>
        <w:keepLines w:val="0"/>
        <w:pageBreakBefore w:val="0"/>
        <w:kinsoku/>
        <w:wordWrap/>
        <w:overflowPunct/>
        <w:topLinePunct w:val="0"/>
        <w:autoSpaceDE/>
        <w:autoSpaceDN/>
        <w:bidi w:val="0"/>
        <w:adjustRightInd/>
        <w:snapToGrid/>
        <w:spacing w:beforeLines="0" w:afterLines="0" w:line="440" w:lineRule="exact"/>
        <w:textAlignment w:val="auto"/>
        <w:outlineLvl w:val="9"/>
        <w:rPr>
          <w:rFonts w:hint="eastAsia" w:hAnsi="黑体" w:cs="黑体" w:asciiTheme="minorHAnsi" w:eastAsiaTheme="minorEastAsia"/>
          <w:color w:val="auto"/>
          <w:kern w:val="2"/>
          <w:sz w:val="21"/>
          <w:szCs w:val="21"/>
          <w:lang w:val="en-US" w:eastAsia="zh-CN" w:bidi="ar-SA"/>
        </w:rPr>
      </w:pPr>
      <w:r>
        <w:rPr>
          <w:rFonts w:hint="eastAsia" w:hAnsi="黑体" w:cs="黑体" w:asciiTheme="minorHAnsi" w:eastAsiaTheme="minorEastAsia"/>
          <w:color w:val="auto"/>
          <w:kern w:val="2"/>
          <w:sz w:val="21"/>
          <w:szCs w:val="21"/>
          <w:lang w:val="en-US" w:eastAsia="zh-CN" w:bidi="ar-SA"/>
        </w:rPr>
        <w:t>1.3.1项目编制组</w:t>
      </w:r>
    </w:p>
    <w:p w14:paraId="3F950956">
      <w:pPr>
        <w:pStyle w:val="15"/>
        <w:keepNext w:val="0"/>
        <w:keepLines w:val="0"/>
        <w:pageBreakBefore w:val="0"/>
        <w:kinsoku/>
        <w:wordWrap/>
        <w:overflowPunct/>
        <w:topLinePunct w:val="0"/>
        <w:autoSpaceDE/>
        <w:autoSpaceDN/>
        <w:bidi w:val="0"/>
        <w:adjustRightInd/>
        <w:snapToGrid/>
        <w:spacing w:beforeLines="0" w:afterLines="0" w:line="360" w:lineRule="auto"/>
        <w:ind w:firstLine="420" w:firstLineChars="200"/>
        <w:textAlignment w:val="auto"/>
        <w:outlineLvl w:val="9"/>
        <w:rPr>
          <w:rFonts w:hint="eastAsia" w:hAnsi="黑体" w:cs="黑体" w:asciiTheme="minorHAnsi" w:eastAsiaTheme="minorEastAsia"/>
          <w:color w:val="auto"/>
          <w:kern w:val="2"/>
          <w:sz w:val="21"/>
          <w:szCs w:val="21"/>
          <w:lang w:val="en-US" w:eastAsia="zh-CN" w:bidi="ar-SA"/>
        </w:rPr>
      </w:pPr>
      <w:r>
        <w:rPr>
          <w:rFonts w:hint="eastAsia" w:hAnsi="黑体" w:cs="黑体" w:asciiTheme="minorHAnsi" w:eastAsiaTheme="minorEastAsia"/>
          <w:color w:val="auto"/>
          <w:kern w:val="2"/>
          <w:sz w:val="21"/>
          <w:szCs w:val="21"/>
          <w:lang w:val="en-US" w:eastAsia="zh-CN" w:bidi="ar-SA"/>
        </w:rPr>
        <w:t>由于时间紧，任务重，标准制订计划任务正式下达后，立即成立了编制组，并落实起草任务，确定主要起草人，拟定工作计划。具体分工为：江西铜业集团铜板带有限公司总负责、市场和行业信息收集、资料汇总及执笔；江西铜业集团铜板带有限公司、安徽众源新材料股份有限公司、浙江力博实业股份有限公司、铜陵有色金属集团股份有限公司金威铜业分公司、国标（北京）检验认证有限公司、宁波金田铜业（集团）股份有限公司等单位负责补充市场信息、指标的验证和完善。各企业分工明确，紧密合作，共同完成该标准的修订工作。</w:t>
      </w:r>
    </w:p>
    <w:p w14:paraId="65D28D3B">
      <w:pPr>
        <w:pStyle w:val="15"/>
        <w:keepNext w:val="0"/>
        <w:keepLines w:val="0"/>
        <w:pageBreakBefore w:val="0"/>
        <w:kinsoku/>
        <w:wordWrap/>
        <w:overflowPunct/>
        <w:topLinePunct w:val="0"/>
        <w:autoSpaceDE/>
        <w:autoSpaceDN/>
        <w:bidi w:val="0"/>
        <w:adjustRightInd/>
        <w:snapToGrid/>
        <w:spacing w:beforeLines="0" w:afterLines="0" w:line="360" w:lineRule="auto"/>
        <w:textAlignment w:val="auto"/>
        <w:outlineLvl w:val="9"/>
        <w:rPr>
          <w:rFonts w:hint="eastAsia" w:hAnsi="黑体" w:cs="黑体" w:asciiTheme="minorHAnsi" w:eastAsiaTheme="minorEastAsia"/>
          <w:color w:val="auto"/>
          <w:kern w:val="2"/>
          <w:sz w:val="21"/>
          <w:szCs w:val="21"/>
          <w:lang w:val="en-US" w:eastAsia="zh-CN" w:bidi="ar-SA"/>
        </w:rPr>
      </w:pPr>
      <w:r>
        <w:rPr>
          <w:rFonts w:hint="eastAsia" w:hAnsi="黑体" w:cs="黑体" w:asciiTheme="minorHAnsi" w:eastAsiaTheme="minorEastAsia"/>
          <w:color w:val="auto"/>
          <w:kern w:val="2"/>
          <w:sz w:val="21"/>
          <w:szCs w:val="21"/>
          <w:lang w:val="en-US" w:eastAsia="zh-CN" w:bidi="ar-SA"/>
        </w:rPr>
        <w:t>1.3.2编制单位技术基础</w:t>
      </w:r>
    </w:p>
    <w:p w14:paraId="337761D2">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hAnsi="黑体" w:cs="黑体" w:asciiTheme="minorHAnsi" w:eastAsiaTheme="minorEastAsia"/>
          <w:color w:val="auto"/>
          <w:kern w:val="2"/>
          <w:sz w:val="21"/>
          <w:szCs w:val="21"/>
          <w:lang w:val="en-US" w:eastAsia="zh-CN" w:bidi="ar-SA"/>
        </w:rPr>
      </w:pPr>
      <w:r>
        <w:rPr>
          <w:rFonts w:hint="eastAsia" w:hAnsi="黑体" w:cs="黑体" w:asciiTheme="minorHAnsi" w:eastAsiaTheme="minorEastAsia"/>
          <w:color w:val="auto"/>
          <w:kern w:val="2"/>
          <w:sz w:val="21"/>
          <w:szCs w:val="21"/>
          <w:lang w:val="en-US" w:eastAsia="zh-CN" w:bidi="ar-SA"/>
        </w:rPr>
        <w:t>本标准的负责起草单位江西铜业集团铜板带有限公司，是专业生产各类电力、电工、电子用无氧纯铜和青铜、高铜合金铜板带材，包括C1100、C1020、C5191、C5210、C5240、C19040、C19210、C70250等牌号的高精度电缆铜带、引线框架铜带、电子接插件铜带、引线框架铜带和变压器铜带等产品。江西铜业集团铜板带有限公司成立于2009年4月28日，为江西铜业集团公司的全资子公司，注册资本17.7亿元人民币。公司地处自然环境优越、人文积淀深厚、铁路、公路、水路交通便利、信息传递畅通快捷的江西省南昌市。江铜集团年产10万吨高精度铜板带项目是江西省的重点项目之一，也是江铜全面进军铜加工领域的重要战略举措，项目一次规划两期实施，其中一期设计生产能力年产2万吨高精铜板带，2021年</w:t>
      </w:r>
      <w:r>
        <w:rPr>
          <w:rFonts w:hint="eastAsia" w:hAnsi="黑体" w:cs="黑体"/>
          <w:color w:val="auto"/>
          <w:kern w:val="2"/>
          <w:sz w:val="21"/>
          <w:szCs w:val="21"/>
          <w:lang w:val="en-US" w:eastAsia="zh-CN" w:bidi="ar-SA"/>
        </w:rPr>
        <w:t>至2026年分步推</w:t>
      </w:r>
      <w:r>
        <w:rPr>
          <w:rFonts w:hint="eastAsia" w:hAnsi="黑体" w:cs="黑体" w:asciiTheme="minorHAnsi" w:eastAsiaTheme="minorEastAsia"/>
          <w:color w:val="auto"/>
          <w:kern w:val="2"/>
          <w:sz w:val="21"/>
          <w:szCs w:val="21"/>
          <w:lang w:val="en-US" w:eastAsia="zh-CN" w:bidi="ar-SA"/>
        </w:rPr>
        <w:t>动扩产项目新增</w:t>
      </w:r>
      <w:r>
        <w:rPr>
          <w:rFonts w:hint="eastAsia" w:hAnsi="黑体" w:cs="黑体"/>
          <w:color w:val="auto"/>
          <w:kern w:val="2"/>
          <w:sz w:val="21"/>
          <w:szCs w:val="21"/>
          <w:lang w:val="en-US" w:eastAsia="zh-CN" w:bidi="ar-SA"/>
        </w:rPr>
        <w:t>两</w:t>
      </w:r>
      <w:r>
        <w:rPr>
          <w:rFonts w:hint="eastAsia" w:hAnsi="黑体" w:cs="黑体" w:asciiTheme="minorHAnsi" w:eastAsiaTheme="minorEastAsia"/>
          <w:color w:val="auto"/>
          <w:kern w:val="2"/>
          <w:sz w:val="21"/>
          <w:szCs w:val="21"/>
          <w:lang w:val="en-US" w:eastAsia="zh-CN" w:bidi="ar-SA"/>
        </w:rPr>
        <w:t>条“上引+连续挤压工艺紫铜生产线”</w:t>
      </w:r>
      <w:r>
        <w:rPr>
          <w:rFonts w:hint="eastAsia" w:hAnsi="黑体" w:cs="黑体"/>
          <w:color w:val="auto"/>
          <w:kern w:val="2"/>
          <w:sz w:val="21"/>
          <w:szCs w:val="21"/>
          <w:lang w:val="en-US" w:eastAsia="zh-CN" w:bidi="ar-SA"/>
        </w:rPr>
        <w:t>后，总产能达到5万吨</w:t>
      </w:r>
      <w:r>
        <w:rPr>
          <w:rFonts w:hint="eastAsia" w:hAnsi="黑体" w:cs="黑体" w:asciiTheme="minorHAnsi" w:eastAsiaTheme="minorEastAsia"/>
          <w:color w:val="auto"/>
          <w:kern w:val="2"/>
          <w:sz w:val="21"/>
          <w:szCs w:val="21"/>
          <w:lang w:val="en-US" w:eastAsia="zh-CN" w:bidi="ar-SA"/>
        </w:rPr>
        <w:t>。公司主要生产设备和检测仪器从德国、美国和日本引进，以在伦敦LME注册交易的优质“江铜牌”或“贵冶牌”阴极铜为主原料，采用国内外先进、成熟、可靠的生产工艺，着眼“国内领先，替代进口”的目标，以国内外先进的产品标准为标杆。公司全面继承了江铜集团的研发创新实力，依托集团技术中心、博士后科研工作站、院士工作站和国家铜冶炼及加工工程技术研究中心四大科技平台，通过了IATF16949等六大管理体系认证，成功获评“国家级绿色工厂”称号、入选为“江西省制造业领航培育企业”，并成功组建了南昌市企业技术中心、专家工作站。</w:t>
      </w:r>
    </w:p>
    <w:p w14:paraId="36EBBD6D">
      <w:pPr>
        <w:pStyle w:val="3"/>
        <w:keepNext w:val="0"/>
        <w:keepLines w:val="0"/>
        <w:pageBreakBefore w:val="0"/>
        <w:widowControl w:val="0"/>
        <w:kinsoku/>
        <w:wordWrap/>
        <w:overflowPunct/>
        <w:topLinePunct w:val="0"/>
        <w:autoSpaceDE/>
        <w:autoSpaceDN/>
        <w:bidi w:val="0"/>
        <w:adjustRightInd/>
        <w:snapToGrid/>
        <w:spacing w:after="0" w:line="360" w:lineRule="auto"/>
        <w:ind w:firstLine="420"/>
        <w:textAlignment w:val="auto"/>
        <w:rPr>
          <w:rFonts w:hint="eastAsia" w:hAnsi="黑体" w:cs="黑体" w:asciiTheme="minorHAnsi" w:eastAsiaTheme="minorEastAsia"/>
          <w:color w:val="auto"/>
          <w:kern w:val="2"/>
          <w:sz w:val="21"/>
          <w:szCs w:val="21"/>
          <w:lang w:val="en-US" w:eastAsia="zh-CN" w:bidi="ar-SA"/>
        </w:rPr>
      </w:pPr>
      <w:r>
        <w:rPr>
          <w:rFonts w:hint="eastAsia" w:hAnsi="黑体" w:cs="黑体" w:asciiTheme="minorHAnsi" w:eastAsiaTheme="minorEastAsia"/>
          <w:color w:val="auto"/>
          <w:kern w:val="2"/>
          <w:sz w:val="21"/>
          <w:szCs w:val="21"/>
          <w:lang w:val="en-US" w:eastAsia="zh-CN" w:bidi="ar-SA"/>
        </w:rPr>
        <w:t>安徽众源新材料股份有限公司</w:t>
      </w:r>
    </w:p>
    <w:p w14:paraId="5A192035">
      <w:pPr>
        <w:pStyle w:val="3"/>
        <w:keepNext w:val="0"/>
        <w:keepLines w:val="0"/>
        <w:pageBreakBefore w:val="0"/>
        <w:widowControl w:val="0"/>
        <w:kinsoku/>
        <w:wordWrap/>
        <w:overflowPunct/>
        <w:topLinePunct w:val="0"/>
        <w:autoSpaceDE/>
        <w:autoSpaceDN/>
        <w:bidi w:val="0"/>
        <w:adjustRightInd/>
        <w:snapToGrid/>
        <w:spacing w:after="0" w:line="360" w:lineRule="auto"/>
        <w:ind w:firstLine="420"/>
        <w:textAlignment w:val="auto"/>
        <w:rPr>
          <w:rFonts w:hint="eastAsia" w:hAnsi="黑体" w:cs="黑体" w:asciiTheme="minorHAnsi" w:eastAsiaTheme="minorEastAsia"/>
          <w:color w:val="auto"/>
          <w:kern w:val="2"/>
          <w:sz w:val="21"/>
          <w:szCs w:val="21"/>
          <w:lang w:val="en-US" w:eastAsia="zh-CN" w:bidi="ar-SA"/>
        </w:rPr>
      </w:pPr>
      <w:r>
        <w:rPr>
          <w:rFonts w:hint="eastAsia" w:hAnsi="黑体" w:cs="黑体" w:asciiTheme="minorHAnsi" w:eastAsiaTheme="minorEastAsia"/>
          <w:color w:val="auto"/>
          <w:kern w:val="2"/>
          <w:sz w:val="21"/>
          <w:szCs w:val="21"/>
          <w:lang w:val="en-US" w:eastAsia="zh-CN" w:bidi="ar-SA"/>
        </w:rPr>
        <w:t>浙江力博实业股份有限公司</w:t>
      </w:r>
    </w:p>
    <w:p w14:paraId="17228E96">
      <w:pPr>
        <w:pStyle w:val="3"/>
        <w:keepNext w:val="0"/>
        <w:keepLines w:val="0"/>
        <w:pageBreakBefore w:val="0"/>
        <w:widowControl w:val="0"/>
        <w:kinsoku/>
        <w:wordWrap/>
        <w:overflowPunct/>
        <w:topLinePunct w:val="0"/>
        <w:autoSpaceDE/>
        <w:autoSpaceDN/>
        <w:bidi w:val="0"/>
        <w:adjustRightInd/>
        <w:snapToGrid/>
        <w:spacing w:after="0" w:line="360" w:lineRule="auto"/>
        <w:ind w:firstLine="420"/>
        <w:textAlignment w:val="auto"/>
        <w:rPr>
          <w:rFonts w:hint="eastAsia" w:hAnsi="黑体" w:cs="黑体" w:asciiTheme="minorHAnsi" w:eastAsiaTheme="minorEastAsia"/>
          <w:color w:val="auto"/>
          <w:kern w:val="2"/>
          <w:sz w:val="21"/>
          <w:szCs w:val="21"/>
          <w:lang w:val="en-US" w:eastAsia="zh-CN" w:bidi="ar-SA"/>
        </w:rPr>
      </w:pPr>
      <w:r>
        <w:rPr>
          <w:rFonts w:hint="eastAsia" w:hAnsi="黑体" w:cs="黑体" w:asciiTheme="minorHAnsi" w:eastAsiaTheme="minorEastAsia"/>
          <w:color w:val="auto"/>
          <w:kern w:val="2"/>
          <w:sz w:val="21"/>
          <w:szCs w:val="21"/>
          <w:lang w:val="en-US" w:eastAsia="zh-CN" w:bidi="ar-SA"/>
        </w:rPr>
        <w:t>铜陵有色金属集团股份有限公司金威铜业分公司</w:t>
      </w:r>
    </w:p>
    <w:p w14:paraId="7BD2F68F">
      <w:pPr>
        <w:pStyle w:val="3"/>
        <w:keepNext w:val="0"/>
        <w:keepLines w:val="0"/>
        <w:pageBreakBefore w:val="0"/>
        <w:widowControl w:val="0"/>
        <w:kinsoku/>
        <w:wordWrap/>
        <w:overflowPunct/>
        <w:topLinePunct w:val="0"/>
        <w:autoSpaceDE/>
        <w:autoSpaceDN/>
        <w:bidi w:val="0"/>
        <w:adjustRightInd/>
        <w:snapToGrid/>
        <w:spacing w:after="0" w:line="360" w:lineRule="auto"/>
        <w:ind w:firstLine="420"/>
        <w:textAlignment w:val="auto"/>
        <w:rPr>
          <w:rFonts w:hint="eastAsia" w:hAnsi="黑体" w:cs="黑体" w:asciiTheme="minorHAnsi" w:eastAsiaTheme="minorEastAsia"/>
          <w:color w:val="auto"/>
          <w:kern w:val="2"/>
          <w:sz w:val="21"/>
          <w:szCs w:val="21"/>
          <w:lang w:val="en-US" w:eastAsia="zh-CN" w:bidi="ar-SA"/>
        </w:rPr>
      </w:pPr>
      <w:r>
        <w:rPr>
          <w:rFonts w:hint="eastAsia" w:hAnsi="黑体" w:cs="黑体" w:asciiTheme="minorHAnsi" w:eastAsiaTheme="minorEastAsia"/>
          <w:color w:val="auto"/>
          <w:kern w:val="2"/>
          <w:sz w:val="21"/>
          <w:szCs w:val="21"/>
          <w:lang w:val="en-US" w:eastAsia="zh-CN" w:bidi="ar-SA"/>
        </w:rPr>
        <w:t>国标（北京）检验认证有限公司</w:t>
      </w:r>
    </w:p>
    <w:p w14:paraId="6D47D953">
      <w:pPr>
        <w:pStyle w:val="3"/>
        <w:keepNext w:val="0"/>
        <w:keepLines w:val="0"/>
        <w:pageBreakBefore w:val="0"/>
        <w:widowControl w:val="0"/>
        <w:kinsoku/>
        <w:wordWrap/>
        <w:overflowPunct/>
        <w:topLinePunct w:val="0"/>
        <w:autoSpaceDE/>
        <w:autoSpaceDN/>
        <w:bidi w:val="0"/>
        <w:adjustRightInd/>
        <w:snapToGrid/>
        <w:spacing w:after="0" w:line="360" w:lineRule="auto"/>
        <w:ind w:firstLine="420"/>
        <w:textAlignment w:val="auto"/>
        <w:rPr>
          <w:rFonts w:hint="default" w:hAnsi="黑体" w:cs="黑体" w:asciiTheme="minorHAnsi" w:eastAsiaTheme="minorEastAsia"/>
          <w:color w:val="auto"/>
          <w:kern w:val="2"/>
          <w:sz w:val="21"/>
          <w:szCs w:val="21"/>
          <w:lang w:val="en-US" w:eastAsia="zh-CN" w:bidi="ar-SA"/>
        </w:rPr>
      </w:pPr>
      <w:r>
        <w:rPr>
          <w:rFonts w:hint="eastAsia" w:hAnsi="黑体" w:cs="黑体" w:asciiTheme="minorHAnsi" w:eastAsiaTheme="minorEastAsia"/>
          <w:color w:val="auto"/>
          <w:kern w:val="2"/>
          <w:sz w:val="21"/>
          <w:szCs w:val="21"/>
          <w:lang w:val="en-US" w:eastAsia="zh-CN" w:bidi="ar-SA"/>
        </w:rPr>
        <w:t>宁波金田铜业（集团）股份有限公司</w:t>
      </w:r>
    </w:p>
    <w:p w14:paraId="67492C66">
      <w:pPr>
        <w:pStyle w:val="15"/>
        <w:keepNext w:val="0"/>
        <w:keepLines w:val="0"/>
        <w:pageBreakBefore w:val="0"/>
        <w:kinsoku/>
        <w:wordWrap/>
        <w:overflowPunct/>
        <w:topLinePunct w:val="0"/>
        <w:autoSpaceDE/>
        <w:autoSpaceDN/>
        <w:bidi w:val="0"/>
        <w:adjustRightInd/>
        <w:snapToGrid/>
        <w:spacing w:beforeLines="0" w:afterLines="0" w:line="440" w:lineRule="exact"/>
        <w:textAlignment w:val="auto"/>
        <w:outlineLvl w:val="9"/>
        <w:rPr>
          <w:rFonts w:hint="eastAsia" w:hAnsi="黑体" w:cs="黑体" w:asciiTheme="minorHAnsi" w:eastAsiaTheme="minorEastAsia"/>
          <w:color w:val="auto"/>
          <w:kern w:val="2"/>
          <w:sz w:val="21"/>
          <w:szCs w:val="21"/>
          <w:lang w:val="en-US" w:eastAsia="zh-CN" w:bidi="ar-SA"/>
        </w:rPr>
      </w:pPr>
      <w:r>
        <w:rPr>
          <w:rFonts w:hint="eastAsia" w:hAnsi="黑体" w:cs="黑体" w:asciiTheme="minorHAnsi" w:eastAsiaTheme="minorEastAsia"/>
          <w:color w:val="auto"/>
          <w:kern w:val="2"/>
          <w:sz w:val="21"/>
          <w:szCs w:val="21"/>
          <w:lang w:val="en-US" w:eastAsia="zh-CN" w:bidi="ar-SA"/>
        </w:rPr>
        <w:t>1.4 主要工作过程</w:t>
      </w:r>
    </w:p>
    <w:p w14:paraId="6656F860">
      <w:pPr>
        <w:rPr>
          <w:rFonts w:hint="eastAsia"/>
        </w:rPr>
      </w:pPr>
    </w:p>
    <w:p w14:paraId="326E0BC2">
      <w:pPr>
        <w:ind w:firstLine="420" w:firstLineChars="200"/>
        <w:rPr>
          <w:rFonts w:hint="default" w:eastAsiaTheme="minorEastAsia"/>
          <w:color w:val="C00000"/>
          <w:lang w:val="en-US" w:eastAsia="zh-CN"/>
        </w:rPr>
      </w:pPr>
      <w:r>
        <w:rPr>
          <w:rFonts w:hint="eastAsia" w:hAnsi="黑体" w:cs="黑体"/>
          <w:color w:val="auto"/>
          <w:sz w:val="21"/>
          <w:szCs w:val="21"/>
          <w:lang w:eastAsia="zh-CN"/>
        </w:rPr>
        <w:t>【</w:t>
      </w:r>
      <w:r>
        <w:rPr>
          <w:rFonts w:hint="eastAsia" w:hAnsi="黑体" w:cs="黑体"/>
          <w:color w:val="auto"/>
          <w:sz w:val="21"/>
          <w:szCs w:val="21"/>
          <w:lang w:val="en-US" w:eastAsia="zh-CN"/>
        </w:rPr>
        <w:t>指的是从项目开始预研，直至完成标准报批稿期间的所有工作，应体现出编制工作组的工作量和征求意见的充分程度。</w:t>
      </w:r>
      <w:r>
        <w:rPr>
          <w:rFonts w:hint="eastAsia" w:hAnsi="黑体" w:cs="黑体"/>
          <w:color w:val="0000FF"/>
          <w:sz w:val="21"/>
          <w:szCs w:val="21"/>
          <w:lang w:val="en-US" w:eastAsia="zh-CN"/>
        </w:rPr>
        <w:t>以下条款固定，不应随意更改</w:t>
      </w:r>
      <w:r>
        <w:rPr>
          <w:rFonts w:hint="eastAsia" w:hAnsi="黑体" w:cs="黑体"/>
          <w:color w:val="auto"/>
          <w:sz w:val="21"/>
          <w:szCs w:val="21"/>
          <w:lang w:eastAsia="zh-CN"/>
        </w:rPr>
        <w:t>】</w:t>
      </w:r>
      <w:r>
        <w:rPr>
          <w:rFonts w:hint="eastAsia" w:hAnsi="黑体" w:cs="黑体"/>
          <w:color w:val="C00000"/>
          <w:sz w:val="21"/>
          <w:szCs w:val="21"/>
          <w:lang w:eastAsia="zh-CN"/>
        </w:rPr>
        <w:t>【</w:t>
      </w:r>
      <w:r>
        <w:rPr>
          <w:rFonts w:hint="eastAsia" w:hAnsi="黑体" w:cs="黑体"/>
          <w:color w:val="C00000"/>
          <w:sz w:val="21"/>
          <w:szCs w:val="21"/>
          <w:lang w:val="en-US" w:eastAsia="zh-CN"/>
        </w:rPr>
        <w:t>不同阶段未到的删除相应内容</w:t>
      </w:r>
      <w:r>
        <w:rPr>
          <w:rFonts w:hint="eastAsia" w:hAnsi="黑体" w:cs="黑体"/>
          <w:color w:val="C00000"/>
          <w:sz w:val="21"/>
          <w:szCs w:val="21"/>
          <w:lang w:eastAsia="zh-CN"/>
        </w:rPr>
        <w:t>】</w:t>
      </w:r>
    </w:p>
    <w:p w14:paraId="71E1FD77">
      <w:pPr>
        <w:spacing w:line="360" w:lineRule="auto"/>
        <w:rPr>
          <w:rFonts w:hint="eastAsia" w:ascii="黑体" w:hAnsi="黑体" w:eastAsia="黑体" w:cs="黑体"/>
          <w:color w:val="auto"/>
          <w:kern w:val="0"/>
          <w:sz w:val="21"/>
          <w:szCs w:val="21"/>
          <w:lang w:val="en-US" w:eastAsia="zh-CN" w:bidi="ar-SA"/>
        </w:rPr>
      </w:pPr>
      <w:r>
        <w:rPr>
          <w:rFonts w:hint="eastAsia" w:ascii="黑体" w:hAnsi="黑体" w:eastAsia="黑体" w:cs="黑体"/>
          <w:color w:val="auto"/>
          <w:kern w:val="0"/>
          <w:sz w:val="21"/>
          <w:szCs w:val="21"/>
          <w:lang w:val="en-US" w:eastAsia="zh-CN" w:bidi="ar-SA"/>
        </w:rPr>
        <w:t>1.4.1预研阶段</w:t>
      </w:r>
    </w:p>
    <w:p w14:paraId="172BF347">
      <w:pPr>
        <w:spacing w:line="360" w:lineRule="auto"/>
        <w:ind w:firstLine="420" w:firstLineChars="200"/>
        <w:rPr>
          <w:rFonts w:hint="eastAsia" w:hAnsi="黑体" w:cs="黑体"/>
          <w:color w:val="auto"/>
          <w:sz w:val="21"/>
          <w:szCs w:val="21"/>
          <w:lang w:val="en-US" w:eastAsia="zh-CN"/>
        </w:rPr>
      </w:pPr>
      <w:r>
        <w:rPr>
          <w:rFonts w:hint="eastAsia" w:hAnsi="黑体" w:cs="黑体"/>
          <w:color w:val="auto"/>
          <w:sz w:val="21"/>
          <w:szCs w:val="21"/>
          <w:lang w:val="en-US" w:eastAsia="zh-CN"/>
        </w:rPr>
        <w:t>均热板是一类双相流体装置，通过液体蒸发来传导热量，主要应用于消费电子、汽车电子、家用电器、工业设备等领域。根据《2022-2028年中国散热器⾏业市场深度分析及投资前景展望报告》显示，其中智能手机、电脑、平板电脑等消费电子是均热板最大应用领域。作为一种辅助机械设备运行的器件，散热器下游应用范围广泛。一方面随着近年来新兴国家的兴起，对汽车、电子等产品的需求日益增加，另一方面ICT及能源等现代基础设施建设也在加快进行。在这两方面因素的推动下，全球散热器行业整体市场规模呈稳定的增长趋势。</w:t>
      </w:r>
    </w:p>
    <w:p w14:paraId="0168BF33">
      <w:pPr>
        <w:spacing w:line="360" w:lineRule="auto"/>
        <w:ind w:firstLine="420" w:firstLineChars="200"/>
        <w:rPr>
          <w:rFonts w:hint="eastAsia" w:hAnsi="黑体" w:cs="黑体"/>
          <w:color w:val="auto"/>
          <w:sz w:val="21"/>
          <w:szCs w:val="21"/>
          <w:lang w:val="en-US" w:eastAsia="zh-CN"/>
        </w:rPr>
      </w:pPr>
      <w:r>
        <w:rPr>
          <w:rFonts w:hint="eastAsia" w:hAnsi="黑体" w:cs="黑体"/>
          <w:color w:val="auto"/>
          <w:sz w:val="21"/>
          <w:szCs w:val="21"/>
          <w:lang w:val="en-US" w:eastAsia="zh-CN"/>
        </w:rPr>
        <w:t>均热板散热器用紫铜带的应用环境要求其在一定的温度下保持内部组织的稳定性，与传统的紫铜板带对标具有明显的差异。均温板铜带产品的质量要求除了满足常规的尺寸公差、机械性能外，还需产品能承受多次高温煅烧后内部组织的稳定，使得煅烧后铜带表面无晶间裂纹导致的漏气，无晶粒粗大的导致变形不平整，无微小气孔煅烧后的起泡现象。</w:t>
      </w:r>
    </w:p>
    <w:p w14:paraId="6097CCE0">
      <w:pPr>
        <w:spacing w:line="360" w:lineRule="auto"/>
        <w:ind w:firstLine="420" w:firstLineChars="200"/>
        <w:rPr>
          <w:rFonts w:hint="eastAsia" w:hAnsi="黑体" w:cs="黑体"/>
          <w:color w:val="auto"/>
          <w:sz w:val="21"/>
          <w:szCs w:val="21"/>
          <w:lang w:val="en-US" w:eastAsia="zh-CN"/>
        </w:rPr>
      </w:pPr>
      <w:r>
        <w:rPr>
          <w:rFonts w:hint="eastAsia" w:hAnsi="黑体" w:cs="黑体"/>
          <w:color w:val="auto"/>
          <w:sz w:val="21"/>
          <w:szCs w:val="21"/>
          <w:lang w:val="en-US" w:eastAsia="zh-CN"/>
        </w:rPr>
        <w:t>当前市场产品无统一标准，产品质量参差不齐，大多客户为了满足均温板高温烧结后无漏气、无起泡的要求，均采用导电率指标来要求供应商保证原材料的纯度，原理上是相通的，导电率越高铜带杂质含量越低，高温烧结出现组织问题也越少。但是根据均温板使用场景导电率并非重要指标，而如若只检测导电率则会忽略到影响产品质量的其它因素，导致均温板行业质量标准走入误区，无法进一步提升均温板质量的稳定性。因此为了有效规范均温板产品的生产和贸易，以及市场对铜板带材这一细分行业特殊要求的需要，制定均热板散热器用紫铜带行业标准非常有意义。</w:t>
      </w:r>
    </w:p>
    <w:p w14:paraId="5DBF3092">
      <w:pPr>
        <w:spacing w:line="360" w:lineRule="auto"/>
        <w:ind w:firstLine="420" w:firstLineChars="200"/>
        <w:rPr>
          <w:rFonts w:hint="eastAsia" w:hAnsi="黑体" w:cs="黑体"/>
          <w:color w:val="auto"/>
          <w:sz w:val="21"/>
          <w:szCs w:val="21"/>
          <w:lang w:val="en-US" w:eastAsia="zh-CN"/>
        </w:rPr>
      </w:pPr>
      <w:r>
        <w:rPr>
          <w:rFonts w:hint="eastAsia" w:hAnsi="黑体" w:cs="黑体"/>
          <w:color w:val="auto"/>
          <w:sz w:val="21"/>
          <w:szCs w:val="21"/>
          <w:lang w:val="en-US" w:eastAsia="zh-CN"/>
        </w:rPr>
        <w:t>目前业内所使用的均热板铜带生产工艺技术都存在较多质量问题，主要表现在均温板铜带高温烧结后易出现组织疏松、分层等缺陷导致的漏气现象，以及经高温烧结后表面起泡和变形等问题。其中起泡原因是由于均热板高温煅烧的作用，使弥散分布在铜带表皮内的杂质氧化物高温分解，使其气体局部的析出形成沿加工方向分布的微小气泡。而变形问题是铜带高温煅烧后晶粒过大，导致接触冲压面只有一个晶粒，材料抗拉等性能过软，强度无法支撑导致出现变形。漏气为高温煅烧后铜带出现晶间开裂现象，同时又由于晶粒过大，铜带上只有一层晶粒，进而贯穿上下表面造成。</w:t>
      </w:r>
    </w:p>
    <w:p w14:paraId="241540AD">
      <w:pPr>
        <w:spacing w:line="360" w:lineRule="auto"/>
        <w:ind w:firstLine="420" w:firstLineChars="200"/>
        <w:rPr>
          <w:rFonts w:hint="eastAsia" w:hAnsi="黑体" w:cs="黑体"/>
          <w:color w:val="auto"/>
          <w:sz w:val="21"/>
          <w:szCs w:val="21"/>
          <w:lang w:val="en-US" w:eastAsia="zh-CN"/>
        </w:rPr>
      </w:pPr>
      <w:r>
        <w:rPr>
          <w:rFonts w:hint="eastAsia" w:hAnsi="黑体" w:cs="黑体"/>
          <w:color w:val="auto"/>
          <w:sz w:val="21"/>
          <w:szCs w:val="21"/>
          <w:lang w:val="en-US" w:eastAsia="zh-CN"/>
        </w:rPr>
        <w:t>通过以上质量问题分析研究和大量实验验证，均温板铜带质量核心控制点主要为原材杂质含量、原材氧含量、煅烧后性能强度和煅烧后晶粒分布四方面。为此项目团队总结出合格均热板产品所需的技术指标范围，并通过多种不同生产工艺进行验证，同步与下游客户联动试用，确定只要满足标准中技术指标范围，均可满足均热板散热器使用场景要求。</w:t>
      </w:r>
    </w:p>
    <w:p w14:paraId="663CDD49">
      <w:pPr>
        <w:spacing w:line="360" w:lineRule="auto"/>
        <w:ind w:firstLine="420" w:firstLineChars="200"/>
        <w:rPr>
          <w:rFonts w:hint="eastAsia" w:hAnsi="黑体" w:cs="黑体"/>
          <w:color w:val="auto"/>
          <w:sz w:val="21"/>
          <w:szCs w:val="21"/>
          <w:lang w:val="en-US" w:eastAsia="zh-CN"/>
        </w:rPr>
      </w:pPr>
      <w:r>
        <w:rPr>
          <w:rFonts w:hint="eastAsia" w:hAnsi="黑体" w:cs="黑体"/>
          <w:color w:val="auto"/>
          <w:sz w:val="21"/>
          <w:szCs w:val="21"/>
          <w:lang w:val="en-US" w:eastAsia="zh-CN"/>
        </w:rPr>
        <w:t>目前国家标准GB/T 37572-2019《热交换器用铜及铜合金带材》和 GB/T2061-2013《散热器散热片专用铜及铜合金箔材》主要针对热交器外壳和散热片的标准，而散热片是通过辐射和对流来散发热量，与均温板通过传导热量来实现散热有明显差别，在应用描述和材料牌号选择上没有涉及到均温板用紫铜带。行业标准YS/T 1517-2022 《细晶无氧铜带箔材》中规定了细晶紫铜带材的尺寸及其精度、力学性能、晶粒度和表面质量等方面的技术指标，但是都没有涉及到均热板散热器用紫铜带高温煅烧后的特殊质量要求，而通过实践参照《细晶无氧铜带箔材》指标参数生产无法满足均热板散热器用紫铜带的功能，实际合格的均热板材料指标，如原材晶粒度尺寸、性能指标和煅烧后材料的晶粒度尺寸、性能指标等，与《细晶无氧铜带箔材》有较大差异。</w:t>
      </w:r>
    </w:p>
    <w:p w14:paraId="6F6A1AFA">
      <w:pPr>
        <w:rPr>
          <w:rFonts w:hint="eastAsia" w:ascii="黑体" w:hAnsi="黑体" w:eastAsia="黑体" w:cs="黑体"/>
          <w:color w:val="auto"/>
          <w:kern w:val="0"/>
          <w:sz w:val="21"/>
          <w:szCs w:val="21"/>
          <w:lang w:val="en-US" w:eastAsia="zh-CN" w:bidi="ar-SA"/>
        </w:rPr>
      </w:pPr>
      <w:r>
        <w:rPr>
          <w:rFonts w:hint="eastAsia" w:ascii="黑体" w:hAnsi="黑体" w:eastAsia="黑体" w:cs="黑体"/>
          <w:color w:val="auto"/>
          <w:kern w:val="0"/>
          <w:sz w:val="21"/>
          <w:szCs w:val="21"/>
          <w:lang w:val="en-US" w:eastAsia="zh-CN" w:bidi="ar-SA"/>
        </w:rPr>
        <w:t>1.4.2标准立项</w:t>
      </w:r>
    </w:p>
    <w:p w14:paraId="5DFCB7A1">
      <w:pPr>
        <w:spacing w:line="360" w:lineRule="auto"/>
        <w:ind w:firstLine="420" w:firstLineChars="200"/>
        <w:rPr>
          <w:rFonts w:hint="default" w:hAnsi="黑体" w:cs="黑体"/>
          <w:color w:val="auto"/>
          <w:sz w:val="21"/>
          <w:szCs w:val="21"/>
          <w:lang w:val="en-US" w:eastAsia="zh-CN"/>
        </w:rPr>
      </w:pPr>
      <w:r>
        <w:rPr>
          <w:rFonts w:hint="eastAsia" w:hAnsi="黑体" w:cs="黑体"/>
          <w:color w:val="auto"/>
          <w:sz w:val="21"/>
          <w:szCs w:val="21"/>
          <w:lang w:val="en-US" w:eastAsia="zh-CN"/>
        </w:rPr>
        <w:t>《均热板散热器用无氧铜带》标准项目于2023年由江西铜业集团铜板带公司申请立项，拟申报有色金属行业原材料标准计划项目，立项报告提交有色标委会重金属分标委全体委员会议讨论，于2023年11月有色标委会年会论证，项目结论为通过。2026年2月全国有色金属标准化技术委员会秘书处向国家标准化管理委员进行立项答辩，项目结论为通过。2026年6月国家标准化管理委员会下达《国家标准委关于下达2026 年第六批推荐性国</w:t>
      </w:r>
      <w:bookmarkStart w:id="9" w:name="_GoBack"/>
      <w:bookmarkEnd w:id="9"/>
      <w:r>
        <w:rPr>
          <w:rFonts w:hint="eastAsia" w:hAnsi="黑体" w:cs="黑体"/>
          <w:color w:val="auto"/>
          <w:sz w:val="21"/>
          <w:szCs w:val="21"/>
          <w:lang w:val="en-US" w:eastAsia="zh-CN"/>
        </w:rPr>
        <w:t>家标准计划及相关标准外文版计划的通知》（国标委发[2026]40号文件），其中《均热板散热器用无氧铜带》的制定工作由江西铜业集团铜板带有限公司负责起草，项目计划编号为20214807-T-610。</w:t>
      </w:r>
    </w:p>
    <w:p w14:paraId="1AA890DC">
      <w:pPr>
        <w:pStyle w:val="3"/>
        <w:rPr>
          <w:rFonts w:hint="eastAsia" w:ascii="黑体" w:hAnsi="黑体" w:eastAsia="黑体" w:cs="黑体"/>
          <w:color w:val="auto"/>
          <w:kern w:val="0"/>
          <w:sz w:val="21"/>
          <w:szCs w:val="21"/>
          <w:lang w:val="en-US" w:eastAsia="zh-CN" w:bidi="ar-SA"/>
        </w:rPr>
      </w:pPr>
      <w:r>
        <w:rPr>
          <w:rFonts w:hint="eastAsia" w:ascii="黑体" w:hAnsi="黑体" w:eastAsia="黑体" w:cs="黑体"/>
          <w:color w:val="auto"/>
          <w:kern w:val="0"/>
          <w:sz w:val="21"/>
          <w:szCs w:val="21"/>
          <w:lang w:val="en-US" w:eastAsia="zh-CN" w:bidi="ar-SA"/>
        </w:rPr>
        <w:t>1.4.3起草阶段</w:t>
      </w:r>
    </w:p>
    <w:p w14:paraId="3B682A23">
      <w:pPr>
        <w:pStyle w:val="3"/>
        <w:ind w:firstLine="420" w:firstLineChars="200"/>
        <w:rPr>
          <w:rFonts w:hint="default" w:hAnsi="黑体" w:cs="黑体" w:asciiTheme="minorHAnsi" w:eastAsiaTheme="minorEastAsia"/>
          <w:color w:val="auto"/>
          <w:kern w:val="2"/>
          <w:sz w:val="21"/>
          <w:szCs w:val="21"/>
          <w:lang w:val="en-US" w:eastAsia="zh-CN" w:bidi="ar-SA"/>
        </w:rPr>
      </w:pPr>
      <w:r>
        <w:rPr>
          <w:rFonts w:hint="eastAsia" w:hAnsi="黑体" w:cs="黑体"/>
          <w:color w:val="auto"/>
          <w:sz w:val="21"/>
          <w:szCs w:val="21"/>
          <w:lang w:val="en-US" w:eastAsia="zh-CN"/>
        </w:rPr>
        <w:t>召开工作会议（草案讨论会、预审会均成为工作会议，按第一次工作会议、第二次工作会议的方式描述，对应标准稿统称为征求意见1稿、征求意见2稿）的时间、地点和会议情况。</w:t>
      </w:r>
    </w:p>
    <w:p w14:paraId="15CB6E64">
      <w:pPr>
        <w:pStyle w:val="3"/>
        <w:ind w:firstLine="420" w:firstLineChars="200"/>
        <w:rPr>
          <w:rFonts w:hint="eastAsia" w:asciiTheme="minorEastAsia" w:hAnsiTheme="minorEastAsia" w:eastAsiaTheme="minorEastAsia"/>
          <w:bCs/>
          <w:color w:val="auto"/>
          <w:sz w:val="21"/>
          <w:szCs w:val="21"/>
          <w:lang w:eastAsia="zh-CN"/>
        </w:rPr>
      </w:pPr>
      <w:r>
        <w:rPr>
          <w:rFonts w:hint="eastAsia" w:asciiTheme="minorEastAsia" w:hAnsiTheme="minorEastAsia"/>
          <w:bCs/>
          <w:color w:val="auto"/>
          <w:sz w:val="21"/>
          <w:szCs w:val="21"/>
          <w:lang w:eastAsia="zh-CN"/>
        </w:rPr>
        <w:t>【</w:t>
      </w:r>
      <w:r>
        <w:rPr>
          <w:rFonts w:hint="eastAsia" w:asciiTheme="minorEastAsia" w:hAnsiTheme="minorEastAsia"/>
          <w:bCs/>
          <w:color w:val="auto"/>
          <w:sz w:val="21"/>
          <w:szCs w:val="21"/>
          <w:lang w:val="en-US" w:eastAsia="zh-CN"/>
        </w:rPr>
        <w:t>最终形成了征求意见稿</w:t>
      </w:r>
      <w:r>
        <w:rPr>
          <w:rFonts w:hint="eastAsia" w:asciiTheme="minorEastAsia" w:hAnsiTheme="minorEastAsia"/>
          <w:bCs/>
          <w:color w:val="auto"/>
          <w:sz w:val="21"/>
          <w:szCs w:val="21"/>
          <w:lang w:eastAsia="zh-CN"/>
        </w:rPr>
        <w:t>】</w:t>
      </w:r>
    </w:p>
    <w:p w14:paraId="0A33DB53">
      <w:pPr>
        <w:pStyle w:val="3"/>
        <w:rPr>
          <w:rFonts w:hint="eastAsia" w:ascii="黑体" w:hAnsi="黑体" w:eastAsia="黑体" w:cs="黑体"/>
          <w:color w:val="auto"/>
          <w:kern w:val="0"/>
          <w:sz w:val="21"/>
          <w:szCs w:val="21"/>
          <w:lang w:val="en-US" w:eastAsia="zh-CN" w:bidi="ar-SA"/>
        </w:rPr>
      </w:pPr>
      <w:r>
        <w:rPr>
          <w:rFonts w:hint="eastAsia" w:ascii="黑体" w:hAnsi="黑体" w:eastAsia="黑体" w:cs="黑体"/>
          <w:color w:val="auto"/>
          <w:kern w:val="0"/>
          <w:sz w:val="21"/>
          <w:szCs w:val="21"/>
          <w:lang w:val="en-US" w:eastAsia="zh-CN" w:bidi="ar-SA"/>
        </w:rPr>
        <w:t>1.4.4征求意见阶段</w:t>
      </w:r>
    </w:p>
    <w:p w14:paraId="101D0BCF">
      <w:pPr>
        <w:pStyle w:val="3"/>
        <w:ind w:firstLine="420" w:firstLineChars="200"/>
        <w:rPr>
          <w:rFonts w:hint="eastAsia" w:hAnsi="黑体" w:cs="黑体"/>
          <w:color w:val="C00000"/>
          <w:sz w:val="21"/>
          <w:szCs w:val="21"/>
          <w:lang w:val="en-US" w:eastAsia="zh-CN"/>
        </w:rPr>
      </w:pPr>
      <w:r>
        <w:rPr>
          <w:rFonts w:hint="eastAsia" w:hAnsi="黑体" w:cs="黑体"/>
          <w:color w:val="auto"/>
          <w:sz w:val="21"/>
          <w:szCs w:val="21"/>
          <w:lang w:val="en-US" w:eastAsia="zh-CN"/>
        </w:rPr>
        <w:t>征求意见稿发送（包括工作会议发送和函送、电话、微信等）的单位</w:t>
      </w:r>
      <w:r>
        <w:rPr>
          <w:rFonts w:hint="eastAsia" w:hAnsi="黑体" w:cs="黑体"/>
          <w:color w:val="C00000"/>
          <w:sz w:val="21"/>
          <w:szCs w:val="21"/>
          <w:lang w:val="en-US" w:eastAsia="zh-CN"/>
        </w:rPr>
        <w:t>（需阐述发放单位总数，并说明发放非委员单位总数及其中的用户、科研、其他单位所占比例【重要！】）</w:t>
      </w:r>
      <w:r>
        <w:rPr>
          <w:rFonts w:hint="eastAsia" w:hAnsi="黑体" w:cs="黑体"/>
          <w:color w:val="auto"/>
          <w:sz w:val="21"/>
          <w:szCs w:val="21"/>
          <w:lang w:val="en-US" w:eastAsia="zh-CN"/>
        </w:rPr>
        <w:t>、收到的意见数量，处理情况等。送审稿完成日期</w:t>
      </w:r>
      <w:r>
        <w:rPr>
          <w:rFonts w:hint="eastAsia" w:hAnsi="黑体" w:cs="黑体"/>
          <w:color w:val="C00000"/>
          <w:sz w:val="21"/>
          <w:szCs w:val="21"/>
          <w:lang w:val="en-US" w:eastAsia="zh-CN"/>
        </w:rPr>
        <w:t>【内容与意见汇总处理表完全一致！不应早于征求意见汇总处理表填表日期，迟于审定会日期】</w:t>
      </w:r>
    </w:p>
    <w:p w14:paraId="1EF13099">
      <w:pPr>
        <w:pStyle w:val="3"/>
        <w:ind w:firstLine="422" w:firstLineChars="200"/>
        <w:rPr>
          <w:rFonts w:hint="eastAsia" w:hAnsi="黑体" w:cs="黑体"/>
          <w:b/>
          <w:bCs/>
          <w:color w:val="auto"/>
          <w:sz w:val="21"/>
          <w:szCs w:val="21"/>
          <w:lang w:val="en-US" w:eastAsia="zh-CN"/>
        </w:rPr>
      </w:pPr>
      <w:r>
        <w:rPr>
          <w:rFonts w:hint="eastAsia" w:hAnsi="黑体" w:cs="黑体"/>
          <w:b/>
          <w:bCs/>
          <w:color w:val="auto"/>
          <w:sz w:val="21"/>
          <w:szCs w:val="21"/>
          <w:lang w:val="en-US" w:eastAsia="zh-CN"/>
        </w:rPr>
        <w:t>在开展公平竞争审查过程中，经对照，没有发现限制或者变相限制市场准入和退出，没有限制商品要素的自由流动、不影响生产经营成本以及生产经营行为。同时填写《公平竞争审查表》</w:t>
      </w:r>
    </w:p>
    <w:p w14:paraId="5BE702CD">
      <w:pPr>
        <w:pStyle w:val="3"/>
        <w:ind w:firstLine="420" w:firstLineChars="200"/>
        <w:rPr>
          <w:rFonts w:hint="eastAsia" w:hAnsi="黑体" w:cs="黑体"/>
          <w:color w:val="C00000"/>
          <w:sz w:val="21"/>
          <w:szCs w:val="21"/>
          <w:lang w:val="en-US" w:eastAsia="zh-CN"/>
        </w:rPr>
      </w:pPr>
      <w:r>
        <w:rPr>
          <w:rFonts w:hint="eastAsia" w:hAnsi="黑体" w:cs="黑体"/>
          <w:color w:val="C00000"/>
          <w:sz w:val="21"/>
          <w:szCs w:val="21"/>
          <w:lang w:val="en-US" w:eastAsia="zh-CN"/>
        </w:rPr>
        <w:t>【形成征求意见稿后，开展公平竞争审查。如有可能影响市场竞争的具体内容，应逐项说明并分析是否存在违反规定的情况】</w:t>
      </w:r>
    </w:p>
    <w:p w14:paraId="213D873B">
      <w:pPr>
        <w:pStyle w:val="3"/>
        <w:ind w:firstLine="420" w:firstLineChars="200"/>
        <w:rPr>
          <w:rFonts w:hint="default" w:hAnsi="黑体" w:cs="黑体"/>
          <w:color w:val="C00000"/>
          <w:sz w:val="21"/>
          <w:szCs w:val="21"/>
          <w:lang w:val="en-US" w:eastAsia="zh-CN"/>
        </w:rPr>
      </w:pPr>
    </w:p>
    <w:p w14:paraId="15A0EBEC">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lang w:val="en-US" w:eastAsia="zh-CN"/>
        </w:rPr>
      </w:pPr>
      <w:r>
        <w:rPr>
          <w:rFonts w:hint="eastAsia" w:hAnsi="黑体" w:cs="黑体"/>
          <w:color w:val="C00000"/>
          <w:sz w:val="21"/>
          <w:szCs w:val="21"/>
          <w:lang w:val="en-US" w:eastAsia="zh-CN"/>
        </w:rPr>
        <w:t>【征求意见的通用写法】</w:t>
      </w:r>
    </w:p>
    <w:p w14:paraId="13C43E72">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bCs/>
          <w:color w:val="auto"/>
          <w:sz w:val="21"/>
          <w:szCs w:val="21"/>
        </w:rPr>
      </w:pPr>
      <w:r>
        <w:rPr>
          <w:rFonts w:hint="eastAsia" w:ascii="宋体" w:hAnsi="宋体"/>
          <w:color w:val="auto"/>
          <w:sz w:val="21"/>
          <w:szCs w:val="21"/>
        </w:rPr>
        <w:t>编制组</w:t>
      </w:r>
      <w:r>
        <w:rPr>
          <w:rFonts w:hint="eastAsia" w:ascii="宋体" w:hAnsi="宋体"/>
          <w:bCs/>
          <w:color w:val="auto"/>
          <w:sz w:val="21"/>
          <w:szCs w:val="21"/>
        </w:rPr>
        <w:t>根据</w:t>
      </w:r>
      <w:r>
        <w:rPr>
          <w:rFonts w:hint="eastAsia" w:ascii="宋体" w:hAnsi="宋体"/>
          <w:color w:val="auto"/>
          <w:sz w:val="21"/>
          <w:szCs w:val="21"/>
        </w:rPr>
        <w:t>意见，对标准进行修改和完善</w:t>
      </w:r>
      <w:r>
        <w:rPr>
          <w:rFonts w:hint="eastAsia" w:ascii="宋体" w:hAnsi="宋体"/>
          <w:bCs/>
          <w:color w:val="auto"/>
          <w:sz w:val="21"/>
          <w:szCs w:val="21"/>
        </w:rPr>
        <w:t>，形成了标准</w:t>
      </w:r>
      <w:bookmarkStart w:id="0" w:name="OLE_LINK3"/>
      <w:r>
        <w:rPr>
          <w:rFonts w:hint="eastAsia" w:ascii="宋体" w:hAnsi="宋体"/>
          <w:bCs/>
          <w:color w:val="auto"/>
          <w:sz w:val="21"/>
          <w:szCs w:val="21"/>
        </w:rPr>
        <w:t>《</w:t>
      </w:r>
      <w:r>
        <w:rPr>
          <w:rFonts w:hint="eastAsia" w:ascii="宋体" w:hAnsi="宋体"/>
          <w:bCs/>
          <w:color w:val="auto"/>
          <w:sz w:val="21"/>
          <w:szCs w:val="21"/>
          <w:lang w:eastAsia="zh-CN"/>
        </w:rPr>
        <w:t>送</w:t>
      </w:r>
      <w:r>
        <w:rPr>
          <w:rFonts w:hint="eastAsia" w:ascii="宋体" w:hAnsi="宋体"/>
          <w:bCs/>
          <w:color w:val="auto"/>
          <w:sz w:val="21"/>
          <w:szCs w:val="21"/>
        </w:rPr>
        <w:t>审稿》</w:t>
      </w:r>
      <w:r>
        <w:rPr>
          <w:rFonts w:hint="eastAsia" w:asciiTheme="minorEastAsia" w:hAnsiTheme="minorEastAsia" w:eastAsiaTheme="minorEastAsia"/>
          <w:bCs/>
          <w:color w:val="auto"/>
          <w:sz w:val="21"/>
          <w:szCs w:val="21"/>
        </w:rPr>
        <w:t>及《编制说明》</w:t>
      </w:r>
      <w:bookmarkEnd w:id="0"/>
      <w:r>
        <w:rPr>
          <w:rFonts w:hint="eastAsia" w:asciiTheme="minorEastAsia" w:hAnsiTheme="minorEastAsia" w:eastAsiaTheme="minorEastAsia"/>
          <w:bCs/>
          <w:color w:val="auto"/>
          <w:sz w:val="21"/>
          <w:szCs w:val="21"/>
        </w:rPr>
        <w:t>。</w:t>
      </w:r>
    </w:p>
    <w:p w14:paraId="64EDC2FE">
      <w:pPr>
        <w:pStyle w:val="3"/>
        <w:rPr>
          <w:rFonts w:hint="eastAsia" w:hAnsi="黑体" w:cs="黑体"/>
          <w:color w:val="C00000"/>
          <w:sz w:val="21"/>
          <w:szCs w:val="21"/>
          <w:lang w:val="en-US" w:eastAsia="zh-CN"/>
        </w:rPr>
      </w:pPr>
    </w:p>
    <w:p w14:paraId="37F66EE5">
      <w:pPr>
        <w:pStyle w:val="3"/>
        <w:rPr>
          <w:rFonts w:hint="eastAsia" w:ascii="黑体" w:hAnsi="黑体" w:eastAsia="黑体" w:cs="黑体"/>
          <w:color w:val="auto"/>
          <w:kern w:val="0"/>
          <w:sz w:val="21"/>
          <w:szCs w:val="21"/>
          <w:lang w:val="en-US" w:eastAsia="zh-CN" w:bidi="ar-SA"/>
        </w:rPr>
      </w:pPr>
      <w:r>
        <w:rPr>
          <w:rFonts w:hint="eastAsia" w:ascii="黑体" w:hAnsi="黑体" w:eastAsia="黑体" w:cs="黑体"/>
          <w:color w:val="auto"/>
          <w:kern w:val="0"/>
          <w:sz w:val="21"/>
          <w:szCs w:val="21"/>
          <w:lang w:val="en-US" w:eastAsia="zh-CN" w:bidi="ar-SA"/>
        </w:rPr>
        <w:t>1.4.5审查阶段</w:t>
      </w:r>
    </w:p>
    <w:p w14:paraId="73134CC3">
      <w:pPr>
        <w:pStyle w:val="3"/>
        <w:numPr>
          <w:ilvl w:val="0"/>
          <w:numId w:val="1"/>
        </w:numPr>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技术专家审查</w:t>
      </w:r>
    </w:p>
    <w:p w14:paraId="357FF26E">
      <w:pPr>
        <w:pStyle w:val="3"/>
        <w:numPr>
          <w:ilvl w:val="0"/>
          <w:numId w:val="0"/>
        </w:numPr>
        <w:ind w:firstLine="420" w:firstLineChars="200"/>
        <w:rPr>
          <w:rFonts w:hint="eastAsia" w:ascii="宋体" w:hAnsi="宋体" w:eastAsiaTheme="minorEastAsia" w:cstheme="minorBidi"/>
          <w:color w:val="auto"/>
          <w:kern w:val="2"/>
          <w:sz w:val="21"/>
          <w:szCs w:val="21"/>
          <w:lang w:val="en-US" w:eastAsia="zh-CN" w:bidi="ar-SA"/>
        </w:rPr>
      </w:pPr>
      <w:bookmarkStart w:id="1" w:name="OLE_LINK5"/>
      <w:r>
        <w:rPr>
          <w:rFonts w:hint="eastAsia" w:ascii="宋体" w:hAnsi="宋体" w:eastAsiaTheme="minorEastAsia" w:cstheme="minorBidi"/>
          <w:color w:val="C00000"/>
          <w:kern w:val="2"/>
          <w:sz w:val="21"/>
          <w:szCs w:val="21"/>
          <w:lang w:val="en-US" w:eastAsia="zh-CN" w:bidi="ar-SA"/>
        </w:rPr>
        <w:t>2022年X月XX～XX日在XX省XX市</w:t>
      </w:r>
      <w:r>
        <w:rPr>
          <w:rFonts w:hint="eastAsia" w:ascii="宋体" w:hAnsi="宋体" w:eastAsiaTheme="minorEastAsia" w:cstheme="minorBidi"/>
          <w:color w:val="auto"/>
          <w:kern w:val="2"/>
          <w:sz w:val="21"/>
          <w:szCs w:val="21"/>
          <w:lang w:val="en-US" w:eastAsia="zh-CN" w:bidi="ar-SA"/>
        </w:rPr>
        <w:t>，由全国有色金属标准化技术委员会主持，召开了</w:t>
      </w:r>
      <w:r>
        <w:rPr>
          <w:rFonts w:hint="eastAsia" w:ascii="宋体" w:hAnsi="宋体" w:eastAsiaTheme="minorEastAsia" w:cstheme="minorBidi"/>
          <w:color w:val="C00000"/>
          <w:kern w:val="2"/>
          <w:sz w:val="21"/>
          <w:szCs w:val="21"/>
          <w:lang w:val="en-US" w:eastAsia="zh-CN" w:bidi="ar-SA"/>
        </w:rPr>
        <w:t>《XXX》</w:t>
      </w:r>
      <w:r>
        <w:rPr>
          <w:rFonts w:hint="eastAsia" w:ascii="宋体" w:hAnsi="宋体" w:eastAsiaTheme="minorEastAsia" w:cstheme="minorBidi"/>
          <w:color w:val="auto"/>
          <w:kern w:val="2"/>
          <w:sz w:val="21"/>
          <w:szCs w:val="21"/>
          <w:lang w:val="en-US" w:eastAsia="zh-CN" w:bidi="ar-SA"/>
        </w:rPr>
        <w:t>标准审定会，共有</w:t>
      </w:r>
      <w:r>
        <w:rPr>
          <w:rFonts w:hint="eastAsia" w:ascii="宋体" w:hAnsi="宋体" w:eastAsiaTheme="minorEastAsia" w:cstheme="minorBidi"/>
          <w:color w:val="C00000"/>
          <w:kern w:val="2"/>
          <w:sz w:val="21"/>
          <w:szCs w:val="21"/>
          <w:lang w:val="en-US" w:eastAsia="zh-CN" w:bidi="ar-SA"/>
        </w:rPr>
        <w:t>xx</w:t>
      </w:r>
      <w:r>
        <w:rPr>
          <w:rFonts w:hint="eastAsia" w:ascii="宋体" w:hAnsi="宋体" w:eastAsiaTheme="minorEastAsia" w:cstheme="minorBidi"/>
          <w:color w:val="auto"/>
          <w:kern w:val="2"/>
          <w:sz w:val="21"/>
          <w:szCs w:val="21"/>
          <w:lang w:val="en-US" w:eastAsia="zh-CN" w:bidi="ar-SA"/>
        </w:rPr>
        <w:t>个单位的</w:t>
      </w:r>
      <w:r>
        <w:rPr>
          <w:rFonts w:hint="eastAsia" w:ascii="宋体" w:hAnsi="宋体" w:eastAsiaTheme="minorEastAsia" w:cstheme="minorBidi"/>
          <w:color w:val="C00000"/>
          <w:kern w:val="2"/>
          <w:sz w:val="21"/>
          <w:szCs w:val="21"/>
          <w:lang w:val="en-US" w:eastAsia="zh-CN" w:bidi="ar-SA"/>
        </w:rPr>
        <w:t>xx</w:t>
      </w:r>
      <w:r>
        <w:rPr>
          <w:rFonts w:hint="eastAsia" w:ascii="宋体" w:hAnsi="宋体" w:eastAsiaTheme="minorEastAsia" w:cstheme="minorBidi"/>
          <w:color w:val="auto"/>
          <w:kern w:val="2"/>
          <w:sz w:val="21"/>
          <w:szCs w:val="21"/>
          <w:lang w:val="en-US" w:eastAsia="zh-CN" w:bidi="ar-SA"/>
        </w:rPr>
        <w:t>名专家（</w:t>
      </w:r>
      <w:r>
        <w:rPr>
          <w:rFonts w:hint="eastAsia" w:ascii="宋体" w:hAnsi="宋体" w:eastAsiaTheme="minorEastAsia" w:cstheme="minorBidi"/>
          <w:color w:val="C00000"/>
          <w:kern w:val="2"/>
          <w:sz w:val="21"/>
          <w:szCs w:val="21"/>
          <w:lang w:val="en-US" w:eastAsia="zh-CN" w:bidi="ar-SA"/>
        </w:rPr>
        <w:t>详见有色金属标准审定会专家签名表</w:t>
      </w:r>
      <w:r>
        <w:rPr>
          <w:rFonts w:hint="eastAsia" w:ascii="宋体" w:hAnsi="宋体" w:eastAsiaTheme="minorEastAsia" w:cstheme="minorBidi"/>
          <w:color w:val="auto"/>
          <w:kern w:val="2"/>
          <w:sz w:val="21"/>
          <w:szCs w:val="21"/>
          <w:lang w:val="en-US" w:eastAsia="zh-CN" w:bidi="ar-SA"/>
        </w:rPr>
        <w:t>）参加了会议。【这个单位数和专家数，是审定会上的那张专家签字表，不要数错了】</w:t>
      </w:r>
    </w:p>
    <w:p w14:paraId="7A7CDB79">
      <w:pPr>
        <w:pStyle w:val="3"/>
        <w:numPr>
          <w:ilvl w:val="0"/>
          <w:numId w:val="0"/>
        </w:numPr>
        <w:ind w:firstLine="420" w:firstLineChars="200"/>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与会专家对 </w:t>
      </w:r>
      <w:bookmarkStart w:id="2" w:name="OLE_LINK4"/>
      <w:r>
        <w:rPr>
          <w:rFonts w:hint="eastAsia" w:ascii="宋体" w:hAnsi="宋体" w:eastAsiaTheme="minorEastAsia" w:cstheme="minorBidi"/>
          <w:color w:val="C00000"/>
          <w:kern w:val="2"/>
          <w:sz w:val="21"/>
          <w:szCs w:val="21"/>
          <w:lang w:val="en-US" w:eastAsia="zh-CN" w:bidi="ar-SA"/>
        </w:rPr>
        <w:t>《XXXX》</w:t>
      </w:r>
      <w:bookmarkEnd w:id="2"/>
      <w:r>
        <w:rPr>
          <w:rFonts w:hint="eastAsia" w:ascii="宋体" w:hAnsi="宋体" w:eastAsiaTheme="minorEastAsia" w:cstheme="minorBidi"/>
          <w:color w:val="auto"/>
          <w:kern w:val="2"/>
          <w:sz w:val="21"/>
          <w:szCs w:val="21"/>
          <w:lang w:val="en-US" w:eastAsia="zh-CN" w:bidi="ar-SA"/>
        </w:rPr>
        <w:t>标准的送审稿进行了认真审定，提出了</w:t>
      </w:r>
      <w:r>
        <w:rPr>
          <w:rFonts w:hint="eastAsia" w:ascii="宋体" w:hAnsi="宋体" w:eastAsiaTheme="minorEastAsia" w:cstheme="minorBidi"/>
          <w:color w:val="C00000"/>
          <w:kern w:val="2"/>
          <w:sz w:val="21"/>
          <w:szCs w:val="21"/>
          <w:lang w:val="en-US" w:eastAsia="zh-CN" w:bidi="ar-SA"/>
        </w:rPr>
        <w:t>xx</w:t>
      </w:r>
      <w:r>
        <w:rPr>
          <w:rFonts w:hint="eastAsia" w:ascii="宋体" w:hAnsi="宋体" w:eastAsiaTheme="minorEastAsia" w:cstheme="minorBidi"/>
          <w:color w:val="auto"/>
          <w:kern w:val="2"/>
          <w:sz w:val="21"/>
          <w:szCs w:val="21"/>
          <w:lang w:val="en-US" w:eastAsia="zh-CN" w:bidi="ar-SA"/>
        </w:rPr>
        <w:t>条修改意见，编制小组会后按照专家的修改意见进行了修改，完善了《送审稿》及《送审稿编制说明》。</w:t>
      </w:r>
    </w:p>
    <w:bookmarkEnd w:id="1"/>
    <w:p w14:paraId="46681F5B">
      <w:pPr>
        <w:pStyle w:val="3"/>
        <w:numPr>
          <w:ilvl w:val="0"/>
          <w:numId w:val="1"/>
        </w:numPr>
        <w:rPr>
          <w:rFonts w:hint="default"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委员审查</w:t>
      </w:r>
    </w:p>
    <w:p w14:paraId="5B5401BE">
      <w:pPr>
        <w:pStyle w:val="8"/>
        <w:pageBreakBefore w:val="0"/>
        <w:shd w:val="clear" w:color="auto" w:fill="FFFFFF"/>
        <w:kinsoku/>
        <w:wordWrap/>
        <w:overflowPunct/>
        <w:topLinePunct w:val="0"/>
        <w:bidi w:val="0"/>
        <w:adjustRightInd/>
        <w:snapToGrid/>
        <w:spacing w:before="0" w:beforeAutospacing="0" w:after="0" w:afterAutospacing="0" w:line="38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20</w:t>
      </w:r>
      <w:r>
        <w:rPr>
          <w:rFonts w:hint="eastAsia" w:eastAsiaTheme="minorEastAsia" w:cstheme="minorBidi"/>
          <w:color w:val="auto"/>
          <w:kern w:val="2"/>
          <w:sz w:val="21"/>
          <w:szCs w:val="21"/>
          <w:lang w:val="en-US" w:eastAsia="zh-CN" w:bidi="ar-SA"/>
        </w:rPr>
        <w:t>xx</w:t>
      </w:r>
      <w:r>
        <w:rPr>
          <w:rFonts w:hint="eastAsia" w:ascii="宋体" w:hAnsi="宋体" w:eastAsiaTheme="minorEastAsia" w:cstheme="minorBidi"/>
          <w:color w:val="auto"/>
          <w:kern w:val="2"/>
          <w:sz w:val="21"/>
          <w:szCs w:val="21"/>
          <w:lang w:val="en-US" w:eastAsia="zh-CN" w:bidi="ar-SA"/>
        </w:rPr>
        <w:t>年</w:t>
      </w:r>
      <w:r>
        <w:rPr>
          <w:rFonts w:hint="eastAsia" w:eastAsiaTheme="minorEastAsia" w:cstheme="minorBidi"/>
          <w:color w:val="auto"/>
          <w:kern w:val="2"/>
          <w:sz w:val="21"/>
          <w:szCs w:val="21"/>
          <w:lang w:val="en-US" w:eastAsia="zh-CN" w:bidi="ar-SA"/>
        </w:rPr>
        <w:t>xx</w:t>
      </w:r>
      <w:r>
        <w:rPr>
          <w:rFonts w:hint="eastAsia" w:ascii="宋体" w:hAnsi="宋体" w:eastAsiaTheme="minorEastAsia" w:cstheme="minorBidi"/>
          <w:color w:val="auto"/>
          <w:kern w:val="2"/>
          <w:sz w:val="21"/>
          <w:szCs w:val="21"/>
          <w:lang w:val="en-US" w:eastAsia="zh-CN" w:bidi="ar-SA"/>
        </w:rPr>
        <w:t>月</w:t>
      </w:r>
      <w:r>
        <w:rPr>
          <w:rFonts w:hint="eastAsia" w:eastAsiaTheme="minorEastAsia" w:cstheme="minorBidi"/>
          <w:color w:val="auto"/>
          <w:kern w:val="2"/>
          <w:sz w:val="21"/>
          <w:szCs w:val="21"/>
          <w:lang w:val="en-US" w:eastAsia="zh-CN" w:bidi="ar-SA"/>
        </w:rPr>
        <w:t>xx</w:t>
      </w:r>
      <w:r>
        <w:rPr>
          <w:rFonts w:hint="eastAsia" w:ascii="宋体" w:hAnsi="宋体" w:eastAsiaTheme="minorEastAsia" w:cstheme="minorBidi"/>
          <w:color w:val="auto"/>
          <w:kern w:val="2"/>
          <w:sz w:val="21"/>
          <w:szCs w:val="21"/>
          <w:lang w:val="en-US" w:eastAsia="zh-CN" w:bidi="ar-SA"/>
        </w:rPr>
        <w:t>日，全国有色金属标准化技术委员会在XX省XX市召开了全体委员会议。全国有色金属标准化技术委员会重金属分技术委员会（SAC/TC243/SC2）全体委员共计 66名，实际参与投票工作 XX名。会议经过认真的讨论，对《</w:t>
      </w:r>
      <w:r>
        <w:rPr>
          <w:rFonts w:hint="eastAsia" w:eastAsiaTheme="minorEastAsia" w:cstheme="minorBidi"/>
          <w:color w:val="auto"/>
          <w:kern w:val="2"/>
          <w:sz w:val="21"/>
          <w:szCs w:val="21"/>
          <w:lang w:val="en-US" w:eastAsia="zh-CN" w:bidi="ar-SA"/>
        </w:rPr>
        <w:t>xxxx</w:t>
      </w:r>
      <w:r>
        <w:rPr>
          <w:rFonts w:hint="eastAsia" w:ascii="宋体" w:hAnsi="宋体" w:eastAsiaTheme="minorEastAsia" w:cstheme="minorBidi"/>
          <w:color w:val="auto"/>
          <w:kern w:val="2"/>
          <w:sz w:val="21"/>
          <w:szCs w:val="21"/>
          <w:lang w:val="en-US" w:eastAsia="zh-CN" w:bidi="ar-SA"/>
        </w:rPr>
        <w:t>》标准制修订程序、征求意见的过程以及技术内容的确定等多方面进行了仔细审查。与会XX名委员全体投票通过，同意该标准《送审稿》及和《送审稿编制说明》通过审查，无修改意见，表决通过率为100%。</w:t>
      </w:r>
    </w:p>
    <w:p w14:paraId="0C953339">
      <w:pPr>
        <w:pStyle w:val="8"/>
        <w:pageBreakBefore w:val="0"/>
        <w:numPr>
          <w:ilvl w:val="0"/>
          <w:numId w:val="1"/>
        </w:numPr>
        <w:shd w:val="clear" w:color="auto" w:fill="FFFFFF"/>
        <w:kinsoku/>
        <w:wordWrap/>
        <w:overflowPunct/>
        <w:topLinePunct w:val="0"/>
        <w:bidi w:val="0"/>
        <w:adjustRightInd/>
        <w:snapToGrid/>
        <w:spacing w:before="0" w:beforeAutospacing="0" w:after="0" w:afterAutospacing="0" w:line="380" w:lineRule="exact"/>
        <w:ind w:left="0" w:leftChars="0" w:firstLine="0" w:firstLineChars="0"/>
        <w:textAlignment w:val="auto"/>
        <w:rPr>
          <w:rFonts w:hint="default" w:ascii="宋体" w:hAnsi="宋体" w:eastAsiaTheme="minorEastAsia" w:cstheme="minorBidi"/>
          <w:color w:val="auto"/>
          <w:kern w:val="2"/>
          <w:sz w:val="21"/>
          <w:szCs w:val="21"/>
          <w:lang w:val="en-US" w:eastAsia="zh-CN" w:bidi="ar-SA"/>
        </w:rPr>
      </w:pPr>
      <w:r>
        <w:rPr>
          <w:rFonts w:hint="eastAsia" w:eastAsiaTheme="minorEastAsia" w:cstheme="minorBidi"/>
          <w:color w:val="auto"/>
          <w:kern w:val="2"/>
          <w:sz w:val="21"/>
          <w:szCs w:val="21"/>
          <w:lang w:val="en-US" w:eastAsia="zh-CN" w:bidi="ar-SA"/>
        </w:rPr>
        <w:t>委员电子投票【国标写，其他不写】</w:t>
      </w:r>
    </w:p>
    <w:p w14:paraId="27597256">
      <w:pPr>
        <w:pStyle w:val="8"/>
        <w:pageBreakBefore w:val="0"/>
        <w:numPr>
          <w:ilvl w:val="0"/>
          <w:numId w:val="0"/>
        </w:numPr>
        <w:shd w:val="clear" w:color="auto" w:fill="FFFFFF"/>
        <w:kinsoku/>
        <w:wordWrap/>
        <w:overflowPunct/>
        <w:topLinePunct w:val="0"/>
        <w:bidi w:val="0"/>
        <w:adjustRightInd/>
        <w:snapToGrid/>
        <w:spacing w:before="0" w:beforeAutospacing="0" w:after="0" w:afterAutospacing="0" w:line="380" w:lineRule="exact"/>
        <w:ind w:leftChars="0" w:firstLine="420" w:firstLineChars="200"/>
        <w:textAlignment w:val="auto"/>
        <w:rPr>
          <w:rFonts w:hint="default" w:ascii="宋体" w:hAnsi="宋体" w:eastAsiaTheme="minorEastAsia" w:cstheme="minorBidi"/>
          <w:color w:val="auto"/>
          <w:kern w:val="2"/>
          <w:sz w:val="21"/>
          <w:szCs w:val="21"/>
          <w:lang w:val="en-US" w:eastAsia="zh-CN" w:bidi="ar-SA"/>
        </w:rPr>
      </w:pPr>
      <w:r>
        <w:rPr>
          <w:rFonts w:hint="default" w:ascii="宋体" w:hAnsi="宋体" w:eastAsiaTheme="minorEastAsia" w:cstheme="minorBidi"/>
          <w:color w:val="auto"/>
          <w:kern w:val="2"/>
          <w:sz w:val="21"/>
          <w:szCs w:val="21"/>
          <w:lang w:val="en-US" w:eastAsia="zh-CN" w:bidi="ar-SA"/>
        </w:rPr>
        <w:t>20XX 年X月X 日至X 月X 日，由全国有色重金属标准化分技术委员会在全国专业标准化技术委员会工作平台发起了《XX》报批稿及编制说明委员投票，该委员会有委员 66人，xx 人投赞成票，不赞成为零和弃权票为0，其余未投票，投赞成票率为 xx%。</w:t>
      </w:r>
    </w:p>
    <w:p w14:paraId="07E8B0DD">
      <w:pPr>
        <w:pStyle w:val="3"/>
        <w:rPr>
          <w:rFonts w:hint="eastAsia" w:ascii="黑体" w:hAnsi="黑体" w:eastAsia="黑体" w:cs="黑体"/>
          <w:color w:val="auto"/>
          <w:kern w:val="0"/>
          <w:sz w:val="21"/>
          <w:szCs w:val="21"/>
          <w:lang w:val="en-US" w:eastAsia="zh-CN" w:bidi="ar-SA"/>
        </w:rPr>
      </w:pPr>
      <w:r>
        <w:rPr>
          <w:rFonts w:hint="eastAsia" w:ascii="黑体" w:hAnsi="黑体" w:eastAsia="黑体" w:cs="黑体"/>
          <w:color w:val="auto"/>
          <w:kern w:val="0"/>
          <w:sz w:val="21"/>
          <w:szCs w:val="21"/>
          <w:lang w:val="en-US" w:eastAsia="zh-CN" w:bidi="ar-SA"/>
        </w:rPr>
        <w:t>1.4.6报批阶段</w:t>
      </w:r>
    </w:p>
    <w:p w14:paraId="5A4A7852">
      <w:pPr>
        <w:pageBreakBefore w:val="0"/>
        <w:kinsoku/>
        <w:wordWrap/>
        <w:overflowPunct/>
        <w:topLinePunct w:val="0"/>
        <w:bidi w:val="0"/>
        <w:adjustRightInd/>
        <w:snapToGrid/>
        <w:spacing w:line="380" w:lineRule="exact"/>
        <w:ind w:firstLine="420" w:firstLineChars="200"/>
        <w:textAlignment w:val="auto"/>
        <w:rPr>
          <w:rFonts w:hint="default" w:ascii="宋体" w:hAnsi="宋体" w:eastAsiaTheme="minorEastAsia" w:cstheme="minorBidi"/>
          <w:color w:val="auto"/>
          <w:kern w:val="2"/>
          <w:sz w:val="21"/>
          <w:szCs w:val="21"/>
          <w:lang w:val="en-US" w:eastAsia="zh-CN" w:bidi="ar-SA"/>
        </w:rPr>
      </w:pPr>
      <w:bookmarkStart w:id="3" w:name="OLE_LINK6"/>
      <w:r>
        <w:rPr>
          <w:rFonts w:hint="eastAsia" w:ascii="宋体" w:hAnsi="宋体" w:eastAsiaTheme="minorEastAsia" w:cstheme="minorBidi"/>
          <w:color w:val="auto"/>
          <w:kern w:val="2"/>
          <w:sz w:val="21"/>
          <w:szCs w:val="21"/>
          <w:lang w:val="en-US" w:eastAsia="zh-CN" w:bidi="ar-SA"/>
        </w:rPr>
        <w:t>标准编制组对标准文本和编制说明进行完善，形成标准报批稿报送至全国有色金属标准化技术委员会（SAC/TC243）秘书处，上报至</w:t>
      </w:r>
      <w:r>
        <w:rPr>
          <w:rFonts w:hint="eastAsia" w:ascii="宋体" w:hAnsi="宋体" w:eastAsiaTheme="minorEastAsia" w:cstheme="minorBidi"/>
          <w:color w:val="C00000"/>
          <w:kern w:val="2"/>
          <w:sz w:val="21"/>
          <w:szCs w:val="21"/>
          <w:lang w:val="en-US" w:eastAsia="zh-CN" w:bidi="ar-SA"/>
        </w:rPr>
        <w:t>国家标准化管理委员会</w:t>
      </w:r>
      <w:r>
        <w:rPr>
          <w:rFonts w:hint="eastAsia" w:ascii="宋体" w:hAnsi="宋体" w:cstheme="minorBidi"/>
          <w:color w:val="C00000"/>
          <w:kern w:val="2"/>
          <w:sz w:val="21"/>
          <w:szCs w:val="21"/>
          <w:lang w:val="en-US" w:eastAsia="zh-CN" w:bidi="ar-SA"/>
        </w:rPr>
        <w:t>【行标为：工业和信息化部、团标为：中国有色金属工业协会】</w:t>
      </w:r>
      <w:r>
        <w:rPr>
          <w:rFonts w:hint="eastAsia" w:ascii="宋体" w:hAnsi="宋体" w:eastAsiaTheme="minorEastAsia" w:cstheme="minorBidi"/>
          <w:color w:val="auto"/>
          <w:kern w:val="2"/>
          <w:sz w:val="21"/>
          <w:szCs w:val="21"/>
          <w:lang w:val="en-US" w:eastAsia="zh-CN" w:bidi="ar-SA"/>
        </w:rPr>
        <w:t>审批、发布。</w:t>
      </w:r>
    </w:p>
    <w:bookmarkEnd w:id="3"/>
    <w:p w14:paraId="61D971DE">
      <w:pPr>
        <w:pStyle w:val="3"/>
        <w:numPr>
          <w:ilvl w:val="0"/>
          <w:numId w:val="0"/>
        </w:numPr>
        <w:rPr>
          <w:rFonts w:hint="default" w:hAnsi="黑体" w:cs="黑体"/>
          <w:color w:val="C00000"/>
          <w:sz w:val="21"/>
          <w:szCs w:val="21"/>
          <w:lang w:val="en-US" w:eastAsia="zh-CN"/>
        </w:rPr>
      </w:pPr>
    </w:p>
    <w:p w14:paraId="76E2D1DB">
      <w:pPr>
        <w:pStyle w:val="8"/>
        <w:keepNext w:val="0"/>
        <w:keepLines w:val="0"/>
        <w:pageBreakBefore w:val="0"/>
        <w:kinsoku/>
        <w:wordWrap/>
        <w:overflowPunct/>
        <w:topLinePunct w:val="0"/>
        <w:autoSpaceDE/>
        <w:autoSpaceDN/>
        <w:bidi w:val="0"/>
        <w:adjustRightInd/>
        <w:snapToGrid/>
        <w:spacing w:before="0" w:beforeAutospacing="0" w:after="0" w:afterAutospacing="0" w:line="440" w:lineRule="exact"/>
        <w:jc w:val="both"/>
        <w:textAlignment w:val="auto"/>
        <w:rPr>
          <w:rFonts w:hint="default" w:ascii="黑体" w:eastAsia="黑体" w:cs="Arial"/>
          <w:color w:val="auto"/>
          <w:sz w:val="21"/>
          <w:szCs w:val="21"/>
          <w:lang w:val="en-US" w:eastAsia="zh-CN"/>
        </w:rPr>
      </w:pPr>
      <w:r>
        <w:rPr>
          <w:rFonts w:hint="eastAsia" w:ascii="黑体" w:eastAsia="黑体" w:cs="Arial"/>
          <w:color w:val="auto"/>
          <w:sz w:val="21"/>
          <w:szCs w:val="21"/>
        </w:rPr>
        <w:t>二、编制原则</w:t>
      </w:r>
      <w:r>
        <w:rPr>
          <w:rFonts w:hint="eastAsia" w:ascii="黑体" w:eastAsia="黑体" w:cs="Arial"/>
          <w:color w:val="auto"/>
          <w:sz w:val="21"/>
          <w:szCs w:val="21"/>
          <w:lang w:eastAsia="zh-CN"/>
        </w:rPr>
        <w:t>、</w:t>
      </w:r>
      <w:r>
        <w:rPr>
          <w:rFonts w:hint="eastAsia" w:ascii="黑体" w:eastAsia="黑体" w:cs="Arial"/>
          <w:color w:val="auto"/>
          <w:sz w:val="21"/>
          <w:szCs w:val="21"/>
          <w:lang w:val="en-US" w:eastAsia="zh-CN"/>
        </w:rPr>
        <w:t>主要内容及其确定依据</w:t>
      </w:r>
    </w:p>
    <w:p w14:paraId="677447D3">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黑体" w:eastAsia="黑体" w:cs="Arial"/>
          <w:color w:val="auto"/>
          <w:sz w:val="21"/>
          <w:szCs w:val="21"/>
          <w:lang w:val="en-US" w:eastAsia="zh-CN"/>
        </w:rPr>
      </w:pPr>
      <w:bookmarkStart w:id="4" w:name="OLE_LINK7"/>
      <w:r>
        <w:rPr>
          <w:rFonts w:hint="eastAsia" w:ascii="黑体" w:eastAsia="黑体" w:cs="Arial"/>
          <w:color w:val="auto"/>
          <w:sz w:val="21"/>
          <w:szCs w:val="21"/>
          <w:lang w:val="en-US" w:eastAsia="zh-CN"/>
        </w:rPr>
        <w:t>1、编制原则</w:t>
      </w:r>
    </w:p>
    <w:bookmarkEnd w:id="4"/>
    <w:p w14:paraId="44B550B8">
      <w:pPr>
        <w:pStyle w:val="3"/>
        <w:keepNext w:val="0"/>
        <w:keepLines w:val="0"/>
        <w:pageBreakBefore w:val="0"/>
        <w:kinsoku/>
        <w:wordWrap/>
        <w:overflowPunct/>
        <w:topLinePunct w:val="0"/>
        <w:autoSpaceDE/>
        <w:autoSpaceDN/>
        <w:bidi w:val="0"/>
        <w:adjustRightInd/>
        <w:snapToGrid/>
        <w:spacing w:line="360" w:lineRule="auto"/>
        <w:ind w:firstLine="420"/>
        <w:textAlignment w:val="auto"/>
        <w:rPr>
          <w:rFonts w:hint="default" w:ascii="宋体" w:hAnsi="宋体" w:eastAsiaTheme="minorEastAsia" w:cstheme="minorBidi"/>
          <w:color w:val="auto"/>
          <w:kern w:val="2"/>
          <w:sz w:val="21"/>
          <w:szCs w:val="21"/>
          <w:lang w:val="en-US" w:eastAsia="zh-CN" w:bidi="ar-SA"/>
        </w:rPr>
      </w:pPr>
      <w:r>
        <w:rPr>
          <w:rFonts w:hint="default" w:ascii="宋体" w:hAnsi="宋体" w:eastAsiaTheme="minorEastAsia" w:cstheme="minorBidi"/>
          <w:color w:val="auto"/>
          <w:kern w:val="2"/>
          <w:sz w:val="21"/>
          <w:szCs w:val="21"/>
          <w:lang w:val="en-US" w:eastAsia="zh-CN" w:bidi="ar-SA"/>
        </w:rPr>
        <w:t>科学性原则：技术指标的确定以大量试验验证数据为依据，确保标准的科学性和可靠性</w:t>
      </w:r>
      <w:r>
        <w:rPr>
          <w:rFonts w:hint="eastAsia" w:ascii="宋体" w:hAnsi="宋体" w:eastAsiaTheme="minorEastAsia" w:cstheme="minorBidi"/>
          <w:color w:val="auto"/>
          <w:kern w:val="2"/>
          <w:sz w:val="21"/>
          <w:szCs w:val="21"/>
          <w:lang w:val="en-US" w:eastAsia="zh-CN" w:bidi="ar-SA"/>
        </w:rPr>
        <w:t>。</w:t>
      </w:r>
    </w:p>
    <w:p w14:paraId="3FD702F1">
      <w:pPr>
        <w:pStyle w:val="3"/>
        <w:keepNext w:val="0"/>
        <w:keepLines w:val="0"/>
        <w:pageBreakBefore w:val="0"/>
        <w:kinsoku/>
        <w:wordWrap/>
        <w:overflowPunct/>
        <w:topLinePunct w:val="0"/>
        <w:autoSpaceDE/>
        <w:autoSpaceDN/>
        <w:bidi w:val="0"/>
        <w:adjustRightInd/>
        <w:snapToGrid/>
        <w:spacing w:line="360" w:lineRule="auto"/>
        <w:ind w:firstLine="420"/>
        <w:textAlignment w:val="auto"/>
        <w:rPr>
          <w:rFonts w:hint="default" w:ascii="宋体" w:hAnsi="宋体" w:eastAsiaTheme="minorEastAsia" w:cstheme="minorBidi"/>
          <w:color w:val="auto"/>
          <w:kern w:val="2"/>
          <w:sz w:val="21"/>
          <w:szCs w:val="21"/>
          <w:lang w:val="en-US" w:eastAsia="zh-CN" w:bidi="ar-SA"/>
        </w:rPr>
      </w:pPr>
      <w:r>
        <w:rPr>
          <w:rFonts w:hint="default" w:ascii="宋体" w:hAnsi="宋体" w:eastAsiaTheme="minorEastAsia" w:cstheme="minorBidi"/>
          <w:color w:val="auto"/>
          <w:kern w:val="2"/>
          <w:sz w:val="21"/>
          <w:szCs w:val="21"/>
          <w:lang w:val="en-US" w:eastAsia="zh-CN" w:bidi="ar-SA"/>
        </w:rPr>
        <w:t>先进性原则：瞄准国际先进水平，技术指标设置适当超前，引领行业发展方向</w:t>
      </w:r>
      <w:r>
        <w:rPr>
          <w:rFonts w:hint="eastAsia" w:ascii="宋体" w:hAnsi="宋体" w:eastAsiaTheme="minorEastAsia" w:cstheme="minorBidi"/>
          <w:color w:val="auto"/>
          <w:kern w:val="2"/>
          <w:sz w:val="21"/>
          <w:szCs w:val="21"/>
          <w:lang w:val="en-US" w:eastAsia="zh-CN" w:bidi="ar-SA"/>
        </w:rPr>
        <w:t>。</w:t>
      </w:r>
    </w:p>
    <w:p w14:paraId="0EA38C89">
      <w:pPr>
        <w:pStyle w:val="3"/>
        <w:keepNext w:val="0"/>
        <w:keepLines w:val="0"/>
        <w:pageBreakBefore w:val="0"/>
        <w:kinsoku/>
        <w:wordWrap/>
        <w:overflowPunct/>
        <w:topLinePunct w:val="0"/>
        <w:autoSpaceDE/>
        <w:autoSpaceDN/>
        <w:bidi w:val="0"/>
        <w:adjustRightInd/>
        <w:snapToGrid/>
        <w:spacing w:line="360" w:lineRule="auto"/>
        <w:ind w:firstLine="420"/>
        <w:textAlignment w:val="auto"/>
        <w:rPr>
          <w:rFonts w:hint="default" w:ascii="宋体" w:hAnsi="宋体" w:eastAsiaTheme="minorEastAsia" w:cstheme="minorBidi"/>
          <w:color w:val="auto"/>
          <w:kern w:val="2"/>
          <w:sz w:val="21"/>
          <w:szCs w:val="21"/>
          <w:lang w:val="en-US" w:eastAsia="zh-CN" w:bidi="ar-SA"/>
        </w:rPr>
      </w:pPr>
      <w:r>
        <w:rPr>
          <w:rFonts w:hint="default" w:ascii="宋体" w:hAnsi="宋体" w:eastAsiaTheme="minorEastAsia" w:cstheme="minorBidi"/>
          <w:color w:val="auto"/>
          <w:kern w:val="2"/>
          <w:sz w:val="21"/>
          <w:szCs w:val="21"/>
          <w:lang w:val="en-US" w:eastAsia="zh-CN" w:bidi="ar-SA"/>
        </w:rPr>
        <w:t>适用性原则：充分考虑国内铜板带行业的生产实际和下游用户的应用需求，确保标准的可操作性</w:t>
      </w:r>
      <w:r>
        <w:rPr>
          <w:rFonts w:hint="eastAsia" w:ascii="宋体" w:hAnsi="宋体" w:eastAsiaTheme="minorEastAsia" w:cstheme="minorBidi"/>
          <w:color w:val="auto"/>
          <w:kern w:val="2"/>
          <w:sz w:val="21"/>
          <w:szCs w:val="21"/>
          <w:lang w:val="en-US" w:eastAsia="zh-CN" w:bidi="ar-SA"/>
        </w:rPr>
        <w:t>。</w:t>
      </w:r>
    </w:p>
    <w:p w14:paraId="3B9EE703">
      <w:pPr>
        <w:pStyle w:val="3"/>
        <w:keepNext w:val="0"/>
        <w:keepLines w:val="0"/>
        <w:pageBreakBefore w:val="0"/>
        <w:kinsoku/>
        <w:wordWrap/>
        <w:overflowPunct/>
        <w:topLinePunct w:val="0"/>
        <w:autoSpaceDE/>
        <w:autoSpaceDN/>
        <w:bidi w:val="0"/>
        <w:adjustRightInd/>
        <w:snapToGrid/>
        <w:spacing w:line="360" w:lineRule="auto"/>
        <w:ind w:firstLine="420"/>
        <w:textAlignment w:val="auto"/>
        <w:rPr>
          <w:rFonts w:hint="default" w:ascii="宋体" w:hAnsi="宋体" w:eastAsiaTheme="minorEastAsia" w:cstheme="minorBidi"/>
          <w:color w:val="auto"/>
          <w:kern w:val="2"/>
          <w:sz w:val="21"/>
          <w:szCs w:val="21"/>
          <w:lang w:val="en-US" w:eastAsia="zh-CN" w:bidi="ar-SA"/>
        </w:rPr>
      </w:pPr>
      <w:r>
        <w:rPr>
          <w:rFonts w:hint="default" w:ascii="宋体" w:hAnsi="宋体" w:eastAsiaTheme="minorEastAsia" w:cstheme="minorBidi"/>
          <w:color w:val="auto"/>
          <w:kern w:val="2"/>
          <w:sz w:val="21"/>
          <w:szCs w:val="21"/>
          <w:lang w:val="en-US" w:eastAsia="zh-CN" w:bidi="ar-SA"/>
        </w:rPr>
        <w:t>协调性原则：与现有国家标准、行业标准协调配套，避免重复和矛盾</w:t>
      </w:r>
      <w:r>
        <w:rPr>
          <w:rFonts w:hint="eastAsia" w:ascii="宋体" w:hAnsi="宋体" w:eastAsiaTheme="minorEastAsia" w:cstheme="minorBidi"/>
          <w:color w:val="auto"/>
          <w:kern w:val="2"/>
          <w:sz w:val="21"/>
          <w:szCs w:val="21"/>
          <w:lang w:val="en-US" w:eastAsia="zh-CN" w:bidi="ar-SA"/>
        </w:rPr>
        <w:t>。</w:t>
      </w:r>
    </w:p>
    <w:p w14:paraId="6B57BB37">
      <w:pPr>
        <w:pStyle w:val="3"/>
        <w:keepNext w:val="0"/>
        <w:keepLines w:val="0"/>
        <w:pageBreakBefore w:val="0"/>
        <w:kinsoku/>
        <w:wordWrap/>
        <w:overflowPunct/>
        <w:topLinePunct w:val="0"/>
        <w:autoSpaceDE/>
        <w:autoSpaceDN/>
        <w:bidi w:val="0"/>
        <w:adjustRightInd/>
        <w:snapToGrid/>
        <w:spacing w:line="360" w:lineRule="auto"/>
        <w:ind w:firstLine="420"/>
        <w:textAlignment w:val="auto"/>
        <w:rPr>
          <w:rFonts w:hint="default" w:ascii="宋体" w:hAnsi="宋体" w:eastAsiaTheme="minorEastAsia" w:cstheme="minorBidi"/>
          <w:color w:val="auto"/>
          <w:kern w:val="2"/>
          <w:sz w:val="21"/>
          <w:szCs w:val="21"/>
          <w:lang w:val="en-US" w:eastAsia="zh-CN" w:bidi="ar-SA"/>
        </w:rPr>
      </w:pPr>
      <w:r>
        <w:rPr>
          <w:rFonts w:hint="default" w:ascii="宋体" w:hAnsi="宋体" w:eastAsiaTheme="minorEastAsia" w:cstheme="minorBidi"/>
          <w:color w:val="auto"/>
          <w:kern w:val="2"/>
          <w:sz w:val="21"/>
          <w:szCs w:val="21"/>
          <w:lang w:val="en-US" w:eastAsia="zh-CN" w:bidi="ar-SA"/>
        </w:rPr>
        <w:t>规范性原则：严格按照GB/T 1.1-2020《标准化工作导则 第1部分：标准化文件的结构和起草规则》进行编写。</w:t>
      </w:r>
    </w:p>
    <w:p w14:paraId="4CBA8220">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jc w:val="both"/>
        <w:textAlignment w:val="auto"/>
        <w:rPr>
          <w:rFonts w:hint="default" w:ascii="黑体" w:eastAsia="黑体" w:cs="Arial"/>
          <w:color w:val="auto"/>
          <w:sz w:val="21"/>
          <w:szCs w:val="21"/>
          <w:lang w:val="en-US" w:eastAsia="zh-CN"/>
        </w:rPr>
      </w:pPr>
      <w:r>
        <w:rPr>
          <w:rFonts w:hint="eastAsia" w:ascii="黑体" w:eastAsia="黑体" w:cs="Arial"/>
          <w:color w:val="auto"/>
          <w:sz w:val="21"/>
          <w:szCs w:val="21"/>
          <w:lang w:val="en-US" w:eastAsia="zh-CN"/>
        </w:rPr>
        <w:t>2、</w:t>
      </w:r>
      <w:r>
        <w:rPr>
          <w:rFonts w:hint="eastAsia" w:ascii="黑体" w:eastAsia="黑体" w:cs="Arial"/>
          <w:color w:val="auto"/>
          <w:sz w:val="21"/>
          <w:szCs w:val="21"/>
        </w:rPr>
        <w:t>标准主要技术内容</w:t>
      </w:r>
      <w:r>
        <w:rPr>
          <w:rFonts w:hint="eastAsia" w:ascii="黑体" w:eastAsia="黑体" w:cs="Arial"/>
          <w:color w:val="auto"/>
          <w:sz w:val="21"/>
          <w:szCs w:val="21"/>
          <w:lang w:val="en-US" w:eastAsia="zh-CN"/>
        </w:rPr>
        <w:t>的确定依据</w:t>
      </w:r>
    </w:p>
    <w:p w14:paraId="105693D3">
      <w:pPr>
        <w:pStyle w:val="3"/>
        <w:keepNext w:val="0"/>
        <w:keepLines w:val="0"/>
        <w:pageBreakBefore w:val="0"/>
        <w:widowControl w:val="0"/>
        <w:kinsoku/>
        <w:wordWrap/>
        <w:overflowPunct/>
        <w:topLinePunct w:val="0"/>
        <w:autoSpaceDE/>
        <w:autoSpaceDN/>
        <w:bidi w:val="0"/>
        <w:adjustRightInd/>
        <w:snapToGrid/>
        <w:spacing w:after="0" w:line="360" w:lineRule="auto"/>
        <w:ind w:firstLine="42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（1）适用范围</w:t>
      </w:r>
    </w:p>
    <w:p w14:paraId="739EEC1A">
      <w:pPr>
        <w:pStyle w:val="3"/>
        <w:keepNext w:val="0"/>
        <w:keepLines w:val="0"/>
        <w:pageBreakBefore w:val="0"/>
        <w:widowControl w:val="0"/>
        <w:kinsoku/>
        <w:wordWrap/>
        <w:overflowPunct/>
        <w:topLinePunct w:val="0"/>
        <w:autoSpaceDE/>
        <w:autoSpaceDN/>
        <w:bidi w:val="0"/>
        <w:adjustRightInd/>
        <w:snapToGrid/>
        <w:spacing w:after="0" w:line="360" w:lineRule="auto"/>
        <w:ind w:firstLine="42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本标准规定了均热板散热器用无氧铜带的要求、试验方法、检验规则、标志、包装、运输和贮存、质量证明书。本标准适用于以高温烧结作为关键制造工艺的均热板散热器所使用的无氧铜带材。</w:t>
      </w:r>
    </w:p>
    <w:p w14:paraId="69CD7E66">
      <w:pPr>
        <w:pStyle w:val="3"/>
        <w:keepNext w:val="0"/>
        <w:keepLines w:val="0"/>
        <w:pageBreakBefore w:val="0"/>
        <w:widowControl w:val="0"/>
        <w:kinsoku/>
        <w:wordWrap/>
        <w:overflowPunct/>
        <w:topLinePunct w:val="0"/>
        <w:autoSpaceDE/>
        <w:autoSpaceDN/>
        <w:bidi w:val="0"/>
        <w:adjustRightInd/>
        <w:snapToGrid/>
        <w:spacing w:after="0" w:line="360" w:lineRule="auto"/>
        <w:ind w:firstLine="420"/>
        <w:textAlignment w:val="auto"/>
        <w:rPr>
          <w:rFonts w:hint="default"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确定依据：</w:t>
      </w:r>
    </w:p>
    <w:p w14:paraId="68DED420">
      <w:pPr>
        <w:pStyle w:val="3"/>
        <w:keepNext w:val="0"/>
        <w:keepLines w:val="0"/>
        <w:pageBreakBefore w:val="0"/>
        <w:widowControl w:val="0"/>
        <w:kinsoku/>
        <w:wordWrap/>
        <w:overflowPunct/>
        <w:topLinePunct w:val="0"/>
        <w:autoSpaceDE/>
        <w:autoSpaceDN/>
        <w:bidi w:val="0"/>
        <w:adjustRightInd/>
        <w:snapToGrid/>
        <w:spacing w:after="0" w:line="360" w:lineRule="auto"/>
        <w:ind w:firstLine="42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（2）牌号与状态</w:t>
      </w:r>
    </w:p>
    <w:p w14:paraId="6A23BA2C">
      <w:pPr>
        <w:pStyle w:val="3"/>
        <w:keepNext w:val="0"/>
        <w:keepLines w:val="0"/>
        <w:pageBreakBefore w:val="0"/>
        <w:widowControl w:val="0"/>
        <w:kinsoku/>
        <w:wordWrap/>
        <w:overflowPunct/>
        <w:topLinePunct w:val="0"/>
        <w:autoSpaceDE/>
        <w:autoSpaceDN/>
        <w:bidi w:val="0"/>
        <w:adjustRightInd/>
        <w:snapToGrid/>
        <w:spacing w:after="0" w:line="360" w:lineRule="auto"/>
        <w:ind w:firstLine="42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标准纳入TU1（对应国际牌号C10200）和TU2（对应国际牌号C10100/C10200）两个无氧铜牌号，状态包括软化退火（M或O60）、半硬（Y2或H02）、硬（Y或H04）。依据：项目组产业化验证表明，TU1和TU2是均热板制造的主流材料，具有高纯度、低氧含量、优良的加工成型性和焊接性能。</w:t>
      </w:r>
    </w:p>
    <w:p w14:paraId="6FFF1103">
      <w:pPr>
        <w:pStyle w:val="3"/>
        <w:keepNext w:val="0"/>
        <w:keepLines w:val="0"/>
        <w:pageBreakBefore w:val="0"/>
        <w:widowControl w:val="0"/>
        <w:kinsoku/>
        <w:wordWrap/>
        <w:overflowPunct/>
        <w:topLinePunct w:val="0"/>
        <w:autoSpaceDE/>
        <w:autoSpaceDN/>
        <w:bidi w:val="0"/>
        <w:adjustRightInd/>
        <w:snapToGrid/>
        <w:spacing w:after="0" w:line="360" w:lineRule="auto"/>
        <w:ind w:firstLine="420"/>
        <w:textAlignment w:val="auto"/>
        <w:rPr>
          <w:rFonts w:hint="default"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确定依据：</w:t>
      </w:r>
    </w:p>
    <w:p w14:paraId="5E22EE32">
      <w:pPr>
        <w:pStyle w:val="3"/>
        <w:keepNext w:val="0"/>
        <w:keepLines w:val="0"/>
        <w:pageBreakBefore w:val="0"/>
        <w:widowControl w:val="0"/>
        <w:kinsoku/>
        <w:wordWrap/>
        <w:overflowPunct/>
        <w:topLinePunct w:val="0"/>
        <w:autoSpaceDE/>
        <w:autoSpaceDN/>
        <w:bidi w:val="0"/>
        <w:adjustRightInd/>
        <w:snapToGrid/>
        <w:spacing w:after="0" w:line="360" w:lineRule="auto"/>
        <w:ind w:firstLine="42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（3）化学成分</w:t>
      </w:r>
    </w:p>
    <w:tbl>
      <w:tblPr>
        <w:tblStyle w:val="10"/>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4"/>
        <w:gridCol w:w="1424"/>
        <w:gridCol w:w="1425"/>
        <w:gridCol w:w="1425"/>
        <w:gridCol w:w="1425"/>
        <w:gridCol w:w="1437"/>
      </w:tblGrid>
      <w:tr w14:paraId="76794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vMerge w:val="restart"/>
            <w:noWrap w:val="0"/>
            <w:vAlign w:val="center"/>
          </w:tcPr>
          <w:p w14:paraId="0846DBF4">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pacing w:val="-14"/>
                <w:sz w:val="18"/>
                <w:szCs w:val="18"/>
                <w:vertAlign w:val="baseline"/>
                <w:lang w:val="en-US" w:eastAsia="zh-CN"/>
              </w:rPr>
            </w:pPr>
            <w:r>
              <w:rPr>
                <w:rFonts w:hint="eastAsia" w:ascii="宋体" w:hAnsi="宋体" w:eastAsia="宋体" w:cs="宋体"/>
                <w:b w:val="0"/>
                <w:bCs w:val="0"/>
                <w:spacing w:val="-14"/>
                <w:sz w:val="18"/>
                <w:szCs w:val="18"/>
                <w:vertAlign w:val="baseline"/>
                <w:lang w:val="en-US" w:eastAsia="zh-CN"/>
              </w:rPr>
              <w:t>牌号</w:t>
            </w:r>
          </w:p>
        </w:tc>
        <w:tc>
          <w:tcPr>
            <w:tcW w:w="4167" w:type="pct"/>
            <w:gridSpan w:val="5"/>
            <w:noWrap w:val="0"/>
            <w:vAlign w:val="top"/>
          </w:tcPr>
          <w:p w14:paraId="1732217D">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pacing w:val="-14"/>
                <w:sz w:val="18"/>
                <w:szCs w:val="18"/>
                <w:vertAlign w:val="baseline"/>
                <w:lang w:val="en-US" w:eastAsia="zh-CN"/>
              </w:rPr>
            </w:pPr>
            <w:r>
              <w:rPr>
                <w:rFonts w:hint="eastAsia" w:ascii="宋体" w:hAnsi="宋体" w:eastAsia="宋体" w:cs="宋体"/>
                <w:spacing w:val="-2"/>
                <w:sz w:val="18"/>
                <w:szCs w:val="18"/>
              </w:rPr>
              <w:t>化学成分（质量分数</w:t>
            </w:r>
            <w:r>
              <w:rPr>
                <w:rFonts w:hint="eastAsia" w:ascii="宋体" w:hAnsi="宋体" w:eastAsia="宋体" w:cs="宋体"/>
                <w:spacing w:val="-5"/>
                <w:sz w:val="18"/>
                <w:szCs w:val="18"/>
              </w:rPr>
              <w:t>）/%</w:t>
            </w:r>
          </w:p>
        </w:tc>
      </w:tr>
      <w:tr w14:paraId="35D34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vMerge w:val="continue"/>
            <w:noWrap w:val="0"/>
            <w:vAlign w:val="center"/>
          </w:tcPr>
          <w:p w14:paraId="33E725AE">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pacing w:val="-14"/>
                <w:sz w:val="18"/>
                <w:szCs w:val="18"/>
                <w:vertAlign w:val="baseline"/>
                <w:lang w:val="en-US" w:eastAsia="zh-CN"/>
              </w:rPr>
            </w:pPr>
          </w:p>
        </w:tc>
        <w:tc>
          <w:tcPr>
            <w:tcW w:w="832" w:type="pct"/>
            <w:noWrap w:val="0"/>
            <w:vAlign w:val="center"/>
          </w:tcPr>
          <w:p w14:paraId="5749E74E">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pacing w:val="-14"/>
                <w:sz w:val="18"/>
                <w:szCs w:val="18"/>
                <w:vertAlign w:val="baseline"/>
                <w:lang w:val="en-US" w:eastAsia="zh-CN"/>
              </w:rPr>
            </w:pPr>
            <w:r>
              <w:rPr>
                <w:rFonts w:hint="eastAsia" w:ascii="宋体" w:hAnsi="宋体" w:eastAsia="宋体" w:cs="宋体"/>
                <w:sz w:val="18"/>
                <w:szCs w:val="18"/>
                <w:vertAlign w:val="baseline"/>
                <w:lang w:val="en-US" w:eastAsia="zh-CN"/>
              </w:rPr>
              <w:t>Cu+Ag</w:t>
            </w:r>
          </w:p>
        </w:tc>
        <w:tc>
          <w:tcPr>
            <w:tcW w:w="832" w:type="pct"/>
            <w:noWrap w:val="0"/>
            <w:vAlign w:val="center"/>
          </w:tcPr>
          <w:p w14:paraId="6E67B39B">
            <w:pPr>
              <w:pStyle w:val="21"/>
              <w:keepNext w:val="0"/>
              <w:keepLines w:val="0"/>
              <w:pageBreakBefore w:val="0"/>
              <w:widowControl w:val="0"/>
              <w:kinsoku/>
              <w:wordWrap/>
              <w:overflowPunct/>
              <w:topLinePunct w:val="0"/>
              <w:autoSpaceDE/>
              <w:autoSpaceDN/>
              <w:bidi w:val="0"/>
              <w:adjustRightInd/>
              <w:snapToGrid/>
              <w:spacing w:line="240" w:lineRule="auto"/>
              <w:ind w:left="5" w:leftChars="0"/>
              <w:jc w:val="center"/>
              <w:textAlignment w:val="auto"/>
              <w:rPr>
                <w:rFonts w:hint="eastAsia" w:ascii="宋体" w:hAnsi="宋体" w:eastAsia="宋体" w:cs="宋体"/>
                <w:b/>
                <w:bCs/>
                <w:spacing w:val="-14"/>
                <w:sz w:val="18"/>
                <w:szCs w:val="18"/>
                <w:vertAlign w:val="baseline"/>
                <w:lang w:val="en-US" w:eastAsia="zh-CN"/>
              </w:rPr>
            </w:pPr>
            <w:r>
              <w:rPr>
                <w:rFonts w:hint="eastAsia" w:ascii="宋体" w:hAnsi="宋体" w:eastAsia="宋体" w:cs="宋体"/>
                <w:w w:val="100"/>
                <w:sz w:val="18"/>
                <w:szCs w:val="18"/>
              </w:rPr>
              <w:t>P</w:t>
            </w:r>
          </w:p>
        </w:tc>
        <w:tc>
          <w:tcPr>
            <w:tcW w:w="832" w:type="pct"/>
            <w:noWrap w:val="0"/>
            <w:vAlign w:val="center"/>
          </w:tcPr>
          <w:p w14:paraId="2FD09D7B">
            <w:pPr>
              <w:pStyle w:val="21"/>
              <w:keepNext w:val="0"/>
              <w:keepLines w:val="0"/>
              <w:pageBreakBefore w:val="0"/>
              <w:widowControl w:val="0"/>
              <w:kinsoku/>
              <w:wordWrap/>
              <w:overflowPunct/>
              <w:topLinePunct w:val="0"/>
              <w:autoSpaceDE/>
              <w:autoSpaceDN/>
              <w:bidi w:val="0"/>
              <w:adjustRightInd/>
              <w:snapToGrid/>
              <w:spacing w:line="240" w:lineRule="auto"/>
              <w:ind w:left="259" w:leftChars="0" w:right="257" w:rightChars="0"/>
              <w:jc w:val="center"/>
              <w:textAlignment w:val="auto"/>
              <w:rPr>
                <w:rFonts w:hint="eastAsia" w:ascii="宋体" w:hAnsi="宋体" w:eastAsia="宋体" w:cs="宋体"/>
                <w:b/>
                <w:bCs/>
                <w:spacing w:val="-14"/>
                <w:sz w:val="18"/>
                <w:szCs w:val="18"/>
                <w:vertAlign w:val="baseline"/>
                <w:lang w:val="en-US" w:eastAsia="zh-CN"/>
              </w:rPr>
            </w:pPr>
            <w:r>
              <w:rPr>
                <w:rFonts w:hint="eastAsia" w:ascii="宋体" w:hAnsi="宋体" w:eastAsia="宋体" w:cs="宋体"/>
                <w:spacing w:val="-5"/>
                <w:sz w:val="18"/>
                <w:szCs w:val="18"/>
              </w:rPr>
              <w:t>Fe</w:t>
            </w:r>
          </w:p>
        </w:tc>
        <w:tc>
          <w:tcPr>
            <w:tcW w:w="832" w:type="pct"/>
            <w:noWrap w:val="0"/>
            <w:vAlign w:val="center"/>
          </w:tcPr>
          <w:p w14:paraId="6CDDA57C">
            <w:pPr>
              <w:pStyle w:val="21"/>
              <w:keepNext w:val="0"/>
              <w:keepLines w:val="0"/>
              <w:pageBreakBefore w:val="0"/>
              <w:widowControl w:val="0"/>
              <w:kinsoku/>
              <w:wordWrap/>
              <w:overflowPunct/>
              <w:topLinePunct w:val="0"/>
              <w:autoSpaceDE/>
              <w:autoSpaceDN/>
              <w:bidi w:val="0"/>
              <w:adjustRightInd/>
              <w:snapToGrid/>
              <w:spacing w:line="240" w:lineRule="auto"/>
              <w:ind w:left="6" w:leftChars="0"/>
              <w:jc w:val="center"/>
              <w:textAlignment w:val="auto"/>
              <w:rPr>
                <w:rFonts w:hint="eastAsia" w:ascii="宋体" w:hAnsi="宋体" w:eastAsia="宋体" w:cs="宋体"/>
                <w:b/>
                <w:bCs/>
                <w:spacing w:val="-14"/>
                <w:sz w:val="18"/>
                <w:szCs w:val="18"/>
                <w:vertAlign w:val="baseline"/>
                <w:lang w:val="en-US" w:eastAsia="zh-CN"/>
              </w:rPr>
            </w:pPr>
            <w:r>
              <w:rPr>
                <w:rFonts w:hint="eastAsia" w:ascii="宋体" w:hAnsi="宋体" w:eastAsia="宋体" w:cs="宋体"/>
                <w:w w:val="100"/>
                <w:sz w:val="18"/>
                <w:szCs w:val="18"/>
              </w:rPr>
              <w:t>O</w:t>
            </w:r>
          </w:p>
        </w:tc>
        <w:tc>
          <w:tcPr>
            <w:tcW w:w="836" w:type="pct"/>
            <w:noWrap w:val="0"/>
            <w:vAlign w:val="center"/>
          </w:tcPr>
          <w:p w14:paraId="7F5A2A64">
            <w:pPr>
              <w:pStyle w:val="21"/>
              <w:keepNext w:val="0"/>
              <w:keepLines w:val="0"/>
              <w:pageBreakBefore w:val="0"/>
              <w:widowControl w:val="0"/>
              <w:kinsoku/>
              <w:wordWrap/>
              <w:overflowPunct/>
              <w:topLinePunct w:val="0"/>
              <w:autoSpaceDE/>
              <w:autoSpaceDN/>
              <w:bidi w:val="0"/>
              <w:adjustRightInd/>
              <w:snapToGrid/>
              <w:spacing w:line="240" w:lineRule="auto"/>
              <w:ind w:left="204" w:leftChars="0" w:right="196" w:rightChars="0"/>
              <w:jc w:val="center"/>
              <w:textAlignment w:val="auto"/>
              <w:rPr>
                <w:rFonts w:hint="eastAsia" w:ascii="宋体" w:hAnsi="宋体" w:eastAsia="宋体" w:cs="宋体"/>
                <w:b/>
                <w:bCs/>
                <w:spacing w:val="-14"/>
                <w:sz w:val="18"/>
                <w:szCs w:val="18"/>
                <w:vertAlign w:val="baseline"/>
                <w:lang w:val="en-US" w:eastAsia="zh-CN"/>
              </w:rPr>
            </w:pPr>
            <w:r>
              <w:rPr>
                <w:rFonts w:hint="eastAsia" w:ascii="宋体" w:hAnsi="宋体" w:eastAsia="宋体" w:cs="宋体"/>
                <w:spacing w:val="-5"/>
                <w:sz w:val="18"/>
                <w:szCs w:val="18"/>
              </w:rPr>
              <w:t>其他</w:t>
            </w:r>
          </w:p>
        </w:tc>
      </w:tr>
      <w:tr w14:paraId="2BBBC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noWrap w:val="0"/>
            <w:vAlign w:val="center"/>
          </w:tcPr>
          <w:p w14:paraId="69267266">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pacing w:val="-14"/>
                <w:sz w:val="18"/>
                <w:szCs w:val="18"/>
                <w:vertAlign w:val="baseline"/>
                <w:lang w:val="en-US" w:eastAsia="zh-CN"/>
              </w:rPr>
            </w:pPr>
            <w:r>
              <w:rPr>
                <w:rFonts w:hint="eastAsia" w:ascii="宋体" w:hAnsi="宋体" w:eastAsia="宋体" w:cs="宋体"/>
                <w:b w:val="0"/>
                <w:bCs w:val="0"/>
                <w:spacing w:val="-14"/>
                <w:sz w:val="18"/>
                <w:szCs w:val="18"/>
                <w:vertAlign w:val="baseline"/>
                <w:lang w:val="en-US" w:eastAsia="zh-CN"/>
              </w:rPr>
              <w:t>TU1</w:t>
            </w:r>
          </w:p>
        </w:tc>
        <w:tc>
          <w:tcPr>
            <w:tcW w:w="832" w:type="pct"/>
            <w:noWrap w:val="0"/>
            <w:vAlign w:val="center"/>
          </w:tcPr>
          <w:p w14:paraId="40B54A8E">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pacing w:val="-14"/>
                <w:sz w:val="18"/>
                <w:szCs w:val="18"/>
                <w:vertAlign w:val="baseline"/>
                <w:lang w:val="en-US" w:eastAsia="zh-CN"/>
              </w:rPr>
            </w:pPr>
            <w:r>
              <w:rPr>
                <w:rFonts w:hint="eastAsia" w:ascii="宋体" w:hAnsi="宋体" w:eastAsia="宋体" w:cs="宋体"/>
                <w:spacing w:val="-2"/>
                <w:sz w:val="18"/>
                <w:szCs w:val="18"/>
              </w:rPr>
              <w:t>≥99.97</w:t>
            </w:r>
          </w:p>
        </w:tc>
        <w:tc>
          <w:tcPr>
            <w:tcW w:w="832" w:type="pct"/>
            <w:noWrap w:val="0"/>
            <w:vAlign w:val="center"/>
          </w:tcPr>
          <w:p w14:paraId="3AB44218">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pacing w:val="-14"/>
                <w:sz w:val="18"/>
                <w:szCs w:val="18"/>
                <w:vertAlign w:val="baseline"/>
                <w:lang w:val="en-US" w:eastAsia="zh-CN"/>
              </w:rPr>
            </w:pPr>
            <w:r>
              <w:rPr>
                <w:rFonts w:hint="eastAsia" w:ascii="宋体" w:hAnsi="宋体" w:eastAsia="宋体" w:cs="宋体"/>
                <w:spacing w:val="-2"/>
                <w:sz w:val="18"/>
                <w:szCs w:val="18"/>
              </w:rPr>
              <w:t>≤0.0015</w:t>
            </w:r>
          </w:p>
        </w:tc>
        <w:tc>
          <w:tcPr>
            <w:tcW w:w="832" w:type="pct"/>
            <w:noWrap w:val="0"/>
            <w:vAlign w:val="center"/>
          </w:tcPr>
          <w:p w14:paraId="56331DD9">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pacing w:val="-14"/>
                <w:sz w:val="18"/>
                <w:szCs w:val="18"/>
                <w:vertAlign w:val="baseline"/>
                <w:lang w:val="en-US" w:eastAsia="zh-CN"/>
              </w:rPr>
            </w:pPr>
            <w:r>
              <w:rPr>
                <w:rFonts w:hint="eastAsia" w:ascii="宋体" w:hAnsi="宋体" w:eastAsia="宋体" w:cs="宋体"/>
                <w:spacing w:val="-2"/>
                <w:sz w:val="18"/>
                <w:szCs w:val="18"/>
              </w:rPr>
              <w:t>≤0.00</w:t>
            </w:r>
            <w:r>
              <w:rPr>
                <w:rFonts w:hint="eastAsia" w:ascii="宋体" w:hAnsi="宋体" w:eastAsia="宋体" w:cs="宋体"/>
                <w:spacing w:val="-2"/>
                <w:sz w:val="18"/>
                <w:szCs w:val="18"/>
                <w:lang w:val="en-US" w:eastAsia="zh-CN"/>
              </w:rPr>
              <w:t>2</w:t>
            </w:r>
          </w:p>
        </w:tc>
        <w:tc>
          <w:tcPr>
            <w:tcW w:w="832" w:type="pct"/>
            <w:noWrap w:val="0"/>
            <w:vAlign w:val="center"/>
          </w:tcPr>
          <w:p w14:paraId="6FE598C9">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pacing w:val="-14"/>
                <w:sz w:val="18"/>
                <w:szCs w:val="18"/>
                <w:vertAlign w:val="baseline"/>
                <w:lang w:val="en-US" w:eastAsia="zh-CN"/>
              </w:rPr>
            </w:pPr>
            <w:r>
              <w:rPr>
                <w:rFonts w:hint="eastAsia" w:ascii="宋体" w:hAnsi="宋体" w:eastAsia="宋体" w:cs="宋体"/>
                <w:spacing w:val="-2"/>
                <w:sz w:val="18"/>
                <w:szCs w:val="18"/>
              </w:rPr>
              <w:t>≤0.00</w:t>
            </w:r>
            <w:r>
              <w:rPr>
                <w:rFonts w:hint="eastAsia" w:ascii="宋体" w:hAnsi="宋体" w:eastAsia="宋体" w:cs="宋体"/>
                <w:spacing w:val="-2"/>
                <w:sz w:val="18"/>
                <w:szCs w:val="18"/>
                <w:lang w:val="en-US" w:eastAsia="zh-CN"/>
              </w:rPr>
              <w:t>2</w:t>
            </w:r>
          </w:p>
        </w:tc>
        <w:tc>
          <w:tcPr>
            <w:tcW w:w="836" w:type="pct"/>
            <w:noWrap w:val="0"/>
            <w:vAlign w:val="top"/>
          </w:tcPr>
          <w:p w14:paraId="7889AC17">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pacing w:val="-14"/>
                <w:sz w:val="18"/>
                <w:szCs w:val="18"/>
                <w:vertAlign w:val="baseline"/>
                <w:lang w:val="en-US" w:eastAsia="zh-CN"/>
              </w:rPr>
            </w:pPr>
            <w:r>
              <w:rPr>
                <w:rFonts w:hint="eastAsia" w:ascii="宋体" w:hAnsi="宋体" w:eastAsia="宋体" w:cs="宋体"/>
                <w:spacing w:val="-11"/>
                <w:sz w:val="18"/>
                <w:szCs w:val="18"/>
              </w:rPr>
              <w:t xml:space="preserve">参照国标 </w:t>
            </w:r>
            <w:r>
              <w:rPr>
                <w:rFonts w:hint="eastAsia" w:ascii="宋体" w:hAnsi="宋体" w:eastAsia="宋体" w:cs="宋体"/>
                <w:sz w:val="18"/>
                <w:szCs w:val="18"/>
              </w:rPr>
              <w:t>GB/T</w:t>
            </w:r>
            <w:r>
              <w:rPr>
                <w:rFonts w:hint="eastAsia" w:ascii="宋体" w:hAnsi="宋体" w:eastAsia="宋体" w:cs="宋体"/>
                <w:spacing w:val="-8"/>
                <w:sz w:val="18"/>
                <w:szCs w:val="18"/>
              </w:rPr>
              <w:t xml:space="preserve"> </w:t>
            </w:r>
            <w:r>
              <w:rPr>
                <w:rFonts w:hint="eastAsia" w:ascii="宋体" w:hAnsi="宋体" w:eastAsia="宋体" w:cs="宋体"/>
                <w:spacing w:val="-4"/>
                <w:sz w:val="18"/>
                <w:szCs w:val="18"/>
              </w:rPr>
              <w:t>5231</w:t>
            </w:r>
          </w:p>
        </w:tc>
      </w:tr>
      <w:tr w14:paraId="3F83D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noWrap w:val="0"/>
            <w:vAlign w:val="center"/>
          </w:tcPr>
          <w:p w14:paraId="3890AE1B">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pacing w:val="-14"/>
                <w:sz w:val="18"/>
                <w:szCs w:val="18"/>
                <w:vertAlign w:val="baseline"/>
                <w:lang w:val="en-US" w:eastAsia="zh-CN"/>
              </w:rPr>
            </w:pPr>
            <w:r>
              <w:rPr>
                <w:rFonts w:hint="eastAsia" w:ascii="宋体" w:hAnsi="宋体" w:eastAsia="宋体" w:cs="宋体"/>
                <w:b w:val="0"/>
                <w:bCs w:val="0"/>
                <w:spacing w:val="-14"/>
                <w:sz w:val="18"/>
                <w:szCs w:val="18"/>
                <w:vertAlign w:val="baseline"/>
                <w:lang w:val="en-US" w:eastAsia="zh-CN"/>
              </w:rPr>
              <w:t>TU2</w:t>
            </w:r>
          </w:p>
        </w:tc>
        <w:tc>
          <w:tcPr>
            <w:tcW w:w="832" w:type="pct"/>
            <w:noWrap w:val="0"/>
            <w:vAlign w:val="center"/>
          </w:tcPr>
          <w:p w14:paraId="0649B3C9">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pacing w:val="-14"/>
                <w:sz w:val="18"/>
                <w:szCs w:val="18"/>
                <w:vertAlign w:val="baseline"/>
                <w:lang w:val="en-US" w:eastAsia="zh-CN"/>
              </w:rPr>
            </w:pPr>
            <w:r>
              <w:rPr>
                <w:rFonts w:hint="eastAsia" w:ascii="宋体" w:hAnsi="宋体" w:eastAsia="宋体" w:cs="宋体"/>
                <w:spacing w:val="-2"/>
                <w:sz w:val="18"/>
                <w:szCs w:val="18"/>
              </w:rPr>
              <w:t>≥99.95</w:t>
            </w:r>
          </w:p>
        </w:tc>
        <w:tc>
          <w:tcPr>
            <w:tcW w:w="832" w:type="pct"/>
            <w:noWrap w:val="0"/>
            <w:vAlign w:val="center"/>
          </w:tcPr>
          <w:p w14:paraId="69FE2778">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pacing w:val="-14"/>
                <w:sz w:val="18"/>
                <w:szCs w:val="18"/>
                <w:vertAlign w:val="baseline"/>
                <w:lang w:val="en-US" w:eastAsia="zh-CN"/>
              </w:rPr>
            </w:pPr>
            <w:r>
              <w:rPr>
                <w:rFonts w:hint="eastAsia" w:ascii="宋体" w:hAnsi="宋体" w:eastAsia="宋体" w:cs="宋体"/>
                <w:spacing w:val="-2"/>
                <w:sz w:val="18"/>
                <w:szCs w:val="18"/>
              </w:rPr>
              <w:t>≤0.00</w:t>
            </w:r>
            <w:r>
              <w:rPr>
                <w:rFonts w:hint="eastAsia" w:ascii="宋体" w:hAnsi="宋体" w:eastAsia="宋体" w:cs="宋体"/>
                <w:spacing w:val="-2"/>
                <w:sz w:val="18"/>
                <w:szCs w:val="18"/>
                <w:lang w:val="en-US" w:eastAsia="zh-CN"/>
              </w:rPr>
              <w:t>2</w:t>
            </w:r>
          </w:p>
        </w:tc>
        <w:tc>
          <w:tcPr>
            <w:tcW w:w="832" w:type="pct"/>
            <w:noWrap w:val="0"/>
            <w:vAlign w:val="center"/>
          </w:tcPr>
          <w:p w14:paraId="48096D2D">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pacing w:val="-14"/>
                <w:sz w:val="18"/>
                <w:szCs w:val="18"/>
                <w:vertAlign w:val="baseline"/>
                <w:lang w:val="en-US" w:eastAsia="zh-CN"/>
              </w:rPr>
            </w:pPr>
            <w:r>
              <w:rPr>
                <w:rFonts w:hint="eastAsia" w:ascii="宋体" w:hAnsi="宋体" w:eastAsia="宋体" w:cs="宋体"/>
                <w:spacing w:val="-2"/>
                <w:sz w:val="18"/>
                <w:szCs w:val="18"/>
              </w:rPr>
              <w:t>≤0.00</w:t>
            </w:r>
            <w:r>
              <w:rPr>
                <w:rFonts w:hint="eastAsia" w:ascii="宋体" w:hAnsi="宋体" w:eastAsia="宋体" w:cs="宋体"/>
                <w:spacing w:val="-2"/>
                <w:sz w:val="18"/>
                <w:szCs w:val="18"/>
                <w:lang w:val="en-US" w:eastAsia="zh-CN"/>
              </w:rPr>
              <w:t>3</w:t>
            </w:r>
          </w:p>
        </w:tc>
        <w:tc>
          <w:tcPr>
            <w:tcW w:w="832" w:type="pct"/>
            <w:noWrap w:val="0"/>
            <w:vAlign w:val="center"/>
          </w:tcPr>
          <w:p w14:paraId="1D525ED8">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pacing w:val="-14"/>
                <w:sz w:val="18"/>
                <w:szCs w:val="18"/>
                <w:vertAlign w:val="baseline"/>
                <w:lang w:val="en-US" w:eastAsia="zh-CN"/>
              </w:rPr>
            </w:pPr>
            <w:r>
              <w:rPr>
                <w:rFonts w:hint="eastAsia" w:ascii="宋体" w:hAnsi="宋体" w:eastAsia="宋体" w:cs="宋体"/>
                <w:spacing w:val="-2"/>
                <w:sz w:val="18"/>
                <w:szCs w:val="18"/>
              </w:rPr>
              <w:t>≤0.00</w:t>
            </w:r>
            <w:r>
              <w:rPr>
                <w:rFonts w:hint="eastAsia" w:ascii="宋体" w:hAnsi="宋体" w:eastAsia="宋体" w:cs="宋体"/>
                <w:spacing w:val="-2"/>
                <w:sz w:val="18"/>
                <w:szCs w:val="18"/>
                <w:lang w:val="en-US" w:eastAsia="zh-CN"/>
              </w:rPr>
              <w:t>3</w:t>
            </w:r>
          </w:p>
        </w:tc>
        <w:tc>
          <w:tcPr>
            <w:tcW w:w="836" w:type="pct"/>
            <w:noWrap w:val="0"/>
            <w:vAlign w:val="top"/>
          </w:tcPr>
          <w:p w14:paraId="262065EE">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pacing w:val="-14"/>
                <w:sz w:val="18"/>
                <w:szCs w:val="18"/>
                <w:vertAlign w:val="baseline"/>
                <w:lang w:val="en-US" w:eastAsia="zh-CN"/>
              </w:rPr>
            </w:pPr>
            <w:r>
              <w:rPr>
                <w:rFonts w:hint="eastAsia" w:ascii="宋体" w:hAnsi="宋体" w:eastAsia="宋体" w:cs="宋体"/>
                <w:spacing w:val="-11"/>
                <w:sz w:val="18"/>
                <w:szCs w:val="18"/>
              </w:rPr>
              <w:t xml:space="preserve">参照国标 </w:t>
            </w:r>
            <w:r>
              <w:rPr>
                <w:rFonts w:hint="eastAsia" w:ascii="宋体" w:hAnsi="宋体" w:eastAsia="宋体" w:cs="宋体"/>
                <w:sz w:val="18"/>
                <w:szCs w:val="18"/>
              </w:rPr>
              <w:t>GB/T</w:t>
            </w:r>
            <w:r>
              <w:rPr>
                <w:rFonts w:hint="eastAsia" w:ascii="宋体" w:hAnsi="宋体" w:eastAsia="宋体" w:cs="宋体"/>
                <w:spacing w:val="-8"/>
                <w:sz w:val="18"/>
                <w:szCs w:val="18"/>
              </w:rPr>
              <w:t xml:space="preserve"> </w:t>
            </w:r>
            <w:r>
              <w:rPr>
                <w:rFonts w:hint="eastAsia" w:ascii="宋体" w:hAnsi="宋体" w:eastAsia="宋体" w:cs="宋体"/>
                <w:spacing w:val="-4"/>
                <w:sz w:val="18"/>
                <w:szCs w:val="18"/>
              </w:rPr>
              <w:t>5231</w:t>
            </w:r>
          </w:p>
        </w:tc>
      </w:tr>
    </w:tbl>
    <w:p w14:paraId="277056F0">
      <w:pPr>
        <w:pStyle w:val="3"/>
        <w:keepNext w:val="0"/>
        <w:keepLines w:val="0"/>
        <w:pageBreakBefore w:val="0"/>
        <w:widowControl w:val="0"/>
        <w:kinsoku/>
        <w:wordWrap/>
        <w:overflowPunct/>
        <w:topLinePunct w:val="0"/>
        <w:autoSpaceDE/>
        <w:autoSpaceDN/>
        <w:bidi w:val="0"/>
        <w:adjustRightInd/>
        <w:snapToGrid/>
        <w:spacing w:after="0" w:line="360" w:lineRule="auto"/>
        <w:ind w:firstLine="42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确定依据：参考GB/T 5231《加工铜及铜合金牌号和化学成分》，并结合均热板高温烧结工艺对杂质含量的特殊要求确定。氧含量、磷含量等杂质过高会导致高温烧结后材料表面起泡、晶界开裂。</w:t>
      </w:r>
    </w:p>
    <w:p w14:paraId="156540DE">
      <w:pPr>
        <w:pStyle w:val="3"/>
        <w:keepNext w:val="0"/>
        <w:keepLines w:val="0"/>
        <w:pageBreakBefore w:val="0"/>
        <w:widowControl w:val="0"/>
        <w:kinsoku/>
        <w:wordWrap/>
        <w:overflowPunct/>
        <w:topLinePunct w:val="0"/>
        <w:autoSpaceDE/>
        <w:autoSpaceDN/>
        <w:bidi w:val="0"/>
        <w:adjustRightInd/>
        <w:snapToGrid/>
        <w:spacing w:after="0" w:line="360" w:lineRule="auto"/>
        <w:ind w:firstLine="42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（4）力学性能</w:t>
      </w:r>
    </w:p>
    <w:p w14:paraId="5F93BAFD">
      <w:pPr>
        <w:pStyle w:val="3"/>
        <w:keepNext w:val="0"/>
        <w:keepLines w:val="0"/>
        <w:pageBreakBefore w:val="0"/>
        <w:widowControl w:val="0"/>
        <w:kinsoku/>
        <w:wordWrap/>
        <w:overflowPunct/>
        <w:topLinePunct w:val="0"/>
        <w:autoSpaceDE/>
        <w:autoSpaceDN/>
        <w:bidi w:val="0"/>
        <w:adjustRightInd/>
        <w:snapToGrid/>
        <w:spacing w:after="0" w:line="360" w:lineRule="auto"/>
        <w:ind w:firstLine="42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分别规定了原材力学性能和850℃/2h高温煅烧后力学性能，包括抗拉强度、延伸率、维氏硬度等指标。</w:t>
      </w:r>
    </w:p>
    <w:p w14:paraId="72B1112B">
      <w:pPr>
        <w:pStyle w:val="3"/>
        <w:keepNext w:val="0"/>
        <w:keepLines w:val="0"/>
        <w:pageBreakBefore w:val="0"/>
        <w:widowControl w:val="0"/>
        <w:kinsoku/>
        <w:wordWrap/>
        <w:overflowPunct/>
        <w:topLinePunct w:val="0"/>
        <w:autoSpaceDE/>
        <w:autoSpaceDN/>
        <w:bidi w:val="0"/>
        <w:adjustRightInd/>
        <w:snapToGrid/>
        <w:spacing w:after="0" w:line="360" w:lineRule="auto"/>
        <w:ind w:firstLine="42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确定依据：基于项目组对多种工艺路径下产品性能的系统测试数据，并结合下游用户的批量验证结果确定。</w:t>
      </w:r>
    </w:p>
    <w:p w14:paraId="3B06FEB4">
      <w:pPr>
        <w:pStyle w:val="3"/>
        <w:keepNext w:val="0"/>
        <w:keepLines w:val="0"/>
        <w:pageBreakBefore w:val="0"/>
        <w:widowControl w:val="0"/>
        <w:kinsoku/>
        <w:wordWrap/>
        <w:overflowPunct/>
        <w:topLinePunct w:val="0"/>
        <w:autoSpaceDE/>
        <w:autoSpaceDN/>
        <w:bidi w:val="0"/>
        <w:adjustRightInd/>
        <w:snapToGrid/>
        <w:spacing w:after="0" w:line="360" w:lineRule="auto"/>
        <w:ind w:firstLine="42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（5）电性能</w:t>
      </w:r>
    </w:p>
    <w:p w14:paraId="5F15B37A">
      <w:pPr>
        <w:pStyle w:val="3"/>
        <w:keepNext w:val="0"/>
        <w:keepLines w:val="0"/>
        <w:pageBreakBefore w:val="0"/>
        <w:widowControl w:val="0"/>
        <w:kinsoku/>
        <w:wordWrap/>
        <w:overflowPunct/>
        <w:topLinePunct w:val="0"/>
        <w:autoSpaceDE/>
        <w:autoSpaceDN/>
        <w:bidi w:val="0"/>
        <w:adjustRightInd/>
        <w:snapToGrid/>
        <w:spacing w:after="0" w:line="360" w:lineRule="auto"/>
        <w:ind w:firstLine="42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分别规定了原材电性能和高温煅烧后电性能，包括导电率（%IACS）和电阻系数。</w:t>
      </w:r>
    </w:p>
    <w:p w14:paraId="768186B4">
      <w:pPr>
        <w:pStyle w:val="3"/>
        <w:keepNext w:val="0"/>
        <w:keepLines w:val="0"/>
        <w:pageBreakBefore w:val="0"/>
        <w:widowControl w:val="0"/>
        <w:kinsoku/>
        <w:wordWrap/>
        <w:overflowPunct/>
        <w:topLinePunct w:val="0"/>
        <w:autoSpaceDE/>
        <w:autoSpaceDN/>
        <w:bidi w:val="0"/>
        <w:adjustRightInd/>
        <w:snapToGrid/>
        <w:spacing w:after="0" w:line="360" w:lineRule="auto"/>
        <w:ind w:firstLine="42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确定依据：TU1原材导电率≥100%IACS，TU2原材导电率≥99%IACS，满足均热板对高导热性能的要求。</w:t>
      </w:r>
    </w:p>
    <w:p w14:paraId="41C932F0">
      <w:pPr>
        <w:pStyle w:val="3"/>
        <w:keepNext w:val="0"/>
        <w:keepLines w:val="0"/>
        <w:pageBreakBefore w:val="0"/>
        <w:widowControl w:val="0"/>
        <w:kinsoku/>
        <w:wordWrap/>
        <w:overflowPunct/>
        <w:topLinePunct w:val="0"/>
        <w:autoSpaceDE/>
        <w:autoSpaceDN/>
        <w:bidi w:val="0"/>
        <w:adjustRightInd/>
        <w:snapToGrid/>
        <w:spacing w:after="0" w:line="360" w:lineRule="auto"/>
        <w:ind w:firstLine="42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（6）晶粒度</w:t>
      </w:r>
    </w:p>
    <w:p w14:paraId="0B00B785">
      <w:pPr>
        <w:pStyle w:val="3"/>
        <w:keepNext w:val="0"/>
        <w:keepLines w:val="0"/>
        <w:pageBreakBefore w:val="0"/>
        <w:widowControl w:val="0"/>
        <w:kinsoku/>
        <w:wordWrap/>
        <w:overflowPunct/>
        <w:topLinePunct w:val="0"/>
        <w:autoSpaceDE/>
        <w:autoSpaceDN/>
        <w:bidi w:val="0"/>
        <w:adjustRightInd/>
        <w:snapToGrid/>
        <w:spacing w:after="0" w:line="360" w:lineRule="auto"/>
        <w:ind w:firstLine="42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分别规定了原材晶粒度和高温煅烧后晶粒度。原材晶粒度：软化退火态0.02-0.05mm；半硬态＜0.02mm；硬态＜0.01mm。高温煅烧后晶粒度：＜铜带厚度/2。</w:t>
      </w:r>
    </w:p>
    <w:p w14:paraId="0EF0A097">
      <w:pPr>
        <w:pStyle w:val="3"/>
        <w:keepNext w:val="0"/>
        <w:keepLines w:val="0"/>
        <w:pageBreakBefore w:val="0"/>
        <w:widowControl w:val="0"/>
        <w:kinsoku/>
        <w:wordWrap/>
        <w:overflowPunct/>
        <w:topLinePunct w:val="0"/>
        <w:autoSpaceDE/>
        <w:autoSpaceDN/>
        <w:bidi w:val="0"/>
        <w:adjustRightInd/>
        <w:snapToGrid/>
        <w:spacing w:after="0" w:line="360" w:lineRule="auto"/>
        <w:ind w:firstLine="42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确定依据：晶粒度控制是防止高温烧结后晶界开裂、确保材料气密性的关键。项目组大量试验表明，晶粒尺寸控制在20-50μm范围内更有利于防止高温煅烧后出现晶界裂纹。</w:t>
      </w:r>
    </w:p>
    <w:p w14:paraId="7A2B6EDD">
      <w:pPr>
        <w:pStyle w:val="3"/>
        <w:keepNext w:val="0"/>
        <w:keepLines w:val="0"/>
        <w:pageBreakBefore w:val="0"/>
        <w:widowControl w:val="0"/>
        <w:kinsoku/>
        <w:wordWrap/>
        <w:overflowPunct/>
        <w:topLinePunct w:val="0"/>
        <w:autoSpaceDE/>
        <w:autoSpaceDN/>
        <w:bidi w:val="0"/>
        <w:adjustRightInd/>
        <w:snapToGrid/>
        <w:spacing w:after="0" w:line="360" w:lineRule="auto"/>
        <w:ind w:firstLine="420"/>
        <w:textAlignment w:val="auto"/>
        <w:rPr>
          <w:rFonts w:hint="default"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（7）气密性检测</w:t>
      </w:r>
    </w:p>
    <w:p w14:paraId="74D885DD">
      <w:pPr>
        <w:pStyle w:val="3"/>
        <w:keepNext w:val="0"/>
        <w:keepLines w:val="0"/>
        <w:pageBreakBefore w:val="0"/>
        <w:widowControl w:val="0"/>
        <w:kinsoku/>
        <w:wordWrap/>
        <w:overflowPunct/>
        <w:topLinePunct w:val="0"/>
        <w:autoSpaceDE/>
        <w:autoSpaceDN/>
        <w:bidi w:val="0"/>
        <w:adjustRightInd/>
        <w:snapToGrid/>
        <w:spacing w:after="0" w:line="360" w:lineRule="auto"/>
        <w:ind w:firstLine="42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规定产品经850℃/2h高温煅烧后仍能保证优良气密性，并建立了相应的气密性检测方法，即采用两块铜带与充气管焊接形成密合容器，充入0.4MPa压力空气后放入水中观察。</w:t>
      </w:r>
    </w:p>
    <w:p w14:paraId="21F2D418">
      <w:pPr>
        <w:pStyle w:val="3"/>
        <w:keepNext w:val="0"/>
        <w:keepLines w:val="0"/>
        <w:pageBreakBefore w:val="0"/>
        <w:widowControl w:val="0"/>
        <w:kinsoku/>
        <w:wordWrap/>
        <w:overflowPunct/>
        <w:topLinePunct w:val="0"/>
        <w:autoSpaceDE/>
        <w:autoSpaceDN/>
        <w:bidi w:val="0"/>
        <w:adjustRightInd/>
        <w:snapToGrid/>
        <w:spacing w:after="0" w:line="360" w:lineRule="auto"/>
        <w:ind w:firstLine="42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确定依据：气密性是均热板的决定性质量指标，直接关系到散热器的真空寿命和使用可靠性。</w:t>
      </w:r>
    </w:p>
    <w:p w14:paraId="075EFE8C">
      <w:pPr>
        <w:pStyle w:val="8"/>
        <w:keepNext w:val="0"/>
        <w:keepLines w:val="0"/>
        <w:pageBreakBefore w:val="0"/>
        <w:numPr>
          <w:ilvl w:val="0"/>
          <w:numId w:val="2"/>
        </w:numPr>
        <w:kinsoku/>
        <w:wordWrap/>
        <w:overflowPunct/>
        <w:topLinePunct w:val="0"/>
        <w:autoSpaceDE/>
        <w:autoSpaceDN/>
        <w:bidi w:val="0"/>
        <w:adjustRightInd/>
        <w:snapToGrid/>
        <w:spacing w:before="0" w:beforeAutospacing="0" w:after="0" w:afterAutospacing="0" w:line="440" w:lineRule="exact"/>
        <w:jc w:val="both"/>
        <w:textAlignment w:val="auto"/>
        <w:rPr>
          <w:rFonts w:hint="eastAsia" w:ascii="黑体" w:eastAsia="黑体" w:cs="Arial"/>
          <w:color w:val="auto"/>
          <w:sz w:val="21"/>
          <w:szCs w:val="21"/>
          <w:lang w:val="en-US" w:eastAsia="zh-CN"/>
        </w:rPr>
      </w:pPr>
      <w:r>
        <w:rPr>
          <w:rFonts w:hint="eastAsia" w:ascii="黑体" w:eastAsia="黑体" w:cs="Arial"/>
          <w:color w:val="auto"/>
          <w:sz w:val="21"/>
          <w:szCs w:val="21"/>
          <w:lang w:val="en-US" w:eastAsia="zh-CN"/>
        </w:rPr>
        <w:t>试验验证分析、综述报告、技术经济论证、预期达到的经济效益、社会效益和生态效益</w:t>
      </w:r>
    </w:p>
    <w:p w14:paraId="178BE281">
      <w:pPr>
        <w:pStyle w:val="8"/>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40" w:lineRule="exact"/>
        <w:jc w:val="both"/>
        <w:textAlignment w:val="auto"/>
        <w:rPr>
          <w:rFonts w:hint="default" w:ascii="黑体" w:eastAsia="黑体" w:cs="Arial"/>
          <w:color w:val="auto"/>
          <w:sz w:val="21"/>
          <w:szCs w:val="21"/>
          <w:lang w:val="en-US" w:eastAsia="zh-CN"/>
        </w:rPr>
      </w:pPr>
      <w:r>
        <w:rPr>
          <w:rFonts w:hint="eastAsia" w:ascii="黑体" w:eastAsia="黑体" w:cs="Arial"/>
          <w:color w:val="auto"/>
          <w:sz w:val="21"/>
          <w:szCs w:val="21"/>
          <w:lang w:val="en-US" w:eastAsia="zh-CN"/>
        </w:rPr>
        <w:t>1、试验验证分析和综述报告</w:t>
      </w:r>
    </w:p>
    <w:p w14:paraId="522A9624">
      <w:pPr>
        <w:pStyle w:val="3"/>
        <w:numPr>
          <w:ilvl w:val="0"/>
          <w:numId w:val="3"/>
        </w:numPr>
        <w:rPr>
          <w:rFonts w:hint="eastAsia" w:ascii="黑体" w:hAnsi="宋体" w:eastAsia="黑体" w:cs="宋体"/>
          <w:bCs/>
          <w:color w:val="auto"/>
          <w:sz w:val="21"/>
          <w:szCs w:val="21"/>
          <w:lang w:val="en-US" w:eastAsia="zh-CN"/>
        </w:rPr>
      </w:pPr>
      <w:r>
        <w:rPr>
          <w:rFonts w:hint="eastAsia" w:ascii="黑体" w:hAnsi="宋体" w:eastAsia="黑体" w:cs="宋体"/>
          <w:bCs/>
          <w:color w:val="auto"/>
          <w:sz w:val="21"/>
          <w:szCs w:val="21"/>
          <w:lang w:val="en-US" w:eastAsia="zh-CN"/>
        </w:rPr>
        <w:t>项目的必要性阐述</w:t>
      </w:r>
    </w:p>
    <w:p w14:paraId="35A037BA">
      <w:pPr>
        <w:pStyle w:val="3"/>
        <w:numPr>
          <w:ilvl w:val="0"/>
          <w:numId w:val="0"/>
        </w:numPr>
        <w:spacing w:line="360" w:lineRule="auto"/>
        <w:ind w:firstLine="420"/>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随着5G、人工智能、高性能计算等技术的飞速发展，电子设备热流密度急剧攀升，均热板（Vapor Chamber）作为高端散热的核心部件，市场需求迅猛增长。其核心制造材料——无氧铜带，需经历850℃以上的高温烧结工艺，这对材料的高温稳定性提出了极致要求。然而，当前我国标准体系存在显著空白。现有标准“应用错位”：国家标准GB/T 2059-2017《铜及铜合金带材》、行业标准YS/T 1517-2022《细晶无氧铜带箔材》等，均仅规定材料的出厂态性能，完全无法评价和保证其在关键烧结工艺后的性能，与均热板的实际应用场景严重脱节。行业陷入“质量误区”：由于缺乏专用标准，下游客户被迫片面采用“导电率”单一指标来推测材料纯度与烧结可靠性，忽略了晶粒度、织构、抗软化性等关键因素，导致质量管控失准，行业良率与产品可靠性提升遭遇瓶颈。</w:t>
      </w:r>
    </w:p>
    <w:p w14:paraId="1AD299EF">
      <w:pPr>
        <w:pStyle w:val="3"/>
        <w:numPr>
          <w:ilvl w:val="0"/>
          <w:numId w:val="0"/>
        </w:numPr>
        <w:spacing w:line="360" w:lineRule="auto"/>
        <w:ind w:firstLine="420"/>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因此，制定本标准是打通“材料-工艺-产品”产业链条、解决行业痛点、推动我国高端散热产业迈向高质量发展的迫切需求。</w:t>
      </w:r>
    </w:p>
    <w:p w14:paraId="33419AC2">
      <w:pPr>
        <w:pStyle w:val="3"/>
        <w:numPr>
          <w:ilvl w:val="0"/>
          <w:numId w:val="3"/>
        </w:numPr>
        <w:rPr>
          <w:rFonts w:hint="default" w:ascii="黑体" w:hAnsi="宋体" w:eastAsia="黑体" w:cs="宋体"/>
          <w:bCs/>
          <w:color w:val="auto"/>
          <w:sz w:val="21"/>
          <w:szCs w:val="21"/>
          <w:lang w:val="en-US" w:eastAsia="zh-CN"/>
        </w:rPr>
      </w:pPr>
      <w:r>
        <w:rPr>
          <w:rFonts w:hint="eastAsia" w:ascii="黑体" w:hAnsi="宋体" w:eastAsia="黑体" w:cs="宋体"/>
          <w:bCs/>
          <w:color w:val="auto"/>
          <w:sz w:val="21"/>
          <w:szCs w:val="21"/>
          <w:lang w:val="en-US" w:eastAsia="zh-CN"/>
        </w:rPr>
        <w:t>项目的可行性阐述</w:t>
      </w:r>
    </w:p>
    <w:p w14:paraId="4571C171">
      <w:pPr>
        <w:pStyle w:val="3"/>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项目技术成熟，基础扎实。项目团队通过长期研发与大量工艺验证，已系统掌握了均热板用紫铜带的核心质量控制技术。实验数据证明，通过精准控制晶粒取向与织构（而非单纯追求细晶），可有效解决高温烧结后的晶界裂纹、起泡、变形等行业共性难题。</w:t>
      </w:r>
    </w:p>
    <w:p w14:paraId="3D972942">
      <w:pPr>
        <w:pStyle w:val="3"/>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由江西铜业集团铜板带有限公司牵头，联合安徽众源、浙江力博、铜陵金威等国内主流铜板带生产企业及国标（北京）检验认证有限公司共同起草，代表了行业的技术水平与实践经验，能确保标准的科学性、公正性与可实施性。</w:t>
      </w:r>
    </w:p>
    <w:p w14:paraId="745C401D">
      <w:pPr>
        <w:pStyle w:val="3"/>
        <w:numPr>
          <w:ilvl w:val="0"/>
          <w:numId w:val="3"/>
        </w:numPr>
        <w:ind w:left="0" w:leftChars="0" w:firstLine="0" w:firstLineChars="0"/>
        <w:rPr>
          <w:rFonts w:hint="eastAsia" w:ascii="黑体" w:eastAsia="黑体" w:cs="Arial"/>
          <w:color w:val="auto"/>
          <w:sz w:val="21"/>
          <w:szCs w:val="21"/>
          <w:lang w:val="en-US" w:eastAsia="zh-CN"/>
        </w:rPr>
      </w:pPr>
      <w:r>
        <w:rPr>
          <w:rFonts w:hint="eastAsia" w:ascii="黑体" w:eastAsia="黑体" w:cs="Arial"/>
          <w:color w:val="auto"/>
          <w:sz w:val="21"/>
          <w:szCs w:val="21"/>
          <w:lang w:val="en-US" w:eastAsia="zh-CN"/>
        </w:rPr>
        <w:t>试验验证分析</w:t>
      </w:r>
    </w:p>
    <w:p w14:paraId="1A024C20">
      <w:pPr>
        <w:pStyle w:val="3"/>
        <w:numPr>
          <w:ilvl w:val="0"/>
          <w:numId w:val="0"/>
        </w:numPr>
        <w:spacing w:line="360" w:lineRule="auto"/>
        <w:ind w:leftChars="0" w:firstLine="420" w:firstLineChars="200"/>
        <w:rPr>
          <w:rFonts w:hint="eastAsia" w:ascii="宋体" w:hAnsi="宋体" w:eastAsiaTheme="minorEastAsia" w:cstheme="minorBidi"/>
          <w:color w:val="FF0000"/>
          <w:kern w:val="2"/>
          <w:sz w:val="21"/>
          <w:szCs w:val="21"/>
          <w:lang w:val="en-US" w:eastAsia="zh-CN" w:bidi="ar-SA"/>
        </w:rPr>
      </w:pPr>
      <w:r>
        <w:rPr>
          <w:rFonts w:hint="eastAsia" w:ascii="宋体" w:hAnsi="宋体" w:eastAsiaTheme="minorEastAsia" w:cstheme="minorBidi"/>
          <w:color w:val="FF0000"/>
          <w:kern w:val="2"/>
          <w:sz w:val="21"/>
          <w:szCs w:val="21"/>
          <w:lang w:val="en-US" w:eastAsia="zh-CN" w:bidi="ar-SA"/>
        </w:rPr>
        <w:t>针对主要内容的确定，具体说明试验结果对技术指标或实验方法的支撑情况，分析报告和综述性报告宜作为附件。产品标准各指标的确定至少有来自不同单位的一百组数据进行分析。</w:t>
      </w:r>
    </w:p>
    <w:p w14:paraId="7A8585F2">
      <w:pPr>
        <w:pStyle w:val="3"/>
        <w:numPr>
          <w:ilvl w:val="0"/>
          <w:numId w:val="3"/>
        </w:numPr>
        <w:ind w:left="0" w:leftChars="0" w:firstLine="0" w:firstLineChars="0"/>
        <w:rPr>
          <w:rFonts w:hint="eastAsia" w:ascii="黑体" w:hAnsi="宋体" w:eastAsia="黑体" w:cs="宋体"/>
          <w:bCs/>
          <w:color w:val="auto"/>
          <w:sz w:val="21"/>
          <w:szCs w:val="21"/>
          <w:lang w:val="en-US" w:eastAsia="zh-CN"/>
        </w:rPr>
      </w:pPr>
      <w:r>
        <w:rPr>
          <w:rFonts w:hint="eastAsia" w:ascii="黑体" w:hAnsi="宋体" w:eastAsia="黑体" w:cs="宋体"/>
          <w:bCs/>
          <w:color w:val="auto"/>
          <w:sz w:val="21"/>
          <w:szCs w:val="21"/>
          <w:lang w:val="en-US" w:eastAsia="zh-CN"/>
        </w:rPr>
        <w:t>标准的先进性、创新性、标准实施后预期产生的经济效益和社会效益</w:t>
      </w:r>
    </w:p>
    <w:p w14:paraId="1514DCBD">
      <w:pPr>
        <w:pStyle w:val="3"/>
        <w:keepNext w:val="0"/>
        <w:keepLines w:val="0"/>
        <w:pageBreakBefore w:val="0"/>
        <w:widowControl w:val="0"/>
        <w:numPr>
          <w:ilvl w:val="0"/>
          <w:numId w:val="0"/>
        </w:numPr>
        <w:kinsoku/>
        <w:wordWrap/>
        <w:overflowPunct/>
        <w:topLinePunct w:val="0"/>
        <w:autoSpaceDE/>
        <w:autoSpaceDN/>
        <w:bidi w:val="0"/>
        <w:adjustRightInd/>
        <w:snapToGrid/>
        <w:spacing w:after="0"/>
        <w:ind w:firstLine="422" w:firstLineChars="200"/>
        <w:textAlignment w:val="auto"/>
        <w:rPr>
          <w:rFonts w:hint="eastAsia" w:ascii="宋体" w:hAnsi="宋体" w:eastAsiaTheme="minorEastAsia" w:cstheme="minorBidi"/>
          <w:b/>
          <w:bCs/>
          <w:color w:val="auto"/>
          <w:kern w:val="2"/>
          <w:sz w:val="21"/>
          <w:szCs w:val="21"/>
          <w:lang w:val="en-US" w:eastAsia="zh-CN" w:bidi="ar-SA"/>
        </w:rPr>
      </w:pPr>
      <w:r>
        <w:rPr>
          <w:rFonts w:hint="eastAsia" w:ascii="宋体" w:hAnsi="宋体" w:eastAsiaTheme="minorEastAsia" w:cstheme="minorBidi"/>
          <w:b/>
          <w:bCs/>
          <w:color w:val="auto"/>
          <w:kern w:val="2"/>
          <w:sz w:val="21"/>
          <w:szCs w:val="21"/>
          <w:lang w:val="en-US" w:eastAsia="zh-CN" w:bidi="ar-SA"/>
        </w:rPr>
        <w:t>4.1先进性、创新性</w:t>
      </w:r>
    </w:p>
    <w:p w14:paraId="72907BF3">
      <w:pPr>
        <w:pStyle w:val="3"/>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理念创新：首创“应用场景驱动”的标准制定思路。标准技术内容不仅规定原材性能，更核心聚焦于材料经历850℃/2h模拟烧结后的性能指标（如烧结态力学性能、晶粒度、电性能、表面质量及气密性），实现了从“材料标准”到“工艺保证标准”的跨越。</w:t>
      </w:r>
    </w:p>
    <w:p w14:paraId="0F5FFA88">
      <w:pPr>
        <w:pStyle w:val="3"/>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指标创新：突破了传统标准对“细晶”的绝对化追求。根据产业化实践，科学地提出了有利于抑制高温晶界裂纹的晶粒尺寸范围（20-50μm）与取向控制要求，这是对现有铜材技术理论的重大补充与实践创新。</w:t>
      </w:r>
    </w:p>
    <w:p w14:paraId="26F1A97A">
      <w:pPr>
        <w:pStyle w:val="3"/>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方法创新：在标准中首创性地规定了“高温煅烧模拟试验方法”与“气密性检测方法”，为验证材料能否满足极端工况提供了统一的、可操作的试验依据。</w:t>
      </w:r>
    </w:p>
    <w:p w14:paraId="50AF659D">
      <w:pPr>
        <w:pStyle w:val="3"/>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2" w:firstLineChars="200"/>
        <w:textAlignment w:val="auto"/>
        <w:rPr>
          <w:rFonts w:hint="eastAsia" w:ascii="宋体" w:hAnsi="宋体" w:eastAsiaTheme="minorEastAsia" w:cstheme="minorBidi"/>
          <w:b/>
          <w:bCs/>
          <w:color w:val="auto"/>
          <w:kern w:val="2"/>
          <w:sz w:val="21"/>
          <w:szCs w:val="21"/>
          <w:lang w:val="en-US" w:eastAsia="zh-CN" w:bidi="ar-SA"/>
        </w:rPr>
      </w:pPr>
      <w:r>
        <w:rPr>
          <w:rFonts w:hint="eastAsia" w:ascii="宋体" w:hAnsi="宋体" w:eastAsiaTheme="minorEastAsia" w:cstheme="minorBidi"/>
          <w:b/>
          <w:bCs/>
          <w:color w:val="auto"/>
          <w:kern w:val="2"/>
          <w:sz w:val="21"/>
          <w:szCs w:val="21"/>
          <w:lang w:val="en-US" w:eastAsia="zh-CN" w:bidi="ar-SA"/>
        </w:rPr>
        <w:t>4.2经济效益</w:t>
      </w:r>
    </w:p>
    <w:p w14:paraId="6382ECCD">
      <w:pPr>
        <w:pStyle w:val="3"/>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标准实施后可以统一均热板散热器用无氧铜带质量标尺，减少因标准不一导致的贸易纠纷和产品退货损失，帮助下游企业提升良率，降低综合成本。</w:t>
      </w:r>
    </w:p>
    <w:p w14:paraId="3C8228E5">
      <w:pPr>
        <w:pStyle w:val="3"/>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2" w:firstLineChars="200"/>
        <w:textAlignment w:val="auto"/>
        <w:rPr>
          <w:rFonts w:hint="eastAsia" w:ascii="宋体" w:hAnsi="宋体" w:eastAsiaTheme="minorEastAsia" w:cstheme="minorBidi"/>
          <w:b/>
          <w:bCs/>
          <w:color w:val="auto"/>
          <w:kern w:val="2"/>
          <w:sz w:val="21"/>
          <w:szCs w:val="21"/>
          <w:lang w:val="en-US" w:eastAsia="zh-CN" w:bidi="ar-SA"/>
        </w:rPr>
      </w:pPr>
      <w:r>
        <w:rPr>
          <w:rFonts w:hint="eastAsia" w:ascii="宋体" w:hAnsi="宋体" w:eastAsiaTheme="minorEastAsia" w:cstheme="minorBidi"/>
          <w:b/>
          <w:bCs/>
          <w:color w:val="auto"/>
          <w:kern w:val="2"/>
          <w:sz w:val="21"/>
          <w:szCs w:val="21"/>
          <w:lang w:val="en-US" w:eastAsia="zh-CN" w:bidi="ar-SA"/>
        </w:rPr>
        <w:t>4.3社会效益</w:t>
      </w:r>
    </w:p>
    <w:p w14:paraId="5A75A6EE">
      <w:pPr>
        <w:pStyle w:val="3"/>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default"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标准发布后可以提升我国高端散热产业链的自主可控能力和整体竞争力，为电子信息、通讯设备、新能源汽车等国家战略性产业提供可靠的基础材料保障，社会效益显著。</w:t>
      </w:r>
    </w:p>
    <w:p w14:paraId="14F14ECF">
      <w:pPr>
        <w:pStyle w:val="3"/>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2" w:firstLineChars="200"/>
        <w:textAlignment w:val="auto"/>
        <w:rPr>
          <w:rFonts w:hint="eastAsia" w:ascii="宋体" w:hAnsi="宋体" w:eastAsiaTheme="minorEastAsia" w:cstheme="minorBidi"/>
          <w:b/>
          <w:bCs/>
          <w:color w:val="auto"/>
          <w:kern w:val="2"/>
          <w:sz w:val="21"/>
          <w:szCs w:val="21"/>
          <w:lang w:val="en-US" w:eastAsia="zh-CN" w:bidi="ar-SA"/>
        </w:rPr>
      </w:pPr>
      <w:r>
        <w:rPr>
          <w:rFonts w:hint="eastAsia" w:ascii="宋体" w:hAnsi="宋体" w:eastAsiaTheme="minorEastAsia" w:cstheme="minorBidi"/>
          <w:b/>
          <w:bCs/>
          <w:color w:val="auto"/>
          <w:kern w:val="2"/>
          <w:sz w:val="21"/>
          <w:szCs w:val="21"/>
          <w:lang w:val="en-US" w:eastAsia="zh-CN" w:bidi="ar-SA"/>
        </w:rPr>
        <w:t>4.4 生态效益</w:t>
      </w:r>
    </w:p>
    <w:p w14:paraId="26A48607">
      <w:pPr>
        <w:pStyle w:val="3"/>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引导行业研发与生产从追求“单一指标”转向保障“综合服役性能”，推动铜加工行业技术进步与工艺革新。</w:t>
      </w:r>
    </w:p>
    <w:p w14:paraId="73918671">
      <w:pPr>
        <w:pStyle w:val="3"/>
        <w:numPr>
          <w:ilvl w:val="0"/>
          <w:numId w:val="0"/>
        </w:numPr>
        <w:rPr>
          <w:rFonts w:hint="default" w:ascii="黑体" w:hAnsi="宋体" w:eastAsia="黑体" w:cs="宋体"/>
          <w:bCs/>
          <w:color w:val="auto"/>
          <w:sz w:val="21"/>
          <w:szCs w:val="21"/>
          <w:lang w:val="en-US"/>
        </w:rPr>
      </w:pPr>
      <w:r>
        <w:rPr>
          <w:rFonts w:hint="eastAsia" w:ascii="黑体" w:hAnsi="宋体" w:eastAsia="黑体" w:cs="宋体"/>
          <w:bCs/>
          <w:color w:val="auto"/>
          <w:sz w:val="21"/>
          <w:szCs w:val="21"/>
          <w:lang w:val="en-US" w:eastAsia="zh-CN"/>
        </w:rPr>
        <w:t>四、与国际标准和国外先进标准技术内容的对比</w:t>
      </w:r>
    </w:p>
    <w:p w14:paraId="0F49022E">
      <w:pPr>
        <w:pStyle w:val="3"/>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经检索，国际上尚未发现专门针对“均热板散热器用无氧铜带”的公开标准。</w:t>
      </w:r>
    </w:p>
    <w:p w14:paraId="384A44B5">
      <w:pPr>
        <w:keepNext w:val="0"/>
        <w:keepLines w:val="0"/>
        <w:pageBreakBefore w:val="0"/>
        <w:numPr>
          <w:ilvl w:val="0"/>
          <w:numId w:val="4"/>
        </w:numPr>
        <w:kinsoku/>
        <w:wordWrap/>
        <w:overflowPunct/>
        <w:topLinePunct w:val="0"/>
        <w:bidi w:val="0"/>
        <w:snapToGrid/>
        <w:spacing w:beforeLines="50" w:afterLines="50" w:line="440" w:lineRule="exact"/>
        <w:textAlignment w:val="auto"/>
        <w:rPr>
          <w:rFonts w:ascii="黑体" w:hAnsi="宋体" w:eastAsia="黑体" w:cs="宋体"/>
          <w:bCs/>
          <w:color w:val="auto"/>
          <w:sz w:val="21"/>
          <w:szCs w:val="21"/>
        </w:rPr>
      </w:pPr>
      <w:r>
        <w:rPr>
          <w:rFonts w:hint="eastAsia" w:ascii="黑体" w:hAnsi="宋体" w:eastAsia="黑体" w:cs="宋体"/>
          <w:bCs/>
          <w:color w:val="auto"/>
          <w:sz w:val="21"/>
          <w:szCs w:val="21"/>
          <w:lang w:val="en-US" w:eastAsia="zh-CN"/>
        </w:rPr>
        <w:t>以国际标准为基础的起草情况以及是否合规采用国际国外标准、未采用国际标准的原因</w:t>
      </w:r>
    </w:p>
    <w:p w14:paraId="4AC3BB27">
      <w:pPr>
        <w:keepNext w:val="0"/>
        <w:keepLines w:val="0"/>
        <w:pageBreakBefore w:val="0"/>
        <w:widowControl w:val="0"/>
        <w:numPr>
          <w:ilvl w:val="0"/>
          <w:numId w:val="0"/>
        </w:numPr>
        <w:kinsoku/>
        <w:wordWrap/>
        <w:overflowPunct/>
        <w:topLinePunct w:val="0"/>
        <w:bidi w:val="0"/>
        <w:snapToGrid/>
        <w:spacing w:beforeLines="50" w:afterLines="50" w:line="440" w:lineRule="exact"/>
        <w:jc w:val="both"/>
        <w:textAlignment w:val="auto"/>
        <w:rPr>
          <w:rFonts w:hint="default" w:ascii="宋体" w:hAnsi="宋体" w:eastAsiaTheme="minorEastAsia" w:cstheme="minorBidi"/>
          <w:color w:val="auto"/>
          <w:kern w:val="2"/>
          <w:sz w:val="21"/>
          <w:szCs w:val="21"/>
          <w:lang w:val="en-US" w:eastAsia="zh-CN" w:bidi="ar-SA"/>
        </w:rPr>
      </w:pPr>
      <w:r>
        <w:rPr>
          <w:rFonts w:hint="eastAsia" w:ascii="黑体" w:hAnsi="宋体" w:eastAsia="黑体" w:cs="宋体"/>
          <w:bCs/>
          <w:color w:val="auto"/>
          <w:sz w:val="21"/>
          <w:szCs w:val="21"/>
          <w:lang w:val="en-US" w:eastAsia="zh-CN"/>
        </w:rPr>
        <w:t xml:space="preserve">    </w:t>
      </w:r>
      <w:r>
        <w:rPr>
          <w:rFonts w:hint="eastAsia" w:ascii="宋体" w:hAnsi="宋体" w:eastAsiaTheme="minorEastAsia" w:cstheme="minorBidi"/>
          <w:color w:val="auto"/>
          <w:kern w:val="2"/>
          <w:sz w:val="21"/>
          <w:szCs w:val="21"/>
          <w:lang w:val="en-US" w:eastAsia="zh-CN" w:bidi="ar-SA"/>
        </w:rPr>
        <w:t>本标准为自主制定，不采用国际标准。</w:t>
      </w:r>
    </w:p>
    <w:p w14:paraId="5EDE5AA9">
      <w:pPr>
        <w:keepNext w:val="0"/>
        <w:keepLines w:val="0"/>
        <w:pageBreakBefore w:val="0"/>
        <w:numPr>
          <w:ilvl w:val="0"/>
          <w:numId w:val="4"/>
        </w:numPr>
        <w:kinsoku/>
        <w:wordWrap/>
        <w:overflowPunct/>
        <w:topLinePunct w:val="0"/>
        <w:bidi w:val="0"/>
        <w:snapToGrid/>
        <w:spacing w:beforeLines="50" w:afterLines="50" w:line="440" w:lineRule="exact"/>
        <w:textAlignment w:val="auto"/>
        <w:rPr>
          <w:rFonts w:ascii="黑体" w:hAnsi="宋体" w:eastAsia="黑体" w:cs="宋体"/>
          <w:bCs/>
          <w:color w:val="auto"/>
          <w:sz w:val="21"/>
          <w:szCs w:val="21"/>
        </w:rPr>
      </w:pPr>
      <w:r>
        <w:rPr>
          <w:rFonts w:hint="eastAsia" w:ascii="黑体" w:hAnsi="宋体" w:eastAsia="黑体" w:cs="宋体"/>
          <w:bCs/>
          <w:color w:val="auto"/>
          <w:sz w:val="21"/>
          <w:szCs w:val="21"/>
        </w:rPr>
        <w:t>与</w:t>
      </w:r>
      <w:r>
        <w:rPr>
          <w:rFonts w:hint="eastAsia" w:ascii="黑体" w:hAnsi="宋体" w:eastAsia="黑体" w:cs="宋体"/>
          <w:bCs/>
          <w:color w:val="auto"/>
          <w:sz w:val="21"/>
          <w:szCs w:val="21"/>
          <w:lang w:val="en-US" w:eastAsia="zh-CN"/>
        </w:rPr>
        <w:t>有关</w:t>
      </w:r>
      <w:r>
        <w:rPr>
          <w:rFonts w:hint="eastAsia" w:ascii="黑体" w:hAnsi="宋体" w:eastAsia="黑体" w:cs="宋体"/>
          <w:bCs/>
          <w:color w:val="auto"/>
          <w:sz w:val="21"/>
          <w:szCs w:val="21"/>
        </w:rPr>
        <w:t>法律、</w:t>
      </w:r>
      <w:r>
        <w:rPr>
          <w:rFonts w:hint="eastAsia" w:ascii="黑体" w:hAnsi="宋体" w:eastAsia="黑体" w:cs="宋体"/>
          <w:bCs/>
          <w:color w:val="auto"/>
          <w:sz w:val="21"/>
          <w:szCs w:val="21"/>
          <w:lang w:val="en-US" w:eastAsia="zh-CN"/>
        </w:rPr>
        <w:t>行政</w:t>
      </w:r>
      <w:r>
        <w:rPr>
          <w:rFonts w:hint="eastAsia" w:ascii="黑体" w:hAnsi="宋体" w:eastAsia="黑体" w:cs="宋体"/>
          <w:bCs/>
          <w:color w:val="auto"/>
          <w:sz w:val="21"/>
          <w:szCs w:val="21"/>
        </w:rPr>
        <w:t>法规及相关标准</w:t>
      </w:r>
      <w:r>
        <w:rPr>
          <w:rFonts w:hint="eastAsia" w:ascii="黑体" w:hAnsi="宋体" w:eastAsia="黑体" w:cs="宋体"/>
          <w:bCs/>
          <w:color w:val="auto"/>
          <w:sz w:val="21"/>
          <w:szCs w:val="21"/>
          <w:lang w:val="en-US" w:eastAsia="zh-CN"/>
        </w:rPr>
        <w:t>的关系</w:t>
      </w:r>
    </w:p>
    <w:p w14:paraId="2AEDC8AA">
      <w:pPr>
        <w:keepNext w:val="0"/>
        <w:keepLines w:val="0"/>
        <w:pageBreakBefore w:val="0"/>
        <w:kinsoku/>
        <w:wordWrap/>
        <w:overflowPunct/>
        <w:topLinePunct w:val="0"/>
        <w:bidi w:val="0"/>
        <w:snapToGrid/>
        <w:spacing w:line="440" w:lineRule="exact"/>
        <w:ind w:firstLine="420" w:firstLineChars="200"/>
        <w:textAlignment w:val="auto"/>
        <w:rPr>
          <w:rFonts w:hint="eastAsia"/>
          <w:color w:val="auto"/>
          <w:sz w:val="21"/>
          <w:szCs w:val="21"/>
          <w:lang w:val="en-US" w:eastAsia="zh-CN"/>
        </w:rPr>
      </w:pPr>
      <w:r>
        <w:rPr>
          <w:rFonts w:hint="eastAsia"/>
          <w:color w:val="auto"/>
          <w:sz w:val="21"/>
          <w:szCs w:val="21"/>
          <w:lang w:val="en-US" w:eastAsia="zh-CN"/>
        </w:rPr>
        <w:t>本标准符合《中华人民共和国标准化法》《中华人民共和国产品质量法》等相关法律法规的要求，与现行强制性国家标准（如GB/T 21350-2023《铜及铜合金加工材单位产品能源消耗限额》等）协调一致，无冲突。</w:t>
      </w:r>
    </w:p>
    <w:p w14:paraId="6E528D9E">
      <w:pPr>
        <w:keepNext w:val="0"/>
        <w:keepLines w:val="0"/>
        <w:pageBreakBefore w:val="0"/>
        <w:kinsoku/>
        <w:wordWrap/>
        <w:overflowPunct/>
        <w:topLinePunct w:val="0"/>
        <w:bidi w:val="0"/>
        <w:snapToGrid/>
        <w:spacing w:line="440" w:lineRule="exact"/>
        <w:ind w:firstLine="420" w:firstLineChars="200"/>
        <w:textAlignment w:val="auto"/>
        <w:rPr>
          <w:rFonts w:ascii="宋体" w:hAnsi="宋体"/>
          <w:color w:val="auto"/>
          <w:sz w:val="21"/>
          <w:szCs w:val="21"/>
        </w:rPr>
      </w:pPr>
      <w:r>
        <w:rPr>
          <w:rFonts w:hint="eastAsia"/>
          <w:color w:val="auto"/>
          <w:sz w:val="21"/>
          <w:szCs w:val="21"/>
          <w:lang w:val="en-US" w:eastAsia="zh-CN"/>
        </w:rPr>
        <w:t>本标准引用了GB/T 2059、GB/T 228.1、GB/T 4340.1、GB/T 5121、GB/T 8888等多项现行国家标准作为检测方法依据，与现有标准体系形成协调配套关系。</w:t>
      </w:r>
    </w:p>
    <w:p w14:paraId="64DA2FDF">
      <w:pPr>
        <w:keepNext w:val="0"/>
        <w:keepLines w:val="0"/>
        <w:pageBreakBefore w:val="0"/>
        <w:numPr>
          <w:ilvl w:val="0"/>
          <w:numId w:val="4"/>
        </w:numPr>
        <w:kinsoku/>
        <w:wordWrap/>
        <w:overflowPunct/>
        <w:topLinePunct w:val="0"/>
        <w:bidi w:val="0"/>
        <w:snapToGrid/>
        <w:spacing w:beforeLines="50" w:afterLines="50" w:line="440" w:lineRule="exact"/>
        <w:ind w:left="0" w:leftChars="0" w:firstLine="0" w:firstLineChars="0"/>
        <w:textAlignment w:val="auto"/>
        <w:rPr>
          <w:rFonts w:hint="eastAsia"/>
          <w:lang w:val="en-US" w:eastAsia="zh-CN"/>
        </w:rPr>
      </w:pPr>
      <w:bookmarkStart w:id="5" w:name="_Toc32100"/>
      <w:r>
        <w:rPr>
          <w:rFonts w:hint="eastAsia" w:ascii="黑体" w:hAnsi="宋体" w:eastAsia="黑体" w:cs="宋体"/>
          <w:bCs/>
          <w:color w:val="auto"/>
          <w:sz w:val="21"/>
          <w:szCs w:val="21"/>
          <w:lang w:val="en-US" w:eastAsia="zh-CN"/>
        </w:rPr>
        <w:t>重大分歧意见的处理经过和依据</w:t>
      </w:r>
    </w:p>
    <w:p w14:paraId="27C01A9E">
      <w:pPr>
        <w:keepNext w:val="0"/>
        <w:keepLines w:val="0"/>
        <w:pageBreakBefore w:val="0"/>
        <w:kinsoku/>
        <w:wordWrap/>
        <w:overflowPunct/>
        <w:topLinePunct w:val="0"/>
        <w:bidi w:val="0"/>
        <w:snapToGrid/>
        <w:spacing w:line="440" w:lineRule="exact"/>
        <w:ind w:firstLine="420" w:firstLineChars="200"/>
        <w:textAlignment w:val="auto"/>
        <w:rPr>
          <w:rFonts w:hint="eastAsia" w:ascii="宋体" w:hAnsi="宋体" w:eastAsiaTheme="minorEastAsia"/>
          <w:color w:val="auto"/>
          <w:sz w:val="21"/>
          <w:szCs w:val="21"/>
          <w:lang w:eastAsia="zh-CN"/>
        </w:rPr>
      </w:pPr>
      <w:r>
        <w:rPr>
          <w:rFonts w:hint="eastAsia" w:ascii="宋体" w:hAnsi="宋体"/>
          <w:color w:val="auto"/>
          <w:sz w:val="21"/>
          <w:szCs w:val="21"/>
        </w:rPr>
        <w:t>暂无。</w:t>
      </w:r>
    </w:p>
    <w:p w14:paraId="6F080003">
      <w:pPr>
        <w:pStyle w:val="3"/>
        <w:rPr>
          <w:rFonts w:hint="eastAsia"/>
          <w:lang w:val="en-US" w:eastAsia="zh-CN"/>
        </w:rPr>
      </w:pPr>
    </w:p>
    <w:p w14:paraId="71C50F35">
      <w:pPr>
        <w:keepNext w:val="0"/>
        <w:keepLines w:val="0"/>
        <w:pageBreakBefore w:val="0"/>
        <w:numPr>
          <w:ilvl w:val="0"/>
          <w:numId w:val="0"/>
        </w:numPr>
        <w:kinsoku/>
        <w:wordWrap/>
        <w:overflowPunct/>
        <w:topLinePunct w:val="0"/>
        <w:bidi w:val="0"/>
        <w:snapToGrid/>
        <w:spacing w:beforeLines="50" w:afterLines="50" w:line="440" w:lineRule="exact"/>
        <w:ind w:leftChars="0"/>
        <w:textAlignment w:val="auto"/>
        <w:rPr>
          <w:rFonts w:hint="default" w:ascii="黑体" w:hAnsi="宋体" w:eastAsia="黑体" w:cs="宋体"/>
          <w:bCs/>
          <w:color w:val="auto"/>
          <w:sz w:val="21"/>
          <w:szCs w:val="21"/>
          <w:lang w:val="en-US" w:eastAsia="zh-CN"/>
        </w:rPr>
      </w:pPr>
      <w:r>
        <w:rPr>
          <w:rFonts w:hint="eastAsia" w:ascii="黑体" w:hAnsi="宋体" w:eastAsia="黑体" w:cs="宋体"/>
          <w:bCs/>
          <w:color w:val="auto"/>
          <w:sz w:val="21"/>
          <w:szCs w:val="21"/>
          <w:lang w:val="en-US" w:eastAsia="zh-CN"/>
        </w:rPr>
        <w:t>八、涉及专利的有关说明</w:t>
      </w:r>
    </w:p>
    <w:p w14:paraId="5D347207">
      <w:pPr>
        <w:pStyle w:val="3"/>
        <w:ind w:firstLine="420" w:firstLineChars="200"/>
        <w:rPr>
          <w:rFonts w:hint="default"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本标准不涉及专利问题。</w:t>
      </w:r>
    </w:p>
    <w:bookmarkEnd w:id="5"/>
    <w:p w14:paraId="108A9374">
      <w:pPr>
        <w:keepNext w:val="0"/>
        <w:keepLines w:val="0"/>
        <w:pageBreakBefore w:val="0"/>
        <w:kinsoku/>
        <w:wordWrap/>
        <w:overflowPunct/>
        <w:topLinePunct w:val="0"/>
        <w:bidi w:val="0"/>
        <w:snapToGrid/>
        <w:spacing w:beforeLines="50" w:afterLines="50" w:line="440" w:lineRule="exact"/>
        <w:textAlignment w:val="auto"/>
        <w:rPr>
          <w:rFonts w:ascii="黑体" w:hAnsi="宋体" w:eastAsia="黑体" w:cs="宋体"/>
          <w:bCs/>
          <w:color w:val="auto"/>
          <w:sz w:val="21"/>
          <w:szCs w:val="21"/>
        </w:rPr>
      </w:pPr>
      <w:bookmarkStart w:id="6" w:name="_Toc15989"/>
      <w:r>
        <w:rPr>
          <w:rFonts w:hint="eastAsia" w:ascii="黑体" w:hAnsi="宋体" w:eastAsia="黑体" w:cs="宋体"/>
          <w:bCs/>
          <w:color w:val="auto"/>
          <w:sz w:val="21"/>
          <w:szCs w:val="21"/>
          <w:lang w:val="en-US" w:eastAsia="zh-CN"/>
        </w:rPr>
        <w:t>九</w:t>
      </w:r>
      <w:r>
        <w:rPr>
          <w:rFonts w:hint="eastAsia" w:ascii="黑体" w:hAnsi="宋体" w:eastAsia="黑体" w:cs="宋体"/>
          <w:bCs/>
          <w:color w:val="auto"/>
          <w:sz w:val="21"/>
          <w:szCs w:val="21"/>
        </w:rPr>
        <w:t>、</w:t>
      </w:r>
      <w:r>
        <w:rPr>
          <w:rFonts w:hint="eastAsia" w:ascii="黑体" w:hAnsi="宋体" w:eastAsia="黑体" w:cs="宋体"/>
          <w:bCs/>
          <w:color w:val="auto"/>
          <w:sz w:val="21"/>
          <w:szCs w:val="21"/>
          <w:lang w:val="en-US" w:eastAsia="zh-CN"/>
        </w:rPr>
        <w:t>实施国家标准的要求以及组织措施、技术措施、过渡期和实施日期的建议等措施建议</w:t>
      </w:r>
      <w:bookmarkEnd w:id="6"/>
    </w:p>
    <w:p w14:paraId="4555D66C">
      <w:pPr>
        <w:keepNext w:val="0"/>
        <w:keepLines w:val="0"/>
        <w:pageBreakBefore w:val="0"/>
        <w:kinsoku/>
        <w:wordWrap/>
        <w:overflowPunct/>
        <w:topLinePunct w:val="0"/>
        <w:bidi w:val="0"/>
        <w:snapToGrid/>
        <w:spacing w:line="440" w:lineRule="exact"/>
        <w:ind w:firstLine="420" w:firstLineChars="20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本标准建议作为推荐性</w:t>
      </w:r>
      <w:r>
        <w:rPr>
          <w:rFonts w:hint="eastAsia" w:ascii="宋体" w:hAnsi="宋体" w:eastAsia="宋体" w:cs="宋体"/>
          <w:color w:val="auto"/>
          <w:sz w:val="21"/>
          <w:szCs w:val="21"/>
          <w:lang w:val="en-US" w:eastAsia="zh-CN"/>
        </w:rPr>
        <w:t>国家</w:t>
      </w:r>
      <w:r>
        <w:rPr>
          <w:rFonts w:hint="eastAsia" w:ascii="宋体" w:hAnsi="宋体" w:eastAsia="宋体" w:cs="宋体"/>
          <w:color w:val="auto"/>
          <w:sz w:val="21"/>
          <w:szCs w:val="21"/>
        </w:rPr>
        <w:t>标准发布。</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要有原因</w:t>
      </w:r>
      <w:r>
        <w:rPr>
          <w:rFonts w:hint="eastAsia" w:ascii="宋体" w:hAnsi="宋体" w:eastAsia="宋体" w:cs="宋体"/>
          <w:color w:val="auto"/>
          <w:sz w:val="21"/>
          <w:szCs w:val="21"/>
          <w:lang w:eastAsia="zh-CN"/>
        </w:rPr>
        <w:t>】</w:t>
      </w:r>
      <w:bookmarkStart w:id="7" w:name="_Toc15588"/>
    </w:p>
    <w:p w14:paraId="3EFCC7AB">
      <w:pPr>
        <w:keepNext w:val="0"/>
        <w:keepLines w:val="0"/>
        <w:pageBreakBefore w:val="0"/>
        <w:kinsoku/>
        <w:wordWrap/>
        <w:overflowPunct/>
        <w:topLinePunct w:val="0"/>
        <w:bidi w:val="0"/>
        <w:snapToGrid/>
        <w:spacing w:line="440" w:lineRule="exact"/>
        <w:ind w:firstLine="420" w:firstLineChars="200"/>
        <w:textAlignment w:val="auto"/>
        <w:rPr>
          <w:rFonts w:ascii="黑体" w:hAnsi="宋体" w:eastAsia="黑体" w:cs="宋体"/>
          <w:bCs/>
          <w:color w:val="auto"/>
          <w:sz w:val="21"/>
          <w:szCs w:val="21"/>
        </w:rPr>
      </w:pPr>
      <w:r>
        <w:rPr>
          <w:rFonts w:hint="eastAsia" w:ascii="黑体" w:hAnsi="宋体" w:eastAsia="黑体" w:cs="宋体"/>
          <w:bCs/>
          <w:color w:val="auto"/>
          <w:sz w:val="21"/>
          <w:szCs w:val="21"/>
        </w:rPr>
        <w:t>贯彻标准的要求和措施建议</w:t>
      </w:r>
      <w:bookmarkEnd w:id="7"/>
    </w:p>
    <w:p w14:paraId="64CB4A4C">
      <w:pPr>
        <w:pStyle w:val="19"/>
        <w:keepNext w:val="0"/>
        <w:keepLines w:val="0"/>
        <w:pageBreakBefore w:val="0"/>
        <w:kinsoku/>
        <w:wordWrap/>
        <w:overflowPunct/>
        <w:topLinePunct w:val="0"/>
        <w:bidi w:val="0"/>
        <w:snapToGrid/>
        <w:spacing w:line="440" w:lineRule="exact"/>
        <w:ind w:firstLine="420"/>
        <w:textAlignment w:val="auto"/>
        <w:rPr>
          <w:rFonts w:hint="default" w:hAnsi="宋体" w:cs="宋体"/>
          <w:color w:val="auto"/>
          <w:sz w:val="21"/>
          <w:szCs w:val="21"/>
          <w:lang w:val="en-US" w:eastAsia="zh-CN"/>
        </w:rPr>
      </w:pPr>
      <w:r>
        <w:rPr>
          <w:rFonts w:hint="eastAsia" w:hAnsi="宋体" w:cs="宋体"/>
          <w:color w:val="auto"/>
          <w:sz w:val="21"/>
          <w:szCs w:val="21"/>
          <w:lang w:eastAsia="zh-CN"/>
        </w:rPr>
        <w:t>——</w:t>
      </w:r>
      <w:r>
        <w:rPr>
          <w:rFonts w:hint="eastAsia" w:hAnsi="宋体" w:cs="宋体"/>
          <w:color w:val="auto"/>
          <w:sz w:val="21"/>
          <w:szCs w:val="21"/>
          <w:lang w:val="en-US" w:eastAsia="zh-CN"/>
        </w:rPr>
        <w:t>组织措施</w:t>
      </w:r>
    </w:p>
    <w:p w14:paraId="30F40634">
      <w:pPr>
        <w:pStyle w:val="19"/>
        <w:keepNext w:val="0"/>
        <w:keepLines w:val="0"/>
        <w:pageBreakBefore w:val="0"/>
        <w:kinsoku/>
        <w:wordWrap/>
        <w:overflowPunct/>
        <w:topLinePunct w:val="0"/>
        <w:bidi w:val="0"/>
        <w:snapToGrid/>
        <w:spacing w:line="440" w:lineRule="exact"/>
        <w:ind w:firstLine="420"/>
        <w:textAlignment w:val="auto"/>
        <w:rPr>
          <w:rFonts w:hint="eastAsia" w:hAnsi="宋体" w:cs="宋体"/>
          <w:color w:val="auto"/>
          <w:sz w:val="21"/>
          <w:szCs w:val="21"/>
          <w:lang w:val="en-US" w:eastAsia="zh-CN"/>
        </w:rPr>
      </w:pPr>
      <w:r>
        <w:rPr>
          <w:rFonts w:hint="eastAsia" w:hAnsi="宋体" w:cs="宋体"/>
          <w:color w:val="auto"/>
          <w:sz w:val="21"/>
          <w:szCs w:val="21"/>
          <w:lang w:val="en-US" w:eastAsia="zh-CN"/>
        </w:rPr>
        <w:t>——技术措施</w:t>
      </w:r>
    </w:p>
    <w:p w14:paraId="77BCAFC0">
      <w:pPr>
        <w:pStyle w:val="19"/>
        <w:keepNext w:val="0"/>
        <w:keepLines w:val="0"/>
        <w:pageBreakBefore w:val="0"/>
        <w:kinsoku/>
        <w:wordWrap/>
        <w:overflowPunct/>
        <w:topLinePunct w:val="0"/>
        <w:bidi w:val="0"/>
        <w:snapToGrid/>
        <w:spacing w:line="440" w:lineRule="exact"/>
        <w:ind w:firstLine="420"/>
        <w:textAlignment w:val="auto"/>
        <w:rPr>
          <w:rFonts w:hint="default" w:hAnsi="宋体" w:cs="宋体"/>
          <w:color w:val="auto"/>
          <w:sz w:val="21"/>
          <w:szCs w:val="21"/>
          <w:lang w:val="en-US" w:eastAsia="zh-CN"/>
        </w:rPr>
      </w:pPr>
      <w:r>
        <w:rPr>
          <w:rFonts w:hint="eastAsia" w:hAnsi="宋体" w:cs="宋体"/>
          <w:color w:val="auto"/>
          <w:sz w:val="21"/>
          <w:szCs w:val="21"/>
          <w:lang w:val="en-US" w:eastAsia="zh-CN"/>
        </w:rPr>
        <w:t>——过度办法【该标准如何贯彻实施，建议实施日期？】</w:t>
      </w:r>
    </w:p>
    <w:p w14:paraId="7611A273">
      <w:pPr>
        <w:keepNext w:val="0"/>
        <w:keepLines w:val="0"/>
        <w:pageBreakBefore w:val="0"/>
        <w:kinsoku/>
        <w:wordWrap/>
        <w:overflowPunct/>
        <w:topLinePunct w:val="0"/>
        <w:bidi w:val="0"/>
        <w:snapToGrid/>
        <w:spacing w:line="440" w:lineRule="exact"/>
        <w:ind w:firstLine="420" w:firstLineChars="200"/>
        <w:textAlignment w:val="auto"/>
        <w:rPr>
          <w:rFonts w:hint="eastAsia" w:ascii="宋体" w:hAnsi="宋体" w:cs="宋体" w:eastAsiaTheme="minorEastAsia"/>
          <w:color w:val="auto"/>
          <w:sz w:val="21"/>
          <w:szCs w:val="21"/>
          <w:lang w:eastAsia="zh-CN"/>
        </w:rPr>
      </w:pPr>
      <w:r>
        <w:rPr>
          <w:rFonts w:hint="eastAsia" w:ascii="宋体" w:hAnsi="宋体" w:cs="宋体"/>
          <w:color w:val="auto"/>
          <w:sz w:val="21"/>
          <w:szCs w:val="21"/>
          <w:lang w:eastAsia="zh-CN"/>
        </w:rPr>
        <w:t>【</w:t>
      </w:r>
      <w:r>
        <w:rPr>
          <w:rFonts w:hint="eastAsia" w:ascii="宋体" w:hAnsi="宋体" w:cs="宋体"/>
          <w:color w:val="auto"/>
          <w:sz w:val="21"/>
          <w:szCs w:val="21"/>
          <w:lang w:val="en-US" w:eastAsia="zh-CN"/>
        </w:rPr>
        <w:t xml:space="preserve">修订标准：本标准发布实施之日起，代替GB/Txxxx《原标准名称》YS\CNIA </w:t>
      </w:r>
      <w:r>
        <w:rPr>
          <w:rFonts w:hint="eastAsia" w:ascii="宋体" w:hAnsi="宋体" w:cs="宋体"/>
          <w:color w:val="auto"/>
          <w:sz w:val="21"/>
          <w:szCs w:val="21"/>
          <w:lang w:eastAsia="zh-CN"/>
        </w:rPr>
        <w:t>】</w:t>
      </w:r>
    </w:p>
    <w:p w14:paraId="6F9810AA">
      <w:pPr>
        <w:keepNext w:val="0"/>
        <w:keepLines w:val="0"/>
        <w:pageBreakBefore w:val="0"/>
        <w:kinsoku/>
        <w:wordWrap/>
        <w:overflowPunct/>
        <w:topLinePunct w:val="0"/>
        <w:bidi w:val="0"/>
        <w:snapToGrid/>
        <w:spacing w:beforeLines="50" w:afterLines="50" w:line="440" w:lineRule="exact"/>
        <w:textAlignment w:val="auto"/>
        <w:rPr>
          <w:rFonts w:ascii="黑体" w:hAnsi="宋体" w:eastAsia="黑体" w:cs="宋体"/>
          <w:bCs/>
          <w:color w:val="auto"/>
          <w:sz w:val="21"/>
          <w:szCs w:val="21"/>
        </w:rPr>
      </w:pPr>
      <w:bookmarkStart w:id="8" w:name="_Toc22451"/>
      <w:r>
        <w:rPr>
          <w:rFonts w:hint="eastAsia" w:ascii="黑体" w:hAnsi="宋体" w:eastAsia="黑体" w:cs="宋体"/>
          <w:bCs/>
          <w:color w:val="auto"/>
          <w:sz w:val="21"/>
          <w:szCs w:val="21"/>
        </w:rPr>
        <w:t>十、其他</w:t>
      </w:r>
      <w:r>
        <w:rPr>
          <w:rFonts w:hint="eastAsia" w:ascii="黑体" w:hAnsi="宋体" w:eastAsia="黑体" w:cs="宋体"/>
          <w:bCs/>
          <w:color w:val="auto"/>
          <w:sz w:val="21"/>
          <w:szCs w:val="21"/>
          <w:lang w:val="en-US" w:eastAsia="zh-CN"/>
        </w:rPr>
        <w:t>应当说明的事项</w:t>
      </w:r>
      <w:r>
        <w:rPr>
          <w:rFonts w:hint="eastAsia" w:ascii="黑体" w:hAnsi="宋体" w:eastAsia="黑体" w:cs="宋体"/>
          <w:bCs/>
          <w:color w:val="auto"/>
          <w:sz w:val="21"/>
          <w:szCs w:val="21"/>
        </w:rPr>
        <w:t>。</w:t>
      </w:r>
      <w:bookmarkEnd w:id="8"/>
    </w:p>
    <w:p w14:paraId="091F4987">
      <w:pPr>
        <w:keepNext w:val="0"/>
        <w:keepLines w:val="0"/>
        <w:pageBreakBefore w:val="0"/>
        <w:kinsoku/>
        <w:wordWrap/>
        <w:overflowPunct/>
        <w:topLinePunct w:val="0"/>
        <w:bidi w:val="0"/>
        <w:snapToGrid/>
        <w:spacing w:line="440" w:lineRule="exact"/>
        <w:ind w:firstLine="420" w:firstLineChars="200"/>
        <w:textAlignment w:val="auto"/>
        <w:rPr>
          <w:rFonts w:hint="eastAsia" w:ascii="宋体" w:hAnsi="宋体" w:cs="宋体"/>
          <w:color w:val="auto"/>
          <w:sz w:val="21"/>
          <w:szCs w:val="21"/>
        </w:rPr>
      </w:pPr>
      <w:r>
        <w:rPr>
          <w:rFonts w:hint="eastAsia" w:ascii="宋体" w:hAnsi="宋体" w:cs="宋体"/>
          <w:color w:val="auto"/>
          <w:sz w:val="21"/>
          <w:szCs w:val="21"/>
        </w:rPr>
        <w:t>无。</w:t>
      </w:r>
    </w:p>
    <w:p w14:paraId="6E3E13A7">
      <w:pPr>
        <w:keepNext w:val="0"/>
        <w:keepLines w:val="0"/>
        <w:pageBreakBefore w:val="0"/>
        <w:kinsoku/>
        <w:wordWrap/>
        <w:overflowPunct/>
        <w:topLinePunct w:val="0"/>
        <w:bidi w:val="0"/>
        <w:snapToGrid/>
        <w:spacing w:line="440" w:lineRule="exact"/>
        <w:ind w:firstLine="420" w:firstLineChars="200"/>
        <w:textAlignment w:val="auto"/>
        <w:rPr>
          <w:rFonts w:hint="eastAsia" w:ascii="宋体" w:hAnsi="宋体" w:cs="宋体"/>
          <w:color w:val="auto"/>
          <w:sz w:val="21"/>
          <w:szCs w:val="21"/>
          <w:lang w:eastAsia="zh-CN"/>
        </w:rPr>
      </w:pPr>
    </w:p>
    <w:p w14:paraId="55607B84">
      <w:pPr>
        <w:keepNext w:val="0"/>
        <w:keepLines w:val="0"/>
        <w:pageBreakBefore w:val="0"/>
        <w:kinsoku/>
        <w:wordWrap/>
        <w:overflowPunct/>
        <w:topLinePunct w:val="0"/>
        <w:bidi w:val="0"/>
        <w:snapToGrid/>
        <w:spacing w:line="440" w:lineRule="exact"/>
        <w:jc w:val="right"/>
        <w:textAlignment w:val="auto"/>
        <w:rPr>
          <w:rFonts w:ascii="宋体" w:hAnsi="宋体" w:eastAsia="宋体"/>
          <w:color w:val="auto"/>
          <w:sz w:val="21"/>
          <w:szCs w:val="21"/>
        </w:rPr>
      </w:pPr>
      <w:r>
        <w:rPr>
          <w:rFonts w:hint="eastAsia"/>
          <w:color w:val="auto"/>
          <w:sz w:val="21"/>
          <w:szCs w:val="21"/>
        </w:rPr>
        <w:t xml:space="preserve">                             《</w:t>
      </w:r>
      <w:r>
        <w:rPr>
          <w:rFonts w:hint="eastAsia" w:ascii="宋体" w:hAnsi="宋体" w:eastAsia="宋体"/>
          <w:color w:val="auto"/>
          <w:sz w:val="21"/>
          <w:szCs w:val="21"/>
          <w:lang w:val="en-US" w:eastAsia="zh-CN"/>
        </w:rPr>
        <w:t>均热板散热器用无氧铜带</w:t>
      </w:r>
      <w:r>
        <w:rPr>
          <w:rFonts w:hint="eastAsia"/>
          <w:color w:val="auto"/>
          <w:sz w:val="21"/>
          <w:szCs w:val="21"/>
        </w:rPr>
        <w:t>》</w:t>
      </w:r>
      <w:r>
        <w:rPr>
          <w:rFonts w:hint="eastAsia" w:ascii="宋体" w:hAnsi="宋体" w:eastAsia="宋体"/>
          <w:color w:val="auto"/>
          <w:sz w:val="21"/>
          <w:szCs w:val="21"/>
        </w:rPr>
        <w:t>编制组</w:t>
      </w:r>
    </w:p>
    <w:p w14:paraId="5EDE8193">
      <w:pPr>
        <w:keepNext w:val="0"/>
        <w:keepLines w:val="0"/>
        <w:pageBreakBefore w:val="0"/>
        <w:kinsoku/>
        <w:wordWrap/>
        <w:overflowPunct/>
        <w:topLinePunct w:val="0"/>
        <w:bidi w:val="0"/>
        <w:snapToGrid/>
        <w:spacing w:beforeLines="100" w:line="440" w:lineRule="exact"/>
        <w:jc w:val="right"/>
        <w:textAlignment w:val="auto"/>
        <w:rPr>
          <w:rFonts w:hint="default" w:ascii="宋体" w:hAnsi="宋体" w:eastAsia="宋体"/>
          <w:color w:val="auto"/>
          <w:sz w:val="21"/>
          <w:szCs w:val="21"/>
          <w:lang w:val="en-US" w:eastAsia="zh-CN"/>
        </w:rPr>
      </w:pPr>
      <w:r>
        <w:rPr>
          <w:rFonts w:hint="eastAsia" w:ascii="宋体" w:hAnsi="宋体" w:eastAsia="宋体"/>
          <w:color w:val="auto"/>
          <w:sz w:val="21"/>
          <w:szCs w:val="21"/>
        </w:rPr>
        <w:t xml:space="preserve">                             20</w:t>
      </w:r>
      <w:r>
        <w:rPr>
          <w:rFonts w:hint="eastAsia" w:ascii="宋体" w:hAnsi="宋体" w:eastAsia="宋体"/>
          <w:color w:val="auto"/>
          <w:sz w:val="21"/>
          <w:szCs w:val="21"/>
          <w:lang w:val="en-US" w:eastAsia="zh-CN"/>
        </w:rPr>
        <w:t>xx</w:t>
      </w:r>
      <w:r>
        <w:rPr>
          <w:rFonts w:hint="eastAsia" w:ascii="宋体" w:hAnsi="宋体" w:eastAsia="宋体"/>
          <w:color w:val="auto"/>
          <w:sz w:val="21"/>
          <w:szCs w:val="21"/>
        </w:rPr>
        <w:t>年</w:t>
      </w:r>
      <w:r>
        <w:rPr>
          <w:rFonts w:hint="eastAsia" w:ascii="宋体" w:hAnsi="宋体" w:eastAsia="宋体"/>
          <w:color w:val="auto"/>
          <w:sz w:val="21"/>
          <w:szCs w:val="21"/>
          <w:lang w:val="en-US" w:eastAsia="zh-CN"/>
        </w:rPr>
        <w:t>x</w:t>
      </w:r>
      <w:r>
        <w:rPr>
          <w:rFonts w:hint="eastAsia" w:ascii="宋体" w:hAnsi="宋体" w:eastAsia="宋体"/>
          <w:color w:val="auto"/>
          <w:sz w:val="21"/>
          <w:szCs w:val="21"/>
        </w:rPr>
        <w:t>月</w:t>
      </w:r>
      <w:r>
        <w:rPr>
          <w:rFonts w:hint="eastAsia" w:ascii="宋体" w:hAnsi="宋体" w:eastAsia="宋体"/>
          <w:color w:val="auto"/>
          <w:sz w:val="21"/>
          <w:szCs w:val="21"/>
          <w:lang w:val="en-US" w:eastAsia="zh-CN"/>
        </w:rPr>
        <w:t>xx</w:t>
      </w:r>
      <w:r>
        <w:rPr>
          <w:rFonts w:hint="eastAsia" w:ascii="宋体" w:hAnsi="宋体" w:eastAsia="宋体"/>
          <w:color w:val="auto"/>
          <w:sz w:val="21"/>
          <w:szCs w:val="21"/>
        </w:rPr>
        <w:t>日</w:t>
      </w:r>
      <w:r>
        <w:rPr>
          <w:rFonts w:hint="eastAsia" w:ascii="宋体" w:hAnsi="宋体" w:eastAsia="宋体"/>
          <w:color w:val="auto"/>
          <w:sz w:val="21"/>
          <w:szCs w:val="21"/>
          <w:lang w:val="en-US" w:eastAsia="zh-CN"/>
        </w:rPr>
        <w:t>【报批稿形成之日】</w:t>
      </w:r>
    </w:p>
    <w:sectPr>
      <w:pgSz w:w="11906" w:h="16838"/>
      <w:pgMar w:top="1440" w:right="1780" w:bottom="1440" w:left="17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3F96CBC-7938-40C0-A21A-A326E04E5478}"/>
  </w:font>
  <w:font w:name="黑体">
    <w:panose1 w:val="02010609060101010101"/>
    <w:charset w:val="86"/>
    <w:family w:val="auto"/>
    <w:pitch w:val="default"/>
    <w:sig w:usb0="800002BF" w:usb1="38CF7CFA" w:usb2="00000016" w:usb3="00000000" w:csb0="00040001" w:csb1="00000000"/>
    <w:embedRegular r:id="rId2" w:fontKey="{59B4BA35-298D-4640-ABBD-EF357567FAD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6E4B4741-DC0C-4C9D-BC1B-0F551F838095}"/>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9F0784"/>
    <w:multiLevelType w:val="singleLevel"/>
    <w:tmpl w:val="DA9F0784"/>
    <w:lvl w:ilvl="0" w:tentative="0">
      <w:start w:val="5"/>
      <w:numFmt w:val="chineseCounting"/>
      <w:suff w:val="nothing"/>
      <w:lvlText w:val="%1、"/>
      <w:lvlJc w:val="left"/>
      <w:rPr>
        <w:rFonts w:hint="eastAsia"/>
      </w:rPr>
    </w:lvl>
  </w:abstractNum>
  <w:abstractNum w:abstractNumId="1">
    <w:nsid w:val="F116BB8D"/>
    <w:multiLevelType w:val="singleLevel"/>
    <w:tmpl w:val="F116BB8D"/>
    <w:lvl w:ilvl="0" w:tentative="0">
      <w:start w:val="1"/>
      <w:numFmt w:val="chineseCounting"/>
      <w:suff w:val="nothing"/>
      <w:lvlText w:val="（%1）"/>
      <w:lvlJc w:val="left"/>
      <w:rPr>
        <w:rFonts w:hint="eastAsia"/>
      </w:rPr>
    </w:lvl>
  </w:abstractNum>
  <w:abstractNum w:abstractNumId="2">
    <w:nsid w:val="0E2B40FB"/>
    <w:multiLevelType w:val="singleLevel"/>
    <w:tmpl w:val="0E2B40FB"/>
    <w:lvl w:ilvl="0" w:tentative="0">
      <w:start w:val="1"/>
      <w:numFmt w:val="upperLetter"/>
      <w:lvlText w:val="%1."/>
      <w:lvlJc w:val="left"/>
      <w:pPr>
        <w:tabs>
          <w:tab w:val="left" w:pos="312"/>
        </w:tabs>
      </w:pPr>
    </w:lvl>
  </w:abstractNum>
  <w:abstractNum w:abstractNumId="3">
    <w:nsid w:val="4916F4FC"/>
    <w:multiLevelType w:val="singleLevel"/>
    <w:tmpl w:val="4916F4FC"/>
    <w:lvl w:ilvl="0" w:tentative="0">
      <w:start w:val="3"/>
      <w:numFmt w:val="chineseCounting"/>
      <w:suff w:val="nothing"/>
      <w:lvlText w:val="%1、"/>
      <w:lvlJc w:val="left"/>
      <w:rPr>
        <w:rFonts w:hint="eastAsia"/>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MxNGEzNDk1ZjY1ZDdlOWU3ZmFiZDlhOTM4NTZhMjEifQ=="/>
  </w:docVars>
  <w:rsids>
    <w:rsidRoot w:val="0049152D"/>
    <w:rsid w:val="00000899"/>
    <w:rsid w:val="00002C81"/>
    <w:rsid w:val="0000483E"/>
    <w:rsid w:val="0000533A"/>
    <w:rsid w:val="00006069"/>
    <w:rsid w:val="00007345"/>
    <w:rsid w:val="0000734E"/>
    <w:rsid w:val="000119A5"/>
    <w:rsid w:val="00011F52"/>
    <w:rsid w:val="0001287D"/>
    <w:rsid w:val="00013051"/>
    <w:rsid w:val="00013700"/>
    <w:rsid w:val="00014230"/>
    <w:rsid w:val="000142A3"/>
    <w:rsid w:val="0001434A"/>
    <w:rsid w:val="000146E1"/>
    <w:rsid w:val="00015683"/>
    <w:rsid w:val="00015B66"/>
    <w:rsid w:val="00016452"/>
    <w:rsid w:val="00016C1B"/>
    <w:rsid w:val="000174E9"/>
    <w:rsid w:val="00017703"/>
    <w:rsid w:val="00020B8D"/>
    <w:rsid w:val="00020E6C"/>
    <w:rsid w:val="0002350F"/>
    <w:rsid w:val="00025C36"/>
    <w:rsid w:val="00026B44"/>
    <w:rsid w:val="00026C0C"/>
    <w:rsid w:val="000312D7"/>
    <w:rsid w:val="00032958"/>
    <w:rsid w:val="00033C9E"/>
    <w:rsid w:val="00035A30"/>
    <w:rsid w:val="000362EA"/>
    <w:rsid w:val="0003648A"/>
    <w:rsid w:val="000370C9"/>
    <w:rsid w:val="000376FC"/>
    <w:rsid w:val="00041459"/>
    <w:rsid w:val="000425E5"/>
    <w:rsid w:val="00043943"/>
    <w:rsid w:val="00047256"/>
    <w:rsid w:val="00047897"/>
    <w:rsid w:val="00047C97"/>
    <w:rsid w:val="000538E0"/>
    <w:rsid w:val="00053978"/>
    <w:rsid w:val="000543AE"/>
    <w:rsid w:val="00056B2E"/>
    <w:rsid w:val="00057549"/>
    <w:rsid w:val="00060E9C"/>
    <w:rsid w:val="00061A95"/>
    <w:rsid w:val="00061BAC"/>
    <w:rsid w:val="00062BA9"/>
    <w:rsid w:val="000630E4"/>
    <w:rsid w:val="0006311A"/>
    <w:rsid w:val="000632D5"/>
    <w:rsid w:val="000634E4"/>
    <w:rsid w:val="00063E72"/>
    <w:rsid w:val="000647B0"/>
    <w:rsid w:val="000647D1"/>
    <w:rsid w:val="000648D5"/>
    <w:rsid w:val="00064F0E"/>
    <w:rsid w:val="0006509C"/>
    <w:rsid w:val="000661DC"/>
    <w:rsid w:val="0006634E"/>
    <w:rsid w:val="00067F99"/>
    <w:rsid w:val="0007025D"/>
    <w:rsid w:val="0007113B"/>
    <w:rsid w:val="00072938"/>
    <w:rsid w:val="00072B7E"/>
    <w:rsid w:val="00073823"/>
    <w:rsid w:val="000738A3"/>
    <w:rsid w:val="00073EA4"/>
    <w:rsid w:val="00074BD0"/>
    <w:rsid w:val="00075228"/>
    <w:rsid w:val="00076905"/>
    <w:rsid w:val="00083504"/>
    <w:rsid w:val="00083671"/>
    <w:rsid w:val="0008539E"/>
    <w:rsid w:val="0008748A"/>
    <w:rsid w:val="00087579"/>
    <w:rsid w:val="00090932"/>
    <w:rsid w:val="0009564E"/>
    <w:rsid w:val="000956AA"/>
    <w:rsid w:val="00095716"/>
    <w:rsid w:val="00095B00"/>
    <w:rsid w:val="000968E7"/>
    <w:rsid w:val="000A25DA"/>
    <w:rsid w:val="000A2674"/>
    <w:rsid w:val="000A46E3"/>
    <w:rsid w:val="000A68B0"/>
    <w:rsid w:val="000A68DC"/>
    <w:rsid w:val="000B0288"/>
    <w:rsid w:val="000B12AD"/>
    <w:rsid w:val="000B20BA"/>
    <w:rsid w:val="000C2E3D"/>
    <w:rsid w:val="000C4435"/>
    <w:rsid w:val="000C7BE6"/>
    <w:rsid w:val="000D004B"/>
    <w:rsid w:val="000D146E"/>
    <w:rsid w:val="000D255F"/>
    <w:rsid w:val="000D2968"/>
    <w:rsid w:val="000D3C54"/>
    <w:rsid w:val="000D419A"/>
    <w:rsid w:val="000D6C50"/>
    <w:rsid w:val="000E0E5D"/>
    <w:rsid w:val="000E12A2"/>
    <w:rsid w:val="000E2F2B"/>
    <w:rsid w:val="000E3BE4"/>
    <w:rsid w:val="000E5601"/>
    <w:rsid w:val="000E5B35"/>
    <w:rsid w:val="000E7291"/>
    <w:rsid w:val="000E7398"/>
    <w:rsid w:val="000E7492"/>
    <w:rsid w:val="000E75F6"/>
    <w:rsid w:val="000F0726"/>
    <w:rsid w:val="000F21CD"/>
    <w:rsid w:val="000F2931"/>
    <w:rsid w:val="000F60BA"/>
    <w:rsid w:val="000F7EE8"/>
    <w:rsid w:val="0010164F"/>
    <w:rsid w:val="00103B79"/>
    <w:rsid w:val="00103F5A"/>
    <w:rsid w:val="001043C6"/>
    <w:rsid w:val="0011080B"/>
    <w:rsid w:val="00112E27"/>
    <w:rsid w:val="001133B5"/>
    <w:rsid w:val="0011342C"/>
    <w:rsid w:val="00115E89"/>
    <w:rsid w:val="001169BC"/>
    <w:rsid w:val="001172DB"/>
    <w:rsid w:val="0011791C"/>
    <w:rsid w:val="0011799D"/>
    <w:rsid w:val="00117A27"/>
    <w:rsid w:val="00120FE8"/>
    <w:rsid w:val="001215B6"/>
    <w:rsid w:val="00122E35"/>
    <w:rsid w:val="00123CA5"/>
    <w:rsid w:val="00125817"/>
    <w:rsid w:val="00125CAC"/>
    <w:rsid w:val="00126111"/>
    <w:rsid w:val="001268D7"/>
    <w:rsid w:val="00130CC9"/>
    <w:rsid w:val="0013566C"/>
    <w:rsid w:val="001360C1"/>
    <w:rsid w:val="001421CF"/>
    <w:rsid w:val="00142C75"/>
    <w:rsid w:val="00143A39"/>
    <w:rsid w:val="00144F28"/>
    <w:rsid w:val="00145147"/>
    <w:rsid w:val="00145188"/>
    <w:rsid w:val="001455A0"/>
    <w:rsid w:val="00147858"/>
    <w:rsid w:val="001502D3"/>
    <w:rsid w:val="0015114D"/>
    <w:rsid w:val="001517E4"/>
    <w:rsid w:val="00151DFA"/>
    <w:rsid w:val="00152A50"/>
    <w:rsid w:val="00152CEE"/>
    <w:rsid w:val="00152F27"/>
    <w:rsid w:val="001531DA"/>
    <w:rsid w:val="0016143F"/>
    <w:rsid w:val="00161FB3"/>
    <w:rsid w:val="00162FCD"/>
    <w:rsid w:val="00164041"/>
    <w:rsid w:val="00164320"/>
    <w:rsid w:val="0016453D"/>
    <w:rsid w:val="00165B11"/>
    <w:rsid w:val="00167FF7"/>
    <w:rsid w:val="001710BE"/>
    <w:rsid w:val="001728AD"/>
    <w:rsid w:val="00173330"/>
    <w:rsid w:val="00175F20"/>
    <w:rsid w:val="0017788A"/>
    <w:rsid w:val="00180F34"/>
    <w:rsid w:val="00181FDF"/>
    <w:rsid w:val="00183DBE"/>
    <w:rsid w:val="00183F8C"/>
    <w:rsid w:val="00184A11"/>
    <w:rsid w:val="00185294"/>
    <w:rsid w:val="00186327"/>
    <w:rsid w:val="001866BE"/>
    <w:rsid w:val="001868B2"/>
    <w:rsid w:val="0019074F"/>
    <w:rsid w:val="001909E7"/>
    <w:rsid w:val="0019306C"/>
    <w:rsid w:val="001936E4"/>
    <w:rsid w:val="001945B5"/>
    <w:rsid w:val="00194AB3"/>
    <w:rsid w:val="00195204"/>
    <w:rsid w:val="0019675D"/>
    <w:rsid w:val="00196900"/>
    <w:rsid w:val="00196D91"/>
    <w:rsid w:val="0019747E"/>
    <w:rsid w:val="001976D2"/>
    <w:rsid w:val="00197920"/>
    <w:rsid w:val="001A0EA6"/>
    <w:rsid w:val="001A2F17"/>
    <w:rsid w:val="001A577D"/>
    <w:rsid w:val="001B1F37"/>
    <w:rsid w:val="001B2EA2"/>
    <w:rsid w:val="001B548E"/>
    <w:rsid w:val="001B6C1B"/>
    <w:rsid w:val="001B7E54"/>
    <w:rsid w:val="001C010F"/>
    <w:rsid w:val="001C1800"/>
    <w:rsid w:val="001C1A61"/>
    <w:rsid w:val="001C1C7F"/>
    <w:rsid w:val="001C3BD9"/>
    <w:rsid w:val="001C3C44"/>
    <w:rsid w:val="001C5F5B"/>
    <w:rsid w:val="001C63FA"/>
    <w:rsid w:val="001C6400"/>
    <w:rsid w:val="001C64E2"/>
    <w:rsid w:val="001D1CBF"/>
    <w:rsid w:val="001D29BF"/>
    <w:rsid w:val="001D2E17"/>
    <w:rsid w:val="001D3A88"/>
    <w:rsid w:val="001D4C7B"/>
    <w:rsid w:val="001D50AF"/>
    <w:rsid w:val="001E0750"/>
    <w:rsid w:val="001E1C8D"/>
    <w:rsid w:val="001E2613"/>
    <w:rsid w:val="001E35D2"/>
    <w:rsid w:val="001E5CB5"/>
    <w:rsid w:val="001E7143"/>
    <w:rsid w:val="001E77A0"/>
    <w:rsid w:val="001F0609"/>
    <w:rsid w:val="001F1028"/>
    <w:rsid w:val="001F18F7"/>
    <w:rsid w:val="001F21E5"/>
    <w:rsid w:val="001F3BE7"/>
    <w:rsid w:val="001F4570"/>
    <w:rsid w:val="001F64BD"/>
    <w:rsid w:val="001F7AA9"/>
    <w:rsid w:val="001F7D16"/>
    <w:rsid w:val="001F7D87"/>
    <w:rsid w:val="002007E1"/>
    <w:rsid w:val="00201957"/>
    <w:rsid w:val="002028F6"/>
    <w:rsid w:val="00202F21"/>
    <w:rsid w:val="00203916"/>
    <w:rsid w:val="00204E1B"/>
    <w:rsid w:val="00205696"/>
    <w:rsid w:val="00210806"/>
    <w:rsid w:val="00210D97"/>
    <w:rsid w:val="00211DAA"/>
    <w:rsid w:val="00212C2F"/>
    <w:rsid w:val="00213C05"/>
    <w:rsid w:val="00213CB8"/>
    <w:rsid w:val="002149D3"/>
    <w:rsid w:val="00215CF2"/>
    <w:rsid w:val="00217EB2"/>
    <w:rsid w:val="00221A02"/>
    <w:rsid w:val="00221D88"/>
    <w:rsid w:val="0022398D"/>
    <w:rsid w:val="002252C9"/>
    <w:rsid w:val="00230C35"/>
    <w:rsid w:val="00231422"/>
    <w:rsid w:val="00232045"/>
    <w:rsid w:val="002320C8"/>
    <w:rsid w:val="00233226"/>
    <w:rsid w:val="00233A1C"/>
    <w:rsid w:val="0023455B"/>
    <w:rsid w:val="00234F74"/>
    <w:rsid w:val="00234FE4"/>
    <w:rsid w:val="00235328"/>
    <w:rsid w:val="002356F0"/>
    <w:rsid w:val="00240E23"/>
    <w:rsid w:val="00246A1A"/>
    <w:rsid w:val="00251FCE"/>
    <w:rsid w:val="002531B1"/>
    <w:rsid w:val="0025380C"/>
    <w:rsid w:val="00254BF3"/>
    <w:rsid w:val="002601E8"/>
    <w:rsid w:val="00260A33"/>
    <w:rsid w:val="00260CFE"/>
    <w:rsid w:val="0026166B"/>
    <w:rsid w:val="0026175A"/>
    <w:rsid w:val="00262CCF"/>
    <w:rsid w:val="00262E37"/>
    <w:rsid w:val="0026368F"/>
    <w:rsid w:val="00263946"/>
    <w:rsid w:val="00264E80"/>
    <w:rsid w:val="002653CB"/>
    <w:rsid w:val="002662BE"/>
    <w:rsid w:val="00267B20"/>
    <w:rsid w:val="00271A24"/>
    <w:rsid w:val="002727E2"/>
    <w:rsid w:val="002727F2"/>
    <w:rsid w:val="00276418"/>
    <w:rsid w:val="002766E1"/>
    <w:rsid w:val="00277D55"/>
    <w:rsid w:val="00277DE9"/>
    <w:rsid w:val="00280742"/>
    <w:rsid w:val="00281A43"/>
    <w:rsid w:val="002870F4"/>
    <w:rsid w:val="002931B8"/>
    <w:rsid w:val="00293432"/>
    <w:rsid w:val="00293797"/>
    <w:rsid w:val="002A119B"/>
    <w:rsid w:val="002A1596"/>
    <w:rsid w:val="002A39FC"/>
    <w:rsid w:val="002A477A"/>
    <w:rsid w:val="002A52DB"/>
    <w:rsid w:val="002A5373"/>
    <w:rsid w:val="002A61D8"/>
    <w:rsid w:val="002A7451"/>
    <w:rsid w:val="002B0BEE"/>
    <w:rsid w:val="002B12B9"/>
    <w:rsid w:val="002B1C35"/>
    <w:rsid w:val="002B2BCB"/>
    <w:rsid w:val="002B33F4"/>
    <w:rsid w:val="002B351D"/>
    <w:rsid w:val="002B45E4"/>
    <w:rsid w:val="002B4A70"/>
    <w:rsid w:val="002B6C88"/>
    <w:rsid w:val="002C11C3"/>
    <w:rsid w:val="002C33FD"/>
    <w:rsid w:val="002C3F54"/>
    <w:rsid w:val="002C6308"/>
    <w:rsid w:val="002C7E20"/>
    <w:rsid w:val="002D16DB"/>
    <w:rsid w:val="002D29B7"/>
    <w:rsid w:val="002D6F42"/>
    <w:rsid w:val="002D75D7"/>
    <w:rsid w:val="002E22A3"/>
    <w:rsid w:val="002E34A8"/>
    <w:rsid w:val="002E3C9C"/>
    <w:rsid w:val="002E7402"/>
    <w:rsid w:val="002E743E"/>
    <w:rsid w:val="002F0868"/>
    <w:rsid w:val="002F0A63"/>
    <w:rsid w:val="002F18EC"/>
    <w:rsid w:val="002F3E1F"/>
    <w:rsid w:val="002F3FA9"/>
    <w:rsid w:val="002F4638"/>
    <w:rsid w:val="002F47B1"/>
    <w:rsid w:val="002F56D7"/>
    <w:rsid w:val="002F6351"/>
    <w:rsid w:val="002F6E9F"/>
    <w:rsid w:val="002F7378"/>
    <w:rsid w:val="00300AFD"/>
    <w:rsid w:val="00301047"/>
    <w:rsid w:val="00304AE0"/>
    <w:rsid w:val="003058A9"/>
    <w:rsid w:val="00306204"/>
    <w:rsid w:val="00310C92"/>
    <w:rsid w:val="00311726"/>
    <w:rsid w:val="00311A03"/>
    <w:rsid w:val="00311EF2"/>
    <w:rsid w:val="00311F46"/>
    <w:rsid w:val="00321BF3"/>
    <w:rsid w:val="003222DE"/>
    <w:rsid w:val="00323A14"/>
    <w:rsid w:val="00326E25"/>
    <w:rsid w:val="00327C26"/>
    <w:rsid w:val="0033114F"/>
    <w:rsid w:val="00332590"/>
    <w:rsid w:val="0033375D"/>
    <w:rsid w:val="003341F6"/>
    <w:rsid w:val="00334FD6"/>
    <w:rsid w:val="0033778F"/>
    <w:rsid w:val="00337C4B"/>
    <w:rsid w:val="00340915"/>
    <w:rsid w:val="00340C08"/>
    <w:rsid w:val="00340C89"/>
    <w:rsid w:val="0034101B"/>
    <w:rsid w:val="00341EAD"/>
    <w:rsid w:val="0034335F"/>
    <w:rsid w:val="0034452B"/>
    <w:rsid w:val="00344AA8"/>
    <w:rsid w:val="00345E08"/>
    <w:rsid w:val="00350386"/>
    <w:rsid w:val="003520BC"/>
    <w:rsid w:val="003530CC"/>
    <w:rsid w:val="00353342"/>
    <w:rsid w:val="00353EE8"/>
    <w:rsid w:val="0035503B"/>
    <w:rsid w:val="00357AB2"/>
    <w:rsid w:val="0036126F"/>
    <w:rsid w:val="0036236D"/>
    <w:rsid w:val="0036516E"/>
    <w:rsid w:val="0036648C"/>
    <w:rsid w:val="0036699F"/>
    <w:rsid w:val="00366FD6"/>
    <w:rsid w:val="00370D90"/>
    <w:rsid w:val="00371730"/>
    <w:rsid w:val="0037462A"/>
    <w:rsid w:val="00376214"/>
    <w:rsid w:val="003764C4"/>
    <w:rsid w:val="00376D7D"/>
    <w:rsid w:val="0038013C"/>
    <w:rsid w:val="0038064F"/>
    <w:rsid w:val="003807E6"/>
    <w:rsid w:val="003829D3"/>
    <w:rsid w:val="003854A7"/>
    <w:rsid w:val="003859E4"/>
    <w:rsid w:val="00387C73"/>
    <w:rsid w:val="00390678"/>
    <w:rsid w:val="003907CF"/>
    <w:rsid w:val="00395D8B"/>
    <w:rsid w:val="003966FD"/>
    <w:rsid w:val="003A004A"/>
    <w:rsid w:val="003A0A71"/>
    <w:rsid w:val="003A0D28"/>
    <w:rsid w:val="003A0E43"/>
    <w:rsid w:val="003A0F8D"/>
    <w:rsid w:val="003A226A"/>
    <w:rsid w:val="003A3735"/>
    <w:rsid w:val="003A3C95"/>
    <w:rsid w:val="003B0813"/>
    <w:rsid w:val="003B159B"/>
    <w:rsid w:val="003B1D01"/>
    <w:rsid w:val="003B2710"/>
    <w:rsid w:val="003B30B6"/>
    <w:rsid w:val="003B5DA9"/>
    <w:rsid w:val="003B6FED"/>
    <w:rsid w:val="003C0561"/>
    <w:rsid w:val="003C0C3F"/>
    <w:rsid w:val="003C1DF8"/>
    <w:rsid w:val="003C259D"/>
    <w:rsid w:val="003C4551"/>
    <w:rsid w:val="003C45CD"/>
    <w:rsid w:val="003C5329"/>
    <w:rsid w:val="003D00B3"/>
    <w:rsid w:val="003D078B"/>
    <w:rsid w:val="003D23D7"/>
    <w:rsid w:val="003D2D50"/>
    <w:rsid w:val="003D2E34"/>
    <w:rsid w:val="003D3021"/>
    <w:rsid w:val="003D3613"/>
    <w:rsid w:val="003D6715"/>
    <w:rsid w:val="003D697A"/>
    <w:rsid w:val="003D70CD"/>
    <w:rsid w:val="003D763B"/>
    <w:rsid w:val="003D77DA"/>
    <w:rsid w:val="003E0B81"/>
    <w:rsid w:val="003E1850"/>
    <w:rsid w:val="003E28B7"/>
    <w:rsid w:val="003E29D5"/>
    <w:rsid w:val="003E57D1"/>
    <w:rsid w:val="003E6ADF"/>
    <w:rsid w:val="003E6EF7"/>
    <w:rsid w:val="003F49C6"/>
    <w:rsid w:val="003F555E"/>
    <w:rsid w:val="003F614E"/>
    <w:rsid w:val="003F7502"/>
    <w:rsid w:val="003F7BA1"/>
    <w:rsid w:val="00406567"/>
    <w:rsid w:val="0040765C"/>
    <w:rsid w:val="004076E2"/>
    <w:rsid w:val="0040773D"/>
    <w:rsid w:val="00407C11"/>
    <w:rsid w:val="00410088"/>
    <w:rsid w:val="004116FB"/>
    <w:rsid w:val="00412931"/>
    <w:rsid w:val="00414A71"/>
    <w:rsid w:val="004153B6"/>
    <w:rsid w:val="00416FB1"/>
    <w:rsid w:val="00417CE4"/>
    <w:rsid w:val="00421809"/>
    <w:rsid w:val="00422048"/>
    <w:rsid w:val="00424370"/>
    <w:rsid w:val="00425776"/>
    <w:rsid w:val="00425D82"/>
    <w:rsid w:val="004261BD"/>
    <w:rsid w:val="00427873"/>
    <w:rsid w:val="00430126"/>
    <w:rsid w:val="004301D5"/>
    <w:rsid w:val="004304B8"/>
    <w:rsid w:val="00432144"/>
    <w:rsid w:val="00435E7B"/>
    <w:rsid w:val="0043627F"/>
    <w:rsid w:val="0043704E"/>
    <w:rsid w:val="00440278"/>
    <w:rsid w:val="004405DE"/>
    <w:rsid w:val="0044264F"/>
    <w:rsid w:val="00442AA5"/>
    <w:rsid w:val="0044332E"/>
    <w:rsid w:val="00444E84"/>
    <w:rsid w:val="0044667C"/>
    <w:rsid w:val="00446C4C"/>
    <w:rsid w:val="004514C8"/>
    <w:rsid w:val="00451F87"/>
    <w:rsid w:val="00452906"/>
    <w:rsid w:val="004529DD"/>
    <w:rsid w:val="00452DAC"/>
    <w:rsid w:val="00453850"/>
    <w:rsid w:val="00454EB1"/>
    <w:rsid w:val="004565BC"/>
    <w:rsid w:val="004576A5"/>
    <w:rsid w:val="00460FA1"/>
    <w:rsid w:val="00462143"/>
    <w:rsid w:val="0046322F"/>
    <w:rsid w:val="004666E1"/>
    <w:rsid w:val="0046734F"/>
    <w:rsid w:val="004720CB"/>
    <w:rsid w:val="004728DF"/>
    <w:rsid w:val="00473AA0"/>
    <w:rsid w:val="0047455F"/>
    <w:rsid w:val="00474C54"/>
    <w:rsid w:val="004765D1"/>
    <w:rsid w:val="004767A9"/>
    <w:rsid w:val="00476BD5"/>
    <w:rsid w:val="00480137"/>
    <w:rsid w:val="00480F80"/>
    <w:rsid w:val="00480FD3"/>
    <w:rsid w:val="00481581"/>
    <w:rsid w:val="0048184E"/>
    <w:rsid w:val="00482782"/>
    <w:rsid w:val="004840FC"/>
    <w:rsid w:val="00486195"/>
    <w:rsid w:val="004863ED"/>
    <w:rsid w:val="00486436"/>
    <w:rsid w:val="004869D0"/>
    <w:rsid w:val="00487974"/>
    <w:rsid w:val="004900F7"/>
    <w:rsid w:val="0049152D"/>
    <w:rsid w:val="00494307"/>
    <w:rsid w:val="004943AB"/>
    <w:rsid w:val="00495C7F"/>
    <w:rsid w:val="00496CFF"/>
    <w:rsid w:val="00497207"/>
    <w:rsid w:val="004A1953"/>
    <w:rsid w:val="004A28E4"/>
    <w:rsid w:val="004A2B95"/>
    <w:rsid w:val="004B0F1A"/>
    <w:rsid w:val="004B12D0"/>
    <w:rsid w:val="004C37E3"/>
    <w:rsid w:val="004C5DDC"/>
    <w:rsid w:val="004C639B"/>
    <w:rsid w:val="004C7324"/>
    <w:rsid w:val="004D0ACA"/>
    <w:rsid w:val="004D29DA"/>
    <w:rsid w:val="004D3777"/>
    <w:rsid w:val="004E166F"/>
    <w:rsid w:val="004E1E35"/>
    <w:rsid w:val="004E353D"/>
    <w:rsid w:val="004E4B54"/>
    <w:rsid w:val="004E5227"/>
    <w:rsid w:val="004E555F"/>
    <w:rsid w:val="004E6E7F"/>
    <w:rsid w:val="004F40C5"/>
    <w:rsid w:val="004F4C96"/>
    <w:rsid w:val="004F69A5"/>
    <w:rsid w:val="004F76C2"/>
    <w:rsid w:val="00500130"/>
    <w:rsid w:val="00504978"/>
    <w:rsid w:val="0050730B"/>
    <w:rsid w:val="00511BD6"/>
    <w:rsid w:val="0051428E"/>
    <w:rsid w:val="005147F3"/>
    <w:rsid w:val="00515D70"/>
    <w:rsid w:val="00517579"/>
    <w:rsid w:val="005176CE"/>
    <w:rsid w:val="005200E9"/>
    <w:rsid w:val="00522BD3"/>
    <w:rsid w:val="00523E5C"/>
    <w:rsid w:val="00524C16"/>
    <w:rsid w:val="005254B4"/>
    <w:rsid w:val="00525782"/>
    <w:rsid w:val="005267EB"/>
    <w:rsid w:val="00526A34"/>
    <w:rsid w:val="00526AAF"/>
    <w:rsid w:val="005276A6"/>
    <w:rsid w:val="00531DC8"/>
    <w:rsid w:val="00532265"/>
    <w:rsid w:val="00533A74"/>
    <w:rsid w:val="0053413C"/>
    <w:rsid w:val="00534433"/>
    <w:rsid w:val="00535449"/>
    <w:rsid w:val="00535487"/>
    <w:rsid w:val="00536839"/>
    <w:rsid w:val="00540BF2"/>
    <w:rsid w:val="0054112B"/>
    <w:rsid w:val="0054246B"/>
    <w:rsid w:val="005425CC"/>
    <w:rsid w:val="0054373A"/>
    <w:rsid w:val="005446B5"/>
    <w:rsid w:val="0054479D"/>
    <w:rsid w:val="00544E4C"/>
    <w:rsid w:val="005452B7"/>
    <w:rsid w:val="005464CA"/>
    <w:rsid w:val="00550C8A"/>
    <w:rsid w:val="00550D1E"/>
    <w:rsid w:val="00552199"/>
    <w:rsid w:val="0055331E"/>
    <w:rsid w:val="005562D8"/>
    <w:rsid w:val="00557088"/>
    <w:rsid w:val="00561B33"/>
    <w:rsid w:val="00563071"/>
    <w:rsid w:val="005652D7"/>
    <w:rsid w:val="00573390"/>
    <w:rsid w:val="005757B3"/>
    <w:rsid w:val="0057757C"/>
    <w:rsid w:val="0058145D"/>
    <w:rsid w:val="00582510"/>
    <w:rsid w:val="00582834"/>
    <w:rsid w:val="005829BF"/>
    <w:rsid w:val="00582FD9"/>
    <w:rsid w:val="00583048"/>
    <w:rsid w:val="00583845"/>
    <w:rsid w:val="00583960"/>
    <w:rsid w:val="005849A6"/>
    <w:rsid w:val="005859AF"/>
    <w:rsid w:val="00590E7B"/>
    <w:rsid w:val="00591422"/>
    <w:rsid w:val="005940E3"/>
    <w:rsid w:val="005946AF"/>
    <w:rsid w:val="005947B8"/>
    <w:rsid w:val="0059508E"/>
    <w:rsid w:val="00595137"/>
    <w:rsid w:val="00595729"/>
    <w:rsid w:val="00596591"/>
    <w:rsid w:val="005A0829"/>
    <w:rsid w:val="005A0EB2"/>
    <w:rsid w:val="005A1119"/>
    <w:rsid w:val="005A264C"/>
    <w:rsid w:val="005A3477"/>
    <w:rsid w:val="005A366C"/>
    <w:rsid w:val="005A3B0F"/>
    <w:rsid w:val="005A3B3F"/>
    <w:rsid w:val="005B1210"/>
    <w:rsid w:val="005B15F5"/>
    <w:rsid w:val="005B2378"/>
    <w:rsid w:val="005B58D2"/>
    <w:rsid w:val="005B6AD4"/>
    <w:rsid w:val="005B6B92"/>
    <w:rsid w:val="005B7284"/>
    <w:rsid w:val="005C0088"/>
    <w:rsid w:val="005C0357"/>
    <w:rsid w:val="005C0611"/>
    <w:rsid w:val="005C0980"/>
    <w:rsid w:val="005C0D65"/>
    <w:rsid w:val="005C0EE2"/>
    <w:rsid w:val="005C14A3"/>
    <w:rsid w:val="005C153A"/>
    <w:rsid w:val="005C1E43"/>
    <w:rsid w:val="005C40D0"/>
    <w:rsid w:val="005C566E"/>
    <w:rsid w:val="005D069C"/>
    <w:rsid w:val="005D179F"/>
    <w:rsid w:val="005D1EDE"/>
    <w:rsid w:val="005D489F"/>
    <w:rsid w:val="005D6DF8"/>
    <w:rsid w:val="005E200B"/>
    <w:rsid w:val="005E2355"/>
    <w:rsid w:val="005E3A3E"/>
    <w:rsid w:val="005E6CA1"/>
    <w:rsid w:val="005E702C"/>
    <w:rsid w:val="005E73C2"/>
    <w:rsid w:val="005E7C44"/>
    <w:rsid w:val="005F197A"/>
    <w:rsid w:val="005F2927"/>
    <w:rsid w:val="005F2DF7"/>
    <w:rsid w:val="005F3007"/>
    <w:rsid w:val="005F304B"/>
    <w:rsid w:val="005F5F6F"/>
    <w:rsid w:val="005F698A"/>
    <w:rsid w:val="00600538"/>
    <w:rsid w:val="00605CDD"/>
    <w:rsid w:val="00605EA7"/>
    <w:rsid w:val="0060674D"/>
    <w:rsid w:val="00606A00"/>
    <w:rsid w:val="00607A0D"/>
    <w:rsid w:val="006107CF"/>
    <w:rsid w:val="006110A4"/>
    <w:rsid w:val="0061333F"/>
    <w:rsid w:val="0061335C"/>
    <w:rsid w:val="00613FB1"/>
    <w:rsid w:val="006147B6"/>
    <w:rsid w:val="006155CA"/>
    <w:rsid w:val="0061668E"/>
    <w:rsid w:val="00616F62"/>
    <w:rsid w:val="006170F3"/>
    <w:rsid w:val="0061742C"/>
    <w:rsid w:val="006179B6"/>
    <w:rsid w:val="00621FD6"/>
    <w:rsid w:val="00624E56"/>
    <w:rsid w:val="00625A71"/>
    <w:rsid w:val="00627441"/>
    <w:rsid w:val="006316F9"/>
    <w:rsid w:val="006325B0"/>
    <w:rsid w:val="0063264C"/>
    <w:rsid w:val="006328AF"/>
    <w:rsid w:val="006331CE"/>
    <w:rsid w:val="00633980"/>
    <w:rsid w:val="00633EE8"/>
    <w:rsid w:val="006350C0"/>
    <w:rsid w:val="00636185"/>
    <w:rsid w:val="0063664A"/>
    <w:rsid w:val="0063792B"/>
    <w:rsid w:val="006425BC"/>
    <w:rsid w:val="00644904"/>
    <w:rsid w:val="00644F62"/>
    <w:rsid w:val="006451CB"/>
    <w:rsid w:val="00645383"/>
    <w:rsid w:val="00646E4E"/>
    <w:rsid w:val="0064758B"/>
    <w:rsid w:val="0064769A"/>
    <w:rsid w:val="00650546"/>
    <w:rsid w:val="006518DC"/>
    <w:rsid w:val="006519D0"/>
    <w:rsid w:val="00652836"/>
    <w:rsid w:val="0065321E"/>
    <w:rsid w:val="006533FD"/>
    <w:rsid w:val="00653D6B"/>
    <w:rsid w:val="006550B2"/>
    <w:rsid w:val="0065605D"/>
    <w:rsid w:val="006570C7"/>
    <w:rsid w:val="006577D8"/>
    <w:rsid w:val="00657B29"/>
    <w:rsid w:val="00657B50"/>
    <w:rsid w:val="006602A7"/>
    <w:rsid w:val="00660496"/>
    <w:rsid w:val="00660F14"/>
    <w:rsid w:val="0066162E"/>
    <w:rsid w:val="006617FA"/>
    <w:rsid w:val="00661B7A"/>
    <w:rsid w:val="00663325"/>
    <w:rsid w:val="006636FE"/>
    <w:rsid w:val="00664255"/>
    <w:rsid w:val="00664476"/>
    <w:rsid w:val="00664A10"/>
    <w:rsid w:val="0066541E"/>
    <w:rsid w:val="006654CA"/>
    <w:rsid w:val="00665C20"/>
    <w:rsid w:val="00673DCE"/>
    <w:rsid w:val="006749E5"/>
    <w:rsid w:val="00675C9D"/>
    <w:rsid w:val="00675DA5"/>
    <w:rsid w:val="00676165"/>
    <w:rsid w:val="00676CB1"/>
    <w:rsid w:val="00686291"/>
    <w:rsid w:val="00686FA4"/>
    <w:rsid w:val="00691E65"/>
    <w:rsid w:val="00691EA1"/>
    <w:rsid w:val="00693886"/>
    <w:rsid w:val="00694BE9"/>
    <w:rsid w:val="00696114"/>
    <w:rsid w:val="0069667F"/>
    <w:rsid w:val="00696D4A"/>
    <w:rsid w:val="006974AF"/>
    <w:rsid w:val="00697728"/>
    <w:rsid w:val="006A03C8"/>
    <w:rsid w:val="006A07EB"/>
    <w:rsid w:val="006A1279"/>
    <w:rsid w:val="006A1CD6"/>
    <w:rsid w:val="006A362D"/>
    <w:rsid w:val="006A5E39"/>
    <w:rsid w:val="006A615E"/>
    <w:rsid w:val="006A641C"/>
    <w:rsid w:val="006B048C"/>
    <w:rsid w:val="006B210C"/>
    <w:rsid w:val="006B2C4A"/>
    <w:rsid w:val="006B2D1C"/>
    <w:rsid w:val="006B35DA"/>
    <w:rsid w:val="006B53F6"/>
    <w:rsid w:val="006B655F"/>
    <w:rsid w:val="006C11BE"/>
    <w:rsid w:val="006C1F06"/>
    <w:rsid w:val="006C2DB2"/>
    <w:rsid w:val="006C43B5"/>
    <w:rsid w:val="006C5E78"/>
    <w:rsid w:val="006C615F"/>
    <w:rsid w:val="006C6E2E"/>
    <w:rsid w:val="006C773D"/>
    <w:rsid w:val="006D28A5"/>
    <w:rsid w:val="006D2F81"/>
    <w:rsid w:val="006D3518"/>
    <w:rsid w:val="006D3F0C"/>
    <w:rsid w:val="006D4494"/>
    <w:rsid w:val="006D4AFF"/>
    <w:rsid w:val="006D53EB"/>
    <w:rsid w:val="006D67E7"/>
    <w:rsid w:val="006D6A30"/>
    <w:rsid w:val="006D76DB"/>
    <w:rsid w:val="006E1599"/>
    <w:rsid w:val="006E3F66"/>
    <w:rsid w:val="006E58C8"/>
    <w:rsid w:val="006E669A"/>
    <w:rsid w:val="006E7C7B"/>
    <w:rsid w:val="006F1F44"/>
    <w:rsid w:val="006F2ADA"/>
    <w:rsid w:val="006F2AE7"/>
    <w:rsid w:val="006F2D52"/>
    <w:rsid w:val="006F3591"/>
    <w:rsid w:val="006F7B7C"/>
    <w:rsid w:val="0070002A"/>
    <w:rsid w:val="00700DAE"/>
    <w:rsid w:val="007015A1"/>
    <w:rsid w:val="0070297A"/>
    <w:rsid w:val="00704090"/>
    <w:rsid w:val="00706102"/>
    <w:rsid w:val="00711461"/>
    <w:rsid w:val="0071373D"/>
    <w:rsid w:val="00713758"/>
    <w:rsid w:val="00715907"/>
    <w:rsid w:val="00720307"/>
    <w:rsid w:val="00722D85"/>
    <w:rsid w:val="007236C0"/>
    <w:rsid w:val="00724361"/>
    <w:rsid w:val="00724564"/>
    <w:rsid w:val="007255E3"/>
    <w:rsid w:val="007265F0"/>
    <w:rsid w:val="007269E3"/>
    <w:rsid w:val="00732460"/>
    <w:rsid w:val="00733D7B"/>
    <w:rsid w:val="00735881"/>
    <w:rsid w:val="00735F13"/>
    <w:rsid w:val="007364A0"/>
    <w:rsid w:val="007408D5"/>
    <w:rsid w:val="0074154C"/>
    <w:rsid w:val="00741FDE"/>
    <w:rsid w:val="00742757"/>
    <w:rsid w:val="007430B3"/>
    <w:rsid w:val="007453E5"/>
    <w:rsid w:val="00746363"/>
    <w:rsid w:val="007464AF"/>
    <w:rsid w:val="00746C27"/>
    <w:rsid w:val="00750371"/>
    <w:rsid w:val="00750941"/>
    <w:rsid w:val="00750BF7"/>
    <w:rsid w:val="0075108D"/>
    <w:rsid w:val="007557DC"/>
    <w:rsid w:val="00760148"/>
    <w:rsid w:val="007611F3"/>
    <w:rsid w:val="00762451"/>
    <w:rsid w:val="007656EE"/>
    <w:rsid w:val="00766B87"/>
    <w:rsid w:val="00767F5A"/>
    <w:rsid w:val="00771493"/>
    <w:rsid w:val="00771A62"/>
    <w:rsid w:val="0077338A"/>
    <w:rsid w:val="00773A59"/>
    <w:rsid w:val="00774701"/>
    <w:rsid w:val="007771DC"/>
    <w:rsid w:val="00777F89"/>
    <w:rsid w:val="00781A42"/>
    <w:rsid w:val="00782574"/>
    <w:rsid w:val="007831CE"/>
    <w:rsid w:val="0078347B"/>
    <w:rsid w:val="00784F06"/>
    <w:rsid w:val="00790B45"/>
    <w:rsid w:val="0079220D"/>
    <w:rsid w:val="00792719"/>
    <w:rsid w:val="00792749"/>
    <w:rsid w:val="007928CE"/>
    <w:rsid w:val="00792ADA"/>
    <w:rsid w:val="00793ECE"/>
    <w:rsid w:val="00796E22"/>
    <w:rsid w:val="0079778C"/>
    <w:rsid w:val="00797E1A"/>
    <w:rsid w:val="007A35C4"/>
    <w:rsid w:val="007A3CC4"/>
    <w:rsid w:val="007A4418"/>
    <w:rsid w:val="007A45F1"/>
    <w:rsid w:val="007A56FF"/>
    <w:rsid w:val="007A5B54"/>
    <w:rsid w:val="007A766F"/>
    <w:rsid w:val="007B1B31"/>
    <w:rsid w:val="007B2921"/>
    <w:rsid w:val="007B392C"/>
    <w:rsid w:val="007B4388"/>
    <w:rsid w:val="007B45BA"/>
    <w:rsid w:val="007B49CE"/>
    <w:rsid w:val="007B4E9A"/>
    <w:rsid w:val="007B5474"/>
    <w:rsid w:val="007B5E52"/>
    <w:rsid w:val="007B69A9"/>
    <w:rsid w:val="007B79BB"/>
    <w:rsid w:val="007C0298"/>
    <w:rsid w:val="007C08B0"/>
    <w:rsid w:val="007C1163"/>
    <w:rsid w:val="007C1847"/>
    <w:rsid w:val="007C2376"/>
    <w:rsid w:val="007C23F5"/>
    <w:rsid w:val="007C45B1"/>
    <w:rsid w:val="007C482F"/>
    <w:rsid w:val="007C6371"/>
    <w:rsid w:val="007C672B"/>
    <w:rsid w:val="007D2756"/>
    <w:rsid w:val="007D280C"/>
    <w:rsid w:val="007D3C02"/>
    <w:rsid w:val="007D4395"/>
    <w:rsid w:val="007D4964"/>
    <w:rsid w:val="007D49A6"/>
    <w:rsid w:val="007D4B36"/>
    <w:rsid w:val="007D70B2"/>
    <w:rsid w:val="007D7313"/>
    <w:rsid w:val="007E0FC8"/>
    <w:rsid w:val="007E12FA"/>
    <w:rsid w:val="007E1C58"/>
    <w:rsid w:val="007E1D94"/>
    <w:rsid w:val="007E29EB"/>
    <w:rsid w:val="007E2B9F"/>
    <w:rsid w:val="007E4197"/>
    <w:rsid w:val="007E59FE"/>
    <w:rsid w:val="007E5C58"/>
    <w:rsid w:val="007E6320"/>
    <w:rsid w:val="007E640E"/>
    <w:rsid w:val="007E72D7"/>
    <w:rsid w:val="007F11F4"/>
    <w:rsid w:val="007F2366"/>
    <w:rsid w:val="007F2A06"/>
    <w:rsid w:val="007F4F74"/>
    <w:rsid w:val="007F5A11"/>
    <w:rsid w:val="007F62FA"/>
    <w:rsid w:val="007F6887"/>
    <w:rsid w:val="00801520"/>
    <w:rsid w:val="008020B9"/>
    <w:rsid w:val="0080321B"/>
    <w:rsid w:val="008057DB"/>
    <w:rsid w:val="00807805"/>
    <w:rsid w:val="00810C47"/>
    <w:rsid w:val="00810DC1"/>
    <w:rsid w:val="008122E0"/>
    <w:rsid w:val="0081279E"/>
    <w:rsid w:val="008139A3"/>
    <w:rsid w:val="008139C1"/>
    <w:rsid w:val="00813A79"/>
    <w:rsid w:val="0081473C"/>
    <w:rsid w:val="0081684A"/>
    <w:rsid w:val="00816BB8"/>
    <w:rsid w:val="00817F38"/>
    <w:rsid w:val="00820E4E"/>
    <w:rsid w:val="0082207A"/>
    <w:rsid w:val="00823429"/>
    <w:rsid w:val="008309E3"/>
    <w:rsid w:val="008314BA"/>
    <w:rsid w:val="00832337"/>
    <w:rsid w:val="00832B7B"/>
    <w:rsid w:val="00832FFA"/>
    <w:rsid w:val="008347F7"/>
    <w:rsid w:val="008353FC"/>
    <w:rsid w:val="00837C2E"/>
    <w:rsid w:val="00837FDA"/>
    <w:rsid w:val="00841543"/>
    <w:rsid w:val="00841833"/>
    <w:rsid w:val="008418E3"/>
    <w:rsid w:val="00842E49"/>
    <w:rsid w:val="00843D2B"/>
    <w:rsid w:val="00843FE0"/>
    <w:rsid w:val="00844357"/>
    <w:rsid w:val="008443F9"/>
    <w:rsid w:val="00844C65"/>
    <w:rsid w:val="00845862"/>
    <w:rsid w:val="00846311"/>
    <w:rsid w:val="008470F0"/>
    <w:rsid w:val="008473F7"/>
    <w:rsid w:val="00847750"/>
    <w:rsid w:val="008478D1"/>
    <w:rsid w:val="00850C3C"/>
    <w:rsid w:val="00851A9C"/>
    <w:rsid w:val="0085300C"/>
    <w:rsid w:val="008608E6"/>
    <w:rsid w:val="00860B78"/>
    <w:rsid w:val="00860BCC"/>
    <w:rsid w:val="00861880"/>
    <w:rsid w:val="0086195A"/>
    <w:rsid w:val="00861B47"/>
    <w:rsid w:val="0086229E"/>
    <w:rsid w:val="00862CED"/>
    <w:rsid w:val="0086480A"/>
    <w:rsid w:val="00864CD8"/>
    <w:rsid w:val="00867F87"/>
    <w:rsid w:val="00870279"/>
    <w:rsid w:val="00870603"/>
    <w:rsid w:val="0087096F"/>
    <w:rsid w:val="008755BA"/>
    <w:rsid w:val="00881208"/>
    <w:rsid w:val="00884FC6"/>
    <w:rsid w:val="0089080C"/>
    <w:rsid w:val="00890C8E"/>
    <w:rsid w:val="00895D8D"/>
    <w:rsid w:val="008A172E"/>
    <w:rsid w:val="008A1F51"/>
    <w:rsid w:val="008A2695"/>
    <w:rsid w:val="008A33D5"/>
    <w:rsid w:val="008A45E8"/>
    <w:rsid w:val="008A5D75"/>
    <w:rsid w:val="008A7719"/>
    <w:rsid w:val="008A7A9A"/>
    <w:rsid w:val="008B0AFD"/>
    <w:rsid w:val="008B3B41"/>
    <w:rsid w:val="008B44DA"/>
    <w:rsid w:val="008B4D42"/>
    <w:rsid w:val="008B5CA8"/>
    <w:rsid w:val="008B6FB0"/>
    <w:rsid w:val="008C1AB9"/>
    <w:rsid w:val="008C32CD"/>
    <w:rsid w:val="008C4891"/>
    <w:rsid w:val="008C64BD"/>
    <w:rsid w:val="008C7A4C"/>
    <w:rsid w:val="008C7F9B"/>
    <w:rsid w:val="008D1583"/>
    <w:rsid w:val="008D38F1"/>
    <w:rsid w:val="008D509B"/>
    <w:rsid w:val="008D53A8"/>
    <w:rsid w:val="008D716B"/>
    <w:rsid w:val="008E047F"/>
    <w:rsid w:val="008E0678"/>
    <w:rsid w:val="008E110C"/>
    <w:rsid w:val="008E11F8"/>
    <w:rsid w:val="008E4D3C"/>
    <w:rsid w:val="008E4E14"/>
    <w:rsid w:val="008E7F39"/>
    <w:rsid w:val="008F0A69"/>
    <w:rsid w:val="008F102D"/>
    <w:rsid w:val="008F14A2"/>
    <w:rsid w:val="008F4D5D"/>
    <w:rsid w:val="008F7204"/>
    <w:rsid w:val="009047FC"/>
    <w:rsid w:val="0090530E"/>
    <w:rsid w:val="009058EC"/>
    <w:rsid w:val="00905CA5"/>
    <w:rsid w:val="009064C3"/>
    <w:rsid w:val="00906858"/>
    <w:rsid w:val="00906E4E"/>
    <w:rsid w:val="00907177"/>
    <w:rsid w:val="009071AD"/>
    <w:rsid w:val="00907A06"/>
    <w:rsid w:val="00907A43"/>
    <w:rsid w:val="009131C0"/>
    <w:rsid w:val="0091413D"/>
    <w:rsid w:val="009155A6"/>
    <w:rsid w:val="00916FAC"/>
    <w:rsid w:val="009175F1"/>
    <w:rsid w:val="00920DC1"/>
    <w:rsid w:val="00920F09"/>
    <w:rsid w:val="00922FA5"/>
    <w:rsid w:val="00923B5B"/>
    <w:rsid w:val="00923DD8"/>
    <w:rsid w:val="00924FEC"/>
    <w:rsid w:val="009250A2"/>
    <w:rsid w:val="00926375"/>
    <w:rsid w:val="00930551"/>
    <w:rsid w:val="00931EF1"/>
    <w:rsid w:val="00932C17"/>
    <w:rsid w:val="0093307B"/>
    <w:rsid w:val="009331B2"/>
    <w:rsid w:val="009351F3"/>
    <w:rsid w:val="00937229"/>
    <w:rsid w:val="00941C1D"/>
    <w:rsid w:val="00941EF0"/>
    <w:rsid w:val="009423AA"/>
    <w:rsid w:val="009423AC"/>
    <w:rsid w:val="00943218"/>
    <w:rsid w:val="009453A2"/>
    <w:rsid w:val="00946AB1"/>
    <w:rsid w:val="009504B8"/>
    <w:rsid w:val="009517F6"/>
    <w:rsid w:val="00953281"/>
    <w:rsid w:val="00953B8E"/>
    <w:rsid w:val="00956565"/>
    <w:rsid w:val="00957FDC"/>
    <w:rsid w:val="009601AB"/>
    <w:rsid w:val="00960D92"/>
    <w:rsid w:val="00961947"/>
    <w:rsid w:val="00962C7C"/>
    <w:rsid w:val="00962F2C"/>
    <w:rsid w:val="0096331D"/>
    <w:rsid w:val="00963579"/>
    <w:rsid w:val="00963C26"/>
    <w:rsid w:val="00963D08"/>
    <w:rsid w:val="00963E4F"/>
    <w:rsid w:val="00965CA7"/>
    <w:rsid w:val="00966160"/>
    <w:rsid w:val="009672AC"/>
    <w:rsid w:val="00967EDD"/>
    <w:rsid w:val="00971910"/>
    <w:rsid w:val="00972B8E"/>
    <w:rsid w:val="00973A55"/>
    <w:rsid w:val="00974C45"/>
    <w:rsid w:val="00975A1E"/>
    <w:rsid w:val="00975C75"/>
    <w:rsid w:val="00980B13"/>
    <w:rsid w:val="00980F6D"/>
    <w:rsid w:val="00982E2D"/>
    <w:rsid w:val="00982F94"/>
    <w:rsid w:val="00983EDA"/>
    <w:rsid w:val="00985422"/>
    <w:rsid w:val="009867CF"/>
    <w:rsid w:val="00986DCF"/>
    <w:rsid w:val="00991021"/>
    <w:rsid w:val="00992A6C"/>
    <w:rsid w:val="00992B39"/>
    <w:rsid w:val="00996DF4"/>
    <w:rsid w:val="009A02E4"/>
    <w:rsid w:val="009A0A3D"/>
    <w:rsid w:val="009A1442"/>
    <w:rsid w:val="009A1C7C"/>
    <w:rsid w:val="009A2D3A"/>
    <w:rsid w:val="009A3F87"/>
    <w:rsid w:val="009A4F82"/>
    <w:rsid w:val="009A5325"/>
    <w:rsid w:val="009A659A"/>
    <w:rsid w:val="009A67B4"/>
    <w:rsid w:val="009A7570"/>
    <w:rsid w:val="009B475F"/>
    <w:rsid w:val="009B4A1E"/>
    <w:rsid w:val="009C0E14"/>
    <w:rsid w:val="009C1DA6"/>
    <w:rsid w:val="009C32A2"/>
    <w:rsid w:val="009C3472"/>
    <w:rsid w:val="009C6B17"/>
    <w:rsid w:val="009D2013"/>
    <w:rsid w:val="009D203D"/>
    <w:rsid w:val="009D558F"/>
    <w:rsid w:val="009E0477"/>
    <w:rsid w:val="009E0E03"/>
    <w:rsid w:val="009E12AC"/>
    <w:rsid w:val="009E1533"/>
    <w:rsid w:val="009E196E"/>
    <w:rsid w:val="009E1CB5"/>
    <w:rsid w:val="009E32E0"/>
    <w:rsid w:val="009E40D0"/>
    <w:rsid w:val="009E4365"/>
    <w:rsid w:val="009E4C53"/>
    <w:rsid w:val="009E52D8"/>
    <w:rsid w:val="009E5AB1"/>
    <w:rsid w:val="009E5CBB"/>
    <w:rsid w:val="009F096D"/>
    <w:rsid w:val="009F394D"/>
    <w:rsid w:val="009F3CC4"/>
    <w:rsid w:val="009F43BE"/>
    <w:rsid w:val="009F44E0"/>
    <w:rsid w:val="009F571B"/>
    <w:rsid w:val="009F5B90"/>
    <w:rsid w:val="009F6357"/>
    <w:rsid w:val="009F6C02"/>
    <w:rsid w:val="009F74B2"/>
    <w:rsid w:val="009F7D94"/>
    <w:rsid w:val="00A0147C"/>
    <w:rsid w:val="00A01902"/>
    <w:rsid w:val="00A02DC2"/>
    <w:rsid w:val="00A03480"/>
    <w:rsid w:val="00A04AF7"/>
    <w:rsid w:val="00A070B7"/>
    <w:rsid w:val="00A11CA2"/>
    <w:rsid w:val="00A12756"/>
    <w:rsid w:val="00A13D77"/>
    <w:rsid w:val="00A1573B"/>
    <w:rsid w:val="00A15EFB"/>
    <w:rsid w:val="00A230A8"/>
    <w:rsid w:val="00A246A8"/>
    <w:rsid w:val="00A2660D"/>
    <w:rsid w:val="00A2730C"/>
    <w:rsid w:val="00A27CF3"/>
    <w:rsid w:val="00A30BC4"/>
    <w:rsid w:val="00A30C4E"/>
    <w:rsid w:val="00A32843"/>
    <w:rsid w:val="00A33131"/>
    <w:rsid w:val="00A40C00"/>
    <w:rsid w:val="00A4126E"/>
    <w:rsid w:val="00A42D32"/>
    <w:rsid w:val="00A43BE4"/>
    <w:rsid w:val="00A46A63"/>
    <w:rsid w:val="00A47F91"/>
    <w:rsid w:val="00A520A0"/>
    <w:rsid w:val="00A54547"/>
    <w:rsid w:val="00A547CF"/>
    <w:rsid w:val="00A54B05"/>
    <w:rsid w:val="00A55E9E"/>
    <w:rsid w:val="00A56B65"/>
    <w:rsid w:val="00A57154"/>
    <w:rsid w:val="00A574FC"/>
    <w:rsid w:val="00A60A2E"/>
    <w:rsid w:val="00A60D3C"/>
    <w:rsid w:val="00A60F66"/>
    <w:rsid w:val="00A628C6"/>
    <w:rsid w:val="00A62AB4"/>
    <w:rsid w:val="00A63BA4"/>
    <w:rsid w:val="00A653EC"/>
    <w:rsid w:val="00A6711F"/>
    <w:rsid w:val="00A67BD6"/>
    <w:rsid w:val="00A70051"/>
    <w:rsid w:val="00A72527"/>
    <w:rsid w:val="00A727F9"/>
    <w:rsid w:val="00A72AD6"/>
    <w:rsid w:val="00A72EDD"/>
    <w:rsid w:val="00A75BF2"/>
    <w:rsid w:val="00A824D5"/>
    <w:rsid w:val="00A8270A"/>
    <w:rsid w:val="00A86745"/>
    <w:rsid w:val="00A928A8"/>
    <w:rsid w:val="00A93F20"/>
    <w:rsid w:val="00A94AAE"/>
    <w:rsid w:val="00A94C7E"/>
    <w:rsid w:val="00A9692C"/>
    <w:rsid w:val="00A97F66"/>
    <w:rsid w:val="00AA324F"/>
    <w:rsid w:val="00AA539D"/>
    <w:rsid w:val="00AA56B6"/>
    <w:rsid w:val="00AA763A"/>
    <w:rsid w:val="00AA7A54"/>
    <w:rsid w:val="00AB046D"/>
    <w:rsid w:val="00AB074C"/>
    <w:rsid w:val="00AB1416"/>
    <w:rsid w:val="00AB29C1"/>
    <w:rsid w:val="00AB50CF"/>
    <w:rsid w:val="00AC0055"/>
    <w:rsid w:val="00AC007F"/>
    <w:rsid w:val="00AC0677"/>
    <w:rsid w:val="00AC2558"/>
    <w:rsid w:val="00AC2F81"/>
    <w:rsid w:val="00AC3B25"/>
    <w:rsid w:val="00AC4DB2"/>
    <w:rsid w:val="00AC5119"/>
    <w:rsid w:val="00AC59E2"/>
    <w:rsid w:val="00AC6BA8"/>
    <w:rsid w:val="00AC711A"/>
    <w:rsid w:val="00AD046A"/>
    <w:rsid w:val="00AD258F"/>
    <w:rsid w:val="00AD3BBA"/>
    <w:rsid w:val="00AD3C09"/>
    <w:rsid w:val="00AD3C7F"/>
    <w:rsid w:val="00AD48C6"/>
    <w:rsid w:val="00AD4B16"/>
    <w:rsid w:val="00AD528D"/>
    <w:rsid w:val="00AD6C53"/>
    <w:rsid w:val="00AE433E"/>
    <w:rsid w:val="00AF1E7D"/>
    <w:rsid w:val="00AF26BD"/>
    <w:rsid w:val="00AF51F2"/>
    <w:rsid w:val="00B000EC"/>
    <w:rsid w:val="00B017D4"/>
    <w:rsid w:val="00B01EA1"/>
    <w:rsid w:val="00B03376"/>
    <w:rsid w:val="00B043A6"/>
    <w:rsid w:val="00B0560D"/>
    <w:rsid w:val="00B05895"/>
    <w:rsid w:val="00B05FC1"/>
    <w:rsid w:val="00B101C3"/>
    <w:rsid w:val="00B1049D"/>
    <w:rsid w:val="00B112A3"/>
    <w:rsid w:val="00B11A4B"/>
    <w:rsid w:val="00B120FE"/>
    <w:rsid w:val="00B12BC6"/>
    <w:rsid w:val="00B17AF0"/>
    <w:rsid w:val="00B239A7"/>
    <w:rsid w:val="00B245DB"/>
    <w:rsid w:val="00B26620"/>
    <w:rsid w:val="00B27045"/>
    <w:rsid w:val="00B27C98"/>
    <w:rsid w:val="00B300F4"/>
    <w:rsid w:val="00B30765"/>
    <w:rsid w:val="00B31DD6"/>
    <w:rsid w:val="00B32630"/>
    <w:rsid w:val="00B34CAA"/>
    <w:rsid w:val="00B412DC"/>
    <w:rsid w:val="00B41CD9"/>
    <w:rsid w:val="00B41DD3"/>
    <w:rsid w:val="00B426B4"/>
    <w:rsid w:val="00B46CCD"/>
    <w:rsid w:val="00B5039F"/>
    <w:rsid w:val="00B51FC9"/>
    <w:rsid w:val="00B5314F"/>
    <w:rsid w:val="00B54DDA"/>
    <w:rsid w:val="00B54F3A"/>
    <w:rsid w:val="00B567B2"/>
    <w:rsid w:val="00B56A7D"/>
    <w:rsid w:val="00B571FF"/>
    <w:rsid w:val="00B60946"/>
    <w:rsid w:val="00B6558E"/>
    <w:rsid w:val="00B67193"/>
    <w:rsid w:val="00B67D35"/>
    <w:rsid w:val="00B67E9F"/>
    <w:rsid w:val="00B70F4B"/>
    <w:rsid w:val="00B718C4"/>
    <w:rsid w:val="00B71B75"/>
    <w:rsid w:val="00B74F18"/>
    <w:rsid w:val="00B77617"/>
    <w:rsid w:val="00B77CBF"/>
    <w:rsid w:val="00B80F2E"/>
    <w:rsid w:val="00B829AB"/>
    <w:rsid w:val="00B82F45"/>
    <w:rsid w:val="00B83405"/>
    <w:rsid w:val="00B83F20"/>
    <w:rsid w:val="00B84E6B"/>
    <w:rsid w:val="00B86A84"/>
    <w:rsid w:val="00B9018E"/>
    <w:rsid w:val="00B903A5"/>
    <w:rsid w:val="00B905C3"/>
    <w:rsid w:val="00B92054"/>
    <w:rsid w:val="00B920B7"/>
    <w:rsid w:val="00B9478E"/>
    <w:rsid w:val="00B9488C"/>
    <w:rsid w:val="00B95859"/>
    <w:rsid w:val="00B96A70"/>
    <w:rsid w:val="00B97FB6"/>
    <w:rsid w:val="00BA05ED"/>
    <w:rsid w:val="00BA062A"/>
    <w:rsid w:val="00BA46D7"/>
    <w:rsid w:val="00BA48AB"/>
    <w:rsid w:val="00BA5670"/>
    <w:rsid w:val="00BA66CE"/>
    <w:rsid w:val="00BA7712"/>
    <w:rsid w:val="00BA7B09"/>
    <w:rsid w:val="00BB2044"/>
    <w:rsid w:val="00BB432B"/>
    <w:rsid w:val="00BB4DA6"/>
    <w:rsid w:val="00BC02C5"/>
    <w:rsid w:val="00BC2CDB"/>
    <w:rsid w:val="00BC371D"/>
    <w:rsid w:val="00BC4A6E"/>
    <w:rsid w:val="00BC548D"/>
    <w:rsid w:val="00BC6356"/>
    <w:rsid w:val="00BC6621"/>
    <w:rsid w:val="00BC6D78"/>
    <w:rsid w:val="00BD0BA6"/>
    <w:rsid w:val="00BD1290"/>
    <w:rsid w:val="00BD1A8F"/>
    <w:rsid w:val="00BD24D4"/>
    <w:rsid w:val="00BD4E7A"/>
    <w:rsid w:val="00BD5E18"/>
    <w:rsid w:val="00BD6E7A"/>
    <w:rsid w:val="00BE01B3"/>
    <w:rsid w:val="00BE09B6"/>
    <w:rsid w:val="00BE3B1F"/>
    <w:rsid w:val="00BE4F7B"/>
    <w:rsid w:val="00BE5598"/>
    <w:rsid w:val="00BE5A42"/>
    <w:rsid w:val="00BE6C70"/>
    <w:rsid w:val="00BE6DA3"/>
    <w:rsid w:val="00BE7612"/>
    <w:rsid w:val="00BF109A"/>
    <w:rsid w:val="00BF3586"/>
    <w:rsid w:val="00C03BA0"/>
    <w:rsid w:val="00C078B4"/>
    <w:rsid w:val="00C07D37"/>
    <w:rsid w:val="00C1073D"/>
    <w:rsid w:val="00C123A9"/>
    <w:rsid w:val="00C131D6"/>
    <w:rsid w:val="00C13379"/>
    <w:rsid w:val="00C13F24"/>
    <w:rsid w:val="00C15DA6"/>
    <w:rsid w:val="00C165DE"/>
    <w:rsid w:val="00C214C2"/>
    <w:rsid w:val="00C25ED7"/>
    <w:rsid w:val="00C26002"/>
    <w:rsid w:val="00C26983"/>
    <w:rsid w:val="00C274C9"/>
    <w:rsid w:val="00C30622"/>
    <w:rsid w:val="00C31586"/>
    <w:rsid w:val="00C31ADD"/>
    <w:rsid w:val="00C3339F"/>
    <w:rsid w:val="00C34EA3"/>
    <w:rsid w:val="00C3551D"/>
    <w:rsid w:val="00C35FC9"/>
    <w:rsid w:val="00C3704C"/>
    <w:rsid w:val="00C377C5"/>
    <w:rsid w:val="00C43BE1"/>
    <w:rsid w:val="00C44DBD"/>
    <w:rsid w:val="00C461DC"/>
    <w:rsid w:val="00C46671"/>
    <w:rsid w:val="00C46E46"/>
    <w:rsid w:val="00C50BA4"/>
    <w:rsid w:val="00C52F3F"/>
    <w:rsid w:val="00C55615"/>
    <w:rsid w:val="00C57FA6"/>
    <w:rsid w:val="00C60DFE"/>
    <w:rsid w:val="00C611F1"/>
    <w:rsid w:val="00C616EE"/>
    <w:rsid w:val="00C63123"/>
    <w:rsid w:val="00C640E1"/>
    <w:rsid w:val="00C6449E"/>
    <w:rsid w:val="00C64727"/>
    <w:rsid w:val="00C655DD"/>
    <w:rsid w:val="00C668FA"/>
    <w:rsid w:val="00C72066"/>
    <w:rsid w:val="00C74A04"/>
    <w:rsid w:val="00C81BE8"/>
    <w:rsid w:val="00C825D1"/>
    <w:rsid w:val="00C82BDE"/>
    <w:rsid w:val="00C84386"/>
    <w:rsid w:val="00C84DA9"/>
    <w:rsid w:val="00C8690B"/>
    <w:rsid w:val="00C872CC"/>
    <w:rsid w:val="00C875A8"/>
    <w:rsid w:val="00C8771D"/>
    <w:rsid w:val="00C87997"/>
    <w:rsid w:val="00C9040C"/>
    <w:rsid w:val="00C904F3"/>
    <w:rsid w:val="00C91D12"/>
    <w:rsid w:val="00C9646E"/>
    <w:rsid w:val="00CA164D"/>
    <w:rsid w:val="00CA3BD2"/>
    <w:rsid w:val="00CA429B"/>
    <w:rsid w:val="00CA6B0F"/>
    <w:rsid w:val="00CA7768"/>
    <w:rsid w:val="00CA792E"/>
    <w:rsid w:val="00CA7EF2"/>
    <w:rsid w:val="00CB162D"/>
    <w:rsid w:val="00CB1736"/>
    <w:rsid w:val="00CB5EF9"/>
    <w:rsid w:val="00CB77E9"/>
    <w:rsid w:val="00CC0327"/>
    <w:rsid w:val="00CC1E9D"/>
    <w:rsid w:val="00CC3C57"/>
    <w:rsid w:val="00CC4EE1"/>
    <w:rsid w:val="00CC6124"/>
    <w:rsid w:val="00CC671A"/>
    <w:rsid w:val="00CC72F2"/>
    <w:rsid w:val="00CC76BC"/>
    <w:rsid w:val="00CD01B1"/>
    <w:rsid w:val="00CD07D4"/>
    <w:rsid w:val="00CD12BB"/>
    <w:rsid w:val="00CD6611"/>
    <w:rsid w:val="00CD6966"/>
    <w:rsid w:val="00CE11ED"/>
    <w:rsid w:val="00CE1291"/>
    <w:rsid w:val="00CE2583"/>
    <w:rsid w:val="00CE289E"/>
    <w:rsid w:val="00CE3A9F"/>
    <w:rsid w:val="00CE3C02"/>
    <w:rsid w:val="00CE587F"/>
    <w:rsid w:val="00CE5A82"/>
    <w:rsid w:val="00CE6ED1"/>
    <w:rsid w:val="00CE72FB"/>
    <w:rsid w:val="00CE7DF7"/>
    <w:rsid w:val="00CF16E4"/>
    <w:rsid w:val="00CF31CB"/>
    <w:rsid w:val="00CF44DA"/>
    <w:rsid w:val="00D003B0"/>
    <w:rsid w:val="00D029DE"/>
    <w:rsid w:val="00D03BD1"/>
    <w:rsid w:val="00D06D79"/>
    <w:rsid w:val="00D10277"/>
    <w:rsid w:val="00D107FE"/>
    <w:rsid w:val="00D10961"/>
    <w:rsid w:val="00D14AB0"/>
    <w:rsid w:val="00D1521D"/>
    <w:rsid w:val="00D169BB"/>
    <w:rsid w:val="00D212C5"/>
    <w:rsid w:val="00D2148D"/>
    <w:rsid w:val="00D22C7B"/>
    <w:rsid w:val="00D23904"/>
    <w:rsid w:val="00D23B55"/>
    <w:rsid w:val="00D24065"/>
    <w:rsid w:val="00D24DCE"/>
    <w:rsid w:val="00D256AC"/>
    <w:rsid w:val="00D26994"/>
    <w:rsid w:val="00D320AC"/>
    <w:rsid w:val="00D3304B"/>
    <w:rsid w:val="00D359BF"/>
    <w:rsid w:val="00D36DB4"/>
    <w:rsid w:val="00D371D3"/>
    <w:rsid w:val="00D37299"/>
    <w:rsid w:val="00D4083C"/>
    <w:rsid w:val="00D42141"/>
    <w:rsid w:val="00D42448"/>
    <w:rsid w:val="00D42D11"/>
    <w:rsid w:val="00D430A0"/>
    <w:rsid w:val="00D44EEB"/>
    <w:rsid w:val="00D45141"/>
    <w:rsid w:val="00D4564B"/>
    <w:rsid w:val="00D47251"/>
    <w:rsid w:val="00D50B05"/>
    <w:rsid w:val="00D513C2"/>
    <w:rsid w:val="00D51EB8"/>
    <w:rsid w:val="00D53469"/>
    <w:rsid w:val="00D53C4A"/>
    <w:rsid w:val="00D55B61"/>
    <w:rsid w:val="00D56420"/>
    <w:rsid w:val="00D578D6"/>
    <w:rsid w:val="00D60251"/>
    <w:rsid w:val="00D61BA1"/>
    <w:rsid w:val="00D61EC4"/>
    <w:rsid w:val="00D63B93"/>
    <w:rsid w:val="00D644F7"/>
    <w:rsid w:val="00D64D43"/>
    <w:rsid w:val="00D6533E"/>
    <w:rsid w:val="00D66304"/>
    <w:rsid w:val="00D66B6B"/>
    <w:rsid w:val="00D675A8"/>
    <w:rsid w:val="00D67794"/>
    <w:rsid w:val="00D7004B"/>
    <w:rsid w:val="00D7190C"/>
    <w:rsid w:val="00D7207F"/>
    <w:rsid w:val="00D72152"/>
    <w:rsid w:val="00D72F0A"/>
    <w:rsid w:val="00D75AFF"/>
    <w:rsid w:val="00D75EC4"/>
    <w:rsid w:val="00D7634D"/>
    <w:rsid w:val="00D830F3"/>
    <w:rsid w:val="00D84245"/>
    <w:rsid w:val="00D84264"/>
    <w:rsid w:val="00D85B2B"/>
    <w:rsid w:val="00D86727"/>
    <w:rsid w:val="00D941C7"/>
    <w:rsid w:val="00D94661"/>
    <w:rsid w:val="00D94930"/>
    <w:rsid w:val="00D95A89"/>
    <w:rsid w:val="00D95D4E"/>
    <w:rsid w:val="00D966A4"/>
    <w:rsid w:val="00D966F4"/>
    <w:rsid w:val="00D97FC7"/>
    <w:rsid w:val="00DA1558"/>
    <w:rsid w:val="00DA1891"/>
    <w:rsid w:val="00DA31A6"/>
    <w:rsid w:val="00DA3763"/>
    <w:rsid w:val="00DA6543"/>
    <w:rsid w:val="00DB0A43"/>
    <w:rsid w:val="00DB6BA8"/>
    <w:rsid w:val="00DB7F50"/>
    <w:rsid w:val="00DC0AFF"/>
    <w:rsid w:val="00DC0D5D"/>
    <w:rsid w:val="00DC0F59"/>
    <w:rsid w:val="00DC1118"/>
    <w:rsid w:val="00DC1B4D"/>
    <w:rsid w:val="00DC278C"/>
    <w:rsid w:val="00DC315C"/>
    <w:rsid w:val="00DC35F5"/>
    <w:rsid w:val="00DC3D99"/>
    <w:rsid w:val="00DC3E2F"/>
    <w:rsid w:val="00DC5106"/>
    <w:rsid w:val="00DC63B9"/>
    <w:rsid w:val="00DC7379"/>
    <w:rsid w:val="00DD08E9"/>
    <w:rsid w:val="00DD334E"/>
    <w:rsid w:val="00DD4B17"/>
    <w:rsid w:val="00DD53B0"/>
    <w:rsid w:val="00DD5B2C"/>
    <w:rsid w:val="00DD5CAA"/>
    <w:rsid w:val="00DE06BD"/>
    <w:rsid w:val="00DE1107"/>
    <w:rsid w:val="00DE2848"/>
    <w:rsid w:val="00DE3511"/>
    <w:rsid w:val="00DE3CCF"/>
    <w:rsid w:val="00DE403C"/>
    <w:rsid w:val="00DE459E"/>
    <w:rsid w:val="00DE5FE8"/>
    <w:rsid w:val="00DE66E7"/>
    <w:rsid w:val="00DE7104"/>
    <w:rsid w:val="00DF2795"/>
    <w:rsid w:val="00DF4176"/>
    <w:rsid w:val="00DF4C0F"/>
    <w:rsid w:val="00DF5045"/>
    <w:rsid w:val="00DF5BB3"/>
    <w:rsid w:val="00DF62F9"/>
    <w:rsid w:val="00DF7057"/>
    <w:rsid w:val="00DF7937"/>
    <w:rsid w:val="00E0023D"/>
    <w:rsid w:val="00E0111A"/>
    <w:rsid w:val="00E01169"/>
    <w:rsid w:val="00E02E01"/>
    <w:rsid w:val="00E04563"/>
    <w:rsid w:val="00E07309"/>
    <w:rsid w:val="00E07C98"/>
    <w:rsid w:val="00E1281A"/>
    <w:rsid w:val="00E14896"/>
    <w:rsid w:val="00E1628E"/>
    <w:rsid w:val="00E208B5"/>
    <w:rsid w:val="00E20BEE"/>
    <w:rsid w:val="00E21947"/>
    <w:rsid w:val="00E21C42"/>
    <w:rsid w:val="00E225FB"/>
    <w:rsid w:val="00E22E25"/>
    <w:rsid w:val="00E22F70"/>
    <w:rsid w:val="00E2655E"/>
    <w:rsid w:val="00E32CEB"/>
    <w:rsid w:val="00E337BC"/>
    <w:rsid w:val="00E34B24"/>
    <w:rsid w:val="00E35CAB"/>
    <w:rsid w:val="00E35CAD"/>
    <w:rsid w:val="00E37145"/>
    <w:rsid w:val="00E40019"/>
    <w:rsid w:val="00E40492"/>
    <w:rsid w:val="00E4058F"/>
    <w:rsid w:val="00E40F2A"/>
    <w:rsid w:val="00E42948"/>
    <w:rsid w:val="00E42DC1"/>
    <w:rsid w:val="00E44814"/>
    <w:rsid w:val="00E44FFF"/>
    <w:rsid w:val="00E4610E"/>
    <w:rsid w:val="00E4738F"/>
    <w:rsid w:val="00E51633"/>
    <w:rsid w:val="00E5245D"/>
    <w:rsid w:val="00E549AA"/>
    <w:rsid w:val="00E54B99"/>
    <w:rsid w:val="00E55819"/>
    <w:rsid w:val="00E560F1"/>
    <w:rsid w:val="00E6161B"/>
    <w:rsid w:val="00E61FCC"/>
    <w:rsid w:val="00E62057"/>
    <w:rsid w:val="00E6290C"/>
    <w:rsid w:val="00E62ED4"/>
    <w:rsid w:val="00E6334B"/>
    <w:rsid w:val="00E651D0"/>
    <w:rsid w:val="00E653C7"/>
    <w:rsid w:val="00E67634"/>
    <w:rsid w:val="00E701CD"/>
    <w:rsid w:val="00E731A1"/>
    <w:rsid w:val="00E81BCB"/>
    <w:rsid w:val="00E82AD6"/>
    <w:rsid w:val="00E82E2C"/>
    <w:rsid w:val="00E8477B"/>
    <w:rsid w:val="00E84C73"/>
    <w:rsid w:val="00E91F16"/>
    <w:rsid w:val="00EA0835"/>
    <w:rsid w:val="00EA12F8"/>
    <w:rsid w:val="00EA219D"/>
    <w:rsid w:val="00EA2B7E"/>
    <w:rsid w:val="00EA6CBC"/>
    <w:rsid w:val="00EB0229"/>
    <w:rsid w:val="00EB0BA2"/>
    <w:rsid w:val="00EB113C"/>
    <w:rsid w:val="00EB178D"/>
    <w:rsid w:val="00EB2177"/>
    <w:rsid w:val="00EB225D"/>
    <w:rsid w:val="00EB3C97"/>
    <w:rsid w:val="00EB497E"/>
    <w:rsid w:val="00EB658B"/>
    <w:rsid w:val="00EB69C2"/>
    <w:rsid w:val="00EB74C1"/>
    <w:rsid w:val="00EC18F1"/>
    <w:rsid w:val="00EC2B47"/>
    <w:rsid w:val="00EC2C8C"/>
    <w:rsid w:val="00EC3079"/>
    <w:rsid w:val="00EC44CD"/>
    <w:rsid w:val="00EC454B"/>
    <w:rsid w:val="00EC4D79"/>
    <w:rsid w:val="00EC511E"/>
    <w:rsid w:val="00EC5F37"/>
    <w:rsid w:val="00ED1496"/>
    <w:rsid w:val="00ED187D"/>
    <w:rsid w:val="00ED27CB"/>
    <w:rsid w:val="00ED3B99"/>
    <w:rsid w:val="00ED5530"/>
    <w:rsid w:val="00ED67F0"/>
    <w:rsid w:val="00ED7DAF"/>
    <w:rsid w:val="00ED7F88"/>
    <w:rsid w:val="00EE3498"/>
    <w:rsid w:val="00EE3BB1"/>
    <w:rsid w:val="00EE50B9"/>
    <w:rsid w:val="00EE5257"/>
    <w:rsid w:val="00EE7488"/>
    <w:rsid w:val="00EE7EA8"/>
    <w:rsid w:val="00EF04A1"/>
    <w:rsid w:val="00EF1488"/>
    <w:rsid w:val="00EF1E76"/>
    <w:rsid w:val="00EF3FF1"/>
    <w:rsid w:val="00EF4571"/>
    <w:rsid w:val="00EF564A"/>
    <w:rsid w:val="00EF778C"/>
    <w:rsid w:val="00F02D20"/>
    <w:rsid w:val="00F03EAC"/>
    <w:rsid w:val="00F0584C"/>
    <w:rsid w:val="00F05FB0"/>
    <w:rsid w:val="00F10080"/>
    <w:rsid w:val="00F113B0"/>
    <w:rsid w:val="00F1264C"/>
    <w:rsid w:val="00F1534B"/>
    <w:rsid w:val="00F16179"/>
    <w:rsid w:val="00F17F04"/>
    <w:rsid w:val="00F20246"/>
    <w:rsid w:val="00F22756"/>
    <w:rsid w:val="00F233D8"/>
    <w:rsid w:val="00F25618"/>
    <w:rsid w:val="00F2761F"/>
    <w:rsid w:val="00F312FC"/>
    <w:rsid w:val="00F31D7C"/>
    <w:rsid w:val="00F31EB6"/>
    <w:rsid w:val="00F34DC7"/>
    <w:rsid w:val="00F358A8"/>
    <w:rsid w:val="00F363B9"/>
    <w:rsid w:val="00F40BFC"/>
    <w:rsid w:val="00F41101"/>
    <w:rsid w:val="00F42C31"/>
    <w:rsid w:val="00F432B1"/>
    <w:rsid w:val="00F4350A"/>
    <w:rsid w:val="00F44A8B"/>
    <w:rsid w:val="00F45328"/>
    <w:rsid w:val="00F508A3"/>
    <w:rsid w:val="00F51096"/>
    <w:rsid w:val="00F517C3"/>
    <w:rsid w:val="00F51CD7"/>
    <w:rsid w:val="00F52075"/>
    <w:rsid w:val="00F52EEF"/>
    <w:rsid w:val="00F5330E"/>
    <w:rsid w:val="00F551D5"/>
    <w:rsid w:val="00F57548"/>
    <w:rsid w:val="00F605E4"/>
    <w:rsid w:val="00F606ED"/>
    <w:rsid w:val="00F60856"/>
    <w:rsid w:val="00F63CFD"/>
    <w:rsid w:val="00F63D21"/>
    <w:rsid w:val="00F64434"/>
    <w:rsid w:val="00F64482"/>
    <w:rsid w:val="00F64498"/>
    <w:rsid w:val="00F64579"/>
    <w:rsid w:val="00F65568"/>
    <w:rsid w:val="00F65623"/>
    <w:rsid w:val="00F65B8F"/>
    <w:rsid w:val="00F66B71"/>
    <w:rsid w:val="00F67A22"/>
    <w:rsid w:val="00F67D08"/>
    <w:rsid w:val="00F67EFB"/>
    <w:rsid w:val="00F7083B"/>
    <w:rsid w:val="00F70CBA"/>
    <w:rsid w:val="00F7168B"/>
    <w:rsid w:val="00F742F1"/>
    <w:rsid w:val="00F74832"/>
    <w:rsid w:val="00F759F4"/>
    <w:rsid w:val="00F7660E"/>
    <w:rsid w:val="00F77803"/>
    <w:rsid w:val="00F77947"/>
    <w:rsid w:val="00F805C2"/>
    <w:rsid w:val="00F810C0"/>
    <w:rsid w:val="00F81430"/>
    <w:rsid w:val="00F818E2"/>
    <w:rsid w:val="00F86DAF"/>
    <w:rsid w:val="00F90F78"/>
    <w:rsid w:val="00F92C1F"/>
    <w:rsid w:val="00F93877"/>
    <w:rsid w:val="00F93EB8"/>
    <w:rsid w:val="00F93EF3"/>
    <w:rsid w:val="00F945CD"/>
    <w:rsid w:val="00F96986"/>
    <w:rsid w:val="00FA27DF"/>
    <w:rsid w:val="00FA33A5"/>
    <w:rsid w:val="00FA4826"/>
    <w:rsid w:val="00FA4EE7"/>
    <w:rsid w:val="00FA74C7"/>
    <w:rsid w:val="00FA7CC4"/>
    <w:rsid w:val="00FB3C03"/>
    <w:rsid w:val="00FB65AE"/>
    <w:rsid w:val="00FC060E"/>
    <w:rsid w:val="00FC159E"/>
    <w:rsid w:val="00FC1EFA"/>
    <w:rsid w:val="00FC2CB8"/>
    <w:rsid w:val="00FC3698"/>
    <w:rsid w:val="00FC3E35"/>
    <w:rsid w:val="00FC429E"/>
    <w:rsid w:val="00FC42D5"/>
    <w:rsid w:val="00FC661B"/>
    <w:rsid w:val="00FC7C0C"/>
    <w:rsid w:val="00FC7FD0"/>
    <w:rsid w:val="00FD0408"/>
    <w:rsid w:val="00FD1841"/>
    <w:rsid w:val="00FD24FF"/>
    <w:rsid w:val="00FD39DE"/>
    <w:rsid w:val="00FD49D7"/>
    <w:rsid w:val="00FD6082"/>
    <w:rsid w:val="00FD69C9"/>
    <w:rsid w:val="00FD7D68"/>
    <w:rsid w:val="00FE0469"/>
    <w:rsid w:val="00FE0A11"/>
    <w:rsid w:val="00FE0D9F"/>
    <w:rsid w:val="00FE1194"/>
    <w:rsid w:val="00FE1381"/>
    <w:rsid w:val="00FE20C4"/>
    <w:rsid w:val="00FE2AF3"/>
    <w:rsid w:val="00FE3D79"/>
    <w:rsid w:val="00FE4718"/>
    <w:rsid w:val="00FE79C3"/>
    <w:rsid w:val="00FE7A1F"/>
    <w:rsid w:val="00FF1726"/>
    <w:rsid w:val="00FF34B2"/>
    <w:rsid w:val="00FF42EE"/>
    <w:rsid w:val="00FF5BB4"/>
    <w:rsid w:val="016E044A"/>
    <w:rsid w:val="070B5632"/>
    <w:rsid w:val="0C482343"/>
    <w:rsid w:val="10690942"/>
    <w:rsid w:val="16D05547"/>
    <w:rsid w:val="18704CB4"/>
    <w:rsid w:val="192E28F8"/>
    <w:rsid w:val="22C80A1D"/>
    <w:rsid w:val="234A45D7"/>
    <w:rsid w:val="28E92B74"/>
    <w:rsid w:val="2AF42FD1"/>
    <w:rsid w:val="2BBB659C"/>
    <w:rsid w:val="2CF17ED9"/>
    <w:rsid w:val="2D491F9E"/>
    <w:rsid w:val="2DD6396D"/>
    <w:rsid w:val="2EE3075D"/>
    <w:rsid w:val="2F20599A"/>
    <w:rsid w:val="2FE50BA9"/>
    <w:rsid w:val="317F0BCA"/>
    <w:rsid w:val="32832A04"/>
    <w:rsid w:val="391C28EE"/>
    <w:rsid w:val="3A6C3919"/>
    <w:rsid w:val="3B7A0F58"/>
    <w:rsid w:val="3C672EE2"/>
    <w:rsid w:val="44EC2953"/>
    <w:rsid w:val="48960B41"/>
    <w:rsid w:val="493733B5"/>
    <w:rsid w:val="49EC224C"/>
    <w:rsid w:val="4C4C62F7"/>
    <w:rsid w:val="4E025AA8"/>
    <w:rsid w:val="4FD37F56"/>
    <w:rsid w:val="50CE10DD"/>
    <w:rsid w:val="55A0308A"/>
    <w:rsid w:val="578463F3"/>
    <w:rsid w:val="6B3E697D"/>
    <w:rsid w:val="6C6622CE"/>
    <w:rsid w:val="6D802E29"/>
    <w:rsid w:val="6E3C6504"/>
    <w:rsid w:val="6F3335BA"/>
    <w:rsid w:val="6FEE7313"/>
    <w:rsid w:val="76A76695"/>
    <w:rsid w:val="76B83536"/>
    <w:rsid w:val="76E521D9"/>
    <w:rsid w:val="7A241826"/>
    <w:rsid w:val="7AC44EE1"/>
    <w:rsid w:val="7B8239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qFormat/>
    <w:uiPriority w:val="0"/>
    <w:pPr>
      <w:spacing w:line="360" w:lineRule="auto"/>
      <w:jc w:val="left"/>
    </w:pPr>
    <w:rPr>
      <w:rFonts w:ascii="宋体" w:hAnsi="宋体" w:eastAsia="宋体" w:cs="Times New Roman"/>
      <w:szCs w:val="24"/>
    </w:rPr>
  </w:style>
  <w:style w:type="paragraph" w:styleId="3">
    <w:name w:val="Body Text"/>
    <w:basedOn w:val="1"/>
    <w:unhideWhenUsed/>
    <w:qFormat/>
    <w:uiPriority w:val="99"/>
    <w:pPr>
      <w:spacing w:after="120"/>
    </w:pPr>
    <w:rPr>
      <w:rFonts w:eastAsia="仿宋_GB2312"/>
    </w:rPr>
  </w:style>
  <w:style w:type="paragraph" w:styleId="4">
    <w:name w:val="Body Text Indent"/>
    <w:basedOn w:val="1"/>
    <w:link w:val="16"/>
    <w:qFormat/>
    <w:uiPriority w:val="0"/>
    <w:pPr>
      <w:ind w:firstLine="420"/>
    </w:pPr>
    <w:rPr>
      <w:rFonts w:ascii="Times New Roman" w:hAnsi="Times New Roman" w:eastAsia="宋体" w:cs="Times New Roman"/>
      <w:sz w:val="24"/>
      <w:szCs w:val="24"/>
    </w:rPr>
  </w:style>
  <w:style w:type="paragraph" w:styleId="5">
    <w:name w:val="Balloon Text"/>
    <w:basedOn w:val="1"/>
    <w:link w:val="12"/>
    <w:semiHidden/>
    <w:unhideWhenUsed/>
    <w:qFormat/>
    <w:uiPriority w:val="99"/>
    <w:rPr>
      <w:sz w:val="18"/>
      <w:szCs w:val="18"/>
    </w:rPr>
  </w:style>
  <w:style w:type="paragraph" w:styleId="6">
    <w:name w:val="footer"/>
    <w:basedOn w:val="1"/>
    <w:link w:val="14"/>
    <w:semiHidden/>
    <w:unhideWhenUsed/>
    <w:qFormat/>
    <w:uiPriority w:val="99"/>
    <w:pPr>
      <w:tabs>
        <w:tab w:val="center" w:pos="4153"/>
        <w:tab w:val="right" w:pos="8306"/>
      </w:tabs>
      <w:snapToGrid w:val="0"/>
      <w:jc w:val="left"/>
    </w:pPr>
    <w:rPr>
      <w:sz w:val="18"/>
      <w:szCs w:val="18"/>
    </w:rPr>
  </w:style>
  <w:style w:type="paragraph" w:styleId="7">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styleId="10">
    <w:name w:val="Table Grid"/>
    <w:basedOn w:val="9"/>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2">
    <w:name w:val="批注框文本 Char"/>
    <w:basedOn w:val="11"/>
    <w:link w:val="5"/>
    <w:semiHidden/>
    <w:qFormat/>
    <w:uiPriority w:val="99"/>
    <w:rPr>
      <w:sz w:val="18"/>
      <w:szCs w:val="18"/>
    </w:rPr>
  </w:style>
  <w:style w:type="character" w:customStyle="1" w:styleId="13">
    <w:name w:val="页眉 Char"/>
    <w:basedOn w:val="11"/>
    <w:link w:val="7"/>
    <w:semiHidden/>
    <w:qFormat/>
    <w:uiPriority w:val="99"/>
    <w:rPr>
      <w:sz w:val="18"/>
      <w:szCs w:val="18"/>
    </w:rPr>
  </w:style>
  <w:style w:type="character" w:customStyle="1" w:styleId="14">
    <w:name w:val="页脚 Char"/>
    <w:basedOn w:val="11"/>
    <w:link w:val="6"/>
    <w:semiHidden/>
    <w:qFormat/>
    <w:uiPriority w:val="99"/>
    <w:rPr>
      <w:sz w:val="18"/>
      <w:szCs w:val="18"/>
    </w:rPr>
  </w:style>
  <w:style w:type="paragraph" w:customStyle="1" w:styleId="15">
    <w:name w:val="章标题"/>
    <w:next w:val="1"/>
    <w:qFormat/>
    <w:uiPriority w:val="0"/>
    <w:pPr>
      <w:spacing w:beforeLines="50" w:afterLines="50"/>
      <w:jc w:val="both"/>
      <w:outlineLvl w:val="1"/>
    </w:pPr>
    <w:rPr>
      <w:rFonts w:ascii="黑体" w:hAnsi="Times New Roman" w:eastAsia="黑体" w:cs="Times New Roman"/>
      <w:kern w:val="0"/>
      <w:sz w:val="21"/>
      <w:szCs w:val="20"/>
      <w:lang w:val="en-US" w:eastAsia="zh-CN" w:bidi="ar-SA"/>
    </w:rPr>
  </w:style>
  <w:style w:type="character" w:customStyle="1" w:styleId="16">
    <w:name w:val="正文文本缩进 Char"/>
    <w:basedOn w:val="11"/>
    <w:link w:val="4"/>
    <w:qFormat/>
    <w:uiPriority w:val="0"/>
    <w:rPr>
      <w:rFonts w:ascii="Times New Roman" w:hAnsi="Times New Roman" w:eastAsia="宋体" w:cs="Times New Roman"/>
      <w:sz w:val="24"/>
      <w:szCs w:val="24"/>
    </w:rPr>
  </w:style>
  <w:style w:type="character" w:customStyle="1" w:styleId="17">
    <w:name w:val="批注文字 Char"/>
    <w:basedOn w:val="11"/>
    <w:link w:val="2"/>
    <w:qFormat/>
    <w:uiPriority w:val="0"/>
    <w:rPr>
      <w:rFonts w:ascii="宋体" w:hAnsi="宋体" w:eastAsia="宋体" w:cs="Times New Roman"/>
      <w:szCs w:val="24"/>
    </w:rPr>
  </w:style>
  <w:style w:type="paragraph" w:styleId="18">
    <w:name w:val="List Paragraph"/>
    <w:basedOn w:val="1"/>
    <w:qFormat/>
    <w:uiPriority w:val="34"/>
    <w:pPr>
      <w:ind w:firstLine="420" w:firstLineChars="200"/>
    </w:pPr>
  </w:style>
  <w:style w:type="paragraph" w:customStyle="1" w:styleId="19">
    <w:name w:val="段"/>
    <w:link w:val="20"/>
    <w:qFormat/>
    <w:uiPriority w:val="0"/>
    <w:pPr>
      <w:autoSpaceDE w:val="0"/>
      <w:autoSpaceDN w:val="0"/>
      <w:ind w:firstLine="200" w:firstLineChars="200"/>
      <w:jc w:val="both"/>
    </w:pPr>
    <w:rPr>
      <w:rFonts w:ascii="宋体" w:hAnsi="Times New Roman" w:eastAsia="宋体" w:cs="Times New Roman"/>
      <w:kern w:val="0"/>
      <w:sz w:val="21"/>
      <w:szCs w:val="22"/>
      <w:lang w:val="en-US" w:eastAsia="zh-CN" w:bidi="ar-SA"/>
    </w:rPr>
  </w:style>
  <w:style w:type="character" w:customStyle="1" w:styleId="20">
    <w:name w:val="段 Char"/>
    <w:link w:val="19"/>
    <w:qFormat/>
    <w:uiPriority w:val="0"/>
    <w:rPr>
      <w:rFonts w:ascii="宋体" w:hAnsi="Times New Roman" w:eastAsia="宋体" w:cs="Times New Roman"/>
      <w:kern w:val="0"/>
    </w:rPr>
  </w:style>
  <w:style w:type="paragraph" w:customStyle="1" w:styleId="21">
    <w:name w:val="Table Paragraph"/>
    <w:basedOn w:val="1"/>
    <w:qFormat/>
    <w:uiPriority w:val="1"/>
    <w:pPr>
      <w:jc w:val="center"/>
    </w:pPr>
    <w:rPr>
      <w:rFonts w:ascii="宋体" w:hAnsi="宋体" w:eastAsia="宋体" w:cs="宋体"/>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32C55B-7085-467F-ABDB-CBEB33EA7829}">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11</Pages>
  <Words>7469</Words>
  <Characters>8014</Characters>
  <Lines>68</Lines>
  <Paragraphs>19</Paragraphs>
  <TotalTime>11</TotalTime>
  <ScaleCrop>false</ScaleCrop>
  <LinksUpToDate>false</LinksUpToDate>
  <CharactersWithSpaces>8111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2022-08-03T02:17:00Z</dcterms:created>
  <dc:creator>Sky123.Org</dc:creator>
  <cp:lastModifiedBy>舒良</cp:lastModifiedBy>
  <dcterms:modified xsi:type="dcterms:W3CDTF">2026-07-22T03:06:19Z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59F76983D4F64125AC56C8EAF6286182_13</vt:lpwstr>
  </property>
  <property fmtid="{D5CDD505-2E9C-101B-9397-08002B2CF9AE}" pid="4" name="KSOTemplateDocerSaveRecord">
    <vt:lpwstr>eyJoZGlkIjoiOTY3ZGE4ZGQwMThjOGU1MmI3NGMyMWYzNWNiOTVlZmMiLCJ1c2VySWQiOiIxNDc5NjExNTY4In0=</vt:lpwstr>
  </property>
</Properties>
</file>