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855"/>
      </w:tblGrid>
      <w:tr w14:paraId="36B0A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855" w:type="dxa"/>
          </w:tcPr>
          <w:p w14:paraId="68480F2F">
            <w:pPr>
              <w:pStyle w:val="10"/>
              <w:tabs>
                <w:tab w:val="clear" w:pos="4153"/>
                <w:tab w:val="clear" w:pos="8306"/>
              </w:tabs>
              <w:spacing w:line="240" w:lineRule="auto"/>
              <w:ind w:left="0" w:leftChars="0" w:firstLine="0" w:firstLineChars="0"/>
              <w:jc w:val="both"/>
              <w:rPr>
                <w:rFonts w:hint="eastAsia" w:ascii="黑体" w:hAnsi="黑体" w:eastAsia="黑体"/>
                <w:sz w:val="21"/>
                <w:szCs w:val="21"/>
              </w:rPr>
            </w:pPr>
            <w:bookmarkStart w:id="0" w:name="SectionMark0"/>
            <w:bookmarkStart w:id="1" w:name="_Toc37578707"/>
            <w:bookmarkStart w:id="2" w:name="_Toc40326638"/>
            <w:bookmarkStart w:id="3" w:name="_Toc37578964"/>
            <w:bookmarkStart w:id="4" w:name="_Toc40326564"/>
            <w:bookmarkStart w:id="5" w:name="_Toc106095307"/>
            <w:r>
              <w:rPr>
                <w:rFonts w:ascii="Times New Roman" w:hAnsi="Times New Roman" w:eastAsia="黑体"/>
                <w:sz w:val="21"/>
                <w:szCs w:val="21"/>
              </w:rPr>
              <w:t>ICS</w:t>
            </w:r>
            <w:r>
              <w:rPr>
                <w:rFonts w:hint="eastAsia" w:ascii="Times New Roman" w:hAnsi="Times New Roman" w:eastAsia="黑体"/>
                <w:sz w:val="21"/>
                <w:szCs w:val="21"/>
                <w:lang w:val="en-US" w:eastAsia="zh-CN"/>
              </w:rPr>
              <w:t xml:space="preserve">  </w:t>
            </w:r>
          </w:p>
        </w:tc>
      </w:tr>
      <w:tr w14:paraId="6C37C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855" w:type="dxa"/>
          </w:tcPr>
          <w:p w14:paraId="3DD733A8">
            <w:pPr>
              <w:pStyle w:val="10"/>
              <w:tabs>
                <w:tab w:val="clear" w:pos="4153"/>
                <w:tab w:val="clear" w:pos="8306"/>
              </w:tabs>
              <w:spacing w:before="40" w:line="240" w:lineRule="auto"/>
              <w:ind w:left="0" w:leftChars="0" w:firstLine="0" w:firstLineChars="0"/>
              <w:jc w:val="left"/>
              <w:rPr>
                <w:rFonts w:hint="eastAsia" w:ascii="黑体" w:hAnsi="黑体" w:eastAsia="黑体"/>
                <w:sz w:val="21"/>
                <w:szCs w:val="21"/>
              </w:rPr>
            </w:pPr>
            <w:r>
              <w:rPr>
                <w:rFonts w:ascii="Times New Roman" w:hAnsi="Times New Roman" w:eastAsia="黑体"/>
                <w:sz w:val="21"/>
                <w:szCs w:val="21"/>
              </w:rPr>
              <w:t>CCS</w:t>
            </w:r>
            <w:r>
              <w:rPr>
                <w:rFonts w:hint="eastAsia" w:ascii="Times New Roman" w:hAnsi="Times New Roman" w:eastAsia="黑体"/>
                <w:sz w:val="21"/>
                <w:szCs w:val="21"/>
                <w:lang w:val="en-US" w:eastAsia="zh-CN"/>
              </w:rPr>
              <w:t xml:space="preserve"> </w:t>
            </w:r>
          </w:p>
        </w:tc>
      </w:tr>
    </w:tbl>
    <w:p w14:paraId="5EAC8149">
      <w:pPr>
        <w:pStyle w:val="54"/>
        <w:framePr w:w="9639" w:h="624" w:hRule="exact" w:hSpace="181" w:vSpace="181" w:wrap="around" w:hAnchor="page" w:x="1305" w:y="2269"/>
      </w:pPr>
      <w:bookmarkStart w:id="6" w:name="_Hlk26473981"/>
      <w:r>
        <w:rPr>
          <w:rFonts w:hint="eastAsia"/>
        </w:rPr>
        <w:t>中华人民共和国国家标准</w:t>
      </w:r>
    </w:p>
    <w:bookmarkEnd w:id="6"/>
    <w:p w14:paraId="15F0D1EF">
      <w:pPr>
        <w:pStyle w:val="55"/>
        <w:rPr>
          <w:lang w:val="fr-FR"/>
        </w:rPr>
      </w:pPr>
      <w:r>
        <w:fldChar w:fldCharType="begin">
          <w:ffData>
            <w:name w:val="文字1"/>
            <w:enabled/>
            <w:calcOnExit w:val="0"/>
            <w:textInput>
              <w:default w:val="GB/T"/>
            </w:textInput>
          </w:ffData>
        </w:fldChar>
      </w:r>
      <w:bookmarkStart w:id="7" w:name="文字1"/>
      <w:r>
        <w:rPr>
          <w:lang w:val="fr-FR"/>
        </w:rPr>
        <w:instrText xml:space="preserve"> FORMTEXT </w:instrText>
      </w:r>
      <w:r>
        <w:fldChar w:fldCharType="separate"/>
      </w:r>
      <w:r>
        <w:rPr>
          <w:lang w:val="fr-FR"/>
        </w:rPr>
        <w:t>GB/T</w:t>
      </w:r>
      <w:r>
        <w:fldChar w:fldCharType="end"/>
      </w:r>
      <w:bookmarkEnd w:id="7"/>
      <w:r>
        <w:rPr>
          <w:lang w:val="fr-FR"/>
        </w:rPr>
        <w:t xml:space="preserve"> </w:t>
      </w:r>
      <w:r>
        <w:fldChar w:fldCharType="begin">
          <w:ffData>
            <w:name w:val="NSTD_CODE_F"/>
            <w:enabled/>
            <w:calcOnExit w:val="0"/>
            <w:textInput>
              <w:default w:val="XXXXX"/>
            </w:textInput>
          </w:ffData>
        </w:fldChar>
      </w:r>
      <w:bookmarkStart w:id="8" w:name="NSTD_CODE_F"/>
      <w:r>
        <w:rPr>
          <w:lang w:val="fr-FR"/>
        </w:rPr>
        <w:instrText xml:space="preserve"> FORMTEXT </w:instrText>
      </w:r>
      <w:r>
        <w:fldChar w:fldCharType="separate"/>
      </w:r>
      <w:r>
        <w:rPr>
          <w:lang w:val="fr-FR"/>
        </w:rPr>
        <w:t>XXXXX</w:t>
      </w:r>
      <w:r>
        <w:fldChar w:fldCharType="end"/>
      </w:r>
      <w:bookmarkEnd w:id="8"/>
      <w:r>
        <w:rPr>
          <w:rFonts w:hAnsi="黑体"/>
          <w:lang w:val="fr-FR"/>
        </w:rPr>
        <w:t>—</w:t>
      </w:r>
      <w:r>
        <w:fldChar w:fldCharType="begin">
          <w:ffData>
            <w:name w:val="NSTD_CODE_B"/>
            <w:enabled/>
            <w:calcOnExit w:val="0"/>
            <w:textInput>
              <w:default w:val="XXXX"/>
            </w:textInput>
          </w:ffData>
        </w:fldChar>
      </w:r>
      <w:bookmarkStart w:id="9" w:name="NSTD_CODE_B"/>
      <w:r>
        <w:rPr>
          <w:lang w:val="fr-FR"/>
        </w:rPr>
        <w:instrText xml:space="preserve"> FORMTEXT </w:instrText>
      </w:r>
      <w:r>
        <w:fldChar w:fldCharType="separate"/>
      </w:r>
      <w:r>
        <w:rPr>
          <w:lang w:val="fr-FR"/>
        </w:rPr>
        <w:t>XXXX</w:t>
      </w:r>
      <w:r>
        <w:fldChar w:fldCharType="end"/>
      </w:r>
      <w:bookmarkEnd w:id="9"/>
    </w:p>
    <w:p w14:paraId="6C37064C">
      <w:pPr>
        <w:pStyle w:val="57"/>
        <w:rPr>
          <w:rFonts w:hint="eastAsia" w:hAnsi="黑体"/>
        </w:rPr>
      </w:pPr>
      <w:r>
        <w:rPr>
          <w:rFonts w:hAnsi="黑体"/>
        </w:rPr>
        <w:fldChar w:fldCharType="begin">
          <w:ffData>
            <w:name w:val="OSTD_CODE"/>
            <w:enabled/>
            <w:calcOnExit w:val="0"/>
            <w:textInput/>
          </w:ffData>
        </w:fldChar>
      </w:r>
      <w:bookmarkStart w:id="10"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10"/>
    </w:p>
    <w:p w14:paraId="5C393C33">
      <w:pPr>
        <w:pStyle w:val="37"/>
      </w:pPr>
      <w:r>
        <w:rPr>
          <w:rFonts w:ascii="黑体" w:hAnsi="黑体" w:eastAsia="黑体"/>
          <w:kern w:val="0"/>
          <w:sz w:val="52"/>
          <w:szCs w:val="20"/>
        </w:rPr>
        <w:drawing>
          <wp:anchor distT="0" distB="0" distL="114300" distR="114300" simplePos="0" relativeHeight="251660288" behindDoc="0" locked="0" layoutInCell="1" allowOverlap="0">
            <wp:simplePos x="0" y="0"/>
            <wp:positionH relativeFrom="page">
              <wp:posOffset>5004435</wp:posOffset>
            </wp:positionH>
            <wp:positionV relativeFrom="page">
              <wp:posOffset>466725</wp:posOffset>
            </wp:positionV>
            <wp:extent cx="1447165" cy="732790"/>
            <wp:effectExtent l="0" t="0" r="635" b="1016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447165" cy="732790"/>
                    </a:xfrm>
                    <a:prstGeom prst="rect">
                      <a:avLst/>
                    </a:prstGeom>
                    <a:noFill/>
                    <a:ln>
                      <a:noFill/>
                    </a:ln>
                  </pic:spPr>
                </pic:pic>
              </a:graphicData>
            </a:graphic>
          </wp:anchor>
        </w:drawing>
      </w:r>
    </w:p>
    <w:p w14:paraId="0774DEDF">
      <w:pPr>
        <w:pStyle w:val="37"/>
      </w:pPr>
    </w:p>
    <w:p w14:paraId="39F38269">
      <w:pPr>
        <w:pStyle w:val="37"/>
      </w:pPr>
    </w:p>
    <w:p w14:paraId="4FB92253">
      <w:pPr>
        <w:pStyle w:val="58"/>
        <w:framePr w:h="6974" w:hRule="exact" w:wrap="around" w:x="1419" w:anchorLock="1"/>
        <w:rPr>
          <w:rFonts w:hint="default" w:eastAsia="黑体"/>
          <w:lang w:val="en-US" w:eastAsia="zh-CN"/>
        </w:rPr>
      </w:pPr>
      <w:r>
        <w:rPr>
          <w:rFonts w:hint="eastAsia"/>
          <w:lang w:val="en-US" w:eastAsia="zh-CN"/>
        </w:rPr>
        <w:t>均热板散热器用无氧铜带</w:t>
      </w:r>
    </w:p>
    <w:p w14:paraId="186DAFFF">
      <w:pPr>
        <w:framePr w:w="9639" w:h="6974" w:hRule="exact" w:wrap="around" w:vAnchor="page" w:hAnchor="page" w:x="1419" w:y="6408" w:anchorLock="1"/>
        <w:ind w:left="-1418"/>
      </w:pPr>
    </w:p>
    <w:p w14:paraId="07D2494A">
      <w:pPr>
        <w:framePr w:w="9639" w:h="6974" w:hRule="exact" w:wrap="around" w:vAnchor="page" w:hAnchor="page" w:x="1419" w:y="6408" w:anchorLock="1"/>
        <w:pBdr>
          <w:top w:val="none" w:color="auto" w:sz="0" w:space="0"/>
          <w:left w:val="none" w:color="auto" w:sz="0" w:space="0"/>
          <w:bottom w:val="none" w:color="auto" w:sz="0" w:space="0"/>
          <w:right w:val="none" w:color="auto" w:sz="0" w:space="0"/>
        </w:pBdr>
        <w:ind w:firstLine="1960" w:firstLineChars="700"/>
        <w:jc w:val="both"/>
        <w:rPr>
          <w:rFonts w:hint="eastAsia" w:eastAsia="黑体"/>
          <w:bCs/>
          <w:color w:val="000000"/>
          <w:kern w:val="0"/>
          <w:sz w:val="28"/>
          <w:szCs w:val="28"/>
          <w:highlight w:val="none"/>
        </w:rPr>
      </w:pPr>
      <w:r>
        <w:rPr>
          <w:rFonts w:hint="eastAsia" w:ascii="黑体" w:hAnsi="黑体" w:eastAsia="黑体" w:cs="黑体"/>
          <w:bCs/>
          <w:color w:val="000000"/>
          <w:kern w:val="0"/>
          <w:sz w:val="28"/>
          <w:szCs w:val="28"/>
          <w:highlight w:val="none"/>
        </w:rPr>
        <w:t xml:space="preserve">Copper </w:t>
      </w:r>
      <w:r>
        <w:rPr>
          <w:rFonts w:hint="eastAsia" w:ascii="黑体" w:hAnsi="黑体" w:eastAsia="黑体" w:cs="黑体"/>
          <w:bCs/>
          <w:color w:val="000000"/>
          <w:kern w:val="0"/>
          <w:sz w:val="28"/>
          <w:szCs w:val="28"/>
          <w:highlight w:val="none"/>
          <w:lang w:val="en-US" w:eastAsia="zh-CN"/>
        </w:rPr>
        <w:t>S</w:t>
      </w:r>
      <w:r>
        <w:rPr>
          <w:rFonts w:hint="eastAsia" w:ascii="黑体" w:hAnsi="黑体" w:eastAsia="黑体" w:cs="黑体"/>
          <w:bCs/>
          <w:color w:val="000000"/>
          <w:kern w:val="0"/>
          <w:sz w:val="28"/>
          <w:szCs w:val="28"/>
          <w:highlight w:val="none"/>
        </w:rPr>
        <w:t xml:space="preserve">trip </w:t>
      </w:r>
      <w:r>
        <w:rPr>
          <w:rFonts w:hint="eastAsia" w:ascii="黑体" w:hAnsi="黑体" w:eastAsia="黑体" w:cs="黑体"/>
          <w:bCs/>
          <w:color w:val="000000"/>
          <w:kern w:val="0"/>
          <w:sz w:val="28"/>
          <w:szCs w:val="28"/>
          <w:highlight w:val="none"/>
          <w:lang w:val="en-US" w:eastAsia="zh-CN"/>
        </w:rPr>
        <w:t>F</w:t>
      </w:r>
      <w:r>
        <w:rPr>
          <w:rFonts w:hint="eastAsia" w:ascii="黑体" w:hAnsi="黑体" w:eastAsia="黑体" w:cs="黑体"/>
          <w:bCs/>
          <w:color w:val="000000"/>
          <w:kern w:val="0"/>
          <w:sz w:val="28"/>
          <w:szCs w:val="28"/>
          <w:highlight w:val="none"/>
        </w:rPr>
        <w:t xml:space="preserve">or </w:t>
      </w:r>
      <w:r>
        <w:rPr>
          <w:rFonts w:hint="eastAsia" w:ascii="黑体" w:hAnsi="黑体" w:eastAsia="黑体" w:cs="黑体"/>
          <w:bCs/>
          <w:color w:val="000000"/>
          <w:kern w:val="0"/>
          <w:sz w:val="28"/>
          <w:szCs w:val="28"/>
          <w:highlight w:val="none"/>
          <w:lang w:val="en-US" w:eastAsia="zh-CN"/>
        </w:rPr>
        <w:t>V</w:t>
      </w:r>
      <w:r>
        <w:rPr>
          <w:rFonts w:hint="eastAsia" w:ascii="黑体" w:hAnsi="黑体" w:eastAsia="黑体" w:cs="黑体"/>
          <w:bCs/>
          <w:color w:val="000000"/>
          <w:kern w:val="0"/>
          <w:sz w:val="28"/>
          <w:szCs w:val="28"/>
          <w:highlight w:val="none"/>
        </w:rPr>
        <w:t xml:space="preserve">apor </w:t>
      </w:r>
      <w:r>
        <w:rPr>
          <w:rFonts w:hint="eastAsia" w:ascii="黑体" w:hAnsi="黑体" w:eastAsia="黑体" w:cs="黑体"/>
          <w:bCs/>
          <w:color w:val="000000"/>
          <w:kern w:val="0"/>
          <w:sz w:val="28"/>
          <w:szCs w:val="28"/>
          <w:highlight w:val="none"/>
          <w:lang w:val="en-US" w:eastAsia="zh-CN"/>
        </w:rPr>
        <w:t>C</w:t>
      </w:r>
      <w:r>
        <w:rPr>
          <w:rFonts w:hint="eastAsia" w:ascii="黑体" w:hAnsi="黑体" w:eastAsia="黑体" w:cs="黑体"/>
          <w:bCs/>
          <w:color w:val="000000"/>
          <w:kern w:val="0"/>
          <w:sz w:val="28"/>
          <w:szCs w:val="28"/>
          <w:highlight w:val="none"/>
        </w:rPr>
        <w:t xml:space="preserve">hamber </w:t>
      </w:r>
      <w:r>
        <w:rPr>
          <w:rFonts w:hint="eastAsia" w:ascii="黑体" w:hAnsi="黑体" w:eastAsia="黑体" w:cs="黑体"/>
          <w:bCs/>
          <w:color w:val="000000"/>
          <w:kern w:val="0"/>
          <w:sz w:val="28"/>
          <w:szCs w:val="28"/>
          <w:highlight w:val="none"/>
          <w:lang w:val="en-US" w:eastAsia="zh-CN"/>
        </w:rPr>
        <w:t>R</w:t>
      </w:r>
      <w:r>
        <w:rPr>
          <w:rFonts w:hint="eastAsia" w:ascii="黑体" w:hAnsi="黑体" w:eastAsia="黑体" w:cs="黑体"/>
          <w:bCs/>
          <w:color w:val="000000"/>
          <w:kern w:val="0"/>
          <w:sz w:val="28"/>
          <w:szCs w:val="28"/>
          <w:highlight w:val="none"/>
        </w:rPr>
        <w:t>adiator</w:t>
      </w:r>
    </w:p>
    <w:p w14:paraId="5FA5D79F">
      <w:pPr>
        <w:pStyle w:val="45"/>
        <w:framePr w:w="9639" w:h="6974" w:hRule="exact" w:wrap="around" w:vAnchor="page" w:hAnchor="page" w:x="1419" w:y="6408" w:anchorLock="1"/>
        <w:pBdr>
          <w:top w:val="none" w:color="auto" w:sz="0" w:space="0"/>
          <w:left w:val="none" w:color="auto" w:sz="0" w:space="0"/>
          <w:bottom w:val="none" w:color="auto" w:sz="0" w:space="0"/>
          <w:right w:val="none" w:color="auto" w:sz="0" w:space="0"/>
        </w:pBdr>
        <w:textAlignment w:val="baseline"/>
        <w:rPr>
          <w:rFonts w:eastAsia="黑体"/>
          <w:szCs w:val="28"/>
        </w:rPr>
      </w:pPr>
    </w:p>
    <w:p w14:paraId="1214A02E">
      <w:pPr>
        <w:framePr w:w="9639" w:h="6974" w:hRule="exact" w:wrap="around" w:vAnchor="page" w:hAnchor="page" w:x="1419" w:y="6408" w:anchorLock="1"/>
        <w:spacing w:line="760" w:lineRule="exact"/>
        <w:ind w:left="-1418"/>
      </w:pPr>
    </w:p>
    <w:p w14:paraId="2986A3C3">
      <w:pPr>
        <w:pStyle w:val="59"/>
        <w:framePr w:w="9639" w:h="6974" w:hRule="exact" w:wrap="around" w:vAnchor="page" w:hAnchor="page" w:x="1419" w:y="6408" w:anchorLock="1"/>
        <w:textAlignment w:val="bottom"/>
        <w:rPr>
          <w:rFonts w:eastAsia="黑体"/>
          <w:szCs w:val="28"/>
        </w:rPr>
      </w:pPr>
    </w:p>
    <w:p w14:paraId="045451E1">
      <w:pPr>
        <w:pStyle w:val="59"/>
        <w:framePr w:w="9639" w:h="6974" w:hRule="exact" w:wrap="around" w:vAnchor="page" w:hAnchor="page" w:x="1419" w:y="6408" w:anchorLock="1"/>
        <w:spacing w:before="440" w:after="160"/>
        <w:textAlignment w:val="bottom"/>
        <w:rPr>
          <w:sz w:val="24"/>
          <w:szCs w:val="28"/>
        </w:rPr>
      </w:pPr>
      <w:bookmarkStart w:id="11" w:name="下拉1"/>
      <w:r>
        <w:rPr>
          <w:rFonts w:ascii="Times New Roman" w:hAnsi="Times New Roman" w:eastAsia="宋体" w:cs="Times New Roman"/>
          <w:sz w:val="24"/>
          <w:szCs w:val="28"/>
          <w:lang w:val="en-US" w:eastAsia="zh-CN" w:bidi="ar-SA"/>
        </w:rPr>
        <w:fldChar w:fldCharType="begin">
          <w:ffData>
            <w:name w:val="下拉1"/>
            <w:enabled/>
            <w:calcOnExit w:val="0"/>
            <w:ddList>
              <w:listEntry w:val="讨论稿"/>
              <w:listEntry w:val="草案版次选择"/>
              <w:listEntry w:val="（工作组讨论稿）"/>
              <w:listEntry w:val="（征求意见稿）"/>
              <w:listEntry w:val="（送审讨论稿）"/>
              <w:listEntry w:val="（送审稿）"/>
              <w:listEntry w:val="（报批稿）"/>
            </w:ddList>
          </w:ffData>
        </w:fldChar>
      </w:r>
      <w:r>
        <w:rPr>
          <w:rFonts w:ascii="Times New Roman" w:hAnsi="Times New Roman" w:eastAsia="宋体" w:cs="Times New Roman"/>
          <w:sz w:val="24"/>
          <w:szCs w:val="28"/>
          <w:lang w:val="en-US" w:eastAsia="zh-CN" w:bidi="ar-SA"/>
        </w:rPr>
        <w:instrText xml:space="preserve">FORMDROPDOWN</w:instrText>
      </w:r>
      <w:r>
        <w:rPr>
          <w:rFonts w:ascii="Times New Roman" w:hAnsi="Times New Roman" w:eastAsia="宋体" w:cs="Times New Roman"/>
          <w:sz w:val="24"/>
          <w:szCs w:val="28"/>
          <w:lang w:val="en-US" w:eastAsia="zh-CN" w:bidi="ar-SA"/>
        </w:rPr>
        <w:fldChar w:fldCharType="separate"/>
      </w:r>
      <w:r>
        <w:rPr>
          <w:rFonts w:ascii="Times New Roman" w:hAnsi="Times New Roman" w:eastAsia="宋体" w:cs="Times New Roman"/>
          <w:sz w:val="24"/>
          <w:szCs w:val="28"/>
          <w:lang w:val="en-US" w:eastAsia="zh-CN" w:bidi="ar-SA"/>
        </w:rPr>
        <w:fldChar w:fldCharType="end"/>
      </w:r>
      <w:bookmarkEnd w:id="11"/>
    </w:p>
    <w:p w14:paraId="1D102438">
      <w:pPr>
        <w:pStyle w:val="59"/>
        <w:framePr w:w="9639" w:h="6974" w:hRule="exact" w:wrap="around" w:vAnchor="page" w:hAnchor="page" w:x="1419" w:y="6408" w:anchorLock="1"/>
        <w:spacing w:before="180" w:line="240" w:lineRule="atLeast"/>
        <w:textAlignment w:val="bottom"/>
        <w:rPr>
          <w:sz w:val="21"/>
          <w:szCs w:val="28"/>
        </w:rPr>
      </w:pPr>
    </w:p>
    <w:p w14:paraId="72201076">
      <w:pPr>
        <w:pStyle w:val="59"/>
        <w:framePr w:w="9639" w:h="6974" w:hRule="exact" w:wrap="around" w:vAnchor="page" w:hAnchor="page" w:x="1419" w:y="6408" w:anchorLock="1"/>
        <w:spacing w:before="720" w:beforeLines="300" w:after="72" w:afterLines="30" w:line="240" w:lineRule="auto"/>
        <w:textAlignment w:val="bottom"/>
        <w:rPr>
          <w:b/>
          <w:sz w:val="21"/>
          <w:szCs w:val="28"/>
        </w:rPr>
      </w:pPr>
    </w:p>
    <w:p w14:paraId="0B623219">
      <w:pPr>
        <w:pStyle w:val="60"/>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发布</w:t>
      </w:r>
    </w:p>
    <w:p w14:paraId="365B317F">
      <w:pPr>
        <w:pStyle w:val="61"/>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实施</w:t>
      </w:r>
    </w:p>
    <w:p w14:paraId="2D5AB1E8">
      <w:pPr>
        <w:pStyle w:val="37"/>
      </w:pPr>
      <w:r>
        <w:rPr>
          <w:rFonts w:hint="eastAsia" w:ascii="宋体" w:hAnsi="宋体"/>
          <w:sz w:val="28"/>
          <w:szCs w:val="28"/>
        </w:rPr>
        <w:drawing>
          <wp:anchor distT="0" distB="0" distL="114300" distR="114300" simplePos="0" relativeHeight="251662336" behindDoc="0" locked="0" layoutInCell="1" allowOverlap="1">
            <wp:simplePos x="0" y="0"/>
            <wp:positionH relativeFrom="column">
              <wp:posOffset>1610360</wp:posOffset>
            </wp:positionH>
            <wp:positionV relativeFrom="paragraph">
              <wp:posOffset>8115935</wp:posOffset>
            </wp:positionV>
            <wp:extent cx="2868930" cy="545465"/>
            <wp:effectExtent l="0" t="0" r="7620" b="698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8930" cy="545465"/>
                    </a:xfrm>
                    <a:prstGeom prst="rect">
                      <a:avLst/>
                    </a:prstGeom>
                  </pic:spPr>
                </pic:pic>
              </a:graphicData>
            </a:graphic>
          </wp:anchor>
        </w:drawing>
      </w:r>
      <w:r>
        <w:rPr>
          <w:rFonts w:hint="eastAsia" w:ascii="宋体" w:hAnsi="宋体"/>
          <w:sz w:val="28"/>
          <w:szCs w:val="28"/>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9338945</wp:posOffset>
                </wp:positionV>
                <wp:extent cx="6120130" cy="0"/>
                <wp:effectExtent l="0" t="4445" r="0" b="508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35.35pt;height:0pt;width:481.9pt;mso-position-horizontal-relative:page;mso-position-vertical-relative:page;z-index:251661312;mso-width-relative:page;mso-height-relative:page;" filled="f" stroked="t" coordsize="21600,21600" o:gfxdata="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n7qme1wAAAA4B&#10;AAAPAAAAAAAAAAEAIAAAACIAAABkcnMvZG93bnJldi54bWxQSwECFAAUAAAACACHTuJAAzUM5uMB&#10;AACqAwAADgAAAAAAAAABACAAAAAmAQAAZHJzL2Uyb0RvYy54bWxQSwUGAAAAAAYABgBZAQAAewUA&#10;AAAA&#10;">
                <v:fill on="f" focussize="0,0"/>
                <v:stroke color="#000000" joinstyle="round"/>
                <v:imagedata o:title=""/>
                <o:lock v:ext="edit" aspectratio="f"/>
                <w10:anchorlock/>
              </v:line>
            </w:pict>
          </mc:Fallback>
        </mc:AlternateContent>
      </w:r>
    </w:p>
    <w:p w14:paraId="5A755A40">
      <w:pPr>
        <w:pStyle w:val="37"/>
      </w:pPr>
    </w:p>
    <w:p w14:paraId="3402582C">
      <w:pPr>
        <w:pStyle w:val="37"/>
      </w:pPr>
    </w:p>
    <w:p w14:paraId="656D0899">
      <w:pPr>
        <w:pStyle w:val="37"/>
        <w:sectPr>
          <w:headerReference r:id="rId5" w:type="default"/>
          <w:footerReference r:id="rId6" w:type="even"/>
          <w:pgSz w:w="11907" w:h="16839"/>
          <w:pgMar w:top="567" w:right="851" w:bottom="1361" w:left="1418" w:header="0" w:footer="0" w:gutter="0"/>
          <w:pgBorders>
            <w:top w:val="none" w:sz="0" w:space="0"/>
            <w:left w:val="none" w:sz="0" w:space="0"/>
            <w:bottom w:val="none" w:sz="0" w:space="0"/>
            <w:right w:val="none" w:sz="0" w:space="0"/>
          </w:pgBorders>
          <w:pgNumType w:fmt="upperRoman" w:start="1"/>
          <w:cols w:space="720" w:num="1"/>
          <w:titlePg/>
          <w:docGrid w:type="lines" w:linePitch="312" w:charSpace="0"/>
        </w:sectPr>
      </w:pPr>
    </w:p>
    <w:bookmarkEnd w:id="0"/>
    <w:p w14:paraId="12EBF27C">
      <w:pPr>
        <w:pStyle w:val="38"/>
        <w:keepNext w:val="0"/>
        <w:keepLines w:val="0"/>
        <w:pageBreakBefore w:val="0"/>
        <w:kinsoku/>
        <w:wordWrap/>
        <w:overflowPunct/>
        <w:topLinePunct w:val="0"/>
        <w:autoSpaceDE/>
        <w:autoSpaceDN/>
        <w:bidi w:val="0"/>
        <w:adjustRightInd/>
        <w:snapToGrid/>
        <w:spacing w:before="40" w:after="20" w:line="360" w:lineRule="auto"/>
        <w:textAlignment w:val="auto"/>
        <w:rPr>
          <w:rFonts w:hint="eastAsia"/>
        </w:rPr>
      </w:pPr>
      <w:bookmarkStart w:id="18" w:name="_Toc11964"/>
      <w:r>
        <w:rPr>
          <w:rFonts w:hint="eastAsia"/>
        </w:rPr>
        <w:t>前    言</w:t>
      </w:r>
      <w:bookmarkEnd w:id="1"/>
      <w:bookmarkEnd w:id="2"/>
      <w:bookmarkEnd w:id="3"/>
      <w:bookmarkEnd w:id="4"/>
      <w:bookmarkEnd w:id="5"/>
      <w:bookmarkEnd w:id="18"/>
    </w:p>
    <w:p w14:paraId="032EC1FE">
      <w:pPr>
        <w:keepNext w:val="0"/>
        <w:keepLines w:val="0"/>
        <w:pageBreakBefore w:val="0"/>
        <w:widowControl w:val="0"/>
        <w:kinsoku/>
        <w:wordWrap/>
        <w:overflowPunct/>
        <w:topLinePunct w:val="0"/>
        <w:autoSpaceDE/>
        <w:autoSpaceDN/>
        <w:bidi w:val="0"/>
        <w:adjustRightInd/>
        <w:snapToGrid/>
        <w:spacing w:before="40" w:after="20" w:line="360" w:lineRule="auto"/>
        <w:ind w:firstLine="420" w:firstLineChars="200"/>
        <w:textAlignment w:val="auto"/>
        <w:rPr>
          <w:rFonts w:hint="eastAsia" w:ascii="宋体" w:hAnsi="宋体" w:eastAsia="宋体" w:cs="宋体"/>
          <w:szCs w:val="18"/>
        </w:rPr>
      </w:pPr>
      <w:r>
        <w:rPr>
          <w:rFonts w:hint="eastAsia" w:ascii="宋体" w:hAnsi="宋体" w:eastAsia="宋体" w:cs="宋体"/>
          <w:szCs w:val="18"/>
        </w:rPr>
        <w:t>本</w:t>
      </w:r>
      <w:r>
        <w:rPr>
          <w:rFonts w:hint="eastAsia" w:ascii="宋体" w:hAnsi="宋体" w:eastAsia="宋体" w:cs="宋体"/>
          <w:szCs w:val="18"/>
          <w:lang w:eastAsia="zh-CN"/>
        </w:rPr>
        <w:t>文件</w:t>
      </w:r>
      <w:r>
        <w:rPr>
          <w:rFonts w:hint="eastAsia" w:ascii="宋体" w:hAnsi="宋体" w:eastAsia="宋体" w:cs="宋体"/>
          <w:szCs w:val="18"/>
        </w:rPr>
        <w:t>按照</w:t>
      </w:r>
      <w:r>
        <w:rPr>
          <w:rFonts w:hint="eastAsia" w:ascii="宋体" w:hAnsi="宋体" w:eastAsia="宋体" w:cs="宋体"/>
          <w:kern w:val="0"/>
          <w:sz w:val="21"/>
          <w:szCs w:val="21"/>
        </w:rPr>
        <w:t>GB/T 1.1</w:t>
      </w:r>
      <w:r>
        <w:rPr>
          <w:rFonts w:hint="eastAsia" w:ascii="宋体" w:hAnsi="宋体" w:eastAsia="宋体" w:cs="宋体"/>
          <w:sz w:val="21"/>
          <w:szCs w:val="21"/>
        </w:rPr>
        <w:t>-20</w:t>
      </w:r>
      <w:r>
        <w:rPr>
          <w:rFonts w:hint="eastAsia" w:ascii="宋体" w:hAnsi="宋体" w:eastAsia="宋体" w:cs="宋体"/>
          <w:sz w:val="21"/>
          <w:szCs w:val="21"/>
          <w:lang w:val="en-US" w:eastAsia="zh-CN"/>
        </w:rPr>
        <w:t>20</w:t>
      </w:r>
      <w:r>
        <w:rPr>
          <w:rFonts w:hint="eastAsia" w:ascii="宋体" w:hAnsi="宋体" w:eastAsia="宋体" w:cs="宋体"/>
          <w:kern w:val="0"/>
          <w:sz w:val="21"/>
          <w:szCs w:val="21"/>
        </w:rPr>
        <w:t>《标准化工作导则</w:t>
      </w:r>
      <w:r>
        <w:rPr>
          <w:rFonts w:hint="eastAsia" w:ascii="宋体" w:hAnsi="宋体" w:eastAsia="宋体" w:cs="宋体"/>
          <w:kern w:val="0"/>
          <w:sz w:val="21"/>
          <w:szCs w:val="21"/>
          <w:lang w:val="en-US" w:eastAsia="zh-CN"/>
        </w:rPr>
        <w:t xml:space="preserve"> 第1部分：标准化文件的结构和起草规则</w:t>
      </w:r>
      <w:r>
        <w:rPr>
          <w:rFonts w:hint="eastAsia" w:ascii="宋体" w:hAnsi="宋体" w:eastAsia="宋体" w:cs="宋体"/>
          <w:kern w:val="0"/>
          <w:sz w:val="21"/>
          <w:szCs w:val="21"/>
        </w:rPr>
        <w:t>》</w:t>
      </w:r>
      <w:r>
        <w:rPr>
          <w:rFonts w:hint="eastAsia" w:ascii="宋体" w:hAnsi="宋体" w:eastAsia="宋体" w:cs="宋体"/>
          <w:szCs w:val="18"/>
        </w:rPr>
        <w:t>的</w:t>
      </w:r>
      <w:r>
        <w:rPr>
          <w:rFonts w:hint="eastAsia" w:ascii="宋体" w:hAnsi="宋体" w:eastAsia="宋体" w:cs="宋体"/>
          <w:szCs w:val="18"/>
          <w:lang w:eastAsia="zh-CN"/>
        </w:rPr>
        <w:t>规定</w:t>
      </w:r>
      <w:r>
        <w:rPr>
          <w:rFonts w:hint="eastAsia" w:ascii="宋体" w:hAnsi="宋体" w:eastAsia="宋体" w:cs="宋体"/>
          <w:szCs w:val="18"/>
        </w:rPr>
        <w:t>起草。</w:t>
      </w:r>
    </w:p>
    <w:p w14:paraId="7FF1600A">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eastAsia="宋体"/>
          <w:szCs w:val="21"/>
          <w:lang w:eastAsia="zh-CN"/>
        </w:rPr>
      </w:pPr>
      <w:r>
        <w:rPr>
          <w:rFonts w:hint="eastAsia" w:ascii="宋体" w:hAnsi="宋体" w:eastAsia="宋体" w:cs="宋体"/>
          <w:szCs w:val="21"/>
        </w:rPr>
        <w:t>请注意本文件的某些内容可能涉及专利。本文件的发布机构不承担识别专利的责任</w:t>
      </w:r>
      <w:r>
        <w:rPr>
          <w:rFonts w:hint="eastAsia" w:ascii="宋体" w:hAnsi="宋体" w:eastAsia="宋体" w:cs="宋体"/>
          <w:szCs w:val="21"/>
          <w:lang w:eastAsia="zh-CN"/>
        </w:rPr>
        <w:t>。</w:t>
      </w:r>
    </w:p>
    <w:p w14:paraId="04C2AD8A">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szCs w:val="21"/>
        </w:rPr>
      </w:pPr>
      <w:r>
        <w:rPr>
          <w:rFonts w:hint="eastAsia" w:ascii="宋体" w:hAnsi="宋体" w:eastAsia="宋体" w:cs="宋体"/>
          <w:szCs w:val="21"/>
        </w:rPr>
        <w:t>本文件由中国有色金属工业协会提出。</w:t>
      </w:r>
    </w:p>
    <w:p w14:paraId="3EA4BD3A">
      <w:pPr>
        <w:keepNext w:val="0"/>
        <w:keepLines w:val="0"/>
        <w:pageBreakBefore w:val="0"/>
        <w:widowControl w:val="0"/>
        <w:kinsoku/>
        <w:wordWrap/>
        <w:overflowPunct/>
        <w:topLinePunct w:val="0"/>
        <w:autoSpaceDE/>
        <w:autoSpaceDN/>
        <w:bidi w:val="0"/>
        <w:adjustRightInd/>
        <w:snapToGrid/>
        <w:spacing w:line="520" w:lineRule="exact"/>
        <w:ind w:left="420" w:leftChars="200" w:firstLine="0" w:firstLineChars="0"/>
        <w:textAlignment w:val="auto"/>
        <w:rPr>
          <w:rFonts w:hint="eastAsia" w:ascii="宋体" w:hAnsi="宋体" w:eastAsia="宋体" w:cs="宋体"/>
          <w:szCs w:val="18"/>
        </w:rPr>
      </w:pPr>
      <w:r>
        <w:rPr>
          <w:rFonts w:hint="eastAsia" w:ascii="宋体" w:hAnsi="宋体" w:eastAsia="宋体" w:cs="宋体"/>
          <w:szCs w:val="18"/>
        </w:rPr>
        <w:t>本文件由全国有色金属标准化技术委员会（SAC/TC243）归口。</w:t>
      </w:r>
      <w:r>
        <w:rPr>
          <w:rFonts w:hint="eastAsia" w:ascii="宋体" w:hAnsi="宋体" w:eastAsia="宋体" w:cs="宋体"/>
          <w:szCs w:val="18"/>
        </w:rPr>
        <w:br w:type="textWrapping"/>
      </w:r>
      <w:r>
        <w:rPr>
          <w:rFonts w:hint="eastAsia" w:ascii="宋体" w:hAnsi="宋体" w:eastAsia="宋体" w:cs="宋体"/>
          <w:szCs w:val="18"/>
        </w:rPr>
        <w:t>本</w:t>
      </w:r>
      <w:r>
        <w:rPr>
          <w:rFonts w:hint="eastAsia" w:ascii="宋体" w:hAnsi="宋体" w:eastAsia="宋体" w:cs="宋体"/>
          <w:szCs w:val="18"/>
          <w:lang w:eastAsia="zh-CN"/>
        </w:rPr>
        <w:t>文件</w:t>
      </w:r>
      <w:r>
        <w:rPr>
          <w:rFonts w:hint="eastAsia" w:ascii="宋体" w:hAnsi="宋体" w:eastAsia="宋体" w:cs="宋体"/>
          <w:szCs w:val="18"/>
        </w:rPr>
        <w:t>起草单位：</w:t>
      </w:r>
      <w:bookmarkStart w:id="59" w:name="_GoBack"/>
      <w:bookmarkEnd w:id="59"/>
    </w:p>
    <w:p w14:paraId="52F7D17A">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宋体"/>
          <w:szCs w:val="18"/>
          <w:lang w:val="en-US" w:eastAsia="zh-CN"/>
        </w:rPr>
      </w:pPr>
      <w:r>
        <w:rPr>
          <w:rFonts w:hint="eastAsia" w:ascii="宋体" w:hAnsi="宋体" w:eastAsia="宋体" w:cs="宋体"/>
          <w:szCs w:val="18"/>
        </w:rPr>
        <w:t>本</w:t>
      </w:r>
      <w:r>
        <w:rPr>
          <w:rFonts w:hint="eastAsia" w:ascii="宋体" w:hAnsi="宋体" w:eastAsia="宋体" w:cs="宋体"/>
          <w:szCs w:val="18"/>
          <w:lang w:eastAsia="zh-CN"/>
        </w:rPr>
        <w:t>文件</w:t>
      </w:r>
      <w:r>
        <w:rPr>
          <w:rFonts w:hint="eastAsia" w:ascii="宋体" w:hAnsi="宋体" w:eastAsia="宋体" w:cs="宋体"/>
          <w:szCs w:val="18"/>
        </w:rPr>
        <w:t>主要起草人：</w:t>
      </w:r>
    </w:p>
    <w:p w14:paraId="6A1A6188">
      <w:pPr>
        <w:ind w:firstLine="420" w:firstLineChars="200"/>
        <w:rPr>
          <w:rFonts w:hint="eastAsia"/>
        </w:rPr>
      </w:pPr>
    </w:p>
    <w:p w14:paraId="6A1655C0">
      <w:pPr>
        <w:pStyle w:val="4"/>
        <w:bidi w:val="0"/>
        <w:rPr>
          <w:rFonts w:hint="eastAsia"/>
        </w:rPr>
      </w:pPr>
    </w:p>
    <w:p w14:paraId="5BFCA3C2">
      <w:pPr>
        <w:pStyle w:val="4"/>
        <w:bidi w:val="0"/>
        <w:rPr>
          <w:rFonts w:hint="eastAsia"/>
        </w:rPr>
      </w:pPr>
    </w:p>
    <w:p w14:paraId="27BDA7D2">
      <w:pPr>
        <w:pStyle w:val="4"/>
        <w:bidi w:val="0"/>
        <w:rPr>
          <w:rFonts w:hint="eastAsia"/>
        </w:rPr>
      </w:pPr>
    </w:p>
    <w:p w14:paraId="5B3A0804">
      <w:pPr>
        <w:pStyle w:val="4"/>
        <w:bidi w:val="0"/>
        <w:rPr>
          <w:rFonts w:hint="eastAsia"/>
        </w:rPr>
      </w:pPr>
    </w:p>
    <w:p w14:paraId="4A58BA90">
      <w:pPr>
        <w:pStyle w:val="4"/>
        <w:bidi w:val="0"/>
        <w:rPr>
          <w:rFonts w:hint="eastAsia"/>
        </w:rPr>
      </w:pPr>
    </w:p>
    <w:p w14:paraId="18A8F541">
      <w:pPr>
        <w:pStyle w:val="4"/>
        <w:bidi w:val="0"/>
        <w:rPr>
          <w:rFonts w:hint="eastAsia"/>
        </w:rPr>
      </w:pPr>
    </w:p>
    <w:p w14:paraId="48D91E91">
      <w:pPr>
        <w:pStyle w:val="4"/>
        <w:bidi w:val="0"/>
        <w:rPr>
          <w:rFonts w:hint="eastAsia"/>
        </w:rPr>
      </w:pPr>
    </w:p>
    <w:p w14:paraId="5115C6E3">
      <w:pPr>
        <w:pStyle w:val="4"/>
        <w:bidi w:val="0"/>
        <w:rPr>
          <w:rFonts w:hint="eastAsia"/>
        </w:rPr>
      </w:pPr>
    </w:p>
    <w:p w14:paraId="60F772E6">
      <w:pPr>
        <w:pStyle w:val="4"/>
        <w:bidi w:val="0"/>
        <w:rPr>
          <w:rFonts w:hint="eastAsia"/>
        </w:rPr>
      </w:pPr>
    </w:p>
    <w:p w14:paraId="704EA76F">
      <w:pPr>
        <w:pStyle w:val="4"/>
        <w:bidi w:val="0"/>
        <w:rPr>
          <w:rFonts w:hint="eastAsia"/>
        </w:rPr>
      </w:pPr>
    </w:p>
    <w:p w14:paraId="00541FBE">
      <w:pPr>
        <w:pStyle w:val="4"/>
        <w:bidi w:val="0"/>
        <w:rPr>
          <w:rFonts w:hint="eastAsia"/>
        </w:rPr>
      </w:pPr>
    </w:p>
    <w:p w14:paraId="1621965C">
      <w:pPr>
        <w:pStyle w:val="4"/>
        <w:bidi w:val="0"/>
        <w:rPr>
          <w:rFonts w:hint="eastAsia"/>
        </w:rPr>
      </w:pPr>
    </w:p>
    <w:p w14:paraId="70A99ECB">
      <w:pPr>
        <w:pStyle w:val="4"/>
        <w:bidi w:val="0"/>
        <w:rPr>
          <w:rFonts w:hint="eastAsia"/>
        </w:rPr>
      </w:pPr>
    </w:p>
    <w:p w14:paraId="236FD60A">
      <w:pPr>
        <w:pStyle w:val="4"/>
        <w:bidi w:val="0"/>
        <w:rPr>
          <w:rFonts w:hint="eastAsia"/>
        </w:rPr>
      </w:pPr>
    </w:p>
    <w:p w14:paraId="7949C3E4">
      <w:pPr>
        <w:pStyle w:val="4"/>
        <w:bidi w:val="0"/>
        <w:rPr>
          <w:rFonts w:hint="eastAsia"/>
        </w:rPr>
      </w:pPr>
    </w:p>
    <w:p w14:paraId="1896DD20">
      <w:pPr>
        <w:pStyle w:val="4"/>
        <w:bidi w:val="0"/>
        <w:rPr>
          <w:rFonts w:hint="eastAsia"/>
        </w:rPr>
      </w:pPr>
    </w:p>
    <w:p w14:paraId="00A03F24">
      <w:pPr>
        <w:pStyle w:val="4"/>
        <w:bidi w:val="0"/>
        <w:rPr>
          <w:rFonts w:hint="eastAsia"/>
        </w:rPr>
      </w:pPr>
    </w:p>
    <w:p w14:paraId="06DEE1EE">
      <w:pPr>
        <w:pStyle w:val="4"/>
        <w:bidi w:val="0"/>
        <w:rPr>
          <w:rFonts w:hint="eastAsia"/>
        </w:rPr>
        <w:sectPr>
          <w:headerReference r:id="rId7" w:type="default"/>
          <w:footerReference r:id="rId8"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425" w:num="1"/>
          <w:docGrid w:type="lines" w:linePitch="312" w:charSpace="0"/>
        </w:sectPr>
      </w:pPr>
    </w:p>
    <w:p w14:paraId="51C2307E">
      <w:pPr>
        <w:pStyle w:val="13"/>
        <w:ind w:firstLine="640" w:firstLineChars="200"/>
        <w:outlineLvl w:val="9"/>
        <w:rPr>
          <w:rFonts w:hint="default" w:ascii="黑体" w:hAnsi="黑体" w:eastAsia="黑体"/>
          <w:b w:val="0"/>
          <w:bCs w:val="0"/>
          <w:lang w:val="en-US" w:eastAsia="zh-CN"/>
        </w:rPr>
      </w:pPr>
      <w:r>
        <w:rPr>
          <w:rFonts w:hint="eastAsia" w:ascii="黑体" w:hAnsi="黑体" w:eastAsia="黑体"/>
          <w:b w:val="0"/>
          <w:bCs w:val="0"/>
          <w:lang w:val="en-US" w:eastAsia="zh-CN"/>
        </w:rPr>
        <w:t>均热板散热器用无氧铜带</w:t>
      </w:r>
    </w:p>
    <w:p w14:paraId="43A867B8">
      <w:pPr>
        <w:pStyle w:val="26"/>
        <w:keepNext w:val="0"/>
        <w:keepLines w:val="0"/>
        <w:pageBreakBefore w:val="0"/>
        <w:widowControl/>
        <w:kinsoku/>
        <w:wordWrap/>
        <w:overflowPunct/>
        <w:topLinePunct w:val="0"/>
        <w:autoSpaceDE/>
        <w:autoSpaceDN/>
        <w:bidi w:val="0"/>
        <w:adjustRightInd/>
        <w:snapToGrid/>
        <w:spacing w:before="313" w:beforeLines="100" w:after="313" w:afterLines="100"/>
        <w:ind w:left="0" w:leftChars="0" w:firstLine="0" w:firstLineChars="0"/>
        <w:textAlignment w:val="auto"/>
        <w:outlineLvl w:val="0"/>
      </w:pPr>
      <w:bookmarkStart w:id="19" w:name="_Toc28180"/>
      <w:r>
        <w:rPr>
          <w:rFonts w:hint="eastAsia"/>
        </w:rPr>
        <w:t>范围</w:t>
      </w:r>
      <w:bookmarkEnd w:id="19"/>
    </w:p>
    <w:p w14:paraId="0A2E742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Cs w:val="21"/>
        </w:rPr>
      </w:pPr>
      <w:r>
        <w:rPr>
          <w:rFonts w:hint="eastAsia" w:ascii="宋体" w:hAnsi="宋体" w:eastAsia="宋体" w:cs="宋体"/>
          <w:szCs w:val="21"/>
        </w:rPr>
        <w:t>本</w:t>
      </w:r>
      <w:r>
        <w:rPr>
          <w:rFonts w:hint="eastAsia" w:ascii="宋体" w:hAnsi="宋体" w:eastAsia="宋体" w:cs="宋体"/>
          <w:szCs w:val="21"/>
          <w:lang w:val="en-US" w:eastAsia="zh-CN"/>
        </w:rPr>
        <w:t>文件</w:t>
      </w:r>
      <w:r>
        <w:rPr>
          <w:rFonts w:hint="eastAsia" w:ascii="宋体" w:hAnsi="宋体" w:eastAsia="宋体" w:cs="宋体"/>
          <w:szCs w:val="21"/>
        </w:rPr>
        <w:t>规定了均热板散热器用</w:t>
      </w:r>
      <w:r>
        <w:rPr>
          <w:rFonts w:hint="eastAsia" w:ascii="宋体" w:hAnsi="宋体" w:eastAsia="宋体" w:cs="宋体"/>
          <w:szCs w:val="21"/>
          <w:lang w:val="en-US" w:eastAsia="zh-CN"/>
        </w:rPr>
        <w:t>无氧铜带</w:t>
      </w:r>
      <w:r>
        <w:rPr>
          <w:rFonts w:hint="eastAsia" w:ascii="宋体" w:hAnsi="宋体" w:eastAsia="宋体" w:cs="宋体"/>
          <w:szCs w:val="21"/>
        </w:rPr>
        <w:t>的要求、试验方法、检验规则、标志、包装、运输和贮存、质量证明书。</w:t>
      </w:r>
    </w:p>
    <w:p w14:paraId="20A35069">
      <w:pPr>
        <w:keepNext w:val="0"/>
        <w:keepLines w:val="0"/>
        <w:pageBreakBefore w:val="0"/>
        <w:widowControl w:val="0"/>
        <w:kinsoku/>
        <w:wordWrap/>
        <w:overflowPunct/>
        <w:topLinePunct w:val="0"/>
        <w:autoSpaceDE/>
        <w:autoSpaceDN/>
        <w:bidi w:val="0"/>
        <w:adjustRightInd/>
        <w:snapToGrid/>
        <w:spacing w:line="240" w:lineRule="auto"/>
        <w:textAlignment w:val="auto"/>
        <w:rPr>
          <w:szCs w:val="21"/>
        </w:rPr>
      </w:pPr>
      <w:r>
        <w:rPr>
          <w:rFonts w:hint="eastAsia" w:ascii="宋体" w:hAnsi="宋体" w:eastAsia="宋体" w:cs="宋体"/>
          <w:szCs w:val="21"/>
        </w:rPr>
        <w:t>本</w:t>
      </w:r>
      <w:r>
        <w:rPr>
          <w:rFonts w:hint="eastAsia" w:ascii="宋体" w:hAnsi="宋体" w:eastAsia="宋体" w:cs="宋体"/>
          <w:szCs w:val="21"/>
          <w:lang w:val="en-US" w:eastAsia="zh-CN"/>
        </w:rPr>
        <w:t>文件</w:t>
      </w:r>
      <w:r>
        <w:rPr>
          <w:rFonts w:hint="eastAsia" w:ascii="宋体" w:hAnsi="宋体" w:eastAsia="宋体" w:cs="宋体"/>
          <w:szCs w:val="21"/>
        </w:rPr>
        <w:t>适用于以高温烧结作为关键制造工艺的均热板散热器所使用的无氧铜带材。</w:t>
      </w:r>
    </w:p>
    <w:p w14:paraId="75E1841F">
      <w:pPr>
        <w:pStyle w:val="26"/>
        <w:keepNext w:val="0"/>
        <w:keepLines w:val="0"/>
        <w:pageBreakBefore w:val="0"/>
        <w:widowControl/>
        <w:kinsoku/>
        <w:wordWrap/>
        <w:overflowPunct/>
        <w:topLinePunct w:val="0"/>
        <w:autoSpaceDE/>
        <w:autoSpaceDN/>
        <w:bidi w:val="0"/>
        <w:adjustRightInd/>
        <w:snapToGrid/>
        <w:spacing w:before="313" w:beforeLines="100" w:after="313" w:afterLines="100"/>
        <w:ind w:left="0" w:leftChars="0" w:firstLine="0" w:firstLineChars="0"/>
        <w:textAlignment w:val="auto"/>
        <w:outlineLvl w:val="0"/>
        <w:rPr>
          <w:rFonts w:hint="eastAsia"/>
        </w:rPr>
      </w:pPr>
      <w:bookmarkStart w:id="20" w:name="_Toc21478"/>
      <w:r>
        <w:rPr>
          <w:rFonts w:hint="eastAsia"/>
        </w:rPr>
        <w:t>规范性引用文件</w:t>
      </w:r>
      <w:bookmarkEnd w:id="20"/>
    </w:p>
    <w:p w14:paraId="256EA79A">
      <w:r>
        <w:rPr>
          <w:rFonts w:hint="eastAsia" w:ascii="宋体" w:hAnsi="宋体" w:eastAsia="宋体" w:cs="宋体"/>
        </w:rPr>
        <w:t>下列文件</w:t>
      </w:r>
      <w:r>
        <w:rPr>
          <w:rFonts w:hint="eastAsia" w:ascii="宋体" w:hAnsi="宋体" w:eastAsia="宋体" w:cs="宋体"/>
          <w:lang w:val="en-US" w:eastAsia="zh-CN"/>
        </w:rPr>
        <w:t>中的内容通过文中的规范性引用而构成本文件必不可少的条款</w:t>
      </w:r>
      <w:r>
        <w:rPr>
          <w:rFonts w:hint="eastAsia" w:ascii="宋体" w:hAnsi="宋体" w:eastAsia="宋体" w:cs="宋体"/>
        </w:rPr>
        <w:t>。</w:t>
      </w:r>
      <w:r>
        <w:rPr>
          <w:rFonts w:hint="eastAsia" w:ascii="宋体" w:hAnsi="宋体" w:eastAsia="宋体" w:cs="宋体"/>
          <w:lang w:val="en-US" w:eastAsia="zh-CN"/>
        </w:rPr>
        <w:t>其中，</w:t>
      </w:r>
      <w:r>
        <w:rPr>
          <w:rFonts w:hint="eastAsia" w:ascii="宋体" w:hAnsi="宋体" w:eastAsia="宋体" w:cs="宋体"/>
        </w:rPr>
        <w:t>注日期的引用文件,</w:t>
      </w:r>
      <w:r>
        <w:rPr>
          <w:rFonts w:hint="eastAsia" w:ascii="宋体" w:hAnsi="宋体" w:eastAsia="宋体" w:cs="宋体"/>
          <w:lang w:val="en-US" w:eastAsia="zh-CN"/>
        </w:rPr>
        <w:t>仅该</w:t>
      </w:r>
      <w:r>
        <w:rPr>
          <w:rFonts w:hint="eastAsia" w:ascii="宋体" w:hAnsi="宋体" w:eastAsia="宋体" w:cs="宋体"/>
        </w:rPr>
        <w:t>日期的版本适用于本文件</w:t>
      </w:r>
      <w:r>
        <w:rPr>
          <w:rFonts w:hint="eastAsia" w:ascii="宋体" w:hAnsi="宋体" w:eastAsia="宋体" w:cs="宋体"/>
          <w:lang w:eastAsia="zh-CN"/>
        </w:rPr>
        <w:t>；</w:t>
      </w:r>
      <w:r>
        <w:rPr>
          <w:rFonts w:hint="eastAsia" w:ascii="宋体" w:hAnsi="宋体" w:eastAsia="宋体" w:cs="宋体"/>
        </w:rPr>
        <w:t>不注日期的引用文件，其最新版本(包括所有的修改单)适用于本文件。</w:t>
      </w:r>
    </w:p>
    <w:p w14:paraId="2B789EA3">
      <w:pPr>
        <w:rPr>
          <w:rFonts w:hint="eastAsia"/>
        </w:rPr>
      </w:pPr>
    </w:p>
    <w:p w14:paraId="695F04DD">
      <w:pPr>
        <w:pStyle w:val="3"/>
        <w:rPr>
          <w:rFonts w:hint="eastAsia" w:ascii="宋体" w:hAnsi="宋体" w:eastAsia="宋体" w:cs="宋体"/>
        </w:rPr>
      </w:pPr>
      <w:r>
        <w:rPr>
          <w:rFonts w:hint="eastAsia" w:ascii="宋体" w:hAnsi="宋体" w:eastAsia="宋体" w:cs="宋体"/>
        </w:rPr>
        <w:t>GB/T 228.1</w:t>
      </w:r>
      <w:r>
        <w:rPr>
          <w:rFonts w:hint="eastAsia" w:ascii="宋体" w:hAnsi="宋体" w:cs="宋体"/>
          <w:lang w:val="en-US" w:eastAsia="zh-CN"/>
        </w:rPr>
        <w:t xml:space="preserve">  </w:t>
      </w:r>
      <w:r>
        <w:rPr>
          <w:rFonts w:hint="eastAsia" w:ascii="宋体" w:hAnsi="宋体" w:eastAsia="宋体" w:cs="宋体"/>
        </w:rPr>
        <w:t>金属材料拉伸试验第1部分：室温拉伸试验方法</w:t>
      </w:r>
    </w:p>
    <w:p w14:paraId="122A40F8">
      <w:pPr>
        <w:pStyle w:val="3"/>
        <w:rPr>
          <w:rFonts w:hint="eastAsia" w:ascii="宋体" w:hAnsi="宋体" w:eastAsia="宋体" w:cs="宋体"/>
        </w:rPr>
      </w:pPr>
      <w:r>
        <w:rPr>
          <w:rFonts w:hint="eastAsia" w:ascii="宋体" w:hAnsi="宋体" w:eastAsia="宋体" w:cs="宋体"/>
        </w:rPr>
        <w:t>GB/T 351-2019</w:t>
      </w:r>
      <w:r>
        <w:rPr>
          <w:rFonts w:hint="eastAsia" w:ascii="宋体" w:hAnsi="宋体" w:cs="宋体"/>
          <w:lang w:val="en-US" w:eastAsia="zh-CN"/>
        </w:rPr>
        <w:t xml:space="preserve"> </w:t>
      </w:r>
      <w:r>
        <w:rPr>
          <w:rFonts w:hint="eastAsia" w:ascii="宋体" w:hAnsi="宋体" w:eastAsia="宋体" w:cs="宋体"/>
        </w:rPr>
        <w:t>金属材料 电阻率测量方法</w:t>
      </w:r>
    </w:p>
    <w:p w14:paraId="3EA6D17D">
      <w:pPr>
        <w:pStyle w:val="3"/>
        <w:rPr>
          <w:rFonts w:hint="eastAsia" w:ascii="宋体" w:hAnsi="宋体" w:eastAsia="宋体" w:cs="宋体"/>
        </w:rPr>
      </w:pPr>
      <w:r>
        <w:rPr>
          <w:rFonts w:hint="eastAsia" w:ascii="宋体" w:hAnsi="宋体" w:eastAsia="宋体" w:cs="宋体"/>
        </w:rPr>
        <w:t>GB/T 2059</w:t>
      </w:r>
      <w:r>
        <w:rPr>
          <w:rFonts w:hint="eastAsia" w:ascii="宋体" w:hAnsi="宋体" w:cs="宋体"/>
          <w:lang w:val="en-US" w:eastAsia="zh-CN"/>
        </w:rPr>
        <w:t xml:space="preserve">  </w:t>
      </w:r>
      <w:r>
        <w:rPr>
          <w:rFonts w:hint="eastAsia" w:ascii="宋体" w:hAnsi="宋体" w:eastAsia="宋体" w:cs="宋体"/>
        </w:rPr>
        <w:t>铜及铜合金带材</w:t>
      </w:r>
    </w:p>
    <w:p w14:paraId="5E97FAC7">
      <w:pPr>
        <w:pStyle w:val="3"/>
        <w:rPr>
          <w:rFonts w:hint="eastAsia" w:ascii="宋体" w:hAnsi="宋体" w:eastAsia="宋体" w:cs="宋体"/>
        </w:rPr>
      </w:pPr>
      <w:r>
        <w:rPr>
          <w:rFonts w:hint="eastAsia" w:ascii="宋体" w:hAnsi="宋体" w:eastAsia="宋体" w:cs="宋体"/>
        </w:rPr>
        <w:t xml:space="preserve">GB/T 4340.1 </w:t>
      </w:r>
      <w:r>
        <w:rPr>
          <w:rFonts w:hint="eastAsia" w:ascii="宋体" w:hAnsi="宋体" w:cs="宋体"/>
          <w:lang w:val="en-US" w:eastAsia="zh-CN"/>
        </w:rPr>
        <w:t xml:space="preserve"> </w:t>
      </w:r>
      <w:r>
        <w:rPr>
          <w:rFonts w:hint="eastAsia" w:ascii="宋体" w:hAnsi="宋体" w:eastAsia="宋体" w:cs="宋体"/>
        </w:rPr>
        <w:t>金属维氏硬度试验第1部分：试验方法</w:t>
      </w:r>
    </w:p>
    <w:p w14:paraId="1ABDE6C8">
      <w:pPr>
        <w:pStyle w:val="3"/>
        <w:rPr>
          <w:rFonts w:hint="eastAsia" w:ascii="宋体" w:hAnsi="宋体" w:eastAsia="宋体" w:cs="宋体"/>
        </w:rPr>
      </w:pPr>
      <w:r>
        <w:rPr>
          <w:rFonts w:hint="eastAsia" w:ascii="宋体" w:hAnsi="宋体" w:eastAsia="宋体" w:cs="宋体"/>
        </w:rPr>
        <w:t>GB/T 5121</w:t>
      </w:r>
      <w:r>
        <w:rPr>
          <w:rFonts w:hint="eastAsia" w:ascii="宋体" w:hAnsi="宋体" w:cs="宋体"/>
          <w:lang w:val="en-US" w:eastAsia="zh-CN"/>
        </w:rPr>
        <w:t xml:space="preserve">  </w:t>
      </w:r>
      <w:r>
        <w:rPr>
          <w:rFonts w:hint="eastAsia" w:ascii="宋体" w:hAnsi="宋体" w:eastAsia="宋体" w:cs="宋体"/>
        </w:rPr>
        <w:t>铜及铜合金化学分析方法</w:t>
      </w:r>
    </w:p>
    <w:p w14:paraId="5612E60C">
      <w:pPr>
        <w:pStyle w:val="3"/>
        <w:rPr>
          <w:rFonts w:hint="eastAsia" w:ascii="宋体" w:hAnsi="宋体" w:eastAsia="宋体" w:cs="宋体"/>
        </w:rPr>
      </w:pPr>
      <w:r>
        <w:rPr>
          <w:rFonts w:hint="eastAsia" w:ascii="宋体" w:hAnsi="宋体" w:eastAsia="宋体" w:cs="宋体"/>
        </w:rPr>
        <w:t>GB/T 5231</w:t>
      </w:r>
      <w:r>
        <w:rPr>
          <w:rFonts w:hint="eastAsia" w:ascii="宋体" w:hAnsi="宋体" w:cs="宋体"/>
          <w:lang w:val="en-US" w:eastAsia="zh-CN"/>
        </w:rPr>
        <w:t xml:space="preserve">  </w:t>
      </w:r>
      <w:r>
        <w:rPr>
          <w:rFonts w:hint="eastAsia" w:ascii="宋体" w:hAnsi="宋体" w:eastAsia="宋体" w:cs="宋体"/>
        </w:rPr>
        <w:t>加工铜及铜合金牌号和化学成分</w:t>
      </w:r>
    </w:p>
    <w:p w14:paraId="35886A90">
      <w:pPr>
        <w:pStyle w:val="3"/>
        <w:rPr>
          <w:rFonts w:hint="eastAsia" w:ascii="宋体" w:hAnsi="宋体" w:eastAsia="宋体" w:cs="宋体"/>
        </w:rPr>
      </w:pPr>
      <w:r>
        <w:rPr>
          <w:rFonts w:hint="eastAsia" w:ascii="宋体" w:hAnsi="宋体" w:eastAsia="宋体" w:cs="宋体"/>
        </w:rPr>
        <w:t>GB/T 8888</w:t>
      </w:r>
      <w:r>
        <w:rPr>
          <w:rFonts w:hint="eastAsia" w:ascii="宋体" w:hAnsi="宋体" w:cs="宋体"/>
          <w:lang w:val="en-US" w:eastAsia="zh-CN"/>
        </w:rPr>
        <w:t xml:space="preserve">  </w:t>
      </w:r>
      <w:r>
        <w:rPr>
          <w:rFonts w:hint="eastAsia" w:ascii="宋体" w:hAnsi="宋体" w:eastAsia="宋体" w:cs="宋体"/>
        </w:rPr>
        <w:t>重有色金属加工产品的包装、标志、运输和贮存</w:t>
      </w:r>
    </w:p>
    <w:p w14:paraId="4732850F">
      <w:pPr>
        <w:pStyle w:val="3"/>
        <w:rPr>
          <w:rFonts w:hint="eastAsia" w:ascii="宋体" w:hAnsi="宋体" w:eastAsia="宋体" w:cs="宋体"/>
        </w:rPr>
      </w:pPr>
      <w:r>
        <w:rPr>
          <w:rFonts w:hint="eastAsia" w:ascii="宋体" w:hAnsi="宋体" w:eastAsia="宋体" w:cs="宋体"/>
        </w:rPr>
        <w:t xml:space="preserve">GB/T 26303.3 </w:t>
      </w:r>
      <w:r>
        <w:rPr>
          <w:rFonts w:hint="eastAsia" w:ascii="宋体" w:hAnsi="宋体" w:cs="宋体"/>
          <w:lang w:val="en-US" w:eastAsia="zh-CN"/>
        </w:rPr>
        <w:t xml:space="preserve"> </w:t>
      </w:r>
      <w:r>
        <w:rPr>
          <w:rFonts w:hint="eastAsia" w:ascii="宋体" w:hAnsi="宋体" w:eastAsia="宋体" w:cs="宋体"/>
        </w:rPr>
        <w:t>铜及铜合金加工材外形尺寸检测方法第3部分：板带材</w:t>
      </w:r>
    </w:p>
    <w:p w14:paraId="2C291FD4">
      <w:pPr>
        <w:pStyle w:val="3"/>
        <w:rPr>
          <w:rFonts w:hint="eastAsia"/>
        </w:rPr>
      </w:pPr>
      <w:r>
        <w:rPr>
          <w:rFonts w:hint="eastAsia" w:ascii="宋体" w:hAnsi="宋体" w:eastAsia="宋体" w:cs="宋体"/>
        </w:rPr>
        <w:t>YS/T 347-2020</w:t>
      </w:r>
      <w:r>
        <w:rPr>
          <w:rFonts w:hint="eastAsia" w:ascii="宋体" w:hAnsi="宋体" w:eastAsia="宋体" w:cs="宋体"/>
          <w:lang w:val="en-US" w:eastAsia="zh-CN"/>
        </w:rPr>
        <w:t xml:space="preserve"> </w:t>
      </w:r>
      <w:r>
        <w:rPr>
          <w:rFonts w:hint="eastAsia"/>
        </w:rPr>
        <w:t>铜及铜合金平均晶粒度测定方法</w:t>
      </w:r>
    </w:p>
    <w:p w14:paraId="73DE773E">
      <w:pPr>
        <w:pStyle w:val="3"/>
      </w:pPr>
      <w:r>
        <w:rPr>
          <w:rFonts w:hint="eastAsia" w:ascii="宋体" w:hAnsi="宋体" w:eastAsia="宋体" w:cs="宋体"/>
        </w:rPr>
        <w:t>YS/T 478</w:t>
      </w:r>
      <w:r>
        <w:rPr>
          <w:rFonts w:hint="eastAsia" w:ascii="宋体" w:hAnsi="宋体" w:cs="宋体"/>
          <w:lang w:val="en-US" w:eastAsia="zh-CN"/>
        </w:rPr>
        <w:t xml:space="preserve">  </w:t>
      </w:r>
      <w:r>
        <w:rPr>
          <w:rFonts w:hint="eastAsia" w:ascii="宋体" w:hAnsi="宋体" w:eastAsia="宋体" w:cs="宋体"/>
        </w:rPr>
        <w:t>铜及铜合金导电率涡流检测方法</w:t>
      </w:r>
    </w:p>
    <w:p w14:paraId="151A01E9">
      <w:pPr>
        <w:pStyle w:val="26"/>
        <w:keepNext w:val="0"/>
        <w:keepLines w:val="0"/>
        <w:pageBreakBefore w:val="0"/>
        <w:widowControl/>
        <w:kinsoku/>
        <w:wordWrap/>
        <w:overflowPunct/>
        <w:topLinePunct w:val="0"/>
        <w:autoSpaceDE/>
        <w:autoSpaceDN/>
        <w:bidi w:val="0"/>
        <w:adjustRightInd/>
        <w:snapToGrid/>
        <w:spacing w:before="313" w:beforeLines="100" w:after="313" w:afterLines="100"/>
        <w:ind w:left="0" w:leftChars="0" w:firstLine="0" w:firstLineChars="0"/>
        <w:textAlignment w:val="auto"/>
        <w:outlineLvl w:val="0"/>
        <w:rPr>
          <w:rFonts w:hint="eastAsia"/>
        </w:rPr>
      </w:pPr>
      <w:bookmarkStart w:id="21" w:name="_Toc10579"/>
      <w:bookmarkStart w:id="22" w:name="_Hlk175209155"/>
      <w:r>
        <w:rPr>
          <w:rFonts w:hint="eastAsia"/>
          <w:lang w:val="en-US" w:eastAsia="zh-CN"/>
        </w:rPr>
        <w:t>术语和定义</w:t>
      </w:r>
      <w:bookmarkEnd w:id="21"/>
    </w:p>
    <w:p w14:paraId="765977CD">
      <w:pPr>
        <w:pStyle w:val="3"/>
      </w:pPr>
      <w:r>
        <w:rPr>
          <w:rFonts w:hint="eastAsia" w:ascii="宋体" w:hAnsi="宋体" w:cs="宋体"/>
          <w:lang w:val="en-US" w:eastAsia="zh-CN"/>
        </w:rPr>
        <w:t>下列术语和定义适用于本文件</w:t>
      </w:r>
      <w:r>
        <w:rPr>
          <w:rFonts w:hint="eastAsia" w:ascii="宋体" w:hAnsi="宋体" w:eastAsia="宋体" w:cs="宋体"/>
        </w:rPr>
        <w:t>。</w:t>
      </w:r>
    </w:p>
    <w:p w14:paraId="7444FEE0">
      <w:pPr>
        <w:pStyle w:val="3"/>
        <w:ind w:firstLine="0" w:firstLineChars="0"/>
        <w:rPr>
          <w:rFonts w:hint="eastAsia"/>
          <w:lang w:val="en-US" w:eastAsia="zh-CN"/>
        </w:rPr>
      </w:pPr>
      <w:r>
        <w:rPr>
          <w:rFonts w:hint="eastAsia"/>
          <w:lang w:val="en-US" w:eastAsia="zh-CN"/>
        </w:rPr>
        <w:t>3.1 高温烧结</w:t>
      </w:r>
    </w:p>
    <w:p w14:paraId="209C5B7D">
      <w:pPr>
        <w:pStyle w:val="3"/>
        <w:rPr>
          <w:rFonts w:hint="eastAsia"/>
        </w:rPr>
      </w:pPr>
      <w:r>
        <w:rPr>
          <w:rFonts w:hint="eastAsia"/>
        </w:rPr>
        <w:t>指均热板制造商将无氧铜带、铜粉/铜网毛细结构及上下底板等组件，在真空或保护气氛（如N₂或N₂+H₂混合气）下进行加热，使粉末颗粒或铜带与结构之间发生原子扩散、实现牢固结合的关键工艺环节。</w:t>
      </w:r>
    </w:p>
    <w:p w14:paraId="5BFEB65E">
      <w:pPr>
        <w:pStyle w:val="3"/>
        <w:ind w:firstLine="0" w:firstLineChars="0"/>
        <w:rPr>
          <w:rFonts w:hint="eastAsia"/>
          <w:lang w:val="en-US" w:eastAsia="zh-CN"/>
        </w:rPr>
      </w:pPr>
      <w:r>
        <w:rPr>
          <w:rFonts w:hint="eastAsia"/>
          <w:lang w:val="en-US" w:eastAsia="zh-CN"/>
        </w:rPr>
        <w:t>3.2 高温煅烧</w:t>
      </w:r>
    </w:p>
    <w:p w14:paraId="0A6EAEBF">
      <w:pPr>
        <w:pStyle w:val="3"/>
        <w:rPr>
          <w:rFonts w:hint="default"/>
          <w:lang w:val="en-US" w:eastAsia="zh-CN"/>
        </w:rPr>
      </w:pPr>
      <w:r>
        <w:rPr>
          <w:rFonts w:hint="eastAsia"/>
        </w:rPr>
        <w:t>指铜板带加工厂为模拟和验证材料能否经受住均热板制造过程中的高温烧结，仅对无氧铜带材本身进行相同温度制度的加热处理，不涉</w:t>
      </w:r>
      <w:r>
        <w:rPr>
          <w:rFonts w:hint="eastAsia"/>
          <w:lang w:val="en-US" w:eastAsia="zh-CN"/>
        </w:rPr>
        <w:t>加热气氛</w:t>
      </w:r>
      <w:r>
        <w:rPr>
          <w:rFonts w:hint="eastAsia"/>
        </w:rPr>
        <w:t>及铜粉、毛细结构或焊接组装等均热板实际制造工艺。</w:t>
      </w:r>
    </w:p>
    <w:p w14:paraId="2B6FA409">
      <w:pPr>
        <w:pStyle w:val="26"/>
        <w:keepNext w:val="0"/>
        <w:keepLines w:val="0"/>
        <w:pageBreakBefore w:val="0"/>
        <w:widowControl/>
        <w:kinsoku/>
        <w:wordWrap/>
        <w:overflowPunct/>
        <w:topLinePunct w:val="0"/>
        <w:autoSpaceDE/>
        <w:autoSpaceDN/>
        <w:bidi w:val="0"/>
        <w:adjustRightInd/>
        <w:snapToGrid/>
        <w:spacing w:before="313" w:beforeLines="100" w:after="313" w:afterLines="100"/>
        <w:ind w:left="0" w:leftChars="0" w:firstLine="0" w:firstLineChars="0"/>
        <w:textAlignment w:val="auto"/>
        <w:outlineLvl w:val="0"/>
        <w:rPr>
          <w:rFonts w:hint="eastAsia"/>
        </w:rPr>
      </w:pPr>
      <w:bookmarkStart w:id="23" w:name="_Toc32019"/>
      <w:r>
        <w:rPr>
          <w:rFonts w:hint="eastAsia"/>
          <w:lang w:val="en-US" w:eastAsia="zh-CN"/>
        </w:rPr>
        <w:t>分类和标记</w:t>
      </w:r>
      <w:bookmarkEnd w:id="23"/>
    </w:p>
    <w:bookmarkEnd w:id="22"/>
    <w:p w14:paraId="2B19C977">
      <w:pPr>
        <w:pStyle w:val="5"/>
        <w:keepNext/>
        <w:keepLines/>
        <w:pageBreakBefore w:val="0"/>
        <w:widowControl w:val="0"/>
        <w:kinsoku/>
        <w:wordWrap/>
        <w:overflowPunct/>
        <w:topLinePunct w:val="0"/>
        <w:autoSpaceDE/>
        <w:autoSpaceDN/>
        <w:bidi w:val="0"/>
        <w:adjustRightInd/>
        <w:snapToGrid/>
        <w:spacing w:after="157" w:afterLines="50" w:line="240" w:lineRule="auto"/>
        <w:textAlignment w:val="auto"/>
        <w:rPr>
          <w:rFonts w:hint="eastAsia" w:ascii="黑体" w:hAnsi="黑体" w:eastAsia="黑体" w:cs="黑体"/>
        </w:rPr>
      </w:pPr>
      <w:bookmarkStart w:id="24" w:name="_Toc2985"/>
      <w:r>
        <w:rPr>
          <w:rFonts w:hint="eastAsia" w:ascii="黑体" w:hAnsi="黑体" w:cs="黑体"/>
          <w:lang w:val="en-US" w:eastAsia="zh-CN"/>
        </w:rPr>
        <w:t>4</w:t>
      </w:r>
      <w:r>
        <w:rPr>
          <w:rFonts w:hint="eastAsia" w:ascii="黑体" w:hAnsi="黑体" w:eastAsia="黑体" w:cs="黑体"/>
        </w:rPr>
        <w:t>.1 产品分类</w:t>
      </w:r>
      <w:bookmarkEnd w:id="24"/>
    </w:p>
    <w:p w14:paraId="2105248D">
      <w:pPr>
        <w:rPr>
          <w:rFonts w:hint="eastAsia" w:ascii="宋体" w:hAnsi="宋体" w:eastAsia="宋体" w:cs="宋体"/>
        </w:rPr>
      </w:pPr>
      <w:r>
        <w:rPr>
          <w:rFonts w:hint="eastAsia" w:ascii="宋体" w:hAnsi="宋体" w:eastAsia="宋体" w:cs="宋体"/>
        </w:rPr>
        <w:t>带材的牌号、状态和规格应符合表1的规定。</w:t>
      </w:r>
    </w:p>
    <w:p w14:paraId="792460B6">
      <w:pPr>
        <w:keepNext w:val="0"/>
        <w:keepLines w:val="0"/>
        <w:pageBreakBefore w:val="0"/>
        <w:widowControl w:val="0"/>
        <w:kinsoku/>
        <w:wordWrap/>
        <w:overflowPunct/>
        <w:topLinePunct w:val="0"/>
        <w:autoSpaceDE/>
        <w:autoSpaceDN/>
        <w:bidi w:val="0"/>
        <w:adjustRightInd/>
        <w:snapToGrid/>
        <w:ind w:right="0" w:firstLine="0" w:firstLineChars="0"/>
        <w:jc w:val="center"/>
        <w:textAlignment w:val="auto"/>
        <w:rPr>
          <w:rFonts w:hint="eastAsia" w:ascii="黑体" w:hAnsi="黑体" w:eastAsia="黑体" w:cs="黑体"/>
        </w:rPr>
      </w:pPr>
      <w:r>
        <w:rPr>
          <w:rFonts w:hint="eastAsia" w:ascii="黑体" w:hAnsi="黑体" w:eastAsia="黑体" w:cs="黑体"/>
        </w:rPr>
        <w:t>表1 带材的牌号、状态和规格</w:t>
      </w:r>
    </w:p>
    <w:tbl>
      <w:tblPr>
        <w:tblStyle w:val="16"/>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8"/>
        <w:gridCol w:w="2122"/>
        <w:gridCol w:w="2127"/>
        <w:gridCol w:w="2140"/>
      </w:tblGrid>
      <w:tr w14:paraId="49E2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5" w:type="pct"/>
            <w:vMerge w:val="restart"/>
            <w:noWrap w:val="0"/>
            <w:vAlign w:val="center"/>
          </w:tcPr>
          <w:p w14:paraId="17BD95E5">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牌号</w:t>
            </w:r>
          </w:p>
        </w:tc>
        <w:tc>
          <w:tcPr>
            <w:tcW w:w="1247" w:type="pct"/>
            <w:vMerge w:val="restart"/>
            <w:noWrap w:val="0"/>
            <w:vAlign w:val="center"/>
          </w:tcPr>
          <w:p w14:paraId="7485E466">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状态</w:t>
            </w:r>
          </w:p>
        </w:tc>
        <w:tc>
          <w:tcPr>
            <w:tcW w:w="2507" w:type="pct"/>
            <w:gridSpan w:val="2"/>
            <w:noWrap w:val="0"/>
            <w:vAlign w:val="center"/>
          </w:tcPr>
          <w:p w14:paraId="6A394E23">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规格</w:t>
            </w:r>
          </w:p>
          <w:p w14:paraId="26EC6BBC">
            <w:pPr>
              <w:ind w:firstLine="0" w:firstLineChars="0"/>
              <w:jc w:val="center"/>
              <w:rPr>
                <w:rFonts w:hint="eastAsia" w:ascii="宋体" w:hAnsi="宋体" w:cs="宋体" w:eastAsiaTheme="minorEastAsia"/>
                <w:sz w:val="18"/>
                <w:szCs w:val="18"/>
                <w:lang w:val="en-US" w:eastAsia="zh-CN"/>
              </w:rPr>
            </w:pPr>
            <w:r>
              <w:rPr>
                <w:rFonts w:hint="eastAsia"/>
                <w:lang w:val="en-US" w:eastAsia="zh-CN"/>
              </w:rPr>
              <w:t>mm</w:t>
            </w:r>
          </w:p>
        </w:tc>
      </w:tr>
      <w:tr w14:paraId="311C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5" w:type="pct"/>
            <w:vMerge w:val="continue"/>
            <w:noWrap w:val="0"/>
            <w:vAlign w:val="center"/>
          </w:tcPr>
          <w:p w14:paraId="3E550AD3">
            <w:pPr>
              <w:ind w:firstLine="0" w:firstLineChars="0"/>
              <w:jc w:val="center"/>
              <w:rPr>
                <w:rFonts w:hint="eastAsia" w:ascii="宋体" w:hAnsi="宋体" w:eastAsia="宋体" w:cs="宋体"/>
                <w:sz w:val="18"/>
                <w:szCs w:val="18"/>
                <w:lang w:val="en-US" w:eastAsia="zh-CN"/>
              </w:rPr>
            </w:pPr>
          </w:p>
        </w:tc>
        <w:tc>
          <w:tcPr>
            <w:tcW w:w="1247" w:type="pct"/>
            <w:vMerge w:val="continue"/>
            <w:noWrap w:val="0"/>
            <w:vAlign w:val="center"/>
          </w:tcPr>
          <w:p w14:paraId="104994A5">
            <w:pPr>
              <w:ind w:firstLine="0" w:firstLineChars="0"/>
              <w:jc w:val="center"/>
              <w:rPr>
                <w:rFonts w:hint="eastAsia" w:ascii="宋体" w:hAnsi="宋体" w:eastAsia="宋体" w:cs="宋体"/>
                <w:sz w:val="18"/>
                <w:szCs w:val="18"/>
                <w:lang w:val="en-US" w:eastAsia="zh-CN"/>
              </w:rPr>
            </w:pPr>
          </w:p>
        </w:tc>
        <w:tc>
          <w:tcPr>
            <w:tcW w:w="1250" w:type="pct"/>
            <w:noWrap w:val="0"/>
            <w:vAlign w:val="center"/>
          </w:tcPr>
          <w:p w14:paraId="27926B99">
            <w:pPr>
              <w:ind w:firstLine="0" w:firstLineChars="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厚度</w:t>
            </w:r>
          </w:p>
        </w:tc>
        <w:tc>
          <w:tcPr>
            <w:tcW w:w="1257" w:type="pct"/>
            <w:noWrap w:val="0"/>
            <w:vAlign w:val="center"/>
          </w:tcPr>
          <w:p w14:paraId="109DE5DD">
            <w:pPr>
              <w:ind w:firstLine="0" w:firstLineChars="0"/>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宽度</w:t>
            </w:r>
          </w:p>
        </w:tc>
      </w:tr>
      <w:tr w14:paraId="27ED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5" w:type="pct"/>
            <w:vMerge w:val="restart"/>
            <w:noWrap w:val="0"/>
            <w:vAlign w:val="center"/>
          </w:tcPr>
          <w:p w14:paraId="76B6FC86">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TU1</w:t>
            </w:r>
          </w:p>
          <w:p w14:paraId="52F087BA">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TU2</w:t>
            </w:r>
          </w:p>
        </w:tc>
        <w:tc>
          <w:tcPr>
            <w:tcW w:w="1247" w:type="pct"/>
            <w:noWrap w:val="0"/>
            <w:vAlign w:val="center"/>
          </w:tcPr>
          <w:p w14:paraId="368720E5">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软化退火（M或O60）</w:t>
            </w:r>
          </w:p>
        </w:tc>
        <w:tc>
          <w:tcPr>
            <w:tcW w:w="1250" w:type="pct"/>
            <w:vMerge w:val="restart"/>
            <w:noWrap w:val="0"/>
            <w:vAlign w:val="center"/>
          </w:tcPr>
          <w:p w14:paraId="7681511F">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0.3～1.5</w:t>
            </w:r>
          </w:p>
        </w:tc>
        <w:tc>
          <w:tcPr>
            <w:tcW w:w="1257" w:type="pct"/>
            <w:vMerge w:val="restart"/>
            <w:noWrap w:val="0"/>
            <w:vAlign w:val="center"/>
          </w:tcPr>
          <w:p w14:paraId="404E20E1">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10～650</w:t>
            </w:r>
          </w:p>
        </w:tc>
      </w:tr>
      <w:tr w14:paraId="439F8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5" w:type="pct"/>
            <w:vMerge w:val="continue"/>
            <w:noWrap w:val="0"/>
            <w:vAlign w:val="center"/>
          </w:tcPr>
          <w:p w14:paraId="4493F366">
            <w:pPr>
              <w:pStyle w:val="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vertAlign w:val="baseline"/>
                <w:lang w:val="en-US" w:eastAsia="zh-CN"/>
              </w:rPr>
            </w:pPr>
          </w:p>
        </w:tc>
        <w:tc>
          <w:tcPr>
            <w:tcW w:w="1247" w:type="pct"/>
            <w:noWrap w:val="0"/>
            <w:vAlign w:val="center"/>
          </w:tcPr>
          <w:p w14:paraId="7CE27B8E">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半硬（Y2或H02）</w:t>
            </w:r>
          </w:p>
        </w:tc>
        <w:tc>
          <w:tcPr>
            <w:tcW w:w="1250" w:type="pct"/>
            <w:vMerge w:val="continue"/>
            <w:noWrap w:val="0"/>
            <w:vAlign w:val="center"/>
          </w:tcPr>
          <w:p w14:paraId="237BA162">
            <w:pPr>
              <w:pStyle w:val="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pacing w:val="-4"/>
                <w:sz w:val="18"/>
                <w:szCs w:val="18"/>
                <w:vertAlign w:val="baseline"/>
              </w:rPr>
            </w:pPr>
          </w:p>
        </w:tc>
        <w:tc>
          <w:tcPr>
            <w:tcW w:w="1257" w:type="pct"/>
            <w:vMerge w:val="continue"/>
            <w:noWrap w:val="0"/>
            <w:vAlign w:val="center"/>
          </w:tcPr>
          <w:p w14:paraId="29B6672A">
            <w:pPr>
              <w:pStyle w:val="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pacing w:val="-4"/>
                <w:sz w:val="18"/>
                <w:szCs w:val="18"/>
                <w:vertAlign w:val="baseline"/>
              </w:rPr>
            </w:pPr>
          </w:p>
        </w:tc>
      </w:tr>
      <w:tr w14:paraId="7077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5" w:type="pct"/>
            <w:vMerge w:val="continue"/>
            <w:noWrap w:val="0"/>
            <w:vAlign w:val="center"/>
          </w:tcPr>
          <w:p w14:paraId="0FC3F158">
            <w:pPr>
              <w:pStyle w:val="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vertAlign w:val="baseline"/>
                <w:lang w:val="en-US" w:eastAsia="zh-CN"/>
              </w:rPr>
            </w:pPr>
          </w:p>
        </w:tc>
        <w:tc>
          <w:tcPr>
            <w:tcW w:w="1247" w:type="pct"/>
            <w:noWrap w:val="0"/>
            <w:vAlign w:val="center"/>
          </w:tcPr>
          <w:p w14:paraId="5322EAC3">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硬（Y或H04）</w:t>
            </w:r>
          </w:p>
        </w:tc>
        <w:tc>
          <w:tcPr>
            <w:tcW w:w="1250" w:type="pct"/>
            <w:vMerge w:val="continue"/>
            <w:noWrap w:val="0"/>
            <w:vAlign w:val="center"/>
          </w:tcPr>
          <w:p w14:paraId="6B85226C">
            <w:pPr>
              <w:pStyle w:val="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pacing w:val="-4"/>
                <w:sz w:val="18"/>
                <w:szCs w:val="18"/>
                <w:vertAlign w:val="baseline"/>
              </w:rPr>
            </w:pPr>
          </w:p>
        </w:tc>
        <w:tc>
          <w:tcPr>
            <w:tcW w:w="1257" w:type="pct"/>
            <w:vMerge w:val="continue"/>
            <w:noWrap w:val="0"/>
            <w:vAlign w:val="center"/>
          </w:tcPr>
          <w:p w14:paraId="0A4CD68E">
            <w:pPr>
              <w:pStyle w:val="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pacing w:val="-4"/>
                <w:sz w:val="18"/>
                <w:szCs w:val="18"/>
                <w:vertAlign w:val="baseline"/>
              </w:rPr>
            </w:pPr>
          </w:p>
        </w:tc>
      </w:tr>
      <w:tr w14:paraId="6DA8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5000" w:type="pct"/>
            <w:gridSpan w:val="4"/>
            <w:noWrap w:val="0"/>
            <w:vAlign w:val="center"/>
          </w:tcPr>
          <w:p w14:paraId="57DD5303">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spacing w:val="-4"/>
                <w:sz w:val="18"/>
                <w:szCs w:val="18"/>
                <w:vertAlign w:val="baseline"/>
                <w:lang w:val="en-US" w:eastAsia="zh-CN"/>
              </w:rPr>
            </w:pPr>
            <w:bookmarkStart w:id="25" w:name="_Toc28822"/>
            <w:r>
              <w:rPr>
                <w:rFonts w:hint="eastAsia" w:ascii="宋体" w:hAnsi="宋体" w:eastAsia="宋体" w:cs="宋体"/>
                <w:spacing w:val="-4"/>
                <w:sz w:val="18"/>
                <w:szCs w:val="18"/>
                <w:vertAlign w:val="baseline"/>
                <w:lang w:val="en-US" w:eastAsia="zh-CN"/>
              </w:rPr>
              <w:t>注：需方需要其他规格时，可由供需双方协商确定</w:t>
            </w:r>
          </w:p>
        </w:tc>
      </w:tr>
    </w:tbl>
    <w:p w14:paraId="2F487A04">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黑体" w:hAnsi="黑体" w:eastAsia="黑体" w:cs="黑体"/>
        </w:rPr>
      </w:pPr>
      <w:r>
        <w:rPr>
          <w:rFonts w:hint="eastAsia" w:ascii="黑体" w:hAnsi="黑体" w:cs="黑体"/>
          <w:lang w:val="en-US" w:eastAsia="zh-CN"/>
        </w:rPr>
        <w:t>4</w:t>
      </w:r>
      <w:r>
        <w:rPr>
          <w:rFonts w:hint="eastAsia" w:ascii="黑体" w:hAnsi="黑体" w:eastAsia="黑体" w:cs="黑体"/>
        </w:rPr>
        <w:t>.2</w:t>
      </w:r>
      <w:r>
        <w:rPr>
          <w:rFonts w:hint="eastAsia" w:ascii="黑体" w:hAnsi="黑体" w:eastAsia="黑体" w:cs="黑体"/>
          <w:lang w:val="en-US" w:eastAsia="zh-CN"/>
        </w:rPr>
        <w:t xml:space="preserve"> </w:t>
      </w:r>
      <w:r>
        <w:rPr>
          <w:rFonts w:hint="eastAsia" w:ascii="黑体" w:hAnsi="黑体" w:eastAsia="黑体" w:cs="黑体"/>
        </w:rPr>
        <w:t>标识</w:t>
      </w:r>
      <w:bookmarkEnd w:id="25"/>
    </w:p>
    <w:p w14:paraId="362299BC">
      <w:pPr>
        <w:rPr>
          <w:rFonts w:hint="eastAsia" w:ascii="宋体" w:hAnsi="宋体" w:eastAsia="宋体" w:cs="宋体"/>
          <w:lang w:eastAsia="zh-CN"/>
        </w:rPr>
      </w:pPr>
      <w:r>
        <w:rPr>
          <w:rFonts w:hint="eastAsia" w:ascii="宋体" w:hAnsi="宋体" w:eastAsia="宋体" w:cs="宋体"/>
        </w:rPr>
        <w:t>产品标记按产品名称、牌号、状态、规格和标准编号的顺序表示。标记示例如下：用TU1制造的、软化退火（M或O60）、厚度为0.6mm、宽度为</w:t>
      </w:r>
      <w:r>
        <w:rPr>
          <w:rFonts w:hint="eastAsia" w:ascii="宋体" w:hAnsi="宋体" w:eastAsia="宋体" w:cs="宋体"/>
          <w:lang w:val="en-US" w:eastAsia="zh-CN"/>
        </w:rPr>
        <w:t>4</w:t>
      </w:r>
      <w:r>
        <w:rPr>
          <w:rFonts w:hint="eastAsia" w:ascii="宋体" w:hAnsi="宋体" w:eastAsia="宋体" w:cs="宋体"/>
        </w:rPr>
        <w:t>00mm的带材标记为：铜带</w:t>
      </w:r>
      <w:r>
        <w:rPr>
          <w:rFonts w:hint="eastAsia" w:ascii="宋体" w:hAnsi="宋体" w:eastAsia="宋体" w:cs="宋体"/>
          <w:lang w:val="en-US" w:eastAsia="zh-CN"/>
        </w:rPr>
        <w:t>GB</w:t>
      </w:r>
      <w:r>
        <w:rPr>
          <w:rFonts w:hint="eastAsia" w:ascii="宋体" w:hAnsi="宋体" w:eastAsia="宋体" w:cs="宋体"/>
        </w:rPr>
        <w:t>/T XXX-TU1</w:t>
      </w:r>
      <w:r>
        <w:rPr>
          <w:rFonts w:hint="eastAsia" w:ascii="宋体" w:hAnsi="宋体" w:eastAsia="宋体" w:cs="宋体"/>
          <w:lang w:val="en-US" w:eastAsia="zh-CN"/>
        </w:rPr>
        <w:t xml:space="preserve"> </w:t>
      </w:r>
      <w:r>
        <w:rPr>
          <w:rFonts w:hint="eastAsia" w:ascii="宋体" w:hAnsi="宋体" w:eastAsia="宋体" w:cs="宋体"/>
        </w:rPr>
        <w:t>M</w:t>
      </w:r>
      <w:r>
        <w:rPr>
          <w:rFonts w:hint="eastAsia" w:ascii="宋体" w:hAnsi="宋体" w:eastAsia="宋体" w:cs="宋体"/>
          <w:lang w:val="en-US" w:eastAsia="zh-CN"/>
        </w:rPr>
        <w:t xml:space="preserve"> </w:t>
      </w:r>
      <w:r>
        <w:rPr>
          <w:rFonts w:hint="eastAsia" w:ascii="宋体" w:hAnsi="宋体" w:eastAsia="宋体" w:cs="宋体"/>
        </w:rPr>
        <w:t>0.6×</w:t>
      </w:r>
      <w:r>
        <w:rPr>
          <w:rFonts w:hint="eastAsia" w:ascii="宋体" w:hAnsi="宋体" w:eastAsia="宋体" w:cs="宋体"/>
          <w:lang w:val="en-US" w:eastAsia="zh-CN"/>
        </w:rPr>
        <w:t>4</w:t>
      </w:r>
      <w:r>
        <w:rPr>
          <w:rFonts w:hint="eastAsia" w:ascii="宋体" w:hAnsi="宋体" w:eastAsia="宋体" w:cs="宋体"/>
        </w:rPr>
        <w:t>00或铜带</w:t>
      </w:r>
      <w:r>
        <w:rPr>
          <w:rFonts w:hint="eastAsia" w:ascii="宋体" w:hAnsi="宋体" w:eastAsia="宋体" w:cs="宋体"/>
          <w:lang w:val="en-US" w:eastAsia="zh-CN"/>
        </w:rPr>
        <w:t>GB</w:t>
      </w:r>
      <w:r>
        <w:rPr>
          <w:rFonts w:hint="eastAsia" w:ascii="宋体" w:hAnsi="宋体" w:eastAsia="宋体" w:cs="宋体"/>
        </w:rPr>
        <w:t>/T XXX-TU1 O60 0.6×</w:t>
      </w:r>
      <w:r>
        <w:rPr>
          <w:rFonts w:hint="eastAsia" w:ascii="宋体" w:hAnsi="宋体" w:eastAsia="宋体" w:cs="宋体"/>
          <w:lang w:val="en-US" w:eastAsia="zh-CN"/>
        </w:rPr>
        <w:t>4</w:t>
      </w:r>
      <w:r>
        <w:rPr>
          <w:rFonts w:hint="eastAsia" w:ascii="宋体" w:hAnsi="宋体" w:eastAsia="宋体" w:cs="宋体"/>
        </w:rPr>
        <w:t>00</w:t>
      </w:r>
      <w:r>
        <w:rPr>
          <w:rFonts w:hint="eastAsia" w:ascii="宋体" w:hAnsi="宋体" w:eastAsia="宋体" w:cs="宋体"/>
          <w:lang w:eastAsia="zh-CN"/>
        </w:rPr>
        <w:t>。</w:t>
      </w:r>
    </w:p>
    <w:p w14:paraId="4F2DB757">
      <w:pPr>
        <w:pStyle w:val="26"/>
        <w:keepNext w:val="0"/>
        <w:keepLines w:val="0"/>
        <w:pageBreakBefore w:val="0"/>
        <w:widowControl/>
        <w:kinsoku/>
        <w:wordWrap/>
        <w:overflowPunct/>
        <w:topLinePunct w:val="0"/>
        <w:autoSpaceDE/>
        <w:autoSpaceDN/>
        <w:bidi w:val="0"/>
        <w:adjustRightInd/>
        <w:snapToGrid/>
        <w:spacing w:before="313" w:beforeLines="100" w:after="313" w:afterLines="100"/>
        <w:ind w:left="0" w:leftChars="0" w:firstLine="0" w:firstLineChars="0"/>
        <w:textAlignment w:val="auto"/>
        <w:outlineLvl w:val="0"/>
        <w:rPr>
          <w:rFonts w:hint="eastAsia"/>
        </w:rPr>
      </w:pPr>
      <w:bookmarkStart w:id="26" w:name="_Toc17714"/>
      <w:bookmarkStart w:id="27" w:name="_Toc172569105"/>
      <w:r>
        <w:rPr>
          <w:rFonts w:hint="eastAsia"/>
        </w:rPr>
        <w:t>技术要求</w:t>
      </w:r>
      <w:bookmarkEnd w:id="26"/>
      <w:bookmarkEnd w:id="27"/>
    </w:p>
    <w:p w14:paraId="4E7ABC89">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黑体" w:hAnsi="黑体" w:cs="黑体"/>
          <w:lang w:val="en-US" w:eastAsia="zh-CN"/>
        </w:rPr>
      </w:pPr>
      <w:bookmarkStart w:id="28" w:name="_Toc23777"/>
      <w:r>
        <w:rPr>
          <w:rFonts w:hint="eastAsia" w:ascii="黑体" w:hAnsi="黑体" w:cs="黑体"/>
          <w:lang w:val="en-US" w:eastAsia="zh-CN"/>
        </w:rPr>
        <w:t>5.1 化学成分</w:t>
      </w:r>
      <w:bookmarkEnd w:id="28"/>
    </w:p>
    <w:p w14:paraId="157E0E38">
      <w:pPr>
        <w:rPr>
          <w:rFonts w:hint="eastAsia" w:ascii="宋体" w:hAnsi="宋体" w:eastAsia="宋体" w:cs="宋体"/>
        </w:rPr>
      </w:pPr>
      <w:r>
        <w:rPr>
          <w:rFonts w:hint="eastAsia" w:ascii="宋体" w:hAnsi="宋体" w:eastAsia="宋体" w:cs="宋体"/>
        </w:rPr>
        <w:t>带材化学成分应符合表2的规定。</w:t>
      </w:r>
    </w:p>
    <w:p w14:paraId="2B365B34">
      <w:pPr>
        <w:keepNext w:val="0"/>
        <w:keepLines w:val="0"/>
        <w:pageBreakBefore w:val="0"/>
        <w:widowControl w:val="0"/>
        <w:kinsoku/>
        <w:wordWrap/>
        <w:overflowPunct/>
        <w:topLinePunct w:val="0"/>
        <w:autoSpaceDE/>
        <w:autoSpaceDN/>
        <w:bidi w:val="0"/>
        <w:adjustRightInd/>
        <w:snapToGrid/>
        <w:ind w:right="0" w:firstLine="0" w:firstLineChars="0"/>
        <w:jc w:val="center"/>
        <w:textAlignment w:val="auto"/>
        <w:rPr>
          <w:rFonts w:hint="eastAsia" w:ascii="黑体" w:hAnsi="黑体" w:eastAsia="黑体" w:cs="黑体"/>
        </w:rPr>
      </w:pPr>
      <w:r>
        <w:rPr>
          <w:rFonts w:hint="eastAsia" w:ascii="黑体" w:hAnsi="黑体" w:eastAsia="黑体" w:cs="黑体"/>
        </w:rPr>
        <w:t>表2带材的化学成分</w:t>
      </w:r>
    </w:p>
    <w:tbl>
      <w:tblPr>
        <w:tblStyle w:val="1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418"/>
        <w:gridCol w:w="1420"/>
        <w:gridCol w:w="1420"/>
        <w:gridCol w:w="1420"/>
        <w:gridCol w:w="1425"/>
      </w:tblGrid>
      <w:tr w14:paraId="4084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2" w:type="pct"/>
            <w:vMerge w:val="restart"/>
            <w:noWrap w:val="0"/>
            <w:vAlign w:val="center"/>
          </w:tcPr>
          <w:p w14:paraId="016D4EB9">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牌号</w:t>
            </w:r>
          </w:p>
        </w:tc>
        <w:tc>
          <w:tcPr>
            <w:tcW w:w="4167" w:type="pct"/>
            <w:gridSpan w:val="5"/>
            <w:noWrap w:val="0"/>
            <w:vAlign w:val="top"/>
          </w:tcPr>
          <w:p w14:paraId="5022F533">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化学成分（质量分数）/%</w:t>
            </w:r>
          </w:p>
        </w:tc>
      </w:tr>
      <w:tr w14:paraId="72D1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2" w:type="pct"/>
            <w:vMerge w:val="continue"/>
            <w:noWrap w:val="0"/>
            <w:vAlign w:val="center"/>
          </w:tcPr>
          <w:p w14:paraId="4D3306BF">
            <w:pPr>
              <w:ind w:firstLine="0" w:firstLineChars="0"/>
              <w:jc w:val="center"/>
              <w:rPr>
                <w:rFonts w:hint="eastAsia" w:ascii="宋体" w:hAnsi="宋体" w:eastAsia="宋体" w:cs="宋体"/>
                <w:sz w:val="18"/>
                <w:szCs w:val="18"/>
                <w:lang w:val="en-US" w:eastAsia="zh-CN"/>
              </w:rPr>
            </w:pPr>
          </w:p>
        </w:tc>
        <w:tc>
          <w:tcPr>
            <w:tcW w:w="832" w:type="pct"/>
            <w:noWrap w:val="0"/>
            <w:vAlign w:val="center"/>
          </w:tcPr>
          <w:p w14:paraId="4F89E29A">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Cu+Ag</w:t>
            </w:r>
          </w:p>
        </w:tc>
        <w:tc>
          <w:tcPr>
            <w:tcW w:w="833" w:type="pct"/>
            <w:noWrap w:val="0"/>
            <w:vAlign w:val="center"/>
          </w:tcPr>
          <w:p w14:paraId="2F7B5F55">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P</w:t>
            </w:r>
          </w:p>
        </w:tc>
        <w:tc>
          <w:tcPr>
            <w:tcW w:w="833" w:type="pct"/>
            <w:noWrap w:val="0"/>
            <w:vAlign w:val="center"/>
          </w:tcPr>
          <w:p w14:paraId="0797FAC0">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Fe</w:t>
            </w:r>
          </w:p>
        </w:tc>
        <w:tc>
          <w:tcPr>
            <w:tcW w:w="833" w:type="pct"/>
            <w:noWrap w:val="0"/>
            <w:vAlign w:val="center"/>
          </w:tcPr>
          <w:p w14:paraId="70AFE51B">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O</w:t>
            </w:r>
          </w:p>
        </w:tc>
        <w:tc>
          <w:tcPr>
            <w:tcW w:w="834" w:type="pct"/>
            <w:noWrap w:val="0"/>
            <w:vAlign w:val="center"/>
          </w:tcPr>
          <w:p w14:paraId="54EAD149">
            <w:pPr>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其它元素</w:t>
            </w:r>
          </w:p>
        </w:tc>
      </w:tr>
      <w:tr w14:paraId="3965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2" w:type="pct"/>
            <w:noWrap w:val="0"/>
            <w:vAlign w:val="center"/>
          </w:tcPr>
          <w:p w14:paraId="0E1CC7E8">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TU1</w:t>
            </w:r>
          </w:p>
        </w:tc>
        <w:tc>
          <w:tcPr>
            <w:tcW w:w="832" w:type="pct"/>
            <w:noWrap w:val="0"/>
            <w:vAlign w:val="center"/>
          </w:tcPr>
          <w:p w14:paraId="09AE4F14">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≥99.97</w:t>
            </w:r>
          </w:p>
        </w:tc>
        <w:tc>
          <w:tcPr>
            <w:tcW w:w="833" w:type="pct"/>
            <w:noWrap w:val="0"/>
            <w:vAlign w:val="center"/>
          </w:tcPr>
          <w:p w14:paraId="16DFD23D">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≤0.0015</w:t>
            </w:r>
          </w:p>
        </w:tc>
        <w:tc>
          <w:tcPr>
            <w:tcW w:w="833" w:type="pct"/>
            <w:noWrap w:val="0"/>
            <w:vAlign w:val="center"/>
          </w:tcPr>
          <w:p w14:paraId="10B3C10E">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≤0.002</w:t>
            </w:r>
          </w:p>
        </w:tc>
        <w:tc>
          <w:tcPr>
            <w:tcW w:w="833" w:type="pct"/>
            <w:noWrap w:val="0"/>
            <w:vAlign w:val="center"/>
          </w:tcPr>
          <w:p w14:paraId="6BA66CEE">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≤0.002</w:t>
            </w:r>
          </w:p>
        </w:tc>
        <w:tc>
          <w:tcPr>
            <w:tcW w:w="834" w:type="pct"/>
            <w:noWrap w:val="0"/>
            <w:vAlign w:val="top"/>
          </w:tcPr>
          <w:p w14:paraId="0BBADE4A">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满足国标 GB/T 5231</w:t>
            </w:r>
          </w:p>
        </w:tc>
      </w:tr>
      <w:tr w14:paraId="254E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2" w:type="pct"/>
            <w:noWrap w:val="0"/>
            <w:vAlign w:val="center"/>
          </w:tcPr>
          <w:p w14:paraId="1C265E3A">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TU2</w:t>
            </w:r>
          </w:p>
        </w:tc>
        <w:tc>
          <w:tcPr>
            <w:tcW w:w="832" w:type="pct"/>
            <w:noWrap w:val="0"/>
            <w:vAlign w:val="center"/>
          </w:tcPr>
          <w:p w14:paraId="237DB3AE">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≥99.95</w:t>
            </w:r>
          </w:p>
        </w:tc>
        <w:tc>
          <w:tcPr>
            <w:tcW w:w="833" w:type="pct"/>
            <w:noWrap w:val="0"/>
            <w:vAlign w:val="center"/>
          </w:tcPr>
          <w:p w14:paraId="0CA530C2">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≤0.002</w:t>
            </w:r>
          </w:p>
        </w:tc>
        <w:tc>
          <w:tcPr>
            <w:tcW w:w="833" w:type="pct"/>
            <w:noWrap w:val="0"/>
            <w:vAlign w:val="center"/>
          </w:tcPr>
          <w:p w14:paraId="4E6030E2">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≤0.003</w:t>
            </w:r>
          </w:p>
        </w:tc>
        <w:tc>
          <w:tcPr>
            <w:tcW w:w="833" w:type="pct"/>
            <w:noWrap w:val="0"/>
            <w:vAlign w:val="center"/>
          </w:tcPr>
          <w:p w14:paraId="47EEE11C">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≤0.003</w:t>
            </w:r>
          </w:p>
        </w:tc>
        <w:tc>
          <w:tcPr>
            <w:tcW w:w="834" w:type="pct"/>
            <w:noWrap w:val="0"/>
            <w:vAlign w:val="top"/>
          </w:tcPr>
          <w:p w14:paraId="255C5E60">
            <w:pPr>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满足国标 GB/T 5231</w:t>
            </w:r>
          </w:p>
        </w:tc>
      </w:tr>
    </w:tbl>
    <w:p w14:paraId="0E88043C">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黑体" w:hAnsi="黑体" w:eastAsia="黑体" w:cs="黑体"/>
        </w:rPr>
      </w:pPr>
      <w:bookmarkStart w:id="29" w:name="_Toc13882"/>
      <w:r>
        <w:rPr>
          <w:rFonts w:hint="eastAsia" w:ascii="黑体" w:hAnsi="黑体" w:cs="黑体"/>
          <w:lang w:val="en-US" w:eastAsia="zh-CN"/>
        </w:rPr>
        <w:t>5.2</w:t>
      </w:r>
      <w:r>
        <w:rPr>
          <w:rFonts w:hint="eastAsia" w:ascii="黑体" w:hAnsi="黑体" w:eastAsia="黑体" w:cs="黑体"/>
        </w:rPr>
        <w:t xml:space="preserve"> 外形尺寸及允许偏差</w:t>
      </w:r>
      <w:bookmarkEnd w:id="29"/>
    </w:p>
    <w:p w14:paraId="61FCF336">
      <w:pPr>
        <w:pStyle w:val="3"/>
        <w:rPr>
          <w:rFonts w:hint="eastAsia" w:ascii="宋体" w:hAnsi="宋体" w:eastAsia="宋体" w:cs="宋体"/>
        </w:rPr>
      </w:pPr>
      <w:r>
        <w:rPr>
          <w:rFonts w:hint="eastAsia" w:ascii="宋体" w:hAnsi="宋体" w:eastAsia="宋体" w:cs="宋体"/>
        </w:rPr>
        <w:t>带材的厚度及其允许偏差应符合表3的规定。</w:t>
      </w:r>
    </w:p>
    <w:p w14:paraId="6CF16831">
      <w:pPr>
        <w:keepNext w:val="0"/>
        <w:keepLines w:val="0"/>
        <w:pageBreakBefore w:val="0"/>
        <w:widowControl w:val="0"/>
        <w:kinsoku/>
        <w:wordWrap/>
        <w:overflowPunct/>
        <w:topLinePunct w:val="0"/>
        <w:autoSpaceDE/>
        <w:autoSpaceDN/>
        <w:bidi w:val="0"/>
        <w:adjustRightInd/>
        <w:snapToGrid/>
        <w:ind w:right="0" w:firstLine="0" w:firstLineChars="0"/>
        <w:jc w:val="center"/>
        <w:textAlignment w:val="auto"/>
        <w:rPr>
          <w:rFonts w:hint="eastAsia" w:ascii="黑体" w:hAnsi="黑体" w:eastAsia="黑体" w:cs="黑体"/>
        </w:rPr>
      </w:pPr>
      <w:r>
        <w:rPr>
          <w:rFonts w:hint="eastAsia" w:ascii="黑体" w:hAnsi="黑体" w:eastAsia="黑体" w:cs="黑体"/>
        </w:rPr>
        <w:t>表3 带材的厚度及其允许偏差</w:t>
      </w:r>
    </w:p>
    <w:p w14:paraId="2AABA4F4">
      <w:pPr>
        <w:keepNext w:val="0"/>
        <w:keepLines w:val="0"/>
        <w:pageBreakBefore w:val="0"/>
        <w:widowControl w:val="0"/>
        <w:kinsoku/>
        <w:wordWrap/>
        <w:overflowPunct/>
        <w:topLinePunct w:val="0"/>
        <w:autoSpaceDE/>
        <w:autoSpaceDN/>
        <w:bidi w:val="0"/>
        <w:adjustRightInd/>
        <w:snapToGrid/>
        <w:ind w:right="0"/>
        <w:jc w:val="right"/>
        <w:textAlignment w:val="auto"/>
        <w:rPr>
          <w:sz w:val="24"/>
          <w:szCs w:val="32"/>
        </w:rPr>
      </w:pPr>
      <w:r>
        <w:rPr>
          <w:rFonts w:hint="eastAsia" w:ascii="宋体" w:hAnsi="宋体" w:eastAsia="宋体" w:cs="宋体"/>
          <w:sz w:val="18"/>
          <w:szCs w:val="18"/>
        </w:rPr>
        <w:t>单位：mm</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2695"/>
        <w:gridCol w:w="3133"/>
      </w:tblGrid>
      <w:tr w14:paraId="49C6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581" w:type="pct"/>
            <w:vAlign w:val="center"/>
          </w:tcPr>
          <w:p w14:paraId="43ABAA95">
            <w:pPr>
              <w:ind w:firstLine="0" w:firstLineChars="0"/>
              <w:jc w:val="center"/>
              <w:rPr>
                <w:rFonts w:hint="eastAsia" w:ascii="宋体" w:hAnsi="宋体" w:eastAsia="宋体" w:cs="宋体"/>
                <w:sz w:val="18"/>
                <w:szCs w:val="18"/>
                <w:lang w:val="en-US" w:eastAsia="zh-CN"/>
              </w:rPr>
            </w:pPr>
            <w:bookmarkStart w:id="30" w:name="_Hlk175057702"/>
            <w:r>
              <w:rPr>
                <w:rFonts w:hint="eastAsia" w:ascii="宋体" w:hAnsi="宋体" w:eastAsia="宋体" w:cs="宋体"/>
                <w:sz w:val="18"/>
                <w:szCs w:val="18"/>
                <w:lang w:val="en-US" w:eastAsia="zh-CN"/>
              </w:rPr>
              <w:t>厚度</w:t>
            </w:r>
          </w:p>
        </w:tc>
        <w:tc>
          <w:tcPr>
            <w:tcW w:w="1581" w:type="pct"/>
            <w:vAlign w:val="center"/>
          </w:tcPr>
          <w:p w14:paraId="70EF02C8">
            <w:pPr>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厚度允许偏差</w:t>
            </w:r>
          </w:p>
        </w:tc>
        <w:tc>
          <w:tcPr>
            <w:tcW w:w="1837" w:type="pct"/>
            <w:vAlign w:val="center"/>
          </w:tcPr>
          <w:p w14:paraId="6483622B">
            <w:pPr>
              <w:ind w:firstLine="0" w:firstLineChars="0"/>
              <w:jc w:val="center"/>
              <w:rPr>
                <w:rFonts w:hint="eastAsia" w:ascii="宋体" w:hAnsi="宋体" w:eastAsia="宋体" w:cs="宋体"/>
                <w:sz w:val="18"/>
                <w:szCs w:val="18"/>
              </w:rPr>
            </w:pPr>
            <w:r>
              <w:rPr>
                <w:rFonts w:hint="eastAsia" w:ascii="宋体" w:hAnsi="宋体" w:eastAsia="宋体" w:cs="宋体"/>
                <w:sz w:val="18"/>
                <w:szCs w:val="18"/>
                <w:lang w:val="en-US" w:eastAsia="zh-CN"/>
              </w:rPr>
              <w:t>宽度允许偏差</w:t>
            </w:r>
          </w:p>
        </w:tc>
      </w:tr>
      <w:tr w14:paraId="67F7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581" w:type="pct"/>
            <w:vAlign w:val="top"/>
          </w:tcPr>
          <w:p w14:paraId="1FBC5E0B">
            <w:pPr>
              <w:ind w:firstLine="0" w:firstLineChars="0"/>
              <w:jc w:val="center"/>
              <w:rPr>
                <w:rFonts w:hint="eastAsia" w:ascii="宋体" w:hAnsi="宋体" w:eastAsia="宋体" w:cs="宋体"/>
                <w:sz w:val="18"/>
                <w:szCs w:val="18"/>
              </w:rPr>
            </w:pPr>
            <w:r>
              <w:rPr>
                <w:rFonts w:hint="eastAsia" w:ascii="宋体" w:hAnsi="宋体" w:eastAsia="宋体" w:cs="宋体"/>
                <w:sz w:val="18"/>
                <w:szCs w:val="18"/>
                <w:lang w:val="en-US" w:eastAsia="zh-CN"/>
              </w:rPr>
              <w:t>0.3～0.5</w:t>
            </w:r>
          </w:p>
        </w:tc>
        <w:tc>
          <w:tcPr>
            <w:tcW w:w="1581" w:type="pct"/>
            <w:vAlign w:val="top"/>
          </w:tcPr>
          <w:p w14:paraId="49D62BD6">
            <w:pPr>
              <w:ind w:firstLine="0" w:firstLineChars="0"/>
              <w:jc w:val="center"/>
              <w:rPr>
                <w:rFonts w:hint="eastAsia" w:ascii="宋体" w:hAnsi="宋体" w:eastAsia="宋体" w:cs="宋体"/>
                <w:sz w:val="18"/>
                <w:szCs w:val="18"/>
              </w:rPr>
            </w:pPr>
            <w:r>
              <w:rPr>
                <w:rFonts w:hint="eastAsia" w:ascii="宋体" w:hAnsi="宋体" w:eastAsia="宋体" w:cs="宋体"/>
                <w:sz w:val="18"/>
                <w:szCs w:val="18"/>
                <w:lang w:val="en-US" w:eastAsia="zh-CN"/>
              </w:rPr>
              <w:t>±0.01</w:t>
            </w:r>
          </w:p>
        </w:tc>
        <w:tc>
          <w:tcPr>
            <w:tcW w:w="1837" w:type="pct"/>
            <w:vAlign w:val="top"/>
          </w:tcPr>
          <w:p w14:paraId="3131EEB7">
            <w:pPr>
              <w:ind w:firstLine="0" w:firstLineChars="0"/>
              <w:jc w:val="center"/>
              <w:rPr>
                <w:rFonts w:hint="eastAsia" w:ascii="宋体" w:hAnsi="宋体" w:eastAsia="宋体" w:cs="宋体"/>
                <w:sz w:val="18"/>
                <w:szCs w:val="18"/>
              </w:rPr>
            </w:pPr>
            <w:r>
              <w:rPr>
                <w:rFonts w:hint="eastAsia" w:ascii="宋体" w:hAnsi="宋体" w:eastAsia="宋体" w:cs="宋体"/>
                <w:sz w:val="18"/>
                <w:szCs w:val="18"/>
                <w:lang w:val="en-US" w:eastAsia="zh-CN"/>
              </w:rPr>
              <w:t>±0.1</w:t>
            </w:r>
          </w:p>
        </w:tc>
      </w:tr>
      <w:tr w14:paraId="44FA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581" w:type="pct"/>
            <w:vAlign w:val="top"/>
          </w:tcPr>
          <w:p w14:paraId="5453BEA1">
            <w:pPr>
              <w:ind w:firstLine="0" w:firstLineChars="0"/>
              <w:jc w:val="center"/>
              <w:rPr>
                <w:rFonts w:hint="eastAsia" w:ascii="宋体" w:hAnsi="宋体" w:eastAsia="宋体" w:cs="宋体"/>
                <w:sz w:val="18"/>
                <w:szCs w:val="18"/>
              </w:rPr>
            </w:pPr>
            <w:r>
              <w:rPr>
                <w:rFonts w:hint="eastAsia" w:ascii="宋体" w:hAnsi="宋体" w:eastAsia="宋体" w:cs="宋体"/>
                <w:sz w:val="18"/>
                <w:szCs w:val="18"/>
                <w:lang w:val="en-US" w:eastAsia="zh-CN"/>
              </w:rPr>
              <w:t>0.5～0.8</w:t>
            </w:r>
          </w:p>
        </w:tc>
        <w:tc>
          <w:tcPr>
            <w:tcW w:w="1581" w:type="pct"/>
            <w:vAlign w:val="top"/>
          </w:tcPr>
          <w:p w14:paraId="2FB75E1C">
            <w:pPr>
              <w:ind w:firstLine="0" w:firstLineChars="0"/>
              <w:jc w:val="center"/>
              <w:rPr>
                <w:rFonts w:hint="eastAsia" w:ascii="宋体" w:hAnsi="宋体" w:eastAsia="宋体" w:cs="宋体"/>
                <w:sz w:val="18"/>
                <w:szCs w:val="18"/>
              </w:rPr>
            </w:pPr>
            <w:r>
              <w:rPr>
                <w:rFonts w:hint="eastAsia" w:ascii="宋体" w:hAnsi="宋体" w:eastAsia="宋体" w:cs="宋体"/>
                <w:sz w:val="18"/>
                <w:szCs w:val="18"/>
                <w:lang w:val="en-US" w:eastAsia="zh-CN"/>
              </w:rPr>
              <w:t>±0.015</w:t>
            </w:r>
          </w:p>
        </w:tc>
        <w:tc>
          <w:tcPr>
            <w:tcW w:w="1837" w:type="pct"/>
            <w:vAlign w:val="top"/>
          </w:tcPr>
          <w:p w14:paraId="06D61B2F">
            <w:pPr>
              <w:ind w:firstLine="0" w:firstLineChars="0"/>
              <w:jc w:val="center"/>
              <w:rPr>
                <w:rFonts w:hint="eastAsia" w:ascii="宋体" w:hAnsi="宋体" w:eastAsia="宋体" w:cs="宋体"/>
                <w:sz w:val="18"/>
                <w:szCs w:val="18"/>
              </w:rPr>
            </w:pPr>
            <w:r>
              <w:rPr>
                <w:rFonts w:hint="eastAsia" w:ascii="宋体" w:hAnsi="宋体" w:eastAsia="宋体" w:cs="宋体"/>
                <w:sz w:val="18"/>
                <w:szCs w:val="18"/>
                <w:lang w:val="en-US" w:eastAsia="zh-CN"/>
              </w:rPr>
              <w:t>±0.1</w:t>
            </w:r>
          </w:p>
        </w:tc>
      </w:tr>
      <w:tr w14:paraId="410F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581" w:type="pct"/>
            <w:vAlign w:val="top"/>
          </w:tcPr>
          <w:p w14:paraId="39AAE459">
            <w:pPr>
              <w:ind w:firstLine="0" w:firstLineChars="0"/>
              <w:jc w:val="center"/>
              <w:rPr>
                <w:rFonts w:hint="eastAsia" w:ascii="宋体" w:hAnsi="宋体" w:eastAsia="宋体" w:cs="宋体"/>
                <w:sz w:val="18"/>
                <w:szCs w:val="18"/>
              </w:rPr>
            </w:pPr>
            <w:r>
              <w:rPr>
                <w:rFonts w:hint="eastAsia" w:ascii="宋体" w:hAnsi="宋体" w:eastAsia="宋体" w:cs="宋体"/>
                <w:sz w:val="18"/>
                <w:szCs w:val="18"/>
                <w:lang w:val="en-US" w:eastAsia="zh-CN"/>
              </w:rPr>
              <w:t>0.8～1.5</w:t>
            </w:r>
          </w:p>
        </w:tc>
        <w:tc>
          <w:tcPr>
            <w:tcW w:w="1581" w:type="pct"/>
            <w:vAlign w:val="top"/>
          </w:tcPr>
          <w:p w14:paraId="59A00A29">
            <w:pPr>
              <w:ind w:firstLine="0" w:firstLineChars="0"/>
              <w:jc w:val="center"/>
              <w:rPr>
                <w:rFonts w:hint="eastAsia" w:ascii="宋体" w:hAnsi="宋体" w:eastAsia="宋体" w:cs="宋体"/>
                <w:sz w:val="18"/>
                <w:szCs w:val="18"/>
              </w:rPr>
            </w:pPr>
            <w:r>
              <w:rPr>
                <w:rFonts w:hint="eastAsia" w:ascii="宋体" w:hAnsi="宋体" w:eastAsia="宋体" w:cs="宋体"/>
                <w:sz w:val="18"/>
                <w:szCs w:val="18"/>
                <w:lang w:val="en-US" w:eastAsia="zh-CN"/>
              </w:rPr>
              <w:t>±0.02</w:t>
            </w:r>
          </w:p>
        </w:tc>
        <w:tc>
          <w:tcPr>
            <w:tcW w:w="1837" w:type="pct"/>
            <w:vAlign w:val="top"/>
          </w:tcPr>
          <w:p w14:paraId="22B14401">
            <w:pPr>
              <w:ind w:firstLine="0" w:firstLineChars="0"/>
              <w:jc w:val="center"/>
              <w:rPr>
                <w:rFonts w:hint="eastAsia" w:ascii="宋体" w:hAnsi="宋体" w:eastAsia="宋体" w:cs="宋体"/>
                <w:sz w:val="18"/>
                <w:szCs w:val="18"/>
              </w:rPr>
            </w:pPr>
            <w:r>
              <w:rPr>
                <w:rFonts w:hint="eastAsia" w:ascii="宋体" w:hAnsi="宋体" w:eastAsia="宋体" w:cs="宋体"/>
                <w:sz w:val="18"/>
                <w:szCs w:val="18"/>
                <w:lang w:val="en-US" w:eastAsia="zh-CN"/>
              </w:rPr>
              <w:t>±0.1</w:t>
            </w:r>
          </w:p>
        </w:tc>
      </w:tr>
      <w:tr w14:paraId="4109F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000" w:type="pct"/>
            <w:gridSpan w:val="3"/>
            <w:vAlign w:val="center"/>
          </w:tcPr>
          <w:p w14:paraId="4804A347">
            <w:pPr>
              <w:ind w:firstLine="0" w:firstLineChars="0"/>
              <w:jc w:val="both"/>
              <w:rPr>
                <w:rFonts w:hint="eastAsia" w:ascii="宋体" w:hAnsi="宋体" w:eastAsia="宋体" w:cs="宋体"/>
                <w:sz w:val="18"/>
                <w:szCs w:val="18"/>
              </w:rPr>
            </w:pPr>
            <w:r>
              <w:rPr>
                <w:rFonts w:hint="eastAsia" w:ascii="宋体" w:hAnsi="宋体" w:eastAsia="宋体" w:cs="宋体"/>
                <w:sz w:val="18"/>
                <w:szCs w:val="18"/>
                <w:vertAlign w:val="baseline"/>
                <w:lang w:val="en-US" w:eastAsia="zh-CN"/>
              </w:rPr>
              <w:t>注：</w:t>
            </w:r>
            <w:r>
              <w:rPr>
                <w:rFonts w:hint="eastAsia" w:ascii="宋体" w:hAnsi="宋体" w:eastAsia="宋体" w:cs="宋体"/>
                <w:sz w:val="18"/>
                <w:szCs w:val="18"/>
              </w:rPr>
              <w:t>当需方要求允许偏差全为（+）或全为（-）单向偏差时，其值为表中相应数值的2倍。</w:t>
            </w:r>
          </w:p>
        </w:tc>
      </w:tr>
      <w:bookmarkEnd w:id="30"/>
    </w:tbl>
    <w:p w14:paraId="566183FF">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黑体" w:hAnsi="黑体" w:eastAsia="黑体" w:cs="黑体"/>
        </w:rPr>
      </w:pPr>
      <w:bookmarkStart w:id="31" w:name="_Toc26159"/>
      <w:r>
        <w:rPr>
          <w:rFonts w:hint="eastAsia" w:ascii="黑体" w:hAnsi="黑体" w:cs="黑体"/>
          <w:lang w:val="en-US" w:eastAsia="zh-CN"/>
        </w:rPr>
        <w:t xml:space="preserve">5.3 </w:t>
      </w:r>
      <w:r>
        <w:rPr>
          <w:rFonts w:hint="eastAsia" w:ascii="黑体" w:hAnsi="黑体" w:eastAsia="黑体" w:cs="黑体"/>
        </w:rPr>
        <w:t>力学性能</w:t>
      </w:r>
      <w:bookmarkEnd w:id="31"/>
    </w:p>
    <w:p w14:paraId="1BD01F7A">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ind w:firstLine="0" w:firstLineChars="0"/>
        <w:textAlignment w:val="auto"/>
        <w:outlineLvl w:val="2"/>
        <w:rPr>
          <w:rFonts w:hint="default" w:ascii="黑体" w:hAnsi="黑体" w:eastAsia="黑体" w:cs="黑体"/>
          <w:lang w:val="en-US" w:eastAsia="zh-CN"/>
        </w:rPr>
      </w:pPr>
      <w:bookmarkStart w:id="32" w:name="_Toc2755"/>
      <w:r>
        <w:rPr>
          <w:rFonts w:hint="eastAsia" w:ascii="黑体" w:hAnsi="黑体" w:cs="黑体"/>
          <w:lang w:val="en-US" w:eastAsia="zh-CN"/>
        </w:rPr>
        <w:t>5</w:t>
      </w:r>
      <w:r>
        <w:rPr>
          <w:rFonts w:hint="eastAsia" w:ascii="黑体" w:hAnsi="黑体" w:eastAsia="黑体" w:cs="黑体"/>
        </w:rPr>
        <w:t>.</w:t>
      </w:r>
      <w:r>
        <w:rPr>
          <w:rFonts w:hint="eastAsia" w:ascii="黑体" w:hAnsi="黑体" w:cs="黑体"/>
          <w:lang w:val="en-US" w:eastAsia="zh-CN"/>
        </w:rPr>
        <w:t>3</w:t>
      </w:r>
      <w:r>
        <w:rPr>
          <w:rFonts w:hint="eastAsia" w:ascii="黑体" w:hAnsi="黑体" w:eastAsia="黑体" w:cs="黑体"/>
        </w:rPr>
        <w:t xml:space="preserve">.1 </w:t>
      </w:r>
      <w:r>
        <w:rPr>
          <w:rFonts w:hint="eastAsia" w:ascii="黑体" w:hAnsi="黑体" w:cs="黑体"/>
          <w:lang w:val="en-US" w:eastAsia="zh-CN"/>
        </w:rPr>
        <w:t>原材力学性能</w:t>
      </w:r>
      <w:bookmarkEnd w:id="32"/>
    </w:p>
    <w:p w14:paraId="3E489D71">
      <w:pPr>
        <w:pStyle w:val="3"/>
        <w:rPr>
          <w:rFonts w:hint="eastAsia" w:ascii="宋体" w:hAnsi="宋体" w:eastAsia="宋体" w:cs="宋体"/>
        </w:rPr>
      </w:pPr>
      <w:r>
        <w:rPr>
          <w:rFonts w:hint="eastAsia" w:ascii="宋体" w:hAnsi="宋体" w:eastAsia="宋体" w:cs="宋体"/>
        </w:rPr>
        <w:t>原材力学性能应符合表4的规定。</w:t>
      </w:r>
    </w:p>
    <w:p w14:paraId="1AEE0735">
      <w:pPr>
        <w:keepNext w:val="0"/>
        <w:keepLines w:val="0"/>
        <w:pageBreakBefore w:val="0"/>
        <w:widowControl w:val="0"/>
        <w:kinsoku/>
        <w:wordWrap/>
        <w:overflowPunct/>
        <w:topLinePunct w:val="0"/>
        <w:autoSpaceDE/>
        <w:autoSpaceDN/>
        <w:bidi w:val="0"/>
        <w:adjustRightInd/>
        <w:snapToGrid/>
        <w:ind w:right="0" w:firstLine="0" w:firstLineChars="0"/>
        <w:jc w:val="center"/>
        <w:textAlignment w:val="auto"/>
        <w:rPr>
          <w:rFonts w:hint="eastAsia" w:ascii="黑体" w:hAnsi="黑体" w:eastAsia="黑体" w:cs="黑体"/>
        </w:rPr>
      </w:pPr>
      <w:bookmarkStart w:id="33" w:name="_Hlk175229581"/>
      <w:r>
        <w:rPr>
          <w:rFonts w:hint="eastAsia" w:ascii="黑体" w:hAnsi="黑体" w:eastAsia="黑体" w:cs="黑体"/>
        </w:rPr>
        <w:t>表</w:t>
      </w:r>
      <w:r>
        <w:rPr>
          <w:rFonts w:hint="eastAsia" w:ascii="黑体" w:hAnsi="黑体" w:eastAsia="黑体" w:cs="黑体"/>
          <w:lang w:val="en-US" w:eastAsia="zh-CN"/>
        </w:rPr>
        <w:t>4 原</w:t>
      </w:r>
      <w:r>
        <w:rPr>
          <w:rFonts w:hint="eastAsia" w:ascii="黑体" w:hAnsi="黑体" w:eastAsia="黑体" w:cs="黑体"/>
        </w:rPr>
        <w:t>材力学性能</w:t>
      </w:r>
    </w:p>
    <w:bookmarkEnd w:id="33"/>
    <w:tbl>
      <w:tblPr>
        <w:tblStyle w:val="15"/>
        <w:tblW w:w="501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2"/>
        <w:gridCol w:w="1146"/>
        <w:gridCol w:w="2120"/>
        <w:gridCol w:w="1503"/>
        <w:gridCol w:w="2248"/>
      </w:tblGrid>
      <w:tr w14:paraId="7FB2E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92" w:type="pct"/>
            <w:vMerge w:val="restart"/>
            <w:noWrap w:val="0"/>
            <w:vAlign w:val="center"/>
          </w:tcPr>
          <w:p w14:paraId="0680EA20">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牌号</w:t>
            </w:r>
          </w:p>
        </w:tc>
        <w:tc>
          <w:tcPr>
            <w:tcW w:w="687" w:type="pct"/>
            <w:vMerge w:val="restart"/>
            <w:noWrap w:val="0"/>
            <w:vAlign w:val="center"/>
          </w:tcPr>
          <w:p w14:paraId="7AD50DC0">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状态</w:t>
            </w:r>
          </w:p>
        </w:tc>
        <w:tc>
          <w:tcPr>
            <w:tcW w:w="2171" w:type="pct"/>
            <w:gridSpan w:val="2"/>
            <w:noWrap w:val="0"/>
            <w:vAlign w:val="center"/>
          </w:tcPr>
          <w:p w14:paraId="1748338B">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拉伸试验</w:t>
            </w:r>
          </w:p>
        </w:tc>
        <w:tc>
          <w:tcPr>
            <w:tcW w:w="1348" w:type="pct"/>
            <w:noWrap w:val="0"/>
            <w:vAlign w:val="center"/>
          </w:tcPr>
          <w:p w14:paraId="581146E4">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硬度试验</w:t>
            </w:r>
          </w:p>
        </w:tc>
      </w:tr>
      <w:tr w14:paraId="083AD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92" w:type="pct"/>
            <w:vMerge w:val="continue"/>
            <w:tcBorders>
              <w:top w:val="nil"/>
            </w:tcBorders>
            <w:noWrap w:val="0"/>
            <w:vAlign w:val="center"/>
          </w:tcPr>
          <w:p w14:paraId="3A8CA51D">
            <w:pPr>
              <w:pStyle w:val="3"/>
              <w:ind w:firstLine="0" w:firstLineChars="0"/>
              <w:jc w:val="center"/>
              <w:rPr>
                <w:rFonts w:hint="eastAsia" w:ascii="宋体" w:hAnsi="宋体" w:eastAsia="宋体" w:cs="宋体"/>
                <w:sz w:val="18"/>
                <w:szCs w:val="18"/>
              </w:rPr>
            </w:pPr>
          </w:p>
        </w:tc>
        <w:tc>
          <w:tcPr>
            <w:tcW w:w="687" w:type="pct"/>
            <w:vMerge w:val="continue"/>
            <w:tcBorders>
              <w:top w:val="nil"/>
            </w:tcBorders>
            <w:noWrap w:val="0"/>
            <w:vAlign w:val="center"/>
          </w:tcPr>
          <w:p w14:paraId="535FBF65">
            <w:pPr>
              <w:pStyle w:val="3"/>
              <w:ind w:firstLine="0" w:firstLineChars="0"/>
              <w:jc w:val="center"/>
              <w:rPr>
                <w:rFonts w:hint="eastAsia" w:ascii="宋体" w:hAnsi="宋体" w:eastAsia="宋体" w:cs="宋体"/>
                <w:sz w:val="18"/>
                <w:szCs w:val="18"/>
              </w:rPr>
            </w:pPr>
          </w:p>
        </w:tc>
        <w:tc>
          <w:tcPr>
            <w:tcW w:w="1271" w:type="pct"/>
            <w:noWrap w:val="0"/>
            <w:vAlign w:val="center"/>
          </w:tcPr>
          <w:p w14:paraId="7935940D">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抗拉强度/MPa</w:t>
            </w:r>
          </w:p>
        </w:tc>
        <w:tc>
          <w:tcPr>
            <w:tcW w:w="900" w:type="pct"/>
            <w:noWrap w:val="0"/>
            <w:vAlign w:val="center"/>
          </w:tcPr>
          <w:p w14:paraId="0D6E956F">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延伸率 /%</w:t>
            </w:r>
          </w:p>
        </w:tc>
        <w:tc>
          <w:tcPr>
            <w:tcW w:w="1348" w:type="pct"/>
            <w:noWrap w:val="0"/>
            <w:vAlign w:val="center"/>
          </w:tcPr>
          <w:p w14:paraId="6405FD67">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维氏硬度</w:t>
            </w:r>
            <w:r>
              <w:rPr>
                <w:rFonts w:hint="eastAsia" w:ascii="宋体" w:hAnsi="宋体" w:cs="宋体"/>
                <w:sz w:val="18"/>
                <w:szCs w:val="18"/>
                <w:lang w:val="en-US" w:eastAsia="zh-CN"/>
              </w:rPr>
              <w:t>/</w:t>
            </w:r>
            <w:r>
              <w:rPr>
                <w:rFonts w:hint="eastAsia" w:ascii="宋体" w:hAnsi="宋体" w:eastAsia="宋体" w:cs="宋体"/>
                <w:sz w:val="18"/>
                <w:szCs w:val="18"/>
              </w:rPr>
              <w:t>HV</w:t>
            </w:r>
          </w:p>
        </w:tc>
      </w:tr>
      <w:tr w14:paraId="5557A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92" w:type="pct"/>
            <w:vMerge w:val="restart"/>
            <w:noWrap w:val="0"/>
            <w:vAlign w:val="center"/>
          </w:tcPr>
          <w:p w14:paraId="3564279C">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T</w:t>
            </w:r>
            <w:r>
              <w:rPr>
                <w:rFonts w:hint="eastAsia" w:ascii="宋体" w:hAnsi="宋体" w:cs="宋体"/>
                <w:sz w:val="18"/>
                <w:szCs w:val="18"/>
                <w:lang w:val="en-US" w:eastAsia="zh-CN"/>
              </w:rPr>
              <w:t>U</w:t>
            </w:r>
            <w:r>
              <w:rPr>
                <w:rFonts w:hint="eastAsia" w:ascii="宋体" w:hAnsi="宋体" w:eastAsia="宋体" w:cs="宋体"/>
                <w:sz w:val="18"/>
                <w:szCs w:val="18"/>
                <w:lang w:val="en-US" w:eastAsia="zh-CN"/>
              </w:rPr>
              <w:t>1</w:t>
            </w:r>
          </w:p>
          <w:p w14:paraId="35D8443E">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lang w:val="en-US" w:eastAsia="zh-CN"/>
              </w:rPr>
              <w:t>T</w:t>
            </w:r>
            <w:r>
              <w:rPr>
                <w:rFonts w:hint="eastAsia" w:ascii="宋体" w:hAnsi="宋体" w:cs="宋体"/>
                <w:sz w:val="18"/>
                <w:szCs w:val="18"/>
                <w:lang w:val="en-US" w:eastAsia="zh-CN"/>
              </w:rPr>
              <w:t>U</w:t>
            </w:r>
            <w:r>
              <w:rPr>
                <w:rFonts w:hint="eastAsia" w:ascii="宋体" w:hAnsi="宋体" w:eastAsia="宋体" w:cs="宋体"/>
                <w:sz w:val="18"/>
                <w:szCs w:val="18"/>
                <w:lang w:val="en-US" w:eastAsia="zh-CN"/>
              </w:rPr>
              <w:t>2</w:t>
            </w:r>
          </w:p>
        </w:tc>
        <w:tc>
          <w:tcPr>
            <w:tcW w:w="687" w:type="pct"/>
            <w:noWrap w:val="0"/>
            <w:vAlign w:val="center"/>
          </w:tcPr>
          <w:p w14:paraId="6F6CCE7B">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M或O60</w:t>
            </w:r>
          </w:p>
        </w:tc>
        <w:tc>
          <w:tcPr>
            <w:tcW w:w="1271" w:type="pct"/>
            <w:noWrap w:val="0"/>
            <w:vAlign w:val="center"/>
          </w:tcPr>
          <w:p w14:paraId="1A077AD8">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≥220</w:t>
            </w:r>
          </w:p>
        </w:tc>
        <w:tc>
          <w:tcPr>
            <w:tcW w:w="900" w:type="pct"/>
            <w:noWrap w:val="0"/>
            <w:vAlign w:val="center"/>
          </w:tcPr>
          <w:p w14:paraId="7C8663B1">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rPr>
              <w:t>≥</w:t>
            </w:r>
            <w:r>
              <w:rPr>
                <w:rFonts w:hint="eastAsia" w:ascii="宋体" w:hAnsi="宋体" w:eastAsia="宋体" w:cs="宋体"/>
                <w:sz w:val="18"/>
                <w:szCs w:val="18"/>
                <w:lang w:val="en-US" w:eastAsia="zh-CN"/>
              </w:rPr>
              <w:t>40</w:t>
            </w:r>
          </w:p>
        </w:tc>
        <w:tc>
          <w:tcPr>
            <w:tcW w:w="1348" w:type="pct"/>
            <w:noWrap w:val="0"/>
            <w:vAlign w:val="center"/>
          </w:tcPr>
          <w:p w14:paraId="5F2055DB">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≤65</w:t>
            </w:r>
          </w:p>
        </w:tc>
      </w:tr>
      <w:tr w14:paraId="77F37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92" w:type="pct"/>
            <w:vMerge w:val="continue"/>
            <w:tcBorders>
              <w:top w:val="nil"/>
            </w:tcBorders>
            <w:noWrap w:val="0"/>
            <w:vAlign w:val="center"/>
          </w:tcPr>
          <w:p w14:paraId="6BE09406">
            <w:pPr>
              <w:pStyle w:val="3"/>
              <w:ind w:firstLine="0" w:firstLineChars="0"/>
              <w:jc w:val="center"/>
              <w:rPr>
                <w:rFonts w:hint="eastAsia" w:ascii="宋体" w:hAnsi="宋体" w:eastAsia="宋体" w:cs="宋体"/>
                <w:sz w:val="18"/>
                <w:szCs w:val="18"/>
              </w:rPr>
            </w:pPr>
          </w:p>
        </w:tc>
        <w:tc>
          <w:tcPr>
            <w:tcW w:w="687" w:type="pct"/>
            <w:noWrap w:val="0"/>
            <w:vAlign w:val="center"/>
          </w:tcPr>
          <w:p w14:paraId="5A2A104A">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Y2或H02</w:t>
            </w:r>
          </w:p>
        </w:tc>
        <w:tc>
          <w:tcPr>
            <w:tcW w:w="1271" w:type="pct"/>
            <w:noWrap w:val="0"/>
            <w:vAlign w:val="center"/>
          </w:tcPr>
          <w:p w14:paraId="6A456FD1">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250</w:t>
            </w:r>
            <w:r>
              <w:rPr>
                <w:rFonts w:hint="eastAsia" w:ascii="宋体" w:hAnsi="宋体" w:eastAsia="宋体" w:cs="宋体"/>
                <w:sz w:val="18"/>
                <w:szCs w:val="18"/>
                <w:lang w:val="en-US" w:eastAsia="zh-CN"/>
              </w:rPr>
              <w:t>～</w:t>
            </w:r>
            <w:r>
              <w:rPr>
                <w:rFonts w:hint="eastAsia" w:ascii="宋体" w:hAnsi="宋体" w:eastAsia="宋体" w:cs="宋体"/>
                <w:sz w:val="18"/>
                <w:szCs w:val="18"/>
              </w:rPr>
              <w:t>320</w:t>
            </w:r>
          </w:p>
        </w:tc>
        <w:tc>
          <w:tcPr>
            <w:tcW w:w="900" w:type="pct"/>
            <w:noWrap w:val="0"/>
            <w:vAlign w:val="center"/>
          </w:tcPr>
          <w:p w14:paraId="6B7ED0B3">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≥10</w:t>
            </w:r>
          </w:p>
        </w:tc>
        <w:tc>
          <w:tcPr>
            <w:tcW w:w="1348" w:type="pct"/>
            <w:noWrap w:val="0"/>
            <w:vAlign w:val="center"/>
          </w:tcPr>
          <w:p w14:paraId="33C63FC4">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80</w:t>
            </w:r>
            <w:r>
              <w:rPr>
                <w:rFonts w:hint="eastAsia" w:ascii="宋体" w:hAnsi="宋体" w:eastAsia="宋体" w:cs="宋体"/>
                <w:sz w:val="18"/>
                <w:szCs w:val="18"/>
                <w:lang w:val="en-US" w:eastAsia="zh-CN"/>
              </w:rPr>
              <w:t>～</w:t>
            </w:r>
            <w:r>
              <w:rPr>
                <w:rFonts w:hint="eastAsia" w:ascii="宋体" w:hAnsi="宋体" w:eastAsia="宋体" w:cs="宋体"/>
                <w:sz w:val="18"/>
                <w:szCs w:val="18"/>
              </w:rPr>
              <w:t>105</w:t>
            </w:r>
          </w:p>
        </w:tc>
      </w:tr>
      <w:tr w14:paraId="69F35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92" w:type="pct"/>
            <w:vMerge w:val="continue"/>
            <w:tcBorders>
              <w:top w:val="nil"/>
            </w:tcBorders>
            <w:noWrap w:val="0"/>
            <w:vAlign w:val="center"/>
          </w:tcPr>
          <w:p w14:paraId="513302C2">
            <w:pPr>
              <w:pStyle w:val="3"/>
              <w:ind w:firstLine="0" w:firstLineChars="0"/>
              <w:jc w:val="center"/>
              <w:rPr>
                <w:rFonts w:hint="eastAsia" w:ascii="宋体" w:hAnsi="宋体" w:eastAsia="宋体" w:cs="宋体"/>
                <w:sz w:val="18"/>
                <w:szCs w:val="18"/>
              </w:rPr>
            </w:pPr>
          </w:p>
        </w:tc>
        <w:tc>
          <w:tcPr>
            <w:tcW w:w="687" w:type="pct"/>
            <w:noWrap w:val="0"/>
            <w:vAlign w:val="center"/>
          </w:tcPr>
          <w:p w14:paraId="64AC7DEA">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Y或H04</w:t>
            </w:r>
          </w:p>
        </w:tc>
        <w:tc>
          <w:tcPr>
            <w:tcW w:w="1271" w:type="pct"/>
            <w:noWrap w:val="0"/>
            <w:vAlign w:val="center"/>
          </w:tcPr>
          <w:p w14:paraId="1AE04419">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300</w:t>
            </w:r>
            <w:r>
              <w:rPr>
                <w:rFonts w:hint="eastAsia" w:ascii="宋体" w:hAnsi="宋体" w:eastAsia="宋体" w:cs="宋体"/>
                <w:sz w:val="18"/>
                <w:szCs w:val="18"/>
                <w:lang w:val="en-US" w:eastAsia="zh-CN"/>
              </w:rPr>
              <w:t>～</w:t>
            </w:r>
            <w:r>
              <w:rPr>
                <w:rFonts w:hint="eastAsia" w:ascii="宋体" w:hAnsi="宋体" w:eastAsia="宋体" w:cs="宋体"/>
                <w:sz w:val="18"/>
                <w:szCs w:val="18"/>
              </w:rPr>
              <w:t>380</w:t>
            </w:r>
          </w:p>
        </w:tc>
        <w:tc>
          <w:tcPr>
            <w:tcW w:w="900" w:type="pct"/>
            <w:noWrap w:val="0"/>
            <w:vAlign w:val="center"/>
          </w:tcPr>
          <w:p w14:paraId="5D774825">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≥5</w:t>
            </w:r>
          </w:p>
        </w:tc>
        <w:tc>
          <w:tcPr>
            <w:tcW w:w="1348" w:type="pct"/>
            <w:noWrap w:val="0"/>
            <w:vAlign w:val="center"/>
          </w:tcPr>
          <w:p w14:paraId="39F79BE6">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90</w:t>
            </w:r>
            <w:r>
              <w:rPr>
                <w:rFonts w:hint="eastAsia" w:ascii="宋体" w:hAnsi="宋体" w:eastAsia="宋体" w:cs="宋体"/>
                <w:sz w:val="18"/>
                <w:szCs w:val="18"/>
                <w:lang w:val="en-US" w:eastAsia="zh-CN"/>
              </w:rPr>
              <w:t>～</w:t>
            </w:r>
            <w:r>
              <w:rPr>
                <w:rFonts w:hint="eastAsia" w:ascii="宋体" w:hAnsi="宋体" w:eastAsia="宋体" w:cs="宋体"/>
                <w:sz w:val="18"/>
                <w:szCs w:val="18"/>
              </w:rPr>
              <w:t>115</w:t>
            </w:r>
          </w:p>
        </w:tc>
      </w:tr>
    </w:tbl>
    <w:p w14:paraId="35A5F6BA">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ind w:firstLine="0" w:firstLineChars="0"/>
        <w:textAlignment w:val="auto"/>
        <w:outlineLvl w:val="2"/>
        <w:rPr>
          <w:rFonts w:hint="eastAsia" w:ascii="黑体" w:hAnsi="黑体" w:eastAsia="黑体" w:cs="黑体"/>
        </w:rPr>
      </w:pPr>
      <w:bookmarkStart w:id="34" w:name="_Toc1634"/>
      <w:r>
        <w:rPr>
          <w:rFonts w:hint="eastAsia" w:ascii="黑体" w:hAnsi="黑体" w:cs="黑体"/>
          <w:lang w:val="en-US" w:eastAsia="zh-CN"/>
        </w:rPr>
        <w:t>5.3.2</w:t>
      </w:r>
      <w:r>
        <w:rPr>
          <w:rFonts w:hint="eastAsia" w:ascii="黑体" w:hAnsi="黑体" w:eastAsia="黑体" w:cs="黑体"/>
        </w:rPr>
        <w:t>.</w:t>
      </w:r>
      <w:r>
        <w:rPr>
          <w:rFonts w:hint="eastAsia" w:ascii="黑体" w:hAnsi="黑体" w:cs="黑体"/>
          <w:lang w:val="en-US" w:eastAsia="zh-CN"/>
        </w:rPr>
        <w:t xml:space="preserve"> </w:t>
      </w:r>
      <w:r>
        <w:rPr>
          <w:rFonts w:hint="eastAsia" w:cs="宋体"/>
          <w:b w:val="0"/>
          <w:bCs w:val="0"/>
          <w:spacing w:val="-5"/>
          <w:sz w:val="21"/>
          <w:szCs w:val="21"/>
          <w:lang w:val="en-US" w:eastAsia="zh-CN"/>
        </w:rPr>
        <w:t>产品高温煅烧后力学性能</w:t>
      </w:r>
      <w:bookmarkEnd w:id="34"/>
    </w:p>
    <w:p w14:paraId="343B78A5">
      <w:pPr>
        <w:pStyle w:val="3"/>
        <w:rPr>
          <w:rFonts w:hint="eastAsia" w:ascii="宋体" w:hAnsi="宋体" w:eastAsia="宋体" w:cs="宋体"/>
        </w:rPr>
      </w:pPr>
      <w:r>
        <w:rPr>
          <w:rFonts w:hint="eastAsia" w:ascii="宋体" w:hAnsi="宋体" w:eastAsia="宋体" w:cs="宋体"/>
          <w:lang w:val="en-US" w:eastAsia="zh-CN"/>
        </w:rPr>
        <w:t>产品经850℃高温煅烧</w:t>
      </w:r>
      <w:r>
        <w:rPr>
          <w:rFonts w:hint="eastAsia" w:ascii="宋体" w:hAnsi="宋体" w:cs="宋体"/>
          <w:lang w:val="en-US" w:eastAsia="zh-CN"/>
        </w:rPr>
        <w:t>2h冷却</w:t>
      </w:r>
      <w:r>
        <w:rPr>
          <w:rFonts w:hint="eastAsia" w:ascii="宋体" w:hAnsi="宋体" w:eastAsia="宋体" w:cs="宋体"/>
          <w:lang w:val="en-US" w:eastAsia="zh-CN"/>
        </w:rPr>
        <w:t>后力学性能应符合表5的规定</w:t>
      </w:r>
      <w:r>
        <w:rPr>
          <w:rFonts w:hint="eastAsia" w:ascii="宋体" w:hAnsi="宋体" w:eastAsia="宋体" w:cs="宋体"/>
        </w:rPr>
        <w:t>。</w:t>
      </w:r>
    </w:p>
    <w:p w14:paraId="321E704D">
      <w:pPr>
        <w:keepNext w:val="0"/>
        <w:keepLines w:val="0"/>
        <w:pageBreakBefore w:val="0"/>
        <w:widowControl w:val="0"/>
        <w:kinsoku/>
        <w:wordWrap/>
        <w:overflowPunct/>
        <w:topLinePunct w:val="0"/>
        <w:autoSpaceDE/>
        <w:autoSpaceDN/>
        <w:bidi w:val="0"/>
        <w:adjustRightInd/>
        <w:snapToGrid/>
        <w:ind w:right="0" w:firstLine="0" w:firstLineChars="0"/>
        <w:jc w:val="center"/>
        <w:textAlignment w:val="auto"/>
        <w:rPr>
          <w:rFonts w:hint="eastAsia" w:ascii="黑体" w:hAnsi="黑体" w:eastAsia="黑体" w:cs="黑体"/>
          <w:lang w:val="en-US" w:eastAsia="zh-CN"/>
        </w:rPr>
      </w:pPr>
      <w:bookmarkStart w:id="35" w:name="_Hlk172572012"/>
      <w:r>
        <w:rPr>
          <w:rFonts w:hint="eastAsia" w:ascii="黑体" w:hAnsi="黑体" w:eastAsia="黑体" w:cs="黑体"/>
        </w:rPr>
        <w:t>表</w:t>
      </w:r>
      <w:r>
        <w:rPr>
          <w:rFonts w:hint="eastAsia" w:ascii="黑体" w:hAnsi="黑体" w:eastAsia="黑体" w:cs="黑体"/>
          <w:lang w:val="en-US" w:eastAsia="zh-CN"/>
        </w:rPr>
        <w:t>5 高温煅烧冷却后力学性能</w:t>
      </w:r>
    </w:p>
    <w:tbl>
      <w:tblPr>
        <w:tblStyle w:val="15"/>
        <w:tblW w:w="500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0"/>
        <w:gridCol w:w="1144"/>
        <w:gridCol w:w="2112"/>
        <w:gridCol w:w="1503"/>
        <w:gridCol w:w="2244"/>
      </w:tblGrid>
      <w:tr w14:paraId="49213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93" w:type="pct"/>
            <w:vMerge w:val="restart"/>
            <w:noWrap w:val="0"/>
            <w:vAlign w:val="center"/>
          </w:tcPr>
          <w:p w14:paraId="0F108639">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牌号</w:t>
            </w:r>
          </w:p>
        </w:tc>
        <w:tc>
          <w:tcPr>
            <w:tcW w:w="687" w:type="pct"/>
            <w:vMerge w:val="restart"/>
            <w:noWrap w:val="0"/>
            <w:vAlign w:val="center"/>
          </w:tcPr>
          <w:p w14:paraId="40D61CB8">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状态</w:t>
            </w:r>
          </w:p>
        </w:tc>
        <w:tc>
          <w:tcPr>
            <w:tcW w:w="2171" w:type="pct"/>
            <w:gridSpan w:val="2"/>
            <w:noWrap w:val="0"/>
            <w:vAlign w:val="center"/>
          </w:tcPr>
          <w:p w14:paraId="2F61257B">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拉伸试验</w:t>
            </w:r>
          </w:p>
        </w:tc>
        <w:tc>
          <w:tcPr>
            <w:tcW w:w="1348" w:type="pct"/>
            <w:noWrap w:val="0"/>
            <w:vAlign w:val="center"/>
          </w:tcPr>
          <w:p w14:paraId="191A8684">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硬度试验</w:t>
            </w:r>
          </w:p>
        </w:tc>
      </w:tr>
      <w:tr w14:paraId="7A06C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93" w:type="pct"/>
            <w:vMerge w:val="continue"/>
            <w:tcBorders>
              <w:top w:val="nil"/>
            </w:tcBorders>
            <w:noWrap w:val="0"/>
            <w:vAlign w:val="center"/>
          </w:tcPr>
          <w:p w14:paraId="71E34BC7">
            <w:pPr>
              <w:pStyle w:val="3"/>
              <w:ind w:firstLine="0" w:firstLineChars="0"/>
              <w:jc w:val="center"/>
              <w:rPr>
                <w:rFonts w:hint="eastAsia" w:ascii="宋体" w:hAnsi="宋体" w:eastAsia="宋体" w:cs="宋体"/>
                <w:sz w:val="18"/>
                <w:szCs w:val="18"/>
              </w:rPr>
            </w:pPr>
          </w:p>
        </w:tc>
        <w:tc>
          <w:tcPr>
            <w:tcW w:w="687" w:type="pct"/>
            <w:vMerge w:val="continue"/>
            <w:tcBorders>
              <w:top w:val="nil"/>
            </w:tcBorders>
            <w:noWrap w:val="0"/>
            <w:vAlign w:val="center"/>
          </w:tcPr>
          <w:p w14:paraId="7741FD6B">
            <w:pPr>
              <w:pStyle w:val="3"/>
              <w:ind w:firstLine="0" w:firstLineChars="0"/>
              <w:jc w:val="center"/>
              <w:rPr>
                <w:rFonts w:hint="eastAsia" w:ascii="宋体" w:hAnsi="宋体" w:eastAsia="宋体" w:cs="宋体"/>
                <w:sz w:val="18"/>
                <w:szCs w:val="18"/>
              </w:rPr>
            </w:pPr>
          </w:p>
        </w:tc>
        <w:tc>
          <w:tcPr>
            <w:tcW w:w="2107" w:type="dxa"/>
            <w:noWrap w:val="0"/>
            <w:vAlign w:val="center"/>
          </w:tcPr>
          <w:p w14:paraId="17590A4C">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抗拉强度/MPa</w:t>
            </w:r>
          </w:p>
        </w:tc>
        <w:tc>
          <w:tcPr>
            <w:tcW w:w="1499" w:type="dxa"/>
            <w:noWrap w:val="0"/>
            <w:vAlign w:val="center"/>
          </w:tcPr>
          <w:p w14:paraId="2DE635AE">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延伸率 /%</w:t>
            </w:r>
          </w:p>
        </w:tc>
        <w:tc>
          <w:tcPr>
            <w:tcW w:w="2239" w:type="dxa"/>
            <w:noWrap w:val="0"/>
            <w:vAlign w:val="center"/>
          </w:tcPr>
          <w:p w14:paraId="08E6CE92">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rPr>
              <w:t>维氏硬度</w:t>
            </w:r>
            <w:r>
              <w:rPr>
                <w:rFonts w:hint="eastAsia" w:ascii="宋体" w:hAnsi="宋体" w:cs="宋体"/>
                <w:sz w:val="18"/>
                <w:szCs w:val="18"/>
                <w:lang w:val="en-US" w:eastAsia="zh-CN"/>
              </w:rPr>
              <w:t>/</w:t>
            </w:r>
            <w:r>
              <w:rPr>
                <w:rFonts w:hint="eastAsia" w:ascii="宋体" w:hAnsi="宋体" w:eastAsia="宋体" w:cs="宋体"/>
                <w:sz w:val="18"/>
                <w:szCs w:val="18"/>
              </w:rPr>
              <w:t>HV</w:t>
            </w:r>
          </w:p>
        </w:tc>
      </w:tr>
      <w:tr w14:paraId="65B4B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93" w:type="pct"/>
            <w:noWrap w:val="0"/>
            <w:vAlign w:val="center"/>
          </w:tcPr>
          <w:p w14:paraId="05CE18C1">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T</w:t>
            </w:r>
            <w:r>
              <w:rPr>
                <w:rFonts w:hint="eastAsia" w:ascii="宋体" w:hAnsi="宋体" w:cs="宋体"/>
                <w:sz w:val="18"/>
                <w:szCs w:val="18"/>
                <w:lang w:val="en-US" w:eastAsia="zh-CN"/>
              </w:rPr>
              <w:t>U</w:t>
            </w:r>
            <w:r>
              <w:rPr>
                <w:rFonts w:hint="eastAsia" w:ascii="宋体" w:hAnsi="宋体" w:eastAsia="宋体" w:cs="宋体"/>
                <w:sz w:val="18"/>
                <w:szCs w:val="18"/>
                <w:lang w:val="en-US" w:eastAsia="zh-CN"/>
              </w:rPr>
              <w:t>1</w:t>
            </w:r>
          </w:p>
          <w:p w14:paraId="40718E79">
            <w:pPr>
              <w:pStyle w:val="3"/>
              <w:ind w:firstLine="0" w:firstLineChars="0"/>
              <w:jc w:val="center"/>
              <w:rPr>
                <w:rFonts w:hint="eastAsia" w:ascii="宋体" w:hAnsi="宋体" w:eastAsia="宋体" w:cs="宋体"/>
                <w:sz w:val="18"/>
                <w:szCs w:val="18"/>
              </w:rPr>
            </w:pPr>
            <w:r>
              <w:rPr>
                <w:rFonts w:hint="eastAsia" w:ascii="宋体" w:hAnsi="宋体" w:eastAsia="宋体" w:cs="宋体"/>
                <w:sz w:val="18"/>
                <w:szCs w:val="18"/>
                <w:lang w:val="en-US" w:eastAsia="zh-CN"/>
              </w:rPr>
              <w:t>T</w:t>
            </w:r>
            <w:r>
              <w:rPr>
                <w:rFonts w:hint="eastAsia" w:ascii="宋体" w:hAnsi="宋体" w:cs="宋体"/>
                <w:sz w:val="18"/>
                <w:szCs w:val="18"/>
                <w:lang w:val="en-US" w:eastAsia="zh-CN"/>
              </w:rPr>
              <w:t>U</w:t>
            </w:r>
            <w:r>
              <w:rPr>
                <w:rFonts w:hint="eastAsia" w:ascii="宋体" w:hAnsi="宋体" w:eastAsia="宋体" w:cs="宋体"/>
                <w:sz w:val="18"/>
                <w:szCs w:val="18"/>
                <w:lang w:val="en-US" w:eastAsia="zh-CN"/>
              </w:rPr>
              <w:t>2</w:t>
            </w:r>
          </w:p>
        </w:tc>
        <w:tc>
          <w:tcPr>
            <w:tcW w:w="687" w:type="pct"/>
            <w:noWrap w:val="0"/>
            <w:vAlign w:val="center"/>
          </w:tcPr>
          <w:p w14:paraId="2C303A02">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高温煅烧态</w:t>
            </w:r>
          </w:p>
        </w:tc>
        <w:tc>
          <w:tcPr>
            <w:tcW w:w="1271" w:type="pct"/>
            <w:noWrap w:val="0"/>
            <w:vAlign w:val="center"/>
          </w:tcPr>
          <w:p w14:paraId="618D10D4">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≥150</w:t>
            </w:r>
          </w:p>
        </w:tc>
        <w:tc>
          <w:tcPr>
            <w:tcW w:w="899" w:type="pct"/>
            <w:noWrap w:val="0"/>
            <w:vAlign w:val="center"/>
          </w:tcPr>
          <w:p w14:paraId="01226303">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≥20</w:t>
            </w:r>
          </w:p>
        </w:tc>
        <w:tc>
          <w:tcPr>
            <w:tcW w:w="1348" w:type="pct"/>
            <w:noWrap w:val="0"/>
            <w:vAlign w:val="center"/>
          </w:tcPr>
          <w:p w14:paraId="1C250CBF">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≤55</w:t>
            </w:r>
          </w:p>
        </w:tc>
      </w:tr>
      <w:bookmarkEnd w:id="35"/>
    </w:tbl>
    <w:p w14:paraId="663A984B">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黑体" w:hAnsi="黑体" w:eastAsia="黑体" w:cs="黑体"/>
        </w:rPr>
      </w:pPr>
      <w:bookmarkStart w:id="36" w:name="_Toc870"/>
      <w:r>
        <w:rPr>
          <w:rFonts w:hint="eastAsia" w:ascii="黑体" w:hAnsi="黑体" w:cs="黑体"/>
          <w:lang w:val="en-US" w:eastAsia="zh-CN"/>
        </w:rPr>
        <w:t>5</w:t>
      </w:r>
      <w:r>
        <w:rPr>
          <w:rFonts w:hint="eastAsia" w:ascii="黑体" w:hAnsi="黑体" w:eastAsia="黑体" w:cs="黑体"/>
        </w:rPr>
        <w:t>.</w:t>
      </w:r>
      <w:r>
        <w:rPr>
          <w:rFonts w:hint="eastAsia" w:ascii="黑体" w:hAnsi="黑体" w:cs="黑体"/>
          <w:lang w:val="en-US" w:eastAsia="zh-CN"/>
        </w:rPr>
        <w:t>4</w:t>
      </w:r>
      <w:r>
        <w:rPr>
          <w:rFonts w:hint="default" w:ascii="黑体" w:hAnsi="黑体" w:cs="黑体"/>
          <w:lang w:val="en-US"/>
        </w:rPr>
        <w:t xml:space="preserve"> </w:t>
      </w:r>
      <w:r>
        <w:rPr>
          <w:rFonts w:hint="eastAsia" w:ascii="黑体" w:hAnsi="黑体" w:eastAsia="黑体" w:cs="黑体"/>
        </w:rPr>
        <w:t>电性能</w:t>
      </w:r>
      <w:bookmarkEnd w:id="36"/>
    </w:p>
    <w:p w14:paraId="1A9906DC">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ind w:firstLine="0" w:firstLineChars="0"/>
        <w:textAlignment w:val="auto"/>
        <w:outlineLvl w:val="2"/>
        <w:rPr>
          <w:rFonts w:hint="default" w:ascii="黑体" w:hAnsi="黑体" w:cs="黑体"/>
          <w:lang w:val="en-US" w:eastAsia="zh-CN"/>
        </w:rPr>
      </w:pPr>
      <w:bookmarkStart w:id="37" w:name="_Toc30950"/>
      <w:r>
        <w:rPr>
          <w:rFonts w:hint="eastAsia" w:ascii="黑体" w:hAnsi="黑体" w:cs="黑体"/>
          <w:lang w:val="en-US" w:eastAsia="zh-CN"/>
        </w:rPr>
        <w:t>5.4.1 原材电性能</w:t>
      </w:r>
      <w:bookmarkEnd w:id="37"/>
    </w:p>
    <w:p w14:paraId="3D597243">
      <w:pPr>
        <w:pStyle w:val="3"/>
        <w:rPr>
          <w:rFonts w:hint="eastAsia" w:ascii="宋体" w:hAnsi="宋体" w:eastAsia="宋体" w:cs="宋体"/>
        </w:rPr>
      </w:pPr>
      <w:r>
        <w:rPr>
          <w:rFonts w:hint="eastAsia" w:ascii="宋体" w:hAnsi="宋体" w:eastAsia="宋体" w:cs="宋体"/>
        </w:rPr>
        <w:t>原材</w:t>
      </w:r>
      <w:r>
        <w:rPr>
          <w:rFonts w:hint="eastAsia" w:ascii="宋体" w:hAnsi="宋体" w:eastAsia="宋体" w:cs="宋体"/>
          <w:lang w:val="en-US" w:eastAsia="zh-CN"/>
        </w:rPr>
        <w:t>电</w:t>
      </w:r>
      <w:r>
        <w:rPr>
          <w:rFonts w:hint="eastAsia" w:ascii="宋体" w:hAnsi="宋体" w:eastAsia="宋体" w:cs="宋体"/>
        </w:rPr>
        <w:t>性能应符合表</w:t>
      </w:r>
      <w:r>
        <w:rPr>
          <w:rFonts w:hint="eastAsia" w:ascii="宋体" w:hAnsi="宋体" w:eastAsia="宋体" w:cs="宋体"/>
          <w:lang w:val="en-US" w:eastAsia="zh-CN"/>
        </w:rPr>
        <w:t>6</w:t>
      </w:r>
      <w:r>
        <w:rPr>
          <w:rFonts w:hint="eastAsia" w:ascii="宋体" w:hAnsi="宋体" w:eastAsia="宋体" w:cs="宋体"/>
        </w:rPr>
        <w:t>的规定。</w:t>
      </w:r>
    </w:p>
    <w:p w14:paraId="3E4F8AA1">
      <w:pPr>
        <w:keepNext w:val="0"/>
        <w:keepLines w:val="0"/>
        <w:pageBreakBefore w:val="0"/>
        <w:widowControl w:val="0"/>
        <w:kinsoku/>
        <w:wordWrap/>
        <w:overflowPunct/>
        <w:topLinePunct w:val="0"/>
        <w:autoSpaceDE/>
        <w:autoSpaceDN/>
        <w:bidi w:val="0"/>
        <w:adjustRightInd/>
        <w:snapToGrid/>
        <w:ind w:right="0" w:firstLine="0" w:firstLineChars="0"/>
        <w:jc w:val="center"/>
        <w:textAlignment w:val="auto"/>
        <w:rPr>
          <w:rFonts w:hint="eastAsia" w:ascii="黑体" w:hAnsi="黑体" w:eastAsia="黑体" w:cs="黑体"/>
        </w:rPr>
      </w:pPr>
      <w:r>
        <w:rPr>
          <w:rFonts w:hint="eastAsia" w:ascii="黑体" w:hAnsi="黑体" w:eastAsia="黑体" w:cs="黑体"/>
        </w:rPr>
        <w:t>表</w:t>
      </w:r>
      <w:r>
        <w:rPr>
          <w:rFonts w:hint="eastAsia" w:ascii="黑体" w:hAnsi="黑体" w:eastAsia="黑体" w:cs="黑体"/>
          <w:lang w:val="en-US" w:eastAsia="zh-CN"/>
        </w:rPr>
        <w:t>6 原</w:t>
      </w:r>
      <w:r>
        <w:rPr>
          <w:rFonts w:hint="eastAsia" w:ascii="黑体" w:hAnsi="黑体" w:eastAsia="黑体" w:cs="黑体"/>
        </w:rPr>
        <w:t>材力学性能</w:t>
      </w:r>
    </w:p>
    <w:tbl>
      <w:tblPr>
        <w:tblStyle w:val="15"/>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37"/>
        <w:gridCol w:w="2989"/>
        <w:gridCol w:w="2989"/>
      </w:tblGrid>
      <w:tr w14:paraId="28ADF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405" w:type="pct"/>
            <w:noWrap w:val="0"/>
            <w:vAlign w:val="center"/>
          </w:tcPr>
          <w:p w14:paraId="3A247F73">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牌号</w:t>
            </w:r>
          </w:p>
        </w:tc>
        <w:tc>
          <w:tcPr>
            <w:tcW w:w="1797" w:type="pct"/>
            <w:noWrap w:val="0"/>
            <w:vAlign w:val="center"/>
          </w:tcPr>
          <w:p w14:paraId="7A350977">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导电率/%IACS</w:t>
            </w:r>
          </w:p>
        </w:tc>
        <w:tc>
          <w:tcPr>
            <w:tcW w:w="1797" w:type="pct"/>
            <w:noWrap w:val="0"/>
            <w:vAlign w:val="center"/>
          </w:tcPr>
          <w:p w14:paraId="2C26D427">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电阻系数/（Ω·mm</w:t>
            </w:r>
            <w:r>
              <w:rPr>
                <w:rFonts w:hint="eastAsia" w:ascii="宋体" w:hAnsi="宋体" w:eastAsia="宋体" w:cs="宋体"/>
                <w:sz w:val="18"/>
                <w:szCs w:val="18"/>
                <w:vertAlign w:val="superscript"/>
                <w:lang w:val="en-US" w:eastAsia="zh-CN"/>
              </w:rPr>
              <w:t>2</w:t>
            </w:r>
            <w:r>
              <w:rPr>
                <w:rFonts w:hint="eastAsia" w:ascii="宋体" w:hAnsi="宋体" w:eastAsia="宋体" w:cs="宋体"/>
                <w:sz w:val="18"/>
                <w:szCs w:val="18"/>
                <w:lang w:val="en-US" w:eastAsia="zh-CN"/>
              </w:rPr>
              <w:t>/m）</w:t>
            </w:r>
          </w:p>
        </w:tc>
      </w:tr>
      <w:tr w14:paraId="57841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405" w:type="pct"/>
            <w:noWrap w:val="0"/>
            <w:vAlign w:val="center"/>
          </w:tcPr>
          <w:p w14:paraId="32745D16">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TU1</w:t>
            </w:r>
          </w:p>
        </w:tc>
        <w:tc>
          <w:tcPr>
            <w:tcW w:w="1797" w:type="pct"/>
            <w:noWrap w:val="0"/>
            <w:vAlign w:val="center"/>
          </w:tcPr>
          <w:p w14:paraId="5001C9DC">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1797" w:type="pct"/>
            <w:noWrap w:val="0"/>
            <w:vAlign w:val="top"/>
          </w:tcPr>
          <w:p w14:paraId="687AC412">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≤0.017241</w:t>
            </w:r>
          </w:p>
        </w:tc>
      </w:tr>
      <w:tr w14:paraId="590FC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405" w:type="pct"/>
            <w:noWrap w:val="0"/>
            <w:vAlign w:val="center"/>
          </w:tcPr>
          <w:p w14:paraId="793424F0">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TU2</w:t>
            </w:r>
          </w:p>
        </w:tc>
        <w:tc>
          <w:tcPr>
            <w:tcW w:w="1797" w:type="pct"/>
            <w:noWrap w:val="0"/>
            <w:vAlign w:val="center"/>
          </w:tcPr>
          <w:p w14:paraId="42765575">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≥99</w:t>
            </w:r>
          </w:p>
        </w:tc>
        <w:tc>
          <w:tcPr>
            <w:tcW w:w="1797" w:type="pct"/>
            <w:noWrap w:val="0"/>
            <w:vAlign w:val="top"/>
          </w:tcPr>
          <w:p w14:paraId="5961467C">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≤0.017415</w:t>
            </w:r>
          </w:p>
        </w:tc>
      </w:tr>
    </w:tbl>
    <w:p w14:paraId="2584BF7D">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ind w:firstLine="0" w:firstLineChars="0"/>
        <w:textAlignment w:val="auto"/>
        <w:outlineLvl w:val="2"/>
        <w:rPr>
          <w:rFonts w:hint="default" w:ascii="黑体" w:hAnsi="黑体" w:cs="黑体"/>
          <w:lang w:val="en-US" w:eastAsia="zh-CN"/>
        </w:rPr>
      </w:pPr>
      <w:bookmarkStart w:id="38" w:name="_Toc24114"/>
      <w:r>
        <w:rPr>
          <w:rFonts w:hint="eastAsia" w:ascii="黑体" w:hAnsi="黑体" w:cs="黑体"/>
          <w:lang w:val="en-US" w:eastAsia="zh-CN"/>
        </w:rPr>
        <w:t>5.4.2 产品高温煅烧后电性能</w:t>
      </w:r>
      <w:bookmarkEnd w:id="38"/>
    </w:p>
    <w:p w14:paraId="51EB6135">
      <w:pPr>
        <w:pStyle w:val="3"/>
        <w:rPr>
          <w:rFonts w:hint="eastAsia" w:ascii="宋体" w:hAnsi="宋体" w:eastAsia="宋体" w:cs="宋体"/>
          <w:highlight w:val="none"/>
        </w:rPr>
      </w:pPr>
      <w:r>
        <w:rPr>
          <w:rFonts w:hint="eastAsia" w:ascii="宋体" w:hAnsi="宋体" w:eastAsia="宋体" w:cs="宋体"/>
          <w:highlight w:val="none"/>
          <w:lang w:val="en-US" w:eastAsia="zh-CN"/>
        </w:rPr>
        <w:t>产品经850℃/2h高温煅烧后电性能应符合表7的规定。</w:t>
      </w:r>
    </w:p>
    <w:p w14:paraId="36D03784">
      <w:pPr>
        <w:keepNext w:val="0"/>
        <w:keepLines w:val="0"/>
        <w:pageBreakBefore w:val="0"/>
        <w:widowControl w:val="0"/>
        <w:kinsoku/>
        <w:wordWrap/>
        <w:overflowPunct/>
        <w:topLinePunct w:val="0"/>
        <w:autoSpaceDE/>
        <w:autoSpaceDN/>
        <w:bidi w:val="0"/>
        <w:adjustRightInd/>
        <w:snapToGrid/>
        <w:ind w:right="0" w:firstLine="0" w:firstLineChars="0"/>
        <w:jc w:val="center"/>
        <w:textAlignment w:val="auto"/>
        <w:rPr>
          <w:rFonts w:hint="eastAsia" w:ascii="黑体" w:hAnsi="黑体" w:eastAsia="黑体" w:cs="黑体"/>
        </w:rPr>
      </w:pPr>
      <w:r>
        <w:rPr>
          <w:rFonts w:hint="eastAsia" w:ascii="黑体" w:hAnsi="黑体" w:eastAsia="黑体" w:cs="黑体"/>
        </w:rPr>
        <w:t>表</w:t>
      </w:r>
      <w:r>
        <w:rPr>
          <w:rFonts w:hint="eastAsia" w:ascii="黑体" w:hAnsi="黑体" w:eastAsia="黑体" w:cs="黑体"/>
          <w:lang w:val="en-US" w:eastAsia="zh-CN"/>
        </w:rPr>
        <w:t>7 高温煅烧后电</w:t>
      </w:r>
      <w:r>
        <w:rPr>
          <w:rFonts w:hint="eastAsia" w:ascii="黑体" w:hAnsi="黑体" w:eastAsia="黑体" w:cs="黑体"/>
        </w:rPr>
        <w:t>性能</w:t>
      </w:r>
    </w:p>
    <w:tbl>
      <w:tblPr>
        <w:tblStyle w:val="15"/>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37"/>
        <w:gridCol w:w="2989"/>
        <w:gridCol w:w="2989"/>
      </w:tblGrid>
      <w:tr w14:paraId="06634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405" w:type="pct"/>
            <w:noWrap w:val="0"/>
            <w:vAlign w:val="center"/>
          </w:tcPr>
          <w:p w14:paraId="1E08BACA">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牌号</w:t>
            </w:r>
          </w:p>
        </w:tc>
        <w:tc>
          <w:tcPr>
            <w:tcW w:w="1797" w:type="pct"/>
            <w:noWrap w:val="0"/>
            <w:vAlign w:val="center"/>
          </w:tcPr>
          <w:p w14:paraId="0109E8BF">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导电率/%IACS</w:t>
            </w:r>
          </w:p>
        </w:tc>
        <w:tc>
          <w:tcPr>
            <w:tcW w:w="1797" w:type="pct"/>
            <w:noWrap w:val="0"/>
            <w:vAlign w:val="center"/>
          </w:tcPr>
          <w:p w14:paraId="2EF26179">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电阻系数/（Ω·mm</w:t>
            </w:r>
            <w:r>
              <w:rPr>
                <w:rFonts w:hint="eastAsia" w:ascii="宋体" w:hAnsi="宋体" w:eastAsia="宋体" w:cs="宋体"/>
                <w:sz w:val="18"/>
                <w:szCs w:val="18"/>
                <w:vertAlign w:val="superscript"/>
                <w:lang w:val="en-US" w:eastAsia="zh-CN"/>
              </w:rPr>
              <w:t>2</w:t>
            </w:r>
            <w:r>
              <w:rPr>
                <w:rFonts w:hint="eastAsia" w:ascii="宋体" w:hAnsi="宋体" w:eastAsia="宋体" w:cs="宋体"/>
                <w:sz w:val="18"/>
                <w:szCs w:val="18"/>
                <w:lang w:val="en-US" w:eastAsia="zh-CN"/>
              </w:rPr>
              <w:t>/m）</w:t>
            </w:r>
          </w:p>
        </w:tc>
      </w:tr>
      <w:tr w14:paraId="4AE82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405" w:type="pct"/>
            <w:noWrap w:val="0"/>
            <w:vAlign w:val="center"/>
          </w:tcPr>
          <w:p w14:paraId="1E1B773F">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TU1</w:t>
            </w:r>
          </w:p>
        </w:tc>
        <w:tc>
          <w:tcPr>
            <w:tcW w:w="1797" w:type="pct"/>
            <w:noWrap w:val="0"/>
            <w:vAlign w:val="center"/>
          </w:tcPr>
          <w:p w14:paraId="44F9CDA5">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≥101</w:t>
            </w:r>
          </w:p>
        </w:tc>
        <w:tc>
          <w:tcPr>
            <w:tcW w:w="1797" w:type="pct"/>
            <w:noWrap w:val="0"/>
            <w:vAlign w:val="top"/>
          </w:tcPr>
          <w:p w14:paraId="43E52330">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≤0.017070</w:t>
            </w:r>
          </w:p>
        </w:tc>
      </w:tr>
      <w:tr w14:paraId="6F185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405" w:type="pct"/>
            <w:noWrap w:val="0"/>
            <w:vAlign w:val="center"/>
          </w:tcPr>
          <w:p w14:paraId="0B33B725">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TU2</w:t>
            </w:r>
          </w:p>
        </w:tc>
        <w:tc>
          <w:tcPr>
            <w:tcW w:w="1797" w:type="pct"/>
            <w:noWrap w:val="0"/>
            <w:vAlign w:val="center"/>
          </w:tcPr>
          <w:p w14:paraId="08F7BBCF">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1797" w:type="pct"/>
            <w:noWrap w:val="0"/>
            <w:vAlign w:val="top"/>
          </w:tcPr>
          <w:p w14:paraId="74938439">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≤0.017241</w:t>
            </w:r>
          </w:p>
        </w:tc>
      </w:tr>
    </w:tbl>
    <w:p w14:paraId="2770FF48">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黑体" w:hAnsi="黑体" w:eastAsia="黑体" w:cs="黑体"/>
          <w:lang w:eastAsia="zh-CN"/>
        </w:rPr>
      </w:pPr>
      <w:bookmarkStart w:id="39" w:name="_Toc31386"/>
      <w:r>
        <w:rPr>
          <w:rFonts w:hint="eastAsia" w:ascii="黑体" w:hAnsi="黑体" w:cs="黑体"/>
          <w:lang w:val="en-US" w:eastAsia="zh-CN"/>
        </w:rPr>
        <w:t>5</w:t>
      </w:r>
      <w:r>
        <w:rPr>
          <w:rFonts w:hint="eastAsia" w:ascii="黑体" w:hAnsi="黑体" w:eastAsia="黑体" w:cs="黑体"/>
        </w:rPr>
        <w:t>.</w:t>
      </w:r>
      <w:r>
        <w:rPr>
          <w:rFonts w:hint="eastAsia" w:ascii="黑体" w:hAnsi="黑体" w:cs="黑体"/>
          <w:lang w:val="en-US" w:eastAsia="zh-CN"/>
        </w:rPr>
        <w:t>5</w:t>
      </w:r>
      <w:r>
        <w:rPr>
          <w:rFonts w:hint="default" w:ascii="黑体" w:hAnsi="黑体" w:cs="黑体"/>
          <w:lang w:val="en-US"/>
        </w:rPr>
        <w:t xml:space="preserve"> </w:t>
      </w:r>
      <w:r>
        <w:rPr>
          <w:rFonts w:hint="eastAsia" w:ascii="黑体" w:hAnsi="黑体" w:cs="黑体"/>
          <w:lang w:val="en-US" w:eastAsia="zh-CN"/>
        </w:rPr>
        <w:t>晶粒度</w:t>
      </w:r>
      <w:bookmarkEnd w:id="39"/>
    </w:p>
    <w:p w14:paraId="1113B9C4">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ind w:firstLine="0" w:firstLineChars="0"/>
        <w:textAlignment w:val="auto"/>
        <w:outlineLvl w:val="2"/>
        <w:rPr>
          <w:rFonts w:hint="default" w:ascii="黑体" w:hAnsi="黑体" w:cs="黑体"/>
          <w:lang w:val="en-US" w:eastAsia="zh-CN"/>
        </w:rPr>
      </w:pPr>
      <w:bookmarkStart w:id="40" w:name="_Toc10091"/>
      <w:r>
        <w:rPr>
          <w:rFonts w:hint="eastAsia" w:ascii="黑体" w:hAnsi="黑体" w:cs="黑体"/>
          <w:lang w:val="en-US" w:eastAsia="zh-CN"/>
        </w:rPr>
        <w:t>5.5.1 原材晶粒度</w:t>
      </w:r>
      <w:bookmarkEnd w:id="40"/>
    </w:p>
    <w:p w14:paraId="5C7D6B95">
      <w:pPr>
        <w:pStyle w:val="3"/>
        <w:rPr>
          <w:rFonts w:hint="eastAsia" w:ascii="宋体" w:hAnsi="宋体" w:eastAsia="宋体" w:cs="宋体"/>
          <w:spacing w:val="-14"/>
          <w:sz w:val="21"/>
          <w:szCs w:val="21"/>
          <w:lang w:eastAsia="zh-CN"/>
        </w:rPr>
      </w:pPr>
      <w:r>
        <w:rPr>
          <w:rFonts w:hint="eastAsia" w:ascii="宋体" w:hAnsi="宋体" w:eastAsia="宋体" w:cs="宋体"/>
          <w:spacing w:val="-12"/>
          <w:sz w:val="21"/>
          <w:szCs w:val="21"/>
        </w:rPr>
        <w:t>原材</w:t>
      </w:r>
      <w:r>
        <w:rPr>
          <w:rFonts w:hint="eastAsia" w:ascii="宋体" w:hAnsi="宋体" w:cs="宋体"/>
          <w:spacing w:val="-12"/>
          <w:sz w:val="21"/>
          <w:szCs w:val="21"/>
          <w:lang w:val="en-US" w:eastAsia="zh-CN"/>
        </w:rPr>
        <w:t>晶粒度</w:t>
      </w:r>
      <w:r>
        <w:rPr>
          <w:rFonts w:hint="eastAsia" w:ascii="宋体" w:hAnsi="宋体" w:eastAsia="宋体" w:cs="宋体"/>
          <w:spacing w:val="-12"/>
          <w:sz w:val="21"/>
          <w:szCs w:val="21"/>
        </w:rPr>
        <w:t>应符合表</w:t>
      </w:r>
      <w:r>
        <w:rPr>
          <w:rFonts w:hint="eastAsia" w:ascii="宋体" w:hAnsi="宋体" w:cs="宋体"/>
          <w:spacing w:val="-2"/>
          <w:sz w:val="21"/>
          <w:szCs w:val="21"/>
          <w:lang w:val="en-US" w:eastAsia="zh-CN"/>
        </w:rPr>
        <w:t>8</w:t>
      </w:r>
      <w:r>
        <w:rPr>
          <w:rFonts w:hint="eastAsia" w:ascii="宋体" w:hAnsi="宋体" w:eastAsia="宋体" w:cs="宋体"/>
          <w:spacing w:val="-14"/>
          <w:sz w:val="21"/>
          <w:szCs w:val="21"/>
        </w:rPr>
        <w:t>的规定</w:t>
      </w:r>
      <w:r>
        <w:rPr>
          <w:rFonts w:hint="eastAsia" w:ascii="宋体" w:hAnsi="宋体" w:eastAsia="宋体" w:cs="宋体"/>
          <w:spacing w:val="-14"/>
          <w:sz w:val="21"/>
          <w:szCs w:val="21"/>
          <w:lang w:eastAsia="zh-CN"/>
        </w:rPr>
        <w:t>。</w:t>
      </w:r>
    </w:p>
    <w:p w14:paraId="5EBCA268">
      <w:pPr>
        <w:keepNext w:val="0"/>
        <w:keepLines w:val="0"/>
        <w:pageBreakBefore w:val="0"/>
        <w:widowControl w:val="0"/>
        <w:kinsoku/>
        <w:wordWrap/>
        <w:overflowPunct/>
        <w:topLinePunct w:val="0"/>
        <w:autoSpaceDE/>
        <w:autoSpaceDN/>
        <w:bidi w:val="0"/>
        <w:adjustRightInd/>
        <w:snapToGrid/>
        <w:ind w:right="0" w:firstLine="0" w:firstLineChars="0"/>
        <w:jc w:val="center"/>
        <w:textAlignment w:val="auto"/>
        <w:rPr>
          <w:rFonts w:hint="default" w:ascii="黑体" w:hAnsi="黑体" w:eastAsia="黑体" w:cs="黑体"/>
          <w:lang w:val="en-US"/>
        </w:rPr>
      </w:pPr>
      <w:r>
        <w:rPr>
          <w:rFonts w:hint="eastAsia" w:ascii="黑体" w:hAnsi="黑体" w:eastAsia="黑体" w:cs="黑体"/>
        </w:rPr>
        <w:t>表</w:t>
      </w:r>
      <w:r>
        <w:rPr>
          <w:rFonts w:hint="eastAsia" w:ascii="黑体" w:hAnsi="黑体" w:eastAsia="黑体" w:cs="黑体"/>
          <w:lang w:val="en-US" w:eastAsia="zh-CN"/>
        </w:rPr>
        <w:t>8 原材晶粒度</w:t>
      </w:r>
    </w:p>
    <w:tbl>
      <w:tblPr>
        <w:tblStyle w:val="15"/>
        <w:tblW w:w="500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40"/>
        <w:gridCol w:w="2992"/>
        <w:gridCol w:w="2992"/>
      </w:tblGrid>
      <w:tr w14:paraId="0B2CC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405" w:type="pct"/>
            <w:noWrap w:val="0"/>
            <w:vAlign w:val="center"/>
          </w:tcPr>
          <w:p w14:paraId="49B2213B">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牌号</w:t>
            </w:r>
          </w:p>
        </w:tc>
        <w:tc>
          <w:tcPr>
            <w:tcW w:w="1797" w:type="pct"/>
            <w:noWrap w:val="0"/>
            <w:vAlign w:val="center"/>
          </w:tcPr>
          <w:p w14:paraId="5B82E3FB">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状态</w:t>
            </w:r>
          </w:p>
        </w:tc>
        <w:tc>
          <w:tcPr>
            <w:tcW w:w="1797" w:type="pct"/>
            <w:noWrap w:val="0"/>
            <w:vAlign w:val="center"/>
          </w:tcPr>
          <w:p w14:paraId="02A05727">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晶粒度/（mm）</w:t>
            </w:r>
          </w:p>
        </w:tc>
      </w:tr>
      <w:tr w14:paraId="2452A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405" w:type="pct"/>
            <w:vMerge w:val="restart"/>
            <w:noWrap w:val="0"/>
            <w:vAlign w:val="center"/>
          </w:tcPr>
          <w:p w14:paraId="18D18D81">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TU1</w:t>
            </w:r>
          </w:p>
          <w:p w14:paraId="23890CB7">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TU2</w:t>
            </w:r>
          </w:p>
        </w:tc>
        <w:tc>
          <w:tcPr>
            <w:tcW w:w="2992" w:type="dxa"/>
            <w:noWrap w:val="0"/>
            <w:vAlign w:val="center"/>
          </w:tcPr>
          <w:p w14:paraId="63EC3307">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M或O60</w:t>
            </w:r>
          </w:p>
        </w:tc>
        <w:tc>
          <w:tcPr>
            <w:tcW w:w="1797" w:type="pct"/>
            <w:noWrap w:val="0"/>
            <w:vAlign w:val="center"/>
          </w:tcPr>
          <w:p w14:paraId="46526FCD">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0.02</w:t>
            </w:r>
            <w:r>
              <w:rPr>
                <w:rFonts w:hint="eastAsia" w:ascii="宋体" w:hAnsi="宋体" w:cs="宋体"/>
                <w:sz w:val="18"/>
                <w:szCs w:val="18"/>
                <w:lang w:val="en-US" w:eastAsia="zh-CN"/>
              </w:rPr>
              <w:t>～</w:t>
            </w:r>
            <w:r>
              <w:rPr>
                <w:rFonts w:hint="eastAsia" w:ascii="宋体" w:hAnsi="宋体" w:eastAsia="宋体" w:cs="宋体"/>
                <w:sz w:val="18"/>
                <w:szCs w:val="18"/>
                <w:lang w:val="en-US" w:eastAsia="zh-CN"/>
              </w:rPr>
              <w:t>0.05</w:t>
            </w:r>
          </w:p>
        </w:tc>
      </w:tr>
      <w:tr w14:paraId="69323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405" w:type="pct"/>
            <w:vMerge w:val="continue"/>
            <w:noWrap w:val="0"/>
            <w:vAlign w:val="center"/>
          </w:tcPr>
          <w:p w14:paraId="269AE745">
            <w:pPr>
              <w:pStyle w:val="3"/>
              <w:ind w:firstLine="0" w:firstLineChars="0"/>
              <w:jc w:val="center"/>
              <w:rPr>
                <w:rFonts w:hint="eastAsia" w:ascii="宋体" w:hAnsi="宋体" w:eastAsia="宋体" w:cs="宋体"/>
                <w:sz w:val="18"/>
                <w:szCs w:val="18"/>
                <w:lang w:val="en-US" w:eastAsia="zh-CN"/>
              </w:rPr>
            </w:pPr>
          </w:p>
        </w:tc>
        <w:tc>
          <w:tcPr>
            <w:tcW w:w="2992" w:type="dxa"/>
            <w:noWrap w:val="0"/>
            <w:vAlign w:val="center"/>
          </w:tcPr>
          <w:p w14:paraId="72FE52F9">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Y2或H02</w:t>
            </w:r>
          </w:p>
        </w:tc>
        <w:tc>
          <w:tcPr>
            <w:tcW w:w="1797" w:type="pct"/>
            <w:noWrap w:val="0"/>
            <w:vAlign w:val="center"/>
          </w:tcPr>
          <w:p w14:paraId="7817E679">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＜0.02</w:t>
            </w:r>
          </w:p>
        </w:tc>
      </w:tr>
      <w:tr w14:paraId="38DC9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405" w:type="pct"/>
            <w:vMerge w:val="continue"/>
            <w:noWrap w:val="0"/>
            <w:vAlign w:val="center"/>
          </w:tcPr>
          <w:p w14:paraId="728DE032">
            <w:pPr>
              <w:pStyle w:val="3"/>
              <w:ind w:firstLine="0" w:firstLineChars="0"/>
              <w:jc w:val="center"/>
              <w:rPr>
                <w:rFonts w:hint="eastAsia" w:ascii="宋体" w:hAnsi="宋体" w:eastAsia="宋体" w:cs="宋体"/>
                <w:sz w:val="18"/>
                <w:szCs w:val="18"/>
                <w:lang w:val="en-US" w:eastAsia="zh-CN"/>
              </w:rPr>
            </w:pPr>
          </w:p>
        </w:tc>
        <w:tc>
          <w:tcPr>
            <w:tcW w:w="2992" w:type="dxa"/>
            <w:noWrap w:val="0"/>
            <w:vAlign w:val="center"/>
          </w:tcPr>
          <w:p w14:paraId="6E9888B7">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Y或H04</w:t>
            </w:r>
          </w:p>
        </w:tc>
        <w:tc>
          <w:tcPr>
            <w:tcW w:w="1797" w:type="pct"/>
            <w:noWrap w:val="0"/>
            <w:vAlign w:val="center"/>
          </w:tcPr>
          <w:p w14:paraId="1A099B54">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＜0.01</w:t>
            </w:r>
          </w:p>
        </w:tc>
      </w:tr>
    </w:tbl>
    <w:p w14:paraId="7B8CCCD8">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ind w:firstLine="0" w:firstLineChars="0"/>
        <w:textAlignment w:val="auto"/>
        <w:outlineLvl w:val="2"/>
        <w:rPr>
          <w:rFonts w:hint="default" w:ascii="黑体" w:hAnsi="黑体" w:cs="黑体"/>
          <w:lang w:val="en-US" w:eastAsia="zh-CN"/>
        </w:rPr>
      </w:pPr>
      <w:bookmarkStart w:id="41" w:name="_Toc9740"/>
      <w:r>
        <w:rPr>
          <w:rFonts w:hint="eastAsia" w:ascii="黑体" w:hAnsi="黑体" w:cs="黑体"/>
          <w:lang w:val="en-US" w:eastAsia="zh-CN"/>
        </w:rPr>
        <w:t>5.5.2 产品高温煅烧后平均晶粒度</w:t>
      </w:r>
      <w:bookmarkEnd w:id="41"/>
    </w:p>
    <w:p w14:paraId="34DA61E7">
      <w:pPr>
        <w:pStyle w:val="3"/>
        <w:rPr>
          <w:rFonts w:hint="eastAsia" w:ascii="宋体" w:hAnsi="宋体" w:eastAsia="宋体" w:cs="宋体"/>
          <w:spacing w:val="-14"/>
          <w:sz w:val="21"/>
          <w:szCs w:val="21"/>
          <w:lang w:eastAsia="zh-CN"/>
        </w:rPr>
      </w:pPr>
      <w:r>
        <w:rPr>
          <w:rFonts w:hint="eastAsia" w:ascii="宋体" w:hAnsi="宋体" w:eastAsia="宋体" w:cs="宋体"/>
          <w:spacing w:val="-14"/>
          <w:sz w:val="21"/>
          <w:szCs w:val="21"/>
          <w:lang w:val="en-US" w:eastAsia="zh-CN"/>
        </w:rPr>
        <w:t>产品经850℃/2h高温煅烧后晶粒度应符合表9的规定。</w:t>
      </w:r>
    </w:p>
    <w:p w14:paraId="6398A1F8">
      <w:pPr>
        <w:keepNext w:val="0"/>
        <w:keepLines w:val="0"/>
        <w:pageBreakBefore w:val="0"/>
        <w:widowControl w:val="0"/>
        <w:kinsoku/>
        <w:wordWrap/>
        <w:overflowPunct/>
        <w:topLinePunct w:val="0"/>
        <w:autoSpaceDE/>
        <w:autoSpaceDN/>
        <w:bidi w:val="0"/>
        <w:adjustRightInd/>
        <w:snapToGrid/>
        <w:ind w:right="0" w:firstLine="0" w:firstLineChars="0"/>
        <w:jc w:val="center"/>
        <w:textAlignment w:val="auto"/>
        <w:rPr>
          <w:rFonts w:hint="default" w:ascii="黑体" w:hAnsi="黑体" w:eastAsia="黑体" w:cs="黑体"/>
          <w:lang w:val="en-US"/>
        </w:rPr>
      </w:pPr>
      <w:r>
        <w:rPr>
          <w:rFonts w:hint="eastAsia" w:ascii="黑体" w:hAnsi="黑体" w:eastAsia="黑体" w:cs="黑体"/>
        </w:rPr>
        <w:t>表</w:t>
      </w:r>
      <w:r>
        <w:rPr>
          <w:rFonts w:hint="eastAsia" w:ascii="黑体" w:hAnsi="黑体" w:eastAsia="黑体" w:cs="黑体"/>
          <w:lang w:val="en-US" w:eastAsia="zh-CN"/>
        </w:rPr>
        <w:t>9 高温煅烧后晶粒度</w:t>
      </w:r>
    </w:p>
    <w:tbl>
      <w:tblPr>
        <w:tblStyle w:val="15"/>
        <w:tblW w:w="501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43"/>
        <w:gridCol w:w="2995"/>
        <w:gridCol w:w="2995"/>
      </w:tblGrid>
      <w:tr w14:paraId="73112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405" w:type="pct"/>
            <w:noWrap w:val="0"/>
            <w:vAlign w:val="center"/>
          </w:tcPr>
          <w:p w14:paraId="72E86523">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牌号</w:t>
            </w:r>
          </w:p>
        </w:tc>
        <w:tc>
          <w:tcPr>
            <w:tcW w:w="1797" w:type="pct"/>
            <w:noWrap w:val="0"/>
            <w:vAlign w:val="center"/>
          </w:tcPr>
          <w:p w14:paraId="0D70ECF8">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状态</w:t>
            </w:r>
          </w:p>
        </w:tc>
        <w:tc>
          <w:tcPr>
            <w:tcW w:w="1797" w:type="pct"/>
            <w:noWrap w:val="0"/>
            <w:vAlign w:val="center"/>
          </w:tcPr>
          <w:p w14:paraId="781DE4E5">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晶粒度/（mm）</w:t>
            </w:r>
          </w:p>
        </w:tc>
      </w:tr>
      <w:tr w14:paraId="6A2BD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405" w:type="pct"/>
            <w:noWrap w:val="0"/>
            <w:vAlign w:val="center"/>
          </w:tcPr>
          <w:p w14:paraId="3A3462AD">
            <w:pPr>
              <w:pStyle w:val="3"/>
              <w:ind w:firstLine="0" w:firstLineChars="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TU1</w:t>
            </w:r>
          </w:p>
          <w:p w14:paraId="0628703C">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TU2</w:t>
            </w:r>
          </w:p>
        </w:tc>
        <w:tc>
          <w:tcPr>
            <w:tcW w:w="1797" w:type="pct"/>
            <w:noWrap w:val="0"/>
            <w:vAlign w:val="center"/>
          </w:tcPr>
          <w:p w14:paraId="123F5B4A">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高温煅烧态</w:t>
            </w:r>
          </w:p>
        </w:tc>
        <w:tc>
          <w:tcPr>
            <w:tcW w:w="1797" w:type="pct"/>
            <w:noWrap w:val="0"/>
            <w:vAlign w:val="center"/>
          </w:tcPr>
          <w:p w14:paraId="78D3CFA2">
            <w:pPr>
              <w:pStyle w:val="3"/>
              <w:ind w:firstLine="0" w:firstLineChars="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＜铜带厚度/2</w:t>
            </w:r>
          </w:p>
        </w:tc>
      </w:tr>
    </w:tbl>
    <w:p w14:paraId="396B4083">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default" w:ascii="黑体" w:hAnsi="黑体" w:eastAsia="黑体" w:cs="黑体"/>
          <w:lang w:val="en-US" w:eastAsia="zh-CN"/>
        </w:rPr>
      </w:pPr>
      <w:bookmarkStart w:id="42" w:name="_Toc14682"/>
      <w:r>
        <w:rPr>
          <w:rFonts w:hint="eastAsia" w:ascii="黑体" w:hAnsi="黑体" w:cs="黑体"/>
          <w:lang w:val="en-US" w:eastAsia="zh-CN"/>
        </w:rPr>
        <w:t>5.6 表面质量</w:t>
      </w:r>
      <w:bookmarkEnd w:id="42"/>
    </w:p>
    <w:p w14:paraId="429D52AD">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ind w:firstLine="0" w:firstLineChars="0"/>
        <w:textAlignment w:val="auto"/>
        <w:outlineLvl w:val="2"/>
        <w:rPr>
          <w:rFonts w:hint="default" w:ascii="黑体" w:hAnsi="黑体" w:cs="黑体"/>
          <w:lang w:val="en-US" w:eastAsia="zh-CN"/>
        </w:rPr>
      </w:pPr>
      <w:bookmarkStart w:id="43" w:name="_Toc13966"/>
      <w:r>
        <w:rPr>
          <w:rFonts w:hint="eastAsia" w:ascii="黑体" w:hAnsi="黑体" w:cs="黑体"/>
          <w:lang w:val="en-US" w:eastAsia="zh-CN"/>
        </w:rPr>
        <w:t>5.6.1 原材表面质量</w:t>
      </w:r>
      <w:bookmarkEnd w:id="43"/>
    </w:p>
    <w:p w14:paraId="6CE3F93A">
      <w:pPr>
        <w:pStyle w:val="3"/>
        <w:rPr>
          <w:rFonts w:hint="eastAsia" w:ascii="宋体" w:hAnsi="宋体" w:eastAsia="宋体" w:cs="宋体"/>
          <w:spacing w:val="-14"/>
          <w:sz w:val="21"/>
          <w:szCs w:val="21"/>
          <w:lang w:val="en-US" w:eastAsia="zh-CN"/>
        </w:rPr>
      </w:pPr>
      <w:r>
        <w:rPr>
          <w:rFonts w:hint="eastAsia" w:ascii="宋体" w:hAnsi="宋体" w:eastAsia="宋体" w:cs="宋体"/>
          <w:spacing w:val="-14"/>
          <w:sz w:val="21"/>
          <w:szCs w:val="21"/>
          <w:lang w:val="en-US" w:eastAsia="zh-CN"/>
        </w:rPr>
        <w:t>产品表面应光滑、清洁，不</w:t>
      </w:r>
      <w:r>
        <w:rPr>
          <w:rFonts w:hint="eastAsia" w:ascii="宋体" w:hAnsi="宋体" w:cs="宋体"/>
          <w:spacing w:val="-14"/>
          <w:sz w:val="21"/>
          <w:szCs w:val="21"/>
          <w:lang w:val="en-US" w:eastAsia="zh-CN"/>
        </w:rPr>
        <w:t>应有</w:t>
      </w:r>
      <w:r>
        <w:rPr>
          <w:rFonts w:hint="eastAsia" w:ascii="宋体" w:hAnsi="宋体" w:eastAsia="宋体" w:cs="宋体"/>
          <w:spacing w:val="-14"/>
          <w:sz w:val="21"/>
          <w:szCs w:val="21"/>
          <w:lang w:val="en-US" w:eastAsia="zh-CN"/>
        </w:rPr>
        <w:t>分层、裂纹、起皮、划伤、砂眼、气泡、压折、夹杂和绿锈。铜带分切后边部不</w:t>
      </w:r>
      <w:r>
        <w:rPr>
          <w:rFonts w:hint="eastAsia" w:ascii="宋体" w:hAnsi="宋体" w:cs="宋体"/>
          <w:spacing w:val="-14"/>
          <w:sz w:val="21"/>
          <w:szCs w:val="21"/>
          <w:lang w:val="en-US" w:eastAsia="zh-CN"/>
        </w:rPr>
        <w:t>应有</w:t>
      </w:r>
      <w:r>
        <w:rPr>
          <w:rFonts w:hint="eastAsia" w:ascii="宋体" w:hAnsi="宋体" w:eastAsia="宋体" w:cs="宋体"/>
          <w:spacing w:val="-14"/>
          <w:sz w:val="21"/>
          <w:szCs w:val="21"/>
          <w:lang w:val="en-US" w:eastAsia="zh-CN"/>
        </w:rPr>
        <w:t>裂边、卷边以及影响产品质量的毛刺。</w:t>
      </w:r>
    </w:p>
    <w:p w14:paraId="59A9B5D9">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ind w:firstLine="0" w:firstLineChars="0"/>
        <w:textAlignment w:val="auto"/>
        <w:outlineLvl w:val="2"/>
        <w:rPr>
          <w:rFonts w:hint="default" w:ascii="黑体" w:hAnsi="黑体" w:cs="黑体"/>
          <w:lang w:val="en-US" w:eastAsia="zh-CN"/>
        </w:rPr>
      </w:pPr>
      <w:bookmarkStart w:id="44" w:name="_Toc11150"/>
      <w:r>
        <w:rPr>
          <w:rFonts w:hint="eastAsia" w:ascii="黑体" w:hAnsi="黑体" w:cs="黑体"/>
          <w:lang w:val="en-US" w:eastAsia="zh-CN"/>
        </w:rPr>
        <w:t xml:space="preserve">5.6.2 </w:t>
      </w:r>
      <w:r>
        <w:rPr>
          <w:rFonts w:hint="eastAsia"/>
          <w:b w:val="0"/>
          <w:bCs w:val="0"/>
          <w:sz w:val="21"/>
          <w:szCs w:val="21"/>
          <w:lang w:val="en-US" w:eastAsia="zh-CN"/>
        </w:rPr>
        <w:t>产品高温煅烧后</w:t>
      </w:r>
      <w:r>
        <w:rPr>
          <w:rFonts w:hint="eastAsia" w:ascii="黑体" w:hAnsi="黑体" w:cs="黑体"/>
          <w:lang w:val="en-US" w:eastAsia="zh-CN"/>
        </w:rPr>
        <w:t>表面质量</w:t>
      </w:r>
      <w:bookmarkEnd w:id="44"/>
    </w:p>
    <w:p w14:paraId="6604B9FB">
      <w:pPr>
        <w:pStyle w:val="3"/>
        <w:rPr>
          <w:rFonts w:hint="eastAsia" w:ascii="宋体" w:hAnsi="宋体" w:cs="宋体"/>
          <w:lang w:val="en-US" w:eastAsia="zh-CN"/>
        </w:rPr>
      </w:pPr>
      <w:r>
        <w:rPr>
          <w:rFonts w:hint="eastAsia" w:ascii="宋体" w:hAnsi="宋体" w:eastAsia="宋体" w:cs="宋体"/>
          <w:lang w:val="en-US" w:eastAsia="zh-CN"/>
        </w:rPr>
        <w:t>产品经850℃/2h高温煅烧后表面不</w:t>
      </w:r>
      <w:r>
        <w:rPr>
          <w:rFonts w:hint="eastAsia" w:ascii="宋体" w:hAnsi="宋体" w:cs="宋体"/>
          <w:spacing w:val="-14"/>
          <w:sz w:val="21"/>
          <w:szCs w:val="21"/>
          <w:lang w:val="en-US" w:eastAsia="zh-CN"/>
        </w:rPr>
        <w:t>应有</w:t>
      </w:r>
      <w:r>
        <w:rPr>
          <w:rFonts w:hint="eastAsia" w:ascii="宋体" w:hAnsi="宋体" w:eastAsia="宋体" w:cs="宋体"/>
          <w:lang w:val="en-US" w:eastAsia="zh-CN"/>
        </w:rPr>
        <w:t>起泡和凹凸包，观察金相组织不</w:t>
      </w:r>
      <w:r>
        <w:rPr>
          <w:rFonts w:hint="eastAsia" w:ascii="宋体" w:hAnsi="宋体" w:cs="宋体"/>
          <w:spacing w:val="-14"/>
          <w:sz w:val="21"/>
          <w:szCs w:val="21"/>
          <w:lang w:val="en-US" w:eastAsia="zh-CN"/>
        </w:rPr>
        <w:t>应有</w:t>
      </w:r>
      <w:r>
        <w:rPr>
          <w:rFonts w:hint="eastAsia" w:ascii="宋体" w:hAnsi="宋体" w:eastAsia="宋体" w:cs="宋体"/>
          <w:lang w:val="en-US" w:eastAsia="zh-CN"/>
        </w:rPr>
        <w:t>有晶界裂纹</w:t>
      </w:r>
      <w:r>
        <w:rPr>
          <w:rFonts w:hint="eastAsia" w:ascii="宋体" w:hAnsi="宋体" w:cs="宋体"/>
          <w:lang w:val="en-US" w:eastAsia="zh-CN"/>
        </w:rPr>
        <w:t>。</w:t>
      </w:r>
    </w:p>
    <w:p w14:paraId="3BE5ED67">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default" w:ascii="黑体" w:hAnsi="黑体" w:eastAsia="黑体" w:cs="黑体"/>
          <w:highlight w:val="none"/>
          <w:lang w:val="en-US" w:eastAsia="zh-CN"/>
        </w:rPr>
      </w:pPr>
      <w:bookmarkStart w:id="45" w:name="_Toc4326"/>
      <w:r>
        <w:rPr>
          <w:rFonts w:hint="eastAsia" w:ascii="黑体" w:hAnsi="黑体" w:cs="黑体"/>
          <w:lang w:val="en-US" w:eastAsia="zh-CN"/>
        </w:rPr>
        <w:t>5.7 气密性</w:t>
      </w:r>
      <w:bookmarkEnd w:id="45"/>
    </w:p>
    <w:p w14:paraId="1357CC83">
      <w:pPr>
        <w:pStyle w:val="3"/>
        <w:rPr>
          <w:rFonts w:hint="eastAsia" w:ascii="宋体" w:hAnsi="宋体" w:cs="宋体"/>
          <w:highlight w:val="none"/>
          <w:lang w:val="en-US" w:eastAsia="zh-CN"/>
        </w:rPr>
      </w:pPr>
      <w:r>
        <w:rPr>
          <w:rFonts w:hint="eastAsia" w:ascii="宋体" w:hAnsi="宋体" w:cs="宋体"/>
          <w:highlight w:val="none"/>
          <w:lang w:val="en-US" w:eastAsia="zh-CN"/>
        </w:rPr>
        <w:t>产品经850℃/2h高温煅烧后仍能保证优良气密性。</w:t>
      </w:r>
    </w:p>
    <w:p w14:paraId="2612F1F8">
      <w:pPr>
        <w:pStyle w:val="26"/>
        <w:keepNext w:val="0"/>
        <w:keepLines w:val="0"/>
        <w:pageBreakBefore w:val="0"/>
        <w:widowControl/>
        <w:kinsoku/>
        <w:wordWrap/>
        <w:overflowPunct/>
        <w:topLinePunct w:val="0"/>
        <w:autoSpaceDE/>
        <w:autoSpaceDN/>
        <w:bidi w:val="0"/>
        <w:adjustRightInd/>
        <w:snapToGrid/>
        <w:spacing w:before="313" w:beforeLines="100" w:after="313" w:afterLines="100"/>
        <w:ind w:left="0" w:leftChars="0" w:firstLine="0" w:firstLineChars="0"/>
        <w:textAlignment w:val="auto"/>
        <w:outlineLvl w:val="0"/>
        <w:rPr>
          <w:rFonts w:hint="eastAsia"/>
        </w:rPr>
      </w:pPr>
      <w:bookmarkStart w:id="46" w:name="_Toc13634"/>
      <w:r>
        <w:rPr>
          <w:rFonts w:hint="eastAsia"/>
        </w:rPr>
        <w:t>试验方法</w:t>
      </w:r>
      <w:bookmarkEnd w:id="46"/>
      <w:r>
        <w:rPr>
          <w:rFonts w:hint="eastAsia"/>
          <w:lang w:eastAsia="zh-CN"/>
        </w:rPr>
        <w:t>（</w:t>
      </w:r>
      <w:r>
        <w:rPr>
          <w:rFonts w:hint="eastAsia"/>
          <w:lang w:val="en-US" w:eastAsia="zh-CN"/>
        </w:rPr>
        <w:t>补充晶粒度检测依据标准，并对各项检测方法说明</w:t>
      </w:r>
      <w:r>
        <w:rPr>
          <w:rFonts w:hint="eastAsia"/>
          <w:lang w:eastAsia="zh-CN"/>
        </w:rPr>
        <w:t>）</w:t>
      </w:r>
    </w:p>
    <w:p w14:paraId="0FA130F9">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default" w:ascii="黑体" w:hAnsi="黑体" w:cs="黑体"/>
          <w:lang w:val="en-US" w:eastAsia="zh-CN"/>
        </w:rPr>
      </w:pPr>
      <w:bookmarkStart w:id="47" w:name="_Toc9907"/>
      <w:r>
        <w:rPr>
          <w:rFonts w:hint="eastAsia" w:ascii="黑体" w:hAnsi="黑体" w:cs="黑体"/>
          <w:lang w:val="en-US" w:eastAsia="zh-CN"/>
        </w:rPr>
        <w:t xml:space="preserve">6.1 </w:t>
      </w:r>
      <w:r>
        <w:rPr>
          <w:rFonts w:hint="eastAsia"/>
          <w:sz w:val="21"/>
          <w:szCs w:val="21"/>
        </w:rPr>
        <w:t>化学成分的仲裁分析方法</w:t>
      </w:r>
      <w:bookmarkEnd w:id="47"/>
    </w:p>
    <w:p w14:paraId="58FB6738">
      <w:pPr>
        <w:pStyle w:val="3"/>
        <w:rPr>
          <w:rFonts w:hint="default" w:ascii="宋体" w:hAnsi="宋体" w:cs="宋体"/>
          <w:lang w:val="en-US" w:eastAsia="zh-CN"/>
        </w:rPr>
      </w:pPr>
      <w:r>
        <w:rPr>
          <w:rFonts w:hint="eastAsia" w:ascii="宋体" w:hAnsi="宋体" w:cs="宋体"/>
          <w:lang w:val="en-US" w:eastAsia="zh-CN"/>
        </w:rPr>
        <w:t>按 GB/T 5121 规定的方法进行。</w:t>
      </w:r>
    </w:p>
    <w:p w14:paraId="45D4CF0C">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default" w:ascii="黑体" w:hAnsi="黑体" w:cs="黑体"/>
          <w:lang w:val="en-US" w:eastAsia="zh-CN"/>
        </w:rPr>
      </w:pPr>
      <w:bookmarkStart w:id="48" w:name="_Toc25534"/>
      <w:r>
        <w:rPr>
          <w:rFonts w:hint="eastAsia" w:ascii="黑体" w:hAnsi="黑体" w:cs="黑体"/>
          <w:lang w:val="en-US" w:eastAsia="zh-CN"/>
        </w:rPr>
        <w:t xml:space="preserve">6.2 </w:t>
      </w:r>
      <w:r>
        <w:rPr>
          <w:rFonts w:hint="eastAsia"/>
          <w:sz w:val="21"/>
          <w:szCs w:val="21"/>
        </w:rPr>
        <w:t>外形尺寸测量方法</w:t>
      </w:r>
      <w:bookmarkEnd w:id="48"/>
    </w:p>
    <w:p w14:paraId="69658A62">
      <w:pPr>
        <w:pStyle w:val="3"/>
        <w:rPr>
          <w:rFonts w:hint="eastAsia" w:ascii="宋体" w:hAnsi="宋体" w:cs="宋体"/>
          <w:lang w:val="en-US" w:eastAsia="zh-CN"/>
        </w:rPr>
      </w:pPr>
      <w:r>
        <w:rPr>
          <w:rFonts w:hint="eastAsia" w:ascii="宋体" w:hAnsi="宋体" w:cs="宋体"/>
          <w:lang w:val="en-US" w:eastAsia="zh-CN"/>
        </w:rPr>
        <w:t>带材的外形尺寸用相应精度的测量工具在距离边部≥3mm处测量。</w:t>
      </w:r>
    </w:p>
    <w:p w14:paraId="76F64AFF">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default" w:ascii="黑体" w:hAnsi="黑体" w:cs="黑体"/>
          <w:lang w:val="en-US" w:eastAsia="zh-CN"/>
        </w:rPr>
      </w:pPr>
      <w:bookmarkStart w:id="49" w:name="_Toc12729"/>
      <w:r>
        <w:rPr>
          <w:rFonts w:hint="eastAsia" w:ascii="黑体" w:hAnsi="黑体" w:cs="黑体"/>
          <w:lang w:val="en-US" w:eastAsia="zh-CN"/>
        </w:rPr>
        <w:t xml:space="preserve">6.3 </w:t>
      </w:r>
      <w:r>
        <w:rPr>
          <w:rFonts w:hint="eastAsia"/>
          <w:sz w:val="21"/>
          <w:szCs w:val="21"/>
        </w:rPr>
        <w:t>力学性能检验方法</w:t>
      </w:r>
      <w:bookmarkEnd w:id="49"/>
    </w:p>
    <w:p w14:paraId="544AA7DA">
      <w:pPr>
        <w:pStyle w:val="3"/>
        <w:rPr>
          <w:rFonts w:hint="default" w:ascii="宋体" w:hAnsi="宋体" w:cs="宋体"/>
          <w:lang w:val="en-US" w:eastAsia="zh-CN"/>
        </w:rPr>
      </w:pPr>
      <w:r>
        <w:rPr>
          <w:rFonts w:hint="eastAsia" w:ascii="宋体" w:hAnsi="宋体" w:cs="宋体"/>
          <w:lang w:val="en-US" w:eastAsia="zh-CN"/>
        </w:rPr>
        <w:t>带材的拉伸试验按GB/T 228.1规定的方法进行，维氏硬度试验按GB/T 4340.1的规定进行。</w:t>
      </w:r>
    </w:p>
    <w:p w14:paraId="0331198A">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default" w:ascii="黑体" w:hAnsi="黑体" w:cs="黑体"/>
          <w:lang w:val="en-US" w:eastAsia="zh-CN"/>
        </w:rPr>
      </w:pPr>
      <w:bookmarkStart w:id="50" w:name="_Toc19688"/>
      <w:r>
        <w:rPr>
          <w:rFonts w:hint="eastAsia" w:ascii="黑体" w:hAnsi="黑体" w:cs="黑体"/>
          <w:lang w:val="en-US" w:eastAsia="zh-CN"/>
        </w:rPr>
        <w:t xml:space="preserve">6.4 </w:t>
      </w:r>
      <w:r>
        <w:rPr>
          <w:rFonts w:hint="eastAsia"/>
          <w:color w:val="auto"/>
          <w:sz w:val="21"/>
          <w:szCs w:val="21"/>
        </w:rPr>
        <w:t>表面质量检验</w:t>
      </w:r>
      <w:bookmarkEnd w:id="50"/>
    </w:p>
    <w:p w14:paraId="64327764">
      <w:pPr>
        <w:pStyle w:val="3"/>
        <w:rPr>
          <w:rFonts w:hint="default" w:ascii="宋体" w:hAnsi="宋体" w:cs="宋体"/>
          <w:lang w:val="en-US" w:eastAsia="zh-CN"/>
        </w:rPr>
      </w:pPr>
      <w:r>
        <w:rPr>
          <w:rFonts w:hint="eastAsia" w:ascii="宋体" w:hAnsi="宋体" w:cs="宋体"/>
          <w:lang w:val="en-US" w:eastAsia="zh-CN"/>
        </w:rPr>
        <w:t>目测。</w:t>
      </w:r>
    </w:p>
    <w:p w14:paraId="26FFC73A">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default" w:ascii="黑体" w:hAnsi="黑体" w:cs="黑体"/>
          <w:lang w:val="en-US" w:eastAsia="zh-CN"/>
        </w:rPr>
      </w:pPr>
      <w:bookmarkStart w:id="51" w:name="_Toc28327"/>
      <w:r>
        <w:rPr>
          <w:rFonts w:hint="eastAsia" w:ascii="黑体" w:hAnsi="黑体" w:cs="黑体"/>
          <w:lang w:val="en-US" w:eastAsia="zh-CN"/>
        </w:rPr>
        <w:t xml:space="preserve">6.5 </w:t>
      </w:r>
      <w:r>
        <w:rPr>
          <w:rFonts w:hint="eastAsia"/>
          <w:color w:val="auto"/>
          <w:sz w:val="21"/>
          <w:szCs w:val="21"/>
          <w:lang w:val="en-US" w:eastAsia="zh-CN"/>
        </w:rPr>
        <w:t>高温煅烧方法</w:t>
      </w:r>
      <w:bookmarkEnd w:id="51"/>
    </w:p>
    <w:p w14:paraId="1397346A">
      <w:pPr>
        <w:pStyle w:val="3"/>
        <w:rPr>
          <w:rFonts w:hint="default" w:ascii="宋体" w:hAnsi="宋体" w:cs="宋体"/>
          <w:lang w:val="en-US" w:eastAsia="zh-CN"/>
        </w:rPr>
      </w:pPr>
      <w:r>
        <w:rPr>
          <w:rFonts w:hint="eastAsia" w:ascii="宋体" w:hAnsi="宋体" w:cs="宋体"/>
          <w:lang w:val="en-US" w:eastAsia="zh-CN"/>
        </w:rPr>
        <w:t>将样品铜带置入试验炉中，煅烧过程温度上升曲线为90min 升温至850℃，保温120min之后使其自然降温。</w:t>
      </w:r>
    </w:p>
    <w:p w14:paraId="66EA5815">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default" w:ascii="黑体" w:hAnsi="黑体" w:cs="黑体"/>
          <w:lang w:val="en-US" w:eastAsia="zh-CN"/>
        </w:rPr>
      </w:pPr>
      <w:bookmarkStart w:id="52" w:name="_Toc26484"/>
      <w:r>
        <w:rPr>
          <w:rFonts w:hint="eastAsia" w:ascii="黑体" w:hAnsi="黑体" w:cs="黑体"/>
          <w:lang w:val="en-US" w:eastAsia="zh-CN"/>
        </w:rPr>
        <w:t xml:space="preserve">6.6 </w:t>
      </w:r>
      <w:r>
        <w:rPr>
          <w:rFonts w:hint="eastAsia"/>
          <w:color w:val="auto"/>
          <w:sz w:val="21"/>
          <w:szCs w:val="21"/>
          <w:lang w:val="en-US" w:eastAsia="zh-CN"/>
        </w:rPr>
        <w:t>气密性检测</w:t>
      </w:r>
      <w:bookmarkEnd w:id="52"/>
    </w:p>
    <w:p w14:paraId="5D79C17A">
      <w:pPr>
        <w:pStyle w:val="3"/>
        <w:rPr>
          <w:rFonts w:hint="default" w:ascii="宋体" w:hAnsi="宋体" w:cs="宋体"/>
          <w:lang w:val="en-US" w:eastAsia="zh-CN"/>
        </w:rPr>
      </w:pPr>
      <w:r>
        <w:rPr>
          <w:rFonts w:hint="default" w:ascii="宋体" w:hAnsi="宋体" w:cs="宋体"/>
          <w:lang w:val="en-US" w:eastAsia="zh-CN"/>
        </w:rPr>
        <w:t>气密性检测采用两块铜带与充气管焊接形成密合容器，经850℃/2h高温煅烧后，将容器接上压缩空气管，持续充入0.4MPa压力空气使容器内腔形成正压，</w:t>
      </w:r>
      <w:r>
        <w:rPr>
          <w:rFonts w:hint="eastAsia" w:ascii="宋体" w:hAnsi="宋体" w:cs="宋体"/>
          <w:lang w:val="en-US" w:eastAsia="zh-CN"/>
        </w:rPr>
        <w:t>置于水中保压30s后无连续气泡逸出即为合格。</w:t>
      </w:r>
    </w:p>
    <w:p w14:paraId="05C0720D">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default" w:ascii="黑体" w:hAnsi="黑体" w:cs="黑体"/>
          <w:lang w:val="en-US" w:eastAsia="zh-CN"/>
        </w:rPr>
      </w:pPr>
      <w:r>
        <w:rPr>
          <w:rFonts w:hint="default" w:ascii="黑体" w:hAnsi="黑体" w:cs="黑体"/>
          <w:lang w:val="en-US" w:eastAsia="zh-CN"/>
        </w:rPr>
        <w:t>6.7 晶粒度检验方法</w:t>
      </w:r>
    </w:p>
    <w:p w14:paraId="21B5F274">
      <w:pPr>
        <w:pStyle w:val="3"/>
        <w:rPr>
          <w:rFonts w:hint="default" w:ascii="宋体" w:hAnsi="宋体" w:cs="宋体"/>
          <w:lang w:val="en-US" w:eastAsia="zh-CN"/>
        </w:rPr>
      </w:pPr>
      <w:r>
        <w:rPr>
          <w:rFonts w:hint="default" w:ascii="宋体" w:hAnsi="宋体" w:cs="宋体"/>
          <w:lang w:val="en-US" w:eastAsia="zh-CN"/>
        </w:rPr>
        <w:t>原材晶粒度及高温煅烧后晶粒度按 YS/T 347-2020 的规定进行测定。</w:t>
      </w:r>
    </w:p>
    <w:p w14:paraId="4D3AE48F">
      <w:pPr>
        <w:pStyle w:val="26"/>
        <w:keepNext w:val="0"/>
        <w:keepLines w:val="0"/>
        <w:pageBreakBefore w:val="0"/>
        <w:widowControl/>
        <w:kinsoku/>
        <w:wordWrap/>
        <w:overflowPunct/>
        <w:topLinePunct w:val="0"/>
        <w:autoSpaceDE/>
        <w:autoSpaceDN/>
        <w:bidi w:val="0"/>
        <w:adjustRightInd/>
        <w:snapToGrid/>
        <w:spacing w:before="313" w:beforeLines="100" w:after="313" w:afterLines="100"/>
        <w:ind w:left="0" w:leftChars="0" w:firstLine="0" w:firstLineChars="0"/>
        <w:textAlignment w:val="auto"/>
        <w:outlineLvl w:val="0"/>
        <w:rPr>
          <w:rFonts w:hint="eastAsia"/>
        </w:rPr>
      </w:pPr>
      <w:bookmarkStart w:id="53" w:name="_Toc31524"/>
      <w:r>
        <w:rPr>
          <w:rFonts w:hint="eastAsia"/>
        </w:rPr>
        <w:t>检验规则</w:t>
      </w:r>
      <w:bookmarkEnd w:id="53"/>
    </w:p>
    <w:p w14:paraId="37950F59">
      <w:pPr>
        <w:pStyle w:val="5"/>
        <w:keepNext/>
        <w:keepLines/>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21"/>
          <w:szCs w:val="21"/>
        </w:rPr>
      </w:pPr>
      <w:bookmarkStart w:id="54" w:name="_Toc15678"/>
      <w:r>
        <w:rPr>
          <w:rFonts w:hint="eastAsia" w:ascii="黑体" w:hAnsi="黑体" w:eastAsia="黑体" w:cs="黑体"/>
          <w:sz w:val="21"/>
          <w:szCs w:val="21"/>
        </w:rPr>
        <w:t>7.1 检查和验收</w:t>
      </w:r>
      <w:bookmarkEnd w:id="54"/>
    </w:p>
    <w:p w14:paraId="05E58C75">
      <w:pPr>
        <w:keepNext w:val="0"/>
        <w:keepLines/>
        <w:pageBreakBefore w:val="0"/>
        <w:widowControl w:val="0"/>
        <w:kinsoku/>
        <w:wordWrap/>
        <w:overflowPunct/>
        <w:topLinePunct w:val="0"/>
        <w:autoSpaceDE/>
        <w:autoSpaceDN/>
        <w:bidi w:val="0"/>
        <w:adjustRightInd w:val="0"/>
        <w:snapToGrid w:val="0"/>
        <w:spacing w:before="156" w:beforeLines="50" w:after="156" w:afterLines="50"/>
        <w:ind w:firstLine="0" w:firstLineChars="0"/>
        <w:jc w:val="left"/>
        <w:textAlignment w:val="baseline"/>
        <w:outlineLvl w:val="9"/>
        <w:rPr>
          <w:rFonts w:hint="eastAsia" w:ascii="宋体" w:hAnsi="宋体" w:eastAsia="宋体" w:cs="宋体"/>
        </w:rPr>
      </w:pPr>
      <w:r>
        <w:rPr>
          <w:rFonts w:hint="eastAsia" w:ascii="黑体" w:hAnsi="黑体" w:eastAsia="黑体" w:cs="黑体"/>
          <w:kern w:val="0"/>
          <w:szCs w:val="20"/>
        </w:rPr>
        <w:t xml:space="preserve">7.1.1 </w:t>
      </w:r>
      <w:r>
        <w:rPr>
          <w:rFonts w:hint="eastAsia"/>
          <w:sz w:val="21"/>
          <w:szCs w:val="21"/>
        </w:rPr>
        <w:t>产品应由供方技术监督部门进行检验，保证产品质量符合本</w:t>
      </w:r>
      <w:r>
        <w:rPr>
          <w:rFonts w:hint="eastAsia"/>
          <w:sz w:val="21"/>
          <w:szCs w:val="21"/>
          <w:lang w:val="en-US" w:eastAsia="zh-CN"/>
        </w:rPr>
        <w:t>文件</w:t>
      </w:r>
      <w:r>
        <w:rPr>
          <w:rFonts w:hint="eastAsia"/>
          <w:sz w:val="21"/>
          <w:szCs w:val="21"/>
        </w:rPr>
        <w:t>和订单货（或订货合同）的规定，并填写质量证明书</w:t>
      </w:r>
      <w:r>
        <w:rPr>
          <w:rFonts w:hint="eastAsia" w:ascii="宋体" w:hAnsi="宋体" w:eastAsia="宋体" w:cs="宋体"/>
        </w:rPr>
        <w:t>。</w:t>
      </w:r>
    </w:p>
    <w:p w14:paraId="1F16923D">
      <w:pPr>
        <w:keepNext w:val="0"/>
        <w:keepLines/>
        <w:pageBreakBefore w:val="0"/>
        <w:widowControl w:val="0"/>
        <w:kinsoku/>
        <w:wordWrap/>
        <w:overflowPunct/>
        <w:topLinePunct w:val="0"/>
        <w:autoSpaceDE/>
        <w:autoSpaceDN/>
        <w:bidi w:val="0"/>
        <w:adjustRightInd w:val="0"/>
        <w:snapToGrid w:val="0"/>
        <w:spacing w:before="156" w:beforeLines="50" w:after="156" w:afterLines="50"/>
        <w:ind w:firstLine="0" w:firstLineChars="0"/>
        <w:jc w:val="left"/>
        <w:textAlignment w:val="baseline"/>
        <w:outlineLvl w:val="9"/>
        <w:rPr>
          <w:rFonts w:hint="eastAsia" w:ascii="宋体" w:hAnsi="宋体" w:eastAsia="宋体" w:cs="宋体"/>
        </w:rPr>
      </w:pPr>
      <w:r>
        <w:rPr>
          <w:rFonts w:hint="eastAsia" w:ascii="黑体" w:hAnsi="黑体" w:eastAsia="黑体" w:cs="黑体"/>
          <w:kern w:val="0"/>
          <w:szCs w:val="20"/>
        </w:rPr>
        <w:t xml:space="preserve">7.1.2 </w:t>
      </w:r>
      <w:r>
        <w:rPr>
          <w:rFonts w:hint="eastAsia"/>
          <w:sz w:val="21"/>
          <w:szCs w:val="21"/>
        </w:rPr>
        <w:t>需方对收到的产品按本</w:t>
      </w:r>
      <w:r>
        <w:rPr>
          <w:rFonts w:hint="eastAsia"/>
          <w:sz w:val="21"/>
          <w:szCs w:val="21"/>
          <w:lang w:val="en-US" w:eastAsia="zh-CN"/>
        </w:rPr>
        <w:t>文件</w:t>
      </w:r>
      <w:r>
        <w:rPr>
          <w:rFonts w:hint="eastAsia"/>
          <w:sz w:val="21"/>
          <w:szCs w:val="21"/>
        </w:rPr>
        <w:t>和订单货（或订货合同）的规定进行复验，复验结果与本标准（或订货合同）的规定不符时，应以书面形式向供方提出，由供需双方协商解决。属于表面质量及尺寸偏差的异议，应在收到产品之日起一个月内提出；其他质量异议，应在收到产品三个月内提出。如需仲裁，仲裁取样应由供需双方共同进行</w:t>
      </w:r>
      <w:r>
        <w:rPr>
          <w:rFonts w:hint="eastAsia" w:ascii="宋体" w:hAnsi="宋体" w:eastAsia="宋体" w:cs="宋体"/>
        </w:rPr>
        <w:t>。</w:t>
      </w:r>
    </w:p>
    <w:p w14:paraId="2FF0AFBF">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黑体" w:hAnsi="黑体" w:eastAsia="黑体" w:cs="黑体"/>
          <w:sz w:val="21"/>
          <w:szCs w:val="21"/>
        </w:rPr>
      </w:pPr>
      <w:bookmarkStart w:id="55" w:name="_Toc22815"/>
      <w:r>
        <w:rPr>
          <w:rFonts w:hint="eastAsia" w:ascii="黑体" w:hAnsi="黑体" w:eastAsia="黑体" w:cs="黑体"/>
          <w:sz w:val="21"/>
          <w:szCs w:val="21"/>
        </w:rPr>
        <w:t>7.2 组批</w:t>
      </w:r>
      <w:bookmarkEnd w:id="55"/>
    </w:p>
    <w:p w14:paraId="717806E9">
      <w:pPr>
        <w:pStyle w:val="3"/>
        <w:rPr>
          <w:rFonts w:hint="default" w:ascii="宋体" w:hAnsi="宋体" w:eastAsia="宋体" w:cs="宋体"/>
          <w:lang w:val="en-US" w:eastAsia="zh-CN"/>
        </w:rPr>
      </w:pPr>
      <w:r>
        <w:rPr>
          <w:rFonts w:hint="eastAsia"/>
          <w:sz w:val="21"/>
          <w:szCs w:val="21"/>
        </w:rPr>
        <w:t>产品应成批提交验收，每批应由同一牌号、状态和规格组成</w:t>
      </w:r>
      <w:r>
        <w:rPr>
          <w:rFonts w:hint="eastAsia" w:ascii="宋体" w:hAnsi="宋体" w:eastAsia="宋体" w:cs="宋体"/>
        </w:rPr>
        <w:t>。</w:t>
      </w:r>
      <w:r>
        <w:rPr>
          <w:rFonts w:hint="eastAsia" w:ascii="宋体" w:hAnsi="宋体" w:cs="宋体"/>
          <w:lang w:val="en-US" w:eastAsia="zh-CN"/>
        </w:rPr>
        <w:t>每批重量应不大于5000kg（如为同一熔次，可不限定组批量）。</w:t>
      </w:r>
    </w:p>
    <w:p w14:paraId="5D4C4A3C">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黑体" w:hAnsi="黑体" w:eastAsia="黑体" w:cs="黑体"/>
        </w:rPr>
      </w:pPr>
      <w:bookmarkStart w:id="56" w:name="_Toc4573"/>
      <w:r>
        <w:rPr>
          <w:rFonts w:hint="eastAsia" w:ascii="黑体" w:hAnsi="黑体" w:eastAsia="黑体" w:cs="黑体"/>
        </w:rPr>
        <w:t>7.3 检验项目</w:t>
      </w:r>
      <w:bookmarkEnd w:id="56"/>
    </w:p>
    <w:p w14:paraId="4B65F73D">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eastAsia="宋体"/>
          <w:sz w:val="21"/>
          <w:szCs w:val="21"/>
          <w:lang w:val="en-US" w:eastAsia="zh-CN"/>
        </w:rPr>
      </w:pPr>
      <w:bookmarkStart w:id="57" w:name="_Toc27058"/>
      <w:r>
        <w:rPr>
          <w:rFonts w:hint="eastAsia" w:eastAsia="宋体"/>
          <w:sz w:val="21"/>
          <w:szCs w:val="21"/>
          <w:lang w:val="en-US" w:eastAsia="zh-CN"/>
        </w:rPr>
        <w:t>带材的检验项目分为出厂检验项目，见表10。</w:t>
      </w:r>
    </w:p>
    <w:p w14:paraId="65A469C9">
      <w:pPr>
        <w:keepNext w:val="0"/>
        <w:keepLines w:val="0"/>
        <w:pageBreakBefore w:val="0"/>
        <w:widowControl w:val="0"/>
        <w:kinsoku/>
        <w:wordWrap/>
        <w:overflowPunct/>
        <w:topLinePunct w:val="0"/>
        <w:autoSpaceDE/>
        <w:autoSpaceDN/>
        <w:bidi w:val="0"/>
        <w:adjustRightInd/>
        <w:snapToGrid/>
        <w:ind w:right="0" w:firstLine="0" w:firstLineChars="0"/>
        <w:jc w:val="center"/>
        <w:textAlignment w:val="auto"/>
        <w:rPr>
          <w:rFonts w:hint="default" w:ascii="黑体" w:hAnsi="黑体" w:eastAsia="黑体" w:cs="黑体"/>
          <w:lang w:val="en-US" w:eastAsia="zh-CN"/>
        </w:rPr>
      </w:pPr>
      <w:r>
        <w:rPr>
          <w:rFonts w:hint="eastAsia" w:ascii="黑体" w:hAnsi="黑体" w:eastAsia="黑体" w:cs="黑体"/>
        </w:rPr>
        <w:t>表1</w:t>
      </w:r>
      <w:r>
        <w:rPr>
          <w:rFonts w:hint="eastAsia" w:ascii="黑体" w:hAnsi="黑体" w:eastAsia="黑体" w:cs="黑体"/>
          <w:lang w:val="en-US" w:eastAsia="zh-CN"/>
        </w:rPr>
        <w:t>0</w:t>
      </w:r>
      <w:r>
        <w:rPr>
          <w:rFonts w:hint="eastAsia" w:ascii="黑体" w:hAnsi="黑体" w:eastAsia="黑体" w:cs="黑体"/>
        </w:rPr>
        <w:t xml:space="preserve"> </w:t>
      </w:r>
      <w:r>
        <w:rPr>
          <w:rFonts w:hint="eastAsia" w:ascii="黑体" w:hAnsi="黑体" w:eastAsia="黑体" w:cs="黑体"/>
          <w:lang w:val="en-US" w:eastAsia="zh-CN"/>
        </w:rPr>
        <w:t>检验项目</w:t>
      </w:r>
    </w:p>
    <w:tbl>
      <w:tblPr>
        <w:tblStyle w:val="15"/>
        <w:tblW w:w="512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1481"/>
        <w:gridCol w:w="2038"/>
        <w:gridCol w:w="2367"/>
        <w:gridCol w:w="1963"/>
      </w:tblGrid>
      <w:tr w14:paraId="1401B7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57" w:type="pct"/>
            <w:gridSpan w:val="2"/>
            <w:tcBorders>
              <w:top w:val="single" w:color="auto" w:sz="12" w:space="0"/>
              <w:left w:val="single" w:color="auto" w:sz="12" w:space="0"/>
              <w:bottom w:val="single" w:color="auto" w:sz="8" w:space="0"/>
            </w:tcBorders>
            <w:vAlign w:val="center"/>
          </w:tcPr>
          <w:p w14:paraId="315E6523">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检验项目</w:t>
            </w:r>
          </w:p>
        </w:tc>
        <w:tc>
          <w:tcPr>
            <w:tcW w:w="1166" w:type="pct"/>
            <w:tcBorders>
              <w:top w:val="single" w:color="auto" w:sz="12" w:space="0"/>
              <w:bottom w:val="single" w:color="auto" w:sz="8" w:space="0"/>
            </w:tcBorders>
            <w:vAlign w:val="center"/>
          </w:tcPr>
          <w:p w14:paraId="76294F7A">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出厂检验项目</w:t>
            </w:r>
          </w:p>
        </w:tc>
        <w:tc>
          <w:tcPr>
            <w:tcW w:w="1354" w:type="pct"/>
            <w:tcBorders>
              <w:top w:val="single" w:color="auto" w:sz="12" w:space="0"/>
              <w:bottom w:val="single" w:color="auto" w:sz="8" w:space="0"/>
              <w:right w:val="single" w:color="auto" w:sz="12" w:space="0"/>
            </w:tcBorders>
            <w:vAlign w:val="center"/>
          </w:tcPr>
          <w:p w14:paraId="604E5C01">
            <w:pPr>
              <w:spacing w:line="240" w:lineRule="auto"/>
              <w:ind w:left="0" w:leftChars="0" w:firstLine="0" w:firstLineChars="0"/>
              <w:jc w:val="center"/>
              <w:rPr>
                <w:rFonts w:hint="default" w:ascii="Times New Roman" w:hAnsi="Times New Roman" w:cs="Times New Roman" w:eastAsiaTheme="minorEastAsia"/>
                <w:sz w:val="18"/>
                <w:szCs w:val="18"/>
                <w:lang w:val="en-US" w:eastAsia="zh-CN"/>
              </w:rPr>
            </w:pPr>
            <w:r>
              <w:rPr>
                <w:rFonts w:hint="eastAsia" w:ascii="Times New Roman" w:hAnsi="Times New Roman" w:cs="Times New Roman"/>
                <w:sz w:val="18"/>
                <w:szCs w:val="18"/>
                <w:lang w:val="en-US" w:eastAsia="zh-CN"/>
              </w:rPr>
              <w:t>产品高温煅烧后检测项目</w:t>
            </w:r>
          </w:p>
        </w:tc>
        <w:tc>
          <w:tcPr>
            <w:tcW w:w="1121" w:type="pct"/>
            <w:tcBorders>
              <w:top w:val="single" w:color="auto" w:sz="12" w:space="0"/>
              <w:bottom w:val="single" w:color="auto" w:sz="8" w:space="0"/>
              <w:right w:val="single" w:color="auto" w:sz="12" w:space="0"/>
            </w:tcBorders>
            <w:shd w:val="clear" w:color="auto" w:fill="auto"/>
            <w:vAlign w:val="center"/>
          </w:tcPr>
          <w:p w14:paraId="3A6A4C74">
            <w:pPr>
              <w:spacing w:line="240" w:lineRule="auto"/>
              <w:ind w:left="0" w:leftChars="0" w:firstLine="0" w:firstLineChars="0"/>
              <w:jc w:val="center"/>
              <w:rPr>
                <w:rFonts w:ascii="Times New Roman" w:hAnsi="Times New Roman" w:cs="Times New Roman" w:eastAsiaTheme="minorEastAsia"/>
                <w:kern w:val="2"/>
                <w:sz w:val="18"/>
                <w:szCs w:val="18"/>
                <w:lang w:val="en-US" w:eastAsia="zh-CN" w:bidi="ar-SA"/>
              </w:rPr>
            </w:pPr>
            <w:r>
              <w:rPr>
                <w:rFonts w:ascii="Times New Roman" w:hAnsi="Times New Roman" w:cs="Times New Roman"/>
                <w:sz w:val="18"/>
                <w:szCs w:val="18"/>
              </w:rPr>
              <w:t>型式检验项目</w:t>
            </w:r>
          </w:p>
        </w:tc>
      </w:tr>
      <w:tr w14:paraId="3D3284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57" w:type="pct"/>
            <w:gridSpan w:val="2"/>
            <w:tcBorders>
              <w:top w:val="single" w:color="auto" w:sz="12" w:space="0"/>
              <w:left w:val="single" w:color="auto" w:sz="12" w:space="0"/>
            </w:tcBorders>
            <w:vAlign w:val="center"/>
          </w:tcPr>
          <w:p w14:paraId="1276CFD1">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化学成分</w:t>
            </w:r>
          </w:p>
        </w:tc>
        <w:tc>
          <w:tcPr>
            <w:tcW w:w="1166" w:type="pct"/>
            <w:tcBorders>
              <w:top w:val="single" w:color="auto" w:sz="12" w:space="0"/>
            </w:tcBorders>
            <w:vAlign w:val="center"/>
          </w:tcPr>
          <w:p w14:paraId="7A21CCBE">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w:t>
            </w:r>
          </w:p>
        </w:tc>
        <w:tc>
          <w:tcPr>
            <w:tcW w:w="1354" w:type="pct"/>
            <w:tcBorders>
              <w:top w:val="single" w:color="auto" w:sz="12" w:space="0"/>
              <w:right w:val="single" w:color="auto" w:sz="12" w:space="0"/>
            </w:tcBorders>
            <w:vAlign w:val="center"/>
          </w:tcPr>
          <w:p w14:paraId="24C1727A">
            <w:pPr>
              <w:spacing w:line="240" w:lineRule="auto"/>
              <w:ind w:left="0" w:leftChars="0" w:firstLine="0" w:firstLineChars="0"/>
              <w:jc w:val="center"/>
              <w:rPr>
                <w:rFonts w:hint="eastAsia" w:ascii="Times New Roman" w:hAnsi="Times New Roman" w:cs="Times New Roman" w:eastAsiaTheme="minorEastAsia"/>
                <w:sz w:val="18"/>
                <w:szCs w:val="18"/>
                <w:lang w:eastAsia="zh-CN"/>
              </w:rPr>
            </w:pPr>
            <w:r>
              <w:rPr>
                <w:rFonts w:hint="eastAsia" w:ascii="Times New Roman" w:hAnsi="Times New Roman" w:cs="Times New Roman"/>
                <w:sz w:val="18"/>
                <w:szCs w:val="18"/>
                <w:lang w:val="en-US" w:eastAsia="zh-CN"/>
              </w:rPr>
              <w:t>×</w:t>
            </w:r>
          </w:p>
        </w:tc>
        <w:tc>
          <w:tcPr>
            <w:tcW w:w="1121" w:type="pct"/>
            <w:tcBorders>
              <w:top w:val="single" w:color="auto" w:sz="12" w:space="0"/>
              <w:right w:val="single" w:color="auto" w:sz="12" w:space="0"/>
            </w:tcBorders>
            <w:shd w:val="clear" w:color="auto" w:fill="auto"/>
            <w:vAlign w:val="center"/>
          </w:tcPr>
          <w:p w14:paraId="3F6C954D">
            <w:pPr>
              <w:spacing w:line="240" w:lineRule="auto"/>
              <w:ind w:left="0" w:leftChars="0" w:firstLine="0" w:firstLineChars="0"/>
              <w:jc w:val="center"/>
              <w:rPr>
                <w:rFonts w:ascii="Times New Roman" w:hAnsi="Times New Roman" w:cs="Times New Roman" w:eastAsiaTheme="minorEastAsia"/>
                <w:kern w:val="2"/>
                <w:sz w:val="18"/>
                <w:szCs w:val="18"/>
                <w:lang w:val="en-US" w:eastAsia="zh-CN" w:bidi="ar-SA"/>
              </w:rPr>
            </w:pPr>
            <w:r>
              <w:rPr>
                <w:rFonts w:ascii="Times New Roman" w:hAnsi="Times New Roman" w:cs="Times New Roman"/>
                <w:sz w:val="18"/>
                <w:szCs w:val="18"/>
              </w:rPr>
              <w:t>√</w:t>
            </w:r>
          </w:p>
        </w:tc>
      </w:tr>
      <w:tr w14:paraId="6F1544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57" w:type="pct"/>
            <w:gridSpan w:val="2"/>
            <w:tcBorders>
              <w:left w:val="single" w:color="auto" w:sz="12" w:space="0"/>
            </w:tcBorders>
            <w:vAlign w:val="center"/>
          </w:tcPr>
          <w:p w14:paraId="0BB6ED24">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外形尺寸</w:t>
            </w:r>
          </w:p>
        </w:tc>
        <w:tc>
          <w:tcPr>
            <w:tcW w:w="1166" w:type="pct"/>
            <w:vAlign w:val="center"/>
          </w:tcPr>
          <w:p w14:paraId="6985DA37">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w:t>
            </w:r>
          </w:p>
        </w:tc>
        <w:tc>
          <w:tcPr>
            <w:tcW w:w="1354" w:type="pct"/>
            <w:tcBorders>
              <w:right w:val="single" w:color="auto" w:sz="12" w:space="0"/>
            </w:tcBorders>
            <w:vAlign w:val="center"/>
          </w:tcPr>
          <w:p w14:paraId="64A36509">
            <w:pPr>
              <w:spacing w:line="240" w:lineRule="auto"/>
              <w:ind w:left="0" w:leftChars="0" w:firstLine="0" w:firstLineChars="0"/>
              <w:jc w:val="center"/>
              <w:rPr>
                <w:rFonts w:ascii="Times New Roman" w:hAnsi="Times New Roman" w:cs="Times New Roman"/>
                <w:sz w:val="18"/>
                <w:szCs w:val="18"/>
              </w:rPr>
            </w:pPr>
            <w:r>
              <w:rPr>
                <w:rFonts w:hint="eastAsia" w:ascii="Times New Roman" w:hAnsi="Times New Roman" w:cs="Times New Roman"/>
                <w:sz w:val="18"/>
                <w:szCs w:val="18"/>
                <w:lang w:val="en-US" w:eastAsia="zh-CN"/>
              </w:rPr>
              <w:t>×</w:t>
            </w:r>
          </w:p>
        </w:tc>
        <w:tc>
          <w:tcPr>
            <w:tcW w:w="1121" w:type="pct"/>
            <w:tcBorders>
              <w:right w:val="single" w:color="auto" w:sz="12" w:space="0"/>
            </w:tcBorders>
            <w:shd w:val="clear" w:color="auto" w:fill="auto"/>
            <w:vAlign w:val="center"/>
          </w:tcPr>
          <w:p w14:paraId="743A77A0">
            <w:pPr>
              <w:spacing w:line="240" w:lineRule="auto"/>
              <w:ind w:left="0" w:leftChars="0" w:firstLine="0" w:firstLineChars="0"/>
              <w:jc w:val="center"/>
              <w:rPr>
                <w:rFonts w:ascii="Times New Roman" w:hAnsi="Times New Roman" w:cs="Times New Roman" w:eastAsiaTheme="minorEastAsia"/>
                <w:kern w:val="2"/>
                <w:sz w:val="18"/>
                <w:szCs w:val="18"/>
                <w:lang w:val="en-US" w:eastAsia="zh-CN" w:bidi="ar-SA"/>
              </w:rPr>
            </w:pPr>
            <w:r>
              <w:rPr>
                <w:rFonts w:ascii="Times New Roman" w:hAnsi="Times New Roman" w:cs="Times New Roman"/>
                <w:sz w:val="18"/>
                <w:szCs w:val="18"/>
              </w:rPr>
              <w:t>√</w:t>
            </w:r>
          </w:p>
        </w:tc>
      </w:tr>
      <w:tr w14:paraId="548F91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pct"/>
            <w:vMerge w:val="restart"/>
            <w:tcBorders>
              <w:left w:val="single" w:color="auto" w:sz="12" w:space="0"/>
            </w:tcBorders>
            <w:vAlign w:val="center"/>
          </w:tcPr>
          <w:p w14:paraId="7DB3F34F">
            <w:pPr>
              <w:spacing w:line="240" w:lineRule="auto"/>
              <w:ind w:left="0" w:leftChars="0" w:firstLine="0" w:firstLineChars="0"/>
              <w:jc w:val="center"/>
              <w:rPr>
                <w:rFonts w:ascii="Times New Roman" w:hAnsi="Times New Roman" w:cs="Times New Roman"/>
                <w:sz w:val="18"/>
                <w:szCs w:val="18"/>
                <w:vertAlign w:val="superscript"/>
              </w:rPr>
            </w:pPr>
            <w:r>
              <w:rPr>
                <w:rFonts w:ascii="Times New Roman" w:hAnsi="Times New Roman" w:cs="Times New Roman"/>
                <w:sz w:val="18"/>
                <w:szCs w:val="18"/>
              </w:rPr>
              <w:t>力学性能</w:t>
            </w:r>
          </w:p>
        </w:tc>
        <w:tc>
          <w:tcPr>
            <w:tcW w:w="846" w:type="pct"/>
            <w:vAlign w:val="center"/>
          </w:tcPr>
          <w:p w14:paraId="08A5A1D5">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拉伸试验</w:t>
            </w:r>
          </w:p>
        </w:tc>
        <w:tc>
          <w:tcPr>
            <w:tcW w:w="1166" w:type="pct"/>
            <w:vMerge w:val="restart"/>
            <w:vAlign w:val="center"/>
          </w:tcPr>
          <w:p w14:paraId="7B9B642D">
            <w:pPr>
              <w:spacing w:line="240" w:lineRule="auto"/>
              <w:ind w:left="0" w:leftChars="0" w:firstLine="0" w:firstLineChars="0"/>
              <w:jc w:val="center"/>
              <w:rPr>
                <w:rFonts w:ascii="Times New Roman" w:hAnsi="Times New Roman" w:cs="Times New Roman"/>
                <w:sz w:val="18"/>
                <w:szCs w:val="18"/>
                <w:highlight w:val="yellow"/>
              </w:rPr>
            </w:pPr>
            <w:r>
              <w:rPr>
                <w:rFonts w:hint="default" w:ascii="Times New Roman" w:hAnsi="Times New Roman" w:eastAsia="宋体" w:cs="Times New Roman"/>
                <w:color w:val="auto"/>
                <w:sz w:val="18"/>
                <w:szCs w:val="18"/>
              </w:rPr>
              <w:t>√</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lang w:val="en-US" w:eastAsia="zh-CN"/>
              </w:rPr>
              <w:t>二选一</w:t>
            </w:r>
            <w:r>
              <w:rPr>
                <w:rFonts w:hint="default" w:ascii="Times New Roman" w:hAnsi="Times New Roman" w:cs="Times New Roman"/>
                <w:color w:val="auto"/>
                <w:sz w:val="18"/>
                <w:szCs w:val="18"/>
                <w:lang w:eastAsia="zh-CN"/>
              </w:rPr>
              <w:t>）</w:t>
            </w:r>
          </w:p>
        </w:tc>
        <w:tc>
          <w:tcPr>
            <w:tcW w:w="1354" w:type="pct"/>
            <w:tcBorders>
              <w:right w:val="single" w:color="auto" w:sz="12" w:space="0"/>
            </w:tcBorders>
            <w:shd w:val="clear" w:color="auto" w:fill="auto"/>
            <w:vAlign w:val="center"/>
          </w:tcPr>
          <w:p w14:paraId="1DDCE1A1">
            <w:pPr>
              <w:spacing w:line="240" w:lineRule="auto"/>
              <w:ind w:left="0" w:leftChars="0" w:firstLine="0" w:firstLineChars="0"/>
              <w:jc w:val="center"/>
              <w:rPr>
                <w:rFonts w:ascii="Times New Roman" w:hAnsi="Times New Roman" w:cs="Times New Roman" w:eastAsiaTheme="minorEastAsia"/>
                <w:kern w:val="2"/>
                <w:sz w:val="18"/>
                <w:szCs w:val="18"/>
                <w:lang w:val="en-US" w:eastAsia="zh-CN" w:bidi="ar-SA"/>
              </w:rPr>
            </w:pPr>
            <w:r>
              <w:rPr>
                <w:rFonts w:ascii="Times New Roman" w:hAnsi="Times New Roman" w:cs="Times New Roman"/>
                <w:sz w:val="18"/>
                <w:szCs w:val="18"/>
              </w:rPr>
              <w:t>△</w:t>
            </w:r>
          </w:p>
        </w:tc>
        <w:tc>
          <w:tcPr>
            <w:tcW w:w="1121" w:type="pct"/>
            <w:tcBorders>
              <w:right w:val="single" w:color="auto" w:sz="12" w:space="0"/>
            </w:tcBorders>
            <w:shd w:val="clear" w:color="auto" w:fill="auto"/>
            <w:vAlign w:val="center"/>
          </w:tcPr>
          <w:p w14:paraId="7D3EB442">
            <w:pPr>
              <w:spacing w:line="240" w:lineRule="auto"/>
              <w:ind w:left="0" w:leftChars="0" w:firstLine="0" w:firstLineChars="0"/>
              <w:jc w:val="center"/>
              <w:rPr>
                <w:rFonts w:ascii="Times New Roman" w:hAnsi="Times New Roman" w:cs="Times New Roman" w:eastAsiaTheme="minorEastAsia"/>
                <w:kern w:val="2"/>
                <w:sz w:val="18"/>
                <w:szCs w:val="18"/>
                <w:lang w:val="en-US" w:eastAsia="zh-CN" w:bidi="ar-SA"/>
              </w:rPr>
            </w:pPr>
            <w:r>
              <w:rPr>
                <w:rFonts w:ascii="Times New Roman" w:hAnsi="Times New Roman" w:cs="Times New Roman"/>
                <w:sz w:val="18"/>
                <w:szCs w:val="18"/>
              </w:rPr>
              <w:t>√</w:t>
            </w:r>
          </w:p>
        </w:tc>
      </w:tr>
      <w:tr w14:paraId="5B0696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pct"/>
            <w:vMerge w:val="continue"/>
            <w:tcBorders>
              <w:left w:val="single" w:color="auto" w:sz="12" w:space="0"/>
            </w:tcBorders>
            <w:vAlign w:val="center"/>
          </w:tcPr>
          <w:p w14:paraId="3C89EC37">
            <w:pPr>
              <w:spacing w:line="240" w:lineRule="auto"/>
              <w:jc w:val="center"/>
              <w:rPr>
                <w:rFonts w:ascii="Times New Roman" w:hAnsi="Times New Roman" w:cs="Times New Roman"/>
                <w:sz w:val="18"/>
                <w:szCs w:val="18"/>
                <w:highlight w:val="yellow"/>
                <w:vertAlign w:val="superscript"/>
              </w:rPr>
            </w:pPr>
          </w:p>
        </w:tc>
        <w:tc>
          <w:tcPr>
            <w:tcW w:w="846" w:type="pct"/>
            <w:vAlign w:val="center"/>
          </w:tcPr>
          <w:p w14:paraId="4F45FCC0">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维氏硬度</w:t>
            </w:r>
          </w:p>
        </w:tc>
        <w:tc>
          <w:tcPr>
            <w:tcW w:w="1166" w:type="pct"/>
            <w:vMerge w:val="continue"/>
            <w:vAlign w:val="center"/>
          </w:tcPr>
          <w:p w14:paraId="37E17BF4">
            <w:pPr>
              <w:spacing w:line="240" w:lineRule="auto"/>
              <w:jc w:val="center"/>
              <w:rPr>
                <w:rFonts w:ascii="Times New Roman" w:hAnsi="Times New Roman" w:cs="Times New Roman"/>
                <w:sz w:val="18"/>
                <w:szCs w:val="18"/>
                <w:highlight w:val="yellow"/>
              </w:rPr>
            </w:pPr>
          </w:p>
        </w:tc>
        <w:tc>
          <w:tcPr>
            <w:tcW w:w="1354" w:type="pct"/>
            <w:tcBorders>
              <w:right w:val="single" w:color="auto" w:sz="12" w:space="0"/>
            </w:tcBorders>
            <w:shd w:val="clear" w:color="auto" w:fill="auto"/>
            <w:vAlign w:val="center"/>
          </w:tcPr>
          <w:p w14:paraId="2A58A219">
            <w:pPr>
              <w:spacing w:line="240" w:lineRule="auto"/>
              <w:ind w:left="0" w:leftChars="0" w:firstLine="0" w:firstLineChars="0"/>
              <w:jc w:val="center"/>
              <w:rPr>
                <w:rFonts w:ascii="Times New Roman" w:hAnsi="Times New Roman" w:cs="Times New Roman" w:eastAsiaTheme="minorEastAsia"/>
                <w:kern w:val="2"/>
                <w:sz w:val="18"/>
                <w:szCs w:val="18"/>
                <w:highlight w:val="yellow"/>
                <w:lang w:val="en-US" w:eastAsia="zh-CN" w:bidi="ar-SA"/>
              </w:rPr>
            </w:pPr>
            <w:r>
              <w:rPr>
                <w:rFonts w:ascii="Times New Roman" w:hAnsi="Times New Roman" w:cs="Times New Roman"/>
                <w:sz w:val="18"/>
                <w:szCs w:val="18"/>
              </w:rPr>
              <w:t>△</w:t>
            </w:r>
          </w:p>
        </w:tc>
        <w:tc>
          <w:tcPr>
            <w:tcW w:w="1121" w:type="pct"/>
            <w:tcBorders>
              <w:right w:val="single" w:color="auto" w:sz="12" w:space="0"/>
            </w:tcBorders>
            <w:shd w:val="clear" w:color="auto" w:fill="auto"/>
            <w:vAlign w:val="center"/>
          </w:tcPr>
          <w:p w14:paraId="0F5ADC13">
            <w:pPr>
              <w:spacing w:line="240" w:lineRule="auto"/>
              <w:ind w:left="0" w:leftChars="0" w:firstLine="0" w:firstLineChars="0"/>
              <w:jc w:val="center"/>
              <w:rPr>
                <w:rFonts w:ascii="Times New Roman" w:hAnsi="Times New Roman" w:cs="Times New Roman" w:eastAsiaTheme="minorEastAsia"/>
                <w:kern w:val="2"/>
                <w:sz w:val="18"/>
                <w:szCs w:val="18"/>
                <w:highlight w:val="yellow"/>
                <w:lang w:val="en-US" w:eastAsia="zh-CN" w:bidi="ar-SA"/>
              </w:rPr>
            </w:pPr>
            <w:r>
              <w:rPr>
                <w:rFonts w:ascii="Times New Roman" w:hAnsi="Times New Roman" w:cs="Times New Roman"/>
                <w:sz w:val="18"/>
                <w:szCs w:val="18"/>
              </w:rPr>
              <w:t>√</w:t>
            </w:r>
          </w:p>
        </w:tc>
      </w:tr>
      <w:tr w14:paraId="0AB182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57" w:type="pct"/>
            <w:gridSpan w:val="2"/>
            <w:tcBorders>
              <w:left w:val="single" w:color="auto" w:sz="12" w:space="0"/>
            </w:tcBorders>
            <w:vAlign w:val="center"/>
          </w:tcPr>
          <w:p w14:paraId="1A50104A">
            <w:pPr>
              <w:pStyle w:val="3"/>
              <w:tabs>
                <w:tab w:val="left" w:pos="2400"/>
              </w:tabs>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晶粒度</w:t>
            </w:r>
          </w:p>
        </w:tc>
        <w:tc>
          <w:tcPr>
            <w:tcW w:w="1166" w:type="pct"/>
            <w:vAlign w:val="center"/>
          </w:tcPr>
          <w:p w14:paraId="493E0C3E">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w:t>
            </w:r>
          </w:p>
        </w:tc>
        <w:tc>
          <w:tcPr>
            <w:tcW w:w="1354" w:type="pct"/>
            <w:tcBorders>
              <w:right w:val="single" w:color="auto" w:sz="12" w:space="0"/>
            </w:tcBorders>
            <w:vAlign w:val="center"/>
          </w:tcPr>
          <w:p w14:paraId="75FD8FA9">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w:t>
            </w:r>
          </w:p>
        </w:tc>
        <w:tc>
          <w:tcPr>
            <w:tcW w:w="1121" w:type="pct"/>
            <w:tcBorders>
              <w:right w:val="single" w:color="auto" w:sz="12" w:space="0"/>
            </w:tcBorders>
            <w:shd w:val="clear" w:color="auto" w:fill="auto"/>
            <w:vAlign w:val="center"/>
          </w:tcPr>
          <w:p w14:paraId="3BF5E621">
            <w:pPr>
              <w:spacing w:line="240" w:lineRule="auto"/>
              <w:ind w:left="0" w:leftChars="0" w:firstLine="0" w:firstLineChars="0"/>
              <w:jc w:val="center"/>
              <w:rPr>
                <w:rFonts w:ascii="Times New Roman" w:hAnsi="Times New Roman" w:cs="Times New Roman" w:eastAsiaTheme="minorEastAsia"/>
                <w:kern w:val="2"/>
                <w:sz w:val="18"/>
                <w:szCs w:val="18"/>
                <w:lang w:val="en-US" w:eastAsia="zh-CN" w:bidi="ar-SA"/>
              </w:rPr>
            </w:pPr>
            <w:r>
              <w:rPr>
                <w:rFonts w:ascii="Times New Roman" w:hAnsi="Times New Roman" w:cs="Times New Roman"/>
                <w:sz w:val="18"/>
                <w:szCs w:val="18"/>
              </w:rPr>
              <w:t>√</w:t>
            </w:r>
          </w:p>
        </w:tc>
      </w:tr>
      <w:tr w14:paraId="654980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57" w:type="pct"/>
            <w:gridSpan w:val="2"/>
            <w:tcBorders>
              <w:left w:val="single" w:color="auto" w:sz="12" w:space="0"/>
            </w:tcBorders>
            <w:vAlign w:val="center"/>
          </w:tcPr>
          <w:p w14:paraId="15945722">
            <w:pPr>
              <w:pStyle w:val="3"/>
              <w:tabs>
                <w:tab w:val="left" w:pos="2400"/>
              </w:tabs>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电性能</w:t>
            </w:r>
          </w:p>
        </w:tc>
        <w:tc>
          <w:tcPr>
            <w:tcW w:w="1166" w:type="pct"/>
            <w:vAlign w:val="center"/>
          </w:tcPr>
          <w:p w14:paraId="7317D4E5">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w:t>
            </w:r>
          </w:p>
        </w:tc>
        <w:tc>
          <w:tcPr>
            <w:tcW w:w="1354" w:type="pct"/>
            <w:tcBorders>
              <w:right w:val="single" w:color="auto" w:sz="12" w:space="0"/>
            </w:tcBorders>
            <w:vAlign w:val="center"/>
          </w:tcPr>
          <w:p w14:paraId="11EFD031">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w:t>
            </w:r>
          </w:p>
        </w:tc>
        <w:tc>
          <w:tcPr>
            <w:tcW w:w="1121" w:type="pct"/>
            <w:tcBorders>
              <w:right w:val="single" w:color="auto" w:sz="12" w:space="0"/>
            </w:tcBorders>
            <w:shd w:val="clear" w:color="auto" w:fill="auto"/>
            <w:vAlign w:val="center"/>
          </w:tcPr>
          <w:p w14:paraId="7A21E3CC">
            <w:pPr>
              <w:spacing w:line="240" w:lineRule="auto"/>
              <w:ind w:left="0" w:leftChars="0" w:firstLine="0" w:firstLineChars="0"/>
              <w:jc w:val="center"/>
              <w:rPr>
                <w:rFonts w:ascii="Times New Roman" w:hAnsi="Times New Roman" w:cs="Times New Roman" w:eastAsiaTheme="minorEastAsia"/>
                <w:kern w:val="2"/>
                <w:sz w:val="18"/>
                <w:szCs w:val="18"/>
                <w:lang w:val="en-US" w:eastAsia="zh-CN" w:bidi="ar-SA"/>
              </w:rPr>
            </w:pPr>
            <w:r>
              <w:rPr>
                <w:rFonts w:ascii="Times New Roman" w:hAnsi="Times New Roman" w:cs="Times New Roman"/>
                <w:sz w:val="18"/>
                <w:szCs w:val="18"/>
              </w:rPr>
              <w:t>√</w:t>
            </w:r>
          </w:p>
        </w:tc>
      </w:tr>
      <w:tr w14:paraId="105615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57" w:type="pct"/>
            <w:gridSpan w:val="2"/>
            <w:tcBorders>
              <w:left w:val="single" w:color="auto" w:sz="12" w:space="0"/>
            </w:tcBorders>
            <w:shd w:val="clear" w:color="auto" w:fill="auto"/>
            <w:vAlign w:val="center"/>
          </w:tcPr>
          <w:p w14:paraId="479239D1">
            <w:pPr>
              <w:pStyle w:val="3"/>
              <w:tabs>
                <w:tab w:val="left" w:pos="2400"/>
              </w:tabs>
              <w:ind w:left="0" w:leftChars="0" w:firstLine="0" w:firstLineChars="0"/>
              <w:jc w:val="center"/>
              <w:rPr>
                <w:rFonts w:ascii="Times New Roman" w:hAnsi="Times New Roman" w:eastAsia="宋体" w:cs="Times New Roman"/>
                <w:sz w:val="18"/>
                <w:szCs w:val="18"/>
                <w:lang w:val="en-US" w:eastAsia="zh-CN" w:bidi="ar-SA"/>
              </w:rPr>
            </w:pPr>
            <w:r>
              <w:rPr>
                <w:rFonts w:ascii="Times New Roman" w:hAnsi="Times New Roman" w:cs="Times New Roman"/>
                <w:sz w:val="18"/>
                <w:szCs w:val="18"/>
              </w:rPr>
              <w:t>表面质量</w:t>
            </w:r>
          </w:p>
        </w:tc>
        <w:tc>
          <w:tcPr>
            <w:tcW w:w="1166" w:type="pct"/>
            <w:shd w:val="clear" w:color="auto" w:fill="auto"/>
            <w:vAlign w:val="center"/>
          </w:tcPr>
          <w:p w14:paraId="390BE685">
            <w:pPr>
              <w:spacing w:line="240" w:lineRule="auto"/>
              <w:ind w:left="0" w:leftChars="0" w:firstLine="0" w:firstLineChars="0"/>
              <w:jc w:val="center"/>
              <w:rPr>
                <w:rFonts w:ascii="Times New Roman" w:hAnsi="Times New Roman" w:eastAsia="宋体" w:cs="Times New Roman"/>
                <w:sz w:val="18"/>
                <w:szCs w:val="18"/>
                <w:lang w:val="en-US" w:eastAsia="zh-CN" w:bidi="ar-SA"/>
              </w:rPr>
            </w:pPr>
            <w:r>
              <w:rPr>
                <w:rFonts w:ascii="Times New Roman" w:hAnsi="Times New Roman" w:cs="Times New Roman"/>
                <w:sz w:val="18"/>
                <w:szCs w:val="18"/>
              </w:rPr>
              <w:t>√</w:t>
            </w:r>
          </w:p>
        </w:tc>
        <w:tc>
          <w:tcPr>
            <w:tcW w:w="1354" w:type="pct"/>
            <w:tcBorders>
              <w:right w:val="single" w:color="auto" w:sz="12" w:space="0"/>
            </w:tcBorders>
            <w:shd w:val="clear" w:color="auto" w:fill="auto"/>
            <w:vAlign w:val="center"/>
          </w:tcPr>
          <w:p w14:paraId="12CFD004">
            <w:pPr>
              <w:spacing w:line="240" w:lineRule="auto"/>
              <w:ind w:left="0" w:leftChars="0" w:firstLine="0" w:firstLineChars="0"/>
              <w:jc w:val="center"/>
              <w:rPr>
                <w:rFonts w:ascii="Times New Roman" w:hAnsi="Times New Roman" w:eastAsia="宋体" w:cs="Times New Roman"/>
                <w:sz w:val="18"/>
                <w:szCs w:val="18"/>
                <w:lang w:val="en-US" w:eastAsia="zh-CN" w:bidi="ar-SA"/>
              </w:rPr>
            </w:pPr>
            <w:r>
              <w:rPr>
                <w:rFonts w:ascii="Times New Roman" w:hAnsi="Times New Roman" w:cs="Times New Roman"/>
                <w:sz w:val="18"/>
                <w:szCs w:val="18"/>
              </w:rPr>
              <w:t>△</w:t>
            </w:r>
          </w:p>
        </w:tc>
        <w:tc>
          <w:tcPr>
            <w:tcW w:w="1121" w:type="pct"/>
            <w:tcBorders>
              <w:right w:val="single" w:color="auto" w:sz="12" w:space="0"/>
            </w:tcBorders>
            <w:shd w:val="clear" w:color="auto" w:fill="auto"/>
            <w:vAlign w:val="center"/>
          </w:tcPr>
          <w:p w14:paraId="4FD1EEC9">
            <w:pPr>
              <w:spacing w:line="240" w:lineRule="auto"/>
              <w:ind w:left="0" w:leftChars="0" w:firstLine="0" w:firstLineChars="0"/>
              <w:jc w:val="center"/>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w:t>
            </w:r>
          </w:p>
        </w:tc>
      </w:tr>
      <w:tr w14:paraId="5D29D6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57" w:type="pct"/>
            <w:gridSpan w:val="2"/>
            <w:tcBorders>
              <w:left w:val="single" w:color="auto" w:sz="12" w:space="0"/>
            </w:tcBorders>
            <w:shd w:val="clear" w:color="auto" w:fill="auto"/>
            <w:vAlign w:val="center"/>
          </w:tcPr>
          <w:p w14:paraId="78815958">
            <w:pPr>
              <w:spacing w:line="240" w:lineRule="auto"/>
              <w:ind w:left="0" w:leftChars="0" w:firstLine="0" w:firstLineChars="0"/>
              <w:jc w:val="center"/>
              <w:rPr>
                <w:rFonts w:hint="eastAsia" w:ascii="Times New Roman" w:hAnsi="Times New Roman" w:cs="Times New Roman" w:eastAsiaTheme="minorEastAsia"/>
                <w:sz w:val="18"/>
                <w:szCs w:val="18"/>
                <w:lang w:val="en-US" w:eastAsia="zh-CN"/>
              </w:rPr>
            </w:pPr>
            <w:r>
              <w:rPr>
                <w:rFonts w:hint="eastAsia" w:ascii="Times New Roman" w:hAnsi="Times New Roman" w:cs="Times New Roman"/>
                <w:sz w:val="18"/>
                <w:szCs w:val="18"/>
                <w:lang w:val="en-US" w:eastAsia="zh-CN"/>
              </w:rPr>
              <w:t>气密性</w:t>
            </w:r>
          </w:p>
        </w:tc>
        <w:tc>
          <w:tcPr>
            <w:tcW w:w="1166" w:type="pct"/>
            <w:shd w:val="clear" w:color="auto" w:fill="auto"/>
            <w:vAlign w:val="center"/>
          </w:tcPr>
          <w:p w14:paraId="5969D591">
            <w:pPr>
              <w:spacing w:line="240" w:lineRule="auto"/>
              <w:ind w:left="0" w:leftChars="0" w:firstLine="0" w:firstLineChars="0"/>
              <w:jc w:val="center"/>
              <w:rPr>
                <w:rFonts w:ascii="Times New Roman" w:hAnsi="Times New Roman" w:cs="Times New Roman"/>
                <w:sz w:val="18"/>
                <w:szCs w:val="18"/>
              </w:rPr>
            </w:pPr>
            <w:r>
              <w:rPr>
                <w:rFonts w:hint="eastAsia" w:ascii="Times New Roman" w:hAnsi="Times New Roman" w:cs="Times New Roman"/>
                <w:sz w:val="18"/>
                <w:szCs w:val="18"/>
                <w:lang w:val="en-US" w:eastAsia="zh-CN"/>
              </w:rPr>
              <w:t>×</w:t>
            </w:r>
          </w:p>
        </w:tc>
        <w:tc>
          <w:tcPr>
            <w:tcW w:w="1354" w:type="pct"/>
            <w:tcBorders>
              <w:right w:val="single" w:color="auto" w:sz="12" w:space="0"/>
            </w:tcBorders>
            <w:shd w:val="clear" w:color="auto" w:fill="auto"/>
            <w:vAlign w:val="center"/>
          </w:tcPr>
          <w:p w14:paraId="044845CE">
            <w:pPr>
              <w:spacing w:line="240" w:lineRule="auto"/>
              <w:ind w:left="0" w:leftChars="0" w:firstLine="0" w:firstLineChars="0"/>
              <w:jc w:val="center"/>
              <w:rPr>
                <w:rFonts w:ascii="Times New Roman" w:hAnsi="Times New Roman" w:cs="Times New Roman"/>
                <w:sz w:val="18"/>
                <w:szCs w:val="18"/>
              </w:rPr>
            </w:pPr>
            <w:r>
              <w:rPr>
                <w:rFonts w:ascii="Times New Roman" w:hAnsi="Times New Roman" w:cs="Times New Roman"/>
                <w:sz w:val="18"/>
                <w:szCs w:val="18"/>
              </w:rPr>
              <w:t>△</w:t>
            </w:r>
          </w:p>
        </w:tc>
        <w:tc>
          <w:tcPr>
            <w:tcW w:w="1121" w:type="pct"/>
            <w:tcBorders>
              <w:right w:val="single" w:color="auto" w:sz="12" w:space="0"/>
            </w:tcBorders>
            <w:shd w:val="clear" w:color="auto" w:fill="auto"/>
            <w:vAlign w:val="center"/>
          </w:tcPr>
          <w:p w14:paraId="5BDF7B59">
            <w:pPr>
              <w:spacing w:line="240" w:lineRule="auto"/>
              <w:ind w:left="0" w:leftChars="0" w:firstLine="0" w:firstLineChars="0"/>
              <w:jc w:val="center"/>
              <w:rPr>
                <w:rFonts w:ascii="Times New Roman" w:hAnsi="Times New Roman" w:cs="Times New Roman" w:eastAsiaTheme="minorEastAsia"/>
                <w:kern w:val="2"/>
                <w:sz w:val="18"/>
                <w:szCs w:val="18"/>
                <w:lang w:val="en-US" w:eastAsia="zh-CN" w:bidi="ar-SA"/>
              </w:rPr>
            </w:pPr>
            <w:r>
              <w:rPr>
                <w:rFonts w:ascii="Times New Roman" w:hAnsi="Times New Roman" w:cs="Times New Roman"/>
                <w:sz w:val="18"/>
                <w:szCs w:val="18"/>
              </w:rPr>
              <w:t>√</w:t>
            </w:r>
          </w:p>
        </w:tc>
      </w:tr>
      <w:tr w14:paraId="655F72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tcBorders>
              <w:top w:val="single" w:color="auto" w:sz="12" w:space="0"/>
              <w:left w:val="single" w:color="auto" w:sz="12" w:space="0"/>
              <w:bottom w:val="single" w:color="auto" w:sz="12" w:space="0"/>
              <w:right w:val="single" w:color="auto" w:sz="12" w:space="0"/>
            </w:tcBorders>
            <w:vAlign w:val="center"/>
          </w:tcPr>
          <w:p w14:paraId="7F0D931C">
            <w:pPr>
              <w:spacing w:line="240" w:lineRule="auto"/>
              <w:ind w:firstLine="180" w:firstLineChars="100"/>
              <w:jc w:val="both"/>
              <w:rPr>
                <w:rFonts w:ascii="Times New Roman" w:hAnsi="Times New Roman" w:cs="Times New Roman"/>
                <w:sz w:val="18"/>
                <w:szCs w:val="18"/>
              </w:rPr>
            </w:pPr>
            <w:r>
              <w:rPr>
                <w:rFonts w:ascii="Times New Roman" w:hAnsi="Times New Roman" w:cs="Times New Roman"/>
                <w:sz w:val="18"/>
                <w:szCs w:val="18"/>
              </w:rPr>
              <w:t>注：表中“√”表示“必验项目”；“</w:t>
            </w:r>
            <w:r>
              <w:rPr>
                <w:rFonts w:hint="eastAsia" w:ascii="Times New Roman" w:hAnsi="Times New Roman" w:cs="Times New Roman"/>
                <w:sz w:val="18"/>
                <w:szCs w:val="18"/>
                <w:lang w:val="en-US" w:eastAsia="zh-CN"/>
              </w:rPr>
              <w:t>×</w:t>
            </w:r>
            <w:r>
              <w:rPr>
                <w:rFonts w:ascii="Times New Roman" w:hAnsi="Times New Roman" w:cs="Times New Roman"/>
                <w:sz w:val="18"/>
                <w:szCs w:val="18"/>
              </w:rPr>
              <w:t>”</w:t>
            </w:r>
            <w:r>
              <w:rPr>
                <w:rFonts w:hint="eastAsia" w:ascii="Times New Roman" w:hAnsi="Times New Roman" w:cs="Times New Roman"/>
                <w:sz w:val="18"/>
                <w:szCs w:val="18"/>
                <w:lang w:val="en-US" w:eastAsia="zh-CN"/>
              </w:rPr>
              <w:t>表示</w:t>
            </w:r>
            <w:r>
              <w:rPr>
                <w:rFonts w:ascii="Times New Roman" w:hAnsi="Times New Roman" w:cs="Times New Roman"/>
                <w:sz w:val="18"/>
                <w:szCs w:val="18"/>
              </w:rPr>
              <w:t xml:space="preserve"> “</w:t>
            </w:r>
            <w:r>
              <w:rPr>
                <w:rFonts w:hint="eastAsia" w:ascii="Times New Roman" w:hAnsi="Times New Roman" w:cs="Times New Roman"/>
                <w:sz w:val="18"/>
                <w:szCs w:val="18"/>
                <w:lang w:val="en-US" w:eastAsia="zh-CN"/>
              </w:rPr>
              <w:t>无需检验</w:t>
            </w:r>
            <w:r>
              <w:rPr>
                <w:rFonts w:ascii="Times New Roman" w:hAnsi="Times New Roman" w:cs="Times New Roman"/>
                <w:sz w:val="18"/>
                <w:szCs w:val="18"/>
              </w:rPr>
              <w:t xml:space="preserve">” </w:t>
            </w:r>
            <w:r>
              <w:rPr>
                <w:rFonts w:hint="eastAsia" w:ascii="Times New Roman" w:hAnsi="Times New Roman" w:cs="Times New Roman"/>
                <w:sz w:val="18"/>
                <w:szCs w:val="18"/>
                <w:lang w:eastAsia="zh-CN"/>
              </w:rPr>
              <w:t>；</w:t>
            </w:r>
            <w:r>
              <w:rPr>
                <w:rFonts w:ascii="Times New Roman" w:hAnsi="Times New Roman" w:cs="Times New Roman"/>
                <w:sz w:val="18"/>
                <w:szCs w:val="18"/>
              </w:rPr>
              <w:t xml:space="preserve"> “△” 表示“非必验项目”，需方要求并在订货单中注明时，可进行检验。</w:t>
            </w:r>
          </w:p>
        </w:tc>
      </w:tr>
      <w:tr w14:paraId="382C99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5000" w:type="pct"/>
            <w:gridSpan w:val="5"/>
            <w:tcBorders>
              <w:top w:val="single" w:color="auto" w:sz="12" w:space="0"/>
              <w:left w:val="single" w:color="auto" w:sz="12" w:space="0"/>
              <w:bottom w:val="single" w:color="auto" w:sz="12" w:space="0"/>
              <w:right w:val="single" w:color="auto" w:sz="12" w:space="0"/>
            </w:tcBorders>
            <w:vAlign w:val="center"/>
          </w:tcPr>
          <w:p w14:paraId="76C461BC">
            <w:pPr>
              <w:spacing w:line="240" w:lineRule="auto"/>
              <w:ind w:left="315" w:leftChars="150" w:firstLine="0" w:firstLineChars="0"/>
              <w:rPr>
                <w:rFonts w:ascii="Times New Roman" w:hAnsi="Times New Roman" w:cs="Times New Roman"/>
                <w:sz w:val="18"/>
                <w:szCs w:val="18"/>
                <w:vertAlign w:val="superscript"/>
              </w:rPr>
            </w:pPr>
            <w:r>
              <w:rPr>
                <w:rFonts w:ascii="Times New Roman" w:hAnsi="Times New Roman" w:cs="Times New Roman"/>
                <w:sz w:val="18"/>
                <w:szCs w:val="18"/>
                <w:vertAlign w:val="superscript"/>
              </w:rPr>
              <w:t xml:space="preserve">a </w:t>
            </w:r>
            <w:r>
              <w:rPr>
                <w:rFonts w:ascii="Times New Roman" w:hAnsi="Times New Roman" w:cs="Times New Roman"/>
                <w:sz w:val="18"/>
                <w:szCs w:val="18"/>
              </w:rPr>
              <w:t>拉伸试验和硬度试验两者选其一，未作特别说明时，进行拉伸试验，若需方有要求，也可同时检测。当选择拉伸试验时，如需方还要求硬度试验并在合同中注明时，硬度试验结果仅供参考；当选择硬度试验时，如需方还要求拉伸试验并在合同中注明时，拉伸试验结果仅供参考。</w:t>
            </w:r>
          </w:p>
        </w:tc>
      </w:tr>
    </w:tbl>
    <w:p w14:paraId="6C6B945D">
      <w:pPr>
        <w:ind w:left="420"/>
        <w:rPr>
          <w:rFonts w:ascii="Times New Roman" w:hAnsi="Times New Roman" w:cs="Times New Roman"/>
          <w:sz w:val="21"/>
          <w:szCs w:val="21"/>
        </w:rPr>
      </w:pPr>
      <w:r>
        <w:rPr>
          <w:rFonts w:hint="default" w:ascii="Times New Roman" w:hAnsi="Times New Roman" w:cs="Times New Roman"/>
          <w:sz w:val="21"/>
          <w:szCs w:val="21"/>
        </w:rPr>
        <w:t>出现下列任一情况时，应进行型式检验：</w:t>
      </w:r>
    </w:p>
    <w:p w14:paraId="36DA88E0">
      <w:pPr>
        <w:pStyle w:val="34"/>
        <w:numPr>
          <w:ilvl w:val="1"/>
          <w:numId w:val="2"/>
        </w:numPr>
        <w:ind w:firstLineChars="0"/>
        <w:rPr>
          <w:rFonts w:ascii="Times New Roman" w:hAnsi="Times New Roman" w:cs="Times New Roman"/>
          <w:sz w:val="21"/>
          <w:szCs w:val="21"/>
        </w:rPr>
      </w:pPr>
      <w:r>
        <w:rPr>
          <w:rFonts w:hint="default" w:ascii="Times New Roman" w:hAnsi="Times New Roman" w:cs="Times New Roman"/>
          <w:sz w:val="21"/>
          <w:szCs w:val="21"/>
        </w:rPr>
        <w:t>新产品或老产品转厂的试制定型鉴定；</w:t>
      </w:r>
    </w:p>
    <w:p w14:paraId="3B979FBD">
      <w:pPr>
        <w:pStyle w:val="34"/>
        <w:numPr>
          <w:ilvl w:val="1"/>
          <w:numId w:val="2"/>
        </w:numPr>
        <w:ind w:firstLineChars="0"/>
        <w:rPr>
          <w:rFonts w:ascii="Times New Roman" w:hAnsi="Times New Roman" w:cs="Times New Roman"/>
          <w:sz w:val="21"/>
          <w:szCs w:val="21"/>
        </w:rPr>
      </w:pPr>
      <w:r>
        <w:rPr>
          <w:rFonts w:hint="default" w:ascii="Times New Roman" w:hAnsi="Times New Roman" w:cs="Times New Roman"/>
          <w:sz w:val="21"/>
          <w:szCs w:val="21"/>
        </w:rPr>
        <w:t>产品的原料、工艺有较大改变，可能影响产品性能时；</w:t>
      </w:r>
    </w:p>
    <w:p w14:paraId="6CD3D863">
      <w:pPr>
        <w:pStyle w:val="34"/>
        <w:numPr>
          <w:ilvl w:val="1"/>
          <w:numId w:val="2"/>
        </w:numPr>
        <w:ind w:firstLineChars="0"/>
        <w:rPr>
          <w:rFonts w:ascii="Times New Roman" w:hAnsi="Times New Roman" w:cs="Times New Roman"/>
          <w:sz w:val="21"/>
          <w:szCs w:val="21"/>
        </w:rPr>
      </w:pPr>
      <w:r>
        <w:rPr>
          <w:rFonts w:hint="default" w:ascii="Times New Roman" w:hAnsi="Times New Roman" w:cs="Times New Roman"/>
          <w:sz w:val="21"/>
          <w:szCs w:val="21"/>
        </w:rPr>
        <w:t>产品停产后，恢复生产时；</w:t>
      </w:r>
    </w:p>
    <w:p w14:paraId="6B0F1241">
      <w:pPr>
        <w:pStyle w:val="34"/>
        <w:numPr>
          <w:ilvl w:val="1"/>
          <w:numId w:val="2"/>
        </w:numPr>
        <w:ind w:firstLineChars="0"/>
        <w:rPr>
          <w:rFonts w:ascii="Times New Roman" w:hAnsi="Times New Roman" w:cs="Times New Roman"/>
          <w:sz w:val="21"/>
          <w:szCs w:val="21"/>
        </w:rPr>
      </w:pPr>
      <w:r>
        <w:rPr>
          <w:rFonts w:hint="default" w:ascii="Times New Roman" w:hAnsi="Times New Roman" w:cs="Times New Roman"/>
          <w:sz w:val="21"/>
          <w:szCs w:val="21"/>
        </w:rPr>
        <w:t>出厂检验结果与上次型式检验有较大差异时；</w:t>
      </w:r>
    </w:p>
    <w:p w14:paraId="377DD810">
      <w:pPr>
        <w:pStyle w:val="34"/>
        <w:numPr>
          <w:ilvl w:val="1"/>
          <w:numId w:val="2"/>
        </w:numPr>
        <w:ind w:firstLineChars="0"/>
        <w:rPr>
          <w:rFonts w:ascii="Times New Roman" w:hAnsi="Times New Roman" w:cs="Times New Roman"/>
          <w:sz w:val="21"/>
          <w:szCs w:val="21"/>
        </w:rPr>
      </w:pPr>
      <w:r>
        <w:rPr>
          <w:rFonts w:hint="default" w:ascii="Times New Roman" w:hAnsi="Times New Roman" w:cs="Times New Roman"/>
          <w:sz w:val="21"/>
          <w:szCs w:val="21"/>
        </w:rPr>
        <w:t>连续二年未进行型式检验时；</w:t>
      </w:r>
    </w:p>
    <w:p w14:paraId="09A0E201">
      <w:pPr>
        <w:pStyle w:val="34"/>
        <w:numPr>
          <w:ilvl w:val="1"/>
          <w:numId w:val="2"/>
        </w:numPr>
        <w:ind w:firstLineChars="0"/>
        <w:rPr>
          <w:rFonts w:ascii="Times New Roman" w:hAnsi="Times New Roman" w:cs="Times New Roman"/>
          <w:sz w:val="21"/>
          <w:szCs w:val="21"/>
        </w:rPr>
      </w:pPr>
      <w:r>
        <w:rPr>
          <w:rFonts w:hint="default" w:ascii="Times New Roman" w:hAnsi="Times New Roman" w:cs="Times New Roman"/>
          <w:sz w:val="21"/>
          <w:szCs w:val="21"/>
        </w:rPr>
        <w:t>国家质量监督机构提出进行型式检验的要求时。</w:t>
      </w:r>
    </w:p>
    <w:p w14:paraId="7203D989">
      <w:pPr>
        <w:ind w:left="0" w:leftChars="0" w:firstLine="0" w:firstLineChars="0"/>
        <w:rPr>
          <w:rFonts w:hint="default"/>
          <w:lang w:val="en-US" w:eastAsia="zh-CN"/>
        </w:rPr>
      </w:pPr>
    </w:p>
    <w:p w14:paraId="1246D05F">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rPr>
      </w:pPr>
      <w:r>
        <w:rPr>
          <w:rFonts w:hint="eastAsia"/>
        </w:rPr>
        <w:t>7.4 取样</w:t>
      </w:r>
      <w:bookmarkEnd w:id="57"/>
    </w:p>
    <w:p w14:paraId="1921B39E">
      <w:pPr>
        <w:keepNext w:val="0"/>
        <w:keepLines/>
        <w:pageBreakBefore w:val="0"/>
        <w:widowControl w:val="0"/>
        <w:kinsoku/>
        <w:wordWrap/>
        <w:overflowPunct/>
        <w:topLinePunct w:val="0"/>
        <w:autoSpaceDE/>
        <w:autoSpaceDN/>
        <w:bidi w:val="0"/>
        <w:adjustRightInd w:val="0"/>
        <w:snapToGrid w:val="0"/>
        <w:spacing w:before="156" w:beforeLines="50" w:after="156" w:afterLines="50"/>
        <w:ind w:firstLine="0" w:firstLineChars="0"/>
        <w:jc w:val="left"/>
        <w:textAlignment w:val="baseline"/>
        <w:outlineLvl w:val="9"/>
        <w:rPr>
          <w:rFonts w:hint="eastAsia" w:ascii="宋体" w:hAnsi="宋体" w:eastAsia="宋体" w:cs="宋体"/>
        </w:rPr>
      </w:pPr>
      <w:r>
        <w:rPr>
          <w:rFonts w:hint="eastAsia" w:ascii="黑体" w:hAnsi="黑体" w:eastAsia="黑体" w:cs="黑体"/>
          <w:kern w:val="0"/>
          <w:szCs w:val="20"/>
        </w:rPr>
        <w:t>7.</w:t>
      </w:r>
      <w:r>
        <w:rPr>
          <w:rFonts w:hint="eastAsia" w:ascii="黑体" w:hAnsi="黑体" w:eastAsia="黑体" w:cs="黑体"/>
          <w:kern w:val="0"/>
          <w:szCs w:val="20"/>
          <w:lang w:val="en-US" w:eastAsia="zh-CN"/>
        </w:rPr>
        <w:t>4</w:t>
      </w:r>
      <w:r>
        <w:rPr>
          <w:rFonts w:hint="eastAsia" w:ascii="黑体" w:hAnsi="黑体" w:eastAsia="黑体" w:cs="黑体"/>
          <w:kern w:val="0"/>
          <w:szCs w:val="20"/>
        </w:rPr>
        <w:t>.1</w:t>
      </w:r>
      <w:r>
        <w:rPr>
          <w:rFonts w:hint="eastAsia" w:ascii="黑体" w:hAnsi="黑体" w:eastAsia="黑体" w:cs="黑体"/>
          <w:kern w:val="0"/>
          <w:szCs w:val="20"/>
          <w:lang w:val="en-US" w:eastAsia="zh-CN"/>
        </w:rPr>
        <w:t xml:space="preserve"> </w:t>
      </w:r>
      <w:r>
        <w:rPr>
          <w:rFonts w:hint="eastAsia"/>
          <w:sz w:val="21"/>
          <w:szCs w:val="21"/>
        </w:rPr>
        <w:t>化学成分的取样，供方在熔铸时每炉取一个试样，需方在每批产品中取一个试样</w:t>
      </w:r>
      <w:r>
        <w:rPr>
          <w:rFonts w:hint="eastAsia" w:ascii="宋体" w:hAnsi="宋体" w:eastAsia="宋体" w:cs="宋体"/>
        </w:rPr>
        <w:t>。</w:t>
      </w:r>
    </w:p>
    <w:p w14:paraId="1E3FE71E">
      <w:pPr>
        <w:keepNext w:val="0"/>
        <w:keepLines/>
        <w:pageBreakBefore w:val="0"/>
        <w:widowControl w:val="0"/>
        <w:kinsoku/>
        <w:wordWrap/>
        <w:overflowPunct/>
        <w:topLinePunct w:val="0"/>
        <w:autoSpaceDE/>
        <w:autoSpaceDN/>
        <w:bidi w:val="0"/>
        <w:adjustRightInd w:val="0"/>
        <w:snapToGrid w:val="0"/>
        <w:spacing w:before="156" w:beforeLines="50" w:after="156" w:afterLines="50"/>
        <w:ind w:firstLine="0" w:firstLineChars="0"/>
        <w:jc w:val="left"/>
        <w:textAlignment w:val="baseline"/>
        <w:outlineLvl w:val="9"/>
        <w:rPr>
          <w:rFonts w:hint="eastAsia"/>
          <w:sz w:val="21"/>
          <w:szCs w:val="21"/>
          <w:lang w:eastAsia="zh-CN"/>
        </w:rPr>
      </w:pPr>
      <w:r>
        <w:rPr>
          <w:rFonts w:hint="eastAsia" w:ascii="黑体" w:hAnsi="黑体" w:eastAsia="黑体" w:cs="黑体"/>
          <w:kern w:val="0"/>
          <w:szCs w:val="20"/>
          <w:lang w:val="en-US" w:eastAsia="zh-CN"/>
        </w:rPr>
        <w:t>7.4.2</w:t>
      </w:r>
      <w:r>
        <w:rPr>
          <w:rFonts w:hint="eastAsia" w:ascii="宋体" w:hAnsi="宋体" w:eastAsia="宋体" w:cs="宋体"/>
          <w:lang w:val="en-US" w:eastAsia="zh-CN"/>
        </w:rPr>
        <w:t xml:space="preserve"> </w:t>
      </w:r>
      <w:r>
        <w:rPr>
          <w:rFonts w:hint="eastAsia"/>
          <w:sz w:val="21"/>
          <w:szCs w:val="21"/>
        </w:rPr>
        <w:t>室温拉伸试验、维氏硬度应由每批中按比例取 50%以上的带材，每卷头尾各取一个试样</w:t>
      </w:r>
      <w:r>
        <w:rPr>
          <w:rFonts w:hint="eastAsia"/>
          <w:sz w:val="21"/>
          <w:szCs w:val="21"/>
          <w:lang w:eastAsia="zh-CN"/>
        </w:rPr>
        <w:t>。</w:t>
      </w:r>
    </w:p>
    <w:p w14:paraId="2D391E65">
      <w:pPr>
        <w:pStyle w:val="5"/>
        <w:keepNext/>
        <w:keepLines/>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eastAsia" w:ascii="黑体" w:hAnsi="黑体" w:eastAsia="黑体" w:cs="黑体"/>
        </w:rPr>
      </w:pPr>
      <w:bookmarkStart w:id="58" w:name="_Toc9843"/>
      <w:r>
        <w:rPr>
          <w:rFonts w:hint="eastAsia" w:ascii="黑体" w:hAnsi="黑体" w:eastAsia="黑体" w:cs="黑体"/>
        </w:rPr>
        <w:t>7.5 检验结果的判定</w:t>
      </w:r>
      <w:bookmarkEnd w:id="58"/>
    </w:p>
    <w:p w14:paraId="2453C4F7">
      <w:pPr>
        <w:keepNext w:val="0"/>
        <w:keepLines/>
        <w:pageBreakBefore w:val="0"/>
        <w:widowControl w:val="0"/>
        <w:kinsoku/>
        <w:wordWrap/>
        <w:overflowPunct/>
        <w:topLinePunct w:val="0"/>
        <w:autoSpaceDE/>
        <w:autoSpaceDN/>
        <w:bidi w:val="0"/>
        <w:adjustRightInd w:val="0"/>
        <w:snapToGrid w:val="0"/>
        <w:spacing w:before="156" w:beforeLines="50" w:after="156" w:afterLines="50"/>
        <w:ind w:firstLine="0" w:firstLineChars="0"/>
        <w:jc w:val="left"/>
        <w:textAlignment w:val="baseline"/>
        <w:outlineLvl w:val="9"/>
        <w:rPr>
          <w:rFonts w:hint="eastAsia" w:ascii="宋体" w:hAnsi="宋体" w:eastAsia="宋体" w:cs="宋体"/>
        </w:rPr>
      </w:pPr>
      <w:r>
        <w:rPr>
          <w:rFonts w:hint="eastAsia" w:ascii="黑体" w:hAnsi="黑体" w:eastAsia="黑体" w:cs="黑体"/>
          <w:kern w:val="0"/>
          <w:szCs w:val="20"/>
        </w:rPr>
        <w:t xml:space="preserve">7.5.1 </w:t>
      </w:r>
      <w:r>
        <w:rPr>
          <w:rFonts w:hint="eastAsia"/>
          <w:sz w:val="21"/>
          <w:szCs w:val="21"/>
        </w:rPr>
        <w:t>化学成分不合格时，判该批产品不合格</w:t>
      </w:r>
      <w:r>
        <w:rPr>
          <w:rFonts w:hint="eastAsia" w:ascii="宋体" w:hAnsi="宋体" w:eastAsia="宋体" w:cs="宋体"/>
        </w:rPr>
        <w:t>。</w:t>
      </w:r>
    </w:p>
    <w:p w14:paraId="2F05D79F">
      <w:pPr>
        <w:keepNext w:val="0"/>
        <w:keepLines/>
        <w:pageBreakBefore w:val="0"/>
        <w:widowControl w:val="0"/>
        <w:kinsoku/>
        <w:wordWrap/>
        <w:overflowPunct/>
        <w:topLinePunct w:val="0"/>
        <w:autoSpaceDE/>
        <w:autoSpaceDN/>
        <w:bidi w:val="0"/>
        <w:adjustRightInd w:val="0"/>
        <w:snapToGrid w:val="0"/>
        <w:spacing w:before="156" w:beforeLines="50" w:after="156" w:afterLines="50"/>
        <w:ind w:firstLine="0" w:firstLineChars="0"/>
        <w:jc w:val="left"/>
        <w:textAlignment w:val="baseline"/>
        <w:outlineLvl w:val="9"/>
        <w:rPr>
          <w:rFonts w:hint="eastAsia" w:ascii="宋体" w:hAnsi="宋体" w:eastAsia="宋体" w:cs="宋体"/>
        </w:rPr>
      </w:pPr>
      <w:r>
        <w:rPr>
          <w:rFonts w:hint="eastAsia" w:ascii="黑体" w:hAnsi="黑体" w:eastAsia="黑体" w:cs="黑体"/>
          <w:kern w:val="0"/>
          <w:szCs w:val="20"/>
        </w:rPr>
        <w:t xml:space="preserve">7.5.2 </w:t>
      </w:r>
      <w:r>
        <w:rPr>
          <w:rFonts w:hint="eastAsia"/>
          <w:sz w:val="21"/>
          <w:szCs w:val="21"/>
        </w:rPr>
        <w:t>产品的外形尺寸偏差、表面质量</w:t>
      </w:r>
      <w:r>
        <w:rPr>
          <w:rFonts w:hint="eastAsia"/>
          <w:sz w:val="21"/>
          <w:szCs w:val="21"/>
          <w:lang w:eastAsia="zh-CN"/>
        </w:rPr>
        <w:t>、</w:t>
      </w:r>
      <w:r>
        <w:rPr>
          <w:rFonts w:hint="eastAsia"/>
          <w:sz w:val="21"/>
          <w:szCs w:val="21"/>
          <w:lang w:val="en-US" w:eastAsia="zh-CN"/>
        </w:rPr>
        <w:t>气密性</w:t>
      </w:r>
      <w:r>
        <w:rPr>
          <w:rFonts w:hint="eastAsia"/>
          <w:sz w:val="21"/>
          <w:szCs w:val="21"/>
        </w:rPr>
        <w:t>不合格时，判该卷不合格</w:t>
      </w:r>
      <w:r>
        <w:rPr>
          <w:rFonts w:hint="eastAsia" w:ascii="宋体" w:hAnsi="宋体" w:eastAsia="宋体" w:cs="宋体"/>
        </w:rPr>
        <w:t>。</w:t>
      </w:r>
    </w:p>
    <w:p w14:paraId="3AE0AB13">
      <w:pPr>
        <w:keepNext w:val="0"/>
        <w:keepLines/>
        <w:pageBreakBefore w:val="0"/>
        <w:widowControl w:val="0"/>
        <w:kinsoku/>
        <w:wordWrap/>
        <w:overflowPunct/>
        <w:topLinePunct w:val="0"/>
        <w:autoSpaceDE/>
        <w:autoSpaceDN/>
        <w:bidi w:val="0"/>
        <w:adjustRightInd w:val="0"/>
        <w:snapToGrid w:val="0"/>
        <w:spacing w:before="156" w:beforeLines="50" w:after="156" w:afterLines="50"/>
        <w:ind w:firstLine="0" w:firstLineChars="0"/>
        <w:jc w:val="left"/>
        <w:textAlignment w:val="baseline"/>
        <w:outlineLvl w:val="9"/>
        <w:rPr>
          <w:rFonts w:hint="eastAsia" w:ascii="宋体" w:hAnsi="宋体" w:eastAsia="宋体" w:cs="宋体"/>
        </w:rPr>
      </w:pPr>
      <w:r>
        <w:rPr>
          <w:rFonts w:hint="eastAsia" w:ascii="黑体" w:hAnsi="黑体" w:eastAsia="黑体" w:cs="黑体"/>
          <w:kern w:val="0"/>
          <w:szCs w:val="20"/>
        </w:rPr>
        <w:t xml:space="preserve">7.5.3 </w:t>
      </w:r>
      <w:r>
        <w:rPr>
          <w:rFonts w:hint="eastAsia"/>
          <w:sz w:val="21"/>
          <w:szCs w:val="21"/>
        </w:rPr>
        <w:t>当力学性能</w:t>
      </w:r>
      <w:r>
        <w:rPr>
          <w:rFonts w:hint="eastAsia"/>
          <w:sz w:val="21"/>
          <w:szCs w:val="21"/>
          <w:lang w:eastAsia="zh-CN"/>
        </w:rPr>
        <w:t>、</w:t>
      </w:r>
      <w:r>
        <w:rPr>
          <w:rFonts w:hint="eastAsia"/>
          <w:sz w:val="21"/>
          <w:szCs w:val="21"/>
          <w:lang w:val="en-US" w:eastAsia="zh-CN"/>
        </w:rPr>
        <w:t>晶粒度、电性能</w:t>
      </w:r>
      <w:r>
        <w:rPr>
          <w:rFonts w:hint="eastAsia"/>
          <w:sz w:val="21"/>
          <w:szCs w:val="21"/>
        </w:rPr>
        <w:t>的试验结果中有试样不合格时，应从该批产品（包括原检验不合格的那卷带材）中另取双倍数量的试样进行重复试验，重复试验结果全部合格，则判整批产品合格。若重复试验结果仍有试样不合格，则判该批产品不合格，或由供方逐卷检验，合格者交货</w:t>
      </w:r>
      <w:r>
        <w:rPr>
          <w:rFonts w:hint="eastAsia" w:ascii="宋体" w:hAnsi="宋体" w:eastAsia="宋体" w:cs="宋体"/>
        </w:rPr>
        <w:t>。</w:t>
      </w:r>
    </w:p>
    <w:p w14:paraId="3B9ABF33">
      <w:pPr>
        <w:snapToGrid w:val="0"/>
        <w:spacing w:before="240" w:beforeLines="100" w:after="240" w:afterLines="100" w:line="240" w:lineRule="auto"/>
        <w:ind w:left="0" w:leftChars="0" w:firstLine="0" w:firstLineChars="0"/>
        <w:outlineLvl w:val="1"/>
        <w:rPr>
          <w:rFonts w:ascii="Times New Roman" w:hAnsi="Times New Roman" w:eastAsia="黑体" w:cs="Times New Roman"/>
          <w:smallCaps/>
          <w:sz w:val="21"/>
          <w:szCs w:val="21"/>
        </w:rPr>
      </w:pPr>
      <w:r>
        <w:rPr>
          <w:rFonts w:ascii="Times New Roman" w:hAnsi="Times New Roman" w:eastAsia="黑体" w:cs="Times New Roman"/>
          <w:smallCaps/>
          <w:sz w:val="21"/>
          <w:szCs w:val="21"/>
        </w:rPr>
        <w:t>8   标志、包装、运输、贮存和随行文件</w:t>
      </w:r>
    </w:p>
    <w:p w14:paraId="636385C9">
      <w:pPr>
        <w:pStyle w:val="28"/>
        <w:numPr>
          <w:ilvl w:val="3"/>
          <w:numId w:val="0"/>
        </w:numPr>
        <w:snapToGrid w:val="0"/>
        <w:spacing w:before="240" w:beforeLines="100" w:after="240" w:afterLines="100"/>
        <w:ind w:leftChars="0"/>
        <w:rPr>
          <w:rFonts w:ascii="Times New Roman" w:hAnsi="Times New Roman" w:cs="Times New Roman"/>
          <w:color w:val="000000"/>
        </w:rPr>
      </w:pPr>
      <w:r>
        <w:rPr>
          <w:rFonts w:ascii="Times New Roman" w:hAnsi="Times New Roman" w:cs="Times New Roman"/>
          <w:color w:val="000000"/>
        </w:rPr>
        <w:t>8.1 标志、包装、运输、贮存</w:t>
      </w:r>
    </w:p>
    <w:p w14:paraId="24BA13AC">
      <w:pPr>
        <w:snapToGrid w:val="0"/>
        <w:spacing w:line="240" w:lineRule="auto"/>
        <w:ind w:firstLine="420" w:firstLineChars="200"/>
        <w:rPr>
          <w:rFonts w:ascii="Times New Roman" w:hAnsi="Times New Roman" w:cs="Times New Roman"/>
          <w:sz w:val="21"/>
          <w:szCs w:val="21"/>
        </w:rPr>
      </w:pPr>
      <w:r>
        <w:rPr>
          <w:rFonts w:ascii="Times New Roman" w:hAnsi="Times New Roman" w:cs="Times New Roman"/>
          <w:sz w:val="21"/>
          <w:szCs w:val="21"/>
        </w:rPr>
        <w:t>产品的标志、包装、运输、贮存应符合GB/T 8888的规定。</w:t>
      </w:r>
    </w:p>
    <w:p w14:paraId="0B33B4EB">
      <w:pPr>
        <w:pStyle w:val="28"/>
        <w:numPr>
          <w:ilvl w:val="3"/>
          <w:numId w:val="0"/>
        </w:numPr>
        <w:snapToGrid w:val="0"/>
        <w:spacing w:before="240" w:beforeLines="100" w:after="240" w:afterLines="100"/>
        <w:ind w:leftChars="0"/>
        <w:rPr>
          <w:rFonts w:ascii="Times New Roman" w:hAnsi="Times New Roman" w:cs="Times New Roman"/>
          <w:color w:val="000000"/>
        </w:rPr>
      </w:pPr>
      <w:r>
        <w:rPr>
          <w:rFonts w:ascii="Times New Roman" w:hAnsi="Times New Roman" w:cs="Times New Roman"/>
          <w:color w:val="000000"/>
        </w:rPr>
        <w:t>8.2 随行文件</w:t>
      </w:r>
    </w:p>
    <w:p w14:paraId="3931D10D">
      <w:pPr>
        <w:widowControl/>
        <w:adjustRightInd/>
        <w:spacing w:line="240" w:lineRule="auto"/>
        <w:ind w:firstLine="420" w:firstLineChars="200"/>
        <w:jc w:val="both"/>
        <w:textAlignment w:val="auto"/>
        <w:rPr>
          <w:rFonts w:hint="eastAsia" w:asciiTheme="minorEastAsia" w:hAnsiTheme="minorEastAsia" w:eastAsiaTheme="minorEastAsia" w:cstheme="minorEastAsia"/>
          <w:kern w:val="2"/>
          <w:sz w:val="21"/>
          <w:szCs w:val="21"/>
        </w:rPr>
      </w:pPr>
      <w:r>
        <w:rPr>
          <w:rFonts w:ascii="Times New Roman" w:hAnsi="Times New Roman" w:cs="Times New Roman"/>
          <w:kern w:val="2"/>
          <w:sz w:val="21"/>
          <w:szCs w:val="22"/>
        </w:rPr>
        <w:t>每批产品应附有随行文件</w:t>
      </w:r>
      <w:r>
        <w:rPr>
          <w:rFonts w:ascii="Times New Roman" w:hAnsi="Times New Roman" w:cs="Times New Roman"/>
          <w:kern w:val="2"/>
          <w:sz w:val="21"/>
          <w:szCs w:val="22"/>
          <w:shd w:val="clear" w:color="auto" w:fill="FFFFFF"/>
        </w:rPr>
        <w:t>，其中</w:t>
      </w:r>
      <w:r>
        <w:rPr>
          <w:rFonts w:ascii="Times New Roman" w:hAnsi="Times New Roman" w:cs="Times New Roman"/>
          <w:kern w:val="2"/>
          <w:sz w:val="21"/>
          <w:szCs w:val="22"/>
        </w:rPr>
        <w:t>除应包括供方信息、产品信息</w:t>
      </w:r>
      <w:r>
        <w:rPr>
          <w:rFonts w:hint="default" w:ascii="Times New Roman" w:hAnsi="Times New Roman" w:cs="Times New Roman"/>
          <w:kern w:val="2"/>
          <w:sz w:val="21"/>
          <w:szCs w:val="22"/>
        </w:rPr>
        <w:t>、</w:t>
      </w:r>
      <w:r>
        <w:rPr>
          <w:rFonts w:ascii="Times New Roman" w:hAnsi="Times New Roman" w:cs="Times New Roman"/>
          <w:kern w:val="2"/>
          <w:sz w:val="21"/>
          <w:szCs w:val="22"/>
        </w:rPr>
        <w:t>文件编号、出厂日期或包装日期外，还</w:t>
      </w:r>
      <w:r>
        <w:rPr>
          <w:rFonts w:hint="eastAsia" w:asciiTheme="minorEastAsia" w:hAnsiTheme="minorEastAsia" w:eastAsiaTheme="minorEastAsia" w:cstheme="minorEastAsia"/>
          <w:kern w:val="2"/>
          <w:sz w:val="21"/>
          <w:szCs w:val="22"/>
        </w:rPr>
        <w:t>宜包括：</w:t>
      </w:r>
    </w:p>
    <w:p w14:paraId="459707C5">
      <w:pPr>
        <w:numPr>
          <w:ilvl w:val="0"/>
          <w:numId w:val="3"/>
        </w:numPr>
        <w:adjustRightInd/>
        <w:spacing w:line="240" w:lineRule="auto"/>
        <w:ind w:left="0" w:leftChars="0"/>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shd w:val="clear" w:color="auto" w:fill="FFFFFF"/>
        </w:rPr>
        <w:t>产品质量保证书，内容如下</w:t>
      </w:r>
      <w:r>
        <w:rPr>
          <w:rFonts w:hint="eastAsia" w:asciiTheme="minorEastAsia" w:hAnsiTheme="minorEastAsia" w:eastAsiaTheme="minorEastAsia" w:cstheme="minorEastAsia"/>
          <w:kern w:val="2"/>
          <w:sz w:val="21"/>
          <w:szCs w:val="22"/>
        </w:rPr>
        <w:t>：</w:t>
      </w:r>
    </w:p>
    <w:p w14:paraId="22618985">
      <w:pPr>
        <w:adjustRightInd/>
        <w:spacing w:line="240" w:lineRule="auto"/>
        <w:ind w:firstLine="840" w:firstLineChars="4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产品的主要性能及技术参数；</w:t>
      </w:r>
    </w:p>
    <w:p w14:paraId="0722FEF5">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产品特点（包括制造工艺及原材料的特点）；</w:t>
      </w:r>
    </w:p>
    <w:p w14:paraId="7204CF0A">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对产品质量所负的责任；</w:t>
      </w:r>
    </w:p>
    <w:p w14:paraId="1E8EA79A">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产品获得的质量认证及带有供方技术监督部门检印的各项分析检验结果。</w:t>
      </w:r>
    </w:p>
    <w:p w14:paraId="53162395">
      <w:pPr>
        <w:numPr>
          <w:ilvl w:val="0"/>
          <w:numId w:val="3"/>
        </w:numPr>
        <w:adjustRightInd/>
        <w:spacing w:line="240" w:lineRule="auto"/>
        <w:ind w:left="0" w:leftChars="0"/>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shd w:val="clear" w:color="auto" w:fill="FFFFFF"/>
        </w:rPr>
        <w:t>产品合格证，内容如下：</w:t>
      </w:r>
    </w:p>
    <w:p w14:paraId="56C3D626">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检验项目及其结果或检验结论；</w:t>
      </w:r>
    </w:p>
    <w:p w14:paraId="61CCA731">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批号；</w:t>
      </w:r>
    </w:p>
    <w:p w14:paraId="2CBBE163">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检验日期；</w:t>
      </w:r>
    </w:p>
    <w:p w14:paraId="558CC182">
      <w:pPr>
        <w:adjustRightInd/>
        <w:spacing w:line="240" w:lineRule="auto"/>
        <w:ind w:left="420" w:firstLine="420" w:firstLineChars="200"/>
        <w:jc w:val="both"/>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  检验员签名或盖章。</w:t>
      </w:r>
    </w:p>
    <w:p w14:paraId="7B8B99A5">
      <w:pPr>
        <w:numPr>
          <w:ilvl w:val="0"/>
          <w:numId w:val="3"/>
        </w:numPr>
        <w:adjustRightInd/>
        <w:spacing w:line="240" w:lineRule="auto"/>
        <w:ind w:left="0" w:leftChars="0"/>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shd w:val="clear" w:color="auto" w:fill="FFFFFF"/>
        </w:rPr>
        <w:t>产品</w:t>
      </w:r>
      <w:r>
        <w:rPr>
          <w:rFonts w:hint="eastAsia" w:asciiTheme="minorEastAsia" w:hAnsiTheme="minorEastAsia" w:eastAsiaTheme="minorEastAsia" w:cstheme="minorEastAsia"/>
          <w:kern w:val="2"/>
          <w:sz w:val="21"/>
          <w:szCs w:val="22"/>
        </w:rPr>
        <w:t>质量控制过程中的检验报告及成品检验报告</w:t>
      </w:r>
      <w:r>
        <w:rPr>
          <w:rFonts w:hint="eastAsia" w:asciiTheme="minorEastAsia" w:hAnsiTheme="minorEastAsia" w:eastAsiaTheme="minorEastAsia" w:cstheme="minorEastAsia"/>
          <w:kern w:val="2"/>
          <w:sz w:val="21"/>
          <w:szCs w:val="22"/>
          <w:shd w:val="clear" w:color="auto" w:fill="FFFFFF"/>
        </w:rPr>
        <w:t>；</w:t>
      </w:r>
    </w:p>
    <w:p w14:paraId="2EB0EED5">
      <w:pPr>
        <w:numPr>
          <w:ilvl w:val="0"/>
          <w:numId w:val="3"/>
        </w:numPr>
        <w:adjustRightInd/>
        <w:spacing w:line="240" w:lineRule="auto"/>
        <w:ind w:left="0" w:leftChars="0"/>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shd w:val="clear" w:color="auto" w:fill="FFFFFF"/>
        </w:rPr>
        <w:t>产品使用说明：正确搬运、使用、贮存方法等；</w:t>
      </w:r>
    </w:p>
    <w:p w14:paraId="48C41E6E">
      <w:pPr>
        <w:numPr>
          <w:ilvl w:val="0"/>
          <w:numId w:val="3"/>
        </w:numPr>
        <w:adjustRightInd/>
        <w:spacing w:line="240" w:lineRule="auto"/>
        <w:ind w:left="0" w:leftChars="0"/>
        <w:textAlignment w:val="auto"/>
        <w:rPr>
          <w:rFonts w:hint="eastAsia" w:asciiTheme="minorEastAsia" w:hAnsiTheme="minorEastAsia" w:eastAsiaTheme="minorEastAsia" w:cstheme="minorEastAsia"/>
          <w:kern w:val="2"/>
          <w:sz w:val="21"/>
          <w:szCs w:val="22"/>
        </w:rPr>
      </w:pPr>
      <w:r>
        <w:rPr>
          <w:rFonts w:hint="eastAsia" w:asciiTheme="minorEastAsia" w:hAnsiTheme="minorEastAsia" w:eastAsiaTheme="minorEastAsia" w:cstheme="minorEastAsia"/>
          <w:kern w:val="2"/>
          <w:sz w:val="21"/>
          <w:szCs w:val="22"/>
        </w:rPr>
        <w:t>其他。</w:t>
      </w:r>
    </w:p>
    <w:p w14:paraId="4DC0E1D9">
      <w:pPr>
        <w:spacing w:before="240" w:beforeLines="100" w:after="240" w:afterLines="100" w:line="240" w:lineRule="auto"/>
        <w:ind w:left="0" w:leftChars="0" w:firstLine="0" w:firstLineChars="0"/>
        <w:rPr>
          <w:rFonts w:ascii="Times New Roman" w:hAnsi="Times New Roman" w:eastAsia="黑体" w:cs="Times New Roman"/>
          <w:caps/>
          <w:sz w:val="21"/>
          <w:szCs w:val="24"/>
        </w:rPr>
      </w:pPr>
      <w:r>
        <w:rPr>
          <w:rFonts w:ascii="Times New Roman" w:hAnsi="Times New Roman" w:eastAsia="黑体" w:cs="Times New Roman"/>
          <w:caps/>
          <w:sz w:val="21"/>
          <w:szCs w:val="24"/>
        </w:rPr>
        <w:t>9  订货单内容</w:t>
      </w:r>
    </w:p>
    <w:p w14:paraId="3126989E">
      <w:pPr>
        <w:tabs>
          <w:tab w:val="left" w:pos="840"/>
        </w:tabs>
        <w:spacing w:line="240" w:lineRule="auto"/>
        <w:ind w:left="0" w:leftChars="0" w:firstLine="420" w:firstLineChars="200"/>
        <w:rPr>
          <w:rFonts w:ascii="Times New Roman" w:hAnsi="Times New Roman" w:cs="Times New Roman"/>
          <w:sz w:val="21"/>
        </w:rPr>
      </w:pPr>
      <w:r>
        <w:rPr>
          <w:rFonts w:ascii="Times New Roman" w:hAnsi="Times New Roman" w:cs="Times New Roman"/>
          <w:sz w:val="21"/>
        </w:rPr>
        <w:t>订购本文件所列产品的订货单内应包括下列内容：</w:t>
      </w:r>
    </w:p>
    <w:p w14:paraId="513FF1E1">
      <w:pPr>
        <w:numPr>
          <w:ilvl w:val="0"/>
          <w:numId w:val="4"/>
        </w:numPr>
        <w:tabs>
          <w:tab w:val="left" w:pos="840"/>
          <w:tab w:val="clear" w:pos="-30"/>
        </w:tabs>
        <w:spacing w:line="240" w:lineRule="auto"/>
        <w:ind w:left="0" w:leftChars="0"/>
        <w:rPr>
          <w:rFonts w:ascii="Times New Roman" w:hAnsi="Times New Roman" w:cs="Times New Roman"/>
          <w:sz w:val="21"/>
        </w:rPr>
      </w:pPr>
      <w:r>
        <w:rPr>
          <w:rFonts w:ascii="Times New Roman" w:hAnsi="Times New Roman" w:cs="Times New Roman"/>
          <w:sz w:val="21"/>
        </w:rPr>
        <w:t>产品名称；</w:t>
      </w:r>
    </w:p>
    <w:p w14:paraId="397C1D32">
      <w:pPr>
        <w:numPr>
          <w:ilvl w:val="0"/>
          <w:numId w:val="4"/>
        </w:numPr>
        <w:tabs>
          <w:tab w:val="left" w:pos="840"/>
          <w:tab w:val="clear" w:pos="-30"/>
        </w:tabs>
        <w:spacing w:line="240" w:lineRule="auto"/>
        <w:ind w:left="0" w:leftChars="0"/>
        <w:rPr>
          <w:rFonts w:ascii="Times New Roman" w:hAnsi="Times New Roman" w:cs="Times New Roman"/>
          <w:sz w:val="21"/>
        </w:rPr>
      </w:pPr>
      <w:r>
        <w:rPr>
          <w:rFonts w:ascii="Times New Roman" w:hAnsi="Times New Roman" w:cs="Times New Roman"/>
          <w:sz w:val="21"/>
        </w:rPr>
        <w:t>牌号；</w:t>
      </w:r>
    </w:p>
    <w:p w14:paraId="2E782969">
      <w:pPr>
        <w:numPr>
          <w:ilvl w:val="0"/>
          <w:numId w:val="4"/>
        </w:numPr>
        <w:tabs>
          <w:tab w:val="left" w:pos="840"/>
          <w:tab w:val="clear" w:pos="-30"/>
        </w:tabs>
        <w:spacing w:line="240" w:lineRule="auto"/>
        <w:ind w:left="0" w:leftChars="0"/>
        <w:rPr>
          <w:rFonts w:ascii="Times New Roman" w:hAnsi="Times New Roman" w:cs="Times New Roman"/>
          <w:sz w:val="21"/>
        </w:rPr>
      </w:pPr>
      <w:r>
        <w:rPr>
          <w:rFonts w:ascii="Times New Roman" w:hAnsi="Times New Roman" w:cs="Times New Roman"/>
          <w:sz w:val="21"/>
        </w:rPr>
        <w:t>供应状态；</w:t>
      </w:r>
    </w:p>
    <w:p w14:paraId="7A5C45FF">
      <w:pPr>
        <w:numPr>
          <w:ilvl w:val="0"/>
          <w:numId w:val="4"/>
        </w:numPr>
        <w:tabs>
          <w:tab w:val="left" w:pos="840"/>
          <w:tab w:val="clear" w:pos="-30"/>
        </w:tabs>
        <w:spacing w:line="240" w:lineRule="auto"/>
        <w:ind w:left="0" w:leftChars="0"/>
        <w:rPr>
          <w:rFonts w:ascii="Times New Roman" w:hAnsi="Times New Roman" w:cs="Times New Roman"/>
          <w:sz w:val="21"/>
        </w:rPr>
      </w:pPr>
      <w:r>
        <w:rPr>
          <w:rFonts w:ascii="Times New Roman" w:hAnsi="Times New Roman" w:cs="Times New Roman"/>
          <w:sz w:val="21"/>
        </w:rPr>
        <w:t>尺寸规格；</w:t>
      </w:r>
    </w:p>
    <w:p w14:paraId="6B230418">
      <w:pPr>
        <w:numPr>
          <w:ilvl w:val="0"/>
          <w:numId w:val="4"/>
        </w:numPr>
        <w:tabs>
          <w:tab w:val="left" w:pos="840"/>
          <w:tab w:val="clear" w:pos="-30"/>
        </w:tabs>
        <w:spacing w:line="240" w:lineRule="auto"/>
        <w:ind w:left="0" w:leftChars="0"/>
        <w:rPr>
          <w:rFonts w:ascii="Times New Roman" w:hAnsi="Times New Roman" w:cs="Times New Roman"/>
          <w:sz w:val="21"/>
        </w:rPr>
      </w:pPr>
      <w:r>
        <w:rPr>
          <w:rFonts w:ascii="Times New Roman" w:hAnsi="Times New Roman" w:cs="Times New Roman"/>
          <w:sz w:val="21"/>
        </w:rPr>
        <w:t>重量；</w:t>
      </w:r>
    </w:p>
    <w:p w14:paraId="7BD43286">
      <w:pPr>
        <w:numPr>
          <w:ilvl w:val="0"/>
          <w:numId w:val="4"/>
        </w:numPr>
        <w:tabs>
          <w:tab w:val="left" w:pos="840"/>
          <w:tab w:val="clear" w:pos="-30"/>
        </w:tabs>
        <w:spacing w:line="240" w:lineRule="auto"/>
        <w:ind w:left="0" w:leftChars="0"/>
        <w:rPr>
          <w:rFonts w:ascii="Times New Roman" w:hAnsi="Times New Roman" w:cs="Times New Roman"/>
          <w:sz w:val="21"/>
        </w:rPr>
      </w:pPr>
      <w:r>
        <w:rPr>
          <w:rFonts w:ascii="Times New Roman" w:hAnsi="Times New Roman" w:cs="Times New Roman"/>
          <w:sz w:val="21"/>
        </w:rPr>
        <w:t>尺寸允许偏差（高精级或有特殊要求时，</w:t>
      </w:r>
      <w:r>
        <w:rPr>
          <w:rFonts w:ascii="Times New Roman" w:hAnsi="Times New Roman" w:cs="Times New Roman"/>
          <w:sz w:val="21"/>
          <w:szCs w:val="21"/>
        </w:rPr>
        <w:t>未注明时按普通级供货</w:t>
      </w:r>
      <w:r>
        <w:rPr>
          <w:rFonts w:ascii="Times New Roman" w:hAnsi="Times New Roman" w:cs="Times New Roman"/>
          <w:sz w:val="21"/>
        </w:rPr>
        <w:t>）</w:t>
      </w:r>
      <w:r>
        <w:rPr>
          <w:rFonts w:hint="eastAsia" w:cs="Times New Roman"/>
          <w:sz w:val="21"/>
          <w:lang w:eastAsia="zh-CN"/>
        </w:rPr>
        <w:t>；</w:t>
      </w:r>
    </w:p>
    <w:p w14:paraId="2E5580A3">
      <w:pPr>
        <w:numPr>
          <w:ilvl w:val="0"/>
          <w:numId w:val="4"/>
        </w:numPr>
        <w:tabs>
          <w:tab w:val="left" w:pos="840"/>
          <w:tab w:val="clear" w:pos="-30"/>
        </w:tabs>
        <w:spacing w:line="240" w:lineRule="auto"/>
        <w:ind w:left="0" w:leftChars="0"/>
        <w:rPr>
          <w:rFonts w:ascii="Times New Roman" w:hAnsi="Times New Roman" w:cs="Times New Roman"/>
          <w:sz w:val="21"/>
        </w:rPr>
      </w:pPr>
      <w:r>
        <w:rPr>
          <w:rFonts w:ascii="Times New Roman" w:hAnsi="Times New Roman" w:cs="Times New Roman"/>
          <w:sz w:val="21"/>
        </w:rPr>
        <w:t>维氏硬度（有要求时）；</w:t>
      </w:r>
    </w:p>
    <w:p w14:paraId="3162B99C">
      <w:pPr>
        <w:numPr>
          <w:ilvl w:val="0"/>
          <w:numId w:val="4"/>
        </w:numPr>
        <w:tabs>
          <w:tab w:val="left" w:pos="840"/>
          <w:tab w:val="clear" w:pos="-30"/>
        </w:tabs>
        <w:spacing w:line="240" w:lineRule="auto"/>
        <w:ind w:left="0" w:leftChars="0"/>
        <w:rPr>
          <w:rFonts w:ascii="Times New Roman" w:hAnsi="Times New Roman" w:cs="Times New Roman"/>
          <w:strike w:val="0"/>
          <w:sz w:val="21"/>
        </w:rPr>
      </w:pPr>
      <w:r>
        <w:rPr>
          <w:rFonts w:hint="eastAsia" w:ascii="Times New Roman" w:hAnsi="Times New Roman" w:cs="Times New Roman"/>
          <w:strike w:val="0"/>
          <w:sz w:val="21"/>
          <w:lang w:val="en-US" w:eastAsia="zh-CN"/>
        </w:rPr>
        <w:t>需要高温煅烧检测项目</w:t>
      </w:r>
      <w:r>
        <w:rPr>
          <w:rFonts w:ascii="Times New Roman" w:hAnsi="Times New Roman" w:cs="Times New Roman"/>
          <w:strike w:val="0"/>
          <w:sz w:val="21"/>
        </w:rPr>
        <w:t>（有要求时）；</w:t>
      </w:r>
    </w:p>
    <w:p w14:paraId="7F57111D">
      <w:pPr>
        <w:numPr>
          <w:ilvl w:val="0"/>
          <w:numId w:val="4"/>
        </w:numPr>
        <w:tabs>
          <w:tab w:val="left" w:pos="840"/>
          <w:tab w:val="clear" w:pos="-30"/>
        </w:tabs>
        <w:spacing w:line="240" w:lineRule="auto"/>
        <w:ind w:left="0" w:leftChars="0"/>
        <w:rPr>
          <w:rFonts w:ascii="Times New Roman" w:hAnsi="Times New Roman" w:cs="Times New Roman"/>
          <w:sz w:val="21"/>
        </w:rPr>
      </w:pPr>
      <w:r>
        <w:rPr>
          <w:rFonts w:ascii="Times New Roman" w:hAnsi="Times New Roman" w:cs="Times New Roman"/>
          <w:sz w:val="21"/>
        </w:rPr>
        <w:t>本文件编号；</w:t>
      </w:r>
    </w:p>
    <w:p w14:paraId="493F526A">
      <w:pPr>
        <w:numPr>
          <w:ilvl w:val="0"/>
          <w:numId w:val="4"/>
        </w:numPr>
        <w:tabs>
          <w:tab w:val="left" w:pos="840"/>
          <w:tab w:val="clear" w:pos="-30"/>
        </w:tabs>
        <w:spacing w:line="240" w:lineRule="auto"/>
        <w:ind w:left="0" w:leftChars="0"/>
        <w:rPr>
          <w:rFonts w:ascii="Times New Roman" w:hAnsi="Times New Roman" w:cs="Times New Roman"/>
          <w:sz w:val="21"/>
        </w:rPr>
      </w:pPr>
      <w:r>
        <w:rPr>
          <w:rFonts w:ascii="Times New Roman" w:hAnsi="Times New Roman" w:cs="Times New Roman"/>
          <w:sz w:val="20"/>
        </w:rPr>
        <mc:AlternateContent>
          <mc:Choice Requires="wps">
            <w:drawing>
              <wp:anchor distT="0" distB="0" distL="114300" distR="114300" simplePos="0" relativeHeight="251663360" behindDoc="0" locked="0" layoutInCell="1" allowOverlap="1">
                <wp:simplePos x="0" y="0"/>
                <wp:positionH relativeFrom="column">
                  <wp:posOffset>1953260</wp:posOffset>
                </wp:positionH>
                <wp:positionV relativeFrom="paragraph">
                  <wp:posOffset>393700</wp:posOffset>
                </wp:positionV>
                <wp:extent cx="182880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18288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53.8pt;margin-top:31pt;height:0pt;width:144pt;z-index:251663360;mso-width-relative:page;mso-height-relative:page;" filled="f" stroked="t" coordsize="21600,21600" o:gfxdata="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DbPlF9UAAAAJAQAADwAAAAAAAAABACAAAAAiAAAAZHJzL2Rvd25yZXYueG1sUEsBAhQA&#10;FAAAAAgAh07iQKlFJzr1AQAA5AMAAA4AAAAAAAAAAQAgAAAAJAEAAGRycy9lMm9Eb2MueG1sUEsF&#10;BgAAAAAGAAYAWQEAAIsFAAAAAA==&#10;">
                <v:fill on="f" focussize="0,0"/>
                <v:stroke color="#000000" joinstyle="round"/>
                <v:imagedata o:title=""/>
                <o:lock v:ext="edit" aspectratio="f"/>
              </v:line>
            </w:pict>
          </mc:Fallback>
        </mc:AlternateContent>
      </w:r>
      <w:r>
        <w:rPr>
          <w:rFonts w:ascii="Times New Roman" w:hAnsi="Times New Roman" w:cs="Times New Roman"/>
          <w:sz w:val="21"/>
        </w:rPr>
        <w:t>其他。</w:t>
      </w:r>
    </w:p>
    <w:p w14:paraId="775C7751"/>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3A62D22-7B49-4F73-92BF-B3A9A1627A1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B6A80">
    <w:pPr>
      <w:pStyle w:val="53"/>
      <w:rPr>
        <w:rStyle w:val="18"/>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Style w:val="18"/>
        <w:rFonts w:hint="eastAsia" w:asciiTheme="minorEastAsia" w:hAnsiTheme="minorEastAsia" w:eastAsiaTheme="minorEastAsia" w:cstheme="minorEastAsia"/>
      </w:rPr>
      <w:instrText xml:space="preserve">PAGE  </w:instrText>
    </w:r>
    <w:r>
      <w:rPr>
        <w:rFonts w:hint="eastAsia" w:asciiTheme="minorEastAsia" w:hAnsiTheme="minorEastAsia" w:eastAsiaTheme="minorEastAsia" w:cstheme="minorEastAsia"/>
      </w:rPr>
      <w:fldChar w:fldCharType="separate"/>
    </w:r>
    <w:r>
      <w:rPr>
        <w:rStyle w:val="18"/>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73AF4">
    <w:pPr>
      <w:pStyle w:val="9"/>
      <w:ind w:firstLine="360"/>
    </w:pPr>
    <w:r>
      <w:rPr>
        <w:sz w:val="18"/>
      </w:rPr>
      <mc:AlternateContent>
        <mc:Choice Requires="wps">
          <w:drawing>
            <wp:anchor distT="0" distB="0" distL="114300" distR="114300" simplePos="0" relativeHeight="251659264" behindDoc="0" locked="0" layoutInCell="1" allowOverlap="1">
              <wp:simplePos x="0" y="0"/>
              <wp:positionH relativeFrom="margin">
                <wp:posOffset>5001895</wp:posOffset>
              </wp:positionH>
              <wp:positionV relativeFrom="paragraph">
                <wp:posOffset>-146685</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4AF944">
                          <w:pPr>
                            <w:pStyle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I</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3.85pt;margin-top:-11.55pt;height:144pt;width:144pt;mso-position-horizontal-relative:margin;mso-wrap-style:none;z-index:251659264;mso-width-relative:page;mso-height-relative:page;" filled="f" stroked="f" coordsize="21600,21600" o:gfxdata="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4Gx/n2QAAAAwBAAAPAAAAAAAAAAEAIAAAACIAAABkcnMvZG93bnJldi54&#10;bWxQSwECFAAUAAAACACHTuJAIwUTnTICAABjBAAADgAAAAAAAAABACAAAAAoAQAAZHJzL2Uyb0Rv&#10;Yy54bWxQSwUGAAAAAAYABgBZAQAAzAUAAAAA&#10;">
              <v:fill on="f" focussize="0,0"/>
              <v:stroke on="f" weight="0.5pt"/>
              <v:imagedata o:title=""/>
              <o:lock v:ext="edit" aspectratio="f"/>
              <v:textbox inset="0mm,0mm,0mm,0mm" style="mso-fit-shape-to-text:t;">
                <w:txbxContent>
                  <w:p w14:paraId="354AF944">
                    <w:pPr>
                      <w:pStyle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I</w:t>
                    </w:r>
                    <w:r>
                      <w:rPr>
                        <w:rFonts w:hint="eastAsia" w:asciiTheme="minorEastAsia" w:hAnsiTheme="minorEastAsia" w:eastAsiaTheme="minorEastAsia" w:cstheme="minor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FECD4">
    <w:pPr>
      <w:pStyle w:val="10"/>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56A75">
    <w:pPr>
      <w:pStyle w:val="10"/>
      <w:wordWrap w:val="0"/>
      <w:ind w:firstLine="360"/>
      <w:jc w:val="right"/>
      <w:rPr>
        <w:rFonts w:hint="default"/>
        <w:lang w:val="en-US"/>
      </w:rPr>
    </w:pPr>
    <w:r>
      <w:rPr>
        <w:rFonts w:hint="eastAsia" w:ascii="黑体" w:hAnsi="黑体" w:eastAsia="黑体" w:cs="黑体"/>
        <w:lang w:val="en-US"/>
      </w:rPr>
      <w:t>GB/T XXX-20XX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DF6B7"/>
    <w:multiLevelType w:val="multilevel"/>
    <w:tmpl w:val="802DF6B7"/>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26"/>
      <w:suff w:val="nothing"/>
      <w:lvlText w:val="%1%2　"/>
      <w:lvlJc w:val="left"/>
      <w:pPr>
        <w:ind w:left="0" w:leftChars="0" w:firstLine="0" w:firstLineChars="0"/>
      </w:pPr>
      <w:rPr>
        <w:rFonts w:hint="default" w:ascii="黑体" w:hAnsi="Times New Roman" w:eastAsia="黑体"/>
        <w:b w:val="0"/>
        <w:bCs/>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pStyle w:val="28"/>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0ADC53F1"/>
    <w:multiLevelType w:val="multilevel"/>
    <w:tmpl w:val="0ADC53F1"/>
    <w:lvl w:ilvl="0" w:tentative="0">
      <w:start w:val="1"/>
      <w:numFmt w:val="lowerLetter"/>
      <w:suff w:val="space"/>
      <w:lvlText w:val="%1）"/>
      <w:lvlJc w:val="left"/>
      <w:pPr>
        <w:ind w:left="-420" w:firstLine="0"/>
      </w:pPr>
      <w:rPr>
        <w:rFonts w:hint="default" w:ascii="Times New Roman" w:hAnsi="Times New Roman" w:cs="Times New Roman"/>
      </w:rPr>
    </w:lvl>
    <w:lvl w:ilvl="1" w:tentative="0">
      <w:start w:val="1"/>
      <w:numFmt w:val="decimal"/>
      <w:lvlText w:val="%2."/>
      <w:lvlJc w:val="left"/>
      <w:pPr>
        <w:tabs>
          <w:tab w:val="left" w:pos="1020"/>
        </w:tabs>
        <w:ind w:left="1020" w:hanging="360"/>
      </w:pPr>
    </w:lvl>
    <w:lvl w:ilvl="2" w:tentative="0">
      <w:start w:val="1"/>
      <w:numFmt w:val="decimal"/>
      <w:lvlText w:val="%3."/>
      <w:lvlJc w:val="left"/>
      <w:pPr>
        <w:tabs>
          <w:tab w:val="left" w:pos="1740"/>
        </w:tabs>
        <w:ind w:left="1740" w:hanging="360"/>
      </w:pPr>
    </w:lvl>
    <w:lvl w:ilvl="3" w:tentative="0">
      <w:start w:val="1"/>
      <w:numFmt w:val="decimal"/>
      <w:lvlText w:val="%4."/>
      <w:lvlJc w:val="left"/>
      <w:pPr>
        <w:tabs>
          <w:tab w:val="left" w:pos="2460"/>
        </w:tabs>
        <w:ind w:left="2460" w:hanging="360"/>
      </w:pPr>
    </w:lvl>
    <w:lvl w:ilvl="4" w:tentative="0">
      <w:start w:val="1"/>
      <w:numFmt w:val="decimal"/>
      <w:lvlText w:val="%5."/>
      <w:lvlJc w:val="left"/>
      <w:pPr>
        <w:tabs>
          <w:tab w:val="left" w:pos="3180"/>
        </w:tabs>
        <w:ind w:left="3180" w:hanging="360"/>
      </w:pPr>
    </w:lvl>
    <w:lvl w:ilvl="5" w:tentative="0">
      <w:start w:val="1"/>
      <w:numFmt w:val="decimal"/>
      <w:lvlText w:val="%6."/>
      <w:lvlJc w:val="left"/>
      <w:pPr>
        <w:tabs>
          <w:tab w:val="left" w:pos="3900"/>
        </w:tabs>
        <w:ind w:left="3900" w:hanging="360"/>
      </w:pPr>
    </w:lvl>
    <w:lvl w:ilvl="6" w:tentative="0">
      <w:start w:val="1"/>
      <w:numFmt w:val="decimal"/>
      <w:lvlText w:val="%7."/>
      <w:lvlJc w:val="left"/>
      <w:pPr>
        <w:tabs>
          <w:tab w:val="left" w:pos="4620"/>
        </w:tabs>
        <w:ind w:left="4620" w:hanging="360"/>
      </w:pPr>
    </w:lvl>
    <w:lvl w:ilvl="7" w:tentative="0">
      <w:start w:val="1"/>
      <w:numFmt w:val="decimal"/>
      <w:lvlText w:val="%8."/>
      <w:lvlJc w:val="left"/>
      <w:pPr>
        <w:tabs>
          <w:tab w:val="left" w:pos="5340"/>
        </w:tabs>
        <w:ind w:left="5340" w:hanging="360"/>
      </w:pPr>
    </w:lvl>
    <w:lvl w:ilvl="8" w:tentative="0">
      <w:start w:val="1"/>
      <w:numFmt w:val="decimal"/>
      <w:lvlText w:val="%9."/>
      <w:lvlJc w:val="left"/>
      <w:pPr>
        <w:tabs>
          <w:tab w:val="left" w:pos="6060"/>
        </w:tabs>
        <w:ind w:left="6060" w:hanging="360"/>
      </w:pPr>
    </w:lvl>
  </w:abstractNum>
  <w:abstractNum w:abstractNumId="2">
    <w:nsid w:val="44826CF9"/>
    <w:multiLevelType w:val="multilevel"/>
    <w:tmpl w:val="44826CF9"/>
    <w:lvl w:ilvl="0" w:tentative="0">
      <w:start w:val="1"/>
      <w:numFmt w:val="lowerLetter"/>
      <w:lvlText w:val="%1）"/>
      <w:lvlJc w:val="left"/>
      <w:pPr>
        <w:tabs>
          <w:tab w:val="left" w:pos="-30"/>
        </w:tabs>
        <w:ind w:left="-30" w:hanging="360"/>
      </w:pPr>
      <w:rPr>
        <w:rFonts w:hint="eastAsia" w:asciiTheme="minorEastAsia" w:hAnsiTheme="minorEastAsia" w:eastAsiaTheme="minorEastAsia"/>
      </w:rPr>
    </w:lvl>
    <w:lvl w:ilvl="1" w:tentative="0">
      <w:start w:val="1"/>
      <w:numFmt w:val="lowerLetter"/>
      <w:lvlText w:val="%2)"/>
      <w:lvlJc w:val="left"/>
      <w:pPr>
        <w:tabs>
          <w:tab w:val="left" w:pos="450"/>
        </w:tabs>
        <w:ind w:left="450" w:hanging="420"/>
      </w:pPr>
    </w:lvl>
    <w:lvl w:ilvl="2" w:tentative="0">
      <w:start w:val="1"/>
      <w:numFmt w:val="lowerRoman"/>
      <w:lvlText w:val="%3."/>
      <w:lvlJc w:val="right"/>
      <w:pPr>
        <w:tabs>
          <w:tab w:val="left" w:pos="870"/>
        </w:tabs>
        <w:ind w:left="870" w:hanging="420"/>
      </w:pPr>
    </w:lvl>
    <w:lvl w:ilvl="3" w:tentative="0">
      <w:start w:val="1"/>
      <w:numFmt w:val="decimal"/>
      <w:lvlText w:val="%4."/>
      <w:lvlJc w:val="left"/>
      <w:pPr>
        <w:tabs>
          <w:tab w:val="left" w:pos="1290"/>
        </w:tabs>
        <w:ind w:left="1290" w:hanging="420"/>
      </w:pPr>
    </w:lvl>
    <w:lvl w:ilvl="4" w:tentative="0">
      <w:start w:val="1"/>
      <w:numFmt w:val="lowerLetter"/>
      <w:lvlText w:val="%5)"/>
      <w:lvlJc w:val="left"/>
      <w:pPr>
        <w:tabs>
          <w:tab w:val="left" w:pos="1710"/>
        </w:tabs>
        <w:ind w:left="1710" w:hanging="420"/>
      </w:pPr>
    </w:lvl>
    <w:lvl w:ilvl="5" w:tentative="0">
      <w:start w:val="1"/>
      <w:numFmt w:val="lowerRoman"/>
      <w:lvlText w:val="%6."/>
      <w:lvlJc w:val="right"/>
      <w:pPr>
        <w:tabs>
          <w:tab w:val="left" w:pos="2130"/>
        </w:tabs>
        <w:ind w:left="2130" w:hanging="420"/>
      </w:pPr>
    </w:lvl>
    <w:lvl w:ilvl="6" w:tentative="0">
      <w:start w:val="1"/>
      <w:numFmt w:val="decimal"/>
      <w:lvlText w:val="%7."/>
      <w:lvlJc w:val="left"/>
      <w:pPr>
        <w:tabs>
          <w:tab w:val="left" w:pos="2550"/>
        </w:tabs>
        <w:ind w:left="2550" w:hanging="420"/>
      </w:pPr>
    </w:lvl>
    <w:lvl w:ilvl="7" w:tentative="0">
      <w:start w:val="1"/>
      <w:numFmt w:val="lowerLetter"/>
      <w:lvlText w:val="%8)"/>
      <w:lvlJc w:val="left"/>
      <w:pPr>
        <w:tabs>
          <w:tab w:val="left" w:pos="2970"/>
        </w:tabs>
        <w:ind w:left="2970" w:hanging="420"/>
      </w:pPr>
    </w:lvl>
    <w:lvl w:ilvl="8" w:tentative="0">
      <w:start w:val="1"/>
      <w:numFmt w:val="lowerRoman"/>
      <w:lvlText w:val="%9."/>
      <w:lvlJc w:val="right"/>
      <w:pPr>
        <w:tabs>
          <w:tab w:val="left" w:pos="3390"/>
        </w:tabs>
        <w:ind w:left="3390" w:hanging="420"/>
      </w:pPr>
    </w:lvl>
  </w:abstractNum>
  <w:abstractNum w:abstractNumId="3">
    <w:nsid w:val="69E95216"/>
    <w:multiLevelType w:val="multilevel"/>
    <w:tmpl w:val="69E95216"/>
    <w:lvl w:ilvl="0" w:tentative="0">
      <w:start w:val="3"/>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evenAndOddHeaders w:val="1"/>
  <w:drawingGridVerticalSpacing w:val="156"/>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FmZWIzNDg2MmIzZjExOTIzMmViNTBmYTMwYTk0ZWYifQ=="/>
    <w:docVar w:name="KSO_WPS_MARK_KEY" w:val="629379a8-6b9e-467d-8abc-66cbb7063839"/>
  </w:docVars>
  <w:rsids>
    <w:rsidRoot w:val="00E75915"/>
    <w:rsid w:val="00087128"/>
    <w:rsid w:val="00091D23"/>
    <w:rsid w:val="000F16C0"/>
    <w:rsid w:val="0010619E"/>
    <w:rsid w:val="001761C2"/>
    <w:rsid w:val="00305402"/>
    <w:rsid w:val="00383291"/>
    <w:rsid w:val="003A7355"/>
    <w:rsid w:val="004A2C18"/>
    <w:rsid w:val="00513685"/>
    <w:rsid w:val="00544FBB"/>
    <w:rsid w:val="00613C06"/>
    <w:rsid w:val="00642758"/>
    <w:rsid w:val="00652FBF"/>
    <w:rsid w:val="006B2D6B"/>
    <w:rsid w:val="007006C1"/>
    <w:rsid w:val="0071662B"/>
    <w:rsid w:val="00793E13"/>
    <w:rsid w:val="007B3C65"/>
    <w:rsid w:val="0088215D"/>
    <w:rsid w:val="008B259D"/>
    <w:rsid w:val="009B1B45"/>
    <w:rsid w:val="00AE2E42"/>
    <w:rsid w:val="00B55E61"/>
    <w:rsid w:val="00B569F8"/>
    <w:rsid w:val="00C31B38"/>
    <w:rsid w:val="00CA1276"/>
    <w:rsid w:val="00D40A8C"/>
    <w:rsid w:val="00E0733F"/>
    <w:rsid w:val="00E75915"/>
    <w:rsid w:val="00EA595A"/>
    <w:rsid w:val="00F0398B"/>
    <w:rsid w:val="00F36D49"/>
    <w:rsid w:val="00F37B4F"/>
    <w:rsid w:val="00F76C55"/>
    <w:rsid w:val="00FA1A60"/>
    <w:rsid w:val="00FC228F"/>
    <w:rsid w:val="05D84032"/>
    <w:rsid w:val="06A93AB7"/>
    <w:rsid w:val="0AFF2E86"/>
    <w:rsid w:val="0BBA0B5B"/>
    <w:rsid w:val="0E2624D8"/>
    <w:rsid w:val="108C211C"/>
    <w:rsid w:val="12C31A28"/>
    <w:rsid w:val="134A4EBA"/>
    <w:rsid w:val="1B1A34D0"/>
    <w:rsid w:val="1DA50F5B"/>
    <w:rsid w:val="1DB47B00"/>
    <w:rsid w:val="209C5113"/>
    <w:rsid w:val="23C91E2B"/>
    <w:rsid w:val="27F0531A"/>
    <w:rsid w:val="29FA2D3E"/>
    <w:rsid w:val="2BDCD187"/>
    <w:rsid w:val="2C650FCC"/>
    <w:rsid w:val="2E6F5655"/>
    <w:rsid w:val="2FBF62A9"/>
    <w:rsid w:val="30620866"/>
    <w:rsid w:val="31F167D5"/>
    <w:rsid w:val="37854E46"/>
    <w:rsid w:val="3A6F3958"/>
    <w:rsid w:val="411B3E30"/>
    <w:rsid w:val="42AB49A2"/>
    <w:rsid w:val="44660ABD"/>
    <w:rsid w:val="4E292E9C"/>
    <w:rsid w:val="4E516B22"/>
    <w:rsid w:val="52C04276"/>
    <w:rsid w:val="533D34A1"/>
    <w:rsid w:val="5CBE308E"/>
    <w:rsid w:val="5DFF067A"/>
    <w:rsid w:val="5E92596B"/>
    <w:rsid w:val="5F423745"/>
    <w:rsid w:val="5FBE519B"/>
    <w:rsid w:val="66D47DD8"/>
    <w:rsid w:val="6F05105F"/>
    <w:rsid w:val="79A45E6A"/>
    <w:rsid w:val="7CDC721E"/>
    <w:rsid w:val="7E410CCA"/>
    <w:rsid w:val="7EF26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20" w:firstLineChars="20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3"/>
    <w:link w:val="29"/>
    <w:qFormat/>
    <w:uiPriority w:val="0"/>
    <w:pPr>
      <w:keepLines/>
      <w:adjustRightInd w:val="0"/>
      <w:spacing w:before="120" w:after="120"/>
      <w:ind w:firstLine="0" w:firstLineChars="0"/>
      <w:jc w:val="left"/>
      <w:textAlignment w:val="baseline"/>
      <w:outlineLvl w:val="0"/>
    </w:pPr>
    <w:rPr>
      <w:rFonts w:ascii="黑体" w:hAnsi="黑体" w:eastAsia="黑体" w:cs="Times New Roman"/>
      <w:kern w:val="0"/>
      <w:sz w:val="21"/>
      <w:szCs w:val="20"/>
    </w:rPr>
  </w:style>
  <w:style w:type="paragraph" w:styleId="5">
    <w:name w:val="heading 2"/>
    <w:basedOn w:val="1"/>
    <w:next w:val="1"/>
    <w:link w:val="36"/>
    <w:unhideWhenUsed/>
    <w:qFormat/>
    <w:uiPriority w:val="0"/>
    <w:pPr>
      <w:keepNext/>
      <w:keepLines/>
      <w:spacing w:line="360" w:lineRule="auto"/>
      <w:ind w:firstLine="0" w:firstLineChars="0"/>
      <w:outlineLvl w:val="1"/>
    </w:pPr>
    <w:rPr>
      <w:rFonts w:ascii="Times New Roman" w:hAnsi="Times New Roman" w:eastAsia="黑体" w:cstheme="majorBidi"/>
      <w:bCs/>
      <w:szCs w:val="32"/>
    </w:rPr>
  </w:style>
  <w:style w:type="paragraph" w:styleId="6">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Body Text First Indent"/>
    <w:basedOn w:val="4"/>
    <w:link w:val="25"/>
    <w:qFormat/>
    <w:uiPriority w:val="0"/>
    <w:pPr>
      <w:adjustRightInd w:val="0"/>
      <w:spacing w:after="0"/>
      <w:jc w:val="left"/>
      <w:textAlignment w:val="baseline"/>
    </w:pPr>
    <w:rPr>
      <w:rFonts w:ascii="Times New Roman" w:hAnsi="Times New Roman" w:eastAsia="宋体" w:cs="Times New Roman"/>
      <w:kern w:val="0"/>
      <w:szCs w:val="21"/>
    </w:rPr>
  </w:style>
  <w:style w:type="paragraph" w:styleId="4">
    <w:name w:val="Body Text"/>
    <w:basedOn w:val="1"/>
    <w:link w:val="24"/>
    <w:qFormat/>
    <w:uiPriority w:val="0"/>
    <w:pPr>
      <w:spacing w:after="120"/>
    </w:pPr>
  </w:style>
  <w:style w:type="paragraph" w:styleId="7">
    <w:name w:val="annotation text"/>
    <w:basedOn w:val="1"/>
    <w:link w:val="32"/>
    <w:qFormat/>
    <w:uiPriority w:val="0"/>
    <w:pPr>
      <w:jc w:val="left"/>
    </w:pPr>
  </w:style>
  <w:style w:type="paragraph" w:styleId="8">
    <w:name w:val="toc 3"/>
    <w:basedOn w:val="1"/>
    <w:next w:val="1"/>
    <w:qFormat/>
    <w:uiPriority w:val="0"/>
    <w:pPr>
      <w:ind w:left="840" w:leftChars="400"/>
    </w:pPr>
  </w:style>
  <w:style w:type="paragraph" w:styleId="9">
    <w:name w:val="footer"/>
    <w:basedOn w:val="1"/>
    <w:link w:val="23"/>
    <w:qFormat/>
    <w:uiPriority w:val="0"/>
    <w:pPr>
      <w:tabs>
        <w:tab w:val="center" w:pos="4153"/>
        <w:tab w:val="right" w:pos="8306"/>
      </w:tabs>
      <w:snapToGrid w:val="0"/>
      <w:jc w:val="left"/>
    </w:pPr>
    <w:rPr>
      <w:sz w:val="18"/>
      <w:szCs w:val="18"/>
    </w:rPr>
  </w:style>
  <w:style w:type="paragraph" w:styleId="10">
    <w:name w:val="header"/>
    <w:basedOn w:val="1"/>
    <w:link w:val="22"/>
    <w:qFormat/>
    <w:uiPriority w:val="0"/>
    <w:pP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Title"/>
    <w:basedOn w:val="1"/>
    <w:next w:val="1"/>
    <w:link w:val="35"/>
    <w:qFormat/>
    <w:uiPriority w:val="0"/>
    <w:pPr>
      <w:spacing w:before="240" w:after="60"/>
      <w:jc w:val="center"/>
      <w:outlineLvl w:val="0"/>
    </w:pPr>
    <w:rPr>
      <w:rFonts w:asciiTheme="majorHAnsi" w:hAnsiTheme="majorHAnsi" w:eastAsiaTheme="majorEastAsia" w:cstheme="majorBidi"/>
      <w:b/>
      <w:bCs/>
      <w:sz w:val="32"/>
      <w:szCs w:val="32"/>
    </w:rPr>
  </w:style>
  <w:style w:type="paragraph" w:styleId="14">
    <w:name w:val="annotation subject"/>
    <w:basedOn w:val="7"/>
    <w:next w:val="7"/>
    <w:link w:val="33"/>
    <w:qFormat/>
    <w:uiPriority w:val="0"/>
    <w:rPr>
      <w:b/>
      <w:bCs/>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qFormat/>
    <w:uiPriority w:val="0"/>
    <w:rPr>
      <w:rFonts w:ascii="Times New Roman" w:hAnsi="Times New Roman" w:eastAsia="宋体"/>
      <w:sz w:val="18"/>
    </w:rPr>
  </w:style>
  <w:style w:type="character" w:styleId="19">
    <w:name w:val="annotation reference"/>
    <w:basedOn w:val="17"/>
    <w:qFormat/>
    <w:uiPriority w:val="0"/>
    <w:rPr>
      <w:sz w:val="21"/>
      <w:szCs w:val="21"/>
    </w:rPr>
  </w:style>
  <w:style w:type="table" w:customStyle="1" w:styleId="20">
    <w:name w:val="网格型4"/>
    <w:basedOn w:val="15"/>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font11"/>
    <w:basedOn w:val="17"/>
    <w:qFormat/>
    <w:uiPriority w:val="0"/>
    <w:rPr>
      <w:rFonts w:hint="eastAsia" w:ascii="宋体" w:hAnsi="宋体" w:eastAsia="宋体" w:cs="宋体"/>
      <w:color w:val="000000"/>
      <w:sz w:val="20"/>
      <w:szCs w:val="20"/>
      <w:u w:val="none"/>
    </w:rPr>
  </w:style>
  <w:style w:type="character" w:customStyle="1" w:styleId="22">
    <w:name w:val="页眉 字符"/>
    <w:basedOn w:val="17"/>
    <w:link w:val="10"/>
    <w:qFormat/>
    <w:uiPriority w:val="0"/>
    <w:rPr>
      <w:rFonts w:asciiTheme="minorHAnsi" w:hAnsiTheme="minorHAnsi" w:eastAsiaTheme="minorEastAsia" w:cstheme="minorBidi"/>
      <w:kern w:val="2"/>
      <w:sz w:val="18"/>
      <w:szCs w:val="18"/>
    </w:rPr>
  </w:style>
  <w:style w:type="character" w:customStyle="1" w:styleId="23">
    <w:name w:val="页脚 字符"/>
    <w:basedOn w:val="17"/>
    <w:link w:val="9"/>
    <w:qFormat/>
    <w:uiPriority w:val="0"/>
    <w:rPr>
      <w:rFonts w:asciiTheme="minorHAnsi" w:hAnsiTheme="minorHAnsi" w:eastAsiaTheme="minorEastAsia" w:cstheme="minorBidi"/>
      <w:kern w:val="2"/>
      <w:sz w:val="18"/>
      <w:szCs w:val="18"/>
    </w:rPr>
  </w:style>
  <w:style w:type="character" w:customStyle="1" w:styleId="24">
    <w:name w:val="正文文本 字符"/>
    <w:basedOn w:val="17"/>
    <w:link w:val="4"/>
    <w:qFormat/>
    <w:uiPriority w:val="0"/>
    <w:rPr>
      <w:rFonts w:asciiTheme="minorHAnsi" w:hAnsiTheme="minorHAnsi" w:eastAsiaTheme="minorEastAsia" w:cstheme="minorBidi"/>
      <w:kern w:val="2"/>
      <w:sz w:val="21"/>
      <w:szCs w:val="24"/>
    </w:rPr>
  </w:style>
  <w:style w:type="character" w:customStyle="1" w:styleId="25">
    <w:name w:val="正文文本首行缩进 字符"/>
    <w:basedOn w:val="24"/>
    <w:link w:val="3"/>
    <w:qFormat/>
    <w:uiPriority w:val="0"/>
    <w:rPr>
      <w:rFonts w:asciiTheme="minorHAnsi" w:hAnsiTheme="minorHAnsi" w:eastAsiaTheme="minorEastAsia" w:cstheme="minorBidi"/>
      <w:kern w:val="2"/>
      <w:sz w:val="21"/>
      <w:szCs w:val="21"/>
    </w:rPr>
  </w:style>
  <w:style w:type="paragraph" w:customStyle="1" w:styleId="26">
    <w:name w:val="章标题"/>
    <w:next w:val="27"/>
    <w:autoRedefine/>
    <w:qFormat/>
    <w:uiPriority w:val="0"/>
    <w:pPr>
      <w:numPr>
        <w:ilvl w:val="1"/>
        <w:numId w:val="1"/>
      </w:numPr>
      <w:spacing w:beforeLines="50" w:afterLines="50"/>
      <w:ind w:left="0"/>
      <w:jc w:val="both"/>
      <w:outlineLvl w:val="1"/>
    </w:pPr>
    <w:rPr>
      <w:rFonts w:ascii="黑体" w:hAnsi="Calibri" w:eastAsia="黑体" w:cs="黑体"/>
      <w:sz w:val="21"/>
      <w:lang w:val="en-US" w:eastAsia="zh-CN" w:bidi="ar-SA"/>
    </w:rPr>
  </w:style>
  <w:style w:type="paragraph" w:customStyle="1" w:styleId="2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8">
    <w:name w:val="二级条标题"/>
    <w:basedOn w:val="1"/>
    <w:next w:val="27"/>
    <w:autoRedefine/>
    <w:qFormat/>
    <w:uiPriority w:val="99"/>
    <w:pPr>
      <w:widowControl/>
      <w:numPr>
        <w:ilvl w:val="3"/>
        <w:numId w:val="1"/>
      </w:numPr>
      <w:spacing w:beforeLines="50" w:afterLines="50"/>
      <w:ind w:firstLineChars="0"/>
      <w:jc w:val="left"/>
      <w:outlineLvl w:val="3"/>
    </w:pPr>
    <w:rPr>
      <w:rFonts w:ascii="黑体" w:hAnsi="Times New Roman" w:eastAsia="黑体" w:cs="Times New Roman"/>
      <w:kern w:val="0"/>
      <w:szCs w:val="21"/>
    </w:rPr>
  </w:style>
  <w:style w:type="character" w:customStyle="1" w:styleId="29">
    <w:name w:val="标题 1 字符"/>
    <w:basedOn w:val="17"/>
    <w:link w:val="2"/>
    <w:qFormat/>
    <w:uiPriority w:val="0"/>
    <w:rPr>
      <w:rFonts w:ascii="黑体" w:hAnsi="黑体" w:eastAsia="黑体"/>
      <w:sz w:val="21"/>
    </w:rPr>
  </w:style>
  <w:style w:type="table" w:customStyle="1" w:styleId="30">
    <w:name w:val="网格型1"/>
    <w:basedOn w:val="15"/>
    <w:qFormat/>
    <w:uiPriority w:val="0"/>
    <w:pPr>
      <w:widowControl w:val="0"/>
      <w:adjustRightInd w:val="0"/>
      <w:spacing w:line="36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
    <w:name w:val="无格式表格 21"/>
    <w:basedOn w:val="15"/>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32">
    <w:name w:val="批注文字 字符"/>
    <w:basedOn w:val="17"/>
    <w:link w:val="7"/>
    <w:qFormat/>
    <w:uiPriority w:val="0"/>
    <w:rPr>
      <w:rFonts w:asciiTheme="minorHAnsi" w:hAnsiTheme="minorHAnsi" w:eastAsiaTheme="minorEastAsia" w:cstheme="minorBidi"/>
      <w:kern w:val="2"/>
      <w:sz w:val="21"/>
      <w:szCs w:val="24"/>
    </w:rPr>
  </w:style>
  <w:style w:type="character" w:customStyle="1" w:styleId="33">
    <w:name w:val="批注主题 字符"/>
    <w:basedOn w:val="32"/>
    <w:link w:val="14"/>
    <w:qFormat/>
    <w:uiPriority w:val="0"/>
    <w:rPr>
      <w:rFonts w:asciiTheme="minorHAnsi" w:hAnsiTheme="minorHAnsi" w:eastAsiaTheme="minorEastAsia" w:cstheme="minorBidi"/>
      <w:b/>
      <w:bCs/>
      <w:kern w:val="2"/>
      <w:sz w:val="21"/>
      <w:szCs w:val="24"/>
    </w:rPr>
  </w:style>
  <w:style w:type="paragraph" w:styleId="34">
    <w:name w:val="List Paragraph"/>
    <w:basedOn w:val="1"/>
    <w:unhideWhenUsed/>
    <w:qFormat/>
    <w:uiPriority w:val="99"/>
    <w:pPr>
      <w:widowControl/>
      <w:jc w:val="left"/>
    </w:pPr>
    <w:rPr>
      <w:rFonts w:ascii="Times New Roman" w:hAnsi="Times New Roman" w:eastAsia="宋体" w:cs="Times New Roman"/>
      <w:kern w:val="0"/>
      <w:sz w:val="20"/>
      <w:szCs w:val="20"/>
    </w:rPr>
  </w:style>
  <w:style w:type="character" w:customStyle="1" w:styleId="35">
    <w:name w:val="标题 字符"/>
    <w:basedOn w:val="17"/>
    <w:link w:val="13"/>
    <w:qFormat/>
    <w:uiPriority w:val="0"/>
    <w:rPr>
      <w:rFonts w:asciiTheme="majorHAnsi" w:hAnsiTheme="majorHAnsi" w:eastAsiaTheme="majorEastAsia" w:cstheme="majorBidi"/>
      <w:b/>
      <w:bCs/>
      <w:kern w:val="2"/>
      <w:sz w:val="32"/>
      <w:szCs w:val="32"/>
    </w:rPr>
  </w:style>
  <w:style w:type="character" w:customStyle="1" w:styleId="36">
    <w:name w:val="标题 2 字符"/>
    <w:basedOn w:val="17"/>
    <w:link w:val="5"/>
    <w:qFormat/>
    <w:uiPriority w:val="0"/>
    <w:rPr>
      <w:rFonts w:eastAsia="黑体" w:cstheme="majorBidi"/>
      <w:bCs/>
      <w:kern w:val="2"/>
      <w:sz w:val="21"/>
      <w:szCs w:val="32"/>
    </w:rPr>
  </w:style>
  <w:style w:type="paragraph" w:customStyle="1" w:styleId="37">
    <w:name w:val="封面正文"/>
    <w:qFormat/>
    <w:uiPriority w:val="0"/>
    <w:pPr>
      <w:jc w:val="both"/>
    </w:pPr>
    <w:rPr>
      <w:rFonts w:ascii="Times New Roman" w:hAnsi="Times New Roman" w:eastAsia="宋体" w:cs="Times New Roman"/>
      <w:lang w:val="en-US" w:eastAsia="zh-CN" w:bidi="ar-SA"/>
    </w:rPr>
  </w:style>
  <w:style w:type="paragraph" w:customStyle="1" w:styleId="38">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3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40">
    <w:name w:val="其他发布部门"/>
    <w:basedOn w:val="41"/>
    <w:qFormat/>
    <w:uiPriority w:val="0"/>
    <w:pPr>
      <w:spacing w:line="0" w:lineRule="atLeast"/>
    </w:pPr>
    <w:rPr>
      <w:rFonts w:ascii="黑体" w:eastAsia="黑体"/>
      <w:b w:val="0"/>
    </w:rPr>
  </w:style>
  <w:style w:type="paragraph" w:customStyle="1" w:styleId="41">
    <w:name w:val="发布部门"/>
    <w:next w:val="27"/>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character" w:customStyle="1" w:styleId="42">
    <w:name w:val="发布"/>
    <w:qFormat/>
    <w:uiPriority w:val="0"/>
    <w:rPr>
      <w:rFonts w:ascii="黑体" w:eastAsia="黑体"/>
      <w:spacing w:val="22"/>
      <w:w w:val="100"/>
      <w:position w:val="3"/>
      <w:sz w:val="28"/>
    </w:rPr>
  </w:style>
  <w:style w:type="paragraph" w:customStyle="1" w:styleId="43">
    <w:name w:val="实施日期"/>
    <w:basedOn w:val="44"/>
    <w:qFormat/>
    <w:uiPriority w:val="0"/>
    <w:pPr>
      <w:framePr w:hSpace="0" w:xAlign="right"/>
      <w:jc w:val="right"/>
    </w:pPr>
  </w:style>
  <w:style w:type="paragraph" w:customStyle="1" w:styleId="4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45">
    <w:name w:val="篇"/>
    <w:basedOn w:val="1"/>
    <w:next w:val="1"/>
    <w:qFormat/>
    <w:uiPriority w:val="0"/>
    <w:pPr>
      <w:adjustRightInd w:val="0"/>
      <w:spacing w:line="360" w:lineRule="atLeast"/>
      <w:jc w:val="center"/>
    </w:pPr>
    <w:rPr>
      <w:rFonts w:eastAsia="黑体"/>
      <w:kern w:val="0"/>
      <w:sz w:val="24"/>
      <w:szCs w:val="20"/>
    </w:rPr>
  </w:style>
  <w:style w:type="paragraph" w:customStyle="1" w:styleId="46">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4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48">
    <w:name w:val="封面标准号2"/>
    <w:basedOn w:val="49"/>
    <w:qFormat/>
    <w:uiPriority w:val="0"/>
    <w:pPr>
      <w:framePr w:w="9138" w:h="1244" w:hRule="exact" w:wrap="around" w:vAnchor="page" w:hAnchor="margin" w:y="2908"/>
      <w:adjustRightInd w:val="0"/>
      <w:spacing w:before="357" w:line="280" w:lineRule="exact"/>
    </w:pPr>
  </w:style>
  <w:style w:type="paragraph" w:customStyle="1" w:styleId="49">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51">
    <w:name w:val="标准书眉_偶数页"/>
    <w:basedOn w:val="52"/>
    <w:next w:val="1"/>
    <w:qFormat/>
    <w:uiPriority w:val="0"/>
    <w:pPr>
      <w:tabs>
        <w:tab w:val="center" w:pos="4154"/>
        <w:tab w:val="right" w:pos="8306"/>
      </w:tabs>
      <w:jc w:val="left"/>
    </w:pPr>
  </w:style>
  <w:style w:type="paragraph" w:customStyle="1" w:styleId="52">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53">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56">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替换文件编号"/>
    <w:basedOn w:val="55"/>
    <w:qFormat/>
    <w:uiPriority w:val="0"/>
    <w:pPr>
      <w:spacing w:before="57"/>
    </w:pPr>
    <w:rPr>
      <w:sz w:val="21"/>
    </w:rPr>
  </w:style>
  <w:style w:type="paragraph" w:customStyle="1" w:styleId="58">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5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60">
    <w:name w:val="其他发布日期"/>
    <w:basedOn w:val="44"/>
    <w:qFormat/>
    <w:uiPriority w:val="0"/>
    <w:pPr>
      <w:framePr w:w="3997" w:h="471" w:hRule="exact" w:hSpace="0" w:vSpace="181" w:wrap="around" w:vAnchor="page" w:hAnchor="page" w:x="1419" w:y="14097"/>
    </w:pPr>
  </w:style>
  <w:style w:type="paragraph" w:customStyle="1" w:styleId="61">
    <w:name w:val="其他实施日期"/>
    <w:basedOn w:val="43"/>
    <w:qFormat/>
    <w:uiPriority w:val="0"/>
    <w:pPr>
      <w:framePr w:w="3997" w:h="471" w:hRule="exact" w:vSpace="181" w:wrap="around" w:vAnchor="page" w:hAnchor="page" w:x="7089" w:y="14097"/>
    </w:pPr>
  </w:style>
  <w:style w:type="paragraph" w:customStyle="1" w:styleId="62">
    <w:name w:val="Table Paragraph"/>
    <w:basedOn w:val="1"/>
    <w:qFormat/>
    <w:uiPriority w:val="1"/>
    <w:pPr>
      <w:jc w:val="center"/>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tiff"/><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3498</Words>
  <Characters>4132</Characters>
  <Lines>28</Lines>
  <Paragraphs>7</Paragraphs>
  <TotalTime>1</TotalTime>
  <ScaleCrop>false</ScaleCrop>
  <LinksUpToDate>false</LinksUpToDate>
  <CharactersWithSpaces>4282</CharactersWithSpaces>
  <Application>WPS Office_12.1.0.23122_F1E327BC-269C-435d-A152-05C5408002CA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2024-08-22T23:14:00Z</dcterms:created>
  <dc:creator>13793</dc:creator>
  <cp:lastModifiedBy>樊赣湘</cp:lastModifiedBy>
  <dcterms:modified xsi:type="dcterms:W3CDTF">2026-08-17T09:02:03Z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2052-12.1.0.23122</vt:lpwstr>
  </property>
  <property fmtid="{D5CDD505-2E9C-101B-9397-08002B2CF9AE}" pid="3" name="ICV">
    <vt:lpwstr>6281406C18C54263806A31AF18A5A987</vt:lpwstr>
  </property>
  <property fmtid="{D5CDD505-2E9C-101B-9397-08002B2CF9AE}" pid="4" name="KSOTemplateDocerSaveRecord">
    <vt:lpwstr>eyJoZGlkIjoiMjJhNDg4MTAyZGQxZmY5OGVlZWQ5M2Y2NDY4MDBlMWMiLCJ1c2VySWQiOiIxNDkzNzg0NzAzIn0=</vt:lpwstr>
  </property>
</Properties>
</file>