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DA546E">
      <w:pPr>
        <w:pStyle w:val="108"/>
        <w:rPr>
          <w:rFonts w:hint="default" w:ascii="Times New Roman" w:hAnsi="Times New Roman" w:cs="Times New Roman"/>
          <w:highlight w:val="none"/>
        </w:rPr>
        <w:sectPr>
          <w:headerReference r:id="rId9" w:type="first"/>
          <w:footerReference r:id="rId12" w:type="first"/>
          <w:headerReference r:id="rId7" w:type="default"/>
          <w:footerReference r:id="rId10" w:type="default"/>
          <w:headerReference r:id="rId8" w:type="even"/>
          <w:footerReference r:id="rId11" w:type="even"/>
          <w:pgSz w:w="11907" w:h="16839"/>
          <w:pgMar w:top="567" w:right="851" w:bottom="1418" w:left="1418" w:header="1134" w:footer="851" w:gutter="0"/>
          <w:pgNumType w:start="1"/>
          <w:cols w:space="720" w:num="1"/>
          <w:titlePg/>
          <w:docGrid w:type="lines" w:linePitch="312" w:charSpace="0"/>
        </w:sectPr>
      </w:pPr>
      <w:bookmarkStart w:id="0" w:name="SectionMark0"/>
      <w:r>
        <w:rPr>
          <w:rFonts w:hint="default" w:ascii="Times New Roman" w:hAnsi="Times New Roman" w:cs="Times New Roman"/>
          <w:highlight w:val="none"/>
        </w:rPr>
        <mc:AlternateContent>
          <mc:Choice Requires="wps">
            <w:drawing>
              <wp:anchor distT="0" distB="0" distL="114300" distR="114300" simplePos="0" relativeHeight="251666432" behindDoc="0" locked="0" layoutInCell="1" allowOverlap="1">
                <wp:simplePos x="0" y="0"/>
                <wp:positionH relativeFrom="column">
                  <wp:posOffset>-17145</wp:posOffset>
                </wp:positionH>
                <wp:positionV relativeFrom="paragraph">
                  <wp:posOffset>8498205</wp:posOffset>
                </wp:positionV>
                <wp:extent cx="6121400" cy="0"/>
                <wp:effectExtent l="11430" t="11430" r="10795" b="7620"/>
                <wp:wrapNone/>
                <wp:docPr id="19" name="直接连接符 19"/>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800008"/>
                          </a:solidFill>
                          <a:round/>
                        </a:ln>
                      </wps:spPr>
                      <wps:bodyPr/>
                    </wps:wsp>
                  </a:graphicData>
                </a:graphic>
              </wp:anchor>
            </w:drawing>
          </mc:Choice>
          <mc:Fallback>
            <w:pict>
              <v:line id="_x0000_s1026" o:spid="_x0000_s1026" o:spt="20" style="position:absolute;left:0pt;margin-left:-1.35pt;margin-top:669.15pt;height:0pt;width:482pt;z-index:251666432;mso-width-relative:page;mso-height-relative:page;" filled="f" stroked="t" coordsize="21600,21600" o:gfxdata="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jbQ0xdcAAAAM&#10;AQAADwAAAAAAAAABACAAAAAiAAAAZHJzL2Rvd25yZXYueG1sUEsBAhQAFAAAAAgAh07iQJ5HEg3k&#10;AQAArQMAAA4AAAAAAAAAAQAgAAAAJgEAAGRycy9lMm9Eb2MueG1sUEsFBgAAAAAGAAYAWQEAAHwF&#10;AAAAAA==&#10;">
                <v:fill on="f" focussize="0,0"/>
                <v:stroke weight="1pt" color="#800008" joinstyle="round"/>
                <v:imagedata o:title=""/>
                <o:lock v:ext="edit" aspectratio="f"/>
              </v:line>
            </w:pict>
          </mc:Fallback>
        </mc:AlternateContent>
      </w:r>
      <w:r>
        <w:rPr>
          <w:rFonts w:hint="default" w:ascii="Times New Roman" w:hAnsi="Times New Roman" w:cs="Times New Roman"/>
          <w:highlight w:val="none"/>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1835150</wp:posOffset>
                </wp:positionV>
                <wp:extent cx="6121400" cy="0"/>
                <wp:effectExtent l="9525" t="6350" r="12700" b="12700"/>
                <wp:wrapNone/>
                <wp:docPr id="18" name="直接连接符 18"/>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800008"/>
                          </a:solidFill>
                          <a:round/>
                        </a:ln>
                      </wps:spPr>
                      <wps:bodyPr/>
                    </wps:wsp>
                  </a:graphicData>
                </a:graphic>
              </wp:anchor>
            </w:drawing>
          </mc:Choice>
          <mc:Fallback>
            <w:pict>
              <v:line id="_x0000_s1026" o:spid="_x0000_s1026" o:spt="20" style="position:absolute;left:0pt;margin-left:0pt;margin-top:144.5pt;height:0pt;width:482pt;z-index:251665408;mso-width-relative:page;mso-height-relative:page;" filled="f" stroked="t" coordsize="21600,21600" o:gfxdata="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PgO9/DUAAAACAEA&#10;AA8AAAAAAAAAAQAgAAAAIgAAAGRycy9kb3ducmV2LnhtbFBLAQIUABQAAAAIAIdO4kBL0J/F5QEA&#10;AK0DAAAOAAAAAAAAAAEAIAAAACMBAABkcnMvZTJvRG9jLnhtbFBLBQYAAAAABgAGAFkBAAB6BQAA&#10;AAA=&#10;">
                <v:fill on="f" focussize="0,0"/>
                <v:stroke weight="1pt" color="#800008" joinstyle="round"/>
                <v:imagedata o:title=""/>
                <o:lock v:ext="edit" aspectratio="f"/>
              </v:line>
            </w:pict>
          </mc:Fallback>
        </mc:AlternateContent>
      </w:r>
      <w:r>
        <w:rPr>
          <w:rFonts w:hint="default" w:ascii="Times New Roman" w:hAnsi="Times New Roman" w:cs="Times New Roman"/>
          <w:highlight w:val="none"/>
        </w:rPr>
        <mc:AlternateContent>
          <mc:Choice Requires="wps">
            <w:drawing>
              <wp:anchor distT="0" distB="0" distL="114300" distR="114300" simplePos="0" relativeHeight="251664384" behindDoc="0" locked="1" layoutInCell="1" allowOverlap="1">
                <wp:simplePos x="0" y="0"/>
                <wp:positionH relativeFrom="margin">
                  <wp:posOffset>-552450</wp:posOffset>
                </wp:positionH>
                <wp:positionV relativeFrom="margin">
                  <wp:posOffset>8658860</wp:posOffset>
                </wp:positionV>
                <wp:extent cx="6858000" cy="512445"/>
                <wp:effectExtent l="0" t="635" r="0" b="1270"/>
                <wp:wrapNone/>
                <wp:docPr id="17" name="文本框 17"/>
                <wp:cNvGraphicFramePr/>
                <a:graphic xmlns:a="http://schemas.openxmlformats.org/drawingml/2006/main">
                  <a:graphicData uri="http://schemas.microsoft.com/office/word/2010/wordprocessingShape">
                    <wps:wsp>
                      <wps:cNvSpPr txBox="1">
                        <a:spLocks noChangeArrowheads="1"/>
                      </wps:cNvSpPr>
                      <wps:spPr bwMode="auto">
                        <a:xfrm>
                          <a:off x="0" y="0"/>
                          <a:ext cx="6858000" cy="512445"/>
                        </a:xfrm>
                        <a:prstGeom prst="rect">
                          <a:avLst/>
                        </a:prstGeom>
                        <a:solidFill>
                          <a:srgbClr val="FFFFFF"/>
                        </a:solidFill>
                        <a:ln>
                          <a:noFill/>
                        </a:ln>
                      </wps:spPr>
                      <wps:txbx>
                        <w:txbxContent>
                          <w:p w14:paraId="1534DA57">
                            <w:pPr>
                              <w:spacing w:line="440" w:lineRule="exact"/>
                              <w:jc w:val="center"/>
                              <w:rPr>
                                <w:b/>
                                <w:bCs/>
                                <w:spacing w:val="20"/>
                                <w:sz w:val="44"/>
                              </w:rPr>
                            </w:pPr>
                            <w:r>
                              <w:rPr>
                                <w:rFonts w:hint="eastAsia" w:ascii="宋体" w:hAnsi="宋体"/>
                                <w:b/>
                                <w:bCs/>
                                <w:snapToGrid w:val="0"/>
                                <w:spacing w:val="20"/>
                                <w:kern w:val="0"/>
                                <w:sz w:val="40"/>
                                <w:szCs w:val="40"/>
                              </w:rPr>
                              <w:t>中华人民共和国工业和信息化部</w:t>
                            </w:r>
                            <w:r>
                              <w:rPr>
                                <w:rFonts w:hint="eastAsia" w:ascii="宋体" w:hAnsi="宋体"/>
                                <w:b/>
                                <w:spacing w:val="20"/>
                                <w:sz w:val="28"/>
                              </w:rPr>
                              <w:t>发布</w:t>
                            </w:r>
                          </w:p>
                          <w:p w14:paraId="38CB5EFD">
                            <w:pPr>
                              <w:pStyle w:val="2"/>
                              <w:jc w:val="center"/>
                              <w:rPr>
                                <w:szCs w:val="32"/>
                              </w:rPr>
                            </w:pPr>
                          </w:p>
                          <w:p w14:paraId="315BB1E7">
                            <w:pPr>
                              <w:rPr>
                                <w:szCs w:val="32"/>
                              </w:rPr>
                            </w:pPr>
                          </w:p>
                          <w:p w14:paraId="075EF96B"/>
                          <w:p w14:paraId="77B30D61">
                            <w:pPr>
                              <w:spacing w:line="440" w:lineRule="exact"/>
                              <w:jc w:val="center"/>
                              <w:rPr>
                                <w:b/>
                                <w:bCs/>
                                <w:spacing w:val="20"/>
                                <w:sz w:val="44"/>
                              </w:rPr>
                            </w:pPr>
                            <w:r>
                              <w:rPr>
                                <w:rFonts w:hint="eastAsia" w:ascii="宋体" w:hAnsi="宋体"/>
                                <w:b/>
                                <w:bCs/>
                                <w:snapToGrid w:val="0"/>
                                <w:spacing w:val="20"/>
                                <w:kern w:val="0"/>
                                <w:sz w:val="40"/>
                                <w:szCs w:val="40"/>
                              </w:rPr>
                              <w:t>息化部</w:t>
                            </w:r>
                            <w:r>
                              <w:rPr>
                                <w:rFonts w:hint="eastAsia" w:ascii="宋体" w:hAnsi="宋体"/>
                                <w:b/>
                                <w:spacing w:val="20"/>
                                <w:sz w:val="28"/>
                              </w:rPr>
                              <w:t>发布</w:t>
                            </w:r>
                          </w:p>
                          <w:p w14:paraId="6FB8C6E4">
                            <w:pPr>
                              <w:pStyle w:val="2"/>
                              <w:jc w:val="center"/>
                              <w:rPr>
                                <w:szCs w:val="32"/>
                              </w:rPr>
                            </w:pPr>
                          </w:p>
                          <w:p w14:paraId="69554677">
                            <w:pPr>
                              <w:rPr>
                                <w:szCs w:val="32"/>
                              </w:rPr>
                            </w:pP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43.5pt;margin-top:681.8pt;height:40.35pt;width:540pt;mso-position-horizontal-relative:margin;mso-position-vertical-relative:margin;z-index:251664384;mso-width-relative:page;mso-height-relative:page;" fillcolor="#FFFFFF" filled="t" stroked="f" coordsize="21600,21600" o:gfxdata="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CPRSotsAAAANAQAADwAAAAAAAAABACAAAAAiAAAAZHJzL2Rvd25yZXYueG1sUEsBAhQAFAAAAAgA&#10;h07iQHJ/l/AiAgAAMAQAAA4AAAAAAAAAAQAgAAAAKgEAAGRycy9lMm9Eb2MueG1sUEsFBgAAAAAG&#10;AAYAWQEAAL4FAAAAAA==&#10;">
                <v:fill on="t" focussize="0,0"/>
                <v:stroke on="f"/>
                <v:imagedata o:title=""/>
                <o:lock v:ext="edit" aspectratio="f"/>
                <v:textbox inset="0mm,0mm,0mm,0mm">
                  <w:txbxContent>
                    <w:p w14:paraId="1534DA57">
                      <w:pPr>
                        <w:spacing w:line="440" w:lineRule="exact"/>
                        <w:jc w:val="center"/>
                        <w:rPr>
                          <w:b/>
                          <w:bCs/>
                          <w:spacing w:val="20"/>
                          <w:sz w:val="44"/>
                        </w:rPr>
                      </w:pPr>
                      <w:r>
                        <w:rPr>
                          <w:rFonts w:hint="eastAsia" w:ascii="宋体" w:hAnsi="宋体"/>
                          <w:b/>
                          <w:bCs/>
                          <w:snapToGrid w:val="0"/>
                          <w:spacing w:val="20"/>
                          <w:kern w:val="0"/>
                          <w:sz w:val="40"/>
                          <w:szCs w:val="40"/>
                        </w:rPr>
                        <w:t>中华人民共和国工业和信息化部</w:t>
                      </w:r>
                      <w:r>
                        <w:rPr>
                          <w:rFonts w:hint="eastAsia" w:ascii="宋体" w:hAnsi="宋体"/>
                          <w:b/>
                          <w:spacing w:val="20"/>
                          <w:sz w:val="28"/>
                        </w:rPr>
                        <w:t>发布</w:t>
                      </w:r>
                    </w:p>
                    <w:p w14:paraId="38CB5EFD">
                      <w:pPr>
                        <w:pStyle w:val="2"/>
                        <w:jc w:val="center"/>
                        <w:rPr>
                          <w:szCs w:val="32"/>
                        </w:rPr>
                      </w:pPr>
                    </w:p>
                    <w:p w14:paraId="315BB1E7">
                      <w:pPr>
                        <w:rPr>
                          <w:szCs w:val="32"/>
                        </w:rPr>
                      </w:pPr>
                    </w:p>
                    <w:p w14:paraId="075EF96B"/>
                    <w:p w14:paraId="77B30D61">
                      <w:pPr>
                        <w:spacing w:line="440" w:lineRule="exact"/>
                        <w:jc w:val="center"/>
                        <w:rPr>
                          <w:b/>
                          <w:bCs/>
                          <w:spacing w:val="20"/>
                          <w:sz w:val="44"/>
                        </w:rPr>
                      </w:pPr>
                      <w:r>
                        <w:rPr>
                          <w:rFonts w:hint="eastAsia" w:ascii="宋体" w:hAnsi="宋体"/>
                          <w:b/>
                          <w:bCs/>
                          <w:snapToGrid w:val="0"/>
                          <w:spacing w:val="20"/>
                          <w:kern w:val="0"/>
                          <w:sz w:val="40"/>
                          <w:szCs w:val="40"/>
                        </w:rPr>
                        <w:t>息化部</w:t>
                      </w:r>
                      <w:r>
                        <w:rPr>
                          <w:rFonts w:hint="eastAsia" w:ascii="宋体" w:hAnsi="宋体"/>
                          <w:b/>
                          <w:spacing w:val="20"/>
                          <w:sz w:val="28"/>
                        </w:rPr>
                        <w:t>发布</w:t>
                      </w:r>
                    </w:p>
                    <w:p w14:paraId="6FB8C6E4">
                      <w:pPr>
                        <w:pStyle w:val="2"/>
                        <w:jc w:val="center"/>
                        <w:rPr>
                          <w:szCs w:val="32"/>
                        </w:rPr>
                      </w:pPr>
                    </w:p>
                    <w:p w14:paraId="69554677">
                      <w:pPr>
                        <w:rPr>
                          <w:szCs w:val="32"/>
                        </w:rPr>
                      </w:pPr>
                    </w:p>
                  </w:txbxContent>
                </v:textbox>
                <w10:anchorlock/>
              </v:shape>
            </w:pict>
          </mc:Fallback>
        </mc:AlternateContent>
      </w:r>
      <w:r>
        <w:rPr>
          <w:rFonts w:hint="default" w:ascii="Times New Roman" w:hAnsi="Times New Roman" w:cs="Times New Roman"/>
          <w:highlight w:val="none"/>
        </w:rPr>
        <mc:AlternateContent>
          <mc:Choice Requires="wps">
            <w:drawing>
              <wp:anchor distT="0" distB="0" distL="114300" distR="114300" simplePos="0" relativeHeight="251663360" behindDoc="0" locked="1" layoutInCell="1" allowOverlap="1">
                <wp:simplePos x="0" y="0"/>
                <wp:positionH relativeFrom="margin">
                  <wp:posOffset>4062730</wp:posOffset>
                </wp:positionH>
                <wp:positionV relativeFrom="margin">
                  <wp:posOffset>8181975</wp:posOffset>
                </wp:positionV>
                <wp:extent cx="2019300" cy="297180"/>
                <wp:effectExtent l="0" t="0" r="4445" b="0"/>
                <wp:wrapNone/>
                <wp:docPr id="16" name="文本框 16"/>
                <wp:cNvGraphicFramePr/>
                <a:graphic xmlns:a="http://schemas.openxmlformats.org/drawingml/2006/main">
                  <a:graphicData uri="http://schemas.microsoft.com/office/word/2010/wordprocessingShape">
                    <wps:wsp>
                      <wps:cNvSpPr txBox="1">
                        <a:spLocks noChangeArrowheads="1"/>
                      </wps:cNvSpPr>
                      <wps:spPr bwMode="auto">
                        <a:xfrm>
                          <a:off x="0" y="0"/>
                          <a:ext cx="2019300" cy="297180"/>
                        </a:xfrm>
                        <a:prstGeom prst="rect">
                          <a:avLst/>
                        </a:prstGeom>
                        <a:solidFill>
                          <a:srgbClr val="FFFFFF"/>
                        </a:solidFill>
                        <a:ln>
                          <a:noFill/>
                        </a:ln>
                      </wps:spPr>
                      <wps:txbx>
                        <w:txbxContent>
                          <w:p w14:paraId="2BA08227">
                            <w:pPr>
                              <w:pStyle w:val="113"/>
                            </w:pPr>
                            <w:r>
                              <w:t>××××-××-××实施</w:t>
                            </w:r>
                          </w:p>
                          <w:p w14:paraId="67F4082E"/>
                          <w:p w14:paraId="37C4DF54"/>
                          <w:p w14:paraId="57E3BA26">
                            <w:pPr>
                              <w:pStyle w:val="113"/>
                            </w:pPr>
                            <w:r>
                              <w:t>××××-××-××实施</w:t>
                            </w:r>
                          </w:p>
                          <w:p w14:paraId="741517B6"/>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319.9pt;margin-top:644.25pt;height:23.4pt;width:159pt;mso-position-horizontal-relative:margin;mso-position-vertical-relative:margin;z-index:251663360;mso-width-relative:page;mso-height-relative:page;" fillcolor="#FFFFFF" filled="t" stroked="f" coordsize="21600,21600" o:gfxdata="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Jhl&#10;YkDbAAAADQEAAA8AAAAAAAAAAQAgAAAAIgAAAGRycy9kb3ducmV2LnhtbFBLAQIUABQAAAAIAIdO&#10;4kBQdz9nIAIAADAEAAAOAAAAAAAAAAEAIAAAACoBAABkcnMvZTJvRG9jLnhtbFBLBQYAAAAABgAG&#10;AFkBAAC8BQAAAAA=&#10;">
                <v:fill on="t" focussize="0,0"/>
                <v:stroke on="f"/>
                <v:imagedata o:title=""/>
                <o:lock v:ext="edit" aspectratio="f"/>
                <v:textbox inset="0mm,0mm,0mm,0mm">
                  <w:txbxContent>
                    <w:p w14:paraId="2BA08227">
                      <w:pPr>
                        <w:pStyle w:val="113"/>
                      </w:pPr>
                      <w:r>
                        <w:t>××××-××-××实施</w:t>
                      </w:r>
                    </w:p>
                    <w:p w14:paraId="67F4082E"/>
                    <w:p w14:paraId="37C4DF54"/>
                    <w:p w14:paraId="57E3BA26">
                      <w:pPr>
                        <w:pStyle w:val="113"/>
                      </w:pPr>
                      <w:r>
                        <w:t>××××-××-××实施</w:t>
                      </w:r>
                    </w:p>
                    <w:p w14:paraId="741517B6"/>
                  </w:txbxContent>
                </v:textbox>
                <w10:anchorlock/>
              </v:shape>
            </w:pict>
          </mc:Fallback>
        </mc:AlternateContent>
      </w:r>
      <w:r>
        <w:rPr>
          <w:rFonts w:hint="default" w:ascii="Times New Roman" w:hAnsi="Times New Roman" w:cs="Times New Roman"/>
          <w:highlight w:val="none"/>
        </w:rPr>
        <mc:AlternateContent>
          <mc:Choice Requires="wps">
            <w:drawing>
              <wp:anchor distT="0" distB="0" distL="114300" distR="114300" simplePos="0" relativeHeight="251662336" behindDoc="0" locked="1" layoutInCell="1" allowOverlap="1">
                <wp:simplePos x="0" y="0"/>
                <wp:positionH relativeFrom="margin">
                  <wp:posOffset>28575</wp:posOffset>
                </wp:positionH>
                <wp:positionV relativeFrom="margin">
                  <wp:posOffset>8172450</wp:posOffset>
                </wp:positionV>
                <wp:extent cx="2019300" cy="297180"/>
                <wp:effectExtent l="0" t="0" r="0" b="0"/>
                <wp:wrapNone/>
                <wp:docPr id="15" name="文本框 15"/>
                <wp:cNvGraphicFramePr/>
                <a:graphic xmlns:a="http://schemas.openxmlformats.org/drawingml/2006/main">
                  <a:graphicData uri="http://schemas.microsoft.com/office/word/2010/wordprocessingShape">
                    <wps:wsp>
                      <wps:cNvSpPr txBox="1">
                        <a:spLocks noChangeArrowheads="1"/>
                      </wps:cNvSpPr>
                      <wps:spPr bwMode="auto">
                        <a:xfrm>
                          <a:off x="0" y="0"/>
                          <a:ext cx="2019300" cy="297180"/>
                        </a:xfrm>
                        <a:prstGeom prst="rect">
                          <a:avLst/>
                        </a:prstGeom>
                        <a:solidFill>
                          <a:srgbClr val="FFFFFF"/>
                        </a:solidFill>
                        <a:ln>
                          <a:noFill/>
                        </a:ln>
                      </wps:spPr>
                      <wps:txbx>
                        <w:txbxContent>
                          <w:p w14:paraId="731D9A9D">
                            <w:pPr>
                              <w:pStyle w:val="114"/>
                            </w:pPr>
                            <w:r>
                              <w:t>××××-××-××发布</w:t>
                            </w:r>
                          </w:p>
                          <w:p w14:paraId="40CB750A"/>
                          <w:p w14:paraId="633CED54"/>
                          <w:p w14:paraId="28968448">
                            <w:pPr>
                              <w:pStyle w:val="114"/>
                            </w:pPr>
                            <w:r>
                              <w:t>××××-××-××发布</w:t>
                            </w:r>
                          </w:p>
                          <w:p w14:paraId="5989D71F"/>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2.25pt;margin-top:643.5pt;height:23.4pt;width:159pt;mso-position-horizontal-relative:margin;mso-position-vertical-relative:margin;z-index:251662336;mso-width-relative:page;mso-height-relative:page;" fillcolor="#FFFFFF" filled="t" stroked="f" coordsize="21600,21600" o:gfxdata="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NOwYn&#10;2QAAAAsBAAAPAAAAAAAAAAEAIAAAACIAAABkcnMvZG93bnJldi54bWxQSwECFAAUAAAACACHTuJA&#10;Z5LydSACAAAwBAAADgAAAAAAAAABACAAAAAoAQAAZHJzL2Uyb0RvYy54bWxQSwUGAAAAAAYABgBZ&#10;AQAAugUAAAAA&#10;">
                <v:fill on="t" focussize="0,0"/>
                <v:stroke on="f"/>
                <v:imagedata o:title=""/>
                <o:lock v:ext="edit" aspectratio="f"/>
                <v:textbox inset="0mm,0mm,0mm,0mm">
                  <w:txbxContent>
                    <w:p w14:paraId="731D9A9D">
                      <w:pPr>
                        <w:pStyle w:val="114"/>
                      </w:pPr>
                      <w:r>
                        <w:t>××××-××-××发布</w:t>
                      </w:r>
                    </w:p>
                    <w:p w14:paraId="40CB750A"/>
                    <w:p w14:paraId="633CED54"/>
                    <w:p w14:paraId="28968448">
                      <w:pPr>
                        <w:pStyle w:val="114"/>
                      </w:pPr>
                      <w:r>
                        <w:t>××××-××-××发布</w:t>
                      </w:r>
                    </w:p>
                    <w:p w14:paraId="5989D71F"/>
                  </w:txbxContent>
                </v:textbox>
                <w10:anchorlock/>
              </v:shape>
            </w:pict>
          </mc:Fallback>
        </mc:AlternateContent>
      </w:r>
      <w:r>
        <w:rPr>
          <w:rFonts w:hint="default" w:ascii="Times New Roman" w:hAnsi="Times New Roman" w:cs="Times New Roman"/>
          <w:highlight w:val="none"/>
        </w:rPr>
        <mc:AlternateContent>
          <mc:Choice Requires="wps">
            <w:drawing>
              <wp:anchor distT="0" distB="0" distL="114300" distR="114300" simplePos="0" relativeHeight="251661312" behindDoc="0" locked="1" layoutInCell="1" allowOverlap="1">
                <wp:simplePos x="0" y="0"/>
                <wp:positionH relativeFrom="margin">
                  <wp:align>left</wp:align>
                </wp:positionH>
                <wp:positionV relativeFrom="margin">
                  <wp:posOffset>2720340</wp:posOffset>
                </wp:positionV>
                <wp:extent cx="5969000" cy="5204460"/>
                <wp:effectExtent l="0" t="0" r="0" b="0"/>
                <wp:wrapNone/>
                <wp:docPr id="14" name="文本框 14"/>
                <wp:cNvGraphicFramePr/>
                <a:graphic xmlns:a="http://schemas.openxmlformats.org/drawingml/2006/main">
                  <a:graphicData uri="http://schemas.microsoft.com/office/word/2010/wordprocessingShape">
                    <wps:wsp>
                      <wps:cNvSpPr txBox="1">
                        <a:spLocks noChangeArrowheads="1"/>
                      </wps:cNvSpPr>
                      <wps:spPr bwMode="auto">
                        <a:xfrm>
                          <a:off x="0" y="0"/>
                          <a:ext cx="5969000" cy="5204460"/>
                        </a:xfrm>
                        <a:prstGeom prst="rect">
                          <a:avLst/>
                        </a:prstGeom>
                        <a:solidFill>
                          <a:srgbClr val="FFFFFF"/>
                        </a:solidFill>
                        <a:ln>
                          <a:noFill/>
                        </a:ln>
                      </wps:spPr>
                      <wps:txbx>
                        <w:txbxContent>
                          <w:p w14:paraId="157B1B18">
                            <w:pPr>
                              <w:pStyle w:val="107"/>
                              <w:spacing w:line="480" w:lineRule="auto"/>
                              <w:rPr>
                                <w:sz w:val="44"/>
                                <w:szCs w:val="44"/>
                              </w:rPr>
                            </w:pPr>
                            <w:r>
                              <w:rPr>
                                <w:rFonts w:hint="eastAsia" w:ascii="Times New Roman"/>
                                <w:spacing w:val="10"/>
                                <w:kern w:val="2"/>
                                <w:sz w:val="44"/>
                                <w:szCs w:val="44"/>
                              </w:rPr>
                              <w:t>岩矿型</w:t>
                            </w:r>
                            <w:r>
                              <w:rPr>
                                <w:rFonts w:hint="eastAsia" w:ascii="Times New Roman"/>
                                <w:spacing w:val="10"/>
                                <w:kern w:val="2"/>
                                <w:sz w:val="44"/>
                                <w:szCs w:val="44"/>
                                <w:lang w:val="en-US" w:eastAsia="zh-CN"/>
                              </w:rPr>
                              <w:t>稀土</w:t>
                            </w:r>
                            <w:r>
                              <w:rPr>
                                <w:rFonts w:hint="eastAsia" w:ascii="Times New Roman"/>
                                <w:spacing w:val="10"/>
                                <w:kern w:val="2"/>
                                <w:sz w:val="44"/>
                                <w:szCs w:val="44"/>
                              </w:rPr>
                              <w:t>矿山绿色开采要求</w:t>
                            </w:r>
                          </w:p>
                          <w:p w14:paraId="24A2EAAD">
                            <w:pPr>
                              <w:pStyle w:val="123"/>
                              <w:rPr>
                                <w:rFonts w:ascii="Times New Roman"/>
                              </w:rPr>
                            </w:pPr>
                            <w:r>
                              <w:rPr>
                                <w:rFonts w:hint="eastAsia" w:ascii="Times New Roman"/>
                              </w:rPr>
                              <w:t>Specifications for Green Mining of Mineral-type Rare Earth Mines</w:t>
                            </w:r>
                          </w:p>
                          <w:p w14:paraId="4407EC26">
                            <w:pPr>
                              <w:pStyle w:val="123"/>
                            </w:pPr>
                            <w:r>
                              <w:rPr>
                                <w:rFonts w:hint="eastAsia"/>
                              </w:rPr>
                              <w:t>（</w:t>
                            </w:r>
                            <w:r>
                              <w:rPr>
                                <w:rFonts w:hint="eastAsia"/>
                                <w:lang w:val="en-US" w:eastAsia="zh-CN"/>
                              </w:rPr>
                              <w:t>审定稿</w:t>
                            </w:r>
                            <w:r>
                              <w:rPr>
                                <w:rFonts w:hint="eastAsia"/>
                              </w:rPr>
                              <w:t>）</w:t>
                            </w:r>
                          </w:p>
                          <w:p w14:paraId="556BADF4">
                            <w:pPr>
                              <w:jc w:val="center"/>
                            </w:pPr>
                          </w:p>
                          <w:p w14:paraId="66522DE3"/>
                          <w:p w14:paraId="1BF2127E">
                            <w:pPr>
                              <w:jc w:val="center"/>
                            </w:pP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top:214.2pt;height:409.8pt;width:470pt;mso-position-horizontal:left;mso-position-horizontal-relative:margin;mso-position-vertical-relative:margin;z-index:251661312;mso-width-relative:page;mso-height-relative:page;" fillcolor="#FFFFFF" filled="t" stroked="f" coordsize="21600,21600" o:gfxdata="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ge4TF&#10;1wAAAAkBAAAPAAAAAAAAAAEAIAAAACIAAABkcnMvZG93bnJldi54bWxQSwECFAAUAAAACACHTuJA&#10;igjq8SICAAAxBAAADgAAAAAAAAABACAAAAAmAQAAZHJzL2Uyb0RvYy54bWxQSwUGAAAAAAYABgBZ&#10;AQAAugUAAAAA&#10;">
                <v:fill on="t" focussize="0,0"/>
                <v:stroke on="f"/>
                <v:imagedata o:title=""/>
                <o:lock v:ext="edit" aspectratio="f"/>
                <v:textbox inset="0mm,0mm,0mm,0mm">
                  <w:txbxContent>
                    <w:p w14:paraId="157B1B18">
                      <w:pPr>
                        <w:pStyle w:val="107"/>
                        <w:spacing w:line="480" w:lineRule="auto"/>
                        <w:rPr>
                          <w:sz w:val="44"/>
                          <w:szCs w:val="44"/>
                        </w:rPr>
                      </w:pPr>
                      <w:r>
                        <w:rPr>
                          <w:rFonts w:hint="eastAsia" w:ascii="Times New Roman"/>
                          <w:spacing w:val="10"/>
                          <w:kern w:val="2"/>
                          <w:sz w:val="44"/>
                          <w:szCs w:val="44"/>
                        </w:rPr>
                        <w:t>岩矿型</w:t>
                      </w:r>
                      <w:r>
                        <w:rPr>
                          <w:rFonts w:hint="eastAsia" w:ascii="Times New Roman"/>
                          <w:spacing w:val="10"/>
                          <w:kern w:val="2"/>
                          <w:sz w:val="44"/>
                          <w:szCs w:val="44"/>
                          <w:lang w:val="en-US" w:eastAsia="zh-CN"/>
                        </w:rPr>
                        <w:t>稀土</w:t>
                      </w:r>
                      <w:r>
                        <w:rPr>
                          <w:rFonts w:hint="eastAsia" w:ascii="Times New Roman"/>
                          <w:spacing w:val="10"/>
                          <w:kern w:val="2"/>
                          <w:sz w:val="44"/>
                          <w:szCs w:val="44"/>
                        </w:rPr>
                        <w:t>矿山绿色开采要求</w:t>
                      </w:r>
                    </w:p>
                    <w:p w14:paraId="24A2EAAD">
                      <w:pPr>
                        <w:pStyle w:val="123"/>
                        <w:rPr>
                          <w:rFonts w:ascii="Times New Roman"/>
                        </w:rPr>
                      </w:pPr>
                      <w:r>
                        <w:rPr>
                          <w:rFonts w:hint="eastAsia" w:ascii="Times New Roman"/>
                        </w:rPr>
                        <w:t>Specifications for Green Mining of Mineral-type Rare Earth Mines</w:t>
                      </w:r>
                    </w:p>
                    <w:p w14:paraId="4407EC26">
                      <w:pPr>
                        <w:pStyle w:val="123"/>
                      </w:pPr>
                      <w:r>
                        <w:rPr>
                          <w:rFonts w:hint="eastAsia"/>
                        </w:rPr>
                        <w:t>（</w:t>
                      </w:r>
                      <w:r>
                        <w:rPr>
                          <w:rFonts w:hint="eastAsia"/>
                          <w:lang w:val="en-US" w:eastAsia="zh-CN"/>
                        </w:rPr>
                        <w:t>审定稿</w:t>
                      </w:r>
                      <w:r>
                        <w:rPr>
                          <w:rFonts w:hint="eastAsia"/>
                        </w:rPr>
                        <w:t>）</w:t>
                      </w:r>
                    </w:p>
                    <w:p w14:paraId="556BADF4">
                      <w:pPr>
                        <w:jc w:val="center"/>
                      </w:pPr>
                    </w:p>
                    <w:p w14:paraId="66522DE3"/>
                    <w:p w14:paraId="1BF2127E">
                      <w:pPr>
                        <w:jc w:val="center"/>
                      </w:pPr>
                    </w:p>
                  </w:txbxContent>
                </v:textbox>
                <w10:anchorlock/>
              </v:shape>
            </w:pict>
          </mc:Fallback>
        </mc:AlternateContent>
      </w:r>
      <w:r>
        <w:rPr>
          <w:rFonts w:hint="default" w:ascii="Times New Roman" w:hAnsi="Times New Roman" w:cs="Times New Roman"/>
          <w:highlight w:val="none"/>
        </w:rPr>
        <mc:AlternateContent>
          <mc:Choice Requires="wps">
            <w:drawing>
              <wp:anchor distT="0" distB="0" distL="114300" distR="114300" simplePos="0" relativeHeight="251660288" behindDoc="0" locked="1" layoutInCell="1" allowOverlap="1">
                <wp:simplePos x="0" y="0"/>
                <wp:positionH relativeFrom="margin">
                  <wp:posOffset>83820</wp:posOffset>
                </wp:positionH>
                <wp:positionV relativeFrom="margin">
                  <wp:posOffset>1123315</wp:posOffset>
                </wp:positionV>
                <wp:extent cx="6131560" cy="660400"/>
                <wp:effectExtent l="0" t="0" r="4445"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6131560" cy="660400"/>
                        </a:xfrm>
                        <a:prstGeom prst="rect">
                          <a:avLst/>
                        </a:prstGeom>
                        <a:solidFill>
                          <a:srgbClr val="FFFFFF"/>
                        </a:solidFill>
                        <a:ln>
                          <a:noFill/>
                        </a:ln>
                      </wps:spPr>
                      <wps:txbx>
                        <w:txbxContent>
                          <w:p w14:paraId="383BEF47">
                            <w:pPr>
                              <w:spacing w:line="0" w:lineRule="atLeast"/>
                              <w:ind w:left="3216" w:leftChars="1340" w:firstLine="3654" w:firstLineChars="1300"/>
                              <w:rPr>
                                <w:b/>
                                <w:sz w:val="28"/>
                              </w:rPr>
                            </w:pPr>
                          </w:p>
                          <w:p w14:paraId="31ABDA66">
                            <w:pPr>
                              <w:adjustRightInd w:val="0"/>
                              <w:snapToGrid w:val="0"/>
                              <w:spacing w:line="400" w:lineRule="exact"/>
                              <w:jc w:val="right"/>
                              <w:rPr>
                                <w:b/>
                                <w:bCs/>
                                <w:sz w:val="28"/>
                              </w:rPr>
                            </w:pPr>
                            <w:r>
                              <w:rPr>
                                <w:rFonts w:hint="eastAsia"/>
                                <w:b/>
                                <w:bCs/>
                                <w:sz w:val="28"/>
                              </w:rPr>
                              <w:t xml:space="preserve">XB/T XXX X—2026 </w:t>
                            </w:r>
                          </w:p>
                          <w:p w14:paraId="012FE9F0"/>
                          <w:p w14:paraId="37A562CE">
                            <w:pPr>
                              <w:spacing w:line="0" w:lineRule="atLeast"/>
                              <w:ind w:left="3216" w:leftChars="1340" w:firstLine="3654" w:firstLineChars="1300"/>
                              <w:rPr>
                                <w:b/>
                                <w:sz w:val="28"/>
                              </w:rPr>
                            </w:pPr>
                          </w:p>
                          <w:p w14:paraId="7E273C61">
                            <w:pPr>
                              <w:adjustRightInd w:val="0"/>
                              <w:snapToGrid w:val="0"/>
                              <w:spacing w:line="400" w:lineRule="exact"/>
                              <w:ind w:left="8271" w:leftChars="3335" w:hanging="267" w:hangingChars="95"/>
                              <w:rPr>
                                <w:b/>
                                <w:bCs/>
                                <w:sz w:val="28"/>
                              </w:rPr>
                            </w:pPr>
                            <w:r>
                              <w:rPr>
                                <w:rFonts w:hint="eastAsia"/>
                                <w:b/>
                                <w:bCs/>
                                <w:sz w:val="28"/>
                              </w:rPr>
                              <w:t xml:space="preserve">XB/T XXX X—2026 </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6.6pt;margin-top:88.45pt;height:52pt;width:482.8pt;mso-position-horizontal-relative:margin;mso-position-vertical-relative:margin;z-index:251660288;mso-width-relative:page;mso-height-relative:page;" fillcolor="#FFFFFF" filled="t" stroked="f" coordsize="21600,21600" o:gfxdata="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J1Zf3nY&#10;AAAACgEAAA8AAAAAAAAAAQAgAAAAIgAAAGRycy9kb3ducmV2LnhtbFBLAQIUABQAAAAIAIdO4kDs&#10;WmkfIAIAADAEAAAOAAAAAAAAAAEAIAAAACcBAABkcnMvZTJvRG9jLnhtbFBLBQYAAAAABgAGAFkB&#10;AAC5BQAAAAA=&#10;">
                <v:fill on="t" focussize="0,0"/>
                <v:stroke on="f"/>
                <v:imagedata o:title=""/>
                <o:lock v:ext="edit" aspectratio="f"/>
                <v:textbox inset="0mm,0mm,0mm,0mm">
                  <w:txbxContent>
                    <w:p w14:paraId="383BEF47">
                      <w:pPr>
                        <w:spacing w:line="0" w:lineRule="atLeast"/>
                        <w:ind w:left="3216" w:leftChars="1340" w:firstLine="3654" w:firstLineChars="1300"/>
                        <w:rPr>
                          <w:b/>
                          <w:sz w:val="28"/>
                        </w:rPr>
                      </w:pPr>
                    </w:p>
                    <w:p w14:paraId="31ABDA66">
                      <w:pPr>
                        <w:adjustRightInd w:val="0"/>
                        <w:snapToGrid w:val="0"/>
                        <w:spacing w:line="400" w:lineRule="exact"/>
                        <w:jc w:val="right"/>
                        <w:rPr>
                          <w:b/>
                          <w:bCs/>
                          <w:sz w:val="28"/>
                        </w:rPr>
                      </w:pPr>
                      <w:r>
                        <w:rPr>
                          <w:rFonts w:hint="eastAsia"/>
                          <w:b/>
                          <w:bCs/>
                          <w:sz w:val="28"/>
                        </w:rPr>
                        <w:t xml:space="preserve">XB/T XXX X—2026 </w:t>
                      </w:r>
                    </w:p>
                    <w:p w14:paraId="012FE9F0"/>
                    <w:p w14:paraId="37A562CE">
                      <w:pPr>
                        <w:spacing w:line="0" w:lineRule="atLeast"/>
                        <w:ind w:left="3216" w:leftChars="1340" w:firstLine="3654" w:firstLineChars="1300"/>
                        <w:rPr>
                          <w:b/>
                          <w:sz w:val="28"/>
                        </w:rPr>
                      </w:pPr>
                    </w:p>
                    <w:p w14:paraId="7E273C61">
                      <w:pPr>
                        <w:adjustRightInd w:val="0"/>
                        <w:snapToGrid w:val="0"/>
                        <w:spacing w:line="400" w:lineRule="exact"/>
                        <w:ind w:left="8271" w:leftChars="3335" w:hanging="267" w:hangingChars="95"/>
                        <w:rPr>
                          <w:b/>
                          <w:bCs/>
                          <w:sz w:val="28"/>
                        </w:rPr>
                      </w:pPr>
                      <w:r>
                        <w:rPr>
                          <w:rFonts w:hint="eastAsia"/>
                          <w:b/>
                          <w:bCs/>
                          <w:sz w:val="28"/>
                        </w:rPr>
                        <w:t xml:space="preserve">XB/T XXX X—2026 </w:t>
                      </w:r>
                    </w:p>
                  </w:txbxContent>
                </v:textbox>
                <w10:anchorlock/>
              </v:shape>
            </w:pict>
          </mc:Fallback>
        </mc:AlternateContent>
      </w:r>
      <w:r>
        <w:rPr>
          <w:rFonts w:hint="default" w:ascii="Times New Roman" w:hAnsi="Times New Roman" w:cs="Times New Roman"/>
          <w:highlight w:val="none"/>
        </w:rPr>
        <w:t>XB</w:t>
      </w:r>
      <w:r>
        <w:rPr>
          <w:rFonts w:hint="default" w:ascii="Times New Roman" w:hAnsi="Times New Roman" w:cs="Times New Roman"/>
          <w:highlight w:val="none"/>
        </w:rPr>
        <mc:AlternateContent>
          <mc:Choice Requires="wps">
            <w:drawing>
              <wp:anchor distT="0" distB="0" distL="114300" distR="114300" simplePos="0" relativeHeight="251659264" behindDoc="0" locked="1" layoutInCell="1" allowOverlap="1">
                <wp:simplePos x="0" y="0"/>
                <wp:positionH relativeFrom="margin">
                  <wp:posOffset>95250</wp:posOffset>
                </wp:positionH>
                <wp:positionV relativeFrom="margin">
                  <wp:posOffset>668020</wp:posOffset>
                </wp:positionV>
                <wp:extent cx="6120130" cy="391160"/>
                <wp:effectExtent l="0" t="1270" r="4445" b="0"/>
                <wp:wrapNone/>
                <wp:docPr id="12" name="文本框 12"/>
                <wp:cNvGraphicFramePr/>
                <a:graphic xmlns:a="http://schemas.openxmlformats.org/drawingml/2006/main">
                  <a:graphicData uri="http://schemas.microsoft.com/office/word/2010/wordprocessingShape">
                    <wps:wsp>
                      <wps:cNvSpPr txBox="1">
                        <a:spLocks noChangeArrowheads="1"/>
                      </wps:cNvSpPr>
                      <wps:spPr bwMode="auto">
                        <a:xfrm>
                          <a:off x="0" y="0"/>
                          <a:ext cx="6120130" cy="391160"/>
                        </a:xfrm>
                        <a:prstGeom prst="rect">
                          <a:avLst/>
                        </a:prstGeom>
                        <a:solidFill>
                          <a:srgbClr val="FFFFFF"/>
                        </a:solidFill>
                        <a:ln>
                          <a:noFill/>
                        </a:ln>
                      </wps:spPr>
                      <wps:txbx>
                        <w:txbxContent>
                          <w:p w14:paraId="1ED80F5C">
                            <w:pPr>
                              <w:pStyle w:val="115"/>
                            </w:pPr>
                            <w:r>
                              <w:rPr>
                                <w:rFonts w:hint="eastAsia"/>
                              </w:rPr>
                              <w:t>中华人民共和国</w:t>
                            </w:r>
                            <w:r>
                              <w:rPr>
                                <w:rFonts w:hint="eastAsia"/>
                                <w:lang w:val="en-US" w:eastAsia="zh-CN"/>
                              </w:rPr>
                              <w:t>稀土</w:t>
                            </w:r>
                            <w:r>
                              <w:rPr>
                                <w:rFonts w:hint="eastAsia"/>
                              </w:rPr>
                              <w:t>行业标准</w:t>
                            </w:r>
                          </w:p>
                          <w:p w14:paraId="52EE884A"/>
                          <w:p w14:paraId="12A97D53"/>
                          <w:p w14:paraId="7D09621C">
                            <w:pPr>
                              <w:pStyle w:val="115"/>
                            </w:pPr>
                            <w:r>
                              <w:rPr>
                                <w:rFonts w:hint="eastAsia"/>
                              </w:rPr>
                              <w:t>中华人民共和国稀土行业标准</w:t>
                            </w:r>
                          </w:p>
                          <w:p w14:paraId="765CEEA4"/>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7.5pt;margin-top:52.6pt;height:30.8pt;width:481.9pt;mso-position-horizontal-relative:margin;mso-position-vertical-relative:margin;z-index:251659264;mso-width-relative:page;mso-height-relative:page;" fillcolor="#FFFFFF" filled="t" stroked="f" coordsize="21600,21600" o:gfxdata="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SRxq&#10;2QAAAAoBAAAPAAAAAAAAAAEAIAAAACIAAABkcnMvZG93bnJldi54bWxQSwECFAAUAAAACACHTuJA&#10;TlsBOSACAAAwBAAADgAAAAAAAAABACAAAAAoAQAAZHJzL2Uyb0RvYy54bWxQSwUGAAAAAAYABgBZ&#10;AQAAugUAAAAA&#10;">
                <v:fill on="t" focussize="0,0"/>
                <v:stroke on="f"/>
                <v:imagedata o:title=""/>
                <o:lock v:ext="edit" aspectratio="f"/>
                <v:textbox inset="0mm,0mm,0mm,0mm">
                  <w:txbxContent>
                    <w:p w14:paraId="1ED80F5C">
                      <w:pPr>
                        <w:pStyle w:val="115"/>
                      </w:pPr>
                      <w:r>
                        <w:rPr>
                          <w:rFonts w:hint="eastAsia"/>
                        </w:rPr>
                        <w:t>中华人民共和国</w:t>
                      </w:r>
                      <w:r>
                        <w:rPr>
                          <w:rFonts w:hint="eastAsia"/>
                          <w:lang w:val="en-US" w:eastAsia="zh-CN"/>
                        </w:rPr>
                        <w:t>稀土</w:t>
                      </w:r>
                      <w:r>
                        <w:rPr>
                          <w:rFonts w:hint="eastAsia"/>
                        </w:rPr>
                        <w:t>行业标准</w:t>
                      </w:r>
                    </w:p>
                    <w:p w14:paraId="52EE884A"/>
                    <w:p w14:paraId="12A97D53"/>
                    <w:p w14:paraId="7D09621C">
                      <w:pPr>
                        <w:pStyle w:val="115"/>
                      </w:pPr>
                      <w:r>
                        <w:rPr>
                          <w:rFonts w:hint="eastAsia"/>
                        </w:rPr>
                        <w:t>中华人民共和国稀土行业标准</w:t>
                      </w:r>
                    </w:p>
                    <w:p w14:paraId="765CEEA4"/>
                  </w:txbxContent>
                </v:textbox>
                <w10:anchorlock/>
              </v:shape>
            </w:pict>
          </mc:Fallback>
        </mc:AlternateContent>
      </w:r>
    </w:p>
    <w:bookmarkEnd w:id="0"/>
    <w:sdt>
      <w:sdtPr>
        <w:rPr>
          <w:rFonts w:hint="default" w:ascii="Times New Roman" w:hAnsi="Times New Roman" w:eastAsia="宋体" w:cs="Times New Roman"/>
          <w:color w:val="auto"/>
          <w:sz w:val="21"/>
          <w:szCs w:val="22"/>
          <w:highlight w:val="none"/>
        </w:rPr>
        <w:id w:val="147453067"/>
        <w15:color w:val="DBDBDB"/>
        <w:docPartObj>
          <w:docPartGallery w:val="Table of Contents"/>
          <w:docPartUnique/>
        </w:docPartObj>
      </w:sdtPr>
      <w:sdtEndPr>
        <w:rPr>
          <w:rFonts w:hint="default" w:ascii="Times New Roman" w:hAnsi="Times New Roman" w:eastAsia="宋体" w:cs="Times New Roman"/>
          <w:color w:val="auto"/>
          <w:sz w:val="21"/>
          <w:szCs w:val="22"/>
          <w:highlight w:val="none"/>
        </w:rPr>
      </w:sdtEndPr>
      <w:sdtContent>
        <w:p w14:paraId="301094A3">
          <w:pPr>
            <w:pStyle w:val="2"/>
            <w:spacing w:before="0" w:after="0"/>
            <w:jc w:val="center"/>
            <w:rPr>
              <w:rFonts w:hint="default" w:ascii="Times New Roman" w:hAnsi="Times New Roman" w:eastAsia="黑体" w:cs="Times New Roman"/>
              <w:bCs/>
              <w:color w:val="auto"/>
              <w:sz w:val="32"/>
              <w:highlight w:val="none"/>
            </w:rPr>
          </w:pPr>
          <w:bookmarkStart w:id="1" w:name="_Toc21795"/>
          <w:bookmarkStart w:id="2" w:name="_Toc25557"/>
          <w:bookmarkStart w:id="3" w:name="_Toc13812"/>
          <w:r>
            <w:rPr>
              <w:rFonts w:hint="default" w:ascii="Times New Roman" w:hAnsi="Times New Roman" w:eastAsia="黑体" w:cs="Times New Roman"/>
              <w:bCs/>
              <w:color w:val="auto"/>
              <w:sz w:val="32"/>
              <w:highlight w:val="none"/>
            </w:rPr>
            <w:t>目 录</w:t>
          </w:r>
          <w:bookmarkEnd w:id="1"/>
          <w:bookmarkEnd w:id="2"/>
          <w:bookmarkEnd w:id="3"/>
        </w:p>
        <w:p w14:paraId="2D757FDC">
          <w:pPr>
            <w:pStyle w:val="26"/>
            <w:tabs>
              <w:tab w:val="right" w:leader="dot" w:pos="9264"/>
            </w:tabs>
            <w:spacing w:line="360" w:lineRule="auto"/>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TOC \o "1-1" \h \u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_Toc25557 </w:instrText>
          </w:r>
          <w:r>
            <w:rPr>
              <w:rFonts w:hint="default" w:ascii="Times New Roman" w:hAnsi="Times New Roman" w:cs="Times New Roman"/>
              <w:highlight w:val="none"/>
            </w:rPr>
            <w:fldChar w:fldCharType="separate"/>
          </w:r>
          <w:r>
            <w:rPr>
              <w:rFonts w:hint="default" w:ascii="Times New Roman" w:hAnsi="Times New Roman" w:eastAsia="黑体" w:cs="Times New Roman"/>
              <w:bCs/>
              <w:highlight w:val="none"/>
            </w:rPr>
            <w:t>目 录</w:t>
          </w:r>
          <w:r>
            <w:tab/>
          </w:r>
          <w:r>
            <w:fldChar w:fldCharType="begin"/>
          </w:r>
          <w:r>
            <w:instrText xml:space="preserve"> PAGEREF _Toc25557 \h </w:instrText>
          </w:r>
          <w:r>
            <w:fldChar w:fldCharType="separate"/>
          </w:r>
          <w:r>
            <w:t>I</w:t>
          </w:r>
          <w:r>
            <w:fldChar w:fldCharType="end"/>
          </w:r>
          <w:r>
            <w:rPr>
              <w:rFonts w:hint="default" w:ascii="Times New Roman" w:hAnsi="Times New Roman" w:cs="Times New Roman"/>
              <w:highlight w:val="none"/>
            </w:rPr>
            <w:fldChar w:fldCharType="end"/>
          </w:r>
        </w:p>
        <w:p w14:paraId="0C4434E2">
          <w:pPr>
            <w:pStyle w:val="26"/>
            <w:tabs>
              <w:tab w:val="right" w:leader="dot" w:pos="9264"/>
            </w:tabs>
            <w:spacing w:line="360" w:lineRule="auto"/>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_Toc1136 </w:instrText>
          </w:r>
          <w:r>
            <w:rPr>
              <w:rFonts w:hint="default" w:ascii="Times New Roman" w:hAnsi="Times New Roman" w:cs="Times New Roman"/>
              <w:highlight w:val="none"/>
            </w:rPr>
            <w:fldChar w:fldCharType="separate"/>
          </w:r>
          <w:r>
            <w:rPr>
              <w:rFonts w:hint="default" w:ascii="Times New Roman" w:hAnsi="Times New Roman" w:eastAsia="黑体" w:cs="Times New Roman"/>
              <w:bCs/>
              <w:highlight w:val="none"/>
            </w:rPr>
            <w:t>前  言</w:t>
          </w:r>
          <w:r>
            <w:tab/>
          </w:r>
          <w:r>
            <w:fldChar w:fldCharType="begin"/>
          </w:r>
          <w:r>
            <w:instrText xml:space="preserve"> PAGEREF _Toc1136 \h </w:instrText>
          </w:r>
          <w:r>
            <w:fldChar w:fldCharType="separate"/>
          </w:r>
          <w:r>
            <w:t>II</w:t>
          </w:r>
          <w:r>
            <w:fldChar w:fldCharType="end"/>
          </w:r>
          <w:r>
            <w:rPr>
              <w:rFonts w:hint="default" w:ascii="Times New Roman" w:hAnsi="Times New Roman" w:cs="Times New Roman"/>
              <w:highlight w:val="none"/>
            </w:rPr>
            <w:fldChar w:fldCharType="end"/>
          </w:r>
        </w:p>
        <w:p w14:paraId="3DA52DFD">
          <w:pPr>
            <w:pStyle w:val="26"/>
            <w:tabs>
              <w:tab w:val="right" w:leader="dot" w:pos="9264"/>
            </w:tabs>
            <w:spacing w:line="360" w:lineRule="auto"/>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_Toc22105 </w:instrText>
          </w:r>
          <w:r>
            <w:rPr>
              <w:rFonts w:hint="default" w:ascii="Times New Roman" w:hAnsi="Times New Roman" w:cs="Times New Roman"/>
              <w:highlight w:val="none"/>
            </w:rPr>
            <w:fldChar w:fldCharType="separate"/>
          </w:r>
          <w:r>
            <w:rPr>
              <w:rFonts w:hint="default" w:ascii="Times New Roman" w:hAnsi="Times New Roman" w:eastAsia="黑体" w:cs="Times New Roman"/>
              <w:lang w:val="en-US" w:eastAsia="zh-CN"/>
            </w:rPr>
            <w:t>1 范围</w:t>
          </w:r>
          <w:r>
            <w:tab/>
          </w:r>
          <w:r>
            <w:fldChar w:fldCharType="begin"/>
          </w:r>
          <w:r>
            <w:instrText xml:space="preserve"> PAGEREF _Toc22105 \h </w:instrText>
          </w:r>
          <w:r>
            <w:fldChar w:fldCharType="separate"/>
          </w:r>
          <w:r>
            <w:t>1</w:t>
          </w:r>
          <w:r>
            <w:fldChar w:fldCharType="end"/>
          </w:r>
          <w:r>
            <w:rPr>
              <w:rFonts w:hint="default" w:ascii="Times New Roman" w:hAnsi="Times New Roman" w:cs="Times New Roman"/>
              <w:highlight w:val="none"/>
            </w:rPr>
            <w:fldChar w:fldCharType="end"/>
          </w:r>
        </w:p>
        <w:p w14:paraId="04292609">
          <w:pPr>
            <w:pStyle w:val="26"/>
            <w:tabs>
              <w:tab w:val="right" w:leader="dot" w:pos="9264"/>
            </w:tabs>
            <w:spacing w:line="360" w:lineRule="auto"/>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_Toc7645 </w:instrText>
          </w:r>
          <w:r>
            <w:rPr>
              <w:rFonts w:hint="default" w:ascii="Times New Roman" w:hAnsi="Times New Roman" w:cs="Times New Roman"/>
              <w:highlight w:val="none"/>
            </w:rPr>
            <w:fldChar w:fldCharType="separate"/>
          </w:r>
          <w:r>
            <w:rPr>
              <w:rFonts w:hint="default" w:ascii="Times New Roman" w:hAnsi="Times New Roman" w:eastAsia="黑体" w:cs="Times New Roman"/>
              <w:lang w:val="en-US" w:eastAsia="zh-CN"/>
            </w:rPr>
            <w:t>2 规范性引用文件</w:t>
          </w:r>
          <w:r>
            <w:tab/>
          </w:r>
          <w:r>
            <w:fldChar w:fldCharType="begin"/>
          </w:r>
          <w:r>
            <w:instrText xml:space="preserve"> PAGEREF _Toc7645 \h </w:instrText>
          </w:r>
          <w:r>
            <w:fldChar w:fldCharType="separate"/>
          </w:r>
          <w:r>
            <w:t>1</w:t>
          </w:r>
          <w:r>
            <w:fldChar w:fldCharType="end"/>
          </w:r>
          <w:r>
            <w:rPr>
              <w:rFonts w:hint="default" w:ascii="Times New Roman" w:hAnsi="Times New Roman" w:cs="Times New Roman"/>
              <w:highlight w:val="none"/>
            </w:rPr>
            <w:fldChar w:fldCharType="end"/>
          </w:r>
        </w:p>
        <w:p w14:paraId="0BAADD8B">
          <w:pPr>
            <w:pStyle w:val="26"/>
            <w:tabs>
              <w:tab w:val="right" w:leader="dot" w:pos="9264"/>
            </w:tabs>
            <w:spacing w:line="360" w:lineRule="auto"/>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_Toc17990 </w:instrText>
          </w:r>
          <w:r>
            <w:rPr>
              <w:rFonts w:hint="default" w:ascii="Times New Roman" w:hAnsi="Times New Roman" w:cs="Times New Roman"/>
              <w:highlight w:val="none"/>
            </w:rPr>
            <w:fldChar w:fldCharType="separate"/>
          </w:r>
          <w:r>
            <w:rPr>
              <w:rFonts w:hint="default" w:ascii="Times New Roman" w:hAnsi="Times New Roman" w:eastAsia="黑体" w:cs="Times New Roman"/>
              <w:lang w:val="en-US" w:eastAsia="zh-CN"/>
            </w:rPr>
            <w:t>3 术语和定义</w:t>
          </w:r>
          <w:r>
            <w:tab/>
          </w:r>
          <w:r>
            <w:fldChar w:fldCharType="begin"/>
          </w:r>
          <w:r>
            <w:instrText xml:space="preserve"> PAGEREF _Toc17990 \h </w:instrText>
          </w:r>
          <w:r>
            <w:fldChar w:fldCharType="separate"/>
          </w:r>
          <w:r>
            <w:t>2</w:t>
          </w:r>
          <w:r>
            <w:fldChar w:fldCharType="end"/>
          </w:r>
          <w:r>
            <w:rPr>
              <w:rFonts w:hint="default" w:ascii="Times New Roman" w:hAnsi="Times New Roman" w:cs="Times New Roman"/>
              <w:highlight w:val="none"/>
            </w:rPr>
            <w:fldChar w:fldCharType="end"/>
          </w:r>
        </w:p>
        <w:p w14:paraId="041B5F20">
          <w:pPr>
            <w:pStyle w:val="26"/>
            <w:tabs>
              <w:tab w:val="right" w:leader="dot" w:pos="9264"/>
            </w:tabs>
            <w:spacing w:line="360" w:lineRule="auto"/>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_Toc27673 </w:instrText>
          </w:r>
          <w:r>
            <w:rPr>
              <w:rFonts w:hint="default" w:ascii="Times New Roman" w:hAnsi="Times New Roman" w:cs="Times New Roman"/>
              <w:highlight w:val="none"/>
            </w:rPr>
            <w:fldChar w:fldCharType="separate"/>
          </w:r>
          <w:r>
            <w:rPr>
              <w:rFonts w:hint="default" w:ascii="Times New Roman" w:hAnsi="Times New Roman" w:eastAsia="黑体" w:cs="Times New Roman"/>
              <w:lang w:val="en-US" w:eastAsia="zh-CN"/>
            </w:rPr>
            <w:t>4 总体要求</w:t>
          </w:r>
          <w:r>
            <w:tab/>
          </w:r>
          <w:r>
            <w:fldChar w:fldCharType="begin"/>
          </w:r>
          <w:r>
            <w:instrText xml:space="preserve"> PAGEREF _Toc27673 \h </w:instrText>
          </w:r>
          <w:r>
            <w:fldChar w:fldCharType="separate"/>
          </w:r>
          <w:r>
            <w:t>3</w:t>
          </w:r>
          <w:r>
            <w:fldChar w:fldCharType="end"/>
          </w:r>
          <w:r>
            <w:rPr>
              <w:rFonts w:hint="default" w:ascii="Times New Roman" w:hAnsi="Times New Roman" w:cs="Times New Roman"/>
              <w:highlight w:val="none"/>
            </w:rPr>
            <w:fldChar w:fldCharType="end"/>
          </w:r>
        </w:p>
        <w:p w14:paraId="551C9098">
          <w:pPr>
            <w:pStyle w:val="26"/>
            <w:tabs>
              <w:tab w:val="right" w:leader="dot" w:pos="9264"/>
            </w:tabs>
            <w:spacing w:line="360" w:lineRule="auto"/>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_Toc2473 </w:instrText>
          </w:r>
          <w:r>
            <w:rPr>
              <w:rFonts w:hint="default" w:ascii="Times New Roman" w:hAnsi="Times New Roman" w:cs="Times New Roman"/>
              <w:highlight w:val="none"/>
            </w:rPr>
            <w:fldChar w:fldCharType="separate"/>
          </w:r>
          <w:r>
            <w:rPr>
              <w:rFonts w:hint="default" w:ascii="Times New Roman" w:hAnsi="Times New Roman" w:eastAsia="黑体" w:cs="Times New Roman"/>
              <w:lang w:val="en-US" w:eastAsia="zh-CN"/>
            </w:rPr>
            <w:t>5 绿色开采技术要求</w:t>
          </w:r>
          <w:r>
            <w:tab/>
          </w:r>
          <w:r>
            <w:fldChar w:fldCharType="begin"/>
          </w:r>
          <w:r>
            <w:instrText xml:space="preserve"> PAGEREF _Toc2473 \h </w:instrText>
          </w:r>
          <w:r>
            <w:fldChar w:fldCharType="separate"/>
          </w:r>
          <w:r>
            <w:t>3</w:t>
          </w:r>
          <w:r>
            <w:fldChar w:fldCharType="end"/>
          </w:r>
          <w:r>
            <w:rPr>
              <w:rFonts w:hint="default" w:ascii="Times New Roman" w:hAnsi="Times New Roman" w:cs="Times New Roman"/>
              <w:highlight w:val="none"/>
            </w:rPr>
            <w:fldChar w:fldCharType="end"/>
          </w:r>
        </w:p>
        <w:p w14:paraId="3C652616">
          <w:pPr>
            <w:pStyle w:val="26"/>
            <w:tabs>
              <w:tab w:val="right" w:leader="dot" w:pos="9264"/>
            </w:tabs>
            <w:spacing w:line="360" w:lineRule="auto"/>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_Toc32592 </w:instrText>
          </w:r>
          <w:r>
            <w:rPr>
              <w:rFonts w:hint="default" w:ascii="Times New Roman" w:hAnsi="Times New Roman" w:cs="Times New Roman"/>
              <w:highlight w:val="none"/>
            </w:rPr>
            <w:fldChar w:fldCharType="separate"/>
          </w:r>
          <w:r>
            <w:rPr>
              <w:rFonts w:hint="default" w:ascii="Times New Roman" w:hAnsi="Times New Roman" w:eastAsia="黑体" w:cs="Times New Roman"/>
              <w:lang w:val="en-US" w:eastAsia="zh-CN"/>
            </w:rPr>
            <w:t>6 环保要求</w:t>
          </w:r>
          <w:r>
            <w:tab/>
          </w:r>
          <w:r>
            <w:fldChar w:fldCharType="begin"/>
          </w:r>
          <w:r>
            <w:instrText xml:space="preserve"> PAGEREF _Toc32592 \h </w:instrText>
          </w:r>
          <w:r>
            <w:fldChar w:fldCharType="separate"/>
          </w:r>
          <w:r>
            <w:t>4</w:t>
          </w:r>
          <w:r>
            <w:fldChar w:fldCharType="end"/>
          </w:r>
          <w:r>
            <w:rPr>
              <w:rFonts w:hint="default" w:ascii="Times New Roman" w:hAnsi="Times New Roman" w:cs="Times New Roman"/>
              <w:highlight w:val="none"/>
            </w:rPr>
            <w:fldChar w:fldCharType="end"/>
          </w:r>
        </w:p>
        <w:p w14:paraId="71CBCC74">
          <w:pPr>
            <w:pStyle w:val="26"/>
            <w:tabs>
              <w:tab w:val="right" w:leader="dot" w:pos="9264"/>
            </w:tabs>
            <w:spacing w:line="360" w:lineRule="auto"/>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_Toc262 </w:instrText>
          </w:r>
          <w:r>
            <w:rPr>
              <w:rFonts w:hint="default" w:ascii="Times New Roman" w:hAnsi="Times New Roman" w:cs="Times New Roman"/>
              <w:highlight w:val="none"/>
            </w:rPr>
            <w:fldChar w:fldCharType="separate"/>
          </w:r>
          <w:r>
            <w:rPr>
              <w:rFonts w:hint="default" w:ascii="Times New Roman" w:hAnsi="Times New Roman" w:eastAsia="黑体" w:cs="Times New Roman"/>
              <w:lang w:val="en-US" w:eastAsia="zh-CN"/>
            </w:rPr>
            <w:t>7 原材料及产品要求</w:t>
          </w:r>
          <w:r>
            <w:tab/>
          </w:r>
          <w:r>
            <w:fldChar w:fldCharType="begin"/>
          </w:r>
          <w:r>
            <w:instrText xml:space="preserve"> PAGEREF _Toc262 \h </w:instrText>
          </w:r>
          <w:r>
            <w:fldChar w:fldCharType="separate"/>
          </w:r>
          <w:r>
            <w:t>5</w:t>
          </w:r>
          <w:r>
            <w:fldChar w:fldCharType="end"/>
          </w:r>
          <w:r>
            <w:rPr>
              <w:rFonts w:hint="default" w:ascii="Times New Roman" w:hAnsi="Times New Roman" w:cs="Times New Roman"/>
              <w:highlight w:val="none"/>
            </w:rPr>
            <w:fldChar w:fldCharType="end"/>
          </w:r>
        </w:p>
        <w:p w14:paraId="2F199D63">
          <w:pPr>
            <w:pStyle w:val="26"/>
            <w:tabs>
              <w:tab w:val="right" w:leader="dot" w:pos="9264"/>
            </w:tabs>
            <w:spacing w:line="360" w:lineRule="auto"/>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_Toc10968 </w:instrText>
          </w:r>
          <w:r>
            <w:rPr>
              <w:rFonts w:hint="default" w:ascii="Times New Roman" w:hAnsi="Times New Roman" w:cs="Times New Roman"/>
              <w:highlight w:val="none"/>
            </w:rPr>
            <w:fldChar w:fldCharType="separate"/>
          </w:r>
          <w:r>
            <w:rPr>
              <w:rFonts w:hint="default" w:ascii="Times New Roman" w:hAnsi="Times New Roman" w:eastAsia="黑体" w:cs="Times New Roman"/>
              <w:lang w:val="en-US" w:eastAsia="zh-CN"/>
            </w:rPr>
            <w:t>8 生产管理要求</w:t>
          </w:r>
          <w:r>
            <w:tab/>
          </w:r>
          <w:r>
            <w:fldChar w:fldCharType="begin"/>
          </w:r>
          <w:r>
            <w:instrText xml:space="preserve"> PAGEREF _Toc10968 \h </w:instrText>
          </w:r>
          <w:r>
            <w:fldChar w:fldCharType="separate"/>
          </w:r>
          <w:r>
            <w:t>5</w:t>
          </w:r>
          <w:r>
            <w:fldChar w:fldCharType="end"/>
          </w:r>
          <w:r>
            <w:rPr>
              <w:rFonts w:hint="default" w:ascii="Times New Roman" w:hAnsi="Times New Roman" w:cs="Times New Roman"/>
              <w:highlight w:val="none"/>
            </w:rPr>
            <w:fldChar w:fldCharType="end"/>
          </w:r>
        </w:p>
        <w:p w14:paraId="519E8861">
          <w:pPr>
            <w:pStyle w:val="26"/>
            <w:tabs>
              <w:tab w:val="right" w:leader="dot" w:pos="9264"/>
            </w:tabs>
            <w:spacing w:line="360" w:lineRule="auto"/>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_Toc23474 </w:instrText>
          </w:r>
          <w:r>
            <w:rPr>
              <w:rFonts w:hint="default" w:ascii="Times New Roman" w:hAnsi="Times New Roman" w:cs="Times New Roman"/>
              <w:highlight w:val="none"/>
            </w:rPr>
            <w:fldChar w:fldCharType="separate"/>
          </w:r>
          <w:r>
            <w:rPr>
              <w:rFonts w:hint="default" w:ascii="Times New Roman" w:hAnsi="Times New Roman" w:eastAsia="黑体" w:cs="Times New Roman"/>
              <w:kern w:val="0"/>
              <w:szCs w:val="21"/>
              <w:lang w:val="en-US" w:eastAsia="zh-CN" w:bidi="ar"/>
              <w14:ligatures w14:val="none"/>
            </w:rPr>
            <w:t>附录A</w:t>
          </w:r>
          <w:r>
            <w:tab/>
          </w:r>
          <w:r>
            <w:fldChar w:fldCharType="begin"/>
          </w:r>
          <w:r>
            <w:instrText xml:space="preserve"> PAGEREF _Toc23474 \h </w:instrText>
          </w:r>
          <w:r>
            <w:fldChar w:fldCharType="separate"/>
          </w:r>
          <w:r>
            <w:t>10</w:t>
          </w:r>
          <w:r>
            <w:fldChar w:fldCharType="end"/>
          </w:r>
          <w:r>
            <w:rPr>
              <w:rFonts w:hint="default" w:ascii="Times New Roman" w:hAnsi="Times New Roman" w:cs="Times New Roman"/>
              <w:highlight w:val="none"/>
            </w:rPr>
            <w:fldChar w:fldCharType="end"/>
          </w:r>
        </w:p>
        <w:p w14:paraId="33D555EC">
          <w:pPr>
            <w:pStyle w:val="26"/>
            <w:tabs>
              <w:tab w:val="right" w:leader="dot" w:pos="9264"/>
            </w:tabs>
            <w:spacing w:line="360" w:lineRule="auto"/>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_Toc19617 </w:instrText>
          </w:r>
          <w:r>
            <w:rPr>
              <w:rFonts w:hint="default" w:ascii="Times New Roman" w:hAnsi="Times New Roman" w:cs="Times New Roman"/>
              <w:highlight w:val="none"/>
            </w:rPr>
            <w:fldChar w:fldCharType="separate"/>
          </w:r>
          <w:r>
            <w:rPr>
              <w:rFonts w:hint="eastAsia" w:ascii="Times New Roman" w:hAnsi="Times New Roman" w:eastAsia="黑体" w:cs="Times New Roman"/>
              <w:kern w:val="0"/>
              <w:szCs w:val="21"/>
              <w:lang w:val="en-US" w:eastAsia="zh-CN" w:bidi="ar"/>
              <w14:ligatures w14:val="none"/>
            </w:rPr>
            <w:t>参考文献</w:t>
          </w:r>
          <w:r>
            <w:tab/>
          </w:r>
          <w:r>
            <w:fldChar w:fldCharType="begin"/>
          </w:r>
          <w:r>
            <w:instrText xml:space="preserve"> PAGEREF _Toc19617 \h </w:instrText>
          </w:r>
          <w:r>
            <w:fldChar w:fldCharType="separate"/>
          </w:r>
          <w:r>
            <w:t>12</w:t>
          </w:r>
          <w:r>
            <w:fldChar w:fldCharType="end"/>
          </w:r>
          <w:r>
            <w:rPr>
              <w:rFonts w:hint="default" w:ascii="Times New Roman" w:hAnsi="Times New Roman" w:cs="Times New Roman"/>
              <w:highlight w:val="none"/>
            </w:rPr>
            <w:fldChar w:fldCharType="end"/>
          </w:r>
        </w:p>
        <w:p w14:paraId="4F451C87">
          <w:pPr>
            <w:spacing w:line="360" w:lineRule="auto"/>
            <w:rPr>
              <w:rFonts w:hint="default" w:ascii="Times New Roman" w:hAnsi="Times New Roman" w:cs="Times New Roman"/>
              <w:highlight w:val="none"/>
            </w:rPr>
          </w:pPr>
          <w:r>
            <w:rPr>
              <w:rFonts w:hint="default" w:ascii="Times New Roman" w:hAnsi="Times New Roman" w:cs="Times New Roman"/>
              <w:highlight w:val="none"/>
            </w:rPr>
            <w:fldChar w:fldCharType="end"/>
          </w:r>
        </w:p>
      </w:sdtContent>
    </w:sdt>
    <w:p w14:paraId="2BF07B75">
      <w:pPr>
        <w:rPr>
          <w:rFonts w:hint="default" w:ascii="Times New Roman" w:hAnsi="Times New Roman" w:cs="Times New Roman"/>
          <w:highlight w:val="none"/>
        </w:rPr>
      </w:pPr>
    </w:p>
    <w:p w14:paraId="6CD452E7">
      <w:pPr>
        <w:pStyle w:val="2"/>
        <w:jc w:val="center"/>
        <w:rPr>
          <w:rFonts w:hint="default" w:ascii="Times New Roman" w:hAnsi="Times New Roman" w:eastAsia="黑体" w:cs="Times New Roman"/>
          <w:bCs/>
          <w:color w:val="auto"/>
          <w:sz w:val="32"/>
          <w:highlight w:val="none"/>
        </w:rPr>
        <w:sectPr>
          <w:headerReference r:id="rId15" w:type="first"/>
          <w:footerReference r:id="rId18" w:type="first"/>
          <w:headerReference r:id="rId13" w:type="default"/>
          <w:footerReference r:id="rId16" w:type="default"/>
          <w:headerReference r:id="rId14" w:type="even"/>
          <w:footerReference r:id="rId17" w:type="even"/>
          <w:pgSz w:w="11900" w:h="16840"/>
          <w:pgMar w:top="2139" w:right="1228" w:bottom="1244" w:left="1408" w:header="0" w:footer="992" w:gutter="0"/>
          <w:pgNumType w:fmt="upperRoman" w:start="1"/>
          <w:cols w:space="720" w:num="1"/>
          <w:titlePg/>
          <w:docGrid w:linePitch="360" w:charSpace="0"/>
        </w:sectPr>
      </w:pPr>
    </w:p>
    <w:p w14:paraId="58173F3D">
      <w:pPr>
        <w:pStyle w:val="2"/>
        <w:spacing w:before="0" w:after="0"/>
        <w:jc w:val="center"/>
        <w:rPr>
          <w:rFonts w:hint="default" w:ascii="Times New Roman" w:hAnsi="Times New Roman" w:eastAsia="黑体" w:cs="Times New Roman"/>
          <w:bCs/>
          <w:color w:val="auto"/>
          <w:sz w:val="32"/>
          <w:highlight w:val="none"/>
        </w:rPr>
      </w:pPr>
      <w:bookmarkStart w:id="4" w:name="_Toc1136"/>
      <w:r>
        <w:rPr>
          <w:rFonts w:hint="default" w:ascii="Times New Roman" w:hAnsi="Times New Roman" w:eastAsia="黑体" w:cs="Times New Roman"/>
          <w:bCs/>
          <w:color w:val="auto"/>
          <w:sz w:val="32"/>
          <w:highlight w:val="none"/>
        </w:rPr>
        <w:t>前  言</w:t>
      </w:r>
      <w:bookmarkEnd w:id="4"/>
    </w:p>
    <w:p w14:paraId="18577F72">
      <w:pPr>
        <w:spacing w:line="400" w:lineRule="atLeast"/>
        <w:jc w:val="center"/>
        <w:rPr>
          <w:rFonts w:hint="default" w:ascii="Times New Roman" w:hAnsi="Times New Roman" w:cs="Times New Roman"/>
          <w:b/>
          <w:bCs/>
          <w:color w:val="7F7F7F"/>
          <w:sz w:val="44"/>
          <w:highlight w:val="none"/>
        </w:rPr>
      </w:pPr>
    </w:p>
    <w:p w14:paraId="011A7EDD">
      <w:pPr>
        <w:pStyle w:val="104"/>
        <w:adjustRightInd w:val="0"/>
        <w:snapToGrid w:val="0"/>
        <w:spacing w:line="360" w:lineRule="auto"/>
        <w:ind w:firstLine="420"/>
        <w:rPr>
          <w:rFonts w:hint="default" w:ascii="Times New Roman" w:hAnsi="Times New Roman" w:cs="Times New Roman"/>
          <w:szCs w:val="21"/>
          <w:highlight w:val="none"/>
        </w:rPr>
      </w:pPr>
      <w:r>
        <w:rPr>
          <w:rFonts w:hint="default" w:ascii="Times New Roman" w:hAnsi="Times New Roman" w:cs="Times New Roman"/>
          <w:szCs w:val="21"/>
          <w:highlight w:val="none"/>
        </w:rPr>
        <w:t>本文件按照GB/T 1.1-2020《标准化工作导则 第1部分：标准化文件的结构和起草规则》的规定起草。</w:t>
      </w:r>
    </w:p>
    <w:p w14:paraId="5EB0C9FF">
      <w:pPr>
        <w:adjustRightInd w:val="0"/>
        <w:snapToGrid w:val="0"/>
        <w:ind w:firstLine="420" w:firstLineChars="20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请注意本文件的某些内容可能涉及专利。本文件的发布机构不承担识别专利的责任。</w:t>
      </w:r>
    </w:p>
    <w:p w14:paraId="18ED981F">
      <w:pPr>
        <w:adjustRightInd w:val="0"/>
        <w:snapToGrid w:val="0"/>
        <w:ind w:firstLine="420" w:firstLineChars="20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本文件由全国稀土标准化技术委员会（SAC/TC 229）归口。</w:t>
      </w:r>
    </w:p>
    <w:p w14:paraId="7DA5A8CF">
      <w:pPr>
        <w:adjustRightInd w:val="0"/>
        <w:snapToGrid w:val="0"/>
        <w:ind w:firstLine="420" w:firstLineChars="200"/>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rPr>
        <w:t>本文件起草单位：</w:t>
      </w:r>
      <w:r>
        <w:rPr>
          <w:rFonts w:hint="default" w:ascii="Times New Roman" w:hAnsi="Times New Roman" w:eastAsia="宋体" w:cs="Times New Roman"/>
          <w:sz w:val="21"/>
          <w:szCs w:val="21"/>
          <w:highlight w:val="none"/>
        </w:rPr>
        <w:t>包头钢铁（集团）有限责任公司</w:t>
      </w:r>
      <w:r>
        <w:rPr>
          <w:rFonts w:hint="default" w:ascii="Times New Roman" w:hAnsi="Times New Roman" w:eastAsia="宋体" w:cs="Times New Roman"/>
          <w:sz w:val="21"/>
          <w:szCs w:val="21"/>
          <w:highlight w:val="none"/>
          <w:lang w:eastAsia="zh-CN"/>
        </w:rPr>
        <w:t>、</w:t>
      </w:r>
      <w:r>
        <w:rPr>
          <w:rFonts w:hint="default" w:ascii="Times New Roman" w:hAnsi="Times New Roman" w:eastAsia="宋体" w:cs="Times New Roman"/>
          <w:sz w:val="21"/>
          <w:szCs w:val="21"/>
          <w:highlight w:val="none"/>
        </w:rPr>
        <w:t>包</w:t>
      </w:r>
      <w:r>
        <w:rPr>
          <w:rFonts w:hint="default" w:ascii="Times New Roman" w:hAnsi="Times New Roman" w:cs="Times New Roman"/>
          <w:sz w:val="21"/>
          <w:szCs w:val="21"/>
          <w:highlight w:val="none"/>
          <w:lang w:val="en-US" w:eastAsia="zh-CN"/>
        </w:rPr>
        <w:t>钢</w:t>
      </w:r>
      <w:r>
        <w:rPr>
          <w:rFonts w:hint="default" w:ascii="Times New Roman" w:hAnsi="Times New Roman" w:eastAsia="宋体" w:cs="Times New Roman"/>
          <w:sz w:val="21"/>
          <w:szCs w:val="21"/>
          <w:highlight w:val="none"/>
        </w:rPr>
        <w:t>（集团）</w:t>
      </w:r>
      <w:r>
        <w:rPr>
          <w:rFonts w:hint="default" w:ascii="Times New Roman" w:hAnsi="Times New Roman" w:cs="Times New Roman"/>
          <w:sz w:val="21"/>
          <w:szCs w:val="21"/>
          <w:highlight w:val="none"/>
          <w:lang w:val="en-US" w:eastAsia="zh-CN"/>
        </w:rPr>
        <w:t>公司白云鄂博铁矿</w:t>
      </w:r>
      <w:r>
        <w:rPr>
          <w:rFonts w:hint="eastAsia" w:cs="Times New Roman"/>
          <w:sz w:val="21"/>
          <w:szCs w:val="21"/>
          <w:highlight w:val="none"/>
          <w:lang w:val="en-US" w:eastAsia="zh-CN"/>
        </w:rPr>
        <w:t>、</w:t>
      </w:r>
      <w:r>
        <w:rPr>
          <w:rFonts w:hint="default" w:ascii="Times New Roman" w:hAnsi="Times New Roman" w:eastAsia="宋体" w:cs="Times New Roman"/>
          <w:sz w:val="21"/>
          <w:szCs w:val="21"/>
          <w:highlight w:val="none"/>
        </w:rPr>
        <w:t>包钢集团矿山研究院（有限责任公司）</w:t>
      </w:r>
      <w:r>
        <w:rPr>
          <w:rFonts w:hint="default" w:ascii="Times New Roman" w:hAnsi="Times New Roman" w:eastAsia="宋体" w:cs="Times New Roman"/>
          <w:sz w:val="21"/>
          <w:szCs w:val="21"/>
          <w:highlight w:val="none"/>
          <w:lang w:eastAsia="zh-CN"/>
        </w:rPr>
        <w:t>、</w:t>
      </w:r>
      <w:r>
        <w:rPr>
          <w:rFonts w:hint="default" w:ascii="Times New Roman" w:hAnsi="Times New Roman" w:eastAsia="宋体" w:cs="Times New Roman"/>
          <w:sz w:val="21"/>
          <w:szCs w:val="21"/>
          <w:highlight w:val="none"/>
        </w:rPr>
        <w:t>中国北方稀土（集团）高科技股份有限公司、中国稀土集团有限公司</w:t>
      </w:r>
      <w:r>
        <w:rPr>
          <w:rFonts w:hint="default" w:ascii="Times New Roman" w:hAnsi="Times New Roman" w:eastAsia="宋体" w:cs="Times New Roman"/>
          <w:sz w:val="21"/>
          <w:szCs w:val="21"/>
          <w:highlight w:val="none"/>
          <w:lang w:eastAsia="zh-CN"/>
        </w:rPr>
        <w:t>、</w:t>
      </w:r>
      <w:r>
        <w:rPr>
          <w:rFonts w:hint="default" w:ascii="Times New Roman" w:hAnsi="Times New Roman" w:cs="Times New Roman"/>
          <w:sz w:val="21"/>
          <w:szCs w:val="21"/>
          <w:highlight w:val="none"/>
          <w:lang w:val="en-US" w:eastAsia="zh-CN"/>
        </w:rPr>
        <w:t>中稀（山东）稀土开发有限公司、中稀（凉山）稀土有限公司、</w:t>
      </w:r>
      <w:r>
        <w:rPr>
          <w:rFonts w:hint="default" w:ascii="Times New Roman" w:hAnsi="Times New Roman" w:eastAsia="宋体" w:cs="Times New Roman"/>
          <w:sz w:val="21"/>
          <w:szCs w:val="21"/>
          <w:highlight w:val="none"/>
        </w:rPr>
        <w:t>有研稀土新材料股份有限公司</w:t>
      </w:r>
      <w:r>
        <w:rPr>
          <w:rFonts w:hint="default" w:ascii="Times New Roman" w:hAnsi="Times New Roman" w:eastAsia="宋体" w:cs="Times New Roman"/>
          <w:sz w:val="21"/>
          <w:szCs w:val="21"/>
          <w:highlight w:val="none"/>
          <w:lang w:eastAsia="zh-CN"/>
        </w:rPr>
        <w:t>、</w:t>
      </w:r>
      <w:r>
        <w:rPr>
          <w:rFonts w:hint="default" w:ascii="Times New Roman" w:hAnsi="Times New Roman" w:eastAsia="宋体" w:cs="Times New Roman"/>
          <w:sz w:val="21"/>
          <w:szCs w:val="21"/>
          <w:highlight w:val="none"/>
        </w:rPr>
        <w:t>中国恩菲工程技术有限公司</w:t>
      </w:r>
      <w:r>
        <w:rPr>
          <w:rFonts w:hint="default" w:ascii="Times New Roman" w:hAnsi="Times New Roman" w:cs="Times New Roman"/>
          <w:sz w:val="21"/>
          <w:szCs w:val="21"/>
          <w:highlight w:val="none"/>
          <w:lang w:val="en-US" w:eastAsia="zh-CN"/>
        </w:rPr>
        <w:t>。</w:t>
      </w:r>
    </w:p>
    <w:p w14:paraId="37470641">
      <w:pPr>
        <w:adjustRightInd w:val="0"/>
        <w:snapToGrid w:val="0"/>
        <w:spacing w:line="360" w:lineRule="auto"/>
        <w:ind w:firstLine="420"/>
        <w:rPr>
          <w:b/>
          <w:bCs/>
          <w:szCs w:val="21"/>
        </w:rPr>
      </w:pPr>
      <w:r>
        <w:rPr>
          <w:b/>
          <w:bCs/>
          <w:szCs w:val="21"/>
        </w:rPr>
        <w:t>所列起草单位名单为</w:t>
      </w:r>
      <w:r>
        <w:rPr>
          <w:rFonts w:hint="eastAsia"/>
          <w:b/>
          <w:bCs/>
          <w:szCs w:val="21"/>
          <w:lang w:val="en-US" w:eastAsia="zh-CN"/>
        </w:rPr>
        <w:t>审定</w:t>
      </w:r>
      <w:r>
        <w:rPr>
          <w:b/>
          <w:bCs/>
          <w:szCs w:val="21"/>
        </w:rPr>
        <w:t>阶段梳理</w:t>
      </w:r>
      <w:r>
        <w:rPr>
          <w:rFonts w:hint="eastAsia"/>
          <w:b/>
          <w:bCs/>
          <w:szCs w:val="21"/>
        </w:rPr>
        <w:t>名单</w:t>
      </w:r>
      <w:r>
        <w:rPr>
          <w:b/>
          <w:bCs/>
          <w:szCs w:val="21"/>
        </w:rPr>
        <w:t>，非正式最终名单。</w:t>
      </w:r>
    </w:p>
    <w:p w14:paraId="642F28CD">
      <w:pPr>
        <w:adjustRightInd w:val="0"/>
        <w:snapToGrid w:val="0"/>
        <w:ind w:firstLine="420" w:firstLineChars="20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本文件主要起草人：</w:t>
      </w:r>
    </w:p>
    <w:p w14:paraId="563EBB66">
      <w:pPr>
        <w:adjustRightInd w:val="0"/>
        <w:snapToGrid w:val="0"/>
        <w:ind w:firstLine="420" w:firstLineChars="200"/>
        <w:rPr>
          <w:rFonts w:hint="default" w:ascii="Times New Roman" w:hAnsi="Times New Roman" w:cs="Times New Roman"/>
          <w:sz w:val="21"/>
          <w:szCs w:val="21"/>
          <w:highlight w:val="none"/>
        </w:rPr>
      </w:pPr>
    </w:p>
    <w:p w14:paraId="0D1D08E8">
      <w:pPr>
        <w:adjustRightInd w:val="0"/>
        <w:snapToGrid w:val="0"/>
        <w:ind w:firstLine="420" w:firstLineChars="200"/>
        <w:rPr>
          <w:rFonts w:hint="default" w:ascii="Times New Roman" w:hAnsi="Times New Roman" w:cs="Times New Roman"/>
          <w:sz w:val="21"/>
          <w:szCs w:val="21"/>
          <w:highlight w:val="none"/>
        </w:rPr>
      </w:pPr>
    </w:p>
    <w:p w14:paraId="2285D257">
      <w:pPr>
        <w:adjustRightInd w:val="0"/>
        <w:snapToGrid w:val="0"/>
        <w:ind w:firstLine="480" w:firstLineChars="200"/>
        <w:rPr>
          <w:rFonts w:hint="default" w:ascii="Times New Roman" w:hAnsi="Times New Roman" w:cs="Times New Roman"/>
          <w:highlight w:val="none"/>
        </w:rPr>
        <w:sectPr>
          <w:footerReference r:id="rId21" w:type="first"/>
          <w:headerReference r:id="rId19" w:type="default"/>
          <w:footerReference r:id="rId20" w:type="default"/>
          <w:pgSz w:w="11900" w:h="16840"/>
          <w:pgMar w:top="2139" w:right="1228" w:bottom="1244" w:left="1408" w:header="0" w:footer="992" w:gutter="0"/>
          <w:pgNumType w:fmt="upperRoman"/>
          <w:cols w:space="720" w:num="1"/>
          <w:docGrid w:linePitch="360" w:charSpace="0"/>
        </w:sectPr>
      </w:pPr>
    </w:p>
    <w:p w14:paraId="0834CA13">
      <w:pPr>
        <w:adjustRightInd w:val="0"/>
        <w:snapToGrid w:val="0"/>
        <w:ind w:firstLine="405"/>
        <w:jc w:val="center"/>
        <w:rPr>
          <w:rFonts w:hint="default" w:ascii="Times New Roman" w:hAnsi="Times New Roman" w:eastAsia="黑体" w:cs="Times New Roman"/>
          <w:highlight w:val="none"/>
        </w:rPr>
      </w:pPr>
      <w:r>
        <w:rPr>
          <w:rFonts w:hint="default" w:ascii="Times New Roman" w:hAnsi="Times New Roman" w:eastAsia="黑体" w:cs="Times New Roman"/>
          <w:sz w:val="32"/>
          <w:szCs w:val="32"/>
          <w:highlight w:val="none"/>
        </w:rPr>
        <w:t>岩矿型稀土矿山绿色开采要求</w:t>
      </w:r>
    </w:p>
    <w:p w14:paraId="0AED3558">
      <w:pPr>
        <w:pStyle w:val="2"/>
        <w:bidi w:val="0"/>
        <w:spacing w:line="240" w:lineRule="auto"/>
        <w:rPr>
          <w:rFonts w:hint="default" w:ascii="Times New Roman" w:hAnsi="Times New Roman" w:eastAsia="黑体" w:cs="Times New Roman"/>
          <w:color w:val="auto"/>
          <w:lang w:val="en-US" w:eastAsia="zh-CN"/>
        </w:rPr>
      </w:pPr>
      <w:bookmarkStart w:id="5" w:name="_Toc22105"/>
      <w:r>
        <w:rPr>
          <w:rFonts w:hint="default" w:ascii="Times New Roman" w:hAnsi="Times New Roman" w:eastAsia="黑体" w:cs="Times New Roman"/>
          <w:color w:val="auto"/>
          <w:lang w:val="en-US" w:eastAsia="zh-CN"/>
        </w:rPr>
        <w:t>1 范围</w:t>
      </w:r>
      <w:bookmarkEnd w:id="5"/>
    </w:p>
    <w:p w14:paraId="3105FF58">
      <w:pPr>
        <w:adjustRightInd w:val="0"/>
        <w:snapToGrid w:val="0"/>
        <w:spacing w:line="360" w:lineRule="exact"/>
        <w:ind w:firstLine="420" w:firstLineChars="200"/>
        <w:rPr>
          <w:rFonts w:hint="default" w:ascii="Times New Roman" w:hAnsi="Times New Roman" w:eastAsia="宋体" w:cs="Times New Roman"/>
          <w:color w:val="0F1115"/>
          <w:sz w:val="21"/>
          <w:szCs w:val="21"/>
          <w:highlight w:val="none"/>
          <w:shd w:val="clear" w:color="auto" w:fill="FFFFFF"/>
          <w:lang w:val="en-US" w:eastAsia="zh-CN"/>
        </w:rPr>
      </w:pPr>
      <w:bookmarkStart w:id="6" w:name="_Hlk209596387"/>
      <w:r>
        <w:rPr>
          <w:rFonts w:hint="default" w:ascii="Times New Roman" w:hAnsi="Times New Roman" w:eastAsia="宋体" w:cs="Times New Roman"/>
          <w:color w:val="0F1115"/>
          <w:sz w:val="21"/>
          <w:szCs w:val="21"/>
          <w:highlight w:val="none"/>
          <w:shd w:val="clear" w:color="auto" w:fill="FFFFFF"/>
        </w:rPr>
        <w:t>本</w:t>
      </w:r>
      <w:r>
        <w:rPr>
          <w:rFonts w:hint="default" w:ascii="Times New Roman" w:hAnsi="Times New Roman" w:eastAsia="宋体" w:cs="Times New Roman"/>
          <w:color w:val="0F1115"/>
          <w:sz w:val="21"/>
          <w:szCs w:val="21"/>
          <w:highlight w:val="none"/>
          <w:shd w:val="clear" w:color="auto" w:fill="FFFFFF"/>
          <w:lang w:val="en-US" w:eastAsia="zh-CN"/>
        </w:rPr>
        <w:t>文件规定了岩矿型稀土矿山绿色开采全过程的总体</w:t>
      </w:r>
      <w:r>
        <w:rPr>
          <w:rFonts w:hint="eastAsia" w:ascii="Times New Roman" w:hAnsi="Times New Roman" w:eastAsia="宋体" w:cs="Times New Roman"/>
          <w:color w:val="0F1115"/>
          <w:sz w:val="21"/>
          <w:szCs w:val="21"/>
          <w:highlight w:val="none"/>
          <w:shd w:val="clear" w:color="auto" w:fill="FFFFFF"/>
          <w:lang w:val="en-US" w:eastAsia="zh-CN"/>
        </w:rPr>
        <w:t>要求</w:t>
      </w:r>
      <w:r>
        <w:rPr>
          <w:rFonts w:hint="default" w:ascii="Times New Roman" w:hAnsi="Times New Roman" w:eastAsia="宋体" w:cs="Times New Roman"/>
          <w:color w:val="0F1115"/>
          <w:sz w:val="21"/>
          <w:szCs w:val="21"/>
          <w:highlight w:val="none"/>
          <w:shd w:val="clear" w:color="auto" w:fill="FFFFFF"/>
          <w:lang w:val="en-US" w:eastAsia="zh-CN"/>
        </w:rPr>
        <w:t>、</w:t>
      </w:r>
      <w:r>
        <w:rPr>
          <w:rFonts w:hint="eastAsia" w:cs="Times New Roman"/>
          <w:color w:val="0F1115"/>
          <w:sz w:val="21"/>
          <w:szCs w:val="21"/>
          <w:highlight w:val="none"/>
          <w:shd w:val="clear" w:color="auto" w:fill="FFFFFF"/>
          <w:lang w:val="en-US" w:eastAsia="zh-CN"/>
        </w:rPr>
        <w:t>绿色开采</w:t>
      </w:r>
      <w:r>
        <w:rPr>
          <w:rFonts w:hint="default" w:ascii="Times New Roman" w:hAnsi="Times New Roman" w:eastAsia="宋体" w:cs="Times New Roman"/>
          <w:color w:val="0F1115"/>
          <w:sz w:val="21"/>
          <w:szCs w:val="21"/>
          <w:highlight w:val="none"/>
          <w:shd w:val="clear" w:color="auto" w:fill="FFFFFF"/>
          <w:lang w:val="en-US" w:eastAsia="zh-CN"/>
        </w:rPr>
        <w:t>技术</w:t>
      </w:r>
      <w:r>
        <w:rPr>
          <w:rFonts w:hint="eastAsia" w:cs="Times New Roman"/>
          <w:color w:val="0F1115"/>
          <w:sz w:val="21"/>
          <w:szCs w:val="21"/>
          <w:highlight w:val="none"/>
          <w:shd w:val="clear" w:color="auto" w:fill="FFFFFF"/>
          <w:lang w:val="en-US" w:eastAsia="zh-CN"/>
        </w:rPr>
        <w:t>要求</w:t>
      </w:r>
      <w:r>
        <w:rPr>
          <w:rFonts w:hint="default" w:ascii="Times New Roman" w:hAnsi="Times New Roman" w:eastAsia="宋体" w:cs="Times New Roman"/>
          <w:color w:val="0F1115"/>
          <w:sz w:val="21"/>
          <w:szCs w:val="21"/>
          <w:highlight w:val="none"/>
          <w:shd w:val="clear" w:color="auto" w:fill="FFFFFF"/>
          <w:lang w:val="en-US" w:eastAsia="zh-CN"/>
        </w:rPr>
        <w:t>、环保要求、</w:t>
      </w:r>
      <w:r>
        <w:rPr>
          <w:rFonts w:hint="default" w:ascii="Times New Roman" w:hAnsi="Times New Roman" w:cs="Times New Roman"/>
          <w:color w:val="0F1115"/>
          <w:sz w:val="21"/>
          <w:szCs w:val="21"/>
          <w:highlight w:val="none"/>
          <w:shd w:val="clear" w:color="auto" w:fill="FFFFFF"/>
          <w:lang w:val="en-US" w:eastAsia="zh-CN"/>
        </w:rPr>
        <w:t>原材料及</w:t>
      </w:r>
      <w:r>
        <w:rPr>
          <w:rFonts w:hint="default" w:ascii="Times New Roman" w:hAnsi="Times New Roman" w:eastAsia="宋体" w:cs="Times New Roman"/>
          <w:color w:val="0F1115"/>
          <w:sz w:val="21"/>
          <w:szCs w:val="21"/>
          <w:highlight w:val="none"/>
          <w:shd w:val="clear" w:color="auto" w:fill="FFFFFF"/>
          <w:lang w:val="en-US" w:eastAsia="zh-CN"/>
        </w:rPr>
        <w:t>产品</w:t>
      </w:r>
      <w:r>
        <w:rPr>
          <w:rFonts w:hint="eastAsia" w:cs="Times New Roman"/>
          <w:color w:val="0F1115"/>
          <w:sz w:val="21"/>
          <w:szCs w:val="21"/>
          <w:highlight w:val="none"/>
          <w:shd w:val="clear" w:color="auto" w:fill="FFFFFF"/>
          <w:lang w:val="en-US" w:eastAsia="zh-CN"/>
        </w:rPr>
        <w:t>要求和</w:t>
      </w:r>
      <w:r>
        <w:rPr>
          <w:rFonts w:hint="default" w:ascii="Times New Roman" w:hAnsi="Times New Roman" w:eastAsia="宋体" w:cs="Times New Roman"/>
          <w:color w:val="0F1115"/>
          <w:sz w:val="21"/>
          <w:szCs w:val="21"/>
          <w:highlight w:val="none"/>
          <w:shd w:val="clear" w:color="auto" w:fill="FFFFFF"/>
          <w:lang w:val="en-US" w:eastAsia="zh-CN"/>
        </w:rPr>
        <w:t>生产管理要求。</w:t>
      </w:r>
    </w:p>
    <w:p w14:paraId="1CE15655">
      <w:pPr>
        <w:adjustRightInd w:val="0"/>
        <w:snapToGrid w:val="0"/>
        <w:spacing w:line="360" w:lineRule="exact"/>
        <w:ind w:firstLine="420" w:firstLineChars="200"/>
        <w:rPr>
          <w:rFonts w:hint="default" w:ascii="Times New Roman" w:hAnsi="Times New Roman" w:cs="Times New Roman"/>
          <w:color w:val="0F1115"/>
          <w:sz w:val="21"/>
          <w:szCs w:val="21"/>
          <w:highlight w:val="none"/>
          <w:shd w:val="clear" w:color="auto" w:fill="FFFFFF"/>
        </w:rPr>
      </w:pPr>
      <w:r>
        <w:rPr>
          <w:rFonts w:hint="default" w:ascii="Times New Roman" w:hAnsi="Times New Roman" w:eastAsia="宋体" w:cs="Times New Roman"/>
          <w:color w:val="0F1115"/>
          <w:sz w:val="21"/>
          <w:szCs w:val="21"/>
          <w:highlight w:val="none"/>
          <w:shd w:val="clear" w:color="auto" w:fill="FFFFFF"/>
        </w:rPr>
        <w:t>本文件适用于岩矿型稀土矿山</w:t>
      </w:r>
      <w:r>
        <w:rPr>
          <w:rFonts w:hint="eastAsia" w:cs="Times New Roman"/>
          <w:color w:val="0F1115"/>
          <w:sz w:val="21"/>
          <w:szCs w:val="21"/>
          <w:highlight w:val="none"/>
          <w:shd w:val="clear" w:color="auto" w:fill="FFFFFF"/>
          <w:lang w:eastAsia="zh-CN"/>
        </w:rPr>
        <w:t>（</w:t>
      </w:r>
      <w:r>
        <w:rPr>
          <w:rFonts w:hint="default" w:ascii="Times New Roman" w:hAnsi="Times New Roman" w:eastAsia="宋体" w:cs="Times New Roman"/>
          <w:color w:val="0F1115"/>
          <w:sz w:val="21"/>
          <w:szCs w:val="21"/>
          <w:highlight w:val="none"/>
          <w:shd w:val="clear" w:color="auto" w:fill="FFFFFF"/>
          <w:lang w:val="en-US" w:eastAsia="zh-CN"/>
        </w:rPr>
        <w:t>氟碳铈矿型、氟碳铈矿—独居石混合型</w:t>
      </w:r>
      <w:r>
        <w:rPr>
          <w:rFonts w:hint="eastAsia" w:ascii="Times New Roman" w:hAnsi="Times New Roman" w:cs="Times New Roman"/>
          <w:color w:val="0F1115"/>
          <w:sz w:val="21"/>
          <w:szCs w:val="21"/>
          <w:highlight w:val="none"/>
          <w:shd w:val="clear" w:color="auto" w:fill="FFFFFF"/>
          <w:lang w:val="en-US" w:eastAsia="zh-CN"/>
        </w:rPr>
        <w:t>等</w:t>
      </w:r>
      <w:r>
        <w:rPr>
          <w:rFonts w:hint="eastAsia" w:cs="Times New Roman"/>
          <w:color w:val="0F1115"/>
          <w:sz w:val="21"/>
          <w:szCs w:val="21"/>
          <w:highlight w:val="none"/>
          <w:shd w:val="clear" w:color="auto" w:fill="FFFFFF"/>
          <w:lang w:eastAsia="zh-CN"/>
        </w:rPr>
        <w:t>）</w:t>
      </w:r>
      <w:r>
        <w:rPr>
          <w:rFonts w:hint="eastAsia" w:ascii="Times New Roman" w:hAnsi="Times New Roman" w:cs="Times New Roman"/>
          <w:color w:val="0F1115"/>
          <w:sz w:val="21"/>
          <w:szCs w:val="21"/>
          <w:highlight w:val="none"/>
          <w:shd w:val="clear" w:color="auto" w:fill="FFFFFF"/>
          <w:lang w:val="en-US" w:eastAsia="zh-CN"/>
        </w:rPr>
        <w:t>实施绿色化</w:t>
      </w:r>
      <w:r>
        <w:rPr>
          <w:rFonts w:hint="default" w:ascii="Times New Roman" w:hAnsi="Times New Roman" w:eastAsia="宋体" w:cs="Times New Roman"/>
          <w:color w:val="0F1115"/>
          <w:sz w:val="21"/>
          <w:szCs w:val="21"/>
          <w:highlight w:val="none"/>
          <w:shd w:val="clear" w:color="auto" w:fill="FFFFFF"/>
          <w:lang w:val="en-US" w:eastAsia="zh-CN"/>
        </w:rPr>
        <w:t>开采</w:t>
      </w:r>
      <w:r>
        <w:rPr>
          <w:rFonts w:hint="eastAsia" w:ascii="Times New Roman" w:hAnsi="Times New Roman" w:cs="Times New Roman"/>
          <w:color w:val="0F1115"/>
          <w:sz w:val="21"/>
          <w:szCs w:val="21"/>
          <w:highlight w:val="none"/>
          <w:shd w:val="clear" w:color="auto" w:fill="FFFFFF"/>
          <w:lang w:val="en-US" w:eastAsia="zh-CN"/>
        </w:rPr>
        <w:t>工作，</w:t>
      </w:r>
      <w:r>
        <w:rPr>
          <w:rFonts w:hint="default" w:ascii="Times New Roman" w:hAnsi="Times New Roman" w:eastAsia="宋体" w:cs="Times New Roman"/>
          <w:color w:val="0F1115"/>
          <w:sz w:val="21"/>
          <w:szCs w:val="21"/>
          <w:highlight w:val="none"/>
          <w:shd w:val="clear" w:color="auto" w:fill="FFFFFF"/>
        </w:rPr>
        <w:t>开采</w:t>
      </w:r>
      <w:r>
        <w:rPr>
          <w:rFonts w:hint="eastAsia" w:cs="Times New Roman"/>
          <w:color w:val="0F1115"/>
          <w:sz w:val="21"/>
          <w:szCs w:val="21"/>
          <w:highlight w:val="none"/>
          <w:shd w:val="clear" w:color="auto" w:fill="FFFFFF"/>
          <w:lang w:val="en-US" w:eastAsia="zh-CN"/>
        </w:rPr>
        <w:t>要求</w:t>
      </w:r>
      <w:r>
        <w:rPr>
          <w:rFonts w:hint="default" w:ascii="Times New Roman" w:hAnsi="Times New Roman" w:eastAsia="宋体" w:cs="Times New Roman"/>
          <w:color w:val="0F1115"/>
          <w:sz w:val="21"/>
          <w:szCs w:val="21"/>
          <w:highlight w:val="none"/>
          <w:shd w:val="clear" w:color="auto" w:fill="FFFFFF"/>
        </w:rPr>
        <w:t>包含采矿工序与</w:t>
      </w:r>
      <w:r>
        <w:rPr>
          <w:rFonts w:hint="default" w:ascii="Times New Roman" w:hAnsi="Times New Roman" w:eastAsia="宋体" w:cs="Times New Roman"/>
          <w:color w:val="0F1115"/>
          <w:sz w:val="21"/>
          <w:szCs w:val="21"/>
          <w:highlight w:val="none"/>
          <w:shd w:val="clear" w:color="auto" w:fill="FFFFFF"/>
          <w:lang w:val="en-US" w:eastAsia="zh-CN"/>
        </w:rPr>
        <w:t>选矿</w:t>
      </w:r>
      <w:r>
        <w:rPr>
          <w:rFonts w:hint="default" w:ascii="Times New Roman" w:hAnsi="Times New Roman" w:eastAsia="宋体" w:cs="Times New Roman"/>
          <w:color w:val="0F1115"/>
          <w:sz w:val="21"/>
          <w:szCs w:val="21"/>
          <w:highlight w:val="none"/>
          <w:shd w:val="clear" w:color="auto" w:fill="FFFFFF"/>
        </w:rPr>
        <w:t>工序</w:t>
      </w:r>
      <w:r>
        <w:rPr>
          <w:rFonts w:hint="eastAsia" w:ascii="Times New Roman" w:hAnsi="Times New Roman" w:cs="Times New Roman"/>
          <w:color w:val="0F1115"/>
          <w:sz w:val="21"/>
          <w:szCs w:val="21"/>
          <w:highlight w:val="none"/>
          <w:shd w:val="clear" w:color="auto" w:fill="FFFFFF"/>
          <w:lang w:val="en-US" w:eastAsia="zh-CN"/>
        </w:rPr>
        <w:t>。</w:t>
      </w:r>
    </w:p>
    <w:bookmarkEnd w:id="6"/>
    <w:p w14:paraId="27804CB2">
      <w:pPr>
        <w:pStyle w:val="2"/>
        <w:rPr>
          <w:rFonts w:hint="default" w:ascii="Times New Roman" w:hAnsi="Times New Roman" w:cs="Times New Roman" w:eastAsiaTheme="majorEastAsia"/>
          <w:color w:val="auto"/>
          <w:sz w:val="21"/>
          <w:szCs w:val="21"/>
          <w:highlight w:val="none"/>
          <w:lang w:val="en-US" w:eastAsia="zh-CN"/>
        </w:rPr>
      </w:pPr>
      <w:bookmarkStart w:id="7" w:name="_Toc7645"/>
      <w:r>
        <w:rPr>
          <w:rFonts w:hint="default" w:ascii="Times New Roman" w:hAnsi="Times New Roman" w:eastAsia="黑体" w:cs="Times New Roman"/>
          <w:color w:val="auto"/>
          <w:lang w:val="en-US" w:eastAsia="zh-CN"/>
        </w:rPr>
        <w:t xml:space="preserve">2 </w:t>
      </w:r>
      <w:commentRangeStart w:id="0"/>
      <w:r>
        <w:rPr>
          <w:rFonts w:hint="default" w:ascii="Times New Roman" w:hAnsi="Times New Roman" w:eastAsia="黑体" w:cs="Times New Roman"/>
          <w:color w:val="auto"/>
          <w:lang w:val="en-US" w:eastAsia="zh-CN"/>
        </w:rPr>
        <w:t>规范性引用文件</w:t>
      </w:r>
      <w:commentRangeEnd w:id="0"/>
      <w:r>
        <w:rPr>
          <w:rFonts w:hint="default" w:ascii="Times New Roman" w:hAnsi="Times New Roman" w:eastAsia="黑体" w:cs="Times New Roman"/>
          <w:color w:val="auto"/>
          <w:lang w:val="en-US" w:eastAsia="zh-CN"/>
        </w:rPr>
        <w:commentReference w:id="0"/>
      </w:r>
      <w:bookmarkEnd w:id="7"/>
    </w:p>
    <w:p w14:paraId="62DA59D9">
      <w:pPr>
        <w:adjustRightInd w:val="0"/>
        <w:snapToGrid w:val="0"/>
        <w:spacing w:line="360" w:lineRule="exact"/>
        <w:ind w:firstLine="420" w:firstLineChars="20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下列文件中的内容通过文中的规范性引用而构成本文件必不可少的条款。其中，注日期的引用文件，仅该日期对应的版本适用于本文件；不注日期的引用文件，其最新版本（包括所有的修改单）适用于本文件。</w:t>
      </w:r>
      <w:bookmarkStart w:id="8" w:name="OLE_LINK31"/>
    </w:p>
    <w:p w14:paraId="729ED603">
      <w:pPr>
        <w:adjustRightInd w:val="0"/>
        <w:snapToGrid w:val="0"/>
        <w:spacing w:line="360" w:lineRule="exact"/>
        <w:ind w:left="418" w:leftChars="174" w:firstLine="0" w:firstLineChars="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GB 3838 地表水环境质量标准</w:t>
      </w:r>
    </w:p>
    <w:p w14:paraId="1DA2FC27">
      <w:pPr>
        <w:adjustRightInd w:val="0"/>
        <w:snapToGrid w:val="0"/>
        <w:spacing w:line="360" w:lineRule="exact"/>
        <w:ind w:left="418" w:leftChars="174" w:firstLine="0" w:firstLineChars="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GB 11806 放射性物质安全运输规定</w:t>
      </w:r>
    </w:p>
    <w:p w14:paraId="65A4A75D">
      <w:pPr>
        <w:adjustRightInd w:val="0"/>
        <w:snapToGrid w:val="0"/>
        <w:spacing w:line="360" w:lineRule="exact"/>
        <w:ind w:left="418" w:leftChars="174" w:firstLine="0" w:firstLineChars="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GB 12348 工业企业厂界环境噪声排放标准</w:t>
      </w:r>
    </w:p>
    <w:p w14:paraId="37620D4D">
      <w:pPr>
        <w:adjustRightInd w:val="0"/>
        <w:snapToGrid w:val="0"/>
        <w:spacing w:line="360" w:lineRule="exact"/>
        <w:ind w:left="418" w:leftChars="174" w:firstLine="0" w:firstLineChars="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GB 14500 放射性废物管理规定</w:t>
      </w:r>
    </w:p>
    <w:p w14:paraId="3AADD768">
      <w:pPr>
        <w:adjustRightInd w:val="0"/>
        <w:snapToGrid w:val="0"/>
        <w:spacing w:line="360" w:lineRule="exact"/>
        <w:ind w:left="418" w:leftChars="174" w:firstLine="0" w:firstLineChars="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GB 15618 土壤环境质量 农用地土壤污染风险管控标准（试行）</w:t>
      </w:r>
    </w:p>
    <w:p w14:paraId="673B68F5">
      <w:pPr>
        <w:adjustRightInd w:val="0"/>
        <w:snapToGrid w:val="0"/>
        <w:spacing w:line="360" w:lineRule="exact"/>
        <w:ind w:left="418" w:leftChars="174" w:firstLine="0" w:firstLineChars="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GB 16297 大气污染物综合排放标准</w:t>
      </w:r>
    </w:p>
    <w:p w14:paraId="05DB9771">
      <w:pPr>
        <w:adjustRightInd w:val="0"/>
        <w:snapToGrid w:val="0"/>
        <w:spacing w:line="360" w:lineRule="exact"/>
        <w:ind w:left="418" w:leftChars="174" w:firstLine="0" w:firstLineChars="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GB 18597 危险废物贮存污染控制标准</w:t>
      </w:r>
    </w:p>
    <w:p w14:paraId="2A5C6F30">
      <w:pPr>
        <w:adjustRightInd w:val="0"/>
        <w:snapToGrid w:val="0"/>
        <w:spacing w:line="360" w:lineRule="exact"/>
        <w:ind w:left="418" w:leftChars="174" w:firstLine="0" w:firstLineChars="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GB 18599 一般工业固体废物贮存和填埋污染控制标准</w:t>
      </w:r>
    </w:p>
    <w:p w14:paraId="1BAC1ACB">
      <w:pPr>
        <w:adjustRightInd w:val="0"/>
        <w:snapToGrid w:val="0"/>
        <w:spacing w:line="360" w:lineRule="exact"/>
        <w:ind w:left="418" w:leftChars="174" w:firstLine="0" w:firstLineChars="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GB 18871 电离辐射防护与辐射源安全基本标准</w:t>
      </w:r>
    </w:p>
    <w:p w14:paraId="2F2038B1">
      <w:pPr>
        <w:adjustRightInd w:val="0"/>
        <w:snapToGrid w:val="0"/>
        <w:spacing w:line="360" w:lineRule="exact"/>
        <w:ind w:left="418" w:leftChars="174" w:firstLine="0" w:firstLineChars="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GB 26451 稀土工业污染物排放标准</w:t>
      </w:r>
    </w:p>
    <w:p w14:paraId="162CC942">
      <w:pPr>
        <w:adjustRightInd w:val="0"/>
        <w:snapToGrid w:val="0"/>
        <w:spacing w:line="360" w:lineRule="exact"/>
        <w:ind w:left="418" w:leftChars="174" w:firstLine="0" w:firstLineChars="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GB 36600 土壤环境质量 建设用地土壤污染风险管控标准（试行）</w:t>
      </w:r>
    </w:p>
    <w:p w14:paraId="261444BF">
      <w:pPr>
        <w:adjustRightInd w:val="0"/>
        <w:snapToGrid w:val="0"/>
        <w:spacing w:line="360" w:lineRule="exact"/>
        <w:ind w:left="418" w:leftChars="174" w:firstLine="0" w:firstLineChars="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GB 50771 有色金属采矿设计规范</w:t>
      </w:r>
    </w:p>
    <w:p w14:paraId="3E22D017">
      <w:pPr>
        <w:adjustRightInd w:val="0"/>
        <w:snapToGrid w:val="0"/>
        <w:spacing w:line="360" w:lineRule="exact"/>
        <w:ind w:left="418" w:leftChars="174" w:firstLine="0" w:firstLineChars="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GB 50782 有色金属选矿厂工艺设计规范</w:t>
      </w:r>
    </w:p>
    <w:p w14:paraId="43051814">
      <w:pPr>
        <w:adjustRightInd w:val="0"/>
        <w:snapToGrid w:val="0"/>
        <w:spacing w:line="360" w:lineRule="exact"/>
        <w:ind w:left="418" w:leftChars="174" w:firstLine="0" w:firstLineChars="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GB 50863 尾矿设施设计规范</w:t>
      </w:r>
    </w:p>
    <w:p w14:paraId="07598AAC">
      <w:pPr>
        <w:adjustRightInd w:val="0"/>
        <w:snapToGrid w:val="0"/>
        <w:spacing w:line="360" w:lineRule="exact"/>
        <w:ind w:left="418" w:leftChars="174" w:firstLine="0" w:firstLineChars="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GB 50915 有色金属矿山井巷工程设计规范</w:t>
      </w:r>
    </w:p>
    <w:p w14:paraId="562CA6D0">
      <w:pPr>
        <w:adjustRightInd w:val="0"/>
        <w:snapToGrid w:val="0"/>
        <w:spacing w:line="360" w:lineRule="exact"/>
        <w:ind w:left="418" w:leftChars="174" w:firstLine="0" w:firstLineChars="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GB/T 2589 综合能耗计算通则</w:t>
      </w:r>
    </w:p>
    <w:p w14:paraId="1ABC4ED7">
      <w:pPr>
        <w:adjustRightInd w:val="0"/>
        <w:snapToGrid w:val="0"/>
        <w:spacing w:line="360" w:lineRule="exact"/>
        <w:ind w:left="418" w:leftChars="174" w:firstLine="0" w:firstLineChars="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GB/T 14848 地下水质量标准</w:t>
      </w:r>
    </w:p>
    <w:p w14:paraId="503A4FEC">
      <w:pPr>
        <w:adjustRightInd w:val="0"/>
        <w:snapToGrid w:val="0"/>
        <w:spacing w:line="360" w:lineRule="exact"/>
        <w:ind w:left="418" w:leftChars="174" w:firstLine="0" w:firstLineChars="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GB/T 42249 矿产资源综合利用技术指标及其计算方法</w:t>
      </w:r>
    </w:p>
    <w:p w14:paraId="519A68D6">
      <w:pPr>
        <w:adjustRightInd w:val="0"/>
        <w:snapToGrid w:val="0"/>
        <w:spacing w:line="360" w:lineRule="exact"/>
        <w:ind w:left="418" w:leftChars="174" w:firstLine="0" w:firstLineChars="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GB/T 43933 金属矿土地复垦与生态修复技术规范</w:t>
      </w:r>
    </w:p>
    <w:p w14:paraId="32C89E88">
      <w:pPr>
        <w:adjustRightInd w:val="0"/>
        <w:snapToGrid w:val="0"/>
        <w:spacing w:line="360" w:lineRule="exact"/>
        <w:ind w:left="418" w:leftChars="174" w:firstLine="0" w:firstLineChars="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GB/T 44823 绿色矿山评价通则</w:t>
      </w:r>
    </w:p>
    <w:p w14:paraId="01410410">
      <w:pPr>
        <w:adjustRightInd w:val="0"/>
        <w:snapToGrid w:val="0"/>
        <w:spacing w:line="360" w:lineRule="exact"/>
        <w:ind w:left="418" w:leftChars="174" w:firstLine="0" w:firstLineChars="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HJ 61 辐射环境监测技术规范</w:t>
      </w:r>
    </w:p>
    <w:p w14:paraId="01C514C8">
      <w:pPr>
        <w:adjustRightInd w:val="0"/>
        <w:snapToGrid w:val="0"/>
        <w:spacing w:line="360" w:lineRule="exact"/>
        <w:ind w:left="418" w:leftChars="174" w:firstLine="0" w:firstLineChars="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HJ 1114 伴生放射性物料贮存及固体废物填埋辐射环境保护技术规范（试行）</w:t>
      </w:r>
    </w:p>
    <w:p w14:paraId="1A723E0D">
      <w:pPr>
        <w:adjustRightInd w:val="0"/>
        <w:snapToGrid w:val="0"/>
        <w:spacing w:line="360" w:lineRule="exact"/>
        <w:ind w:left="418" w:leftChars="174" w:firstLine="0" w:firstLineChars="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TD/T 1070.6 矿山生态修复技术规范 第6部分：稀土矿山</w:t>
      </w:r>
    </w:p>
    <w:bookmarkEnd w:id="8"/>
    <w:p w14:paraId="6E1D81B4">
      <w:pPr>
        <w:pStyle w:val="2"/>
        <w:bidi w:val="0"/>
        <w:spacing w:line="240" w:lineRule="auto"/>
        <w:rPr>
          <w:rFonts w:hint="default" w:ascii="Times New Roman" w:hAnsi="Times New Roman" w:eastAsia="黑体" w:cs="Times New Roman"/>
          <w:color w:val="auto"/>
          <w:lang w:val="en-US" w:eastAsia="zh-CN"/>
        </w:rPr>
      </w:pPr>
      <w:bookmarkStart w:id="9" w:name="_Toc17990"/>
      <w:r>
        <w:rPr>
          <w:rFonts w:hint="default" w:ascii="Times New Roman" w:hAnsi="Times New Roman" w:eastAsia="黑体" w:cs="Times New Roman"/>
          <w:color w:val="auto"/>
          <w:lang w:val="en-US" w:eastAsia="zh-CN"/>
        </w:rPr>
        <w:t>3 术语和定义</w:t>
      </w:r>
      <w:bookmarkEnd w:id="9"/>
    </w:p>
    <w:p w14:paraId="772507C0">
      <w:pPr>
        <w:adjustRightInd w:val="0"/>
        <w:snapToGrid w:val="0"/>
        <w:spacing w:line="360" w:lineRule="exact"/>
        <w:ind w:firstLine="420" w:firstLineChars="200"/>
        <w:rPr>
          <w:rFonts w:hint="default" w:ascii="Times New Roman" w:hAnsi="Times New Roman" w:cs="Times New Roman"/>
          <w:b/>
          <w:sz w:val="21"/>
          <w:szCs w:val="21"/>
          <w:highlight w:val="none"/>
        </w:rPr>
      </w:pPr>
      <w:r>
        <w:rPr>
          <w:rFonts w:hint="default" w:ascii="Times New Roman" w:hAnsi="Times New Roman" w:cs="Times New Roman"/>
          <w:sz w:val="21"/>
          <w:szCs w:val="21"/>
          <w:highlight w:val="none"/>
        </w:rPr>
        <w:t>下列术语和定义适用于本文件。</w:t>
      </w:r>
    </w:p>
    <w:p w14:paraId="4A542756">
      <w:pPr>
        <w:adjustRightInd w:val="0"/>
        <w:snapToGrid w:val="0"/>
        <w:spacing w:before="156" w:beforeLines="50" w:after="156" w:afterLines="50" w:line="360" w:lineRule="exact"/>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3.1</w:t>
      </w:r>
    </w:p>
    <w:p w14:paraId="6142C1C1">
      <w:pPr>
        <w:adjustRightInd w:val="0"/>
        <w:snapToGrid w:val="0"/>
        <w:spacing w:before="156" w:beforeLines="50" w:after="156" w:afterLines="50" w:line="360" w:lineRule="exact"/>
        <w:ind w:firstLine="420" w:firstLineChars="200"/>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岩矿型稀土矿  mineral-type rare earth deposits</w:t>
      </w:r>
    </w:p>
    <w:p w14:paraId="64AE86AA">
      <w:pPr>
        <w:adjustRightInd w:val="0"/>
        <w:snapToGrid w:val="0"/>
        <w:spacing w:line="360" w:lineRule="exact"/>
        <w:ind w:firstLine="420" w:firstLineChars="20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岩矿型稀土矿</w:t>
      </w:r>
      <w:r>
        <w:rPr>
          <w:rFonts w:hint="eastAsia" w:cs="Times New Roman"/>
          <w:sz w:val="21"/>
          <w:szCs w:val="21"/>
          <w:highlight w:val="none"/>
          <w:lang w:eastAsia="zh-CN"/>
        </w:rPr>
        <w:t>（</w:t>
      </w:r>
      <w:r>
        <w:rPr>
          <w:rFonts w:hint="eastAsia" w:cs="Times New Roman"/>
          <w:sz w:val="21"/>
          <w:szCs w:val="21"/>
          <w:highlight w:val="none"/>
          <w:lang w:val="en-US" w:eastAsia="zh-CN"/>
        </w:rPr>
        <w:t>即原生稀土矿</w:t>
      </w:r>
      <w:r>
        <w:rPr>
          <w:rFonts w:hint="eastAsia" w:cs="Times New Roman"/>
          <w:sz w:val="21"/>
          <w:szCs w:val="21"/>
          <w:highlight w:val="none"/>
          <w:lang w:eastAsia="zh-CN"/>
        </w:rPr>
        <w:t>）</w:t>
      </w:r>
      <w:r>
        <w:rPr>
          <w:rFonts w:hint="default" w:ascii="Times New Roman" w:hAnsi="Times New Roman" w:cs="Times New Roman"/>
          <w:sz w:val="21"/>
          <w:szCs w:val="21"/>
          <w:highlight w:val="none"/>
          <w:lang w:val="en-US" w:eastAsia="zh-CN"/>
        </w:rPr>
        <w:t>依据稀土矿物组合划分为氟碳铈矿型、独居石型、氟碳铈矿—独居石混合型等，</w:t>
      </w:r>
      <w:r>
        <w:rPr>
          <w:rFonts w:hint="default" w:ascii="Times New Roman" w:hAnsi="Times New Roman" w:cs="Times New Roman"/>
          <w:sz w:val="21"/>
          <w:szCs w:val="21"/>
          <w:highlight w:val="none"/>
        </w:rPr>
        <w:t>稀土元素以独立矿物、类质同象或微细包裹体形式赋存于碳酸岩、碱性岩、花岗岩、伟晶岩及热液脉岩等原生岩石中的稀土矿床。此类矿石致密坚硬，应经破碎、磨矿使稀土矿物与脉石解离，再通过重选、磁选、浮选等物理选矿方法富集为稀土精矿，方能进入后续冶炼工序。</w:t>
      </w:r>
    </w:p>
    <w:p w14:paraId="3D58049F">
      <w:pPr>
        <w:adjustRightInd w:val="0"/>
        <w:snapToGrid w:val="0"/>
        <w:spacing w:before="156" w:beforeLines="50" w:after="156" w:afterLines="50" w:line="360" w:lineRule="exact"/>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 xml:space="preserve">3.2 </w:t>
      </w:r>
    </w:p>
    <w:p w14:paraId="521D4FD0">
      <w:pPr>
        <w:adjustRightInd w:val="0"/>
        <w:snapToGrid w:val="0"/>
        <w:spacing w:before="156" w:beforeLines="50" w:after="156" w:afterLines="50" w:line="360" w:lineRule="exact"/>
        <w:ind w:firstLine="420" w:firstLineChars="200"/>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绿色开采  green mining</w:t>
      </w:r>
    </w:p>
    <w:p w14:paraId="21059EDC">
      <w:pPr>
        <w:keepNext w:val="0"/>
        <w:keepLines w:val="0"/>
        <w:pageBreakBefore w:val="0"/>
        <w:widowControl/>
        <w:kinsoku/>
        <w:wordWrap/>
        <w:overflowPunct/>
        <w:topLinePunct w:val="0"/>
        <w:autoSpaceDE/>
        <w:autoSpaceDN/>
        <w:bidi w:val="0"/>
        <w:adjustRightInd w:val="0"/>
        <w:snapToGrid w:val="0"/>
        <w:spacing w:before="156" w:beforeLines="50" w:after="156" w:afterLines="50" w:line="360" w:lineRule="exact"/>
        <w:ind w:firstLine="420" w:firstLineChars="200"/>
        <w:textAlignment w:val="auto"/>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在矿产资源采矿与选矿作业环节中，以生态优先、源头控制为基本原则，通过采用低扰动、低能耗、低排放的先进采选工艺与装备，实施资源高效回收、废物减量循环、生态同步修复的技术与管理措施，将采矿活动对矿区及周边生态环境的扰动控制在可接受范围内，实现采选过程清洁化、扰动最小化、固废减量化、资源化、无害化的矿业生产模式。</w:t>
      </w:r>
    </w:p>
    <w:p w14:paraId="5DB003EB">
      <w:pPr>
        <w:adjustRightInd w:val="0"/>
        <w:snapToGrid w:val="0"/>
        <w:spacing w:before="156" w:beforeLines="50" w:after="156" w:afterLines="50" w:line="360" w:lineRule="exact"/>
        <w:rPr>
          <w:rFonts w:hint="default" w:ascii="Times New Roman" w:hAnsi="Times New Roman" w:eastAsia="黑体" w:cs="Times New Roman"/>
          <w:sz w:val="21"/>
          <w:szCs w:val="21"/>
          <w:highlight w:val="none"/>
          <w:lang w:val="en-US" w:eastAsia="zh-CN"/>
        </w:rPr>
      </w:pPr>
      <w:r>
        <w:rPr>
          <w:rFonts w:hint="default" w:ascii="Times New Roman" w:hAnsi="Times New Roman" w:eastAsia="黑体" w:cs="Times New Roman"/>
          <w:sz w:val="21"/>
          <w:szCs w:val="21"/>
          <w:highlight w:val="none"/>
        </w:rPr>
        <w:t>3.</w:t>
      </w:r>
      <w:r>
        <w:rPr>
          <w:rFonts w:hint="default" w:ascii="Times New Roman" w:hAnsi="Times New Roman" w:eastAsia="黑体" w:cs="Times New Roman"/>
          <w:sz w:val="21"/>
          <w:szCs w:val="21"/>
          <w:highlight w:val="none"/>
          <w:lang w:val="en-US" w:eastAsia="zh-CN"/>
        </w:rPr>
        <w:t xml:space="preserve">3 </w:t>
      </w:r>
    </w:p>
    <w:p w14:paraId="584C91AD">
      <w:pPr>
        <w:adjustRightInd w:val="0"/>
        <w:snapToGrid w:val="0"/>
        <w:spacing w:before="156" w:beforeLines="50" w:after="156" w:afterLines="50" w:line="360" w:lineRule="exact"/>
        <w:ind w:firstLine="420" w:firstLineChars="200"/>
        <w:rPr>
          <w:rFonts w:hint="default" w:ascii="Times New Roman" w:hAnsi="Times New Roman" w:eastAsia="黑体" w:cs="Times New Roman"/>
          <w:strike w:val="0"/>
          <w:dstrike w:val="0"/>
          <w:sz w:val="21"/>
          <w:szCs w:val="21"/>
          <w:highlight w:val="none"/>
        </w:rPr>
      </w:pPr>
      <w:r>
        <w:rPr>
          <w:rFonts w:hint="default" w:ascii="Times New Roman" w:hAnsi="Times New Roman" w:eastAsia="黑体" w:cs="Times New Roman"/>
          <w:strike w:val="0"/>
          <w:dstrike w:val="0"/>
          <w:sz w:val="21"/>
          <w:szCs w:val="21"/>
          <w:highlight w:val="none"/>
          <w:lang w:val="en-US" w:eastAsia="zh-CN"/>
        </w:rPr>
        <w:t>稀土</w:t>
      </w:r>
      <w:r>
        <w:rPr>
          <w:rFonts w:hint="default" w:ascii="Times New Roman" w:hAnsi="Times New Roman" w:eastAsia="黑体" w:cs="Times New Roman"/>
          <w:strike w:val="0"/>
          <w:dstrike w:val="0"/>
          <w:sz w:val="21"/>
          <w:szCs w:val="21"/>
          <w:highlight w:val="none"/>
        </w:rPr>
        <w:t xml:space="preserve">开采回采率  </w:t>
      </w:r>
      <w:r>
        <w:rPr>
          <w:rFonts w:hint="default" w:ascii="Times New Roman" w:hAnsi="Times New Roman" w:eastAsia="黑体" w:cs="Times New Roman"/>
          <w:strike w:val="0"/>
          <w:dstrike w:val="0"/>
          <w:sz w:val="21"/>
          <w:szCs w:val="21"/>
          <w:highlight w:val="none"/>
          <w:lang w:val="en-US" w:eastAsia="zh-CN"/>
        </w:rPr>
        <w:t>rare earth mining recovery rate</w:t>
      </w:r>
    </w:p>
    <w:p w14:paraId="72B9ABD7">
      <w:pPr>
        <w:adjustRightInd w:val="0"/>
        <w:snapToGrid w:val="0"/>
        <w:spacing w:line="360" w:lineRule="exact"/>
        <w:ind w:firstLine="420" w:firstLineChars="200"/>
        <w:rPr>
          <w:rFonts w:hint="default" w:ascii="Times New Roman" w:hAnsi="Times New Roman" w:cs="Times New Roman"/>
          <w:strike w:val="0"/>
          <w:dstrike w:val="0"/>
          <w:sz w:val="21"/>
          <w:szCs w:val="21"/>
          <w:highlight w:val="none"/>
        </w:rPr>
      </w:pPr>
      <w:r>
        <w:rPr>
          <w:rFonts w:hint="default" w:ascii="Times New Roman" w:hAnsi="Times New Roman" w:cs="Times New Roman"/>
          <w:strike w:val="0"/>
          <w:dstrike w:val="0"/>
          <w:sz w:val="21"/>
          <w:szCs w:val="21"/>
          <w:highlight w:val="none"/>
        </w:rPr>
        <w:t>采出的</w:t>
      </w:r>
      <w:r>
        <w:rPr>
          <w:rFonts w:hint="default" w:ascii="Times New Roman" w:hAnsi="Times New Roman" w:cs="Times New Roman"/>
          <w:strike w:val="0"/>
          <w:dstrike w:val="0"/>
          <w:sz w:val="21"/>
          <w:szCs w:val="21"/>
          <w:highlight w:val="none"/>
          <w:lang w:val="en-US" w:eastAsia="zh-CN"/>
        </w:rPr>
        <w:t>稀土</w:t>
      </w:r>
      <w:r>
        <w:rPr>
          <w:rFonts w:hint="eastAsia" w:ascii="Times New Roman" w:hAnsi="Times New Roman" w:cs="Times New Roman"/>
          <w:strike w:val="0"/>
          <w:dstrike w:val="0"/>
          <w:sz w:val="21"/>
          <w:szCs w:val="21"/>
          <w:highlight w:val="none"/>
          <w:lang w:val="en-US" w:eastAsia="zh-CN"/>
        </w:rPr>
        <w:t>矿石</w:t>
      </w:r>
      <w:r>
        <w:rPr>
          <w:rFonts w:hint="default" w:ascii="Times New Roman" w:hAnsi="Times New Roman" w:cs="Times New Roman"/>
          <w:strike w:val="0"/>
          <w:dstrike w:val="0"/>
          <w:sz w:val="21"/>
          <w:szCs w:val="21"/>
          <w:highlight w:val="none"/>
        </w:rPr>
        <w:t>量占当期消耗的</w:t>
      </w:r>
      <w:r>
        <w:rPr>
          <w:rFonts w:hint="default" w:ascii="Times New Roman" w:hAnsi="Times New Roman" w:cs="Times New Roman"/>
          <w:strike w:val="0"/>
          <w:dstrike w:val="0"/>
          <w:sz w:val="21"/>
          <w:szCs w:val="21"/>
          <w:highlight w:val="none"/>
          <w:lang w:val="en-US" w:eastAsia="zh-CN"/>
        </w:rPr>
        <w:t>稀土</w:t>
      </w:r>
      <w:r>
        <w:rPr>
          <w:rFonts w:hint="eastAsia" w:ascii="Times New Roman" w:hAnsi="Times New Roman" w:cs="Times New Roman"/>
          <w:strike w:val="0"/>
          <w:dstrike w:val="0"/>
          <w:sz w:val="21"/>
          <w:szCs w:val="21"/>
          <w:highlight w:val="none"/>
          <w:lang w:val="en-US" w:eastAsia="zh-CN"/>
        </w:rPr>
        <w:t>矿产</w:t>
      </w:r>
      <w:r>
        <w:rPr>
          <w:rFonts w:hint="default" w:ascii="Times New Roman" w:hAnsi="Times New Roman" w:cs="Times New Roman"/>
          <w:strike w:val="0"/>
          <w:dstrike w:val="0"/>
          <w:sz w:val="21"/>
          <w:szCs w:val="21"/>
          <w:highlight w:val="none"/>
        </w:rPr>
        <w:t>资源储量的百分比。</w:t>
      </w:r>
    </w:p>
    <w:p w14:paraId="58E8C01C">
      <w:pPr>
        <w:adjustRightInd w:val="0"/>
        <w:snapToGrid w:val="0"/>
        <w:spacing w:before="156" w:beforeLines="50" w:after="156" w:afterLines="50" w:line="360" w:lineRule="exact"/>
        <w:rPr>
          <w:rFonts w:hint="default" w:ascii="Times New Roman" w:hAnsi="Times New Roman" w:eastAsia="黑体" w:cs="Times New Roman"/>
          <w:strike w:val="0"/>
          <w:dstrike w:val="0"/>
          <w:sz w:val="21"/>
          <w:szCs w:val="21"/>
          <w:highlight w:val="none"/>
          <w:lang w:eastAsia="zh-CN"/>
        </w:rPr>
      </w:pPr>
      <w:r>
        <w:rPr>
          <w:rFonts w:hint="default" w:ascii="Times New Roman" w:hAnsi="Times New Roman" w:eastAsia="黑体" w:cs="Times New Roman"/>
          <w:strike w:val="0"/>
          <w:dstrike w:val="0"/>
          <w:sz w:val="21"/>
          <w:szCs w:val="21"/>
          <w:highlight w:val="none"/>
        </w:rPr>
        <w:t>3.</w:t>
      </w:r>
      <w:r>
        <w:rPr>
          <w:rFonts w:hint="default" w:ascii="Times New Roman" w:hAnsi="Times New Roman" w:eastAsia="黑体" w:cs="Times New Roman"/>
          <w:strike w:val="0"/>
          <w:dstrike w:val="0"/>
          <w:sz w:val="21"/>
          <w:szCs w:val="21"/>
          <w:highlight w:val="none"/>
          <w:lang w:val="en-US" w:eastAsia="zh-CN"/>
        </w:rPr>
        <w:t>4</w:t>
      </w:r>
    </w:p>
    <w:p w14:paraId="1710ACE3">
      <w:pPr>
        <w:adjustRightInd w:val="0"/>
        <w:snapToGrid w:val="0"/>
        <w:spacing w:before="156" w:beforeLines="50" w:after="156" w:afterLines="50" w:line="360" w:lineRule="exact"/>
        <w:ind w:firstLine="420" w:firstLineChars="200"/>
        <w:rPr>
          <w:rFonts w:hint="default" w:ascii="Times New Roman" w:hAnsi="Times New Roman" w:eastAsia="黑体" w:cs="Times New Roman"/>
          <w:strike w:val="0"/>
          <w:dstrike w:val="0"/>
          <w:sz w:val="21"/>
          <w:szCs w:val="21"/>
          <w:highlight w:val="none"/>
        </w:rPr>
      </w:pPr>
      <w:r>
        <w:rPr>
          <w:rFonts w:hint="default" w:ascii="Times New Roman" w:hAnsi="Times New Roman" w:eastAsia="黑体" w:cs="Times New Roman"/>
          <w:strike w:val="0"/>
          <w:dstrike w:val="0"/>
          <w:sz w:val="21"/>
          <w:szCs w:val="21"/>
          <w:highlight w:val="none"/>
          <w:lang w:val="en-US" w:eastAsia="zh-CN"/>
        </w:rPr>
        <w:t>稀土</w:t>
      </w:r>
      <w:r>
        <w:rPr>
          <w:rFonts w:hint="default" w:ascii="Times New Roman" w:hAnsi="Times New Roman" w:eastAsia="黑体" w:cs="Times New Roman"/>
          <w:strike w:val="0"/>
          <w:dstrike w:val="0"/>
          <w:sz w:val="21"/>
          <w:szCs w:val="21"/>
          <w:highlight w:val="none"/>
        </w:rPr>
        <w:t>选矿</w:t>
      </w:r>
      <w:r>
        <w:rPr>
          <w:rFonts w:hint="default" w:ascii="Times New Roman" w:hAnsi="Times New Roman" w:eastAsia="黑体" w:cs="Times New Roman"/>
          <w:strike w:val="0"/>
          <w:dstrike w:val="0"/>
          <w:sz w:val="21"/>
          <w:szCs w:val="21"/>
          <w:highlight w:val="none"/>
          <w:lang w:val="en-US" w:eastAsia="zh-CN"/>
        </w:rPr>
        <w:t>作业</w:t>
      </w:r>
      <w:r>
        <w:rPr>
          <w:rFonts w:hint="default" w:ascii="Times New Roman" w:hAnsi="Times New Roman" w:eastAsia="黑体" w:cs="Times New Roman"/>
          <w:strike w:val="0"/>
          <w:dstrike w:val="0"/>
          <w:sz w:val="21"/>
          <w:szCs w:val="21"/>
          <w:highlight w:val="none"/>
        </w:rPr>
        <w:t xml:space="preserve">回收率  rare earth </w:t>
      </w:r>
      <w:r>
        <w:rPr>
          <w:rFonts w:hint="eastAsia" w:eastAsia="黑体" w:cs="Times New Roman"/>
          <w:strike w:val="0"/>
          <w:dstrike w:val="0"/>
          <w:sz w:val="21"/>
          <w:szCs w:val="21"/>
          <w:highlight w:val="none"/>
          <w:lang w:val="en-US" w:eastAsia="zh-CN"/>
        </w:rPr>
        <w:t>b</w:t>
      </w:r>
      <w:r>
        <w:rPr>
          <w:rFonts w:hint="default" w:ascii="Times New Roman" w:hAnsi="Times New Roman" w:eastAsia="黑体" w:cs="Times New Roman"/>
          <w:strike w:val="0"/>
          <w:dstrike w:val="0"/>
          <w:sz w:val="21"/>
          <w:szCs w:val="21"/>
          <w:highlight w:val="none"/>
        </w:rPr>
        <w:t xml:space="preserve">eneficiation </w:t>
      </w:r>
      <w:r>
        <w:rPr>
          <w:rFonts w:hint="eastAsia" w:eastAsia="黑体" w:cs="Times New Roman"/>
          <w:strike w:val="0"/>
          <w:dstrike w:val="0"/>
          <w:sz w:val="21"/>
          <w:szCs w:val="21"/>
          <w:highlight w:val="none"/>
          <w:lang w:val="en-US" w:eastAsia="zh-CN"/>
        </w:rPr>
        <w:t>o</w:t>
      </w:r>
      <w:r>
        <w:rPr>
          <w:rFonts w:hint="default" w:ascii="Times New Roman" w:hAnsi="Times New Roman" w:eastAsia="黑体" w:cs="Times New Roman"/>
          <w:strike w:val="0"/>
          <w:dstrike w:val="0"/>
          <w:sz w:val="21"/>
          <w:szCs w:val="21"/>
          <w:highlight w:val="none"/>
        </w:rPr>
        <w:t xml:space="preserve">peration </w:t>
      </w:r>
      <w:r>
        <w:rPr>
          <w:rFonts w:hint="eastAsia" w:eastAsia="黑体" w:cs="Times New Roman"/>
          <w:strike w:val="0"/>
          <w:dstrike w:val="0"/>
          <w:sz w:val="21"/>
          <w:szCs w:val="21"/>
          <w:highlight w:val="none"/>
          <w:lang w:val="en-US" w:eastAsia="zh-CN"/>
        </w:rPr>
        <w:t>r</w:t>
      </w:r>
      <w:r>
        <w:rPr>
          <w:rFonts w:hint="default" w:ascii="Times New Roman" w:hAnsi="Times New Roman" w:eastAsia="黑体" w:cs="Times New Roman"/>
          <w:strike w:val="0"/>
          <w:dstrike w:val="0"/>
          <w:sz w:val="21"/>
          <w:szCs w:val="21"/>
          <w:highlight w:val="none"/>
        </w:rPr>
        <w:t xml:space="preserve">ecovery </w:t>
      </w:r>
      <w:r>
        <w:rPr>
          <w:rFonts w:hint="eastAsia" w:eastAsia="黑体" w:cs="Times New Roman"/>
          <w:strike w:val="0"/>
          <w:dstrike w:val="0"/>
          <w:sz w:val="21"/>
          <w:szCs w:val="21"/>
          <w:highlight w:val="none"/>
          <w:lang w:val="en-US" w:eastAsia="zh-CN"/>
        </w:rPr>
        <w:t>r</w:t>
      </w:r>
      <w:r>
        <w:rPr>
          <w:rFonts w:hint="default" w:ascii="Times New Roman" w:hAnsi="Times New Roman" w:eastAsia="黑体" w:cs="Times New Roman"/>
          <w:strike w:val="0"/>
          <w:dstrike w:val="0"/>
          <w:sz w:val="21"/>
          <w:szCs w:val="21"/>
          <w:highlight w:val="none"/>
        </w:rPr>
        <w:t>ate</w:t>
      </w:r>
    </w:p>
    <w:p w14:paraId="604265AD">
      <w:pPr>
        <w:adjustRightInd w:val="0"/>
        <w:snapToGrid w:val="0"/>
        <w:spacing w:line="360" w:lineRule="exact"/>
        <w:ind w:firstLine="420" w:firstLineChars="200"/>
        <w:rPr>
          <w:rFonts w:hint="default" w:ascii="Times New Roman" w:hAnsi="Times New Roman" w:cs="Times New Roman"/>
          <w:strike w:val="0"/>
          <w:dstrike w:val="0"/>
          <w:sz w:val="21"/>
          <w:szCs w:val="21"/>
          <w:highlight w:val="none"/>
        </w:rPr>
      </w:pPr>
      <w:r>
        <w:rPr>
          <w:rFonts w:hint="default" w:ascii="Times New Roman" w:hAnsi="Times New Roman" w:cs="Times New Roman"/>
          <w:strike w:val="0"/>
          <w:dstrike w:val="0"/>
          <w:sz w:val="21"/>
          <w:szCs w:val="21"/>
          <w:highlight w:val="none"/>
          <w:lang w:val="en-US" w:eastAsia="zh-CN"/>
        </w:rPr>
        <w:t>稀土</w:t>
      </w:r>
      <w:r>
        <w:rPr>
          <w:rFonts w:hint="default" w:ascii="Times New Roman" w:hAnsi="Times New Roman" w:cs="Times New Roman"/>
          <w:strike w:val="0"/>
          <w:dstrike w:val="0"/>
          <w:sz w:val="21"/>
          <w:szCs w:val="21"/>
          <w:highlight w:val="none"/>
        </w:rPr>
        <w:t>选矿产品中</w:t>
      </w:r>
      <w:r>
        <w:rPr>
          <w:rFonts w:hint="default" w:ascii="Times New Roman" w:hAnsi="Times New Roman" w:cs="Times New Roman"/>
          <w:strike w:val="0"/>
          <w:dstrike w:val="0"/>
          <w:sz w:val="21"/>
          <w:szCs w:val="21"/>
          <w:highlight w:val="none"/>
          <w:lang w:val="en-US" w:eastAsia="zh-CN"/>
        </w:rPr>
        <w:t>稀土氧化物</w:t>
      </w:r>
      <w:r>
        <w:rPr>
          <w:rFonts w:hint="default" w:ascii="Times New Roman" w:hAnsi="Times New Roman" w:cs="Times New Roman"/>
          <w:strike w:val="0"/>
          <w:dstrike w:val="0"/>
          <w:sz w:val="21"/>
          <w:szCs w:val="21"/>
          <w:highlight w:val="none"/>
        </w:rPr>
        <w:t>质量占</w:t>
      </w:r>
      <w:r>
        <w:rPr>
          <w:rFonts w:hint="default" w:ascii="Times New Roman" w:hAnsi="Times New Roman" w:cs="Times New Roman"/>
          <w:strike w:val="0"/>
          <w:dstrike w:val="0"/>
          <w:sz w:val="21"/>
          <w:szCs w:val="21"/>
          <w:highlight w:val="none"/>
          <w:lang w:val="en-US" w:eastAsia="zh-CN"/>
        </w:rPr>
        <w:t>稀土选矿作业</w:t>
      </w:r>
      <w:r>
        <w:rPr>
          <w:rFonts w:hint="default" w:ascii="Times New Roman" w:hAnsi="Times New Roman" w:cs="Times New Roman"/>
          <w:strike w:val="0"/>
          <w:dstrike w:val="0"/>
          <w:sz w:val="21"/>
          <w:szCs w:val="21"/>
          <w:highlight w:val="none"/>
        </w:rPr>
        <w:t>入选</w:t>
      </w:r>
      <w:r>
        <w:rPr>
          <w:rFonts w:hint="eastAsia" w:cs="Times New Roman"/>
          <w:strike w:val="0"/>
          <w:dstrike w:val="0"/>
          <w:sz w:val="21"/>
          <w:szCs w:val="21"/>
          <w:highlight w:val="none"/>
          <w:lang w:val="en-US" w:eastAsia="zh-CN"/>
        </w:rPr>
        <w:t>矿石</w:t>
      </w:r>
      <w:r>
        <w:rPr>
          <w:rFonts w:hint="default" w:ascii="Times New Roman" w:hAnsi="Times New Roman" w:cs="Times New Roman"/>
          <w:strike w:val="0"/>
          <w:dstrike w:val="0"/>
          <w:sz w:val="21"/>
          <w:szCs w:val="21"/>
          <w:highlight w:val="none"/>
        </w:rPr>
        <w:t>中该有用组分质量的百分比。</w:t>
      </w:r>
    </w:p>
    <w:p w14:paraId="451B7273">
      <w:pPr>
        <w:adjustRightInd w:val="0"/>
        <w:snapToGrid w:val="0"/>
        <w:spacing w:before="156" w:beforeLines="50" w:after="156" w:afterLines="50" w:line="360" w:lineRule="exact"/>
        <w:rPr>
          <w:rFonts w:hint="default" w:ascii="Times New Roman" w:hAnsi="Times New Roman" w:eastAsia="黑体" w:cs="Times New Roman"/>
          <w:strike w:val="0"/>
          <w:dstrike w:val="0"/>
          <w:sz w:val="21"/>
          <w:szCs w:val="21"/>
          <w:highlight w:val="none"/>
        </w:rPr>
      </w:pPr>
      <w:r>
        <w:rPr>
          <w:rFonts w:hint="default" w:ascii="Times New Roman" w:hAnsi="Times New Roman" w:eastAsia="黑体" w:cs="Times New Roman"/>
          <w:strike w:val="0"/>
          <w:dstrike w:val="0"/>
          <w:sz w:val="21"/>
          <w:szCs w:val="21"/>
          <w:highlight w:val="none"/>
        </w:rPr>
        <w:t>3.</w:t>
      </w:r>
      <w:r>
        <w:rPr>
          <w:rFonts w:hint="default" w:ascii="Times New Roman" w:hAnsi="Times New Roman" w:eastAsia="黑体" w:cs="Times New Roman"/>
          <w:strike w:val="0"/>
          <w:dstrike w:val="0"/>
          <w:sz w:val="21"/>
          <w:szCs w:val="21"/>
          <w:highlight w:val="none"/>
          <w:lang w:val="en-US" w:eastAsia="zh-CN"/>
        </w:rPr>
        <w:t>5</w:t>
      </w:r>
      <w:r>
        <w:rPr>
          <w:rFonts w:hint="default" w:ascii="Times New Roman" w:hAnsi="Times New Roman" w:eastAsia="黑体" w:cs="Times New Roman"/>
          <w:strike w:val="0"/>
          <w:dstrike w:val="0"/>
          <w:sz w:val="21"/>
          <w:szCs w:val="21"/>
          <w:highlight w:val="none"/>
        </w:rPr>
        <w:t xml:space="preserve"> </w:t>
      </w:r>
    </w:p>
    <w:p w14:paraId="4C86B347">
      <w:pPr>
        <w:adjustRightInd w:val="0"/>
        <w:snapToGrid w:val="0"/>
        <w:spacing w:before="156" w:beforeLines="50" w:after="156" w:afterLines="50" w:line="360" w:lineRule="exact"/>
        <w:ind w:firstLine="420" w:firstLineChars="200"/>
        <w:rPr>
          <w:rFonts w:hint="default" w:ascii="Times New Roman" w:hAnsi="Times New Roman" w:eastAsia="黑体" w:cs="Times New Roman"/>
          <w:strike w:val="0"/>
          <w:dstrike w:val="0"/>
          <w:sz w:val="21"/>
          <w:szCs w:val="21"/>
          <w:highlight w:val="none"/>
        </w:rPr>
      </w:pPr>
      <w:r>
        <w:rPr>
          <w:rFonts w:hint="default" w:ascii="Times New Roman" w:hAnsi="Times New Roman" w:eastAsia="黑体" w:cs="Times New Roman"/>
          <w:strike w:val="0"/>
          <w:dstrike w:val="0"/>
          <w:sz w:val="21"/>
          <w:szCs w:val="21"/>
          <w:highlight w:val="none"/>
          <w:lang w:val="en-US" w:eastAsia="zh-CN"/>
        </w:rPr>
        <w:t>稀土采选作业</w:t>
      </w:r>
      <w:r>
        <w:rPr>
          <w:rFonts w:hint="default" w:ascii="Times New Roman" w:hAnsi="Times New Roman" w:eastAsia="黑体" w:cs="Times New Roman"/>
          <w:strike w:val="0"/>
          <w:dstrike w:val="0"/>
          <w:sz w:val="21"/>
          <w:szCs w:val="21"/>
          <w:highlight w:val="none"/>
        </w:rPr>
        <w:t>综合</w:t>
      </w:r>
      <w:r>
        <w:rPr>
          <w:rFonts w:hint="eastAsia" w:eastAsia="黑体" w:cs="Times New Roman"/>
          <w:strike w:val="0"/>
          <w:dstrike w:val="0"/>
          <w:sz w:val="21"/>
          <w:szCs w:val="21"/>
          <w:highlight w:val="none"/>
          <w:lang w:val="en-US" w:eastAsia="zh-CN"/>
        </w:rPr>
        <w:t>回收</w:t>
      </w:r>
      <w:r>
        <w:rPr>
          <w:rFonts w:hint="default" w:ascii="Times New Roman" w:hAnsi="Times New Roman" w:eastAsia="黑体" w:cs="Times New Roman"/>
          <w:strike w:val="0"/>
          <w:dstrike w:val="0"/>
          <w:sz w:val="21"/>
          <w:szCs w:val="21"/>
          <w:highlight w:val="none"/>
        </w:rPr>
        <w:t xml:space="preserve">率 </w:t>
      </w:r>
      <w:r>
        <w:rPr>
          <w:rFonts w:hint="eastAsia" w:eastAsia="黑体" w:cs="Times New Roman"/>
          <w:strike w:val="0"/>
          <w:dstrike w:val="0"/>
          <w:sz w:val="21"/>
          <w:szCs w:val="21"/>
          <w:highlight w:val="none"/>
          <w:lang w:val="en-US" w:eastAsia="zh-CN"/>
        </w:rPr>
        <w:t>r</w:t>
      </w:r>
      <w:r>
        <w:rPr>
          <w:rFonts w:hint="default" w:ascii="Times New Roman" w:hAnsi="Times New Roman" w:eastAsia="黑体" w:cs="Times New Roman"/>
          <w:strike w:val="0"/>
          <w:dstrike w:val="0"/>
          <w:sz w:val="21"/>
          <w:szCs w:val="21"/>
          <w:highlight w:val="none"/>
        </w:rPr>
        <w:t>ecovery rate for comprehensive rare</w:t>
      </w:r>
      <w:r>
        <w:rPr>
          <w:rFonts w:hint="eastAsia" w:eastAsia="黑体" w:cs="Times New Roman"/>
          <w:strike w:val="0"/>
          <w:dstrike w:val="0"/>
          <w:sz w:val="21"/>
          <w:szCs w:val="21"/>
          <w:highlight w:val="none"/>
          <w:lang w:val="en-US" w:eastAsia="zh-CN"/>
        </w:rPr>
        <w:t xml:space="preserve"> </w:t>
      </w:r>
      <w:r>
        <w:rPr>
          <w:rFonts w:hint="default" w:ascii="Times New Roman" w:hAnsi="Times New Roman" w:eastAsia="黑体" w:cs="Times New Roman"/>
          <w:strike w:val="0"/>
          <w:dstrike w:val="0"/>
          <w:sz w:val="21"/>
          <w:szCs w:val="21"/>
          <w:highlight w:val="none"/>
        </w:rPr>
        <w:t>earth mining‑beneficiation operations</w:t>
      </w:r>
    </w:p>
    <w:p w14:paraId="23607970">
      <w:pPr>
        <w:adjustRightInd w:val="0"/>
        <w:snapToGrid w:val="0"/>
        <w:spacing w:line="360" w:lineRule="exact"/>
        <w:ind w:firstLine="420" w:firstLineChars="200"/>
        <w:rPr>
          <w:rFonts w:hint="eastAsia" w:ascii="Times New Roman" w:hAnsi="Times New Roman" w:eastAsia="宋体" w:cs="Times New Roman"/>
          <w:strike w:val="0"/>
          <w:dstrike w:val="0"/>
          <w:sz w:val="21"/>
          <w:szCs w:val="21"/>
          <w:highlight w:val="none"/>
          <w:lang w:eastAsia="zh-CN"/>
        </w:rPr>
      </w:pPr>
      <w:r>
        <w:rPr>
          <w:rFonts w:hint="default" w:ascii="Times New Roman" w:hAnsi="Times New Roman" w:cs="Times New Roman"/>
          <w:strike w:val="0"/>
          <w:dstrike w:val="0"/>
          <w:sz w:val="21"/>
          <w:szCs w:val="21"/>
          <w:highlight w:val="none"/>
          <w:lang w:val="en-US" w:eastAsia="zh-CN"/>
        </w:rPr>
        <w:t>稀土开采回采率与稀土选矿作业回收率的乘积，代表岩矿型稀土矿山采矿、选矿作业对稀土氧化物的综合回收水平</w:t>
      </w:r>
      <w:r>
        <w:rPr>
          <w:rFonts w:cs="Times New Roman"/>
          <w:sz w:val="21"/>
          <w:szCs w:val="21"/>
          <w:highlight w:val="none"/>
        </w:rPr>
        <w:t>。</w:t>
      </w:r>
    </w:p>
    <w:p w14:paraId="0F423889">
      <w:pPr>
        <w:adjustRightInd w:val="0"/>
        <w:snapToGrid w:val="0"/>
        <w:spacing w:before="156" w:beforeLines="50" w:after="156" w:afterLines="50" w:line="360" w:lineRule="exact"/>
        <w:rPr>
          <w:rFonts w:hint="default" w:ascii="Times New Roman" w:hAnsi="Times New Roman" w:eastAsia="微软雅黑" w:cs="Times New Roman"/>
          <w:strike w:val="0"/>
          <w:dstrike w:val="0"/>
          <w:spacing w:val="18"/>
          <w:sz w:val="19"/>
          <w:szCs w:val="19"/>
          <w:highlight w:val="none"/>
          <w:lang w:eastAsia="zh-CN"/>
        </w:rPr>
      </w:pPr>
      <w:r>
        <w:rPr>
          <w:rFonts w:hint="default" w:ascii="Times New Roman" w:hAnsi="Times New Roman" w:eastAsia="微软雅黑" w:cs="Times New Roman"/>
          <w:strike w:val="0"/>
          <w:dstrike w:val="0"/>
          <w:spacing w:val="18"/>
          <w:sz w:val="19"/>
          <w:szCs w:val="19"/>
          <w:highlight w:val="none"/>
        </w:rPr>
        <w:t>3.</w:t>
      </w:r>
      <w:r>
        <w:rPr>
          <w:rFonts w:hint="default" w:ascii="Times New Roman" w:hAnsi="Times New Roman" w:eastAsia="微软雅黑" w:cs="Times New Roman"/>
          <w:strike w:val="0"/>
          <w:dstrike w:val="0"/>
          <w:spacing w:val="18"/>
          <w:sz w:val="19"/>
          <w:szCs w:val="19"/>
          <w:highlight w:val="none"/>
          <w:lang w:val="en-US" w:eastAsia="zh-CN"/>
        </w:rPr>
        <w:t>6</w:t>
      </w:r>
    </w:p>
    <w:p w14:paraId="4B90FC17">
      <w:pPr>
        <w:adjustRightInd w:val="0"/>
        <w:snapToGrid w:val="0"/>
        <w:spacing w:before="156" w:beforeLines="50" w:after="156" w:afterLines="50" w:line="360" w:lineRule="exact"/>
        <w:ind w:firstLine="420" w:firstLineChars="200"/>
        <w:rPr>
          <w:rFonts w:hint="default" w:ascii="Times New Roman" w:hAnsi="Times New Roman" w:eastAsia="黑体" w:cs="Times New Roman"/>
          <w:strike w:val="0"/>
          <w:dstrike w:val="0"/>
          <w:sz w:val="21"/>
          <w:szCs w:val="21"/>
          <w:highlight w:val="none"/>
        </w:rPr>
      </w:pPr>
      <w:r>
        <w:rPr>
          <w:rFonts w:hint="default" w:ascii="Times New Roman" w:hAnsi="Times New Roman" w:eastAsia="黑体" w:cs="Times New Roman"/>
          <w:strike w:val="0"/>
          <w:dstrike w:val="0"/>
          <w:sz w:val="21"/>
          <w:szCs w:val="21"/>
          <w:highlight w:val="none"/>
        </w:rPr>
        <w:t xml:space="preserve">工业用水重复利用率  recycling rate of industrial water </w:t>
      </w:r>
    </w:p>
    <w:p w14:paraId="0E235BD8">
      <w:pPr>
        <w:adjustRightInd w:val="0"/>
        <w:snapToGrid w:val="0"/>
        <w:spacing w:line="360" w:lineRule="exact"/>
        <w:ind w:firstLine="420" w:firstLineChars="200"/>
        <w:rPr>
          <w:rFonts w:hint="eastAsia" w:ascii="Times New Roman" w:hAnsi="Times New Roman" w:cs="Times New Roman"/>
          <w:strike w:val="0"/>
          <w:dstrike w:val="0"/>
          <w:sz w:val="21"/>
          <w:szCs w:val="21"/>
          <w:highlight w:val="none"/>
          <w:lang w:eastAsia="zh-CN"/>
        </w:rPr>
      </w:pPr>
      <w:r>
        <w:rPr>
          <w:rFonts w:hint="default" w:ascii="Times New Roman" w:hAnsi="Times New Roman" w:cs="Times New Roman"/>
          <w:strike w:val="0"/>
          <w:dstrike w:val="0"/>
          <w:sz w:val="21"/>
          <w:szCs w:val="21"/>
          <w:highlight w:val="none"/>
        </w:rPr>
        <w:t>统计期内</w:t>
      </w:r>
      <w:r>
        <w:rPr>
          <w:rFonts w:hint="eastAsia" w:ascii="Times New Roman" w:hAnsi="Times New Roman" w:cs="Times New Roman"/>
          <w:strike w:val="0"/>
          <w:dstrike w:val="0"/>
          <w:sz w:val="21"/>
          <w:szCs w:val="21"/>
          <w:highlight w:val="none"/>
          <w:lang w:val="en-US" w:eastAsia="zh-CN"/>
        </w:rPr>
        <w:t>，</w:t>
      </w:r>
      <w:r>
        <w:rPr>
          <w:rFonts w:hint="eastAsia" w:ascii="Times New Roman" w:hAnsi="Times New Roman" w:cs="Times New Roman"/>
          <w:strike w:val="0"/>
          <w:dstrike w:val="0"/>
          <w:sz w:val="21"/>
          <w:szCs w:val="21"/>
          <w:highlight w:val="none"/>
        </w:rPr>
        <w:t>矿山企业生产过程中使用的重复利用水量与总用水量（包括外补新鲜水量和重复利用水量）的百分比。</w:t>
      </w:r>
    </w:p>
    <w:p w14:paraId="496C06BE">
      <w:pPr>
        <w:adjustRightInd w:val="0"/>
        <w:snapToGrid w:val="0"/>
        <w:spacing w:before="156" w:beforeLines="50" w:after="156" w:afterLines="50" w:line="360" w:lineRule="exact"/>
        <w:rPr>
          <w:rFonts w:hint="default" w:ascii="Times New Roman" w:hAnsi="Times New Roman" w:eastAsia="微软雅黑" w:cs="Times New Roman"/>
          <w:spacing w:val="18"/>
          <w:sz w:val="19"/>
          <w:szCs w:val="19"/>
          <w:highlight w:val="none"/>
          <w:lang w:eastAsia="zh-CN"/>
        </w:rPr>
      </w:pPr>
      <w:r>
        <w:rPr>
          <w:rFonts w:hint="default" w:ascii="Times New Roman" w:hAnsi="Times New Roman" w:eastAsia="微软雅黑" w:cs="Times New Roman"/>
          <w:spacing w:val="18"/>
          <w:sz w:val="19"/>
          <w:szCs w:val="19"/>
          <w:highlight w:val="none"/>
        </w:rPr>
        <w:t>3.</w:t>
      </w:r>
      <w:r>
        <w:rPr>
          <w:rFonts w:hint="default" w:ascii="Times New Roman" w:hAnsi="Times New Roman" w:eastAsia="微软雅黑" w:cs="Times New Roman"/>
          <w:spacing w:val="18"/>
          <w:sz w:val="19"/>
          <w:szCs w:val="19"/>
          <w:highlight w:val="none"/>
          <w:lang w:val="en-US" w:eastAsia="zh-CN"/>
        </w:rPr>
        <w:t>7</w:t>
      </w:r>
    </w:p>
    <w:p w14:paraId="524D6364">
      <w:pPr>
        <w:adjustRightInd w:val="0"/>
        <w:snapToGrid w:val="0"/>
        <w:spacing w:before="156" w:beforeLines="50" w:after="156" w:afterLines="50" w:line="360" w:lineRule="exact"/>
        <w:ind w:firstLine="420" w:firstLineChars="200"/>
        <w:rPr>
          <w:rFonts w:hint="eastAsia" w:ascii="Times New Roman" w:hAnsi="Times New Roman" w:eastAsia="黑体" w:cs="Times New Roman"/>
          <w:sz w:val="21"/>
          <w:szCs w:val="21"/>
          <w:highlight w:val="none"/>
          <w:lang w:eastAsia="zh-CN"/>
        </w:rPr>
      </w:pPr>
      <w:r>
        <w:rPr>
          <w:rFonts w:hint="default" w:ascii="Times New Roman" w:hAnsi="Times New Roman" w:eastAsia="黑体" w:cs="Times New Roman"/>
          <w:sz w:val="21"/>
          <w:szCs w:val="21"/>
          <w:highlight w:val="none"/>
        </w:rPr>
        <w:t xml:space="preserve">单位产品综合能耗  </w:t>
      </w:r>
      <w:r>
        <w:rPr>
          <w:rFonts w:hint="default" w:ascii="Times New Roman" w:hAnsi="Times New Roman" w:eastAsia="黑体" w:cs="Times New Roman"/>
          <w:strike w:val="0"/>
          <w:dstrike w:val="0"/>
          <w:sz w:val="21"/>
          <w:szCs w:val="21"/>
          <w:highlight w:val="none"/>
        </w:rPr>
        <w:t xml:space="preserve">comprehensive energy consumption for unit output of </w:t>
      </w:r>
      <w:r>
        <w:rPr>
          <w:rFonts w:hint="eastAsia" w:eastAsia="黑体" w:cs="Times New Roman"/>
          <w:strike w:val="0"/>
          <w:dstrike w:val="0"/>
          <w:sz w:val="21"/>
          <w:szCs w:val="21"/>
          <w:highlight w:val="none"/>
          <w:lang w:val="en-US" w:eastAsia="zh-CN"/>
        </w:rPr>
        <w:t xml:space="preserve"> </w:t>
      </w:r>
      <w:r>
        <w:rPr>
          <w:rFonts w:hint="default" w:ascii="Times New Roman" w:hAnsi="Times New Roman" w:eastAsia="黑体" w:cs="Times New Roman"/>
          <w:strike w:val="0"/>
          <w:dstrike w:val="0"/>
          <w:sz w:val="21"/>
          <w:szCs w:val="21"/>
          <w:highlight w:val="none"/>
        </w:rPr>
        <w:t>product</w:t>
      </w:r>
    </w:p>
    <w:p w14:paraId="4A8220AA">
      <w:pPr>
        <w:adjustRightInd w:val="0"/>
        <w:snapToGrid w:val="0"/>
        <w:spacing w:line="360" w:lineRule="exact"/>
        <w:ind w:firstLine="420" w:firstLineChars="2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统计报告期内，综合能耗与合格产品产量（作业量、工作量、服务量）的比值。</w:t>
      </w:r>
    </w:p>
    <w:p w14:paraId="09B831C8">
      <w:pPr>
        <w:adjustRightInd w:val="0"/>
        <w:snapToGrid w:val="0"/>
        <w:spacing w:line="360" w:lineRule="exact"/>
        <w:ind w:firstLine="420" w:firstLineChars="2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注１：产品是指合格的最终产品或中间产品。</w:t>
      </w:r>
    </w:p>
    <w:p w14:paraId="40DB2109">
      <w:pPr>
        <w:adjustRightInd w:val="0"/>
        <w:snapToGrid w:val="0"/>
        <w:spacing w:line="360" w:lineRule="exact"/>
        <w:ind w:firstLine="420" w:firstLineChars="2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注２：对以原料加工等作业量为能耗考核对象的用能单位，其单位作业量综合能耗的概念也包括在本定义之内。</w:t>
      </w:r>
    </w:p>
    <w:p w14:paraId="30430559">
      <w:pPr>
        <w:adjustRightInd w:val="0"/>
        <w:snapToGrid w:val="0"/>
        <w:spacing w:line="360" w:lineRule="exact"/>
        <w:ind w:firstLine="420" w:firstLineChars="2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注３：单位</w:t>
      </w:r>
      <w:r>
        <w:rPr>
          <w:rFonts w:hint="default" w:ascii="Times New Roman" w:hAnsi="Times New Roman" w:cs="Times New Roman"/>
          <w:color w:val="auto"/>
          <w:sz w:val="21"/>
          <w:szCs w:val="21"/>
          <w:highlight w:val="none"/>
        </w:rPr>
        <w:t>产品综合能耗单位根据产品产量（作业量、工作量、服务量）量纲不同可包括：千克标准煤每千克（kgce/kg）、千克标准煤每立方米（kgce/m</w:t>
      </w:r>
      <w:r>
        <w:rPr>
          <w:rFonts w:hint="default" w:ascii="Times New Roman" w:hAnsi="Times New Roman" w:cs="Times New Roman"/>
          <w:color w:val="auto"/>
          <w:sz w:val="21"/>
          <w:szCs w:val="21"/>
          <w:highlight w:val="none"/>
          <w:vertAlign w:val="superscript"/>
        </w:rPr>
        <w:t>3</w:t>
      </w:r>
      <w:r>
        <w:rPr>
          <w:rFonts w:hint="default" w:ascii="Times New Roman" w:hAnsi="Times New Roman" w:cs="Times New Roman"/>
          <w:color w:val="auto"/>
          <w:sz w:val="21"/>
          <w:szCs w:val="21"/>
          <w:highlight w:val="none"/>
        </w:rPr>
        <w:t>）等。</w:t>
      </w:r>
    </w:p>
    <w:p w14:paraId="7D92A5B3">
      <w:pPr>
        <w:adjustRightInd w:val="0"/>
        <w:snapToGrid w:val="0"/>
        <w:spacing w:line="360" w:lineRule="exact"/>
        <w:ind w:firstLine="420" w:firstLineChars="200"/>
        <w:rPr>
          <w:rFonts w:hint="eastAsia" w:ascii="Times New Roman" w:hAnsi="Times New Roman" w:eastAsia="宋体" w:cs="Times New Roman"/>
          <w:color w:val="FF0000"/>
          <w:sz w:val="21"/>
          <w:szCs w:val="21"/>
          <w:highlight w:val="cyan"/>
          <w:lang w:eastAsia="zh-CN"/>
        </w:rPr>
      </w:pPr>
      <w:r>
        <w:rPr>
          <w:rFonts w:hint="default" w:ascii="Times New Roman" w:hAnsi="Times New Roman" w:cs="Times New Roman"/>
          <w:color w:val="auto"/>
          <w:sz w:val="21"/>
          <w:szCs w:val="21"/>
          <w:highlight w:val="none"/>
        </w:rPr>
        <w:t>[来源:GB/T2589—2020,3.7]</w:t>
      </w:r>
    </w:p>
    <w:p w14:paraId="101DDD80">
      <w:pPr>
        <w:pStyle w:val="2"/>
        <w:bidi w:val="0"/>
        <w:spacing w:line="240" w:lineRule="auto"/>
        <w:rPr>
          <w:rFonts w:hint="default" w:ascii="Times New Roman" w:hAnsi="Times New Roman" w:eastAsia="黑体" w:cs="Times New Roman"/>
          <w:color w:val="auto"/>
          <w:lang w:val="en-US" w:eastAsia="zh-CN"/>
        </w:rPr>
      </w:pPr>
      <w:bookmarkStart w:id="10" w:name="_Toc27673"/>
      <w:r>
        <w:rPr>
          <w:rFonts w:hint="default" w:ascii="Times New Roman" w:hAnsi="Times New Roman" w:eastAsia="黑体" w:cs="Times New Roman"/>
          <w:color w:val="auto"/>
          <w:lang w:val="en-US" w:eastAsia="zh-CN"/>
        </w:rPr>
        <w:t>4 总体要求</w:t>
      </w:r>
      <w:bookmarkEnd w:id="10"/>
    </w:p>
    <w:p w14:paraId="09C413B9">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4.1 稀土矿山开发应纳入国家矿产资源总体规划，严格遵循</w:t>
      </w:r>
      <w:r>
        <w:rPr>
          <w:rFonts w:hint="eastAsia" w:cs="Times New Roman"/>
          <w:sz w:val="21"/>
          <w:szCs w:val="21"/>
          <w:highlight w:val="none"/>
          <w:lang w:val="en-US" w:eastAsia="zh-CN"/>
        </w:rPr>
        <w:t>“</w:t>
      </w:r>
      <w:r>
        <w:rPr>
          <w:rFonts w:hint="default" w:ascii="Times New Roman" w:hAnsi="Times New Roman" w:eastAsia="宋体" w:cs="Times New Roman"/>
          <w:sz w:val="21"/>
          <w:szCs w:val="21"/>
          <w:highlight w:val="none"/>
          <w:lang w:val="en-US" w:eastAsia="zh-CN"/>
        </w:rPr>
        <w:t>在保护中开发、在开发中保护</w:t>
      </w:r>
      <w:r>
        <w:rPr>
          <w:rFonts w:hint="eastAsia" w:cs="Times New Roman"/>
          <w:sz w:val="21"/>
          <w:szCs w:val="21"/>
          <w:highlight w:val="none"/>
          <w:lang w:val="en-US" w:eastAsia="zh-CN"/>
        </w:rPr>
        <w:t>”</w:t>
      </w:r>
      <w:r>
        <w:rPr>
          <w:rFonts w:hint="default" w:ascii="Times New Roman" w:hAnsi="Times New Roman" w:eastAsia="宋体" w:cs="Times New Roman"/>
          <w:sz w:val="21"/>
          <w:szCs w:val="21"/>
          <w:highlight w:val="none"/>
          <w:lang w:val="en-US" w:eastAsia="zh-CN"/>
        </w:rPr>
        <w:t>原则，统筹资源、环境、安全与经济效益，通过集约化、规模化、智能化开发，实现资源开发与生态环境安全、区域经济建设和社会发展相协调的绿色可持续发展。</w:t>
      </w:r>
    </w:p>
    <w:p w14:paraId="7BC26830">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4.2 稀土矿山应严格遵循批准的矿产资源</w:t>
      </w:r>
      <w:r>
        <w:rPr>
          <w:rFonts w:hint="eastAsia" w:cs="Times New Roman"/>
          <w:sz w:val="21"/>
          <w:szCs w:val="21"/>
          <w:highlight w:val="none"/>
          <w:lang w:val="en-US" w:eastAsia="zh-CN"/>
        </w:rPr>
        <w:t>开采</w:t>
      </w:r>
      <w:r>
        <w:rPr>
          <w:rFonts w:hint="default" w:ascii="Times New Roman" w:hAnsi="Times New Roman" w:eastAsia="宋体" w:cs="Times New Roman"/>
          <w:sz w:val="21"/>
          <w:szCs w:val="21"/>
          <w:highlight w:val="none"/>
          <w:lang w:val="en-US" w:eastAsia="zh-CN"/>
        </w:rPr>
        <w:t>方案进行开发，杜绝采富弃贫、破坏性开采等行为。</w:t>
      </w:r>
    </w:p>
    <w:p w14:paraId="62E2A249">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4.3 稀土矿山开采应确保证件与手续齐全，包括采矿权证、环评许可、安全生产许可证等。</w:t>
      </w:r>
    </w:p>
    <w:p w14:paraId="550E741E">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4.</w:t>
      </w:r>
      <w:r>
        <w:rPr>
          <w:rFonts w:hint="eastAsia" w:ascii="Times New Roman" w:hAnsi="Times New Roman" w:eastAsia="宋体" w:cs="Times New Roman"/>
          <w:sz w:val="21"/>
          <w:szCs w:val="21"/>
          <w:highlight w:val="none"/>
          <w:lang w:val="en-US" w:eastAsia="zh-CN"/>
        </w:rPr>
        <w:t>4</w:t>
      </w:r>
      <w:r>
        <w:rPr>
          <w:rFonts w:hint="default" w:ascii="Times New Roman" w:hAnsi="Times New Roman" w:eastAsia="宋体" w:cs="Times New Roman"/>
          <w:sz w:val="21"/>
          <w:szCs w:val="21"/>
          <w:highlight w:val="none"/>
          <w:lang w:val="en-US" w:eastAsia="zh-CN"/>
        </w:rPr>
        <w:t xml:space="preserve"> 稀土矿山应建立全生命周期管理体系，</w:t>
      </w:r>
      <w:r>
        <w:rPr>
          <w:rFonts w:hint="eastAsia" w:ascii="Times New Roman" w:hAnsi="Times New Roman" w:eastAsia="宋体" w:cs="Times New Roman"/>
          <w:sz w:val="21"/>
          <w:szCs w:val="21"/>
          <w:highlight w:val="none"/>
          <w:lang w:val="en-US" w:eastAsia="zh-CN"/>
        </w:rPr>
        <w:t>将绿色发展要求贯彻矿山开采各环节。</w:t>
      </w:r>
    </w:p>
    <w:p w14:paraId="768D4087">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4.</w:t>
      </w:r>
      <w:r>
        <w:rPr>
          <w:rFonts w:hint="eastAsia" w:ascii="Times New Roman" w:hAnsi="Times New Roman" w:eastAsia="宋体" w:cs="Times New Roman"/>
          <w:sz w:val="21"/>
          <w:szCs w:val="21"/>
          <w:highlight w:val="none"/>
          <w:lang w:val="en-US" w:eastAsia="zh-CN"/>
        </w:rPr>
        <w:t>5</w:t>
      </w:r>
      <w:r>
        <w:rPr>
          <w:rFonts w:hint="default" w:ascii="Times New Roman" w:hAnsi="Times New Roman" w:eastAsia="宋体" w:cs="Times New Roman"/>
          <w:sz w:val="21"/>
          <w:szCs w:val="21"/>
          <w:highlight w:val="none"/>
          <w:lang w:val="en-US" w:eastAsia="zh-CN"/>
        </w:rPr>
        <w:t xml:space="preserve"> 稀土矿山</w:t>
      </w:r>
      <w:r>
        <w:rPr>
          <w:rFonts w:hint="eastAsia" w:ascii="Times New Roman" w:hAnsi="Times New Roman" w:eastAsia="宋体" w:cs="Times New Roman"/>
          <w:sz w:val="21"/>
          <w:szCs w:val="21"/>
          <w:highlight w:val="none"/>
          <w:lang w:val="en-US" w:eastAsia="zh-CN"/>
        </w:rPr>
        <w:t>开采</w:t>
      </w:r>
      <w:r>
        <w:rPr>
          <w:rFonts w:hint="default" w:ascii="Times New Roman" w:hAnsi="Times New Roman" w:eastAsia="宋体" w:cs="Times New Roman"/>
          <w:sz w:val="21"/>
          <w:szCs w:val="21"/>
          <w:highlight w:val="none"/>
          <w:lang w:val="en-US" w:eastAsia="zh-CN"/>
        </w:rPr>
        <w:t>应坚持生态优先、源头防控原则，严格执行</w:t>
      </w:r>
      <w:r>
        <w:rPr>
          <w:rFonts w:hint="eastAsia" w:cs="Times New Roman"/>
          <w:sz w:val="21"/>
          <w:szCs w:val="21"/>
          <w:highlight w:val="none"/>
          <w:lang w:val="en-US" w:eastAsia="zh-CN"/>
        </w:rPr>
        <w:t>“</w:t>
      </w:r>
      <w:r>
        <w:rPr>
          <w:rFonts w:hint="default" w:ascii="Times New Roman" w:hAnsi="Times New Roman" w:eastAsia="宋体" w:cs="Times New Roman"/>
          <w:sz w:val="21"/>
          <w:szCs w:val="21"/>
          <w:highlight w:val="none"/>
          <w:lang w:val="en-US" w:eastAsia="zh-CN"/>
        </w:rPr>
        <w:t>边开采、边修复、边治理</w:t>
      </w:r>
      <w:r>
        <w:rPr>
          <w:rFonts w:hint="eastAsia" w:cs="Times New Roman"/>
          <w:sz w:val="21"/>
          <w:szCs w:val="21"/>
          <w:highlight w:val="none"/>
          <w:lang w:val="en-US" w:eastAsia="zh-CN"/>
        </w:rPr>
        <w:t>”</w:t>
      </w:r>
      <w:r>
        <w:rPr>
          <w:rFonts w:hint="default" w:ascii="Times New Roman" w:hAnsi="Times New Roman" w:eastAsia="宋体" w:cs="Times New Roman"/>
          <w:sz w:val="21"/>
          <w:szCs w:val="21"/>
          <w:highlight w:val="none"/>
          <w:lang w:val="en-US" w:eastAsia="zh-CN"/>
        </w:rPr>
        <w:t>，依据矿区生态修复方案对受损生态系统进行修复与治理。应建立健全环境风险监测评估机制，加强地下水、地表水、土壤、植被</w:t>
      </w:r>
      <w:r>
        <w:rPr>
          <w:rFonts w:hint="eastAsia" w:ascii="Times New Roman" w:hAnsi="Times New Roman" w:eastAsia="宋体" w:cs="Times New Roman"/>
          <w:sz w:val="21"/>
          <w:szCs w:val="21"/>
          <w:highlight w:val="none"/>
          <w:lang w:val="en-US" w:eastAsia="zh-CN"/>
        </w:rPr>
        <w:t>等</w:t>
      </w:r>
      <w:r>
        <w:rPr>
          <w:rFonts w:hint="default" w:ascii="Times New Roman" w:hAnsi="Times New Roman" w:eastAsia="宋体" w:cs="Times New Roman"/>
          <w:sz w:val="21"/>
          <w:szCs w:val="21"/>
          <w:highlight w:val="none"/>
          <w:lang w:val="en-US" w:eastAsia="zh-CN"/>
        </w:rPr>
        <w:t>监测预警，对生态污染与破坏实施全过程控制。</w:t>
      </w:r>
    </w:p>
    <w:p w14:paraId="00268ACC">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4.</w:t>
      </w:r>
      <w:r>
        <w:rPr>
          <w:rFonts w:hint="eastAsia" w:ascii="Times New Roman" w:hAnsi="Times New Roman" w:eastAsia="宋体" w:cs="Times New Roman"/>
          <w:sz w:val="21"/>
          <w:szCs w:val="21"/>
          <w:highlight w:val="none"/>
          <w:lang w:val="en-US" w:eastAsia="zh-CN"/>
        </w:rPr>
        <w:t>6</w:t>
      </w:r>
      <w:r>
        <w:rPr>
          <w:rFonts w:hint="default" w:ascii="Times New Roman" w:hAnsi="Times New Roman" w:eastAsia="宋体" w:cs="Times New Roman"/>
          <w:sz w:val="21"/>
          <w:szCs w:val="21"/>
          <w:highlight w:val="none"/>
          <w:lang w:val="en-US" w:eastAsia="zh-CN"/>
        </w:rPr>
        <w:t xml:space="preserve"> 稀土矿山应采用环境友好、高效节能的装备和工艺，优化生产流程，</w:t>
      </w:r>
      <w:r>
        <w:rPr>
          <w:rFonts w:hint="eastAsia" w:ascii="Times New Roman" w:hAnsi="Times New Roman" w:eastAsia="宋体" w:cs="Times New Roman"/>
          <w:sz w:val="21"/>
          <w:szCs w:val="21"/>
          <w:highlight w:val="none"/>
          <w:lang w:val="en-US" w:eastAsia="zh-CN"/>
        </w:rPr>
        <w:t>开展</w:t>
      </w:r>
      <w:r>
        <w:rPr>
          <w:rFonts w:hint="default" w:ascii="Times New Roman" w:hAnsi="Times New Roman" w:eastAsia="宋体" w:cs="Times New Roman"/>
          <w:sz w:val="21"/>
          <w:szCs w:val="21"/>
          <w:highlight w:val="none"/>
          <w:lang w:val="en-US" w:eastAsia="zh-CN"/>
        </w:rPr>
        <w:t>废水循环利用、废物资源化，降低单位产品能耗与排放</w:t>
      </w:r>
      <w:r>
        <w:rPr>
          <w:rFonts w:hint="default" w:ascii="Times New Roman" w:hAnsi="Times New Roman" w:eastAsia="宋体" w:cs="Times New Roman"/>
          <w:sz w:val="21"/>
          <w:szCs w:val="21"/>
          <w:highlight w:val="none"/>
          <w:lang w:val="en-US" w:eastAsia="zh-CN"/>
        </w:rPr>
        <w:fldChar w:fldCharType="begin"/>
      </w:r>
      <w:r>
        <w:rPr>
          <w:rFonts w:hint="default" w:ascii="Times New Roman" w:hAnsi="Times New Roman" w:eastAsia="宋体" w:cs="Times New Roman"/>
          <w:sz w:val="21"/>
          <w:szCs w:val="21"/>
          <w:highlight w:val="none"/>
          <w:lang w:val="en-US" w:eastAsia="zh-CN"/>
        </w:rPr>
        <w:instrText xml:space="preserve"> HYPERLINK "https://www.mnr.gov.cn/dt/kc/202412/t20241209_2878062.html" \t "https://chat.deepseek.com/a/chat/s/_blank" </w:instrText>
      </w:r>
      <w:r>
        <w:rPr>
          <w:rFonts w:hint="default" w:ascii="Times New Roman" w:hAnsi="Times New Roman" w:eastAsia="宋体" w:cs="Times New Roman"/>
          <w:sz w:val="21"/>
          <w:szCs w:val="21"/>
          <w:highlight w:val="none"/>
          <w:lang w:val="en-US" w:eastAsia="zh-CN"/>
        </w:rPr>
        <w:fldChar w:fldCharType="separate"/>
      </w:r>
      <w:r>
        <w:rPr>
          <w:rFonts w:hint="default" w:ascii="Times New Roman" w:hAnsi="Times New Roman" w:eastAsia="宋体" w:cs="Times New Roman"/>
          <w:sz w:val="21"/>
          <w:szCs w:val="21"/>
          <w:highlight w:val="none"/>
          <w:lang w:val="en-US" w:eastAsia="zh-CN"/>
        </w:rPr>
        <w:fldChar w:fldCharType="end"/>
      </w:r>
      <w:r>
        <w:rPr>
          <w:rFonts w:hint="default" w:ascii="Times New Roman" w:hAnsi="Times New Roman" w:eastAsia="宋体" w:cs="Times New Roman"/>
          <w:sz w:val="21"/>
          <w:szCs w:val="21"/>
          <w:highlight w:val="none"/>
          <w:lang w:val="en-US" w:eastAsia="zh-CN"/>
        </w:rPr>
        <w:t>。鼓励开发利用绿色能源，推进矿山绿色低碳转型。</w:t>
      </w:r>
    </w:p>
    <w:p w14:paraId="3795FBB5">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4.</w:t>
      </w:r>
      <w:r>
        <w:rPr>
          <w:rFonts w:hint="eastAsia" w:ascii="Times New Roman" w:hAnsi="Times New Roman" w:eastAsia="宋体" w:cs="Times New Roman"/>
          <w:sz w:val="21"/>
          <w:szCs w:val="21"/>
          <w:highlight w:val="none"/>
          <w:lang w:val="en-US" w:eastAsia="zh-CN"/>
        </w:rPr>
        <w:t>7</w:t>
      </w:r>
      <w:r>
        <w:rPr>
          <w:rFonts w:hint="default" w:ascii="Times New Roman" w:hAnsi="Times New Roman" w:eastAsia="宋体" w:cs="Times New Roman"/>
          <w:sz w:val="21"/>
          <w:szCs w:val="21"/>
          <w:highlight w:val="none"/>
          <w:lang w:val="en-US" w:eastAsia="zh-CN"/>
        </w:rPr>
        <w:t xml:space="preserve"> 稀土开采企业应以科技创新与智能化转型为核心驱动，加强绿色开采关键技术与装备研发应用。鼓励建设数字化智能管控平台，实现资源储量动态管理、生产过程智能监控、安全环保在线预警，推动矿山向高端化、智能化、绿色化方向发展。</w:t>
      </w:r>
    </w:p>
    <w:p w14:paraId="5A5BA8F5">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default" w:ascii="Times New Roman" w:hAnsi="Times New Roman" w:eastAsia="宋体" w:cs="Times New Roman"/>
          <w:sz w:val="21"/>
          <w:szCs w:val="21"/>
          <w:highlight w:val="none"/>
          <w:lang w:val="en-US" w:eastAsia="zh-CN"/>
        </w:rPr>
      </w:pPr>
      <w:r>
        <w:rPr>
          <w:rFonts w:hint="eastAsia" w:cs="Times New Roman"/>
          <w:sz w:val="21"/>
          <w:szCs w:val="21"/>
          <w:highlight w:val="none"/>
          <w:lang w:val="en-US" w:eastAsia="zh-CN"/>
        </w:rPr>
        <w:t>4.8 岩矿型稀土矿山绿色开采指标要求按具体指标衡量，包括一级指标和二级指标。一级指标包括资源属性、能源属性、环境属性和产品属性；每个一级指标下设二级指标，明确规定所要达到的具体要求，其中具体要求分为A级基准值（标杆值）和B级基准值（先进值），具体指标要求见表1—表3。</w:t>
      </w:r>
    </w:p>
    <w:p w14:paraId="479F1E25">
      <w:pPr>
        <w:pStyle w:val="2"/>
        <w:bidi w:val="0"/>
        <w:spacing w:line="240" w:lineRule="auto"/>
        <w:rPr>
          <w:rFonts w:hint="default" w:ascii="Times New Roman" w:hAnsi="Times New Roman" w:eastAsia="黑体" w:cs="Times New Roman"/>
          <w:color w:val="auto"/>
          <w:lang w:val="en-US" w:eastAsia="zh-CN"/>
        </w:rPr>
      </w:pPr>
      <w:bookmarkStart w:id="11" w:name="_Toc2473"/>
      <w:r>
        <w:rPr>
          <w:rFonts w:hint="default" w:ascii="Times New Roman" w:hAnsi="Times New Roman" w:eastAsia="黑体" w:cs="Times New Roman"/>
          <w:color w:val="auto"/>
          <w:lang w:val="en-US" w:eastAsia="zh-CN"/>
        </w:rPr>
        <w:t>5 绿色开采技术要求</w:t>
      </w:r>
      <w:bookmarkEnd w:id="11"/>
    </w:p>
    <w:p w14:paraId="112C10EB">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default" w:cs="Times New Roman"/>
          <w:sz w:val="21"/>
          <w:szCs w:val="21"/>
          <w:highlight w:val="none"/>
          <w:lang w:val="en-US" w:eastAsia="zh-CN"/>
        </w:rPr>
      </w:pPr>
      <w:r>
        <w:rPr>
          <w:rFonts w:hint="default" w:ascii="Times New Roman" w:hAnsi="Times New Roman" w:cs="Times New Roman"/>
          <w:sz w:val="21"/>
          <w:szCs w:val="21"/>
          <w:highlight w:val="none"/>
          <w:lang w:val="en-US" w:eastAsia="zh-CN"/>
        </w:rPr>
        <w:t xml:space="preserve">5.1 </w:t>
      </w:r>
      <w:r>
        <w:rPr>
          <w:rFonts w:hint="default" w:cs="Times New Roman"/>
          <w:sz w:val="21"/>
          <w:szCs w:val="21"/>
          <w:highlight w:val="none"/>
          <w:lang w:val="en-US" w:eastAsia="zh-CN"/>
        </w:rPr>
        <w:t>岩矿型稀土矿山采矿、选矿工程的设计与建设应符合GB 50771和GB 50782有关规定。采用地下开采的矿山，其井巷工程设计应符合GB 50915有关规定。尾矿设施设计应符合GB 50863有关规定。</w:t>
      </w:r>
    </w:p>
    <w:p w14:paraId="3A1378AD">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lang w:val="en-US" w:eastAsia="zh-CN"/>
        </w:rPr>
        <w:t>5.</w:t>
      </w:r>
      <w:r>
        <w:rPr>
          <w:rFonts w:hint="eastAsia" w:cs="Times New Roman"/>
          <w:sz w:val="21"/>
          <w:szCs w:val="21"/>
          <w:highlight w:val="none"/>
          <w:lang w:val="en-US" w:eastAsia="zh-CN"/>
        </w:rPr>
        <w:t>2</w:t>
      </w:r>
      <w:r>
        <w:rPr>
          <w:rFonts w:hint="default" w:ascii="Times New Roman" w:hAnsi="Times New Roman" w:cs="Times New Roman"/>
          <w:sz w:val="21"/>
          <w:szCs w:val="21"/>
          <w:highlight w:val="none"/>
          <w:lang w:val="en-US" w:eastAsia="zh-CN"/>
        </w:rPr>
        <w:t xml:space="preserve"> 矿山开采前应制定开采计划，开展绿色勘查，明确开采范围和储量信息，查明水文地质</w:t>
      </w:r>
      <w:r>
        <w:rPr>
          <w:rFonts w:hint="default" w:ascii="Times New Roman" w:hAnsi="Times New Roman" w:eastAsia="宋体" w:cs="Times New Roman"/>
          <w:sz w:val="21"/>
          <w:szCs w:val="21"/>
          <w:highlight w:val="none"/>
          <w:lang w:val="en-US" w:eastAsia="zh-CN"/>
        </w:rPr>
        <w:t>等基本情况，达到相应勘探</w:t>
      </w:r>
      <w:r>
        <w:rPr>
          <w:rFonts w:hint="eastAsia" w:cs="Times New Roman"/>
          <w:sz w:val="21"/>
          <w:szCs w:val="21"/>
          <w:highlight w:val="none"/>
          <w:lang w:val="en-US" w:eastAsia="zh-CN"/>
        </w:rPr>
        <w:t>阶段要求</w:t>
      </w:r>
      <w:r>
        <w:rPr>
          <w:rFonts w:hint="default" w:ascii="Times New Roman" w:hAnsi="Times New Roman" w:eastAsia="宋体" w:cs="Times New Roman"/>
          <w:sz w:val="21"/>
          <w:szCs w:val="21"/>
          <w:highlight w:val="none"/>
          <w:lang w:val="en-US" w:eastAsia="zh-CN"/>
        </w:rPr>
        <w:t>。</w:t>
      </w:r>
    </w:p>
    <w:p w14:paraId="42DDA640">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w:t>
      </w:r>
      <w:r>
        <w:rPr>
          <w:rFonts w:hint="eastAsia" w:cs="Times New Roman"/>
          <w:sz w:val="21"/>
          <w:szCs w:val="21"/>
          <w:highlight w:val="none"/>
          <w:lang w:val="en-US" w:eastAsia="zh-CN"/>
        </w:rPr>
        <w:t>3</w:t>
      </w:r>
      <w:r>
        <w:rPr>
          <w:rFonts w:hint="default" w:ascii="Times New Roman" w:hAnsi="Times New Roman" w:eastAsia="宋体" w:cs="Times New Roman"/>
          <w:sz w:val="21"/>
          <w:szCs w:val="21"/>
          <w:highlight w:val="none"/>
          <w:lang w:val="en-US" w:eastAsia="zh-CN"/>
        </w:rPr>
        <w:t xml:space="preserve"> 露天开采应合理确定开采境界和台阶参数，优先采用内排土工艺</w:t>
      </w:r>
      <w:r>
        <w:rPr>
          <w:rFonts w:hint="eastAsia" w:ascii="Times New Roman" w:hAnsi="Times New Roman" w:eastAsia="宋体" w:cs="Times New Roman"/>
          <w:sz w:val="21"/>
          <w:szCs w:val="21"/>
          <w:highlight w:val="none"/>
          <w:lang w:val="en-US" w:eastAsia="zh-CN"/>
        </w:rPr>
        <w:t>；</w:t>
      </w:r>
      <w:r>
        <w:rPr>
          <w:rFonts w:hint="default" w:ascii="Times New Roman" w:hAnsi="Times New Roman" w:eastAsia="宋体" w:cs="Times New Roman"/>
          <w:sz w:val="21"/>
          <w:szCs w:val="21"/>
          <w:highlight w:val="none"/>
          <w:lang w:val="en-US" w:eastAsia="zh-CN"/>
        </w:rPr>
        <w:t>条件适宜时宜采用陡帮开采或分期分区开采，减少前期剥离量和原生地貌扰动。装备选型与开采规模应与矿体厚度和品位匹配，严禁超采、乱采及丢弃边角矿体。</w:t>
      </w:r>
    </w:p>
    <w:p w14:paraId="5BC08447">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5.</w:t>
      </w:r>
      <w:r>
        <w:rPr>
          <w:rFonts w:hint="eastAsia" w:cs="Times New Roman"/>
          <w:sz w:val="21"/>
          <w:szCs w:val="21"/>
          <w:highlight w:val="none"/>
          <w:lang w:val="en-US" w:eastAsia="zh-CN"/>
        </w:rPr>
        <w:t>4</w:t>
      </w:r>
      <w:r>
        <w:rPr>
          <w:rFonts w:hint="default" w:ascii="Times New Roman" w:hAnsi="Times New Roman" w:cs="Times New Roman"/>
          <w:sz w:val="21"/>
          <w:szCs w:val="21"/>
          <w:highlight w:val="none"/>
          <w:lang w:val="en-US" w:eastAsia="zh-CN"/>
        </w:rPr>
        <w:t xml:space="preserve"> </w:t>
      </w:r>
      <w:r>
        <w:rPr>
          <w:rFonts w:hint="eastAsia" w:cs="Times New Roman"/>
          <w:sz w:val="21"/>
          <w:szCs w:val="21"/>
          <w:highlight w:val="none"/>
          <w:lang w:val="en-US" w:eastAsia="zh-CN"/>
        </w:rPr>
        <w:t>露天</w:t>
      </w:r>
      <w:r>
        <w:rPr>
          <w:rFonts w:hint="default" w:ascii="Times New Roman" w:hAnsi="Times New Roman" w:cs="Times New Roman"/>
          <w:sz w:val="21"/>
          <w:szCs w:val="21"/>
          <w:highlight w:val="none"/>
          <w:lang w:val="en-US" w:eastAsia="zh-CN"/>
        </w:rPr>
        <w:t>开采过程应严格执行分穿、分爆、分装、分运、分置制度，严禁矿</w:t>
      </w:r>
      <w:r>
        <w:rPr>
          <w:rFonts w:hint="eastAsia" w:cs="Times New Roman"/>
          <w:sz w:val="21"/>
          <w:szCs w:val="21"/>
          <w:highlight w:val="none"/>
          <w:lang w:val="en-US" w:eastAsia="zh-CN"/>
        </w:rPr>
        <w:t>岩</w:t>
      </w:r>
      <w:r>
        <w:rPr>
          <w:rFonts w:hint="default" w:ascii="Times New Roman" w:hAnsi="Times New Roman" w:cs="Times New Roman"/>
          <w:sz w:val="21"/>
          <w:szCs w:val="21"/>
          <w:highlight w:val="none"/>
          <w:lang w:val="en-US" w:eastAsia="zh-CN"/>
        </w:rPr>
        <w:t>混采混堆。应采用中深孔精准爆破技术，优化孔网参数、装药结构和起爆顺序。临近生态敏感区域爆破应使用环保型炸药和微差起爆技术；露天永久边坡应采用预裂或光面爆破，保障边坡稳定</w:t>
      </w:r>
      <w:r>
        <w:rPr>
          <w:rFonts w:hint="default" w:ascii="Times New Roman" w:hAnsi="Times New Roman" w:cs="Times New Roman"/>
          <w:sz w:val="21"/>
          <w:szCs w:val="21"/>
          <w:highlight w:val="none"/>
          <w:lang w:val="en-US" w:eastAsia="zh-CN"/>
        </w:rPr>
        <w:fldChar w:fldCharType="begin"/>
      </w:r>
      <w:r>
        <w:rPr>
          <w:rFonts w:hint="default" w:ascii="Times New Roman" w:hAnsi="Times New Roman" w:cs="Times New Roman"/>
          <w:sz w:val="21"/>
          <w:szCs w:val="21"/>
          <w:highlight w:val="none"/>
          <w:lang w:val="en-US" w:eastAsia="zh-CN"/>
        </w:rPr>
        <w:instrText xml:space="preserve"> HYPERLINK "http://www.nrsis.org.cn/mnr_kfs/file/downportal?md5=6d8cdd1e9266b999263ad7c2cf6ccca5" \l "1#1" \t "https://chat.deepseek.com/a/chat/s/_blank" </w:instrText>
      </w:r>
      <w:r>
        <w:rPr>
          <w:rFonts w:hint="default" w:ascii="Times New Roman" w:hAnsi="Times New Roman" w:cs="Times New Roman"/>
          <w:sz w:val="21"/>
          <w:szCs w:val="21"/>
          <w:highlight w:val="none"/>
          <w:lang w:val="en-US" w:eastAsia="zh-CN"/>
        </w:rPr>
        <w:fldChar w:fldCharType="separate"/>
      </w:r>
      <w:r>
        <w:rPr>
          <w:rFonts w:hint="default" w:ascii="Times New Roman" w:hAnsi="Times New Roman" w:cs="Times New Roman"/>
          <w:sz w:val="21"/>
          <w:szCs w:val="21"/>
          <w:highlight w:val="none"/>
          <w:lang w:val="en-US" w:eastAsia="zh-CN"/>
        </w:rPr>
        <w:fldChar w:fldCharType="end"/>
      </w:r>
      <w:r>
        <w:rPr>
          <w:rFonts w:hint="default" w:ascii="Times New Roman" w:hAnsi="Times New Roman" w:cs="Times New Roman"/>
          <w:sz w:val="21"/>
          <w:szCs w:val="21"/>
          <w:highlight w:val="none"/>
          <w:lang w:val="en-US" w:eastAsia="zh-CN"/>
        </w:rPr>
        <w:t>。</w:t>
      </w:r>
    </w:p>
    <w:p w14:paraId="29141238">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5.</w:t>
      </w:r>
      <w:r>
        <w:rPr>
          <w:rFonts w:hint="eastAsia" w:cs="Times New Roman"/>
          <w:sz w:val="21"/>
          <w:szCs w:val="21"/>
          <w:highlight w:val="none"/>
          <w:lang w:val="en-US" w:eastAsia="zh-CN"/>
        </w:rPr>
        <w:t>5</w:t>
      </w:r>
      <w:r>
        <w:rPr>
          <w:rFonts w:hint="default" w:ascii="Times New Roman" w:hAnsi="Times New Roman" w:cs="Times New Roman"/>
          <w:sz w:val="21"/>
          <w:szCs w:val="21"/>
          <w:highlight w:val="none"/>
          <w:lang w:val="en-US" w:eastAsia="zh-CN"/>
        </w:rPr>
        <w:t xml:space="preserve"> 地下开采应加大阶段高度和矿块尺寸，配套机械化采掘。采空区应及时采用井下废石和选矿尾砂进行充填，实现固废井下资源化处置</w:t>
      </w:r>
      <w:r>
        <w:rPr>
          <w:rFonts w:hint="eastAsia" w:cs="Times New Roman"/>
          <w:sz w:val="21"/>
          <w:szCs w:val="21"/>
          <w:highlight w:val="none"/>
          <w:lang w:val="en-US" w:eastAsia="zh-CN"/>
        </w:rPr>
        <w:t>，</w:t>
      </w:r>
      <w:r>
        <w:rPr>
          <w:rFonts w:hint="default" w:ascii="Times New Roman" w:hAnsi="Times New Roman" w:cs="Times New Roman"/>
          <w:sz w:val="21"/>
          <w:szCs w:val="21"/>
          <w:highlight w:val="none"/>
          <w:lang w:val="en-US" w:eastAsia="zh-CN"/>
        </w:rPr>
        <w:t>减少地表堆存与生态扰动。</w:t>
      </w:r>
    </w:p>
    <w:p w14:paraId="40386F93">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5.</w:t>
      </w:r>
      <w:r>
        <w:rPr>
          <w:rFonts w:hint="eastAsia" w:cs="Times New Roman"/>
          <w:sz w:val="21"/>
          <w:szCs w:val="21"/>
          <w:highlight w:val="none"/>
          <w:lang w:val="en-US" w:eastAsia="zh-CN"/>
        </w:rPr>
        <w:t>6</w:t>
      </w:r>
      <w:r>
        <w:rPr>
          <w:rFonts w:hint="default" w:ascii="Times New Roman" w:hAnsi="Times New Roman" w:cs="Times New Roman"/>
          <w:sz w:val="21"/>
          <w:szCs w:val="21"/>
          <w:highlight w:val="none"/>
          <w:lang w:val="en-US" w:eastAsia="zh-CN"/>
        </w:rPr>
        <w:t xml:space="preserve"> 技术经济可行时，应在采场或粗碎站设置预选抛废工序，提前剔除围岩废石，降低入磨废石率。采装、运输及采掘等移动设备应优先选用电动、电液等节能机型，固定作业点位宜全面推行电动化。应建立设备台账与智能调度系统，动态优化设备运行参数，降低单位产品综合能耗。</w:t>
      </w:r>
    </w:p>
    <w:p w14:paraId="7BB2105D">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default" w:ascii="Times New Roman" w:hAnsi="Times New Roman" w:cs="Times New Roman"/>
          <w:sz w:val="21"/>
          <w:szCs w:val="21"/>
          <w:highlight w:val="none"/>
          <w:lang w:val="en-US" w:eastAsia="zh-CN"/>
        </w:rPr>
      </w:pPr>
      <w:r>
        <w:rPr>
          <w:rFonts w:hint="eastAsia" w:ascii="Times New Roman" w:hAnsi="Times New Roman" w:cs="Times New Roman"/>
          <w:sz w:val="21"/>
          <w:szCs w:val="21"/>
          <w:highlight w:val="none"/>
          <w:lang w:val="en-US" w:eastAsia="zh-CN"/>
        </w:rPr>
        <w:t>5.</w:t>
      </w:r>
      <w:r>
        <w:rPr>
          <w:rFonts w:hint="eastAsia" w:cs="Times New Roman"/>
          <w:sz w:val="21"/>
          <w:szCs w:val="21"/>
          <w:highlight w:val="none"/>
          <w:lang w:val="en-US" w:eastAsia="zh-CN"/>
        </w:rPr>
        <w:t xml:space="preserve">7 </w:t>
      </w:r>
      <w:r>
        <w:rPr>
          <w:rFonts w:hint="default" w:ascii="Times New Roman" w:hAnsi="Times New Roman" w:cs="Times New Roman"/>
          <w:sz w:val="21"/>
          <w:szCs w:val="21"/>
          <w:highlight w:val="none"/>
          <w:lang w:val="en-US" w:eastAsia="zh-CN"/>
        </w:rPr>
        <w:t>选矿工艺应优先采用清洁、短流程工艺技术，选用环境友好型选矿药剂，减少有毒有害物质使用，从源头降低生产活动对生态环境和人体健康的不利影响。</w:t>
      </w:r>
    </w:p>
    <w:p w14:paraId="320FE9D5">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5.</w:t>
      </w:r>
      <w:r>
        <w:rPr>
          <w:rFonts w:hint="eastAsia" w:cs="Times New Roman"/>
          <w:sz w:val="21"/>
          <w:szCs w:val="21"/>
          <w:highlight w:val="none"/>
          <w:lang w:val="en-US" w:eastAsia="zh-CN"/>
        </w:rPr>
        <w:t xml:space="preserve">8 </w:t>
      </w:r>
      <w:r>
        <w:rPr>
          <w:rFonts w:hint="default" w:ascii="Times New Roman" w:hAnsi="Times New Roman" w:cs="Times New Roman"/>
          <w:sz w:val="21"/>
          <w:szCs w:val="21"/>
          <w:highlight w:val="none"/>
          <w:lang w:val="en-US" w:eastAsia="zh-CN"/>
        </w:rPr>
        <w:t>宜建立矿山数字化地质模型与资源储量动态管理系统，实时更新地质与品位信息，精准指导采掘与配矿。应搭建采掘、爆破、运输全流程数据采集系统，实时监控设备工况、能耗及品位等关键指标。大中型矿山宜试点应用智能</w:t>
      </w:r>
      <w:r>
        <w:rPr>
          <w:rFonts w:hint="eastAsia" w:cs="Times New Roman"/>
          <w:sz w:val="21"/>
          <w:szCs w:val="21"/>
          <w:highlight w:val="none"/>
          <w:lang w:val="en-US" w:eastAsia="zh-CN"/>
        </w:rPr>
        <w:t>穿</w:t>
      </w:r>
      <w:r>
        <w:rPr>
          <w:rFonts w:hint="default" w:ascii="Times New Roman" w:hAnsi="Times New Roman" w:cs="Times New Roman"/>
          <w:sz w:val="21"/>
          <w:szCs w:val="21"/>
          <w:highlight w:val="none"/>
          <w:lang w:val="en-US" w:eastAsia="zh-CN"/>
        </w:rPr>
        <w:t>孔、无人运输等智能化装备。</w:t>
      </w:r>
    </w:p>
    <w:p w14:paraId="33089954">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5.</w:t>
      </w:r>
      <w:r>
        <w:rPr>
          <w:rFonts w:hint="eastAsia" w:cs="Times New Roman"/>
          <w:sz w:val="21"/>
          <w:szCs w:val="21"/>
          <w:highlight w:val="none"/>
          <w:lang w:val="en-US" w:eastAsia="zh-CN"/>
        </w:rPr>
        <w:t xml:space="preserve">9 </w:t>
      </w:r>
      <w:r>
        <w:rPr>
          <w:rFonts w:hint="default" w:ascii="Times New Roman" w:hAnsi="Times New Roman" w:cs="Times New Roman"/>
          <w:sz w:val="21"/>
          <w:szCs w:val="21"/>
          <w:highlight w:val="none"/>
          <w:lang w:val="en-US" w:eastAsia="zh-CN"/>
        </w:rPr>
        <w:t>开采中应对伴生有价资源实行</w:t>
      </w:r>
      <w:r>
        <w:rPr>
          <w:rFonts w:hint="eastAsia" w:cs="Times New Roman"/>
          <w:sz w:val="21"/>
          <w:szCs w:val="21"/>
          <w:highlight w:val="none"/>
          <w:lang w:val="en-US" w:eastAsia="zh-CN"/>
        </w:rPr>
        <w:t>保护</w:t>
      </w:r>
      <w:r>
        <w:rPr>
          <w:rFonts w:hint="default" w:ascii="Times New Roman" w:hAnsi="Times New Roman" w:cs="Times New Roman"/>
          <w:sz w:val="21"/>
          <w:szCs w:val="21"/>
          <w:highlight w:val="none"/>
          <w:lang w:val="en-US" w:eastAsia="zh-CN"/>
        </w:rPr>
        <w:t>与分类</w:t>
      </w:r>
      <w:r>
        <w:rPr>
          <w:rFonts w:hint="eastAsia" w:cs="Times New Roman"/>
          <w:sz w:val="21"/>
          <w:szCs w:val="21"/>
          <w:highlight w:val="none"/>
          <w:lang w:val="en-US" w:eastAsia="zh-CN"/>
        </w:rPr>
        <w:t>开采</w:t>
      </w:r>
      <w:r>
        <w:rPr>
          <w:rFonts w:hint="default" w:ascii="Times New Roman" w:hAnsi="Times New Roman" w:cs="Times New Roman"/>
          <w:sz w:val="21"/>
          <w:szCs w:val="21"/>
          <w:highlight w:val="none"/>
          <w:lang w:val="en-US" w:eastAsia="zh-CN"/>
        </w:rPr>
        <w:t>，纳入采掘规划，严禁弃伴保主</w:t>
      </w:r>
      <w:r>
        <w:rPr>
          <w:rFonts w:hint="default" w:ascii="Times New Roman" w:hAnsi="Times New Roman" w:cs="Times New Roman"/>
          <w:sz w:val="21"/>
          <w:szCs w:val="21"/>
          <w:highlight w:val="none"/>
          <w:lang w:val="en-US" w:eastAsia="zh-CN"/>
        </w:rPr>
        <w:fldChar w:fldCharType="begin"/>
      </w:r>
      <w:r>
        <w:rPr>
          <w:rFonts w:hint="default" w:ascii="Times New Roman" w:hAnsi="Times New Roman" w:cs="Times New Roman"/>
          <w:sz w:val="21"/>
          <w:szCs w:val="21"/>
          <w:highlight w:val="none"/>
          <w:lang w:val="en-US" w:eastAsia="zh-CN"/>
        </w:rPr>
        <w:instrText xml:space="preserve"> HYPERLINK "https://xzfg.moj.gov.cn/front/law/detail?LawID=1726" \t "https://chat.deepseek.com/a/chat/s/_blank" </w:instrText>
      </w:r>
      <w:r>
        <w:rPr>
          <w:rFonts w:hint="default" w:ascii="Times New Roman" w:hAnsi="Times New Roman" w:cs="Times New Roman"/>
          <w:sz w:val="21"/>
          <w:szCs w:val="21"/>
          <w:highlight w:val="none"/>
          <w:lang w:val="en-US" w:eastAsia="zh-CN"/>
        </w:rPr>
        <w:fldChar w:fldCharType="separate"/>
      </w:r>
      <w:r>
        <w:rPr>
          <w:rFonts w:hint="default" w:ascii="Times New Roman" w:hAnsi="Times New Roman" w:cs="Times New Roman"/>
          <w:sz w:val="21"/>
          <w:szCs w:val="21"/>
          <w:highlight w:val="none"/>
          <w:lang w:val="en-US" w:eastAsia="zh-CN"/>
        </w:rPr>
        <w:fldChar w:fldCharType="end"/>
      </w:r>
      <w:r>
        <w:rPr>
          <w:rFonts w:hint="default" w:ascii="Times New Roman" w:hAnsi="Times New Roman" w:cs="Times New Roman"/>
          <w:sz w:val="21"/>
          <w:szCs w:val="21"/>
          <w:highlight w:val="none"/>
          <w:lang w:val="en-US" w:eastAsia="zh-CN"/>
        </w:rPr>
        <w:t>。鼓励开展低品位、微细粒共生资源综合回收工艺试验与工程示范，提升共伴生资源综合利用水平。</w:t>
      </w:r>
    </w:p>
    <w:p w14:paraId="621FE01D">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5.</w:t>
      </w:r>
      <w:r>
        <w:rPr>
          <w:rFonts w:hint="eastAsia" w:cs="Times New Roman"/>
          <w:sz w:val="21"/>
          <w:szCs w:val="21"/>
          <w:highlight w:val="none"/>
          <w:lang w:val="en-US" w:eastAsia="zh-CN"/>
        </w:rPr>
        <w:t xml:space="preserve">10 </w:t>
      </w:r>
      <w:r>
        <w:rPr>
          <w:rFonts w:hint="default" w:ascii="Times New Roman" w:hAnsi="Times New Roman" w:cs="Times New Roman"/>
          <w:sz w:val="21"/>
          <w:szCs w:val="21"/>
          <w:highlight w:val="none"/>
          <w:lang w:val="en-US" w:eastAsia="zh-CN"/>
        </w:rPr>
        <w:t xml:space="preserve"> 应按照GB/T 44823</w:t>
      </w:r>
      <w:r>
        <w:rPr>
          <w:rFonts w:hint="eastAsia" w:cs="Times New Roman"/>
          <w:sz w:val="21"/>
          <w:szCs w:val="21"/>
          <w:highlight w:val="none"/>
          <w:lang w:val="en-US" w:eastAsia="zh-CN"/>
        </w:rPr>
        <w:t>、</w:t>
      </w:r>
      <w:r>
        <w:rPr>
          <w:rFonts w:hint="default" w:ascii="Times New Roman" w:hAnsi="Times New Roman" w:cs="Times New Roman"/>
          <w:sz w:val="21"/>
          <w:szCs w:val="21"/>
          <w:highlight w:val="none"/>
          <w:lang w:val="en-US" w:eastAsia="zh-CN"/>
        </w:rPr>
        <w:t>GB/T 42249</w:t>
      </w:r>
      <w:r>
        <w:rPr>
          <w:rFonts w:hint="eastAsia" w:ascii="Times New Roman" w:hAnsi="Times New Roman" w:cs="Times New Roman"/>
          <w:sz w:val="21"/>
          <w:szCs w:val="21"/>
          <w:highlight w:val="none"/>
          <w:lang w:val="en-US" w:eastAsia="zh-CN"/>
        </w:rPr>
        <w:t>、</w:t>
      </w:r>
      <w:r>
        <w:rPr>
          <w:rFonts w:hint="default" w:ascii="Times New Roman" w:hAnsi="Times New Roman" w:cs="Times New Roman"/>
          <w:sz w:val="21"/>
          <w:szCs w:val="21"/>
          <w:highlight w:val="none"/>
          <w:lang w:val="en-US" w:eastAsia="zh-CN"/>
        </w:rPr>
        <w:t>GB/T 2589标准规定，对开采回采率、矿产资源综合</w:t>
      </w:r>
      <w:r>
        <w:rPr>
          <w:rFonts w:hint="eastAsia" w:cs="Times New Roman"/>
          <w:sz w:val="21"/>
          <w:szCs w:val="21"/>
          <w:highlight w:val="none"/>
          <w:lang w:val="en-US" w:eastAsia="zh-CN"/>
        </w:rPr>
        <w:t>回收</w:t>
      </w:r>
      <w:r>
        <w:rPr>
          <w:rFonts w:hint="default" w:ascii="Times New Roman" w:hAnsi="Times New Roman" w:cs="Times New Roman"/>
          <w:sz w:val="21"/>
          <w:szCs w:val="21"/>
          <w:highlight w:val="none"/>
          <w:lang w:val="en-US" w:eastAsia="zh-CN"/>
        </w:rPr>
        <w:t>率和单位产品综合能耗等核心指标实行常态化核查</w:t>
      </w:r>
      <w:r>
        <w:rPr>
          <w:rFonts w:hint="default" w:ascii="Times New Roman" w:hAnsi="Times New Roman" w:cs="Times New Roman"/>
          <w:sz w:val="21"/>
          <w:szCs w:val="21"/>
          <w:highlight w:val="none"/>
          <w:lang w:val="en-US" w:eastAsia="zh-CN"/>
        </w:rPr>
        <w:fldChar w:fldCharType="begin"/>
      </w:r>
      <w:r>
        <w:rPr>
          <w:rFonts w:hint="default" w:ascii="Times New Roman" w:hAnsi="Times New Roman" w:cs="Times New Roman"/>
          <w:sz w:val="21"/>
          <w:szCs w:val="21"/>
          <w:highlight w:val="none"/>
          <w:lang w:val="en-US" w:eastAsia="zh-CN"/>
        </w:rPr>
        <w:instrText xml:space="preserve"> HYPERLINK "https://www.mnr.gov.cn/dt/kc/202412/t20241209_2878062.html" \t "https://chat.deepseek.com/a/chat/s/_blank" </w:instrText>
      </w:r>
      <w:r>
        <w:rPr>
          <w:rFonts w:hint="default" w:ascii="Times New Roman" w:hAnsi="Times New Roman" w:cs="Times New Roman"/>
          <w:sz w:val="21"/>
          <w:szCs w:val="21"/>
          <w:highlight w:val="none"/>
          <w:lang w:val="en-US" w:eastAsia="zh-CN"/>
        </w:rPr>
        <w:fldChar w:fldCharType="separate"/>
      </w:r>
      <w:r>
        <w:rPr>
          <w:rFonts w:hint="default" w:ascii="Times New Roman" w:hAnsi="Times New Roman" w:cs="Times New Roman"/>
          <w:sz w:val="21"/>
          <w:szCs w:val="21"/>
          <w:highlight w:val="none"/>
          <w:lang w:val="en-US" w:eastAsia="zh-CN"/>
        </w:rPr>
        <w:fldChar w:fldCharType="end"/>
      </w:r>
      <w:r>
        <w:rPr>
          <w:rFonts w:hint="default" w:ascii="Times New Roman" w:hAnsi="Times New Roman" w:cs="Times New Roman"/>
          <w:sz w:val="21"/>
          <w:szCs w:val="21"/>
          <w:highlight w:val="none"/>
          <w:lang w:val="en-US" w:eastAsia="zh-CN"/>
        </w:rPr>
        <w:t>。不达标项须限期整改，动态优化</w:t>
      </w:r>
      <w:r>
        <w:rPr>
          <w:rFonts w:hint="eastAsia" w:cs="Times New Roman"/>
          <w:sz w:val="21"/>
          <w:szCs w:val="21"/>
          <w:highlight w:val="none"/>
          <w:lang w:val="en-US" w:eastAsia="zh-CN"/>
        </w:rPr>
        <w:t>采选</w:t>
      </w:r>
      <w:r>
        <w:rPr>
          <w:rFonts w:hint="default" w:ascii="Times New Roman" w:hAnsi="Times New Roman" w:cs="Times New Roman"/>
          <w:sz w:val="21"/>
          <w:szCs w:val="21"/>
          <w:highlight w:val="none"/>
          <w:lang w:val="en-US" w:eastAsia="zh-CN"/>
        </w:rPr>
        <w:t>工艺与生产组织。</w:t>
      </w:r>
    </w:p>
    <w:p w14:paraId="4F1EF6BD">
      <w:pPr>
        <w:pStyle w:val="2"/>
        <w:bidi w:val="0"/>
        <w:rPr>
          <w:rFonts w:hint="default" w:ascii="Times New Roman" w:hAnsi="Times New Roman" w:eastAsia="黑体" w:cs="Times New Roman"/>
          <w:color w:val="auto"/>
          <w:lang w:val="en-US" w:eastAsia="zh-CN"/>
        </w:rPr>
      </w:pPr>
      <w:bookmarkStart w:id="12" w:name="_Toc32592"/>
      <w:r>
        <w:rPr>
          <w:rFonts w:hint="default" w:ascii="Times New Roman" w:hAnsi="Times New Roman" w:eastAsia="黑体" w:cs="Times New Roman"/>
          <w:color w:val="auto"/>
          <w:lang w:val="en-US" w:eastAsia="zh-CN"/>
        </w:rPr>
        <w:t>6 环保要求</w:t>
      </w:r>
      <w:bookmarkEnd w:id="12"/>
    </w:p>
    <w:p w14:paraId="312713A4">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6.1 稀土矿山应贯彻</w:t>
      </w:r>
      <w:r>
        <w:rPr>
          <w:rFonts w:hint="eastAsia" w:cs="Times New Roman"/>
          <w:sz w:val="21"/>
          <w:szCs w:val="21"/>
          <w:highlight w:val="none"/>
          <w:lang w:val="en-US" w:eastAsia="zh-CN"/>
        </w:rPr>
        <w:t>“</w:t>
      </w:r>
      <w:r>
        <w:rPr>
          <w:rFonts w:hint="default" w:ascii="Times New Roman" w:hAnsi="Times New Roman" w:cs="Times New Roman"/>
          <w:sz w:val="21"/>
          <w:szCs w:val="21"/>
          <w:highlight w:val="none"/>
          <w:lang w:val="en-US" w:eastAsia="zh-CN"/>
        </w:rPr>
        <w:t>预防为主、防治结合、综合治理</w:t>
      </w:r>
      <w:r>
        <w:rPr>
          <w:rFonts w:hint="eastAsia" w:cs="Times New Roman"/>
          <w:sz w:val="21"/>
          <w:szCs w:val="21"/>
          <w:highlight w:val="none"/>
          <w:lang w:val="en-US" w:eastAsia="zh-CN"/>
        </w:rPr>
        <w:t>”</w:t>
      </w:r>
      <w:r>
        <w:rPr>
          <w:rFonts w:hint="default" w:ascii="Times New Roman" w:hAnsi="Times New Roman" w:cs="Times New Roman"/>
          <w:sz w:val="21"/>
          <w:szCs w:val="21"/>
          <w:highlight w:val="none"/>
          <w:lang w:val="en-US" w:eastAsia="zh-CN"/>
        </w:rPr>
        <w:t>原则，将环境保护工作贯穿于矿产资源规划、设计、建设、生产和闭坑的全过程，严格落实环境影响评价制度。矿山建设项目的环境保护设施，应当与主体工程同时设计、同时施工、同时投产使用，并按照相关规定完成竣工环境保护验收。</w:t>
      </w:r>
    </w:p>
    <w:p w14:paraId="6A24B2FB">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default" w:cs="Times New Roman"/>
          <w:sz w:val="21"/>
          <w:szCs w:val="21"/>
          <w:highlight w:val="none"/>
          <w:lang w:val="en-US" w:eastAsia="zh-CN"/>
        </w:rPr>
      </w:pPr>
      <w:r>
        <w:rPr>
          <w:rFonts w:hint="default" w:ascii="Times New Roman" w:hAnsi="Times New Roman" w:cs="Times New Roman"/>
          <w:sz w:val="21"/>
          <w:szCs w:val="21"/>
          <w:highlight w:val="none"/>
          <w:lang w:val="en-US" w:eastAsia="zh-CN"/>
        </w:rPr>
        <w:t xml:space="preserve">6.2 </w:t>
      </w:r>
      <w:r>
        <w:rPr>
          <w:rFonts w:hint="default" w:cs="Times New Roman"/>
          <w:sz w:val="21"/>
          <w:szCs w:val="21"/>
          <w:highlight w:val="none"/>
          <w:lang w:val="en-US" w:eastAsia="zh-CN"/>
        </w:rPr>
        <w:t>矿山破碎、筛分、矿石转运、尾矿堆存、排土场等产尘环节应配套密闭、喷淋、布袋除尘等抑尘除尘设施，并确保与主体生产设施同步运行。稀土工业企业大气污染物排放控制应优先执行GB 26451；GB 26451未作规定的污染物项目，执行GB 16297。开采、破碎、选矿、运输等高噪声设备应采取减振、隔声、消声等措施，矿区厂界噪声执行GB 12348对应限值。采矿、选矿生产产生的废水管控限值应符合GB 3838、GB 14500、GB 26451、GB/T 14848、HJ 61等规定。</w:t>
      </w:r>
    </w:p>
    <w:p w14:paraId="5FDFF504">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6.3 矿山应按照</w:t>
      </w:r>
      <w:r>
        <w:rPr>
          <w:rFonts w:hint="eastAsia" w:cs="Times New Roman"/>
          <w:sz w:val="21"/>
          <w:szCs w:val="21"/>
          <w:highlight w:val="none"/>
          <w:lang w:val="en-US" w:eastAsia="zh-CN"/>
        </w:rPr>
        <w:t>“</w:t>
      </w:r>
      <w:r>
        <w:rPr>
          <w:rFonts w:hint="default" w:ascii="Times New Roman" w:hAnsi="Times New Roman" w:cs="Times New Roman"/>
          <w:sz w:val="21"/>
          <w:szCs w:val="21"/>
          <w:highlight w:val="none"/>
          <w:lang w:val="en-US" w:eastAsia="zh-CN"/>
        </w:rPr>
        <w:t>减量化、资源化、无害化</w:t>
      </w:r>
      <w:r>
        <w:rPr>
          <w:rFonts w:hint="eastAsia" w:cs="Times New Roman"/>
          <w:sz w:val="21"/>
          <w:szCs w:val="21"/>
          <w:highlight w:val="none"/>
          <w:lang w:val="en-US" w:eastAsia="zh-CN"/>
        </w:rPr>
        <w:t>”</w:t>
      </w:r>
      <w:r>
        <w:rPr>
          <w:rFonts w:hint="default" w:ascii="Times New Roman" w:hAnsi="Times New Roman" w:cs="Times New Roman"/>
          <w:sz w:val="21"/>
          <w:szCs w:val="21"/>
          <w:highlight w:val="none"/>
          <w:lang w:val="en-US" w:eastAsia="zh-CN"/>
        </w:rPr>
        <w:t>原则，对采矿废石、选矿尾砂等固体废物实施分类管理，建立工业固体废物管理台账，如实记录产生、贮存、利用、处置等信息，实现可追溯。一般工业固体废物应按照GB 18599的要求进行贮存和处置；危险废物应按照GB 18597的要求进行收集、贮存、运输和处置</w:t>
      </w:r>
      <w:r>
        <w:rPr>
          <w:rFonts w:hint="eastAsia" w:ascii="Times New Roman" w:hAnsi="Times New Roman" w:cs="Times New Roman"/>
          <w:sz w:val="21"/>
          <w:szCs w:val="21"/>
          <w:highlight w:val="none"/>
          <w:lang w:val="en-US" w:eastAsia="zh-CN"/>
        </w:rPr>
        <w:t>；</w:t>
      </w:r>
      <w:r>
        <w:rPr>
          <w:rFonts w:hint="default" w:ascii="Times New Roman" w:hAnsi="Times New Roman" w:cs="Times New Roman"/>
          <w:sz w:val="21"/>
          <w:szCs w:val="21"/>
          <w:highlight w:val="none"/>
          <w:lang w:val="en-US" w:eastAsia="zh-CN"/>
        </w:rPr>
        <w:t>放射性废物</w:t>
      </w:r>
      <w:r>
        <w:rPr>
          <w:rFonts w:hint="eastAsia" w:ascii="Times New Roman" w:hAnsi="Times New Roman" w:cs="Times New Roman"/>
          <w:sz w:val="21"/>
          <w:szCs w:val="21"/>
          <w:highlight w:val="none"/>
          <w:lang w:val="en-US" w:eastAsia="zh-CN"/>
        </w:rPr>
        <w:t>应</w:t>
      </w:r>
      <w:r>
        <w:rPr>
          <w:rFonts w:hint="default" w:ascii="Times New Roman" w:hAnsi="Times New Roman" w:cs="Times New Roman"/>
          <w:sz w:val="21"/>
          <w:szCs w:val="21"/>
          <w:highlight w:val="none"/>
          <w:lang w:val="en-US" w:eastAsia="zh-CN"/>
        </w:rPr>
        <w:t>按照GB 11806</w:t>
      </w:r>
      <w:r>
        <w:rPr>
          <w:rFonts w:hint="eastAsia" w:ascii="Times New Roman" w:hAnsi="Times New Roman" w:cs="Times New Roman"/>
          <w:sz w:val="21"/>
          <w:szCs w:val="21"/>
          <w:highlight w:val="none"/>
          <w:lang w:val="en-US" w:eastAsia="zh-CN"/>
        </w:rPr>
        <w:t>、</w:t>
      </w:r>
      <w:r>
        <w:rPr>
          <w:rFonts w:hint="default" w:ascii="Times New Roman" w:hAnsi="Times New Roman" w:cs="Times New Roman"/>
          <w:sz w:val="21"/>
          <w:szCs w:val="21"/>
          <w:highlight w:val="none"/>
          <w:lang w:val="en-US" w:eastAsia="zh-CN"/>
        </w:rPr>
        <w:t>GB 14500</w:t>
      </w:r>
      <w:r>
        <w:rPr>
          <w:rFonts w:hint="eastAsia" w:ascii="Times New Roman" w:hAnsi="Times New Roman" w:cs="Times New Roman"/>
          <w:sz w:val="21"/>
          <w:szCs w:val="21"/>
          <w:highlight w:val="none"/>
          <w:lang w:val="en-US" w:eastAsia="zh-CN"/>
        </w:rPr>
        <w:t>和HJ</w:t>
      </w:r>
      <w:r>
        <w:rPr>
          <w:rFonts w:hint="default" w:ascii="Times New Roman" w:hAnsi="Times New Roman" w:cs="Times New Roman"/>
          <w:sz w:val="21"/>
          <w:szCs w:val="21"/>
          <w:highlight w:val="none"/>
          <w:lang w:val="en-US" w:eastAsia="zh-CN"/>
        </w:rPr>
        <w:t xml:space="preserve"> 1114</w:t>
      </w:r>
      <w:r>
        <w:rPr>
          <w:rFonts w:hint="eastAsia" w:ascii="Times New Roman" w:hAnsi="Times New Roman" w:cs="Times New Roman"/>
          <w:sz w:val="21"/>
          <w:szCs w:val="21"/>
          <w:highlight w:val="none"/>
          <w:lang w:val="en-US" w:eastAsia="zh-CN"/>
        </w:rPr>
        <w:t>的要求进行收集、贮存、运输、处置</w:t>
      </w:r>
      <w:r>
        <w:rPr>
          <w:rFonts w:hint="default" w:ascii="Times New Roman" w:hAnsi="Times New Roman" w:cs="Times New Roman"/>
          <w:sz w:val="21"/>
          <w:szCs w:val="21"/>
          <w:highlight w:val="none"/>
          <w:lang w:val="en-US" w:eastAsia="zh-CN"/>
        </w:rPr>
        <w:t>。</w:t>
      </w:r>
    </w:p>
    <w:p w14:paraId="52FB2D40">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6.4 矿山应坚持</w:t>
      </w:r>
      <w:r>
        <w:rPr>
          <w:rFonts w:hint="eastAsia" w:cs="Times New Roman"/>
          <w:sz w:val="21"/>
          <w:szCs w:val="21"/>
          <w:highlight w:val="none"/>
          <w:lang w:val="en-US" w:eastAsia="zh-CN"/>
        </w:rPr>
        <w:t>“</w:t>
      </w:r>
      <w:r>
        <w:rPr>
          <w:rFonts w:hint="default" w:ascii="Times New Roman" w:hAnsi="Times New Roman" w:cs="Times New Roman"/>
          <w:sz w:val="21"/>
          <w:szCs w:val="21"/>
          <w:highlight w:val="none"/>
          <w:lang w:val="en-US" w:eastAsia="zh-CN"/>
        </w:rPr>
        <w:t>边开采、边复垦、边修复</w:t>
      </w:r>
      <w:r>
        <w:rPr>
          <w:rFonts w:hint="eastAsia" w:cs="Times New Roman"/>
          <w:sz w:val="21"/>
          <w:szCs w:val="21"/>
          <w:highlight w:val="none"/>
          <w:lang w:val="en-US" w:eastAsia="zh-CN"/>
        </w:rPr>
        <w:t>”</w:t>
      </w:r>
      <w:r>
        <w:rPr>
          <w:rFonts w:hint="default" w:ascii="Times New Roman" w:hAnsi="Times New Roman" w:cs="Times New Roman"/>
          <w:sz w:val="21"/>
          <w:szCs w:val="21"/>
          <w:highlight w:val="none"/>
          <w:lang w:val="en-US" w:eastAsia="zh-CN"/>
        </w:rPr>
        <w:t>，对采场、排土场、尾矿库、临时工业场地等损毁土地实施同步生态修复。稀土矿山土地复垦与生态修复工程应符合GB/T 43933的有关规定。稀土矿山生态修复应按照TD/T 1070.6的要求完成修复和评价。复垦方向为农用地的，土壤环境质量应符合GB 15618的规定；复垦方向为建设用地的，应符合GB 36600的规定</w:t>
      </w:r>
      <w:r>
        <w:rPr>
          <w:rFonts w:hint="eastAsia" w:cs="Times New Roman"/>
          <w:sz w:val="21"/>
          <w:szCs w:val="21"/>
          <w:highlight w:val="none"/>
          <w:lang w:val="en-US" w:eastAsia="zh-CN"/>
        </w:rPr>
        <w:t>。</w:t>
      </w:r>
    </w:p>
    <w:p w14:paraId="789B1711">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6.5 矿山应建立环境风险防控体系，识别采选生产过程中可能发生的环境风险，编制应急预案并定期组织演练。矿区应配套建设事故应急池、截排水系统等环境应急设施。</w:t>
      </w:r>
    </w:p>
    <w:p w14:paraId="1072F1C8">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6.6 矿山闭坑或停产后，应继续对矿区环境实施跟踪监测与管理，直至环境风险彻底消除、生态修复成效稳定。遗留的污染治理设施和固废堆存场所，应按规范进行封场闭库和安全维护。</w:t>
      </w:r>
    </w:p>
    <w:p w14:paraId="2334B310">
      <w:pPr>
        <w:pStyle w:val="2"/>
        <w:bidi w:val="0"/>
        <w:rPr>
          <w:rFonts w:hint="default" w:ascii="Times New Roman" w:hAnsi="Times New Roman" w:eastAsia="黑体" w:cs="Times New Roman"/>
          <w:color w:val="auto"/>
          <w:lang w:val="en-US" w:eastAsia="zh-CN"/>
        </w:rPr>
      </w:pPr>
      <w:bookmarkStart w:id="13" w:name="_Toc262"/>
      <w:r>
        <w:rPr>
          <w:rFonts w:hint="default" w:ascii="Times New Roman" w:hAnsi="Times New Roman" w:eastAsia="黑体" w:cs="Times New Roman"/>
          <w:color w:val="auto"/>
          <w:lang w:val="en-US" w:eastAsia="zh-CN"/>
        </w:rPr>
        <w:t>7 原材料及产品要求</w:t>
      </w:r>
      <w:bookmarkEnd w:id="13"/>
    </w:p>
    <w:p w14:paraId="3591FDF1">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default" w:ascii="Times New Roman" w:hAnsi="Times New Roman" w:cs="Times New Roman"/>
          <w:sz w:val="21"/>
          <w:szCs w:val="21"/>
          <w:highlight w:val="none"/>
          <w:lang w:val="en-US" w:eastAsia="zh-CN"/>
        </w:rPr>
      </w:pPr>
      <w:r>
        <w:rPr>
          <w:rFonts w:hint="eastAsia" w:cs="Times New Roman"/>
          <w:sz w:val="21"/>
          <w:szCs w:val="21"/>
          <w:highlight w:val="none"/>
          <w:lang w:val="en-US" w:eastAsia="zh-CN"/>
        </w:rPr>
        <w:t>7</w:t>
      </w:r>
      <w:r>
        <w:rPr>
          <w:rFonts w:hint="default" w:ascii="Times New Roman" w:hAnsi="Times New Roman" w:cs="Times New Roman"/>
          <w:sz w:val="21"/>
          <w:szCs w:val="21"/>
          <w:highlight w:val="none"/>
          <w:lang w:val="en-US" w:eastAsia="zh-CN"/>
        </w:rPr>
        <w:t>.1 矿山开采应使用符合国家及地方规定的原材料，不得使用国家明令禁止或淘汰的落后材料及助剂。</w:t>
      </w:r>
    </w:p>
    <w:p w14:paraId="47FB1856">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7.2 原材料、中间产品及最终产品的检测应采用国家及行业规定的通用检测方法；尚无标准方法的，可采用经技术论证确认的方法，并留存验证记录。</w:t>
      </w:r>
    </w:p>
    <w:p w14:paraId="324D50CE">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7.3 矿山应建立原材料进场及产品检测机制，明确检测项目、频次、方法和判定准则。应建立产品管理台账，如实记录产品的种类、品位、数量、贮存及销售去向等信息</w:t>
      </w:r>
      <w:r>
        <w:rPr>
          <w:rFonts w:hint="default" w:ascii="Times New Roman" w:hAnsi="Times New Roman" w:cs="Times New Roman"/>
          <w:sz w:val="21"/>
          <w:szCs w:val="21"/>
          <w:highlight w:val="none"/>
          <w:lang w:val="en-US" w:eastAsia="zh-CN"/>
        </w:rPr>
        <w:fldChar w:fldCharType="begin"/>
      </w:r>
      <w:r>
        <w:rPr>
          <w:rFonts w:hint="default" w:ascii="Times New Roman" w:hAnsi="Times New Roman" w:cs="Times New Roman"/>
          <w:sz w:val="21"/>
          <w:szCs w:val="21"/>
          <w:highlight w:val="none"/>
          <w:lang w:val="en-US" w:eastAsia="zh-CN"/>
        </w:rPr>
        <w:instrText xml:space="preserve"> HYPERLINK "http://www.ruijin.gov.cn/rjsxxgk/rj53611gur/202604/1c862165d3fe4451a7db6042116965db.shtml" \t "https://chat.deepseek.com/a/chat/s/_blank" </w:instrText>
      </w:r>
      <w:r>
        <w:rPr>
          <w:rFonts w:hint="default" w:ascii="Times New Roman" w:hAnsi="Times New Roman" w:cs="Times New Roman"/>
          <w:sz w:val="21"/>
          <w:szCs w:val="21"/>
          <w:highlight w:val="none"/>
          <w:lang w:val="en-US" w:eastAsia="zh-CN"/>
        </w:rPr>
        <w:fldChar w:fldCharType="separate"/>
      </w:r>
      <w:r>
        <w:rPr>
          <w:rFonts w:hint="default" w:ascii="Times New Roman" w:hAnsi="Times New Roman" w:cs="Times New Roman"/>
          <w:sz w:val="21"/>
          <w:szCs w:val="21"/>
          <w:highlight w:val="none"/>
          <w:lang w:val="en-US" w:eastAsia="zh-CN"/>
        </w:rPr>
        <w:fldChar w:fldCharType="end"/>
      </w:r>
      <w:r>
        <w:rPr>
          <w:rFonts w:hint="default" w:ascii="Times New Roman" w:hAnsi="Times New Roman" w:cs="Times New Roman"/>
          <w:sz w:val="21"/>
          <w:szCs w:val="21"/>
          <w:highlight w:val="none"/>
          <w:lang w:val="en-US" w:eastAsia="zh-CN"/>
        </w:rPr>
        <w:t>。</w:t>
      </w:r>
    </w:p>
    <w:p w14:paraId="3FC79972">
      <w:pPr>
        <w:pStyle w:val="2"/>
        <w:bidi w:val="0"/>
        <w:spacing w:line="240" w:lineRule="auto"/>
        <w:rPr>
          <w:rFonts w:hint="default" w:ascii="Times New Roman" w:hAnsi="Times New Roman" w:eastAsia="黑体" w:cs="Times New Roman"/>
          <w:color w:val="auto"/>
          <w:lang w:val="en-US" w:eastAsia="zh-CN"/>
        </w:rPr>
      </w:pPr>
      <w:bookmarkStart w:id="14" w:name="_Toc10968"/>
      <w:r>
        <w:rPr>
          <w:rFonts w:hint="default" w:ascii="Times New Roman" w:hAnsi="Times New Roman" w:eastAsia="黑体" w:cs="Times New Roman"/>
          <w:color w:val="auto"/>
          <w:lang w:val="en-US" w:eastAsia="zh-CN"/>
        </w:rPr>
        <w:t>8 生产管理要求</w:t>
      </w:r>
      <w:bookmarkEnd w:id="14"/>
    </w:p>
    <w:p w14:paraId="08B0B2B9">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 xml:space="preserve">8.1 </w:t>
      </w:r>
      <w:r>
        <w:rPr>
          <w:rFonts w:hint="eastAsia" w:cs="Times New Roman"/>
          <w:sz w:val="21"/>
          <w:szCs w:val="21"/>
          <w:highlight w:val="none"/>
          <w:lang w:val="en-US" w:eastAsia="zh-CN"/>
        </w:rPr>
        <w:t>稀土</w:t>
      </w:r>
      <w:r>
        <w:rPr>
          <w:rFonts w:hint="default" w:ascii="Times New Roman" w:hAnsi="Times New Roman" w:cs="Times New Roman"/>
          <w:sz w:val="21"/>
          <w:szCs w:val="21"/>
          <w:highlight w:val="none"/>
          <w:lang w:val="en-US" w:eastAsia="zh-CN"/>
        </w:rPr>
        <w:t>矿山建设、施工、验收应符合绿色矿山建设标准的相关规定，实现生产区与生活区分离，功能分区明确，合理布局办公建筑、道路及绿地，营造规范有序的厂区环境。矿山建设应减少林地、植被破坏和原生地貌扰动。</w:t>
      </w:r>
    </w:p>
    <w:p w14:paraId="2661E0EE">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 xml:space="preserve">8.2 </w:t>
      </w:r>
      <w:r>
        <w:rPr>
          <w:rFonts w:hint="eastAsia" w:cs="Times New Roman"/>
          <w:sz w:val="21"/>
          <w:szCs w:val="21"/>
          <w:highlight w:val="none"/>
          <w:lang w:val="en-US" w:eastAsia="zh-CN"/>
        </w:rPr>
        <w:t>稀土</w:t>
      </w:r>
      <w:r>
        <w:rPr>
          <w:rFonts w:hint="default" w:ascii="Times New Roman" w:hAnsi="Times New Roman" w:cs="Times New Roman"/>
          <w:sz w:val="21"/>
          <w:szCs w:val="21"/>
          <w:highlight w:val="none"/>
          <w:lang w:val="en-US" w:eastAsia="zh-CN"/>
        </w:rPr>
        <w:t>矿山总体布置应符合国家有关法律法规及相关标准的规定，满足生产工艺流程、交通运输、环境保护以及防火、安全、卫生等要求。露天采场、排土场、工业场地、尾矿库等主要设施布局应统筹协调，减少物料反向运输和无效转运。</w:t>
      </w:r>
    </w:p>
    <w:p w14:paraId="5BCA7404">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 xml:space="preserve">8.3 </w:t>
      </w:r>
      <w:r>
        <w:rPr>
          <w:rFonts w:hint="eastAsia" w:cs="Times New Roman"/>
          <w:sz w:val="21"/>
          <w:szCs w:val="21"/>
          <w:highlight w:val="none"/>
          <w:lang w:val="en-US" w:eastAsia="zh-CN"/>
        </w:rPr>
        <w:t>稀土</w:t>
      </w:r>
      <w:r>
        <w:rPr>
          <w:rFonts w:hint="default" w:ascii="Times New Roman" w:hAnsi="Times New Roman" w:cs="Times New Roman"/>
          <w:sz w:val="21"/>
          <w:szCs w:val="21"/>
          <w:highlight w:val="none"/>
          <w:lang w:val="en-US" w:eastAsia="zh-CN"/>
        </w:rPr>
        <w:t>矿山应加强数智化建设，建立矿山数智化管理平台，整合地质资源模型及生产运营信息，实现开采方案动态优化、资源储量动态管理及生产数据智能化分析。应建立工艺技术动态优化与持续改进机制，不断提升绿色开采水平。</w:t>
      </w:r>
    </w:p>
    <w:p w14:paraId="0FB6EC18">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 xml:space="preserve">8.4 </w:t>
      </w:r>
      <w:r>
        <w:rPr>
          <w:rFonts w:hint="eastAsia" w:cs="Times New Roman"/>
          <w:sz w:val="21"/>
          <w:szCs w:val="21"/>
          <w:highlight w:val="none"/>
          <w:lang w:val="en-US" w:eastAsia="zh-CN"/>
        </w:rPr>
        <w:t>稀土</w:t>
      </w:r>
      <w:r>
        <w:rPr>
          <w:rFonts w:hint="default" w:ascii="Times New Roman" w:hAnsi="Times New Roman" w:cs="Times New Roman"/>
          <w:sz w:val="21"/>
          <w:szCs w:val="21"/>
          <w:highlight w:val="none"/>
          <w:lang w:val="en-US" w:eastAsia="zh-CN"/>
        </w:rPr>
        <w:t>矿山开采应采取集约化开采模式，建设集中生产区域。新建</w:t>
      </w:r>
      <w:r>
        <w:rPr>
          <w:rFonts w:hint="eastAsia" w:cs="Times New Roman"/>
          <w:sz w:val="21"/>
          <w:szCs w:val="21"/>
          <w:highlight w:val="none"/>
          <w:lang w:val="en-US" w:eastAsia="zh-CN"/>
        </w:rPr>
        <w:t>混合型</w:t>
      </w:r>
      <w:r>
        <w:rPr>
          <w:rFonts w:hint="default" w:ascii="Times New Roman" w:hAnsi="Times New Roman" w:cs="Times New Roman"/>
          <w:sz w:val="21"/>
          <w:szCs w:val="21"/>
          <w:highlight w:val="none"/>
          <w:lang w:val="en-US" w:eastAsia="zh-CN"/>
        </w:rPr>
        <w:t>稀土矿山产能应不小于20</w:t>
      </w:r>
      <w:r>
        <w:rPr>
          <w:rFonts w:hint="eastAsia" w:cs="Times New Roman"/>
          <w:sz w:val="21"/>
          <w:szCs w:val="21"/>
          <w:highlight w:val="none"/>
          <w:lang w:val="en-US" w:eastAsia="zh-CN"/>
        </w:rPr>
        <w:t>0</w:t>
      </w:r>
      <w:r>
        <w:rPr>
          <w:rFonts w:hint="default" w:ascii="Times New Roman" w:hAnsi="Times New Roman" w:cs="Times New Roman"/>
          <w:sz w:val="21"/>
          <w:szCs w:val="21"/>
          <w:highlight w:val="none"/>
          <w:lang w:val="en-US" w:eastAsia="zh-CN"/>
        </w:rPr>
        <w:t>00吨（REO）/年</w:t>
      </w:r>
      <w:r>
        <w:rPr>
          <w:rFonts w:hint="eastAsia" w:cs="Times New Roman"/>
          <w:sz w:val="21"/>
          <w:szCs w:val="21"/>
          <w:highlight w:val="none"/>
          <w:lang w:val="en-US" w:eastAsia="zh-CN"/>
        </w:rPr>
        <w:t>，氟碳铈矿型</w:t>
      </w:r>
      <w:r>
        <w:rPr>
          <w:rFonts w:hint="default" w:ascii="Times New Roman" w:hAnsi="Times New Roman" w:cs="Times New Roman"/>
          <w:sz w:val="21"/>
          <w:szCs w:val="21"/>
          <w:highlight w:val="none"/>
          <w:lang w:val="en-US" w:eastAsia="zh-CN"/>
        </w:rPr>
        <w:t>稀土矿山产能应不小于</w:t>
      </w:r>
      <w:r>
        <w:rPr>
          <w:rFonts w:hint="eastAsia" w:cs="Times New Roman"/>
          <w:sz w:val="21"/>
          <w:szCs w:val="21"/>
          <w:highlight w:val="none"/>
          <w:lang w:val="en-US" w:eastAsia="zh-CN"/>
        </w:rPr>
        <w:t>50</w:t>
      </w:r>
      <w:r>
        <w:rPr>
          <w:rFonts w:hint="default" w:ascii="Times New Roman" w:hAnsi="Times New Roman" w:cs="Times New Roman"/>
          <w:sz w:val="21"/>
          <w:szCs w:val="21"/>
          <w:highlight w:val="none"/>
          <w:lang w:val="en-US" w:eastAsia="zh-CN"/>
        </w:rPr>
        <w:t>00吨（REO）/年。</w:t>
      </w:r>
    </w:p>
    <w:p w14:paraId="5ABBA491">
      <w:pPr>
        <w:rPr>
          <w:rFonts w:hint="default" w:ascii="Times New Roman" w:hAnsi="Times New Roman" w:eastAsia="黑体" w:cs="Times New Roman"/>
          <w:color w:val="auto"/>
          <w:kern w:val="0"/>
          <w:sz w:val="21"/>
          <w:szCs w:val="21"/>
          <w:highlight w:val="none"/>
          <w:lang w:val="en-US" w:eastAsia="zh-CN" w:bidi="ar"/>
        </w:rPr>
      </w:pPr>
      <w:r>
        <w:rPr>
          <w:rFonts w:hint="default" w:ascii="Times New Roman" w:hAnsi="Times New Roman" w:eastAsia="黑体" w:cs="Times New Roman"/>
          <w:color w:val="auto"/>
          <w:kern w:val="0"/>
          <w:sz w:val="21"/>
          <w:szCs w:val="21"/>
          <w:highlight w:val="none"/>
          <w:lang w:val="en-US" w:eastAsia="zh-CN" w:bidi="ar"/>
        </w:rPr>
        <w:br w:type="page"/>
      </w:r>
    </w:p>
    <w:p w14:paraId="3A4EB803">
      <w:pPr>
        <w:pStyle w:val="13"/>
        <w:spacing w:before="156" w:beforeLines="50" w:after="156" w:afterLines="50"/>
        <w:jc w:val="center"/>
        <w:rPr>
          <w:rFonts w:hint="default" w:ascii="Times New Roman" w:hAnsi="Times New Roman" w:eastAsia="黑体" w:cs="Times New Roman"/>
          <w:color w:val="auto"/>
          <w:kern w:val="0"/>
          <w:sz w:val="21"/>
          <w:szCs w:val="21"/>
          <w:highlight w:val="none"/>
          <w:lang w:val="en-US" w:eastAsia="zh-CN" w:bidi="ar"/>
        </w:rPr>
      </w:pPr>
      <w:r>
        <w:rPr>
          <w:rFonts w:hint="default" w:ascii="Times New Roman" w:hAnsi="Times New Roman" w:eastAsia="黑体" w:cs="Times New Roman"/>
          <w:color w:val="auto"/>
          <w:kern w:val="0"/>
          <w:sz w:val="21"/>
          <w:szCs w:val="21"/>
          <w:highlight w:val="none"/>
          <w:lang w:val="en-US" w:eastAsia="zh-CN" w:bidi="ar"/>
        </w:rPr>
        <w:t>表</w:t>
      </w:r>
      <w:r>
        <w:rPr>
          <w:rFonts w:hint="eastAsia" w:ascii="Times New Roman" w:hAnsi="Times New Roman" w:eastAsia="黑体" w:cs="Times New Roman"/>
          <w:color w:val="auto"/>
          <w:kern w:val="0"/>
          <w:sz w:val="21"/>
          <w:szCs w:val="21"/>
          <w:highlight w:val="none"/>
          <w:lang w:val="en-US" w:eastAsia="zh-CN" w:bidi="ar"/>
        </w:rPr>
        <w:t xml:space="preserve">1  </w:t>
      </w:r>
      <w:r>
        <w:rPr>
          <w:rFonts w:hint="default" w:ascii="Times New Roman" w:hAnsi="Times New Roman" w:eastAsia="黑体" w:cs="Times New Roman"/>
          <w:color w:val="auto"/>
          <w:kern w:val="0"/>
          <w:sz w:val="21"/>
          <w:szCs w:val="21"/>
          <w:highlight w:val="none"/>
          <w:lang w:val="en-US" w:eastAsia="zh-CN" w:bidi="ar"/>
        </w:rPr>
        <w:t>氟碳铈矿型露天开采指标要求</w:t>
      </w:r>
    </w:p>
    <w:tbl>
      <w:tblPr>
        <w:tblStyle w:val="37"/>
        <w:tblW w:w="504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87"/>
        <w:gridCol w:w="1497"/>
        <w:gridCol w:w="1603"/>
        <w:gridCol w:w="1098"/>
        <w:gridCol w:w="1560"/>
        <w:gridCol w:w="1652"/>
      </w:tblGrid>
      <w:tr w14:paraId="2D06F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atLeast"/>
        </w:trPr>
        <w:tc>
          <w:tcPr>
            <w:tcW w:w="690" w:type="pct"/>
            <w:tcMar>
              <w:left w:w="108" w:type="dxa"/>
              <w:right w:w="108" w:type="dxa"/>
            </w:tcMar>
            <w:vAlign w:val="center"/>
          </w:tcPr>
          <w:p w14:paraId="14F61539">
            <w:pPr>
              <w:spacing w:line="360" w:lineRule="auto"/>
              <w:jc w:val="center"/>
              <w:rPr>
                <w:rFonts w:hint="default" w:ascii="Times New Roman" w:hAnsi="Times New Roman" w:eastAsia="宋体" w:cs="Times New Roman"/>
                <w:b/>
                <w:color w:val="auto"/>
                <w:sz w:val="21"/>
                <w:szCs w:val="21"/>
                <w:highlight w:val="none"/>
                <w:lang w:eastAsia="zh-CN"/>
              </w:rPr>
            </w:pPr>
            <w:r>
              <w:rPr>
                <w:rFonts w:hint="default" w:ascii="Times New Roman" w:hAnsi="Times New Roman" w:eastAsia="宋体" w:cs="Times New Roman"/>
                <w:b/>
                <w:color w:val="auto"/>
                <w:sz w:val="21"/>
                <w:szCs w:val="21"/>
                <w:highlight w:val="none"/>
                <w:lang w:val="en-US" w:eastAsia="zh-CN"/>
              </w:rPr>
              <w:t>一级指标</w:t>
            </w:r>
          </w:p>
        </w:tc>
        <w:tc>
          <w:tcPr>
            <w:tcW w:w="1802" w:type="pct"/>
            <w:gridSpan w:val="2"/>
            <w:tcMar>
              <w:left w:w="108" w:type="dxa"/>
              <w:right w:w="108" w:type="dxa"/>
            </w:tcMar>
            <w:vAlign w:val="center"/>
          </w:tcPr>
          <w:p w14:paraId="64E79D05">
            <w:pPr>
              <w:spacing w:line="360" w:lineRule="auto"/>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lang w:val="en-US" w:eastAsia="zh-CN"/>
              </w:rPr>
              <w:t>二级</w:t>
            </w:r>
            <w:r>
              <w:rPr>
                <w:rFonts w:hint="default" w:ascii="Times New Roman" w:hAnsi="Times New Roman" w:eastAsia="宋体" w:cs="Times New Roman"/>
                <w:b/>
                <w:color w:val="auto"/>
                <w:sz w:val="21"/>
                <w:szCs w:val="21"/>
                <w:highlight w:val="none"/>
              </w:rPr>
              <w:t>指标</w:t>
            </w:r>
          </w:p>
        </w:tc>
        <w:tc>
          <w:tcPr>
            <w:tcW w:w="638" w:type="pct"/>
            <w:tcMar>
              <w:left w:w="108" w:type="dxa"/>
              <w:right w:w="108" w:type="dxa"/>
            </w:tcMar>
            <w:vAlign w:val="center"/>
          </w:tcPr>
          <w:p w14:paraId="13805414">
            <w:pPr>
              <w:spacing w:line="360" w:lineRule="auto"/>
              <w:jc w:val="center"/>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指标单位</w:t>
            </w:r>
          </w:p>
        </w:tc>
        <w:tc>
          <w:tcPr>
            <w:tcW w:w="907" w:type="pct"/>
            <w:tcMar>
              <w:left w:w="108" w:type="dxa"/>
              <w:right w:w="108" w:type="dxa"/>
            </w:tcMar>
            <w:vAlign w:val="center"/>
          </w:tcPr>
          <w:p w14:paraId="62738FCB">
            <w:pPr>
              <w:spacing w:line="360" w:lineRule="auto"/>
              <w:jc w:val="center"/>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A级</w:t>
            </w:r>
          </w:p>
        </w:tc>
        <w:tc>
          <w:tcPr>
            <w:tcW w:w="960" w:type="pct"/>
            <w:tcMar>
              <w:left w:w="108" w:type="dxa"/>
              <w:right w:w="108" w:type="dxa"/>
            </w:tcMar>
            <w:vAlign w:val="center"/>
          </w:tcPr>
          <w:p w14:paraId="1206E123">
            <w:pPr>
              <w:spacing w:line="360" w:lineRule="auto"/>
              <w:jc w:val="center"/>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B级</w:t>
            </w:r>
          </w:p>
        </w:tc>
      </w:tr>
      <w:tr w14:paraId="55C11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atLeast"/>
        </w:trPr>
        <w:tc>
          <w:tcPr>
            <w:tcW w:w="690" w:type="pct"/>
            <w:vMerge w:val="restart"/>
            <w:tcMar>
              <w:left w:w="108" w:type="dxa"/>
              <w:right w:w="108" w:type="dxa"/>
            </w:tcMar>
            <w:vAlign w:val="center"/>
          </w:tcPr>
          <w:p w14:paraId="65EA66C4">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资源属性</w:t>
            </w:r>
          </w:p>
        </w:tc>
        <w:tc>
          <w:tcPr>
            <w:tcW w:w="1802" w:type="pct"/>
            <w:gridSpan w:val="2"/>
            <w:tcMar>
              <w:left w:w="108" w:type="dxa"/>
              <w:right w:w="108" w:type="dxa"/>
            </w:tcMar>
            <w:vAlign w:val="center"/>
          </w:tcPr>
          <w:p w14:paraId="033FFC5E">
            <w:pPr>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lang w:val="en-US" w:eastAsia="zh-CN"/>
              </w:rPr>
              <w:t>稀土</w:t>
            </w:r>
            <w:r>
              <w:rPr>
                <w:rFonts w:hint="default" w:ascii="Times New Roman" w:hAnsi="Times New Roman" w:eastAsia="宋体" w:cs="Times New Roman"/>
                <w:color w:val="auto"/>
                <w:sz w:val="21"/>
                <w:szCs w:val="21"/>
                <w:highlight w:val="none"/>
              </w:rPr>
              <w:t>开采回采率</w:t>
            </w:r>
          </w:p>
        </w:tc>
        <w:tc>
          <w:tcPr>
            <w:tcW w:w="638" w:type="pct"/>
            <w:shd w:val="clear" w:color="auto" w:fill="auto"/>
            <w:tcMar>
              <w:left w:w="108" w:type="dxa"/>
              <w:right w:w="108" w:type="dxa"/>
            </w:tcMar>
            <w:vAlign w:val="center"/>
          </w:tcPr>
          <w:p w14:paraId="4470B4D1">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eastAsia="宋体" w:cs="Times New Roman"/>
                <w:color w:val="auto"/>
                <w:sz w:val="21"/>
                <w:szCs w:val="21"/>
                <w:highlight w:val="none"/>
                <w:lang w:val="en-US" w:eastAsia="zh-CN"/>
              </w:rPr>
              <w:t>%</w:t>
            </w:r>
          </w:p>
        </w:tc>
        <w:tc>
          <w:tcPr>
            <w:tcW w:w="907" w:type="pct"/>
            <w:tcMar>
              <w:left w:w="108" w:type="dxa"/>
              <w:right w:w="108" w:type="dxa"/>
            </w:tcMar>
            <w:vAlign w:val="center"/>
          </w:tcPr>
          <w:p w14:paraId="5233999A">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≥97</w:t>
            </w:r>
          </w:p>
        </w:tc>
        <w:tc>
          <w:tcPr>
            <w:tcW w:w="960" w:type="pct"/>
            <w:tcMar>
              <w:left w:w="108" w:type="dxa"/>
              <w:right w:w="108" w:type="dxa"/>
            </w:tcMar>
            <w:vAlign w:val="center"/>
          </w:tcPr>
          <w:p w14:paraId="7A41278E">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≥9</w:t>
            </w:r>
            <w:r>
              <w:rPr>
                <w:rFonts w:hint="eastAsia" w:cs="Times New Roman"/>
                <w:color w:val="auto"/>
                <w:sz w:val="21"/>
                <w:szCs w:val="21"/>
                <w:highlight w:val="none"/>
                <w:lang w:val="en-US" w:eastAsia="zh-CN"/>
              </w:rPr>
              <w:t>5</w:t>
            </w:r>
          </w:p>
        </w:tc>
      </w:tr>
      <w:tr w14:paraId="5210D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trPr>
        <w:tc>
          <w:tcPr>
            <w:tcW w:w="690" w:type="pct"/>
            <w:vMerge w:val="continue"/>
            <w:tcMar>
              <w:left w:w="108" w:type="dxa"/>
              <w:right w:w="108" w:type="dxa"/>
            </w:tcMar>
            <w:vAlign w:val="center"/>
          </w:tcPr>
          <w:p w14:paraId="7EE7CF0F">
            <w:pPr>
              <w:spacing w:line="360" w:lineRule="auto"/>
              <w:jc w:val="center"/>
              <w:rPr>
                <w:rFonts w:hint="default" w:ascii="Times New Roman" w:hAnsi="Times New Roman" w:eastAsia="宋体" w:cs="Times New Roman"/>
                <w:color w:val="auto"/>
                <w:sz w:val="21"/>
                <w:szCs w:val="21"/>
                <w:highlight w:val="none"/>
              </w:rPr>
            </w:pPr>
          </w:p>
        </w:tc>
        <w:tc>
          <w:tcPr>
            <w:tcW w:w="870" w:type="pct"/>
            <w:shd w:val="clear" w:color="auto" w:fill="auto"/>
            <w:tcMar>
              <w:left w:w="108" w:type="dxa"/>
              <w:right w:w="108" w:type="dxa"/>
            </w:tcMar>
            <w:vAlign w:val="center"/>
          </w:tcPr>
          <w:p w14:paraId="259B973D">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稀土</w:t>
            </w:r>
            <w:r>
              <w:rPr>
                <w:rFonts w:hint="default" w:ascii="Times New Roman" w:hAnsi="Times New Roman" w:eastAsia="宋体" w:cs="Times New Roman"/>
                <w:color w:val="auto"/>
                <w:sz w:val="21"/>
                <w:szCs w:val="21"/>
                <w:highlight w:val="none"/>
              </w:rPr>
              <w:t>选矿</w:t>
            </w:r>
            <w:r>
              <w:rPr>
                <w:rFonts w:hint="eastAsia" w:ascii="Times New Roman" w:hAnsi="Times New Roman" w:cs="Times New Roman"/>
                <w:color w:val="auto"/>
                <w:sz w:val="21"/>
                <w:szCs w:val="21"/>
                <w:highlight w:val="none"/>
                <w:lang w:val="en-US" w:eastAsia="zh-CN"/>
              </w:rPr>
              <w:t>作业</w:t>
            </w:r>
            <w:r>
              <w:rPr>
                <w:rFonts w:hint="default" w:ascii="Times New Roman" w:hAnsi="Times New Roman" w:eastAsia="宋体" w:cs="Times New Roman"/>
                <w:color w:val="auto"/>
                <w:sz w:val="21"/>
                <w:szCs w:val="21"/>
                <w:highlight w:val="none"/>
              </w:rPr>
              <w:t>回收率</w:t>
            </w:r>
          </w:p>
        </w:tc>
        <w:tc>
          <w:tcPr>
            <w:tcW w:w="932" w:type="pct"/>
            <w:shd w:val="clear" w:color="auto" w:fill="auto"/>
            <w:tcMar>
              <w:left w:w="108" w:type="dxa"/>
              <w:right w:w="108" w:type="dxa"/>
            </w:tcMar>
            <w:vAlign w:val="center"/>
          </w:tcPr>
          <w:p w14:paraId="4A102A9D">
            <w:pPr>
              <w:spacing w:line="36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稀土精矿REO品位60%-65%</w:t>
            </w:r>
          </w:p>
        </w:tc>
        <w:tc>
          <w:tcPr>
            <w:tcW w:w="638" w:type="pct"/>
            <w:shd w:val="clear" w:color="auto" w:fill="auto"/>
            <w:tcMar>
              <w:left w:w="108" w:type="dxa"/>
              <w:right w:w="108" w:type="dxa"/>
            </w:tcMar>
            <w:vAlign w:val="center"/>
          </w:tcPr>
          <w:p w14:paraId="7DC8DA4D">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eastAsia="宋体" w:cs="Times New Roman"/>
                <w:color w:val="auto"/>
                <w:sz w:val="21"/>
                <w:szCs w:val="21"/>
                <w:highlight w:val="none"/>
                <w:lang w:val="en-US" w:eastAsia="zh-CN"/>
              </w:rPr>
              <w:t>%</w:t>
            </w:r>
          </w:p>
        </w:tc>
        <w:tc>
          <w:tcPr>
            <w:tcW w:w="907" w:type="pct"/>
            <w:tcMar>
              <w:left w:w="108" w:type="dxa"/>
              <w:right w:w="108" w:type="dxa"/>
            </w:tcMar>
            <w:vAlign w:val="center"/>
          </w:tcPr>
          <w:p w14:paraId="41D97D34">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80</w:t>
            </w:r>
          </w:p>
        </w:tc>
        <w:tc>
          <w:tcPr>
            <w:tcW w:w="960" w:type="pct"/>
            <w:tcMar>
              <w:left w:w="108" w:type="dxa"/>
              <w:right w:w="108" w:type="dxa"/>
            </w:tcMar>
            <w:vAlign w:val="center"/>
          </w:tcPr>
          <w:p w14:paraId="55D56FF6">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≥7</w:t>
            </w:r>
            <w:r>
              <w:rPr>
                <w:rFonts w:hint="eastAsia" w:cs="Times New Roman"/>
                <w:color w:val="auto"/>
                <w:sz w:val="21"/>
                <w:szCs w:val="21"/>
                <w:highlight w:val="none"/>
                <w:lang w:val="en-US" w:eastAsia="zh-CN"/>
              </w:rPr>
              <w:t>0</w:t>
            </w:r>
          </w:p>
        </w:tc>
      </w:tr>
      <w:tr w14:paraId="209EA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trPr>
        <w:tc>
          <w:tcPr>
            <w:tcW w:w="690" w:type="pct"/>
            <w:vMerge w:val="continue"/>
            <w:tcMar>
              <w:left w:w="108" w:type="dxa"/>
              <w:right w:w="108" w:type="dxa"/>
            </w:tcMar>
            <w:vAlign w:val="center"/>
          </w:tcPr>
          <w:p w14:paraId="11031C4B">
            <w:pPr>
              <w:spacing w:line="360" w:lineRule="auto"/>
              <w:jc w:val="center"/>
              <w:rPr>
                <w:rFonts w:hint="default" w:ascii="Times New Roman" w:hAnsi="Times New Roman" w:eastAsia="宋体" w:cs="Times New Roman"/>
                <w:color w:val="auto"/>
                <w:sz w:val="21"/>
                <w:szCs w:val="21"/>
                <w:highlight w:val="none"/>
                <w:lang w:val="en-US" w:eastAsia="zh-CN"/>
              </w:rPr>
            </w:pPr>
          </w:p>
        </w:tc>
        <w:tc>
          <w:tcPr>
            <w:tcW w:w="870" w:type="pct"/>
            <w:shd w:val="clear" w:color="auto" w:fill="auto"/>
            <w:tcMar>
              <w:left w:w="108" w:type="dxa"/>
              <w:right w:w="108" w:type="dxa"/>
            </w:tcMar>
            <w:vAlign w:val="center"/>
          </w:tcPr>
          <w:p w14:paraId="2D7698A1">
            <w:pPr>
              <w:spacing w:line="360" w:lineRule="auto"/>
              <w:jc w:val="center"/>
              <w:rPr>
                <w:rFonts w:hint="default" w:ascii="Times New Roman" w:hAnsi="Times New Roman" w:cs="Times New Roman"/>
                <w:strike w:val="0"/>
                <w:dstrike w:val="0"/>
                <w:color w:val="auto"/>
                <w:sz w:val="21"/>
                <w:szCs w:val="21"/>
                <w:highlight w:val="none"/>
                <w:lang w:val="en-US" w:eastAsia="zh-CN"/>
              </w:rPr>
            </w:pPr>
            <w:r>
              <w:rPr>
                <w:rFonts w:hint="default" w:ascii="Times New Roman" w:hAnsi="Times New Roman" w:cs="Times New Roman"/>
                <w:strike w:val="0"/>
                <w:dstrike w:val="0"/>
                <w:color w:val="auto"/>
                <w:sz w:val="21"/>
                <w:szCs w:val="21"/>
                <w:highlight w:val="none"/>
                <w:lang w:val="en-US" w:eastAsia="zh-CN"/>
              </w:rPr>
              <w:t>稀土采选</w:t>
            </w:r>
            <w:r>
              <w:rPr>
                <w:rFonts w:hint="eastAsia" w:ascii="Times New Roman" w:hAnsi="Times New Roman" w:cs="Times New Roman"/>
                <w:strike w:val="0"/>
                <w:dstrike w:val="0"/>
                <w:color w:val="auto"/>
                <w:sz w:val="21"/>
                <w:szCs w:val="21"/>
                <w:highlight w:val="none"/>
                <w:lang w:val="en-US" w:eastAsia="zh-CN"/>
              </w:rPr>
              <w:t>作业</w:t>
            </w:r>
            <w:r>
              <w:rPr>
                <w:rFonts w:hint="default" w:ascii="Times New Roman" w:hAnsi="Times New Roman" w:cs="Times New Roman"/>
                <w:strike w:val="0"/>
                <w:dstrike w:val="0"/>
                <w:color w:val="auto"/>
                <w:sz w:val="21"/>
                <w:szCs w:val="21"/>
                <w:highlight w:val="none"/>
                <w:lang w:val="en-US" w:eastAsia="zh-CN"/>
              </w:rPr>
              <w:t>综合回收率</w:t>
            </w:r>
          </w:p>
        </w:tc>
        <w:tc>
          <w:tcPr>
            <w:tcW w:w="932" w:type="pct"/>
            <w:shd w:val="clear" w:color="auto" w:fill="auto"/>
            <w:tcMar>
              <w:left w:w="108" w:type="dxa"/>
              <w:right w:w="108" w:type="dxa"/>
            </w:tcMar>
            <w:vAlign w:val="center"/>
          </w:tcPr>
          <w:p w14:paraId="67DC9224">
            <w:pPr>
              <w:spacing w:line="36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稀土精矿REO品位60%-65%</w:t>
            </w:r>
          </w:p>
        </w:tc>
        <w:tc>
          <w:tcPr>
            <w:tcW w:w="638" w:type="pct"/>
            <w:shd w:val="clear" w:color="auto" w:fill="auto"/>
            <w:tcMar>
              <w:left w:w="108" w:type="dxa"/>
              <w:right w:w="108" w:type="dxa"/>
            </w:tcMar>
            <w:vAlign w:val="center"/>
          </w:tcPr>
          <w:p w14:paraId="558EF804">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eastAsia="宋体" w:cs="Times New Roman"/>
                <w:color w:val="auto"/>
                <w:sz w:val="21"/>
                <w:szCs w:val="21"/>
                <w:highlight w:val="none"/>
                <w:lang w:val="en-US" w:eastAsia="zh-CN"/>
              </w:rPr>
              <w:t>%</w:t>
            </w:r>
          </w:p>
        </w:tc>
        <w:tc>
          <w:tcPr>
            <w:tcW w:w="907" w:type="pct"/>
            <w:tcMar>
              <w:left w:w="108" w:type="dxa"/>
              <w:right w:w="108" w:type="dxa"/>
            </w:tcMar>
            <w:vAlign w:val="center"/>
          </w:tcPr>
          <w:p w14:paraId="30FB4242">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78</w:t>
            </w:r>
          </w:p>
        </w:tc>
        <w:tc>
          <w:tcPr>
            <w:tcW w:w="960" w:type="pct"/>
            <w:tcMar>
              <w:left w:w="108" w:type="dxa"/>
              <w:right w:w="108" w:type="dxa"/>
            </w:tcMar>
            <w:vAlign w:val="center"/>
          </w:tcPr>
          <w:p w14:paraId="2C6780DB">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≥6</w:t>
            </w:r>
            <w:r>
              <w:rPr>
                <w:rFonts w:hint="eastAsia" w:cs="Times New Roman"/>
                <w:color w:val="auto"/>
                <w:sz w:val="21"/>
                <w:szCs w:val="21"/>
                <w:highlight w:val="none"/>
                <w:lang w:val="en-US" w:eastAsia="zh-CN"/>
              </w:rPr>
              <w:t>7</w:t>
            </w:r>
          </w:p>
        </w:tc>
      </w:tr>
      <w:tr w14:paraId="2AB12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atLeast"/>
        </w:trPr>
        <w:tc>
          <w:tcPr>
            <w:tcW w:w="690" w:type="pct"/>
            <w:vMerge w:val="continue"/>
            <w:tcMar>
              <w:left w:w="108" w:type="dxa"/>
              <w:right w:w="108" w:type="dxa"/>
            </w:tcMar>
            <w:vAlign w:val="center"/>
          </w:tcPr>
          <w:p w14:paraId="3A26B387">
            <w:pPr>
              <w:spacing w:line="360" w:lineRule="auto"/>
              <w:jc w:val="center"/>
              <w:rPr>
                <w:rFonts w:hint="default" w:ascii="Times New Roman" w:hAnsi="Times New Roman" w:eastAsia="宋体" w:cs="Times New Roman"/>
                <w:color w:val="auto"/>
                <w:sz w:val="21"/>
                <w:szCs w:val="21"/>
                <w:highlight w:val="none"/>
                <w:lang w:eastAsia="zh-CN"/>
              </w:rPr>
            </w:pPr>
          </w:p>
        </w:tc>
        <w:tc>
          <w:tcPr>
            <w:tcW w:w="1802" w:type="pct"/>
            <w:gridSpan w:val="2"/>
            <w:shd w:val="clear" w:color="auto" w:fill="auto"/>
            <w:tcMar>
              <w:left w:w="108" w:type="dxa"/>
              <w:right w:w="108" w:type="dxa"/>
            </w:tcMar>
            <w:vAlign w:val="center"/>
          </w:tcPr>
          <w:p w14:paraId="5EA078BB">
            <w:pPr>
              <w:spacing w:line="360" w:lineRule="auto"/>
              <w:jc w:val="center"/>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工业用水重复利用率</w:t>
            </w:r>
          </w:p>
        </w:tc>
        <w:tc>
          <w:tcPr>
            <w:tcW w:w="638" w:type="pct"/>
            <w:shd w:val="clear" w:color="auto" w:fill="auto"/>
            <w:tcMar>
              <w:left w:w="108" w:type="dxa"/>
              <w:right w:w="108" w:type="dxa"/>
            </w:tcMar>
            <w:vAlign w:val="center"/>
          </w:tcPr>
          <w:p w14:paraId="1C59FD4A">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eastAsia="宋体" w:cs="Times New Roman"/>
                <w:color w:val="auto"/>
                <w:sz w:val="21"/>
                <w:szCs w:val="21"/>
                <w:highlight w:val="none"/>
                <w:lang w:val="en-US" w:eastAsia="zh-CN"/>
              </w:rPr>
              <w:t>%</w:t>
            </w:r>
          </w:p>
        </w:tc>
        <w:tc>
          <w:tcPr>
            <w:tcW w:w="907" w:type="pct"/>
            <w:tcMar>
              <w:left w:w="108" w:type="dxa"/>
              <w:right w:w="108" w:type="dxa"/>
            </w:tcMar>
            <w:vAlign w:val="center"/>
          </w:tcPr>
          <w:p w14:paraId="4C4DD49D">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88</w:t>
            </w:r>
          </w:p>
        </w:tc>
        <w:tc>
          <w:tcPr>
            <w:tcW w:w="960" w:type="pct"/>
            <w:tcMar>
              <w:left w:w="108" w:type="dxa"/>
              <w:right w:w="108" w:type="dxa"/>
            </w:tcMar>
            <w:vAlign w:val="center"/>
          </w:tcPr>
          <w:p w14:paraId="5ABA8C33">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≥86</w:t>
            </w:r>
          </w:p>
        </w:tc>
      </w:tr>
      <w:tr w14:paraId="6BC2E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atLeast"/>
        </w:trPr>
        <w:tc>
          <w:tcPr>
            <w:tcW w:w="690" w:type="pct"/>
            <w:tcMar>
              <w:left w:w="108" w:type="dxa"/>
              <w:right w:w="108" w:type="dxa"/>
            </w:tcMar>
            <w:vAlign w:val="center"/>
          </w:tcPr>
          <w:p w14:paraId="0B1CF0F8">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能源属性</w:t>
            </w:r>
          </w:p>
        </w:tc>
        <w:tc>
          <w:tcPr>
            <w:tcW w:w="1802" w:type="pct"/>
            <w:gridSpan w:val="2"/>
            <w:shd w:val="clear" w:color="auto" w:fill="auto"/>
            <w:tcMar>
              <w:left w:w="108" w:type="dxa"/>
              <w:right w:w="108" w:type="dxa"/>
            </w:tcMar>
            <w:vAlign w:val="center"/>
          </w:tcPr>
          <w:p w14:paraId="7C286487">
            <w:pPr>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单位产品综合能耗</w:t>
            </w:r>
          </w:p>
        </w:tc>
        <w:tc>
          <w:tcPr>
            <w:tcW w:w="638" w:type="pct"/>
            <w:shd w:val="clear" w:color="auto" w:fill="auto"/>
            <w:tcMar>
              <w:left w:w="108" w:type="dxa"/>
              <w:right w:w="108" w:type="dxa"/>
            </w:tcMar>
            <w:vAlign w:val="center"/>
          </w:tcPr>
          <w:p w14:paraId="59EAA55B">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eastAsia="宋体" w:cs="Times New Roman"/>
                <w:color w:val="auto"/>
                <w:sz w:val="21"/>
                <w:szCs w:val="21"/>
                <w:highlight w:val="none"/>
                <w:lang w:val="en-US" w:eastAsia="zh-CN"/>
              </w:rPr>
              <w:t>tce/t</w:t>
            </w:r>
          </w:p>
        </w:tc>
        <w:tc>
          <w:tcPr>
            <w:tcW w:w="907" w:type="pct"/>
            <w:tcMar>
              <w:left w:w="108" w:type="dxa"/>
              <w:right w:w="108" w:type="dxa"/>
            </w:tcMar>
            <w:vAlign w:val="center"/>
          </w:tcPr>
          <w:p w14:paraId="6E600EDE">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w:t>
            </w:r>
            <w:r>
              <w:rPr>
                <w:rFonts w:hint="eastAsia" w:cs="Times New Roman"/>
                <w:color w:val="auto"/>
                <w:sz w:val="21"/>
                <w:szCs w:val="21"/>
                <w:highlight w:val="none"/>
                <w:lang w:val="en-US" w:eastAsia="zh-CN"/>
              </w:rPr>
              <w:t>47</w:t>
            </w:r>
          </w:p>
        </w:tc>
        <w:tc>
          <w:tcPr>
            <w:tcW w:w="960" w:type="pct"/>
            <w:tcMar>
              <w:left w:w="108" w:type="dxa"/>
              <w:right w:w="108" w:type="dxa"/>
            </w:tcMar>
            <w:vAlign w:val="center"/>
          </w:tcPr>
          <w:p w14:paraId="4D22D714">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0.50</w:t>
            </w:r>
          </w:p>
        </w:tc>
      </w:tr>
      <w:tr w14:paraId="4BF9A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atLeast"/>
        </w:trPr>
        <w:tc>
          <w:tcPr>
            <w:tcW w:w="690" w:type="pct"/>
            <w:vMerge w:val="restart"/>
            <w:tcMar>
              <w:left w:w="108" w:type="dxa"/>
              <w:right w:w="108" w:type="dxa"/>
            </w:tcMar>
            <w:vAlign w:val="center"/>
          </w:tcPr>
          <w:p w14:paraId="2B565D5C">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环境属性</w:t>
            </w:r>
          </w:p>
          <w:p w14:paraId="22E010C2">
            <w:pPr>
              <w:spacing w:line="360" w:lineRule="auto"/>
              <w:jc w:val="center"/>
              <w:rPr>
                <w:rFonts w:hint="default" w:ascii="Times New Roman" w:hAnsi="Times New Roman" w:eastAsia="宋体" w:cs="Times New Roman"/>
                <w:color w:val="auto"/>
                <w:sz w:val="21"/>
                <w:szCs w:val="21"/>
                <w:highlight w:val="none"/>
                <w:lang w:val="en-US" w:eastAsia="zh-CN"/>
              </w:rPr>
            </w:pPr>
          </w:p>
        </w:tc>
        <w:tc>
          <w:tcPr>
            <w:tcW w:w="870" w:type="pct"/>
            <w:vMerge w:val="restart"/>
            <w:shd w:val="clear" w:color="auto" w:fill="auto"/>
            <w:tcMar>
              <w:left w:w="108" w:type="dxa"/>
              <w:right w:w="108" w:type="dxa"/>
            </w:tcMar>
            <w:vAlign w:val="center"/>
          </w:tcPr>
          <w:p w14:paraId="15ED9C62">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eastAsia" w:cs="Times New Roman"/>
                <w:color w:val="auto"/>
                <w:sz w:val="21"/>
                <w:szCs w:val="21"/>
                <w:highlight w:val="none"/>
                <w:lang w:val="en-US" w:eastAsia="zh-CN"/>
              </w:rPr>
              <w:t>采场、尾矿库地区地下水放射性监测限值</w:t>
            </w:r>
          </w:p>
        </w:tc>
        <w:tc>
          <w:tcPr>
            <w:tcW w:w="932" w:type="pct"/>
            <w:shd w:val="clear" w:color="auto" w:fill="auto"/>
            <w:tcMar>
              <w:left w:w="108" w:type="dxa"/>
              <w:right w:w="108" w:type="dxa"/>
            </w:tcMar>
            <w:vAlign w:val="center"/>
          </w:tcPr>
          <w:p w14:paraId="787143F6">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cs="Times New Roman"/>
                <w:color w:val="auto"/>
                <w:sz w:val="21"/>
                <w:szCs w:val="21"/>
                <w:highlight w:val="none"/>
                <w:lang w:val="en-US" w:eastAsia="zh-CN"/>
              </w:rPr>
              <w:t>总α</w:t>
            </w:r>
          </w:p>
        </w:tc>
        <w:tc>
          <w:tcPr>
            <w:tcW w:w="638" w:type="pct"/>
            <w:shd w:val="clear" w:color="auto" w:fill="auto"/>
            <w:tcMar>
              <w:left w:w="108" w:type="dxa"/>
              <w:right w:w="108" w:type="dxa"/>
            </w:tcMar>
            <w:vAlign w:val="center"/>
          </w:tcPr>
          <w:p w14:paraId="5D715A79">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eastAsia" w:cs="Times New Roman"/>
                <w:color w:val="auto"/>
                <w:sz w:val="21"/>
                <w:szCs w:val="21"/>
                <w:highlight w:val="none"/>
                <w:lang w:val="en-US" w:eastAsia="zh-CN"/>
              </w:rPr>
              <w:t>Bq/L</w:t>
            </w:r>
          </w:p>
        </w:tc>
        <w:tc>
          <w:tcPr>
            <w:tcW w:w="907" w:type="pct"/>
            <w:shd w:val="clear" w:color="auto" w:fill="auto"/>
            <w:tcMar>
              <w:left w:w="108" w:type="dxa"/>
              <w:right w:w="108" w:type="dxa"/>
            </w:tcMar>
            <w:vAlign w:val="center"/>
          </w:tcPr>
          <w:p w14:paraId="1441915D">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eastAsia" w:cs="Times New Roman"/>
                <w:color w:val="auto"/>
                <w:sz w:val="21"/>
                <w:szCs w:val="21"/>
                <w:highlight w:val="none"/>
                <w:lang w:val="en-US" w:eastAsia="zh-CN"/>
              </w:rPr>
              <w:t>≤1</w:t>
            </w:r>
          </w:p>
        </w:tc>
        <w:tc>
          <w:tcPr>
            <w:tcW w:w="960" w:type="pct"/>
            <w:shd w:val="clear" w:color="auto" w:fill="auto"/>
            <w:tcMar>
              <w:left w:w="108" w:type="dxa"/>
              <w:right w:w="108" w:type="dxa"/>
            </w:tcMar>
            <w:vAlign w:val="center"/>
          </w:tcPr>
          <w:p w14:paraId="79323DF7">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eastAsia" w:cs="Times New Roman"/>
                <w:color w:val="auto"/>
                <w:sz w:val="21"/>
                <w:szCs w:val="21"/>
                <w:highlight w:val="none"/>
                <w:lang w:val="en-US" w:eastAsia="zh-CN"/>
              </w:rPr>
              <w:t>≤1.0</w:t>
            </w:r>
          </w:p>
        </w:tc>
      </w:tr>
      <w:tr w14:paraId="6D9A9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atLeast"/>
        </w:trPr>
        <w:tc>
          <w:tcPr>
            <w:tcW w:w="690" w:type="pct"/>
            <w:vMerge w:val="continue"/>
            <w:tcMar>
              <w:left w:w="108" w:type="dxa"/>
              <w:right w:w="108" w:type="dxa"/>
            </w:tcMar>
            <w:vAlign w:val="center"/>
          </w:tcPr>
          <w:p w14:paraId="5504A4BE">
            <w:pPr>
              <w:spacing w:line="360" w:lineRule="auto"/>
              <w:jc w:val="center"/>
              <w:rPr>
                <w:rFonts w:hint="default" w:ascii="Times New Roman" w:hAnsi="Times New Roman" w:eastAsia="宋体" w:cs="Times New Roman"/>
                <w:color w:val="auto"/>
                <w:sz w:val="21"/>
                <w:szCs w:val="21"/>
                <w:highlight w:val="none"/>
                <w:lang w:val="en-US" w:eastAsia="zh-CN"/>
              </w:rPr>
            </w:pPr>
          </w:p>
        </w:tc>
        <w:tc>
          <w:tcPr>
            <w:tcW w:w="870" w:type="pct"/>
            <w:vMerge w:val="continue"/>
            <w:shd w:val="clear" w:color="auto" w:fill="auto"/>
            <w:tcMar>
              <w:left w:w="108" w:type="dxa"/>
              <w:right w:w="108" w:type="dxa"/>
            </w:tcMar>
            <w:vAlign w:val="center"/>
          </w:tcPr>
          <w:p w14:paraId="40A9B7F1">
            <w:pPr>
              <w:spacing w:line="360" w:lineRule="auto"/>
              <w:jc w:val="center"/>
              <w:rPr>
                <w:rFonts w:hint="default" w:ascii="Times New Roman" w:hAnsi="Times New Roman" w:eastAsia="宋体" w:cs="Times New Roman"/>
                <w:color w:val="auto"/>
                <w:sz w:val="21"/>
                <w:szCs w:val="21"/>
                <w:highlight w:val="none"/>
                <w:lang w:val="en-US" w:eastAsia="zh-CN"/>
              </w:rPr>
            </w:pPr>
          </w:p>
        </w:tc>
        <w:tc>
          <w:tcPr>
            <w:tcW w:w="932" w:type="pct"/>
            <w:shd w:val="clear" w:color="auto" w:fill="auto"/>
            <w:tcMar>
              <w:left w:w="108" w:type="dxa"/>
              <w:right w:w="108" w:type="dxa"/>
            </w:tcMar>
            <w:vAlign w:val="center"/>
          </w:tcPr>
          <w:p w14:paraId="4545605C">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cs="Times New Roman"/>
                <w:color w:val="auto"/>
                <w:sz w:val="21"/>
                <w:szCs w:val="21"/>
                <w:highlight w:val="none"/>
                <w:lang w:val="en-US" w:eastAsia="zh-CN"/>
              </w:rPr>
              <w:t>总β</w:t>
            </w:r>
          </w:p>
        </w:tc>
        <w:tc>
          <w:tcPr>
            <w:tcW w:w="638" w:type="pct"/>
            <w:shd w:val="clear" w:color="auto" w:fill="auto"/>
            <w:tcMar>
              <w:left w:w="108" w:type="dxa"/>
              <w:right w:w="108" w:type="dxa"/>
            </w:tcMar>
            <w:vAlign w:val="center"/>
          </w:tcPr>
          <w:p w14:paraId="170EF993">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eastAsia" w:cs="Times New Roman"/>
                <w:color w:val="auto"/>
                <w:sz w:val="21"/>
                <w:szCs w:val="21"/>
                <w:highlight w:val="none"/>
                <w:lang w:val="en-US" w:eastAsia="zh-CN"/>
              </w:rPr>
              <w:t>Bq/L</w:t>
            </w:r>
          </w:p>
        </w:tc>
        <w:tc>
          <w:tcPr>
            <w:tcW w:w="907" w:type="pct"/>
            <w:shd w:val="clear" w:color="auto" w:fill="auto"/>
            <w:tcMar>
              <w:left w:w="108" w:type="dxa"/>
              <w:right w:w="108" w:type="dxa"/>
            </w:tcMar>
            <w:vAlign w:val="center"/>
          </w:tcPr>
          <w:p w14:paraId="1029D026">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eastAsia" w:cs="Times New Roman"/>
                <w:color w:val="auto"/>
                <w:sz w:val="21"/>
                <w:szCs w:val="21"/>
                <w:highlight w:val="none"/>
                <w:lang w:val="en-US" w:eastAsia="zh-CN"/>
              </w:rPr>
              <w:t>≤10</w:t>
            </w:r>
          </w:p>
        </w:tc>
        <w:tc>
          <w:tcPr>
            <w:tcW w:w="960" w:type="pct"/>
            <w:shd w:val="clear" w:color="auto" w:fill="auto"/>
            <w:tcMar>
              <w:left w:w="108" w:type="dxa"/>
              <w:right w:w="108" w:type="dxa"/>
            </w:tcMar>
            <w:vAlign w:val="center"/>
          </w:tcPr>
          <w:p w14:paraId="6EB02CD9">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eastAsia" w:cs="Times New Roman"/>
                <w:color w:val="auto"/>
                <w:sz w:val="21"/>
                <w:szCs w:val="21"/>
                <w:highlight w:val="none"/>
                <w:lang w:val="en-US" w:eastAsia="zh-CN"/>
              </w:rPr>
              <w:t>≤10.0</w:t>
            </w:r>
          </w:p>
        </w:tc>
      </w:tr>
      <w:tr w14:paraId="46ADF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atLeast"/>
        </w:trPr>
        <w:tc>
          <w:tcPr>
            <w:tcW w:w="690" w:type="pct"/>
            <w:vMerge w:val="continue"/>
            <w:tcMar>
              <w:left w:w="108" w:type="dxa"/>
              <w:right w:w="108" w:type="dxa"/>
            </w:tcMar>
            <w:vAlign w:val="center"/>
          </w:tcPr>
          <w:p w14:paraId="12291856">
            <w:pPr>
              <w:spacing w:line="360" w:lineRule="auto"/>
              <w:jc w:val="center"/>
              <w:rPr>
                <w:rFonts w:hint="default" w:ascii="Times New Roman" w:hAnsi="Times New Roman" w:eastAsia="宋体" w:cs="Times New Roman"/>
                <w:color w:val="auto"/>
                <w:sz w:val="21"/>
                <w:szCs w:val="21"/>
                <w:highlight w:val="none"/>
                <w:lang w:val="en-US" w:eastAsia="zh-CN"/>
              </w:rPr>
            </w:pPr>
          </w:p>
        </w:tc>
        <w:tc>
          <w:tcPr>
            <w:tcW w:w="870" w:type="pct"/>
            <w:vMerge w:val="continue"/>
            <w:shd w:val="clear" w:color="auto" w:fill="auto"/>
            <w:tcMar>
              <w:left w:w="108" w:type="dxa"/>
              <w:right w:w="108" w:type="dxa"/>
            </w:tcMar>
            <w:vAlign w:val="center"/>
          </w:tcPr>
          <w:p w14:paraId="71FB4B61">
            <w:pPr>
              <w:spacing w:line="360" w:lineRule="auto"/>
              <w:jc w:val="center"/>
              <w:rPr>
                <w:rFonts w:hint="default" w:ascii="Times New Roman" w:hAnsi="Times New Roman" w:eastAsia="宋体" w:cs="Times New Roman"/>
                <w:color w:val="auto"/>
                <w:sz w:val="21"/>
                <w:szCs w:val="21"/>
                <w:highlight w:val="none"/>
                <w:lang w:val="en-US" w:eastAsia="zh-CN"/>
              </w:rPr>
            </w:pPr>
          </w:p>
        </w:tc>
        <w:tc>
          <w:tcPr>
            <w:tcW w:w="932" w:type="pct"/>
            <w:shd w:val="clear" w:color="auto" w:fill="auto"/>
            <w:tcMar>
              <w:left w:w="108" w:type="dxa"/>
              <w:right w:w="108" w:type="dxa"/>
            </w:tcMar>
            <w:vAlign w:val="center"/>
          </w:tcPr>
          <w:p w14:paraId="77BE358B">
            <w:pPr>
              <w:spacing w:line="360" w:lineRule="auto"/>
              <w:jc w:val="center"/>
              <w:rPr>
                <w:rFonts w:hint="default" w:ascii="Times New Roman" w:hAnsi="Times New Roman" w:eastAsia="宋体" w:cs="Times New Roman"/>
                <w:kern w:val="2"/>
                <w:sz w:val="21"/>
                <w:szCs w:val="21"/>
                <w:highlight w:val="none"/>
                <w:lang w:val="en-US" w:eastAsia="zh-CN" w:bidi="ar-SA"/>
                <w14:ligatures w14:val="standardContextual"/>
              </w:rPr>
            </w:pPr>
            <w:r>
              <w:rPr>
                <w:rFonts w:hint="eastAsia" w:cs="Times New Roman"/>
                <w:sz w:val="21"/>
                <w:szCs w:val="21"/>
                <w:highlight w:val="none"/>
              </w:rPr>
              <w:t>Th</w:t>
            </w:r>
          </w:p>
        </w:tc>
        <w:tc>
          <w:tcPr>
            <w:tcW w:w="638" w:type="pct"/>
            <w:shd w:val="clear" w:color="auto" w:fill="auto"/>
            <w:tcMar>
              <w:left w:w="108" w:type="dxa"/>
              <w:right w:w="108" w:type="dxa"/>
            </w:tcMar>
            <w:vAlign w:val="center"/>
          </w:tcPr>
          <w:p w14:paraId="3DC4491C">
            <w:pPr>
              <w:spacing w:line="360" w:lineRule="auto"/>
              <w:jc w:val="center"/>
              <w:rPr>
                <w:rFonts w:hint="eastAsia" w:ascii="Times New Roman" w:hAnsi="Times New Roman" w:eastAsia="宋体" w:cs="Times New Roman"/>
                <w:kern w:val="2"/>
                <w:sz w:val="21"/>
                <w:szCs w:val="21"/>
                <w:highlight w:val="none"/>
                <w:lang w:val="en-US" w:eastAsia="zh-CN" w:bidi="ar-SA"/>
                <w14:ligatures w14:val="standardContextual"/>
              </w:rPr>
            </w:pPr>
            <w:r>
              <w:rPr>
                <w:rFonts w:cs="Times New Roman"/>
                <w:sz w:val="21"/>
                <w:szCs w:val="21"/>
                <w:highlight w:val="none"/>
              </w:rPr>
              <w:t>μg</w:t>
            </w:r>
            <w:r>
              <w:rPr>
                <w:rFonts w:hint="eastAsia" w:cs="Times New Roman"/>
                <w:sz w:val="21"/>
                <w:szCs w:val="21"/>
                <w:highlight w:val="none"/>
              </w:rPr>
              <w:t>/L</w:t>
            </w:r>
          </w:p>
        </w:tc>
        <w:tc>
          <w:tcPr>
            <w:tcW w:w="907" w:type="pct"/>
            <w:shd w:val="clear" w:color="auto" w:fill="auto"/>
            <w:tcMar>
              <w:left w:w="108" w:type="dxa"/>
              <w:right w:w="108" w:type="dxa"/>
            </w:tcMar>
            <w:vAlign w:val="center"/>
          </w:tcPr>
          <w:p w14:paraId="646BA6B0">
            <w:pPr>
              <w:spacing w:line="360" w:lineRule="auto"/>
              <w:jc w:val="center"/>
              <w:rPr>
                <w:rFonts w:hint="eastAsia" w:ascii="Times New Roman" w:hAnsi="Times New Roman" w:eastAsia="宋体" w:cs="Times New Roman"/>
                <w:kern w:val="2"/>
                <w:sz w:val="21"/>
                <w:szCs w:val="21"/>
                <w:highlight w:val="none"/>
                <w:lang w:val="en-US" w:eastAsia="zh-CN" w:bidi="ar-SA"/>
                <w14:ligatures w14:val="standardContextual"/>
              </w:rPr>
            </w:pPr>
            <w:r>
              <w:rPr>
                <w:rFonts w:hint="eastAsia" w:cs="Times New Roman"/>
                <w:sz w:val="21"/>
                <w:szCs w:val="21"/>
                <w:highlight w:val="none"/>
              </w:rPr>
              <w:t>≤0.5</w:t>
            </w:r>
          </w:p>
        </w:tc>
        <w:tc>
          <w:tcPr>
            <w:tcW w:w="960" w:type="pct"/>
            <w:shd w:val="clear" w:color="auto" w:fill="auto"/>
            <w:tcMar>
              <w:left w:w="108" w:type="dxa"/>
              <w:right w:w="108" w:type="dxa"/>
            </w:tcMar>
            <w:vAlign w:val="center"/>
          </w:tcPr>
          <w:p w14:paraId="5CC2B6E0">
            <w:pPr>
              <w:spacing w:line="360" w:lineRule="auto"/>
              <w:jc w:val="center"/>
              <w:rPr>
                <w:rFonts w:hint="eastAsia" w:ascii="Times New Roman" w:hAnsi="Times New Roman" w:eastAsia="宋体" w:cs="Times New Roman"/>
                <w:kern w:val="2"/>
                <w:sz w:val="21"/>
                <w:szCs w:val="21"/>
                <w:highlight w:val="none"/>
                <w:lang w:val="en-US" w:eastAsia="zh-CN" w:bidi="ar-SA"/>
                <w14:ligatures w14:val="standardContextual"/>
              </w:rPr>
            </w:pPr>
            <w:r>
              <w:rPr>
                <w:rFonts w:hint="eastAsia" w:cs="Times New Roman"/>
                <w:sz w:val="21"/>
                <w:szCs w:val="21"/>
                <w:highlight w:val="none"/>
              </w:rPr>
              <w:t>≤1.0</w:t>
            </w:r>
          </w:p>
        </w:tc>
      </w:tr>
      <w:tr w14:paraId="2476F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atLeast"/>
        </w:trPr>
        <w:tc>
          <w:tcPr>
            <w:tcW w:w="690" w:type="pct"/>
            <w:vMerge w:val="continue"/>
            <w:tcMar>
              <w:left w:w="108" w:type="dxa"/>
              <w:right w:w="108" w:type="dxa"/>
            </w:tcMar>
            <w:vAlign w:val="center"/>
          </w:tcPr>
          <w:p w14:paraId="19BCE8D0">
            <w:pPr>
              <w:spacing w:line="360" w:lineRule="auto"/>
              <w:jc w:val="center"/>
              <w:rPr>
                <w:rFonts w:hint="default" w:ascii="Times New Roman" w:hAnsi="Times New Roman" w:eastAsia="宋体" w:cs="Times New Roman"/>
                <w:color w:val="auto"/>
                <w:sz w:val="21"/>
                <w:szCs w:val="21"/>
                <w:highlight w:val="none"/>
                <w:lang w:val="en-US" w:eastAsia="zh-CN"/>
              </w:rPr>
            </w:pPr>
          </w:p>
        </w:tc>
        <w:tc>
          <w:tcPr>
            <w:tcW w:w="1802" w:type="pct"/>
            <w:gridSpan w:val="2"/>
            <w:shd w:val="clear" w:color="auto" w:fill="auto"/>
            <w:tcMar>
              <w:left w:w="108" w:type="dxa"/>
              <w:right w:w="108" w:type="dxa"/>
            </w:tcMar>
            <w:vAlign w:val="center"/>
          </w:tcPr>
          <w:p w14:paraId="55B47D07">
            <w:pPr>
              <w:spacing w:line="36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尾矿库周围空气氡浓度</w:t>
            </w:r>
          </w:p>
          <w:p w14:paraId="67DA3C86">
            <w:pPr>
              <w:spacing w:line="360" w:lineRule="auto"/>
              <w:jc w:val="center"/>
              <w:rPr>
                <w:rFonts w:hint="default" w:ascii="Times New Roman" w:hAnsi="Times New Roman" w:eastAsia="宋体" w:cs="Times New Roman"/>
                <w:color w:val="auto"/>
                <w:kern w:val="2"/>
                <w:sz w:val="21"/>
                <w:szCs w:val="21"/>
                <w:highlight w:val="yellow"/>
                <w:lang w:val="en-US" w:eastAsia="zh-CN" w:bidi="ar-SA"/>
                <w14:ligatures w14:val="standardContextual"/>
              </w:rPr>
            </w:pPr>
            <w:r>
              <w:rPr>
                <w:rFonts w:hint="eastAsia" w:cs="Times New Roman"/>
                <w:color w:val="auto"/>
                <w:sz w:val="21"/>
                <w:szCs w:val="21"/>
                <w:highlight w:val="none"/>
                <w:lang w:val="en-US" w:eastAsia="zh-CN"/>
              </w:rPr>
              <w:t>监测限值</w:t>
            </w:r>
          </w:p>
        </w:tc>
        <w:tc>
          <w:tcPr>
            <w:tcW w:w="638" w:type="pct"/>
            <w:shd w:val="clear" w:color="auto" w:fill="auto"/>
            <w:tcMar>
              <w:left w:w="108" w:type="dxa"/>
              <w:right w:w="108" w:type="dxa"/>
            </w:tcMar>
            <w:vAlign w:val="center"/>
          </w:tcPr>
          <w:p w14:paraId="06EA7DB7">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eastAsia" w:cs="Times New Roman"/>
                <w:color w:val="auto"/>
                <w:sz w:val="21"/>
                <w:szCs w:val="21"/>
                <w:highlight w:val="none"/>
                <w:lang w:val="en-US" w:eastAsia="zh-CN"/>
              </w:rPr>
              <w:t>Bq/m</w:t>
            </w:r>
            <w:r>
              <w:rPr>
                <w:rFonts w:hint="eastAsia" w:cs="Times New Roman"/>
                <w:color w:val="auto"/>
                <w:sz w:val="21"/>
                <w:szCs w:val="21"/>
                <w:highlight w:val="none"/>
                <w:vertAlign w:val="superscript"/>
                <w:lang w:val="en-US" w:eastAsia="zh-CN"/>
              </w:rPr>
              <w:t>3</w:t>
            </w:r>
          </w:p>
        </w:tc>
        <w:tc>
          <w:tcPr>
            <w:tcW w:w="907" w:type="pct"/>
            <w:shd w:val="clear" w:color="auto" w:fill="auto"/>
            <w:tcMar>
              <w:left w:w="108" w:type="dxa"/>
              <w:right w:w="108" w:type="dxa"/>
            </w:tcMar>
            <w:vAlign w:val="center"/>
          </w:tcPr>
          <w:p w14:paraId="5B861A41">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eastAsia" w:cs="Times New Roman"/>
                <w:color w:val="auto"/>
                <w:sz w:val="21"/>
                <w:szCs w:val="21"/>
                <w:highlight w:val="none"/>
                <w:lang w:val="en-US" w:eastAsia="zh-CN"/>
              </w:rPr>
              <w:t>≤400</w:t>
            </w:r>
          </w:p>
        </w:tc>
        <w:tc>
          <w:tcPr>
            <w:tcW w:w="960" w:type="pct"/>
            <w:shd w:val="clear" w:color="auto" w:fill="auto"/>
            <w:tcMar>
              <w:left w:w="108" w:type="dxa"/>
              <w:right w:w="108" w:type="dxa"/>
            </w:tcMar>
            <w:vAlign w:val="center"/>
          </w:tcPr>
          <w:p w14:paraId="299F3DF6">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eastAsia" w:cs="Times New Roman"/>
                <w:color w:val="auto"/>
                <w:sz w:val="21"/>
                <w:szCs w:val="21"/>
                <w:highlight w:val="none"/>
                <w:lang w:val="en-US" w:eastAsia="zh-CN"/>
              </w:rPr>
              <w:t>≤500</w:t>
            </w:r>
          </w:p>
        </w:tc>
      </w:tr>
      <w:tr w14:paraId="6573D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atLeast"/>
        </w:trPr>
        <w:tc>
          <w:tcPr>
            <w:tcW w:w="690" w:type="pct"/>
            <w:vMerge w:val="continue"/>
            <w:tcMar>
              <w:left w:w="108" w:type="dxa"/>
              <w:right w:w="108" w:type="dxa"/>
            </w:tcMar>
            <w:vAlign w:val="center"/>
          </w:tcPr>
          <w:p w14:paraId="7E617906">
            <w:pPr>
              <w:spacing w:line="360" w:lineRule="auto"/>
              <w:jc w:val="center"/>
              <w:rPr>
                <w:rFonts w:hint="default" w:ascii="Times New Roman" w:hAnsi="Times New Roman" w:eastAsia="宋体" w:cs="Times New Roman"/>
                <w:color w:val="auto"/>
                <w:sz w:val="21"/>
                <w:szCs w:val="21"/>
                <w:highlight w:val="none"/>
                <w:lang w:val="en-US" w:eastAsia="zh-CN"/>
              </w:rPr>
            </w:pPr>
          </w:p>
        </w:tc>
        <w:tc>
          <w:tcPr>
            <w:tcW w:w="1802" w:type="pct"/>
            <w:gridSpan w:val="2"/>
            <w:shd w:val="clear" w:color="auto" w:fill="auto"/>
            <w:tcMar>
              <w:left w:w="108" w:type="dxa"/>
              <w:right w:w="108" w:type="dxa"/>
            </w:tcMar>
            <w:vAlign w:val="center"/>
          </w:tcPr>
          <w:p w14:paraId="07C07CA8">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eastAsia" w:cs="Times New Roman"/>
                <w:color w:val="auto"/>
                <w:sz w:val="21"/>
                <w:szCs w:val="21"/>
                <w:highlight w:val="none"/>
                <w:lang w:val="en-US" w:eastAsia="zh-CN"/>
              </w:rPr>
              <w:t>采选作业</w:t>
            </w:r>
            <w:r>
              <w:rPr>
                <w:rFonts w:hint="default" w:ascii="Times New Roman" w:hAnsi="Times New Roman" w:eastAsia="宋体" w:cs="Times New Roman"/>
                <w:color w:val="auto"/>
                <w:sz w:val="21"/>
                <w:szCs w:val="21"/>
                <w:highlight w:val="none"/>
                <w:lang w:val="en-US" w:eastAsia="zh-CN"/>
              </w:rPr>
              <w:t>有组织排放颗粒物</w:t>
            </w:r>
          </w:p>
        </w:tc>
        <w:tc>
          <w:tcPr>
            <w:tcW w:w="638" w:type="pct"/>
            <w:shd w:val="clear" w:color="auto" w:fill="auto"/>
            <w:tcMar>
              <w:left w:w="108" w:type="dxa"/>
              <w:right w:w="108" w:type="dxa"/>
            </w:tcMar>
            <w:vAlign w:val="center"/>
          </w:tcPr>
          <w:p w14:paraId="6A37189F">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eastAsia="宋体" w:cs="Times New Roman"/>
                <w:color w:val="auto"/>
                <w:sz w:val="21"/>
                <w:szCs w:val="21"/>
                <w:highlight w:val="none"/>
                <w:lang w:val="en-US" w:eastAsia="zh-CN"/>
              </w:rPr>
              <w:t>mg/m³</w:t>
            </w:r>
          </w:p>
        </w:tc>
        <w:tc>
          <w:tcPr>
            <w:tcW w:w="907" w:type="pct"/>
            <w:shd w:val="clear" w:color="auto" w:fill="auto"/>
            <w:tcMar>
              <w:left w:w="108" w:type="dxa"/>
              <w:right w:w="108" w:type="dxa"/>
            </w:tcMar>
            <w:vAlign w:val="center"/>
          </w:tcPr>
          <w:p w14:paraId="6A1CBD50">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cs="Times New Roman"/>
                <w:color w:val="auto"/>
                <w:sz w:val="21"/>
                <w:szCs w:val="21"/>
                <w:highlight w:val="none"/>
                <w:lang w:val="en-US" w:eastAsia="zh-CN"/>
              </w:rPr>
              <w:t>≤10</w:t>
            </w:r>
          </w:p>
        </w:tc>
        <w:tc>
          <w:tcPr>
            <w:tcW w:w="960" w:type="pct"/>
            <w:shd w:val="clear" w:color="auto" w:fill="auto"/>
            <w:tcMar>
              <w:left w:w="108" w:type="dxa"/>
              <w:right w:w="108" w:type="dxa"/>
            </w:tcMar>
            <w:vAlign w:val="center"/>
          </w:tcPr>
          <w:p w14:paraId="35EA0712">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cs="Times New Roman"/>
                <w:color w:val="auto"/>
                <w:sz w:val="21"/>
                <w:szCs w:val="21"/>
                <w:highlight w:val="none"/>
                <w:lang w:val="en-US" w:eastAsia="zh-CN"/>
              </w:rPr>
              <w:t>≤10</w:t>
            </w:r>
          </w:p>
        </w:tc>
      </w:tr>
      <w:tr w14:paraId="07AC3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atLeast"/>
        </w:trPr>
        <w:tc>
          <w:tcPr>
            <w:tcW w:w="690" w:type="pct"/>
            <w:vMerge w:val="continue"/>
            <w:tcMar>
              <w:left w:w="108" w:type="dxa"/>
              <w:right w:w="108" w:type="dxa"/>
            </w:tcMar>
            <w:vAlign w:val="center"/>
          </w:tcPr>
          <w:p w14:paraId="5D845615">
            <w:pPr>
              <w:spacing w:line="360" w:lineRule="auto"/>
              <w:jc w:val="center"/>
              <w:rPr>
                <w:rFonts w:hint="default" w:ascii="Times New Roman" w:hAnsi="Times New Roman" w:eastAsia="宋体" w:cs="Times New Roman"/>
                <w:color w:val="auto"/>
                <w:sz w:val="21"/>
                <w:szCs w:val="21"/>
                <w:highlight w:val="none"/>
                <w:lang w:val="en-US" w:eastAsia="zh-CN"/>
              </w:rPr>
            </w:pPr>
          </w:p>
        </w:tc>
        <w:tc>
          <w:tcPr>
            <w:tcW w:w="1802" w:type="pct"/>
            <w:gridSpan w:val="2"/>
            <w:shd w:val="clear" w:color="auto" w:fill="auto"/>
            <w:tcMar>
              <w:left w:w="108" w:type="dxa"/>
              <w:right w:w="108" w:type="dxa"/>
            </w:tcMar>
            <w:vAlign w:val="center"/>
          </w:tcPr>
          <w:p w14:paraId="0DABAC4F">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eastAsia="宋体" w:cs="Times New Roman"/>
                <w:color w:val="auto"/>
                <w:sz w:val="21"/>
                <w:szCs w:val="21"/>
                <w:highlight w:val="none"/>
                <w:lang w:val="en-US" w:eastAsia="zh-CN"/>
              </w:rPr>
              <w:t>厂界无组织颗粒物</w:t>
            </w:r>
          </w:p>
        </w:tc>
        <w:tc>
          <w:tcPr>
            <w:tcW w:w="638" w:type="pct"/>
            <w:shd w:val="clear" w:color="auto" w:fill="auto"/>
            <w:tcMar>
              <w:left w:w="108" w:type="dxa"/>
              <w:right w:w="108" w:type="dxa"/>
            </w:tcMar>
            <w:vAlign w:val="center"/>
          </w:tcPr>
          <w:p w14:paraId="132234D1">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eastAsia="宋体" w:cs="Times New Roman"/>
                <w:color w:val="auto"/>
                <w:sz w:val="21"/>
                <w:szCs w:val="21"/>
                <w:highlight w:val="none"/>
                <w:lang w:val="en-US" w:eastAsia="zh-CN"/>
              </w:rPr>
              <w:t>mg/m³</w:t>
            </w:r>
          </w:p>
        </w:tc>
        <w:tc>
          <w:tcPr>
            <w:tcW w:w="907" w:type="pct"/>
            <w:shd w:val="clear" w:color="auto" w:fill="auto"/>
            <w:tcMar>
              <w:left w:w="108" w:type="dxa"/>
              <w:right w:w="108" w:type="dxa"/>
            </w:tcMar>
            <w:vAlign w:val="center"/>
          </w:tcPr>
          <w:p w14:paraId="642B9E4B">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1.0</w:t>
            </w:r>
          </w:p>
        </w:tc>
        <w:tc>
          <w:tcPr>
            <w:tcW w:w="960" w:type="pct"/>
            <w:shd w:val="clear" w:color="auto" w:fill="auto"/>
            <w:tcMar>
              <w:left w:w="108" w:type="dxa"/>
              <w:right w:w="108" w:type="dxa"/>
            </w:tcMar>
            <w:vAlign w:val="center"/>
          </w:tcPr>
          <w:p w14:paraId="13829319">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1.0</w:t>
            </w:r>
          </w:p>
        </w:tc>
      </w:tr>
      <w:tr w14:paraId="0BB8D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atLeast"/>
        </w:trPr>
        <w:tc>
          <w:tcPr>
            <w:tcW w:w="690" w:type="pct"/>
            <w:vMerge w:val="continue"/>
            <w:tcMar>
              <w:left w:w="108" w:type="dxa"/>
              <w:right w:w="108" w:type="dxa"/>
            </w:tcMar>
            <w:vAlign w:val="center"/>
          </w:tcPr>
          <w:p w14:paraId="438D139F">
            <w:pPr>
              <w:spacing w:line="360" w:lineRule="auto"/>
              <w:jc w:val="center"/>
              <w:rPr>
                <w:rFonts w:hint="default" w:ascii="Times New Roman" w:hAnsi="Times New Roman" w:eastAsia="宋体" w:cs="Times New Roman"/>
                <w:color w:val="auto"/>
                <w:sz w:val="21"/>
                <w:szCs w:val="21"/>
                <w:highlight w:val="none"/>
                <w:lang w:val="en-US" w:eastAsia="zh-CN"/>
              </w:rPr>
            </w:pPr>
          </w:p>
        </w:tc>
        <w:tc>
          <w:tcPr>
            <w:tcW w:w="1802" w:type="pct"/>
            <w:gridSpan w:val="2"/>
            <w:shd w:val="clear" w:color="auto" w:fill="auto"/>
            <w:tcMar>
              <w:left w:w="108" w:type="dxa"/>
              <w:right w:w="108" w:type="dxa"/>
            </w:tcMar>
            <w:vAlign w:val="center"/>
          </w:tcPr>
          <w:p w14:paraId="5CE1A86E">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厂界</w:t>
            </w:r>
            <w:r>
              <w:rPr>
                <w:rFonts w:hint="default" w:ascii="Times New Roman" w:hAnsi="Times New Roman" w:eastAsia="宋体" w:cs="Times New Roman"/>
                <w:color w:val="auto"/>
                <w:sz w:val="21"/>
                <w:szCs w:val="21"/>
                <w:highlight w:val="none"/>
                <w:lang w:val="en-US" w:eastAsia="zh-CN"/>
              </w:rPr>
              <w:t>噪声</w:t>
            </w:r>
          </w:p>
        </w:tc>
        <w:tc>
          <w:tcPr>
            <w:tcW w:w="638" w:type="pct"/>
            <w:shd w:val="clear" w:color="auto" w:fill="auto"/>
            <w:tcMar>
              <w:left w:w="108" w:type="dxa"/>
              <w:right w:w="108" w:type="dxa"/>
            </w:tcMar>
            <w:vAlign w:val="center"/>
          </w:tcPr>
          <w:p w14:paraId="71D9FF08">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eastAsia="宋体" w:cs="Times New Roman"/>
                <w:color w:val="auto"/>
                <w:sz w:val="22"/>
                <w:highlight w:val="none"/>
              </w:rPr>
              <w:t>dB(A)</w:t>
            </w:r>
          </w:p>
        </w:tc>
        <w:tc>
          <w:tcPr>
            <w:tcW w:w="907" w:type="pct"/>
            <w:shd w:val="clear" w:color="auto" w:fill="auto"/>
            <w:tcMar>
              <w:left w:w="108" w:type="dxa"/>
              <w:right w:w="108" w:type="dxa"/>
            </w:tcMar>
            <w:vAlign w:val="center"/>
          </w:tcPr>
          <w:p w14:paraId="1677F6EB">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昼间≤60dB(A)</w:t>
            </w:r>
          </w:p>
          <w:p w14:paraId="3B4E9B1C">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cs="Times New Roman"/>
                <w:color w:val="auto"/>
                <w:sz w:val="21"/>
                <w:szCs w:val="21"/>
                <w:highlight w:val="none"/>
                <w:lang w:val="en-US" w:eastAsia="zh-CN"/>
              </w:rPr>
              <w:t>夜间≤50dB(A)</w:t>
            </w:r>
          </w:p>
        </w:tc>
        <w:tc>
          <w:tcPr>
            <w:tcW w:w="960" w:type="pct"/>
            <w:shd w:val="clear" w:color="auto" w:fill="auto"/>
            <w:tcMar>
              <w:left w:w="108" w:type="dxa"/>
              <w:right w:w="108" w:type="dxa"/>
            </w:tcMar>
            <w:vAlign w:val="center"/>
          </w:tcPr>
          <w:p w14:paraId="60C95E56">
            <w:pPr>
              <w:spacing w:line="360" w:lineRule="auto"/>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昼间≤60dB(A)</w:t>
            </w:r>
          </w:p>
          <w:p w14:paraId="478A3758">
            <w:pPr>
              <w:spacing w:line="360" w:lineRule="auto"/>
              <w:jc w:val="both"/>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cs="Times New Roman"/>
                <w:color w:val="auto"/>
                <w:sz w:val="21"/>
                <w:szCs w:val="21"/>
                <w:highlight w:val="none"/>
                <w:lang w:val="en-US" w:eastAsia="zh-CN"/>
              </w:rPr>
              <w:t>夜间50dB(A）</w:t>
            </w:r>
          </w:p>
        </w:tc>
      </w:tr>
      <w:tr w14:paraId="32789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atLeast"/>
        </w:trPr>
        <w:tc>
          <w:tcPr>
            <w:tcW w:w="690" w:type="pct"/>
            <w:vMerge w:val="continue"/>
            <w:tcMar>
              <w:left w:w="108" w:type="dxa"/>
              <w:right w:w="108" w:type="dxa"/>
            </w:tcMar>
            <w:vAlign w:val="center"/>
          </w:tcPr>
          <w:p w14:paraId="646FF3A0">
            <w:pPr>
              <w:spacing w:line="360" w:lineRule="auto"/>
              <w:jc w:val="center"/>
              <w:rPr>
                <w:rFonts w:hint="default" w:ascii="Times New Roman" w:hAnsi="Times New Roman" w:eastAsia="宋体" w:cs="Times New Roman"/>
                <w:color w:val="auto"/>
                <w:sz w:val="21"/>
                <w:szCs w:val="21"/>
                <w:highlight w:val="none"/>
                <w:lang w:val="en-US" w:eastAsia="zh-CN"/>
              </w:rPr>
            </w:pPr>
          </w:p>
        </w:tc>
        <w:tc>
          <w:tcPr>
            <w:tcW w:w="1802" w:type="pct"/>
            <w:gridSpan w:val="2"/>
            <w:shd w:val="clear" w:color="auto" w:fill="auto"/>
            <w:tcMar>
              <w:left w:w="108" w:type="dxa"/>
              <w:right w:w="108" w:type="dxa"/>
            </w:tcMar>
            <w:vAlign w:val="center"/>
          </w:tcPr>
          <w:p w14:paraId="0CF9A0F7">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林草植被</w:t>
            </w:r>
            <w:r>
              <w:rPr>
                <w:rFonts w:hint="eastAsia" w:cs="Times New Roman"/>
                <w:color w:val="auto"/>
                <w:sz w:val="21"/>
                <w:szCs w:val="21"/>
                <w:highlight w:val="none"/>
                <w:lang w:val="en-US" w:eastAsia="zh-CN"/>
              </w:rPr>
              <w:t>恢复</w:t>
            </w:r>
            <w:r>
              <w:rPr>
                <w:rFonts w:hint="default" w:ascii="Times New Roman" w:hAnsi="Times New Roman" w:cs="Times New Roman"/>
                <w:color w:val="auto"/>
                <w:sz w:val="21"/>
                <w:szCs w:val="21"/>
                <w:highlight w:val="none"/>
                <w:lang w:val="en-US" w:eastAsia="zh-CN"/>
              </w:rPr>
              <w:t>率</w:t>
            </w:r>
          </w:p>
        </w:tc>
        <w:tc>
          <w:tcPr>
            <w:tcW w:w="638" w:type="pct"/>
            <w:shd w:val="clear" w:color="auto" w:fill="auto"/>
            <w:tcMar>
              <w:left w:w="108" w:type="dxa"/>
              <w:right w:w="108" w:type="dxa"/>
            </w:tcMar>
            <w:vAlign w:val="center"/>
          </w:tcPr>
          <w:p w14:paraId="4B3C7D4A">
            <w:pPr>
              <w:spacing w:line="360" w:lineRule="auto"/>
              <w:jc w:val="center"/>
              <w:rPr>
                <w:rFonts w:hint="default" w:ascii="Times New Roman" w:hAnsi="Times New Roman" w:eastAsia="宋体" w:cs="Times New Roman"/>
                <w:color w:val="auto"/>
                <w:kern w:val="2"/>
                <w:sz w:val="21"/>
                <w:szCs w:val="21"/>
                <w:highlight w:val="yellow"/>
                <w:lang w:val="en-US" w:eastAsia="zh-CN" w:bidi="ar-SA"/>
                <w14:ligatures w14:val="standardContextual"/>
              </w:rPr>
            </w:pPr>
            <w:r>
              <w:rPr>
                <w:rFonts w:hint="default" w:ascii="Times New Roman" w:hAnsi="Times New Roman" w:eastAsia="宋体" w:cs="Times New Roman"/>
                <w:color w:val="auto"/>
                <w:sz w:val="21"/>
                <w:szCs w:val="21"/>
                <w:highlight w:val="none"/>
                <w:lang w:val="en-US" w:eastAsia="zh-CN"/>
              </w:rPr>
              <w:t>%</w:t>
            </w:r>
          </w:p>
        </w:tc>
        <w:tc>
          <w:tcPr>
            <w:tcW w:w="907" w:type="pct"/>
            <w:shd w:val="clear" w:color="auto" w:fill="auto"/>
            <w:tcMar>
              <w:left w:w="108" w:type="dxa"/>
              <w:right w:w="108" w:type="dxa"/>
            </w:tcMar>
            <w:vAlign w:val="center"/>
          </w:tcPr>
          <w:p w14:paraId="089FCCA9">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cs="Times New Roman"/>
                <w:color w:val="auto"/>
                <w:sz w:val="22"/>
                <w:highlight w:val="none"/>
                <w:lang w:val="en-US" w:eastAsia="zh-CN"/>
              </w:rPr>
              <w:t>95</w:t>
            </w:r>
          </w:p>
        </w:tc>
        <w:tc>
          <w:tcPr>
            <w:tcW w:w="960" w:type="pct"/>
            <w:shd w:val="clear" w:color="auto" w:fill="auto"/>
            <w:tcMar>
              <w:left w:w="108" w:type="dxa"/>
              <w:right w:w="108" w:type="dxa"/>
            </w:tcMar>
            <w:vAlign w:val="center"/>
          </w:tcPr>
          <w:p w14:paraId="68AB805F">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cs="Times New Roman"/>
                <w:color w:val="auto"/>
                <w:sz w:val="22"/>
                <w:highlight w:val="none"/>
                <w:lang w:val="en-US" w:eastAsia="zh-CN"/>
              </w:rPr>
              <w:t>95</w:t>
            </w:r>
          </w:p>
        </w:tc>
      </w:tr>
      <w:tr w14:paraId="45037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atLeast"/>
        </w:trPr>
        <w:tc>
          <w:tcPr>
            <w:tcW w:w="690" w:type="pct"/>
            <w:vMerge w:val="continue"/>
            <w:tcMar>
              <w:left w:w="108" w:type="dxa"/>
              <w:right w:w="108" w:type="dxa"/>
            </w:tcMar>
            <w:vAlign w:val="center"/>
          </w:tcPr>
          <w:p w14:paraId="2B5E6EFF">
            <w:pPr>
              <w:spacing w:line="360" w:lineRule="auto"/>
              <w:jc w:val="center"/>
              <w:rPr>
                <w:rFonts w:hint="default" w:ascii="Times New Roman" w:hAnsi="Times New Roman" w:eastAsia="宋体" w:cs="Times New Roman"/>
                <w:color w:val="auto"/>
                <w:sz w:val="21"/>
                <w:szCs w:val="21"/>
                <w:highlight w:val="none"/>
                <w:lang w:val="en-US" w:eastAsia="zh-CN"/>
              </w:rPr>
            </w:pPr>
          </w:p>
        </w:tc>
        <w:tc>
          <w:tcPr>
            <w:tcW w:w="1802" w:type="pct"/>
            <w:gridSpan w:val="2"/>
            <w:shd w:val="clear" w:color="auto" w:fill="auto"/>
            <w:tcMar>
              <w:left w:w="108" w:type="dxa"/>
              <w:right w:w="108" w:type="dxa"/>
            </w:tcMar>
            <w:vAlign w:val="center"/>
          </w:tcPr>
          <w:p w14:paraId="30A59E18">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矿区</w:t>
            </w:r>
            <w:r>
              <w:rPr>
                <w:rFonts w:hint="eastAsia" w:cs="Times New Roman"/>
                <w:color w:val="auto"/>
                <w:sz w:val="21"/>
                <w:szCs w:val="21"/>
                <w:highlight w:val="none"/>
                <w:lang w:val="en-US" w:eastAsia="zh-CN"/>
              </w:rPr>
              <w:t>可绿化面积</w:t>
            </w:r>
            <w:r>
              <w:rPr>
                <w:rFonts w:hint="default" w:ascii="Times New Roman" w:hAnsi="Times New Roman" w:cs="Times New Roman"/>
                <w:color w:val="auto"/>
                <w:sz w:val="21"/>
                <w:szCs w:val="21"/>
                <w:highlight w:val="none"/>
                <w:lang w:val="en-US" w:eastAsia="zh-CN"/>
              </w:rPr>
              <w:t>绿化覆盖率</w:t>
            </w:r>
          </w:p>
        </w:tc>
        <w:tc>
          <w:tcPr>
            <w:tcW w:w="638" w:type="pct"/>
            <w:shd w:val="clear" w:color="auto" w:fill="auto"/>
            <w:tcMar>
              <w:left w:w="108" w:type="dxa"/>
              <w:right w:w="108" w:type="dxa"/>
            </w:tcMar>
            <w:vAlign w:val="center"/>
          </w:tcPr>
          <w:p w14:paraId="1A8F77B6">
            <w:pPr>
              <w:spacing w:line="360" w:lineRule="auto"/>
              <w:jc w:val="center"/>
              <w:rPr>
                <w:rFonts w:hint="default" w:ascii="Times New Roman" w:hAnsi="Times New Roman" w:eastAsia="宋体" w:cs="Times New Roman"/>
                <w:color w:val="auto"/>
                <w:kern w:val="2"/>
                <w:sz w:val="21"/>
                <w:szCs w:val="21"/>
                <w:highlight w:val="yellow"/>
                <w:lang w:val="en-US" w:eastAsia="zh-CN" w:bidi="ar-SA"/>
                <w14:ligatures w14:val="standardContextual"/>
              </w:rPr>
            </w:pPr>
            <w:r>
              <w:rPr>
                <w:rFonts w:hint="default" w:ascii="Times New Roman" w:hAnsi="Times New Roman" w:eastAsia="宋体" w:cs="Times New Roman"/>
                <w:color w:val="auto"/>
                <w:sz w:val="21"/>
                <w:szCs w:val="21"/>
                <w:highlight w:val="none"/>
                <w:lang w:val="en-US" w:eastAsia="zh-CN"/>
              </w:rPr>
              <w:t>%</w:t>
            </w:r>
          </w:p>
        </w:tc>
        <w:tc>
          <w:tcPr>
            <w:tcW w:w="907" w:type="pct"/>
            <w:shd w:val="clear" w:color="auto" w:fill="auto"/>
            <w:tcMar>
              <w:left w:w="108" w:type="dxa"/>
              <w:right w:w="108" w:type="dxa"/>
            </w:tcMar>
            <w:vAlign w:val="center"/>
          </w:tcPr>
          <w:p w14:paraId="4144B592">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cs="Times New Roman"/>
                <w:color w:val="auto"/>
                <w:sz w:val="22"/>
                <w:highlight w:val="none"/>
                <w:lang w:val="en-US" w:eastAsia="zh-CN"/>
              </w:rPr>
              <w:t>100</w:t>
            </w:r>
          </w:p>
        </w:tc>
        <w:tc>
          <w:tcPr>
            <w:tcW w:w="960" w:type="pct"/>
            <w:shd w:val="clear" w:color="auto" w:fill="auto"/>
            <w:tcMar>
              <w:left w:w="108" w:type="dxa"/>
              <w:right w:w="108" w:type="dxa"/>
            </w:tcMar>
            <w:vAlign w:val="center"/>
          </w:tcPr>
          <w:p w14:paraId="5E8B97B4">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cs="Times New Roman"/>
                <w:color w:val="auto"/>
                <w:sz w:val="22"/>
                <w:highlight w:val="none"/>
                <w:lang w:val="en-US" w:eastAsia="zh-CN"/>
              </w:rPr>
              <w:t>100</w:t>
            </w:r>
          </w:p>
        </w:tc>
      </w:tr>
      <w:tr w14:paraId="24583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atLeast"/>
        </w:trPr>
        <w:tc>
          <w:tcPr>
            <w:tcW w:w="690" w:type="pct"/>
            <w:vMerge w:val="restart"/>
            <w:tcMar>
              <w:left w:w="108" w:type="dxa"/>
              <w:right w:w="108" w:type="dxa"/>
            </w:tcMar>
            <w:vAlign w:val="center"/>
          </w:tcPr>
          <w:p w14:paraId="1778ECF8">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产品</w:t>
            </w:r>
            <w:r>
              <w:rPr>
                <w:rFonts w:hint="default" w:ascii="Times New Roman" w:hAnsi="Times New Roman" w:eastAsia="宋体" w:cs="Times New Roman"/>
                <w:color w:val="auto"/>
                <w:sz w:val="21"/>
                <w:szCs w:val="21"/>
                <w:highlight w:val="none"/>
                <w:lang w:val="en-US" w:eastAsia="zh-CN"/>
              </w:rPr>
              <w:t>属性</w:t>
            </w:r>
          </w:p>
        </w:tc>
        <w:tc>
          <w:tcPr>
            <w:tcW w:w="1802" w:type="pct"/>
            <w:gridSpan w:val="2"/>
            <w:shd w:val="clear" w:color="auto" w:fill="auto"/>
            <w:tcMar>
              <w:left w:w="108" w:type="dxa"/>
              <w:right w:w="108" w:type="dxa"/>
            </w:tcMar>
            <w:vAlign w:val="center"/>
          </w:tcPr>
          <w:p w14:paraId="3B184F7D">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稀土</w:t>
            </w:r>
            <w:r>
              <w:rPr>
                <w:rFonts w:hint="default" w:ascii="Times New Roman" w:hAnsi="Times New Roman" w:eastAsia="宋体" w:cs="Times New Roman"/>
                <w:color w:val="auto"/>
                <w:sz w:val="21"/>
                <w:szCs w:val="21"/>
                <w:highlight w:val="none"/>
                <w:lang w:val="en-US" w:eastAsia="zh-CN"/>
              </w:rPr>
              <w:t>精矿品位</w:t>
            </w:r>
            <w:r>
              <w:rPr>
                <w:rFonts w:hint="default" w:ascii="Times New Roman" w:hAnsi="Times New Roman" w:cs="Times New Roman"/>
                <w:color w:val="auto"/>
                <w:sz w:val="21"/>
                <w:szCs w:val="21"/>
                <w:highlight w:val="none"/>
                <w:lang w:val="en-US" w:eastAsia="zh-CN"/>
              </w:rPr>
              <w:t>（REO）</w:t>
            </w:r>
          </w:p>
        </w:tc>
        <w:tc>
          <w:tcPr>
            <w:tcW w:w="638" w:type="pct"/>
            <w:vMerge w:val="restart"/>
            <w:tcMar>
              <w:left w:w="108" w:type="dxa"/>
              <w:right w:w="108" w:type="dxa"/>
            </w:tcMar>
            <w:vAlign w:val="center"/>
          </w:tcPr>
          <w:p w14:paraId="5ED90982">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907" w:type="pct"/>
            <w:tcMar>
              <w:left w:w="108" w:type="dxa"/>
              <w:right w:w="108" w:type="dxa"/>
            </w:tcMar>
            <w:vAlign w:val="center"/>
          </w:tcPr>
          <w:p w14:paraId="217E3EF0">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≥68</w:t>
            </w:r>
          </w:p>
        </w:tc>
        <w:tc>
          <w:tcPr>
            <w:tcW w:w="960" w:type="pct"/>
            <w:tcMar>
              <w:left w:w="108" w:type="dxa"/>
              <w:right w:w="108" w:type="dxa"/>
            </w:tcMar>
            <w:vAlign w:val="center"/>
          </w:tcPr>
          <w:p w14:paraId="364B3EA2">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≥60</w:t>
            </w:r>
          </w:p>
        </w:tc>
      </w:tr>
      <w:tr w14:paraId="21076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atLeast"/>
        </w:trPr>
        <w:tc>
          <w:tcPr>
            <w:tcW w:w="690" w:type="pct"/>
            <w:vMerge w:val="continue"/>
            <w:tcMar>
              <w:left w:w="108" w:type="dxa"/>
              <w:right w:w="108" w:type="dxa"/>
            </w:tcMar>
            <w:vAlign w:val="center"/>
          </w:tcPr>
          <w:p w14:paraId="52FAC0E9">
            <w:pPr>
              <w:spacing w:line="360" w:lineRule="auto"/>
              <w:jc w:val="center"/>
              <w:rPr>
                <w:rFonts w:hint="default" w:ascii="Times New Roman" w:hAnsi="Times New Roman" w:cs="Times New Roman"/>
                <w:color w:val="auto"/>
                <w:sz w:val="21"/>
                <w:szCs w:val="21"/>
                <w:highlight w:val="none"/>
                <w:lang w:val="en-US" w:eastAsia="zh-CN"/>
              </w:rPr>
            </w:pPr>
          </w:p>
        </w:tc>
        <w:tc>
          <w:tcPr>
            <w:tcW w:w="1802" w:type="pct"/>
            <w:gridSpan w:val="2"/>
            <w:shd w:val="clear" w:color="auto" w:fill="auto"/>
            <w:tcMar>
              <w:left w:w="108" w:type="dxa"/>
              <w:right w:w="108" w:type="dxa"/>
            </w:tcMar>
            <w:vAlign w:val="center"/>
          </w:tcPr>
          <w:p w14:paraId="1AFEAA68">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eastAsia" w:ascii="Times New Roman" w:hAnsi="Times New Roman" w:cs="Times New Roman"/>
                <w:color w:val="auto"/>
                <w:sz w:val="21"/>
                <w:szCs w:val="21"/>
                <w:highlight w:val="none"/>
                <w:lang w:val="en-US" w:eastAsia="zh-CN"/>
              </w:rPr>
              <w:t>合格率</w:t>
            </w:r>
          </w:p>
        </w:tc>
        <w:tc>
          <w:tcPr>
            <w:tcW w:w="638" w:type="pct"/>
            <w:vMerge w:val="continue"/>
            <w:tcMar>
              <w:left w:w="108" w:type="dxa"/>
              <w:right w:w="108" w:type="dxa"/>
            </w:tcMar>
            <w:vAlign w:val="center"/>
          </w:tcPr>
          <w:p w14:paraId="5FFC63C6">
            <w:pPr>
              <w:spacing w:line="360" w:lineRule="auto"/>
              <w:jc w:val="center"/>
              <w:rPr>
                <w:rFonts w:hint="default" w:ascii="Times New Roman" w:hAnsi="Times New Roman" w:eastAsia="宋体" w:cs="Times New Roman"/>
                <w:color w:val="auto"/>
                <w:sz w:val="21"/>
                <w:szCs w:val="21"/>
                <w:highlight w:val="none"/>
                <w:lang w:val="en-US" w:eastAsia="zh-CN"/>
              </w:rPr>
            </w:pPr>
          </w:p>
        </w:tc>
        <w:tc>
          <w:tcPr>
            <w:tcW w:w="907" w:type="pct"/>
            <w:tcMar>
              <w:left w:w="108" w:type="dxa"/>
              <w:right w:w="108" w:type="dxa"/>
            </w:tcMar>
            <w:vAlign w:val="center"/>
          </w:tcPr>
          <w:p w14:paraId="226FC414">
            <w:pPr>
              <w:spacing w:line="360" w:lineRule="auto"/>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90%</w:t>
            </w:r>
          </w:p>
        </w:tc>
        <w:tc>
          <w:tcPr>
            <w:tcW w:w="960" w:type="pct"/>
            <w:tcMar>
              <w:left w:w="108" w:type="dxa"/>
              <w:right w:w="108" w:type="dxa"/>
            </w:tcMar>
            <w:vAlign w:val="center"/>
          </w:tcPr>
          <w:p w14:paraId="36D14E43">
            <w:pPr>
              <w:spacing w:line="360" w:lineRule="auto"/>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80%</w:t>
            </w:r>
          </w:p>
        </w:tc>
      </w:tr>
    </w:tbl>
    <w:p w14:paraId="477DBDAD">
      <w:pPr>
        <w:keepNext w:val="0"/>
        <w:keepLines w:val="0"/>
        <w:pageBreakBefore w:val="0"/>
        <w:widowControl/>
        <w:kinsoku/>
        <w:wordWrap/>
        <w:overflowPunct/>
        <w:topLinePunct w:val="0"/>
        <w:autoSpaceDE/>
        <w:autoSpaceDN/>
        <w:bidi w:val="0"/>
        <w:adjustRightInd w:val="0"/>
        <w:snapToGrid/>
        <w:spacing w:line="360" w:lineRule="exact"/>
        <w:textAlignment w:val="auto"/>
        <w:outlineLvl w:val="2"/>
        <w:rPr>
          <w:rFonts w:hint="eastAsia" w:cs="Times New Roman"/>
          <w:sz w:val="21"/>
          <w:szCs w:val="21"/>
          <w:highlight w:val="none"/>
          <w:lang w:val="en-US" w:eastAsia="zh-CN"/>
        </w:rPr>
      </w:pPr>
      <w:r>
        <w:rPr>
          <w:rFonts w:hint="eastAsia" w:cs="Times New Roman"/>
          <w:sz w:val="21"/>
          <w:szCs w:val="21"/>
          <w:highlight w:val="none"/>
          <w:lang w:val="en-US" w:eastAsia="zh-CN"/>
        </w:rPr>
        <w:t>注：</w:t>
      </w:r>
    </w:p>
    <w:p w14:paraId="5DDDF921">
      <w:pPr>
        <w:keepNext w:val="0"/>
        <w:keepLines w:val="0"/>
        <w:pageBreakBefore w:val="0"/>
        <w:widowControl/>
        <w:kinsoku/>
        <w:wordWrap/>
        <w:overflowPunct/>
        <w:topLinePunct w:val="0"/>
        <w:autoSpaceDE/>
        <w:autoSpaceDN/>
        <w:bidi w:val="0"/>
        <w:adjustRightInd w:val="0"/>
        <w:snapToGrid/>
        <w:spacing w:line="360" w:lineRule="exact"/>
        <w:ind w:firstLine="420" w:firstLineChars="200"/>
        <w:textAlignment w:val="auto"/>
        <w:outlineLvl w:val="2"/>
        <w:rPr>
          <w:rFonts w:hint="default" w:ascii="Times New Roman" w:hAnsi="Times New Roman" w:cs="Times New Roman"/>
          <w:sz w:val="21"/>
          <w:szCs w:val="21"/>
          <w:highlight w:val="none"/>
          <w:lang w:val="en-US" w:eastAsia="zh-CN"/>
        </w:rPr>
      </w:pPr>
      <w:r>
        <w:rPr>
          <w:rFonts w:hint="eastAsia" w:cs="Times New Roman"/>
          <w:sz w:val="21"/>
          <w:szCs w:val="21"/>
          <w:highlight w:val="none"/>
          <w:lang w:val="en-US" w:eastAsia="zh-CN"/>
        </w:rPr>
        <w:t>1.针对</w:t>
      </w:r>
      <w:r>
        <w:rPr>
          <w:rFonts w:hint="default" w:ascii="Times New Roman" w:hAnsi="Times New Roman" w:cs="Times New Roman"/>
          <w:sz w:val="21"/>
          <w:szCs w:val="21"/>
          <w:highlight w:val="none"/>
          <w:lang w:val="en-US" w:eastAsia="zh-CN"/>
        </w:rPr>
        <w:t>矿石</w:t>
      </w:r>
      <w:r>
        <w:rPr>
          <w:rFonts w:hint="eastAsia" w:cs="Times New Roman"/>
          <w:sz w:val="21"/>
          <w:szCs w:val="21"/>
          <w:highlight w:val="none"/>
          <w:lang w:val="en-US" w:eastAsia="zh-CN"/>
        </w:rPr>
        <w:t>中稀土</w:t>
      </w:r>
      <w:r>
        <w:rPr>
          <w:rFonts w:hint="default" w:ascii="Times New Roman" w:hAnsi="Times New Roman" w:cs="Times New Roman"/>
          <w:sz w:val="21"/>
          <w:szCs w:val="21"/>
          <w:highlight w:val="none"/>
          <w:lang w:val="en-US" w:eastAsia="zh-CN"/>
        </w:rPr>
        <w:t>矿物嵌布粒度微细（-</w:t>
      </w:r>
      <w:r>
        <w:rPr>
          <w:rFonts w:hint="eastAsia" w:cs="Times New Roman"/>
          <w:sz w:val="21"/>
          <w:szCs w:val="21"/>
          <w:highlight w:val="none"/>
          <w:lang w:val="en-US" w:eastAsia="zh-CN"/>
        </w:rPr>
        <w:t>325</w:t>
      </w:r>
      <w:r>
        <w:rPr>
          <w:rFonts w:hint="default" w:ascii="Times New Roman" w:hAnsi="Times New Roman" w:cs="Times New Roman"/>
          <w:sz w:val="21"/>
          <w:szCs w:val="21"/>
          <w:highlight w:val="none"/>
          <w:lang w:val="en-US" w:eastAsia="zh-CN"/>
        </w:rPr>
        <w:t>目占</w:t>
      </w:r>
      <w:r>
        <w:rPr>
          <w:rFonts w:hint="eastAsia" w:cs="Times New Roman"/>
          <w:sz w:val="21"/>
          <w:szCs w:val="21"/>
          <w:highlight w:val="none"/>
          <w:lang w:val="en-US" w:eastAsia="zh-CN"/>
        </w:rPr>
        <w:t>90</w:t>
      </w:r>
      <w:r>
        <w:rPr>
          <w:rFonts w:hint="default" w:ascii="Times New Roman" w:hAnsi="Times New Roman" w:cs="Times New Roman"/>
          <w:sz w:val="21"/>
          <w:szCs w:val="21"/>
          <w:highlight w:val="none"/>
          <w:lang w:val="en-US" w:eastAsia="zh-CN"/>
        </w:rPr>
        <w:t>%</w:t>
      </w:r>
      <w:r>
        <w:rPr>
          <w:rFonts w:hint="eastAsia" w:cs="Times New Roman"/>
          <w:sz w:val="21"/>
          <w:szCs w:val="21"/>
          <w:highlight w:val="none"/>
          <w:lang w:val="en-US" w:eastAsia="zh-CN"/>
        </w:rPr>
        <w:t>时</w:t>
      </w:r>
      <w:r>
        <w:rPr>
          <w:rFonts w:hint="default" w:ascii="Times New Roman" w:hAnsi="Times New Roman" w:cs="Times New Roman"/>
          <w:sz w:val="21"/>
          <w:szCs w:val="21"/>
          <w:highlight w:val="none"/>
          <w:lang w:val="en-US" w:eastAsia="zh-CN"/>
        </w:rPr>
        <w:t>实现单体解离）</w:t>
      </w:r>
      <w:r>
        <w:rPr>
          <w:rFonts w:hint="eastAsia" w:cs="Times New Roman"/>
          <w:sz w:val="21"/>
          <w:szCs w:val="21"/>
          <w:highlight w:val="none"/>
          <w:lang w:val="en-US" w:eastAsia="zh-CN"/>
        </w:rPr>
        <w:t>、矿浆中</w:t>
      </w:r>
      <w:r>
        <w:rPr>
          <w:rFonts w:hint="default" w:ascii="Times New Roman" w:hAnsi="Times New Roman" w:cs="Times New Roman"/>
          <w:sz w:val="21"/>
          <w:szCs w:val="21"/>
          <w:highlight w:val="none"/>
          <w:lang w:val="en-US" w:eastAsia="zh-CN"/>
        </w:rPr>
        <w:t>含泥量高、杂质含量高（如Fe含量≥15%）的复杂难选矿山，其相关指标可适当放宽。</w:t>
      </w:r>
    </w:p>
    <w:p w14:paraId="374EE982">
      <w:pPr>
        <w:keepNext w:val="0"/>
        <w:keepLines w:val="0"/>
        <w:pageBreakBefore w:val="0"/>
        <w:widowControl/>
        <w:kinsoku/>
        <w:wordWrap/>
        <w:overflowPunct/>
        <w:topLinePunct w:val="0"/>
        <w:autoSpaceDE/>
        <w:autoSpaceDN/>
        <w:bidi w:val="0"/>
        <w:adjustRightInd w:val="0"/>
        <w:snapToGrid/>
        <w:spacing w:line="360" w:lineRule="exact"/>
        <w:ind w:firstLine="420" w:firstLineChars="200"/>
        <w:textAlignment w:val="auto"/>
        <w:outlineLvl w:val="2"/>
        <w:rPr>
          <w:rFonts w:hint="default" w:ascii="Times New Roman" w:hAnsi="Times New Roman" w:cs="Times New Roman"/>
          <w:sz w:val="21"/>
          <w:szCs w:val="21"/>
          <w:highlight w:val="none"/>
          <w:lang w:val="en-US" w:eastAsia="zh-CN"/>
        </w:rPr>
      </w:pPr>
      <w:r>
        <w:rPr>
          <w:rFonts w:hint="eastAsia" w:cs="Times New Roman"/>
          <w:sz w:val="21"/>
          <w:szCs w:val="21"/>
          <w:highlight w:val="none"/>
          <w:lang w:val="en-US" w:eastAsia="zh-CN"/>
        </w:rPr>
        <w:t>2.</w:t>
      </w:r>
      <w:r>
        <w:rPr>
          <w:rFonts w:hint="default" w:ascii="Times New Roman" w:hAnsi="Times New Roman" w:cs="Times New Roman"/>
          <w:sz w:val="21"/>
          <w:szCs w:val="21"/>
          <w:highlight w:val="none"/>
          <w:lang w:val="en-US" w:eastAsia="zh-CN"/>
        </w:rPr>
        <w:t>尾矿库周围空气氡浓度（</w:t>
      </w:r>
      <w:r>
        <w:rPr>
          <w:rFonts w:hint="eastAsia" w:cs="Times New Roman"/>
          <w:sz w:val="21"/>
          <w:szCs w:val="21"/>
          <w:highlight w:val="none"/>
          <w:vertAlign w:val="superscript"/>
          <w:lang w:val="en-US" w:eastAsia="zh-CN"/>
        </w:rPr>
        <w:t>222</w:t>
      </w:r>
      <w:r>
        <w:rPr>
          <w:rFonts w:hint="default" w:ascii="Times New Roman" w:hAnsi="Times New Roman" w:cs="Times New Roman"/>
          <w:sz w:val="21"/>
          <w:szCs w:val="21"/>
          <w:highlight w:val="none"/>
          <w:lang w:val="en-US" w:eastAsia="zh-CN"/>
        </w:rPr>
        <w:t>Rn）限值参考GB18871</w:t>
      </w:r>
      <w:r>
        <w:rPr>
          <w:rFonts w:hint="eastAsia" w:cs="Times New Roman"/>
          <w:sz w:val="21"/>
          <w:szCs w:val="21"/>
          <w:highlight w:val="none"/>
          <w:lang w:val="en-US" w:eastAsia="zh-CN"/>
        </w:rPr>
        <w:t>和</w:t>
      </w:r>
      <w:r>
        <w:rPr>
          <w:rFonts w:hint="default" w:ascii="Times New Roman" w:hAnsi="Times New Roman" w:cs="Times New Roman"/>
          <w:sz w:val="21"/>
          <w:szCs w:val="21"/>
          <w:highlight w:val="none"/>
          <w:lang w:val="en-US" w:eastAsia="zh-CN"/>
        </w:rPr>
        <w:t>典型稀土矿山尾矿库周边环境空气氡浓度实际监测数据确定。</w:t>
      </w:r>
    </w:p>
    <w:p w14:paraId="363F13C0">
      <w:pPr>
        <w:jc w:val="left"/>
        <w:rPr>
          <w:rFonts w:hint="default" w:ascii="Times New Roman" w:hAnsi="Times New Roman" w:cs="Times New Roman" w:eastAsiaTheme="minorEastAsia"/>
          <w:color w:val="auto"/>
          <w:sz w:val="21"/>
          <w:szCs w:val="21"/>
          <w:highlight w:val="none"/>
          <w:lang w:val="en-US" w:eastAsia="zh-CN"/>
        </w:rPr>
      </w:pPr>
    </w:p>
    <w:p w14:paraId="553564D6">
      <w:pPr>
        <w:jc w:val="left"/>
        <w:rPr>
          <w:rFonts w:hint="default" w:ascii="Times New Roman" w:hAnsi="Times New Roman" w:cs="Times New Roman" w:eastAsiaTheme="minorEastAsia"/>
          <w:color w:val="auto"/>
          <w:sz w:val="21"/>
          <w:szCs w:val="21"/>
          <w:highlight w:val="none"/>
          <w:lang w:val="en-US" w:eastAsia="zh-CN"/>
        </w:rPr>
        <w:sectPr>
          <w:headerReference r:id="rId22" w:type="default"/>
          <w:footerReference r:id="rId23" w:type="default"/>
          <w:pgSz w:w="11906" w:h="16838"/>
          <w:pgMar w:top="1440" w:right="1800" w:bottom="1440" w:left="1800" w:header="851" w:footer="992" w:gutter="0"/>
          <w:pgNumType w:start="1"/>
          <w:cols w:space="425" w:num="1"/>
          <w:docGrid w:type="lines" w:linePitch="312" w:charSpace="0"/>
        </w:sectPr>
      </w:pPr>
    </w:p>
    <w:p w14:paraId="035C9788">
      <w:pPr>
        <w:pStyle w:val="13"/>
        <w:spacing w:before="156" w:beforeLines="50" w:after="156" w:afterLines="50"/>
        <w:jc w:val="center"/>
        <w:rPr>
          <w:rFonts w:hint="default" w:ascii="Times New Roman" w:hAnsi="Times New Roman" w:eastAsia="黑体" w:cs="Times New Roman"/>
          <w:color w:val="auto"/>
          <w:kern w:val="0"/>
          <w:sz w:val="21"/>
          <w:szCs w:val="21"/>
          <w:highlight w:val="none"/>
          <w:lang w:val="en-US" w:eastAsia="zh-CN" w:bidi="ar"/>
        </w:rPr>
      </w:pPr>
      <w:r>
        <w:rPr>
          <w:rFonts w:hint="default" w:ascii="Times New Roman" w:hAnsi="Times New Roman" w:eastAsia="黑体" w:cs="Times New Roman"/>
          <w:color w:val="auto"/>
          <w:kern w:val="0"/>
          <w:sz w:val="21"/>
          <w:szCs w:val="21"/>
          <w:highlight w:val="none"/>
          <w:lang w:val="en-US" w:eastAsia="zh-CN" w:bidi="ar"/>
        </w:rPr>
        <w:t>表</w:t>
      </w:r>
      <w:r>
        <w:rPr>
          <w:rFonts w:hint="eastAsia" w:ascii="Times New Roman" w:hAnsi="Times New Roman" w:eastAsia="黑体" w:cs="Times New Roman"/>
          <w:color w:val="auto"/>
          <w:kern w:val="0"/>
          <w:sz w:val="21"/>
          <w:szCs w:val="21"/>
          <w:highlight w:val="none"/>
          <w:lang w:val="en-US" w:eastAsia="zh-CN" w:bidi="ar"/>
        </w:rPr>
        <w:t xml:space="preserve">2 </w:t>
      </w:r>
      <w:r>
        <w:rPr>
          <w:rFonts w:hint="default" w:ascii="Times New Roman" w:hAnsi="Times New Roman" w:eastAsia="黑体" w:cs="Times New Roman"/>
          <w:color w:val="auto"/>
          <w:kern w:val="0"/>
          <w:sz w:val="21"/>
          <w:szCs w:val="21"/>
          <w:highlight w:val="none"/>
          <w:lang w:val="en-US" w:eastAsia="zh-CN" w:bidi="ar"/>
        </w:rPr>
        <w:t>氟碳铈矿型地下开采指标要求</w:t>
      </w:r>
    </w:p>
    <w:tbl>
      <w:tblPr>
        <w:tblStyle w:val="3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70"/>
        <w:gridCol w:w="1447"/>
        <w:gridCol w:w="36"/>
        <w:gridCol w:w="1595"/>
        <w:gridCol w:w="1103"/>
        <w:gridCol w:w="1580"/>
        <w:gridCol w:w="1688"/>
      </w:tblGrid>
      <w:tr w14:paraId="08302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jc w:val="center"/>
        </w:trPr>
        <w:tc>
          <w:tcPr>
            <w:tcW w:w="628" w:type="pct"/>
            <w:tcMar>
              <w:left w:w="108" w:type="dxa"/>
              <w:right w:w="108" w:type="dxa"/>
            </w:tcMar>
            <w:vAlign w:val="center"/>
          </w:tcPr>
          <w:p w14:paraId="22460518">
            <w:pPr>
              <w:spacing w:line="360" w:lineRule="auto"/>
              <w:jc w:val="center"/>
              <w:rPr>
                <w:rFonts w:hint="default" w:ascii="Times New Roman" w:hAnsi="Times New Roman" w:eastAsia="宋体" w:cs="Times New Roman"/>
                <w:b/>
                <w:color w:val="auto"/>
                <w:sz w:val="21"/>
                <w:szCs w:val="21"/>
                <w:highlight w:val="none"/>
                <w:lang w:eastAsia="zh-CN"/>
              </w:rPr>
            </w:pPr>
            <w:r>
              <w:rPr>
                <w:rFonts w:hint="default" w:ascii="Times New Roman" w:hAnsi="Times New Roman" w:cs="Times New Roman"/>
                <w:b/>
                <w:color w:val="auto"/>
                <w:sz w:val="21"/>
                <w:szCs w:val="21"/>
                <w:highlight w:val="none"/>
                <w:lang w:val="en-US" w:eastAsia="zh-CN"/>
              </w:rPr>
              <w:t>一级指标</w:t>
            </w:r>
          </w:p>
        </w:tc>
        <w:tc>
          <w:tcPr>
            <w:tcW w:w="1806" w:type="pct"/>
            <w:gridSpan w:val="3"/>
            <w:tcMar>
              <w:left w:w="108" w:type="dxa"/>
              <w:right w:w="108" w:type="dxa"/>
            </w:tcMar>
            <w:vAlign w:val="center"/>
          </w:tcPr>
          <w:p w14:paraId="17C64ECA">
            <w:pPr>
              <w:spacing w:line="360" w:lineRule="auto"/>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lang w:val="en-US" w:eastAsia="zh-CN"/>
              </w:rPr>
              <w:t>二级</w:t>
            </w:r>
            <w:r>
              <w:rPr>
                <w:rFonts w:hint="default" w:ascii="Times New Roman" w:hAnsi="Times New Roman" w:cs="Times New Roman"/>
                <w:b/>
                <w:color w:val="auto"/>
                <w:sz w:val="21"/>
                <w:szCs w:val="21"/>
                <w:highlight w:val="none"/>
              </w:rPr>
              <w:t>指标</w:t>
            </w:r>
          </w:p>
        </w:tc>
        <w:tc>
          <w:tcPr>
            <w:tcW w:w="647" w:type="pct"/>
            <w:tcMar>
              <w:left w:w="108" w:type="dxa"/>
              <w:right w:w="108" w:type="dxa"/>
            </w:tcMar>
            <w:vAlign w:val="center"/>
          </w:tcPr>
          <w:p w14:paraId="7E1D3E99">
            <w:pPr>
              <w:spacing w:line="360" w:lineRule="auto"/>
              <w:jc w:val="center"/>
              <w:rPr>
                <w:rFonts w:hint="default" w:ascii="Times New Roman" w:hAnsi="Times New Roman"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指标单位</w:t>
            </w:r>
          </w:p>
        </w:tc>
        <w:tc>
          <w:tcPr>
            <w:tcW w:w="927" w:type="pct"/>
            <w:tcMar>
              <w:left w:w="108" w:type="dxa"/>
              <w:right w:w="108" w:type="dxa"/>
            </w:tcMar>
            <w:vAlign w:val="center"/>
          </w:tcPr>
          <w:p w14:paraId="49AF6EE8">
            <w:pPr>
              <w:spacing w:line="360" w:lineRule="auto"/>
              <w:jc w:val="center"/>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A级</w:t>
            </w:r>
          </w:p>
        </w:tc>
        <w:tc>
          <w:tcPr>
            <w:tcW w:w="990" w:type="pct"/>
            <w:tcMar>
              <w:left w:w="108" w:type="dxa"/>
              <w:right w:w="108" w:type="dxa"/>
            </w:tcMar>
            <w:vAlign w:val="center"/>
          </w:tcPr>
          <w:p w14:paraId="017FA34E">
            <w:pPr>
              <w:spacing w:line="360" w:lineRule="auto"/>
              <w:jc w:val="center"/>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B级</w:t>
            </w:r>
          </w:p>
        </w:tc>
      </w:tr>
      <w:tr w14:paraId="336B1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jc w:val="center"/>
        </w:trPr>
        <w:tc>
          <w:tcPr>
            <w:tcW w:w="628" w:type="pct"/>
            <w:vMerge w:val="restart"/>
            <w:tcMar>
              <w:left w:w="108" w:type="dxa"/>
              <w:right w:w="108" w:type="dxa"/>
            </w:tcMar>
            <w:vAlign w:val="center"/>
          </w:tcPr>
          <w:p w14:paraId="0F15F1F8">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资源属性</w:t>
            </w:r>
          </w:p>
        </w:tc>
        <w:tc>
          <w:tcPr>
            <w:tcW w:w="1806" w:type="pct"/>
            <w:gridSpan w:val="3"/>
            <w:tcMar>
              <w:left w:w="108" w:type="dxa"/>
              <w:right w:w="108" w:type="dxa"/>
            </w:tcMar>
            <w:vAlign w:val="center"/>
          </w:tcPr>
          <w:p w14:paraId="5F833B97">
            <w:pPr>
              <w:spacing w:line="36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稀土</w:t>
            </w:r>
            <w:r>
              <w:rPr>
                <w:rFonts w:hint="default" w:ascii="Times New Roman" w:hAnsi="Times New Roman" w:cs="Times New Roman"/>
                <w:color w:val="auto"/>
                <w:sz w:val="21"/>
                <w:szCs w:val="21"/>
                <w:highlight w:val="none"/>
              </w:rPr>
              <w:t>开采回采率</w:t>
            </w:r>
          </w:p>
        </w:tc>
        <w:tc>
          <w:tcPr>
            <w:tcW w:w="647" w:type="pct"/>
            <w:tcMar>
              <w:left w:w="108" w:type="dxa"/>
              <w:right w:w="108" w:type="dxa"/>
            </w:tcMar>
            <w:vAlign w:val="center"/>
          </w:tcPr>
          <w:p w14:paraId="6DC5C6CC">
            <w:pPr>
              <w:spacing w:line="360" w:lineRule="auto"/>
              <w:jc w:val="center"/>
              <w:rPr>
                <w:rFonts w:hint="default" w:ascii="Times New Roman" w:hAnsi="Times New Roman" w:cs="Times New Roman"/>
                <w:color w:val="auto"/>
                <w:sz w:val="21"/>
                <w:szCs w:val="21"/>
                <w:highlight w:val="yellow"/>
                <w:lang w:val="en-US" w:eastAsia="zh-CN"/>
              </w:rPr>
            </w:pPr>
            <w:r>
              <w:rPr>
                <w:rFonts w:hint="default" w:ascii="Times New Roman" w:hAnsi="Times New Roman" w:eastAsia="宋体" w:cs="Times New Roman"/>
                <w:color w:val="auto"/>
                <w:sz w:val="21"/>
                <w:szCs w:val="21"/>
                <w:highlight w:val="none"/>
                <w:lang w:val="en-US" w:eastAsia="zh-CN"/>
              </w:rPr>
              <w:t>%</w:t>
            </w:r>
          </w:p>
        </w:tc>
        <w:tc>
          <w:tcPr>
            <w:tcW w:w="927" w:type="pct"/>
            <w:tcMar>
              <w:left w:w="108" w:type="dxa"/>
              <w:right w:w="108" w:type="dxa"/>
            </w:tcMar>
            <w:vAlign w:val="center"/>
          </w:tcPr>
          <w:p w14:paraId="278F5573">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≥90</w:t>
            </w:r>
          </w:p>
        </w:tc>
        <w:tc>
          <w:tcPr>
            <w:tcW w:w="990" w:type="pct"/>
            <w:shd w:val="clear" w:color="auto" w:fill="auto"/>
            <w:tcMar>
              <w:left w:w="108" w:type="dxa"/>
              <w:right w:w="108" w:type="dxa"/>
            </w:tcMar>
            <w:vAlign w:val="center"/>
          </w:tcPr>
          <w:p w14:paraId="4AECEC65">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cs="Times New Roman"/>
                <w:color w:val="auto"/>
                <w:sz w:val="21"/>
                <w:szCs w:val="21"/>
                <w:highlight w:val="none"/>
                <w:lang w:val="en-US" w:eastAsia="zh-CN"/>
              </w:rPr>
              <w:t>≥85</w:t>
            </w:r>
          </w:p>
        </w:tc>
      </w:tr>
      <w:tr w14:paraId="76F8B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jc w:val="center"/>
        </w:trPr>
        <w:tc>
          <w:tcPr>
            <w:tcW w:w="628" w:type="pct"/>
            <w:vMerge w:val="continue"/>
            <w:tcMar>
              <w:left w:w="108" w:type="dxa"/>
              <w:right w:w="108" w:type="dxa"/>
            </w:tcMar>
            <w:vAlign w:val="center"/>
          </w:tcPr>
          <w:p w14:paraId="37AEDB24">
            <w:pPr>
              <w:spacing w:line="360" w:lineRule="auto"/>
              <w:jc w:val="center"/>
              <w:rPr>
                <w:rFonts w:hint="default" w:ascii="Times New Roman" w:hAnsi="Times New Roman" w:cs="Times New Roman"/>
                <w:color w:val="auto"/>
                <w:sz w:val="21"/>
                <w:szCs w:val="21"/>
                <w:highlight w:val="none"/>
              </w:rPr>
            </w:pPr>
          </w:p>
        </w:tc>
        <w:tc>
          <w:tcPr>
            <w:tcW w:w="870" w:type="pct"/>
            <w:gridSpan w:val="2"/>
            <w:shd w:val="clear" w:color="auto" w:fill="auto"/>
            <w:tcMar>
              <w:left w:w="108" w:type="dxa"/>
              <w:right w:w="108" w:type="dxa"/>
            </w:tcMar>
            <w:vAlign w:val="center"/>
          </w:tcPr>
          <w:p w14:paraId="41EAEA22">
            <w:pPr>
              <w:spacing w:line="360" w:lineRule="auto"/>
              <w:jc w:val="center"/>
              <w:rPr>
                <w:rFonts w:hint="default"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稀土</w:t>
            </w:r>
            <w:r>
              <w:rPr>
                <w:rFonts w:hint="default" w:ascii="Times New Roman" w:hAnsi="Times New Roman" w:cs="Times New Roman"/>
                <w:color w:val="auto"/>
                <w:sz w:val="21"/>
                <w:szCs w:val="21"/>
                <w:highlight w:val="none"/>
              </w:rPr>
              <w:t>选矿</w:t>
            </w:r>
            <w:r>
              <w:rPr>
                <w:rFonts w:hint="eastAsia" w:cs="Times New Roman"/>
                <w:color w:val="auto"/>
                <w:sz w:val="21"/>
                <w:szCs w:val="21"/>
                <w:highlight w:val="none"/>
                <w:lang w:val="en-US" w:eastAsia="zh-CN"/>
              </w:rPr>
              <w:t>作业</w:t>
            </w:r>
            <w:r>
              <w:rPr>
                <w:rFonts w:hint="default" w:ascii="Times New Roman" w:hAnsi="Times New Roman" w:cs="Times New Roman"/>
                <w:color w:val="auto"/>
                <w:sz w:val="21"/>
                <w:szCs w:val="21"/>
                <w:highlight w:val="none"/>
              </w:rPr>
              <w:t>回收率</w:t>
            </w:r>
          </w:p>
        </w:tc>
        <w:tc>
          <w:tcPr>
            <w:tcW w:w="936" w:type="pct"/>
            <w:shd w:val="clear" w:color="auto" w:fill="auto"/>
            <w:tcMar>
              <w:left w:w="108" w:type="dxa"/>
              <w:right w:w="108" w:type="dxa"/>
            </w:tcMar>
            <w:vAlign w:val="center"/>
          </w:tcPr>
          <w:p w14:paraId="0EE49354">
            <w:pPr>
              <w:spacing w:line="36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稀土精矿REO品位≥40%</w:t>
            </w:r>
          </w:p>
        </w:tc>
        <w:tc>
          <w:tcPr>
            <w:tcW w:w="647" w:type="pct"/>
            <w:tcMar>
              <w:left w:w="108" w:type="dxa"/>
              <w:right w:w="108" w:type="dxa"/>
            </w:tcMar>
            <w:vAlign w:val="center"/>
          </w:tcPr>
          <w:p w14:paraId="72207476">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927" w:type="pct"/>
            <w:tcMar>
              <w:left w:w="108" w:type="dxa"/>
              <w:right w:w="108" w:type="dxa"/>
            </w:tcMar>
            <w:vAlign w:val="center"/>
          </w:tcPr>
          <w:p w14:paraId="72A2CF62">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80</w:t>
            </w:r>
          </w:p>
        </w:tc>
        <w:tc>
          <w:tcPr>
            <w:tcW w:w="990" w:type="pct"/>
            <w:shd w:val="clear" w:color="auto" w:fill="auto"/>
            <w:tcMar>
              <w:left w:w="108" w:type="dxa"/>
              <w:right w:w="108" w:type="dxa"/>
            </w:tcMar>
            <w:vAlign w:val="center"/>
          </w:tcPr>
          <w:p w14:paraId="3394FBEB">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7</w:t>
            </w:r>
            <w:r>
              <w:rPr>
                <w:rFonts w:hint="default" w:ascii="Times New Roman" w:hAnsi="Times New Roman" w:cs="Times New Roman"/>
                <w:color w:val="auto"/>
                <w:sz w:val="21"/>
                <w:szCs w:val="21"/>
                <w:highlight w:val="none"/>
                <w:lang w:val="en-US" w:eastAsia="zh-CN"/>
              </w:rPr>
              <w:t>5</w:t>
            </w:r>
          </w:p>
        </w:tc>
      </w:tr>
      <w:tr w14:paraId="408E0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jc w:val="center"/>
        </w:trPr>
        <w:tc>
          <w:tcPr>
            <w:tcW w:w="628" w:type="pct"/>
            <w:vMerge w:val="continue"/>
            <w:tcMar>
              <w:left w:w="108" w:type="dxa"/>
              <w:right w:w="108" w:type="dxa"/>
            </w:tcMar>
            <w:vAlign w:val="center"/>
          </w:tcPr>
          <w:p w14:paraId="50FD9AC3">
            <w:pPr>
              <w:spacing w:line="360" w:lineRule="auto"/>
              <w:jc w:val="center"/>
              <w:rPr>
                <w:rFonts w:hint="default" w:ascii="Times New Roman" w:hAnsi="Times New Roman" w:eastAsia="宋体" w:cs="Times New Roman"/>
                <w:color w:val="auto"/>
                <w:sz w:val="21"/>
                <w:szCs w:val="21"/>
                <w:highlight w:val="none"/>
                <w:lang w:val="en-US" w:eastAsia="zh-CN"/>
              </w:rPr>
            </w:pPr>
          </w:p>
        </w:tc>
        <w:tc>
          <w:tcPr>
            <w:tcW w:w="870" w:type="pct"/>
            <w:gridSpan w:val="2"/>
            <w:shd w:val="clear" w:color="auto" w:fill="auto"/>
            <w:tcMar>
              <w:left w:w="108" w:type="dxa"/>
              <w:right w:w="108" w:type="dxa"/>
            </w:tcMar>
            <w:vAlign w:val="center"/>
          </w:tcPr>
          <w:p w14:paraId="4C2AF850">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稀土采选</w:t>
            </w:r>
            <w:r>
              <w:rPr>
                <w:rFonts w:hint="eastAsia" w:ascii="Times New Roman" w:hAnsi="Times New Roman" w:cs="Times New Roman"/>
                <w:color w:val="auto"/>
                <w:sz w:val="21"/>
                <w:szCs w:val="21"/>
                <w:highlight w:val="none"/>
                <w:lang w:val="en-US" w:eastAsia="zh-CN"/>
              </w:rPr>
              <w:t>作业</w:t>
            </w:r>
            <w:r>
              <w:rPr>
                <w:rFonts w:hint="default" w:ascii="Times New Roman" w:hAnsi="Times New Roman" w:cs="Times New Roman"/>
                <w:color w:val="auto"/>
                <w:sz w:val="21"/>
                <w:szCs w:val="21"/>
                <w:highlight w:val="none"/>
                <w:lang w:val="en-US" w:eastAsia="zh-CN"/>
              </w:rPr>
              <w:t>综合回收率</w:t>
            </w:r>
          </w:p>
        </w:tc>
        <w:tc>
          <w:tcPr>
            <w:tcW w:w="936" w:type="pct"/>
            <w:shd w:val="clear" w:color="auto" w:fill="auto"/>
            <w:tcMar>
              <w:left w:w="108" w:type="dxa"/>
              <w:right w:w="108" w:type="dxa"/>
            </w:tcMar>
            <w:vAlign w:val="center"/>
          </w:tcPr>
          <w:p w14:paraId="6D47CD79">
            <w:pPr>
              <w:spacing w:line="36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精稀土矿REO品位≥40%</w:t>
            </w:r>
          </w:p>
        </w:tc>
        <w:tc>
          <w:tcPr>
            <w:tcW w:w="647" w:type="pct"/>
            <w:tcMar>
              <w:left w:w="108" w:type="dxa"/>
              <w:right w:w="108" w:type="dxa"/>
            </w:tcMar>
            <w:vAlign w:val="center"/>
          </w:tcPr>
          <w:p w14:paraId="0FE4F6CC">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927" w:type="pct"/>
            <w:tcMar>
              <w:left w:w="108" w:type="dxa"/>
              <w:right w:w="108" w:type="dxa"/>
            </w:tcMar>
            <w:vAlign w:val="center"/>
          </w:tcPr>
          <w:p w14:paraId="2278853C">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≥72</w:t>
            </w:r>
          </w:p>
        </w:tc>
        <w:tc>
          <w:tcPr>
            <w:tcW w:w="990" w:type="pct"/>
            <w:shd w:val="clear" w:color="auto" w:fill="auto"/>
            <w:tcMar>
              <w:left w:w="108" w:type="dxa"/>
              <w:right w:w="108" w:type="dxa"/>
            </w:tcMar>
            <w:vAlign w:val="center"/>
          </w:tcPr>
          <w:p w14:paraId="02DCF946">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cs="Times New Roman"/>
                <w:color w:val="auto"/>
                <w:sz w:val="21"/>
                <w:szCs w:val="21"/>
                <w:highlight w:val="none"/>
                <w:lang w:val="en-US" w:eastAsia="zh-CN"/>
              </w:rPr>
              <w:t>≥55</w:t>
            </w:r>
          </w:p>
        </w:tc>
      </w:tr>
      <w:tr w14:paraId="44879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jc w:val="center"/>
        </w:trPr>
        <w:tc>
          <w:tcPr>
            <w:tcW w:w="628" w:type="pct"/>
            <w:vMerge w:val="continue"/>
            <w:tcMar>
              <w:left w:w="108" w:type="dxa"/>
              <w:right w:w="108" w:type="dxa"/>
            </w:tcMar>
            <w:vAlign w:val="center"/>
          </w:tcPr>
          <w:p w14:paraId="4737DF9C">
            <w:pPr>
              <w:spacing w:line="360" w:lineRule="auto"/>
              <w:jc w:val="center"/>
              <w:rPr>
                <w:rFonts w:hint="default" w:ascii="Times New Roman" w:hAnsi="Times New Roman" w:eastAsia="宋体" w:cs="Times New Roman"/>
                <w:color w:val="auto"/>
                <w:sz w:val="21"/>
                <w:szCs w:val="21"/>
                <w:highlight w:val="none"/>
                <w:lang w:eastAsia="zh-CN"/>
              </w:rPr>
            </w:pPr>
          </w:p>
        </w:tc>
        <w:tc>
          <w:tcPr>
            <w:tcW w:w="1806" w:type="pct"/>
            <w:gridSpan w:val="3"/>
            <w:shd w:val="clear" w:color="auto" w:fill="auto"/>
            <w:tcMar>
              <w:left w:w="108" w:type="dxa"/>
              <w:right w:w="108" w:type="dxa"/>
            </w:tcMar>
            <w:vAlign w:val="center"/>
          </w:tcPr>
          <w:p w14:paraId="6389FA3F">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工业用水重复利用率</w:t>
            </w:r>
          </w:p>
        </w:tc>
        <w:tc>
          <w:tcPr>
            <w:tcW w:w="647" w:type="pct"/>
            <w:tcMar>
              <w:left w:w="108" w:type="dxa"/>
              <w:right w:w="108" w:type="dxa"/>
            </w:tcMar>
            <w:vAlign w:val="center"/>
          </w:tcPr>
          <w:p w14:paraId="7173328D">
            <w:pPr>
              <w:spacing w:line="360" w:lineRule="auto"/>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w:t>
            </w:r>
          </w:p>
        </w:tc>
        <w:tc>
          <w:tcPr>
            <w:tcW w:w="927" w:type="pct"/>
            <w:tcMar>
              <w:left w:w="108" w:type="dxa"/>
              <w:right w:w="108" w:type="dxa"/>
            </w:tcMar>
            <w:vAlign w:val="center"/>
          </w:tcPr>
          <w:p w14:paraId="5F75BF8F">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90</w:t>
            </w:r>
          </w:p>
        </w:tc>
        <w:tc>
          <w:tcPr>
            <w:tcW w:w="990" w:type="pct"/>
            <w:shd w:val="clear" w:color="auto" w:fill="auto"/>
            <w:tcMar>
              <w:left w:w="108" w:type="dxa"/>
              <w:right w:w="108" w:type="dxa"/>
            </w:tcMar>
            <w:vAlign w:val="center"/>
          </w:tcPr>
          <w:p w14:paraId="38A2FA76">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85</w:t>
            </w:r>
          </w:p>
        </w:tc>
      </w:tr>
      <w:tr w14:paraId="33B5A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28" w:type="pct"/>
            <w:tcMar>
              <w:left w:w="108" w:type="dxa"/>
              <w:right w:w="108" w:type="dxa"/>
            </w:tcMar>
            <w:vAlign w:val="center"/>
          </w:tcPr>
          <w:p w14:paraId="193204AC">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能源属性</w:t>
            </w:r>
          </w:p>
        </w:tc>
        <w:tc>
          <w:tcPr>
            <w:tcW w:w="1806" w:type="pct"/>
            <w:gridSpan w:val="3"/>
            <w:shd w:val="clear" w:color="auto" w:fill="auto"/>
            <w:tcMar>
              <w:left w:w="108" w:type="dxa"/>
              <w:right w:w="108" w:type="dxa"/>
            </w:tcMar>
            <w:vAlign w:val="center"/>
          </w:tcPr>
          <w:p w14:paraId="1DD64625">
            <w:pPr>
              <w:spacing w:line="36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单位产品综合能耗</w:t>
            </w:r>
          </w:p>
        </w:tc>
        <w:tc>
          <w:tcPr>
            <w:tcW w:w="647" w:type="pct"/>
            <w:tcMar>
              <w:left w:w="108" w:type="dxa"/>
              <w:right w:w="108" w:type="dxa"/>
            </w:tcMar>
            <w:vAlign w:val="center"/>
          </w:tcPr>
          <w:p w14:paraId="1D8089C0">
            <w:pPr>
              <w:spacing w:line="360" w:lineRule="auto"/>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tce/t</w:t>
            </w:r>
          </w:p>
        </w:tc>
        <w:tc>
          <w:tcPr>
            <w:tcW w:w="927" w:type="pct"/>
            <w:tcMar>
              <w:left w:w="108" w:type="dxa"/>
              <w:right w:w="108" w:type="dxa"/>
            </w:tcMar>
            <w:vAlign w:val="center"/>
          </w:tcPr>
          <w:p w14:paraId="58881C32">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≤0.36</w:t>
            </w:r>
          </w:p>
        </w:tc>
        <w:tc>
          <w:tcPr>
            <w:tcW w:w="990" w:type="pct"/>
            <w:shd w:val="clear" w:color="auto" w:fill="auto"/>
            <w:tcMar>
              <w:left w:w="108" w:type="dxa"/>
              <w:right w:w="108" w:type="dxa"/>
            </w:tcMar>
            <w:vAlign w:val="center"/>
          </w:tcPr>
          <w:p w14:paraId="75784CDA">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cs="Times New Roman"/>
                <w:color w:val="auto"/>
                <w:sz w:val="21"/>
                <w:szCs w:val="21"/>
                <w:highlight w:val="none"/>
                <w:lang w:val="en-US" w:eastAsia="zh-CN"/>
              </w:rPr>
              <w:t>≤0.40</w:t>
            </w:r>
          </w:p>
        </w:tc>
      </w:tr>
      <w:tr w14:paraId="1033A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28" w:type="pct"/>
            <w:vMerge w:val="restart"/>
            <w:tcMar>
              <w:left w:w="108" w:type="dxa"/>
              <w:right w:w="108" w:type="dxa"/>
            </w:tcMar>
            <w:vAlign w:val="center"/>
          </w:tcPr>
          <w:p w14:paraId="05CA6DA9">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环境属性</w:t>
            </w:r>
          </w:p>
        </w:tc>
        <w:tc>
          <w:tcPr>
            <w:tcW w:w="849" w:type="pct"/>
            <w:vMerge w:val="restart"/>
            <w:shd w:val="clear" w:color="auto" w:fill="auto"/>
            <w:tcMar>
              <w:left w:w="108" w:type="dxa"/>
              <w:right w:w="108" w:type="dxa"/>
            </w:tcMar>
            <w:vAlign w:val="center"/>
          </w:tcPr>
          <w:p w14:paraId="09AE511B">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eastAsia" w:cs="Times New Roman"/>
                <w:color w:val="auto"/>
                <w:sz w:val="21"/>
                <w:szCs w:val="21"/>
                <w:highlight w:val="none"/>
                <w:lang w:val="en-US" w:eastAsia="zh-CN"/>
              </w:rPr>
              <w:t>采场附近地下水放射性监测限值</w:t>
            </w:r>
          </w:p>
        </w:tc>
        <w:tc>
          <w:tcPr>
            <w:tcW w:w="957" w:type="pct"/>
            <w:gridSpan w:val="2"/>
            <w:shd w:val="clear" w:color="auto" w:fill="auto"/>
            <w:tcMar>
              <w:left w:w="108" w:type="dxa"/>
              <w:right w:w="108" w:type="dxa"/>
            </w:tcMar>
            <w:vAlign w:val="center"/>
          </w:tcPr>
          <w:p w14:paraId="6C23F3A1">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cs="Times New Roman"/>
                <w:color w:val="auto"/>
                <w:sz w:val="21"/>
                <w:szCs w:val="21"/>
                <w:highlight w:val="none"/>
                <w:lang w:val="en-US" w:eastAsia="zh-CN"/>
              </w:rPr>
              <w:t>总α</w:t>
            </w:r>
          </w:p>
        </w:tc>
        <w:tc>
          <w:tcPr>
            <w:tcW w:w="647" w:type="pct"/>
            <w:shd w:val="clear" w:color="auto" w:fill="auto"/>
            <w:tcMar>
              <w:left w:w="108" w:type="dxa"/>
              <w:right w:w="108" w:type="dxa"/>
            </w:tcMar>
            <w:vAlign w:val="center"/>
          </w:tcPr>
          <w:p w14:paraId="3ADDFE79">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eastAsia" w:cs="Times New Roman"/>
                <w:color w:val="auto"/>
                <w:sz w:val="21"/>
                <w:szCs w:val="21"/>
                <w:highlight w:val="none"/>
                <w:lang w:val="en-US" w:eastAsia="zh-CN"/>
              </w:rPr>
              <w:t>Bq/L</w:t>
            </w:r>
          </w:p>
        </w:tc>
        <w:tc>
          <w:tcPr>
            <w:tcW w:w="927" w:type="pct"/>
            <w:shd w:val="clear" w:color="auto" w:fill="auto"/>
            <w:tcMar>
              <w:left w:w="108" w:type="dxa"/>
              <w:right w:w="108" w:type="dxa"/>
            </w:tcMar>
            <w:vAlign w:val="center"/>
          </w:tcPr>
          <w:p w14:paraId="331B063C">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eastAsia" w:cs="Times New Roman"/>
                <w:color w:val="auto"/>
                <w:sz w:val="21"/>
                <w:szCs w:val="21"/>
                <w:highlight w:val="none"/>
                <w:lang w:val="en-US" w:eastAsia="zh-CN"/>
              </w:rPr>
              <w:t>≤1.0</w:t>
            </w:r>
          </w:p>
        </w:tc>
        <w:tc>
          <w:tcPr>
            <w:tcW w:w="990" w:type="pct"/>
            <w:shd w:val="clear" w:color="auto" w:fill="auto"/>
            <w:tcMar>
              <w:left w:w="108" w:type="dxa"/>
              <w:right w:w="108" w:type="dxa"/>
            </w:tcMar>
            <w:vAlign w:val="center"/>
          </w:tcPr>
          <w:p w14:paraId="7F93BB4B">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eastAsia" w:cs="Times New Roman"/>
                <w:color w:val="auto"/>
                <w:sz w:val="21"/>
                <w:szCs w:val="21"/>
                <w:highlight w:val="none"/>
                <w:lang w:val="en-US" w:eastAsia="zh-CN"/>
              </w:rPr>
              <w:t>≤1.0</w:t>
            </w:r>
          </w:p>
        </w:tc>
      </w:tr>
      <w:tr w14:paraId="2D108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28" w:type="pct"/>
            <w:vMerge w:val="continue"/>
            <w:tcMar>
              <w:left w:w="108" w:type="dxa"/>
              <w:right w:w="108" w:type="dxa"/>
            </w:tcMar>
            <w:vAlign w:val="center"/>
          </w:tcPr>
          <w:p w14:paraId="10B45D6A">
            <w:pPr>
              <w:spacing w:line="360" w:lineRule="auto"/>
              <w:jc w:val="center"/>
              <w:rPr>
                <w:rFonts w:hint="default" w:ascii="Times New Roman" w:hAnsi="Times New Roman" w:cs="Times New Roman"/>
                <w:color w:val="auto"/>
                <w:sz w:val="21"/>
                <w:szCs w:val="21"/>
                <w:highlight w:val="none"/>
                <w:lang w:val="en-US" w:eastAsia="zh-CN"/>
              </w:rPr>
            </w:pPr>
          </w:p>
        </w:tc>
        <w:tc>
          <w:tcPr>
            <w:tcW w:w="849" w:type="pct"/>
            <w:vMerge w:val="continue"/>
            <w:shd w:val="clear" w:color="auto" w:fill="auto"/>
            <w:tcMar>
              <w:left w:w="108" w:type="dxa"/>
              <w:right w:w="108" w:type="dxa"/>
            </w:tcMar>
            <w:vAlign w:val="center"/>
          </w:tcPr>
          <w:p w14:paraId="5EA6DE42">
            <w:pPr>
              <w:spacing w:line="360" w:lineRule="auto"/>
              <w:jc w:val="center"/>
              <w:rPr>
                <w:rFonts w:hint="default" w:ascii="Times New Roman" w:hAnsi="Times New Roman" w:eastAsia="宋体" w:cs="Times New Roman"/>
                <w:color w:val="auto"/>
                <w:sz w:val="21"/>
                <w:szCs w:val="21"/>
                <w:highlight w:val="none"/>
                <w:lang w:val="en-US" w:eastAsia="zh-CN"/>
              </w:rPr>
            </w:pPr>
          </w:p>
        </w:tc>
        <w:tc>
          <w:tcPr>
            <w:tcW w:w="957" w:type="pct"/>
            <w:gridSpan w:val="2"/>
            <w:shd w:val="clear" w:color="auto" w:fill="auto"/>
            <w:tcMar>
              <w:left w:w="108" w:type="dxa"/>
              <w:right w:w="108" w:type="dxa"/>
            </w:tcMar>
            <w:vAlign w:val="center"/>
          </w:tcPr>
          <w:p w14:paraId="116BA7F3">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cs="Times New Roman"/>
                <w:color w:val="auto"/>
                <w:sz w:val="21"/>
                <w:szCs w:val="21"/>
                <w:highlight w:val="none"/>
                <w:lang w:val="en-US" w:eastAsia="zh-CN"/>
              </w:rPr>
              <w:t>总β</w:t>
            </w:r>
          </w:p>
        </w:tc>
        <w:tc>
          <w:tcPr>
            <w:tcW w:w="647" w:type="pct"/>
            <w:shd w:val="clear" w:color="auto" w:fill="auto"/>
            <w:tcMar>
              <w:left w:w="108" w:type="dxa"/>
              <w:right w:w="108" w:type="dxa"/>
            </w:tcMar>
            <w:vAlign w:val="center"/>
          </w:tcPr>
          <w:p w14:paraId="671C97DD">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eastAsia" w:cs="Times New Roman"/>
                <w:color w:val="auto"/>
                <w:sz w:val="21"/>
                <w:szCs w:val="21"/>
                <w:highlight w:val="none"/>
                <w:lang w:val="en-US" w:eastAsia="zh-CN"/>
              </w:rPr>
              <w:t>Bq/L</w:t>
            </w:r>
          </w:p>
        </w:tc>
        <w:tc>
          <w:tcPr>
            <w:tcW w:w="927" w:type="pct"/>
            <w:shd w:val="clear" w:color="auto" w:fill="auto"/>
            <w:tcMar>
              <w:left w:w="108" w:type="dxa"/>
              <w:right w:w="108" w:type="dxa"/>
            </w:tcMar>
            <w:vAlign w:val="center"/>
          </w:tcPr>
          <w:p w14:paraId="13576BEF">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eastAsia" w:cs="Times New Roman"/>
                <w:color w:val="auto"/>
                <w:sz w:val="21"/>
                <w:szCs w:val="21"/>
                <w:highlight w:val="none"/>
                <w:lang w:val="en-US" w:eastAsia="zh-CN"/>
              </w:rPr>
              <w:t>≤10</w:t>
            </w:r>
          </w:p>
        </w:tc>
        <w:tc>
          <w:tcPr>
            <w:tcW w:w="990" w:type="pct"/>
            <w:shd w:val="clear" w:color="auto" w:fill="auto"/>
            <w:tcMar>
              <w:left w:w="108" w:type="dxa"/>
              <w:right w:w="108" w:type="dxa"/>
            </w:tcMar>
            <w:vAlign w:val="center"/>
          </w:tcPr>
          <w:p w14:paraId="00464B2C">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eastAsia" w:cs="Times New Roman"/>
                <w:color w:val="auto"/>
                <w:sz w:val="21"/>
                <w:szCs w:val="21"/>
                <w:highlight w:val="none"/>
                <w:lang w:val="en-US" w:eastAsia="zh-CN"/>
              </w:rPr>
              <w:t>≤10</w:t>
            </w:r>
          </w:p>
        </w:tc>
      </w:tr>
      <w:tr w14:paraId="47521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28" w:type="pct"/>
            <w:vMerge w:val="continue"/>
            <w:tcMar>
              <w:left w:w="108" w:type="dxa"/>
              <w:right w:w="108" w:type="dxa"/>
            </w:tcMar>
            <w:vAlign w:val="center"/>
          </w:tcPr>
          <w:p w14:paraId="7B2E331A">
            <w:pPr>
              <w:spacing w:line="360" w:lineRule="auto"/>
              <w:jc w:val="center"/>
              <w:rPr>
                <w:rFonts w:hint="default" w:ascii="Times New Roman" w:hAnsi="Times New Roman" w:cs="Times New Roman"/>
                <w:color w:val="auto"/>
                <w:sz w:val="21"/>
                <w:szCs w:val="21"/>
                <w:highlight w:val="none"/>
                <w:lang w:val="en-US" w:eastAsia="zh-CN"/>
              </w:rPr>
            </w:pPr>
          </w:p>
        </w:tc>
        <w:tc>
          <w:tcPr>
            <w:tcW w:w="849" w:type="pct"/>
            <w:vMerge w:val="continue"/>
            <w:shd w:val="clear" w:color="auto" w:fill="auto"/>
            <w:tcMar>
              <w:left w:w="108" w:type="dxa"/>
              <w:right w:w="108" w:type="dxa"/>
            </w:tcMar>
            <w:vAlign w:val="center"/>
          </w:tcPr>
          <w:p w14:paraId="38FD0BC8">
            <w:pPr>
              <w:spacing w:line="360" w:lineRule="auto"/>
              <w:jc w:val="center"/>
              <w:rPr>
                <w:rFonts w:hint="default" w:ascii="Times New Roman" w:hAnsi="Times New Roman" w:eastAsia="宋体" w:cs="Times New Roman"/>
                <w:color w:val="auto"/>
                <w:sz w:val="21"/>
                <w:szCs w:val="21"/>
                <w:highlight w:val="none"/>
                <w:lang w:val="en-US" w:eastAsia="zh-CN"/>
              </w:rPr>
            </w:pPr>
          </w:p>
        </w:tc>
        <w:tc>
          <w:tcPr>
            <w:tcW w:w="957" w:type="pct"/>
            <w:gridSpan w:val="2"/>
            <w:shd w:val="clear" w:color="auto" w:fill="auto"/>
            <w:tcMar>
              <w:left w:w="108" w:type="dxa"/>
              <w:right w:w="108" w:type="dxa"/>
            </w:tcMar>
            <w:vAlign w:val="center"/>
          </w:tcPr>
          <w:p w14:paraId="3F4843A3">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eastAsia" w:cs="Times New Roman"/>
                <w:color w:val="auto"/>
                <w:sz w:val="21"/>
                <w:szCs w:val="21"/>
                <w:highlight w:val="none"/>
                <w:lang w:val="en-US" w:eastAsia="zh-CN"/>
              </w:rPr>
              <w:t>Th</w:t>
            </w:r>
          </w:p>
        </w:tc>
        <w:tc>
          <w:tcPr>
            <w:tcW w:w="647" w:type="pct"/>
            <w:shd w:val="clear" w:color="auto" w:fill="auto"/>
            <w:tcMar>
              <w:left w:w="108" w:type="dxa"/>
              <w:right w:w="108" w:type="dxa"/>
            </w:tcMar>
            <w:vAlign w:val="center"/>
          </w:tcPr>
          <w:p w14:paraId="077A07C4">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cs="Times New Roman"/>
                <w:color w:val="auto"/>
                <w:sz w:val="21"/>
                <w:szCs w:val="21"/>
                <w:highlight w:val="none"/>
                <w:lang w:val="en-US" w:eastAsia="zh-CN"/>
              </w:rPr>
              <w:t>μg</w:t>
            </w:r>
            <w:r>
              <w:rPr>
                <w:rFonts w:hint="eastAsia" w:ascii="Times New Roman" w:hAnsi="Times New Roman" w:cs="Times New Roman"/>
                <w:color w:val="auto"/>
                <w:sz w:val="21"/>
                <w:szCs w:val="21"/>
                <w:highlight w:val="none"/>
                <w:lang w:val="en-US" w:eastAsia="zh-CN"/>
              </w:rPr>
              <w:t>/L</w:t>
            </w:r>
          </w:p>
        </w:tc>
        <w:tc>
          <w:tcPr>
            <w:tcW w:w="927" w:type="pct"/>
            <w:shd w:val="clear" w:color="auto" w:fill="auto"/>
            <w:tcMar>
              <w:left w:w="108" w:type="dxa"/>
              <w:right w:w="108" w:type="dxa"/>
            </w:tcMar>
            <w:vAlign w:val="center"/>
          </w:tcPr>
          <w:p w14:paraId="0E50E63A">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eastAsia" w:cs="Times New Roman"/>
                <w:color w:val="auto"/>
                <w:sz w:val="21"/>
                <w:szCs w:val="21"/>
                <w:highlight w:val="none"/>
                <w:lang w:val="en-US" w:eastAsia="zh-CN"/>
              </w:rPr>
              <w:t>≤0.5</w:t>
            </w:r>
          </w:p>
        </w:tc>
        <w:tc>
          <w:tcPr>
            <w:tcW w:w="990" w:type="pct"/>
            <w:shd w:val="clear" w:color="auto" w:fill="auto"/>
            <w:tcMar>
              <w:left w:w="108" w:type="dxa"/>
              <w:right w:w="108" w:type="dxa"/>
            </w:tcMar>
            <w:vAlign w:val="center"/>
          </w:tcPr>
          <w:p w14:paraId="2726A470">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eastAsia" w:cs="Times New Roman"/>
                <w:color w:val="auto"/>
                <w:sz w:val="21"/>
                <w:szCs w:val="21"/>
                <w:highlight w:val="none"/>
                <w:lang w:val="en-US" w:eastAsia="zh-CN"/>
              </w:rPr>
              <w:t>≤1.0</w:t>
            </w:r>
          </w:p>
        </w:tc>
      </w:tr>
      <w:tr w14:paraId="71733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8" w:hRule="atLeast"/>
          <w:jc w:val="center"/>
        </w:trPr>
        <w:tc>
          <w:tcPr>
            <w:tcW w:w="628" w:type="pct"/>
            <w:vMerge w:val="continue"/>
            <w:tcMar>
              <w:left w:w="108" w:type="dxa"/>
              <w:right w:w="108" w:type="dxa"/>
            </w:tcMar>
            <w:vAlign w:val="center"/>
          </w:tcPr>
          <w:p w14:paraId="4C624663">
            <w:pPr>
              <w:spacing w:line="360" w:lineRule="auto"/>
              <w:jc w:val="center"/>
              <w:rPr>
                <w:rFonts w:hint="default" w:ascii="Times New Roman" w:hAnsi="Times New Roman" w:cs="Times New Roman"/>
                <w:color w:val="auto"/>
                <w:sz w:val="21"/>
                <w:szCs w:val="21"/>
                <w:highlight w:val="none"/>
                <w:lang w:val="en-US" w:eastAsia="zh-CN"/>
              </w:rPr>
            </w:pPr>
          </w:p>
        </w:tc>
        <w:tc>
          <w:tcPr>
            <w:tcW w:w="1806" w:type="pct"/>
            <w:gridSpan w:val="3"/>
            <w:shd w:val="clear" w:color="auto" w:fill="auto"/>
            <w:tcMar>
              <w:left w:w="108" w:type="dxa"/>
              <w:right w:w="108" w:type="dxa"/>
            </w:tcMar>
            <w:vAlign w:val="center"/>
          </w:tcPr>
          <w:p w14:paraId="18F7775D">
            <w:pPr>
              <w:spacing w:line="36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尾矿库周围空气氡浓度</w:t>
            </w:r>
          </w:p>
          <w:p w14:paraId="5FCD6767">
            <w:pPr>
              <w:spacing w:line="360" w:lineRule="auto"/>
              <w:jc w:val="center"/>
              <w:rPr>
                <w:rFonts w:hint="default" w:ascii="Times New Roman" w:hAnsi="Times New Roman" w:eastAsia="宋体" w:cs="Times New Roman"/>
                <w:color w:val="auto"/>
                <w:kern w:val="2"/>
                <w:sz w:val="21"/>
                <w:szCs w:val="21"/>
                <w:highlight w:val="yellow"/>
                <w:lang w:val="en-US" w:eastAsia="zh-CN" w:bidi="ar-SA"/>
                <w14:ligatures w14:val="standardContextual"/>
              </w:rPr>
            </w:pPr>
            <w:r>
              <w:rPr>
                <w:rFonts w:hint="eastAsia" w:cs="Times New Roman"/>
                <w:color w:val="auto"/>
                <w:sz w:val="21"/>
                <w:szCs w:val="21"/>
                <w:highlight w:val="none"/>
                <w:lang w:val="en-US" w:eastAsia="zh-CN"/>
              </w:rPr>
              <w:t>监测限值</w:t>
            </w:r>
          </w:p>
        </w:tc>
        <w:tc>
          <w:tcPr>
            <w:tcW w:w="647" w:type="pct"/>
            <w:shd w:val="clear" w:color="auto" w:fill="auto"/>
            <w:tcMar>
              <w:left w:w="108" w:type="dxa"/>
              <w:right w:w="108" w:type="dxa"/>
            </w:tcMar>
            <w:vAlign w:val="center"/>
          </w:tcPr>
          <w:p w14:paraId="545B9EB1">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eastAsia" w:cs="Times New Roman"/>
                <w:color w:val="auto"/>
                <w:sz w:val="21"/>
                <w:szCs w:val="21"/>
                <w:highlight w:val="none"/>
                <w:lang w:val="en-US" w:eastAsia="zh-CN"/>
              </w:rPr>
              <w:t>Bq/m</w:t>
            </w:r>
            <w:r>
              <w:rPr>
                <w:rFonts w:hint="eastAsia" w:cs="Times New Roman"/>
                <w:color w:val="auto"/>
                <w:sz w:val="21"/>
                <w:szCs w:val="21"/>
                <w:highlight w:val="none"/>
                <w:vertAlign w:val="superscript"/>
                <w:lang w:val="en-US" w:eastAsia="zh-CN"/>
              </w:rPr>
              <w:t>3</w:t>
            </w:r>
          </w:p>
        </w:tc>
        <w:tc>
          <w:tcPr>
            <w:tcW w:w="927" w:type="pct"/>
            <w:shd w:val="clear" w:color="auto" w:fill="auto"/>
            <w:tcMar>
              <w:left w:w="108" w:type="dxa"/>
              <w:right w:w="108" w:type="dxa"/>
            </w:tcMar>
            <w:vAlign w:val="center"/>
          </w:tcPr>
          <w:p w14:paraId="6F82C51A">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eastAsia" w:cs="Times New Roman"/>
                <w:color w:val="auto"/>
                <w:sz w:val="21"/>
                <w:szCs w:val="21"/>
                <w:highlight w:val="none"/>
                <w:lang w:val="en-US" w:eastAsia="zh-CN"/>
              </w:rPr>
              <w:t>≤400</w:t>
            </w:r>
          </w:p>
        </w:tc>
        <w:tc>
          <w:tcPr>
            <w:tcW w:w="990" w:type="pct"/>
            <w:shd w:val="clear" w:color="auto" w:fill="auto"/>
            <w:tcMar>
              <w:left w:w="108" w:type="dxa"/>
              <w:right w:w="108" w:type="dxa"/>
            </w:tcMar>
            <w:vAlign w:val="center"/>
          </w:tcPr>
          <w:p w14:paraId="3DCEDEDE">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eastAsia" w:cs="Times New Roman"/>
                <w:color w:val="auto"/>
                <w:sz w:val="21"/>
                <w:szCs w:val="21"/>
                <w:highlight w:val="none"/>
                <w:lang w:val="en-US" w:eastAsia="zh-CN"/>
              </w:rPr>
              <w:t>≤500</w:t>
            </w:r>
          </w:p>
        </w:tc>
      </w:tr>
      <w:tr w14:paraId="2EB92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28" w:type="pct"/>
            <w:vMerge w:val="continue"/>
            <w:tcMar>
              <w:left w:w="108" w:type="dxa"/>
              <w:right w:w="108" w:type="dxa"/>
            </w:tcMar>
            <w:vAlign w:val="center"/>
          </w:tcPr>
          <w:p w14:paraId="6935B4D8">
            <w:pPr>
              <w:spacing w:line="360" w:lineRule="auto"/>
              <w:jc w:val="center"/>
              <w:rPr>
                <w:rFonts w:hint="default" w:ascii="Times New Roman" w:hAnsi="Times New Roman" w:cs="Times New Roman"/>
                <w:color w:val="auto"/>
                <w:sz w:val="21"/>
                <w:szCs w:val="21"/>
                <w:highlight w:val="none"/>
                <w:lang w:val="en-US" w:eastAsia="zh-CN"/>
              </w:rPr>
            </w:pPr>
          </w:p>
        </w:tc>
        <w:tc>
          <w:tcPr>
            <w:tcW w:w="1806" w:type="pct"/>
            <w:gridSpan w:val="3"/>
            <w:shd w:val="clear" w:color="auto" w:fill="auto"/>
            <w:tcMar>
              <w:left w:w="108" w:type="dxa"/>
              <w:right w:w="108" w:type="dxa"/>
            </w:tcMar>
            <w:vAlign w:val="center"/>
          </w:tcPr>
          <w:p w14:paraId="4BF62C6A">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eastAsia" w:cs="Times New Roman"/>
                <w:color w:val="auto"/>
                <w:sz w:val="21"/>
                <w:szCs w:val="21"/>
                <w:highlight w:val="none"/>
                <w:lang w:val="en-US" w:eastAsia="zh-CN"/>
              </w:rPr>
              <w:t>采选作业</w:t>
            </w:r>
            <w:r>
              <w:rPr>
                <w:rFonts w:hint="default" w:ascii="Times New Roman" w:hAnsi="Times New Roman" w:eastAsia="宋体" w:cs="Times New Roman"/>
                <w:color w:val="auto"/>
                <w:sz w:val="21"/>
                <w:szCs w:val="21"/>
                <w:highlight w:val="none"/>
                <w:lang w:val="en-US" w:eastAsia="zh-CN"/>
              </w:rPr>
              <w:t>有组织排放颗粒物</w:t>
            </w:r>
          </w:p>
        </w:tc>
        <w:tc>
          <w:tcPr>
            <w:tcW w:w="647" w:type="pct"/>
            <w:shd w:val="clear" w:color="auto" w:fill="auto"/>
            <w:tcMar>
              <w:left w:w="108" w:type="dxa"/>
              <w:right w:w="108" w:type="dxa"/>
            </w:tcMar>
            <w:vAlign w:val="center"/>
          </w:tcPr>
          <w:p w14:paraId="6A7BDD53">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eastAsia="宋体" w:cs="Times New Roman"/>
                <w:color w:val="auto"/>
                <w:sz w:val="21"/>
                <w:szCs w:val="21"/>
                <w:highlight w:val="none"/>
                <w:lang w:val="en-US" w:eastAsia="zh-CN"/>
              </w:rPr>
              <w:t>mg/m³</w:t>
            </w:r>
          </w:p>
        </w:tc>
        <w:tc>
          <w:tcPr>
            <w:tcW w:w="927" w:type="pct"/>
            <w:shd w:val="clear" w:color="auto" w:fill="auto"/>
            <w:tcMar>
              <w:left w:w="108" w:type="dxa"/>
              <w:right w:w="108" w:type="dxa"/>
            </w:tcMar>
            <w:vAlign w:val="center"/>
          </w:tcPr>
          <w:p w14:paraId="24D3699D">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cs="Times New Roman"/>
                <w:color w:val="auto"/>
                <w:sz w:val="21"/>
                <w:szCs w:val="21"/>
                <w:highlight w:val="none"/>
                <w:lang w:val="en-US" w:eastAsia="zh-CN"/>
              </w:rPr>
              <w:t>≤10</w:t>
            </w:r>
          </w:p>
        </w:tc>
        <w:tc>
          <w:tcPr>
            <w:tcW w:w="990" w:type="pct"/>
            <w:shd w:val="clear" w:color="auto" w:fill="auto"/>
            <w:tcMar>
              <w:left w:w="108" w:type="dxa"/>
              <w:right w:w="108" w:type="dxa"/>
            </w:tcMar>
            <w:vAlign w:val="center"/>
          </w:tcPr>
          <w:p w14:paraId="056CD624">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cs="Times New Roman"/>
                <w:color w:val="auto"/>
                <w:sz w:val="21"/>
                <w:szCs w:val="21"/>
                <w:highlight w:val="none"/>
                <w:lang w:val="en-US" w:eastAsia="zh-CN"/>
              </w:rPr>
              <w:t>≤10</w:t>
            </w:r>
          </w:p>
        </w:tc>
      </w:tr>
      <w:tr w14:paraId="37826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28" w:type="pct"/>
            <w:vMerge w:val="continue"/>
            <w:tcMar>
              <w:left w:w="108" w:type="dxa"/>
              <w:right w:w="108" w:type="dxa"/>
            </w:tcMar>
            <w:vAlign w:val="center"/>
          </w:tcPr>
          <w:p w14:paraId="65F81809">
            <w:pPr>
              <w:spacing w:line="360" w:lineRule="auto"/>
              <w:jc w:val="center"/>
              <w:rPr>
                <w:rFonts w:hint="default" w:ascii="Times New Roman" w:hAnsi="Times New Roman" w:cs="Times New Roman"/>
                <w:color w:val="auto"/>
                <w:sz w:val="21"/>
                <w:szCs w:val="21"/>
                <w:highlight w:val="none"/>
                <w:lang w:val="en-US" w:eastAsia="zh-CN"/>
              </w:rPr>
            </w:pPr>
          </w:p>
        </w:tc>
        <w:tc>
          <w:tcPr>
            <w:tcW w:w="1806" w:type="pct"/>
            <w:gridSpan w:val="3"/>
            <w:shd w:val="clear" w:color="auto" w:fill="auto"/>
            <w:tcMar>
              <w:left w:w="108" w:type="dxa"/>
              <w:right w:w="108" w:type="dxa"/>
            </w:tcMar>
            <w:vAlign w:val="center"/>
          </w:tcPr>
          <w:p w14:paraId="338C6C15">
            <w:pPr>
              <w:spacing w:line="360" w:lineRule="auto"/>
              <w:jc w:val="center"/>
              <w:rPr>
                <w:rFonts w:hint="default" w:ascii="Times New Roman" w:hAnsi="Times New Roman" w:cs="Times New Roman"/>
                <w:color w:val="auto"/>
                <w:kern w:val="0"/>
                <w:sz w:val="21"/>
                <w:szCs w:val="21"/>
                <w:highlight w:val="yellow"/>
                <w:lang w:val="en-US" w:eastAsia="zh-CN" w:bidi="ar"/>
              </w:rPr>
            </w:pPr>
            <w:r>
              <w:rPr>
                <w:rFonts w:hint="default" w:ascii="Times New Roman" w:hAnsi="Times New Roman" w:eastAsia="宋体" w:cs="Times New Roman"/>
                <w:color w:val="auto"/>
                <w:sz w:val="21"/>
                <w:szCs w:val="21"/>
                <w:highlight w:val="none"/>
                <w:lang w:val="en-US" w:eastAsia="zh-CN"/>
              </w:rPr>
              <w:t>厂界无组织颗粒物</w:t>
            </w:r>
          </w:p>
        </w:tc>
        <w:tc>
          <w:tcPr>
            <w:tcW w:w="647" w:type="pct"/>
            <w:shd w:val="clear" w:color="auto" w:fill="auto"/>
            <w:tcMar>
              <w:left w:w="108" w:type="dxa"/>
              <w:right w:w="108" w:type="dxa"/>
            </w:tcMar>
            <w:vAlign w:val="center"/>
          </w:tcPr>
          <w:p w14:paraId="69C31D0B">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eastAsia="宋体" w:cs="Times New Roman"/>
                <w:color w:val="auto"/>
                <w:sz w:val="21"/>
                <w:szCs w:val="21"/>
                <w:highlight w:val="none"/>
                <w:lang w:val="en-US" w:eastAsia="zh-CN"/>
              </w:rPr>
              <w:t>mg/m³</w:t>
            </w:r>
          </w:p>
        </w:tc>
        <w:tc>
          <w:tcPr>
            <w:tcW w:w="927" w:type="pct"/>
            <w:shd w:val="clear" w:color="auto" w:fill="auto"/>
            <w:tcMar>
              <w:left w:w="108" w:type="dxa"/>
              <w:right w:w="108" w:type="dxa"/>
            </w:tcMar>
            <w:vAlign w:val="center"/>
          </w:tcPr>
          <w:p w14:paraId="64DA928E">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1.0</w:t>
            </w:r>
          </w:p>
        </w:tc>
        <w:tc>
          <w:tcPr>
            <w:tcW w:w="990" w:type="pct"/>
            <w:shd w:val="clear" w:color="auto" w:fill="auto"/>
            <w:tcMar>
              <w:left w:w="108" w:type="dxa"/>
              <w:right w:w="108" w:type="dxa"/>
            </w:tcMar>
            <w:vAlign w:val="center"/>
          </w:tcPr>
          <w:p w14:paraId="345E394E">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1.0</w:t>
            </w:r>
          </w:p>
        </w:tc>
      </w:tr>
      <w:tr w14:paraId="59EAE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28" w:type="pct"/>
            <w:vMerge w:val="continue"/>
            <w:tcMar>
              <w:left w:w="108" w:type="dxa"/>
              <w:right w:w="108" w:type="dxa"/>
            </w:tcMar>
            <w:vAlign w:val="center"/>
          </w:tcPr>
          <w:p w14:paraId="03AE23EB">
            <w:pPr>
              <w:spacing w:line="360" w:lineRule="auto"/>
              <w:jc w:val="center"/>
              <w:rPr>
                <w:rFonts w:hint="default" w:ascii="Times New Roman" w:hAnsi="Times New Roman" w:eastAsia="宋体" w:cs="Times New Roman"/>
                <w:color w:val="auto"/>
                <w:sz w:val="21"/>
                <w:szCs w:val="21"/>
                <w:highlight w:val="none"/>
                <w:lang w:val="en-US" w:eastAsia="zh-CN"/>
              </w:rPr>
            </w:pPr>
          </w:p>
        </w:tc>
        <w:tc>
          <w:tcPr>
            <w:tcW w:w="1806" w:type="pct"/>
            <w:gridSpan w:val="3"/>
            <w:shd w:val="clear" w:color="auto" w:fill="auto"/>
            <w:tcMar>
              <w:left w:w="108" w:type="dxa"/>
              <w:right w:w="108" w:type="dxa"/>
            </w:tcMar>
            <w:vAlign w:val="center"/>
          </w:tcPr>
          <w:p w14:paraId="3834D301">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cs="Times New Roman"/>
                <w:color w:val="auto"/>
                <w:sz w:val="21"/>
                <w:szCs w:val="21"/>
                <w:highlight w:val="none"/>
                <w:lang w:val="en-US" w:eastAsia="zh-CN"/>
              </w:rPr>
              <w:t>厂界</w:t>
            </w:r>
            <w:r>
              <w:rPr>
                <w:rFonts w:hint="default" w:ascii="Times New Roman" w:hAnsi="Times New Roman" w:eastAsia="宋体" w:cs="Times New Roman"/>
                <w:color w:val="auto"/>
                <w:sz w:val="21"/>
                <w:szCs w:val="21"/>
                <w:highlight w:val="none"/>
                <w:lang w:val="en-US" w:eastAsia="zh-CN"/>
              </w:rPr>
              <w:t>噪声</w:t>
            </w:r>
          </w:p>
        </w:tc>
        <w:tc>
          <w:tcPr>
            <w:tcW w:w="647" w:type="pct"/>
            <w:shd w:val="clear" w:color="auto" w:fill="auto"/>
            <w:tcMar>
              <w:left w:w="108" w:type="dxa"/>
              <w:right w:w="108" w:type="dxa"/>
            </w:tcMar>
            <w:vAlign w:val="center"/>
          </w:tcPr>
          <w:p w14:paraId="723ED52F">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sz w:val="22"/>
                <w:highlight w:val="none"/>
              </w:rPr>
              <w:t>dB(A)</w:t>
            </w:r>
          </w:p>
        </w:tc>
        <w:tc>
          <w:tcPr>
            <w:tcW w:w="927" w:type="pct"/>
            <w:shd w:val="clear" w:color="auto" w:fill="auto"/>
            <w:tcMar>
              <w:left w:w="108" w:type="dxa"/>
              <w:right w:w="108" w:type="dxa"/>
            </w:tcMar>
            <w:vAlign w:val="center"/>
          </w:tcPr>
          <w:p w14:paraId="0B8A6194">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昼间≤60dB(A)</w:t>
            </w:r>
          </w:p>
          <w:p w14:paraId="07828AC9">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夜间≤50dB(A)</w:t>
            </w:r>
          </w:p>
        </w:tc>
        <w:tc>
          <w:tcPr>
            <w:tcW w:w="990" w:type="pct"/>
            <w:shd w:val="clear" w:color="auto" w:fill="auto"/>
            <w:tcMar>
              <w:left w:w="108" w:type="dxa"/>
              <w:right w:w="108" w:type="dxa"/>
            </w:tcMar>
            <w:vAlign w:val="center"/>
          </w:tcPr>
          <w:p w14:paraId="339282D3">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昼间≤60dB(A)</w:t>
            </w:r>
          </w:p>
          <w:p w14:paraId="196E09D4">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夜间≤50dB(A)</w:t>
            </w:r>
          </w:p>
        </w:tc>
      </w:tr>
      <w:tr w14:paraId="0AC9A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28" w:type="pct"/>
            <w:vMerge w:val="continue"/>
            <w:tcMar>
              <w:left w:w="108" w:type="dxa"/>
              <w:right w:w="108" w:type="dxa"/>
            </w:tcMar>
            <w:vAlign w:val="center"/>
          </w:tcPr>
          <w:p w14:paraId="6B5E664D">
            <w:pPr>
              <w:spacing w:line="360" w:lineRule="auto"/>
              <w:jc w:val="center"/>
              <w:rPr>
                <w:rFonts w:hint="default" w:ascii="Times New Roman" w:hAnsi="Times New Roman" w:eastAsia="宋体" w:cs="Times New Roman"/>
                <w:color w:val="auto"/>
                <w:sz w:val="21"/>
                <w:szCs w:val="21"/>
                <w:highlight w:val="none"/>
                <w:lang w:val="en-US" w:eastAsia="zh-CN"/>
              </w:rPr>
            </w:pPr>
          </w:p>
        </w:tc>
        <w:tc>
          <w:tcPr>
            <w:tcW w:w="1806" w:type="pct"/>
            <w:gridSpan w:val="3"/>
            <w:shd w:val="clear" w:color="auto" w:fill="auto"/>
            <w:tcMar>
              <w:left w:w="108" w:type="dxa"/>
              <w:right w:w="108" w:type="dxa"/>
            </w:tcMar>
            <w:vAlign w:val="center"/>
          </w:tcPr>
          <w:p w14:paraId="28E2338A">
            <w:pPr>
              <w:spacing w:line="360" w:lineRule="auto"/>
              <w:jc w:val="center"/>
              <w:rPr>
                <w:rFonts w:hint="default" w:ascii="Times New Roman" w:hAnsi="Times New Roman" w:cs="Times New Roman"/>
                <w:color w:val="auto"/>
                <w:sz w:val="21"/>
                <w:szCs w:val="21"/>
                <w:highlight w:val="yellow"/>
                <w:lang w:val="en-US" w:eastAsia="zh-CN"/>
              </w:rPr>
            </w:pPr>
            <w:r>
              <w:rPr>
                <w:rFonts w:hint="default" w:ascii="Times New Roman" w:hAnsi="Times New Roman" w:cs="Times New Roman"/>
                <w:color w:val="auto"/>
                <w:sz w:val="21"/>
                <w:szCs w:val="21"/>
                <w:highlight w:val="none"/>
                <w:lang w:val="en-US" w:eastAsia="zh-CN"/>
              </w:rPr>
              <w:t>矿区</w:t>
            </w:r>
            <w:r>
              <w:rPr>
                <w:rFonts w:hint="eastAsia" w:cs="Times New Roman"/>
                <w:color w:val="auto"/>
                <w:sz w:val="21"/>
                <w:szCs w:val="21"/>
                <w:highlight w:val="none"/>
                <w:lang w:val="en-US" w:eastAsia="zh-CN"/>
              </w:rPr>
              <w:t>可绿化面积</w:t>
            </w:r>
            <w:r>
              <w:rPr>
                <w:rFonts w:hint="default" w:ascii="Times New Roman" w:hAnsi="Times New Roman" w:cs="Times New Roman"/>
                <w:color w:val="auto"/>
                <w:sz w:val="21"/>
                <w:szCs w:val="21"/>
                <w:highlight w:val="none"/>
                <w:lang w:val="en-US" w:eastAsia="zh-CN"/>
              </w:rPr>
              <w:t>绿化覆盖率</w:t>
            </w:r>
          </w:p>
        </w:tc>
        <w:tc>
          <w:tcPr>
            <w:tcW w:w="647" w:type="pct"/>
            <w:shd w:val="clear" w:color="auto" w:fill="auto"/>
            <w:tcMar>
              <w:left w:w="108" w:type="dxa"/>
              <w:right w:w="108" w:type="dxa"/>
            </w:tcMar>
            <w:vAlign w:val="center"/>
          </w:tcPr>
          <w:p w14:paraId="32FF0DB3">
            <w:pPr>
              <w:spacing w:line="360" w:lineRule="auto"/>
              <w:jc w:val="center"/>
              <w:rPr>
                <w:rFonts w:hint="default" w:ascii="Times New Roman" w:hAnsi="Times New Roman" w:cs="Times New Roman"/>
                <w:color w:val="auto"/>
                <w:sz w:val="21"/>
                <w:szCs w:val="21"/>
                <w:highlight w:val="yellow"/>
                <w:lang w:val="en-US" w:eastAsia="zh-CN"/>
              </w:rPr>
            </w:pPr>
            <w:r>
              <w:rPr>
                <w:rFonts w:hint="default" w:ascii="Times New Roman" w:hAnsi="Times New Roman" w:eastAsia="宋体" w:cs="Times New Roman"/>
                <w:color w:val="auto"/>
                <w:sz w:val="21"/>
                <w:szCs w:val="21"/>
                <w:highlight w:val="none"/>
                <w:lang w:val="en-US" w:eastAsia="zh-CN"/>
              </w:rPr>
              <w:t>%</w:t>
            </w:r>
          </w:p>
        </w:tc>
        <w:tc>
          <w:tcPr>
            <w:tcW w:w="927" w:type="pct"/>
            <w:shd w:val="clear" w:color="auto" w:fill="auto"/>
            <w:tcMar>
              <w:left w:w="108" w:type="dxa"/>
              <w:right w:w="108" w:type="dxa"/>
            </w:tcMar>
            <w:vAlign w:val="center"/>
          </w:tcPr>
          <w:p w14:paraId="4EF70B39">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2"/>
                <w:highlight w:val="none"/>
                <w:lang w:val="en-US" w:eastAsia="zh-CN"/>
              </w:rPr>
              <w:t>100</w:t>
            </w:r>
          </w:p>
        </w:tc>
        <w:tc>
          <w:tcPr>
            <w:tcW w:w="990" w:type="pct"/>
            <w:shd w:val="clear" w:color="auto" w:fill="auto"/>
            <w:tcMar>
              <w:left w:w="108" w:type="dxa"/>
              <w:right w:w="108" w:type="dxa"/>
            </w:tcMar>
            <w:vAlign w:val="center"/>
          </w:tcPr>
          <w:p w14:paraId="2A9A765F">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2"/>
                <w:highlight w:val="none"/>
                <w:lang w:val="en-US" w:eastAsia="zh-CN"/>
              </w:rPr>
              <w:t>100</w:t>
            </w:r>
          </w:p>
        </w:tc>
      </w:tr>
      <w:tr w14:paraId="5DB17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28" w:type="pct"/>
            <w:vMerge w:val="restart"/>
            <w:tcMar>
              <w:left w:w="108" w:type="dxa"/>
              <w:right w:w="108" w:type="dxa"/>
            </w:tcMar>
            <w:vAlign w:val="center"/>
          </w:tcPr>
          <w:p w14:paraId="728EC855">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产品属性</w:t>
            </w:r>
          </w:p>
        </w:tc>
        <w:tc>
          <w:tcPr>
            <w:tcW w:w="1806" w:type="pct"/>
            <w:gridSpan w:val="3"/>
            <w:shd w:val="clear" w:color="auto" w:fill="auto"/>
            <w:tcMar>
              <w:left w:w="108" w:type="dxa"/>
              <w:right w:w="108" w:type="dxa"/>
            </w:tcMar>
            <w:vAlign w:val="center"/>
          </w:tcPr>
          <w:p w14:paraId="793265D8">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稀土</w:t>
            </w:r>
            <w:r>
              <w:rPr>
                <w:rFonts w:hint="default" w:ascii="Times New Roman" w:hAnsi="Times New Roman" w:eastAsia="宋体" w:cs="Times New Roman"/>
                <w:color w:val="auto"/>
                <w:sz w:val="21"/>
                <w:szCs w:val="21"/>
                <w:highlight w:val="none"/>
                <w:lang w:val="en-US" w:eastAsia="zh-CN"/>
              </w:rPr>
              <w:t>精矿品位</w:t>
            </w:r>
            <w:r>
              <w:rPr>
                <w:rFonts w:hint="default" w:ascii="Times New Roman" w:hAnsi="Times New Roman" w:cs="Times New Roman"/>
                <w:color w:val="auto"/>
                <w:sz w:val="21"/>
                <w:szCs w:val="21"/>
                <w:highlight w:val="none"/>
                <w:lang w:val="en-US" w:eastAsia="zh-CN"/>
              </w:rPr>
              <w:t>（REO）</w:t>
            </w:r>
          </w:p>
        </w:tc>
        <w:tc>
          <w:tcPr>
            <w:tcW w:w="647" w:type="pct"/>
            <w:vMerge w:val="restart"/>
            <w:tcMar>
              <w:left w:w="108" w:type="dxa"/>
              <w:right w:w="108" w:type="dxa"/>
            </w:tcMar>
            <w:vAlign w:val="center"/>
          </w:tcPr>
          <w:p w14:paraId="12EBD813">
            <w:pPr>
              <w:spacing w:line="360" w:lineRule="auto"/>
              <w:jc w:val="center"/>
              <w:rPr>
                <w:rFonts w:hint="default" w:ascii="Times New Roman" w:hAnsi="Times New Roman" w:cs="Times New Roman"/>
                <w:color w:val="auto"/>
                <w:sz w:val="21"/>
                <w:szCs w:val="21"/>
                <w:highlight w:val="yellow"/>
                <w:lang w:val="en-US" w:eastAsia="zh-CN"/>
              </w:rPr>
            </w:pPr>
            <w:r>
              <w:rPr>
                <w:rFonts w:hint="default" w:ascii="Times New Roman" w:hAnsi="Times New Roman" w:eastAsia="宋体" w:cs="Times New Roman"/>
                <w:color w:val="auto"/>
                <w:sz w:val="21"/>
                <w:szCs w:val="21"/>
                <w:highlight w:val="none"/>
                <w:lang w:val="en-US" w:eastAsia="zh-CN"/>
              </w:rPr>
              <w:t>%</w:t>
            </w:r>
          </w:p>
        </w:tc>
        <w:tc>
          <w:tcPr>
            <w:tcW w:w="927" w:type="pct"/>
            <w:tcMar>
              <w:left w:w="108" w:type="dxa"/>
              <w:right w:w="108" w:type="dxa"/>
            </w:tcMar>
            <w:vAlign w:val="center"/>
          </w:tcPr>
          <w:p w14:paraId="5DB1277A">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w:t>
            </w:r>
            <w:r>
              <w:rPr>
                <w:rFonts w:hint="eastAsia" w:cs="Times New Roman"/>
                <w:color w:val="auto"/>
                <w:sz w:val="21"/>
                <w:szCs w:val="21"/>
                <w:highlight w:val="none"/>
                <w:lang w:val="en-US" w:eastAsia="zh-CN"/>
              </w:rPr>
              <w:t>0</w:t>
            </w:r>
          </w:p>
        </w:tc>
        <w:tc>
          <w:tcPr>
            <w:tcW w:w="990" w:type="pct"/>
            <w:shd w:val="clear" w:color="auto" w:fill="auto"/>
            <w:tcMar>
              <w:left w:w="108" w:type="dxa"/>
              <w:right w:w="108" w:type="dxa"/>
            </w:tcMar>
            <w:vAlign w:val="center"/>
          </w:tcPr>
          <w:p w14:paraId="3E527BCA">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40</w:t>
            </w:r>
          </w:p>
        </w:tc>
      </w:tr>
      <w:tr w14:paraId="69EAE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28" w:type="pct"/>
            <w:vMerge w:val="continue"/>
            <w:tcMar>
              <w:left w:w="108" w:type="dxa"/>
              <w:right w:w="108" w:type="dxa"/>
            </w:tcMar>
            <w:vAlign w:val="center"/>
          </w:tcPr>
          <w:p w14:paraId="1D0C6EA2">
            <w:pPr>
              <w:spacing w:line="360" w:lineRule="auto"/>
              <w:jc w:val="center"/>
              <w:rPr>
                <w:rFonts w:hint="default" w:ascii="Times New Roman" w:hAnsi="Times New Roman" w:cs="Times New Roman"/>
                <w:color w:val="auto"/>
                <w:sz w:val="21"/>
                <w:szCs w:val="21"/>
                <w:highlight w:val="none"/>
                <w:lang w:val="en-US" w:eastAsia="zh-CN"/>
              </w:rPr>
            </w:pPr>
          </w:p>
        </w:tc>
        <w:tc>
          <w:tcPr>
            <w:tcW w:w="1806" w:type="pct"/>
            <w:gridSpan w:val="3"/>
            <w:shd w:val="clear" w:color="auto" w:fill="auto"/>
            <w:tcMar>
              <w:left w:w="108" w:type="dxa"/>
              <w:right w:w="108" w:type="dxa"/>
            </w:tcMar>
            <w:vAlign w:val="center"/>
          </w:tcPr>
          <w:p w14:paraId="61CE1BB8">
            <w:pPr>
              <w:spacing w:line="360" w:lineRule="auto"/>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合格率</w:t>
            </w:r>
          </w:p>
        </w:tc>
        <w:tc>
          <w:tcPr>
            <w:tcW w:w="647" w:type="pct"/>
            <w:vMerge w:val="continue"/>
            <w:tcMar>
              <w:left w:w="108" w:type="dxa"/>
              <w:right w:w="108" w:type="dxa"/>
            </w:tcMar>
            <w:vAlign w:val="center"/>
          </w:tcPr>
          <w:p w14:paraId="21AA2C50">
            <w:pPr>
              <w:spacing w:line="360" w:lineRule="auto"/>
              <w:jc w:val="center"/>
              <w:rPr>
                <w:rFonts w:hint="default" w:ascii="Times New Roman" w:hAnsi="Times New Roman" w:cs="Times New Roman"/>
                <w:color w:val="auto"/>
                <w:sz w:val="21"/>
                <w:szCs w:val="21"/>
                <w:highlight w:val="none"/>
                <w:lang w:val="en-US" w:eastAsia="zh-CN"/>
              </w:rPr>
            </w:pPr>
          </w:p>
        </w:tc>
        <w:tc>
          <w:tcPr>
            <w:tcW w:w="927" w:type="pct"/>
            <w:tcMar>
              <w:left w:w="108" w:type="dxa"/>
              <w:right w:w="108" w:type="dxa"/>
            </w:tcMar>
            <w:vAlign w:val="center"/>
          </w:tcPr>
          <w:p w14:paraId="1E058EC6">
            <w:pPr>
              <w:spacing w:line="360" w:lineRule="auto"/>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≥95</w:t>
            </w:r>
          </w:p>
        </w:tc>
        <w:tc>
          <w:tcPr>
            <w:tcW w:w="990" w:type="pct"/>
            <w:shd w:val="clear" w:color="auto" w:fill="auto"/>
            <w:tcMar>
              <w:left w:w="108" w:type="dxa"/>
              <w:right w:w="108" w:type="dxa"/>
            </w:tcMar>
            <w:vAlign w:val="center"/>
          </w:tcPr>
          <w:p w14:paraId="1BB87FEE">
            <w:pPr>
              <w:spacing w:line="360" w:lineRule="auto"/>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≥90</w:t>
            </w:r>
          </w:p>
        </w:tc>
      </w:tr>
    </w:tbl>
    <w:p w14:paraId="05818005">
      <w:pPr>
        <w:keepNext w:val="0"/>
        <w:keepLines w:val="0"/>
        <w:pageBreakBefore w:val="0"/>
        <w:widowControl/>
        <w:kinsoku/>
        <w:wordWrap/>
        <w:overflowPunct/>
        <w:topLinePunct w:val="0"/>
        <w:autoSpaceDE/>
        <w:autoSpaceDN/>
        <w:bidi w:val="0"/>
        <w:adjustRightInd w:val="0"/>
        <w:snapToGrid/>
        <w:spacing w:line="360" w:lineRule="exact"/>
        <w:ind w:firstLine="420" w:firstLineChars="200"/>
        <w:textAlignment w:val="auto"/>
        <w:outlineLvl w:val="2"/>
        <w:rPr>
          <w:rFonts w:hint="eastAsia" w:ascii="Times New Roman" w:hAnsi="Times New Roman" w:cs="Times New Roman"/>
          <w:sz w:val="21"/>
          <w:szCs w:val="21"/>
          <w:highlight w:val="none"/>
          <w:lang w:val="en-US" w:eastAsia="zh-CN"/>
        </w:rPr>
      </w:pPr>
      <w:r>
        <w:rPr>
          <w:rFonts w:hint="eastAsia" w:ascii="Times New Roman" w:hAnsi="Times New Roman" w:cs="Times New Roman"/>
          <w:sz w:val="21"/>
          <w:szCs w:val="21"/>
          <w:highlight w:val="none"/>
          <w:lang w:val="en-US" w:eastAsia="zh-CN"/>
        </w:rPr>
        <w:t>注：</w:t>
      </w:r>
    </w:p>
    <w:p w14:paraId="49AC079F">
      <w:pPr>
        <w:keepNext w:val="0"/>
        <w:keepLines w:val="0"/>
        <w:pageBreakBefore w:val="0"/>
        <w:widowControl/>
        <w:kinsoku/>
        <w:wordWrap/>
        <w:overflowPunct/>
        <w:topLinePunct w:val="0"/>
        <w:autoSpaceDE/>
        <w:autoSpaceDN/>
        <w:bidi w:val="0"/>
        <w:adjustRightInd w:val="0"/>
        <w:snapToGrid/>
        <w:spacing w:line="360" w:lineRule="exact"/>
        <w:ind w:firstLine="420" w:firstLineChars="200"/>
        <w:textAlignment w:val="auto"/>
        <w:outlineLvl w:val="2"/>
        <w:rPr>
          <w:rFonts w:hint="eastAsia" w:ascii="Times New Roman" w:hAnsi="Times New Roman" w:cs="Times New Roman"/>
          <w:sz w:val="21"/>
          <w:szCs w:val="21"/>
          <w:highlight w:val="none"/>
          <w:lang w:val="en-US" w:eastAsia="zh-CN"/>
        </w:rPr>
      </w:pPr>
      <w:r>
        <w:rPr>
          <w:rFonts w:hint="eastAsia" w:cs="Times New Roman"/>
          <w:sz w:val="21"/>
          <w:szCs w:val="21"/>
          <w:highlight w:val="none"/>
          <w:lang w:val="en-US" w:eastAsia="zh-CN"/>
        </w:rPr>
        <w:t>1.</w:t>
      </w:r>
      <w:r>
        <w:rPr>
          <w:rFonts w:hint="eastAsia" w:ascii="Times New Roman" w:hAnsi="Times New Roman" w:cs="Times New Roman"/>
          <w:sz w:val="21"/>
          <w:szCs w:val="21"/>
          <w:highlight w:val="none"/>
          <w:lang w:val="en-US" w:eastAsia="zh-CN"/>
        </w:rPr>
        <w:t>对于矿物组成以碳酸铈钠矿</w:t>
      </w:r>
      <w:r>
        <w:rPr>
          <w:rFonts w:hint="eastAsia" w:cs="Times New Roman"/>
          <w:sz w:val="21"/>
          <w:szCs w:val="21"/>
          <w:highlight w:val="none"/>
          <w:lang w:val="en-US" w:eastAsia="zh-CN"/>
        </w:rPr>
        <w:t>等</w:t>
      </w:r>
      <w:r>
        <w:rPr>
          <w:rFonts w:hint="eastAsia" w:ascii="Times New Roman" w:hAnsi="Times New Roman" w:cs="Times New Roman"/>
          <w:sz w:val="21"/>
          <w:szCs w:val="21"/>
          <w:highlight w:val="none"/>
          <w:lang w:val="en-US" w:eastAsia="zh-CN"/>
        </w:rPr>
        <w:t>为</w:t>
      </w:r>
      <w:r>
        <w:rPr>
          <w:rFonts w:hint="eastAsia" w:cs="Times New Roman"/>
          <w:sz w:val="21"/>
          <w:szCs w:val="21"/>
          <w:highlight w:val="none"/>
          <w:lang w:val="en-US" w:eastAsia="zh-CN"/>
        </w:rPr>
        <w:t>主的新类型难选矿石，</w:t>
      </w:r>
      <w:r>
        <w:rPr>
          <w:rFonts w:hint="eastAsia" w:ascii="Times New Roman" w:hAnsi="Times New Roman" w:cs="Times New Roman"/>
          <w:sz w:val="21"/>
          <w:szCs w:val="21"/>
          <w:highlight w:val="none"/>
          <w:lang w:val="en-US" w:eastAsia="zh-CN"/>
        </w:rPr>
        <w:t>其</w:t>
      </w:r>
      <w:r>
        <w:rPr>
          <w:rFonts w:hint="eastAsia" w:cs="Times New Roman"/>
          <w:sz w:val="21"/>
          <w:szCs w:val="21"/>
          <w:highlight w:val="none"/>
          <w:lang w:val="en-US" w:eastAsia="zh-CN"/>
        </w:rPr>
        <w:t>相关</w:t>
      </w:r>
      <w:r>
        <w:rPr>
          <w:rFonts w:hint="eastAsia" w:ascii="Times New Roman" w:hAnsi="Times New Roman" w:cs="Times New Roman"/>
          <w:sz w:val="21"/>
          <w:szCs w:val="21"/>
          <w:highlight w:val="none"/>
          <w:lang w:val="en-US" w:eastAsia="zh-CN"/>
        </w:rPr>
        <w:t>指标可根据实际矿石可选性试验结果适当调整。</w:t>
      </w:r>
    </w:p>
    <w:p w14:paraId="35F90F76">
      <w:pPr>
        <w:keepNext w:val="0"/>
        <w:keepLines w:val="0"/>
        <w:pageBreakBefore w:val="0"/>
        <w:widowControl/>
        <w:kinsoku/>
        <w:wordWrap/>
        <w:overflowPunct/>
        <w:topLinePunct w:val="0"/>
        <w:autoSpaceDE/>
        <w:autoSpaceDN/>
        <w:bidi w:val="0"/>
        <w:adjustRightInd w:val="0"/>
        <w:snapToGrid/>
        <w:spacing w:line="360" w:lineRule="exact"/>
        <w:ind w:firstLine="420" w:firstLineChars="200"/>
        <w:textAlignment w:val="auto"/>
        <w:outlineLvl w:val="2"/>
        <w:rPr>
          <w:rFonts w:hint="eastAsia" w:cs="Times New Roman"/>
          <w:sz w:val="21"/>
          <w:szCs w:val="21"/>
          <w:highlight w:val="none"/>
          <w:lang w:val="en-US" w:eastAsia="zh-CN"/>
        </w:rPr>
      </w:pPr>
      <w:r>
        <w:rPr>
          <w:rFonts w:hint="eastAsia" w:cs="Times New Roman"/>
          <w:sz w:val="21"/>
          <w:szCs w:val="21"/>
          <w:highlight w:val="none"/>
          <w:lang w:val="en-US" w:eastAsia="zh-CN"/>
        </w:rPr>
        <w:t>2.矿区环境本底值高于评价标准限值时，环境属性相关指标可按矿区所在区域环境本底值或地方生态环境主管部门确认的标准执行。</w:t>
      </w:r>
    </w:p>
    <w:p w14:paraId="5FFE3F90">
      <w:pPr>
        <w:keepNext w:val="0"/>
        <w:keepLines w:val="0"/>
        <w:pageBreakBefore w:val="0"/>
        <w:widowControl/>
        <w:kinsoku/>
        <w:wordWrap/>
        <w:overflowPunct/>
        <w:topLinePunct w:val="0"/>
        <w:autoSpaceDE/>
        <w:autoSpaceDN/>
        <w:bidi w:val="0"/>
        <w:adjustRightInd w:val="0"/>
        <w:snapToGrid/>
        <w:spacing w:line="360" w:lineRule="exact"/>
        <w:ind w:firstLine="420" w:firstLineChars="200"/>
        <w:textAlignment w:val="auto"/>
        <w:outlineLvl w:val="2"/>
        <w:rPr>
          <w:rFonts w:hint="default" w:cs="Times New Roman"/>
          <w:sz w:val="21"/>
          <w:szCs w:val="21"/>
          <w:highlight w:val="none"/>
          <w:lang w:val="en-US" w:eastAsia="zh-CN"/>
        </w:rPr>
      </w:pPr>
    </w:p>
    <w:p w14:paraId="7C17A93C">
      <w:pPr>
        <w:keepNext w:val="0"/>
        <w:keepLines w:val="0"/>
        <w:pageBreakBefore w:val="0"/>
        <w:widowControl/>
        <w:kinsoku/>
        <w:wordWrap/>
        <w:overflowPunct/>
        <w:topLinePunct w:val="0"/>
        <w:autoSpaceDE/>
        <w:autoSpaceDN/>
        <w:bidi w:val="0"/>
        <w:adjustRightInd w:val="0"/>
        <w:snapToGrid/>
        <w:spacing w:line="360" w:lineRule="exact"/>
        <w:ind w:firstLine="420" w:firstLineChars="200"/>
        <w:textAlignment w:val="auto"/>
        <w:outlineLvl w:val="2"/>
        <w:rPr>
          <w:rFonts w:hint="default" w:ascii="Times New Roman" w:hAnsi="Times New Roman" w:cs="Times New Roman"/>
          <w:sz w:val="21"/>
          <w:szCs w:val="21"/>
          <w:highlight w:val="none"/>
          <w:lang w:val="en-US" w:eastAsia="zh-CN"/>
        </w:rPr>
        <w:sectPr>
          <w:pgSz w:w="11906" w:h="16838"/>
          <w:pgMar w:top="1440" w:right="1800" w:bottom="1440" w:left="1800" w:header="851" w:footer="992" w:gutter="0"/>
          <w:cols w:space="425" w:num="1"/>
          <w:docGrid w:type="lines" w:linePitch="312" w:charSpace="0"/>
        </w:sectPr>
      </w:pPr>
    </w:p>
    <w:p w14:paraId="7EAF8C31">
      <w:pPr>
        <w:pStyle w:val="13"/>
        <w:spacing w:before="156" w:beforeLines="50" w:after="156" w:afterLines="50"/>
        <w:jc w:val="center"/>
        <w:rPr>
          <w:rFonts w:hint="default" w:ascii="Times New Roman" w:hAnsi="Times New Roman" w:eastAsia="黑体" w:cs="Times New Roman"/>
          <w:color w:val="auto"/>
          <w:kern w:val="0"/>
          <w:sz w:val="21"/>
          <w:szCs w:val="21"/>
          <w:highlight w:val="none"/>
          <w:lang w:val="en-US" w:eastAsia="zh-CN" w:bidi="ar"/>
        </w:rPr>
      </w:pPr>
      <w:r>
        <w:rPr>
          <w:rFonts w:hint="default" w:ascii="Times New Roman" w:hAnsi="Times New Roman" w:eastAsia="黑体" w:cs="Times New Roman"/>
          <w:color w:val="auto"/>
          <w:kern w:val="0"/>
          <w:sz w:val="21"/>
          <w:szCs w:val="21"/>
          <w:highlight w:val="none"/>
          <w:lang w:val="en-US" w:eastAsia="zh-CN" w:bidi="ar"/>
        </w:rPr>
        <w:t>表</w:t>
      </w:r>
      <w:r>
        <w:rPr>
          <w:rFonts w:hint="eastAsia" w:eastAsia="黑体" w:cs="Times New Roman"/>
          <w:color w:val="auto"/>
          <w:kern w:val="0"/>
          <w:sz w:val="21"/>
          <w:szCs w:val="21"/>
          <w:highlight w:val="none"/>
          <w:lang w:val="en-US" w:eastAsia="zh-CN" w:bidi="ar"/>
        </w:rPr>
        <w:t xml:space="preserve">3  </w:t>
      </w:r>
      <w:r>
        <w:rPr>
          <w:rFonts w:hint="default" w:ascii="Times New Roman" w:hAnsi="Times New Roman" w:eastAsia="黑体" w:cs="Times New Roman"/>
          <w:color w:val="auto"/>
          <w:kern w:val="0"/>
          <w:sz w:val="21"/>
          <w:szCs w:val="21"/>
          <w:highlight w:val="none"/>
          <w:lang w:val="en-US" w:eastAsia="zh-CN" w:bidi="ar"/>
        </w:rPr>
        <w:t>氟碳铈矿—独居石混合型开采指标要求</w:t>
      </w:r>
      <w:bookmarkStart w:id="17" w:name="_GoBack"/>
      <w:bookmarkEnd w:id="17"/>
    </w:p>
    <w:tbl>
      <w:tblPr>
        <w:tblStyle w:val="37"/>
        <w:tblpPr w:leftFromText="180" w:rightFromText="180" w:vertAnchor="text" w:horzAnchor="page" w:tblpX="1971" w:tblpY="167"/>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558"/>
        <w:gridCol w:w="1277"/>
        <w:gridCol w:w="145"/>
        <w:gridCol w:w="1421"/>
        <w:gridCol w:w="1130"/>
        <w:gridCol w:w="1514"/>
        <w:gridCol w:w="1474"/>
      </w:tblGrid>
      <w:tr w14:paraId="57442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5" w:hRule="atLeast"/>
        </w:trPr>
        <w:tc>
          <w:tcPr>
            <w:tcW w:w="914" w:type="pct"/>
            <w:tcMar>
              <w:left w:w="108" w:type="dxa"/>
              <w:right w:w="108" w:type="dxa"/>
            </w:tcMar>
            <w:vAlign w:val="center"/>
          </w:tcPr>
          <w:p w14:paraId="7D6E4AE1">
            <w:pPr>
              <w:spacing w:line="360" w:lineRule="auto"/>
              <w:jc w:val="center"/>
              <w:rPr>
                <w:rFonts w:hint="default" w:ascii="Times New Roman" w:hAnsi="Times New Roman" w:eastAsia="宋体" w:cs="Times New Roman"/>
                <w:b/>
                <w:color w:val="auto"/>
                <w:sz w:val="21"/>
                <w:szCs w:val="21"/>
                <w:highlight w:val="none"/>
                <w:lang w:eastAsia="zh-CN"/>
              </w:rPr>
            </w:pPr>
            <w:r>
              <w:rPr>
                <w:rFonts w:hint="default" w:ascii="Times New Roman" w:hAnsi="Times New Roman" w:eastAsia="宋体" w:cs="Times New Roman"/>
                <w:b/>
                <w:color w:val="auto"/>
                <w:sz w:val="21"/>
                <w:szCs w:val="21"/>
                <w:highlight w:val="none"/>
                <w:lang w:val="en-US" w:eastAsia="zh-CN"/>
              </w:rPr>
              <w:t>一级指标</w:t>
            </w:r>
          </w:p>
        </w:tc>
        <w:tc>
          <w:tcPr>
            <w:tcW w:w="1668" w:type="pct"/>
            <w:gridSpan w:val="3"/>
            <w:tcMar>
              <w:left w:w="108" w:type="dxa"/>
              <w:right w:w="108" w:type="dxa"/>
            </w:tcMar>
            <w:vAlign w:val="center"/>
          </w:tcPr>
          <w:p w14:paraId="4333D79F">
            <w:pPr>
              <w:spacing w:line="360" w:lineRule="auto"/>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lang w:val="en-US" w:eastAsia="zh-CN"/>
              </w:rPr>
              <w:t>二级</w:t>
            </w:r>
            <w:r>
              <w:rPr>
                <w:rFonts w:hint="default" w:ascii="Times New Roman" w:hAnsi="Times New Roman" w:eastAsia="宋体" w:cs="Times New Roman"/>
                <w:b/>
                <w:color w:val="auto"/>
                <w:sz w:val="21"/>
                <w:szCs w:val="21"/>
                <w:highlight w:val="none"/>
              </w:rPr>
              <w:t>指标</w:t>
            </w:r>
          </w:p>
        </w:tc>
        <w:tc>
          <w:tcPr>
            <w:tcW w:w="663" w:type="pct"/>
            <w:tcMar>
              <w:left w:w="108" w:type="dxa"/>
              <w:right w:w="108" w:type="dxa"/>
            </w:tcMar>
            <w:vAlign w:val="center"/>
          </w:tcPr>
          <w:p w14:paraId="460496DD">
            <w:pPr>
              <w:spacing w:line="360" w:lineRule="auto"/>
              <w:jc w:val="center"/>
              <w:rPr>
                <w:rFonts w:hint="default" w:ascii="Times New Roman" w:hAnsi="Times New Roman"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指标单位</w:t>
            </w:r>
          </w:p>
        </w:tc>
        <w:tc>
          <w:tcPr>
            <w:tcW w:w="888" w:type="pct"/>
            <w:tcMar>
              <w:left w:w="108" w:type="dxa"/>
              <w:right w:w="108" w:type="dxa"/>
            </w:tcMar>
            <w:vAlign w:val="center"/>
          </w:tcPr>
          <w:p w14:paraId="4140F15E">
            <w:pPr>
              <w:spacing w:line="360" w:lineRule="auto"/>
              <w:jc w:val="center"/>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A级</w:t>
            </w:r>
          </w:p>
        </w:tc>
        <w:tc>
          <w:tcPr>
            <w:tcW w:w="865" w:type="pct"/>
            <w:tcMar>
              <w:left w:w="108" w:type="dxa"/>
              <w:right w:w="108" w:type="dxa"/>
            </w:tcMar>
            <w:vAlign w:val="center"/>
          </w:tcPr>
          <w:p w14:paraId="4AA3EC2A">
            <w:pPr>
              <w:spacing w:line="360" w:lineRule="auto"/>
              <w:jc w:val="center"/>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B级</w:t>
            </w:r>
          </w:p>
        </w:tc>
      </w:tr>
      <w:tr w14:paraId="49B5F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3" w:hRule="atLeast"/>
        </w:trPr>
        <w:tc>
          <w:tcPr>
            <w:tcW w:w="914" w:type="pct"/>
            <w:vMerge w:val="restart"/>
            <w:tcMar>
              <w:left w:w="108" w:type="dxa"/>
              <w:right w:w="108" w:type="dxa"/>
            </w:tcMar>
            <w:vAlign w:val="center"/>
          </w:tcPr>
          <w:p w14:paraId="5236C681">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资源属性</w:t>
            </w:r>
          </w:p>
        </w:tc>
        <w:tc>
          <w:tcPr>
            <w:tcW w:w="1668" w:type="pct"/>
            <w:gridSpan w:val="3"/>
            <w:tcMar>
              <w:left w:w="108" w:type="dxa"/>
              <w:right w:w="108" w:type="dxa"/>
            </w:tcMar>
            <w:vAlign w:val="center"/>
          </w:tcPr>
          <w:p w14:paraId="21241FB2">
            <w:pPr>
              <w:spacing w:line="360" w:lineRule="auto"/>
              <w:jc w:val="center"/>
              <w:rPr>
                <w:rFonts w:hint="eastAsia"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稀土</w:t>
            </w:r>
            <w:r>
              <w:rPr>
                <w:rFonts w:hint="default" w:ascii="Times New Roman" w:hAnsi="Times New Roman" w:eastAsia="宋体" w:cs="Times New Roman"/>
                <w:color w:val="auto"/>
                <w:sz w:val="21"/>
                <w:szCs w:val="21"/>
                <w:highlight w:val="none"/>
              </w:rPr>
              <w:t>开采回采率</w:t>
            </w: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露天</w:t>
            </w:r>
            <w:r>
              <w:rPr>
                <w:rFonts w:hint="eastAsia" w:cs="Times New Roman"/>
                <w:color w:val="auto"/>
                <w:sz w:val="21"/>
                <w:szCs w:val="21"/>
                <w:highlight w:val="none"/>
                <w:lang w:eastAsia="zh-CN"/>
              </w:rPr>
              <w:t>）</w:t>
            </w:r>
          </w:p>
        </w:tc>
        <w:tc>
          <w:tcPr>
            <w:tcW w:w="663" w:type="pct"/>
            <w:tcMar>
              <w:left w:w="108" w:type="dxa"/>
              <w:right w:w="108" w:type="dxa"/>
            </w:tcMar>
            <w:vAlign w:val="center"/>
          </w:tcPr>
          <w:p w14:paraId="6C35202F">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888" w:type="pct"/>
            <w:tcMar>
              <w:left w:w="108" w:type="dxa"/>
              <w:right w:w="108" w:type="dxa"/>
            </w:tcMar>
            <w:vAlign w:val="center"/>
          </w:tcPr>
          <w:p w14:paraId="46EB60AF">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≥98</w:t>
            </w:r>
          </w:p>
        </w:tc>
        <w:tc>
          <w:tcPr>
            <w:tcW w:w="865" w:type="pct"/>
            <w:tcMar>
              <w:left w:w="108" w:type="dxa"/>
              <w:right w:w="108" w:type="dxa"/>
            </w:tcMar>
            <w:vAlign w:val="center"/>
          </w:tcPr>
          <w:p w14:paraId="473EF4D7">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≥95</w:t>
            </w:r>
          </w:p>
        </w:tc>
      </w:tr>
      <w:tr w14:paraId="67AA8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2" w:hRule="atLeast"/>
        </w:trPr>
        <w:tc>
          <w:tcPr>
            <w:tcW w:w="914" w:type="pct"/>
            <w:vMerge w:val="continue"/>
            <w:tcMar>
              <w:left w:w="108" w:type="dxa"/>
              <w:right w:w="108" w:type="dxa"/>
            </w:tcMar>
            <w:vAlign w:val="center"/>
          </w:tcPr>
          <w:p w14:paraId="090595F1">
            <w:pPr>
              <w:spacing w:line="360" w:lineRule="auto"/>
              <w:jc w:val="center"/>
              <w:rPr>
                <w:rFonts w:hint="default" w:ascii="Times New Roman" w:hAnsi="Times New Roman" w:eastAsia="宋体" w:cs="Times New Roman"/>
                <w:color w:val="auto"/>
                <w:sz w:val="21"/>
                <w:szCs w:val="21"/>
                <w:highlight w:val="none"/>
              </w:rPr>
            </w:pPr>
          </w:p>
        </w:tc>
        <w:tc>
          <w:tcPr>
            <w:tcW w:w="749" w:type="pct"/>
            <w:vMerge w:val="restart"/>
            <w:shd w:val="clear" w:color="auto" w:fill="auto"/>
            <w:tcMar>
              <w:left w:w="108" w:type="dxa"/>
              <w:right w:w="108" w:type="dxa"/>
            </w:tcMar>
            <w:vAlign w:val="center"/>
          </w:tcPr>
          <w:p w14:paraId="1B21EA1F">
            <w:pPr>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lang w:val="en-US" w:eastAsia="zh-CN"/>
              </w:rPr>
              <w:t>稀土</w:t>
            </w:r>
            <w:r>
              <w:rPr>
                <w:rFonts w:hint="default" w:ascii="Times New Roman" w:hAnsi="Times New Roman" w:eastAsia="宋体" w:cs="Times New Roman"/>
                <w:color w:val="auto"/>
                <w:sz w:val="21"/>
                <w:szCs w:val="21"/>
                <w:highlight w:val="none"/>
              </w:rPr>
              <w:t>选矿</w:t>
            </w:r>
            <w:r>
              <w:rPr>
                <w:rFonts w:hint="eastAsia" w:cs="Times New Roman"/>
                <w:color w:val="auto"/>
                <w:sz w:val="21"/>
                <w:szCs w:val="21"/>
                <w:highlight w:val="none"/>
                <w:lang w:val="en-US" w:eastAsia="zh-CN"/>
              </w:rPr>
              <w:t>作业</w:t>
            </w:r>
            <w:r>
              <w:rPr>
                <w:rFonts w:hint="default" w:ascii="Times New Roman" w:hAnsi="Times New Roman" w:eastAsia="宋体" w:cs="Times New Roman"/>
                <w:color w:val="auto"/>
                <w:sz w:val="21"/>
                <w:szCs w:val="21"/>
                <w:highlight w:val="none"/>
              </w:rPr>
              <w:t>回收率</w:t>
            </w:r>
          </w:p>
        </w:tc>
        <w:tc>
          <w:tcPr>
            <w:tcW w:w="919" w:type="pct"/>
            <w:gridSpan w:val="2"/>
            <w:shd w:val="clear" w:color="auto" w:fill="auto"/>
            <w:tcMar>
              <w:left w:w="108" w:type="dxa"/>
              <w:right w:w="108" w:type="dxa"/>
            </w:tcMar>
            <w:vAlign w:val="center"/>
          </w:tcPr>
          <w:p w14:paraId="0A9B31C0">
            <w:pPr>
              <w:spacing w:line="360" w:lineRule="auto"/>
              <w:jc w:val="center"/>
              <w:rPr>
                <w:rFonts w:hint="default" w:ascii="Times New Roman" w:hAnsi="Times New Roman" w:eastAsia="宋体" w:cs="Times New Roman"/>
                <w:color w:val="auto"/>
                <w:sz w:val="21"/>
                <w:szCs w:val="21"/>
                <w:highlight w:val="none"/>
                <w:lang w:val="en-US"/>
              </w:rPr>
            </w:pPr>
            <w:r>
              <w:rPr>
                <w:rFonts w:hint="eastAsia" w:cs="Times New Roman"/>
                <w:color w:val="auto"/>
                <w:sz w:val="21"/>
                <w:szCs w:val="21"/>
                <w:highlight w:val="none"/>
                <w:lang w:val="en-US" w:eastAsia="zh-CN"/>
              </w:rPr>
              <w:t>稀土精矿REO品位≥50%</w:t>
            </w:r>
          </w:p>
        </w:tc>
        <w:tc>
          <w:tcPr>
            <w:tcW w:w="663" w:type="pct"/>
            <w:tcMar>
              <w:left w:w="108" w:type="dxa"/>
              <w:right w:w="108" w:type="dxa"/>
            </w:tcMar>
            <w:vAlign w:val="center"/>
          </w:tcPr>
          <w:p w14:paraId="5F5005D7">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888" w:type="pct"/>
            <w:tcMar>
              <w:left w:w="108" w:type="dxa"/>
              <w:right w:w="108" w:type="dxa"/>
            </w:tcMar>
            <w:vAlign w:val="center"/>
          </w:tcPr>
          <w:p w14:paraId="7F371924">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≥52</w:t>
            </w:r>
          </w:p>
        </w:tc>
        <w:tc>
          <w:tcPr>
            <w:tcW w:w="865" w:type="pct"/>
            <w:tcMar>
              <w:left w:w="108" w:type="dxa"/>
              <w:right w:w="108" w:type="dxa"/>
            </w:tcMar>
            <w:vAlign w:val="center"/>
          </w:tcPr>
          <w:p w14:paraId="13765895">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≥50</w:t>
            </w:r>
          </w:p>
        </w:tc>
      </w:tr>
      <w:tr w14:paraId="66B31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2" w:hRule="atLeast"/>
        </w:trPr>
        <w:tc>
          <w:tcPr>
            <w:tcW w:w="914" w:type="pct"/>
            <w:vMerge w:val="continue"/>
            <w:tcMar>
              <w:left w:w="108" w:type="dxa"/>
              <w:right w:w="108" w:type="dxa"/>
            </w:tcMar>
            <w:vAlign w:val="center"/>
          </w:tcPr>
          <w:p w14:paraId="18B482F1">
            <w:pPr>
              <w:spacing w:line="360" w:lineRule="auto"/>
              <w:jc w:val="center"/>
              <w:rPr>
                <w:rFonts w:hint="default" w:ascii="Times New Roman" w:hAnsi="Times New Roman" w:eastAsia="宋体" w:cs="Times New Roman"/>
                <w:color w:val="auto"/>
                <w:sz w:val="21"/>
                <w:szCs w:val="21"/>
                <w:highlight w:val="none"/>
              </w:rPr>
            </w:pPr>
          </w:p>
        </w:tc>
        <w:tc>
          <w:tcPr>
            <w:tcW w:w="749" w:type="pct"/>
            <w:vMerge w:val="continue"/>
            <w:shd w:val="clear" w:color="auto" w:fill="auto"/>
            <w:tcMar>
              <w:left w:w="108" w:type="dxa"/>
              <w:right w:w="108" w:type="dxa"/>
            </w:tcMar>
            <w:vAlign w:val="center"/>
          </w:tcPr>
          <w:p w14:paraId="3239AB32">
            <w:pPr>
              <w:spacing w:line="360" w:lineRule="auto"/>
              <w:jc w:val="center"/>
              <w:rPr>
                <w:rFonts w:hint="default" w:ascii="Times New Roman" w:hAnsi="Times New Roman" w:eastAsia="宋体" w:cs="Times New Roman"/>
                <w:color w:val="auto"/>
                <w:sz w:val="21"/>
                <w:szCs w:val="21"/>
                <w:highlight w:val="none"/>
              </w:rPr>
            </w:pPr>
          </w:p>
        </w:tc>
        <w:tc>
          <w:tcPr>
            <w:tcW w:w="919" w:type="pct"/>
            <w:gridSpan w:val="2"/>
            <w:shd w:val="clear" w:color="auto" w:fill="auto"/>
            <w:tcMar>
              <w:left w:w="108" w:type="dxa"/>
              <w:right w:w="108" w:type="dxa"/>
            </w:tcMar>
            <w:vAlign w:val="center"/>
          </w:tcPr>
          <w:p w14:paraId="3133741C">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eastAsia" w:cs="Times New Roman"/>
                <w:color w:val="auto"/>
                <w:sz w:val="21"/>
                <w:szCs w:val="21"/>
                <w:highlight w:val="none"/>
                <w:lang w:val="en-US" w:eastAsia="zh-CN"/>
              </w:rPr>
              <w:t>稀土精矿REO品位≥58%</w:t>
            </w:r>
          </w:p>
        </w:tc>
        <w:tc>
          <w:tcPr>
            <w:tcW w:w="663" w:type="pct"/>
            <w:tcMar>
              <w:left w:w="108" w:type="dxa"/>
              <w:right w:w="108" w:type="dxa"/>
            </w:tcMar>
            <w:vAlign w:val="center"/>
          </w:tcPr>
          <w:p w14:paraId="08A7B530">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888" w:type="pct"/>
            <w:tcMar>
              <w:left w:w="108" w:type="dxa"/>
              <w:right w:w="108" w:type="dxa"/>
            </w:tcMar>
            <w:vAlign w:val="center"/>
          </w:tcPr>
          <w:p w14:paraId="69DD51D2">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≥40</w:t>
            </w:r>
          </w:p>
        </w:tc>
        <w:tc>
          <w:tcPr>
            <w:tcW w:w="865" w:type="pct"/>
            <w:tcMar>
              <w:left w:w="108" w:type="dxa"/>
              <w:right w:w="108" w:type="dxa"/>
            </w:tcMar>
            <w:vAlign w:val="center"/>
          </w:tcPr>
          <w:p w14:paraId="17E5B151">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≥38</w:t>
            </w:r>
          </w:p>
        </w:tc>
      </w:tr>
      <w:tr w14:paraId="566D4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trPr>
        <w:tc>
          <w:tcPr>
            <w:tcW w:w="914" w:type="pct"/>
            <w:vMerge w:val="continue"/>
            <w:tcMar>
              <w:left w:w="108" w:type="dxa"/>
              <w:right w:w="108" w:type="dxa"/>
            </w:tcMar>
            <w:vAlign w:val="center"/>
          </w:tcPr>
          <w:p w14:paraId="0092AB55">
            <w:pPr>
              <w:spacing w:line="360" w:lineRule="auto"/>
              <w:jc w:val="center"/>
              <w:rPr>
                <w:rFonts w:hint="default" w:ascii="Times New Roman" w:hAnsi="Times New Roman" w:eastAsia="宋体" w:cs="Times New Roman"/>
                <w:color w:val="auto"/>
                <w:sz w:val="21"/>
                <w:szCs w:val="21"/>
                <w:highlight w:val="none"/>
                <w:lang w:val="en-US" w:eastAsia="zh-CN"/>
              </w:rPr>
            </w:pPr>
          </w:p>
        </w:tc>
        <w:tc>
          <w:tcPr>
            <w:tcW w:w="749" w:type="pct"/>
            <w:vMerge w:val="restart"/>
            <w:shd w:val="clear" w:color="auto" w:fill="auto"/>
            <w:tcMar>
              <w:left w:w="108" w:type="dxa"/>
              <w:right w:w="108" w:type="dxa"/>
            </w:tcMar>
            <w:vAlign w:val="center"/>
          </w:tcPr>
          <w:p w14:paraId="18DCA0B5">
            <w:pPr>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lang w:val="en-US" w:eastAsia="zh-CN"/>
              </w:rPr>
              <w:t>稀土采选作业</w:t>
            </w:r>
            <w:r>
              <w:rPr>
                <w:rFonts w:hint="default" w:ascii="Times New Roman" w:hAnsi="Times New Roman" w:eastAsia="宋体" w:cs="Times New Roman"/>
                <w:color w:val="auto"/>
                <w:sz w:val="21"/>
                <w:szCs w:val="21"/>
                <w:highlight w:val="none"/>
              </w:rPr>
              <w:t>综合</w:t>
            </w:r>
            <w:r>
              <w:rPr>
                <w:rFonts w:hint="default" w:ascii="Times New Roman" w:hAnsi="Times New Roman" w:cs="Times New Roman"/>
                <w:color w:val="auto"/>
                <w:sz w:val="21"/>
                <w:szCs w:val="21"/>
                <w:highlight w:val="none"/>
                <w:lang w:val="en-US" w:eastAsia="zh-CN"/>
              </w:rPr>
              <w:t>回收</w:t>
            </w:r>
            <w:r>
              <w:rPr>
                <w:rFonts w:hint="default" w:ascii="Times New Roman" w:hAnsi="Times New Roman" w:eastAsia="宋体" w:cs="Times New Roman"/>
                <w:color w:val="auto"/>
                <w:sz w:val="21"/>
                <w:szCs w:val="21"/>
                <w:highlight w:val="none"/>
              </w:rPr>
              <w:t>率</w:t>
            </w:r>
          </w:p>
        </w:tc>
        <w:tc>
          <w:tcPr>
            <w:tcW w:w="919" w:type="pct"/>
            <w:gridSpan w:val="2"/>
            <w:shd w:val="clear" w:color="auto" w:fill="auto"/>
            <w:tcMar>
              <w:left w:w="108" w:type="dxa"/>
              <w:right w:w="108" w:type="dxa"/>
            </w:tcMar>
            <w:vAlign w:val="center"/>
          </w:tcPr>
          <w:p w14:paraId="206B051B">
            <w:pPr>
              <w:spacing w:line="360" w:lineRule="auto"/>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稀土精矿REO品位≥50%</w:t>
            </w:r>
          </w:p>
        </w:tc>
        <w:tc>
          <w:tcPr>
            <w:tcW w:w="663" w:type="pct"/>
            <w:tcMar>
              <w:left w:w="108" w:type="dxa"/>
              <w:right w:w="108" w:type="dxa"/>
            </w:tcMar>
            <w:vAlign w:val="center"/>
          </w:tcPr>
          <w:p w14:paraId="050637A3">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888" w:type="pct"/>
            <w:tcMar>
              <w:left w:w="108" w:type="dxa"/>
              <w:right w:w="108" w:type="dxa"/>
            </w:tcMar>
            <w:vAlign w:val="center"/>
          </w:tcPr>
          <w:p w14:paraId="0B10FEED">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50</w:t>
            </w:r>
          </w:p>
        </w:tc>
        <w:tc>
          <w:tcPr>
            <w:tcW w:w="865" w:type="pct"/>
            <w:shd w:val="clear" w:color="auto" w:fill="auto"/>
            <w:tcMar>
              <w:left w:w="108" w:type="dxa"/>
              <w:right w:w="108" w:type="dxa"/>
            </w:tcMar>
            <w:vAlign w:val="center"/>
          </w:tcPr>
          <w:p w14:paraId="136B5EC2">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48</w:t>
            </w:r>
          </w:p>
        </w:tc>
      </w:tr>
      <w:tr w14:paraId="26EFA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trPr>
        <w:tc>
          <w:tcPr>
            <w:tcW w:w="914" w:type="pct"/>
            <w:vMerge w:val="continue"/>
            <w:tcMar>
              <w:left w:w="108" w:type="dxa"/>
              <w:right w:w="108" w:type="dxa"/>
            </w:tcMar>
            <w:vAlign w:val="center"/>
          </w:tcPr>
          <w:p w14:paraId="6DC7733E">
            <w:pPr>
              <w:spacing w:line="360" w:lineRule="auto"/>
              <w:jc w:val="center"/>
              <w:rPr>
                <w:rFonts w:hint="default" w:ascii="Times New Roman" w:hAnsi="Times New Roman" w:eastAsia="宋体" w:cs="Times New Roman"/>
                <w:color w:val="auto"/>
                <w:sz w:val="21"/>
                <w:szCs w:val="21"/>
                <w:highlight w:val="none"/>
                <w:lang w:val="en-US" w:eastAsia="zh-CN"/>
              </w:rPr>
            </w:pPr>
          </w:p>
        </w:tc>
        <w:tc>
          <w:tcPr>
            <w:tcW w:w="749" w:type="pct"/>
            <w:vMerge w:val="continue"/>
            <w:shd w:val="clear" w:color="auto" w:fill="auto"/>
            <w:tcMar>
              <w:left w:w="108" w:type="dxa"/>
              <w:right w:w="108" w:type="dxa"/>
            </w:tcMar>
            <w:vAlign w:val="center"/>
          </w:tcPr>
          <w:p w14:paraId="11F7A10F">
            <w:pPr>
              <w:spacing w:line="360" w:lineRule="auto"/>
              <w:jc w:val="center"/>
              <w:rPr>
                <w:rFonts w:hint="default" w:ascii="Times New Roman" w:hAnsi="Times New Roman" w:eastAsia="宋体" w:cs="Times New Roman"/>
                <w:color w:val="auto"/>
                <w:sz w:val="21"/>
                <w:szCs w:val="21"/>
                <w:highlight w:val="none"/>
              </w:rPr>
            </w:pPr>
          </w:p>
        </w:tc>
        <w:tc>
          <w:tcPr>
            <w:tcW w:w="919" w:type="pct"/>
            <w:gridSpan w:val="2"/>
            <w:shd w:val="clear" w:color="auto" w:fill="auto"/>
            <w:tcMar>
              <w:left w:w="108" w:type="dxa"/>
              <w:right w:w="108" w:type="dxa"/>
            </w:tcMar>
            <w:vAlign w:val="center"/>
          </w:tcPr>
          <w:p w14:paraId="2A558E63">
            <w:pPr>
              <w:spacing w:line="360" w:lineRule="auto"/>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稀土精矿REO品位≥58%</w:t>
            </w:r>
          </w:p>
        </w:tc>
        <w:tc>
          <w:tcPr>
            <w:tcW w:w="663" w:type="pct"/>
            <w:tcMar>
              <w:left w:w="108" w:type="dxa"/>
              <w:right w:w="108" w:type="dxa"/>
            </w:tcMar>
            <w:vAlign w:val="center"/>
          </w:tcPr>
          <w:p w14:paraId="42490DE7">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888" w:type="pct"/>
            <w:tcMar>
              <w:left w:w="108" w:type="dxa"/>
              <w:right w:w="108" w:type="dxa"/>
            </w:tcMar>
            <w:vAlign w:val="center"/>
          </w:tcPr>
          <w:p w14:paraId="5363785E">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39</w:t>
            </w:r>
          </w:p>
        </w:tc>
        <w:tc>
          <w:tcPr>
            <w:tcW w:w="865" w:type="pct"/>
            <w:shd w:val="clear" w:color="auto" w:fill="auto"/>
            <w:tcMar>
              <w:left w:w="108" w:type="dxa"/>
              <w:right w:w="108" w:type="dxa"/>
            </w:tcMar>
            <w:vAlign w:val="center"/>
          </w:tcPr>
          <w:p w14:paraId="17389F04">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36</w:t>
            </w:r>
          </w:p>
        </w:tc>
      </w:tr>
      <w:tr w14:paraId="5B8CE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trPr>
        <w:tc>
          <w:tcPr>
            <w:tcW w:w="914" w:type="pct"/>
            <w:vMerge w:val="continue"/>
            <w:tcMar>
              <w:left w:w="108" w:type="dxa"/>
              <w:right w:w="108" w:type="dxa"/>
            </w:tcMar>
            <w:vAlign w:val="center"/>
          </w:tcPr>
          <w:p w14:paraId="7212E95E">
            <w:pPr>
              <w:spacing w:line="360" w:lineRule="auto"/>
              <w:jc w:val="center"/>
              <w:rPr>
                <w:rFonts w:hint="default" w:ascii="Times New Roman" w:hAnsi="Times New Roman" w:eastAsia="宋体" w:cs="Times New Roman"/>
                <w:color w:val="auto"/>
                <w:sz w:val="21"/>
                <w:szCs w:val="21"/>
                <w:highlight w:val="none"/>
                <w:lang w:eastAsia="zh-CN"/>
              </w:rPr>
            </w:pPr>
          </w:p>
        </w:tc>
        <w:tc>
          <w:tcPr>
            <w:tcW w:w="1668" w:type="pct"/>
            <w:gridSpan w:val="3"/>
            <w:shd w:val="clear" w:color="auto" w:fill="auto"/>
            <w:tcMar>
              <w:left w:w="108" w:type="dxa"/>
              <w:right w:w="108" w:type="dxa"/>
            </w:tcMar>
            <w:vAlign w:val="center"/>
          </w:tcPr>
          <w:p w14:paraId="28971585">
            <w:pPr>
              <w:spacing w:line="36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工业用水重复利用率</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eastAsia="zh-CN"/>
              </w:rPr>
              <w:t>）</w:t>
            </w:r>
          </w:p>
        </w:tc>
        <w:tc>
          <w:tcPr>
            <w:tcW w:w="663" w:type="pct"/>
            <w:tcMar>
              <w:left w:w="108" w:type="dxa"/>
              <w:right w:w="108" w:type="dxa"/>
            </w:tcMar>
            <w:vAlign w:val="center"/>
          </w:tcPr>
          <w:p w14:paraId="589B24A3">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888" w:type="pct"/>
            <w:tcMar>
              <w:left w:w="108" w:type="dxa"/>
              <w:right w:w="108" w:type="dxa"/>
            </w:tcMar>
            <w:vAlign w:val="center"/>
          </w:tcPr>
          <w:p w14:paraId="242BB013">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90</w:t>
            </w:r>
          </w:p>
        </w:tc>
        <w:tc>
          <w:tcPr>
            <w:tcW w:w="865" w:type="pct"/>
            <w:tcMar>
              <w:left w:w="108" w:type="dxa"/>
              <w:right w:w="108" w:type="dxa"/>
            </w:tcMar>
            <w:vAlign w:val="center"/>
          </w:tcPr>
          <w:p w14:paraId="0777ABAA">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≥85</w:t>
            </w:r>
          </w:p>
        </w:tc>
      </w:tr>
      <w:tr w14:paraId="03095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914" w:type="pct"/>
            <w:tcMar>
              <w:left w:w="108" w:type="dxa"/>
              <w:right w:w="108" w:type="dxa"/>
            </w:tcMar>
            <w:vAlign w:val="center"/>
          </w:tcPr>
          <w:p w14:paraId="6571F80B">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能源属性</w:t>
            </w:r>
          </w:p>
        </w:tc>
        <w:tc>
          <w:tcPr>
            <w:tcW w:w="1668" w:type="pct"/>
            <w:gridSpan w:val="3"/>
            <w:shd w:val="clear" w:color="auto" w:fill="auto"/>
            <w:tcMar>
              <w:left w:w="108" w:type="dxa"/>
              <w:right w:w="108" w:type="dxa"/>
            </w:tcMar>
            <w:vAlign w:val="center"/>
          </w:tcPr>
          <w:p w14:paraId="3F9E044C">
            <w:pPr>
              <w:spacing w:line="36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单位产品综合能耗</w:t>
            </w:r>
          </w:p>
        </w:tc>
        <w:tc>
          <w:tcPr>
            <w:tcW w:w="663" w:type="pct"/>
            <w:tcMar>
              <w:left w:w="108" w:type="dxa"/>
              <w:right w:w="108" w:type="dxa"/>
            </w:tcMar>
            <w:vAlign w:val="center"/>
          </w:tcPr>
          <w:p w14:paraId="779C9F73">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tce/t</w:t>
            </w:r>
          </w:p>
        </w:tc>
        <w:tc>
          <w:tcPr>
            <w:tcW w:w="888" w:type="pct"/>
            <w:tcMar>
              <w:left w:w="108" w:type="dxa"/>
              <w:right w:w="108" w:type="dxa"/>
            </w:tcMar>
            <w:vAlign w:val="center"/>
          </w:tcPr>
          <w:p w14:paraId="0BE2C6BA">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≤0.1</w:t>
            </w:r>
            <w:r>
              <w:rPr>
                <w:rFonts w:hint="default" w:ascii="Times New Roman" w:hAnsi="Times New Roman" w:cs="Times New Roman"/>
                <w:color w:val="auto"/>
                <w:sz w:val="21"/>
                <w:szCs w:val="21"/>
                <w:highlight w:val="none"/>
                <w:lang w:val="en-US" w:eastAsia="zh-CN"/>
              </w:rPr>
              <w:t>9</w:t>
            </w:r>
          </w:p>
        </w:tc>
        <w:tc>
          <w:tcPr>
            <w:tcW w:w="865" w:type="pct"/>
            <w:tcMar>
              <w:left w:w="108" w:type="dxa"/>
              <w:right w:w="108" w:type="dxa"/>
            </w:tcMar>
            <w:vAlign w:val="center"/>
          </w:tcPr>
          <w:p w14:paraId="4F62D348">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w:t>
            </w:r>
            <w:r>
              <w:rPr>
                <w:rFonts w:hint="default" w:ascii="Times New Roman" w:hAnsi="Times New Roman" w:cs="Times New Roman"/>
                <w:color w:val="auto"/>
                <w:sz w:val="21"/>
                <w:szCs w:val="21"/>
                <w:highlight w:val="none"/>
                <w:lang w:val="en-US" w:eastAsia="zh-CN"/>
              </w:rPr>
              <w:t>20</w:t>
            </w:r>
          </w:p>
        </w:tc>
      </w:tr>
      <w:tr w14:paraId="7C2A7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4" w:hRule="atLeast"/>
        </w:trPr>
        <w:tc>
          <w:tcPr>
            <w:tcW w:w="914" w:type="pct"/>
            <w:vMerge w:val="restart"/>
            <w:tcMar>
              <w:left w:w="108" w:type="dxa"/>
              <w:right w:w="108" w:type="dxa"/>
            </w:tcMar>
            <w:vAlign w:val="center"/>
          </w:tcPr>
          <w:p w14:paraId="005775D6">
            <w:pPr>
              <w:spacing w:line="360" w:lineRule="auto"/>
              <w:jc w:val="center"/>
              <w:rPr>
                <w:rFonts w:hint="default" w:ascii="Times New Roman" w:hAnsi="Times New Roman" w:cs="Times New Roman"/>
                <w:color w:val="auto"/>
                <w:sz w:val="21"/>
                <w:szCs w:val="21"/>
                <w:highlight w:val="yellow"/>
                <w:lang w:val="en-US" w:eastAsia="zh-CN"/>
              </w:rPr>
            </w:pPr>
            <w:r>
              <w:rPr>
                <w:rFonts w:hint="default" w:ascii="Times New Roman" w:hAnsi="Times New Roman" w:eastAsia="宋体" w:cs="Times New Roman"/>
                <w:color w:val="auto"/>
                <w:sz w:val="21"/>
                <w:szCs w:val="21"/>
                <w:highlight w:val="none"/>
                <w:lang w:val="en-US" w:eastAsia="zh-CN"/>
              </w:rPr>
              <w:t>环境属性</w:t>
            </w:r>
          </w:p>
        </w:tc>
        <w:tc>
          <w:tcPr>
            <w:tcW w:w="834" w:type="pct"/>
            <w:gridSpan w:val="2"/>
            <w:vMerge w:val="restart"/>
            <w:shd w:val="clear" w:color="auto" w:fill="auto"/>
            <w:tcMar>
              <w:left w:w="108" w:type="dxa"/>
              <w:right w:w="108" w:type="dxa"/>
            </w:tcMar>
            <w:vAlign w:val="center"/>
          </w:tcPr>
          <w:p w14:paraId="3E780EF0">
            <w:pPr>
              <w:spacing w:line="36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采场、尾矿库地区地下水放射性监测限值</w:t>
            </w:r>
          </w:p>
        </w:tc>
        <w:tc>
          <w:tcPr>
            <w:tcW w:w="834" w:type="pct"/>
            <w:shd w:val="clear" w:color="auto" w:fill="auto"/>
            <w:tcMar>
              <w:left w:w="108" w:type="dxa"/>
              <w:right w:w="108" w:type="dxa"/>
            </w:tcMar>
            <w:vAlign w:val="center"/>
          </w:tcPr>
          <w:p w14:paraId="1761184A">
            <w:pPr>
              <w:spacing w:line="360" w:lineRule="auto"/>
              <w:jc w:val="center"/>
              <w:rPr>
                <w:rFonts w:hint="default"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总α</w:t>
            </w:r>
          </w:p>
        </w:tc>
        <w:tc>
          <w:tcPr>
            <w:tcW w:w="663" w:type="pct"/>
            <w:shd w:val="clear" w:color="auto" w:fill="auto"/>
            <w:tcMar>
              <w:left w:w="108" w:type="dxa"/>
              <w:right w:w="108" w:type="dxa"/>
            </w:tcMar>
            <w:vAlign w:val="center"/>
          </w:tcPr>
          <w:p w14:paraId="3312CEEF">
            <w:pPr>
              <w:spacing w:line="36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Bq/L</w:t>
            </w:r>
          </w:p>
        </w:tc>
        <w:tc>
          <w:tcPr>
            <w:tcW w:w="888" w:type="pct"/>
            <w:shd w:val="clear" w:color="auto" w:fill="auto"/>
            <w:tcMar>
              <w:left w:w="108" w:type="dxa"/>
              <w:right w:w="108" w:type="dxa"/>
            </w:tcMar>
            <w:vAlign w:val="center"/>
          </w:tcPr>
          <w:p w14:paraId="57A9076E">
            <w:pPr>
              <w:spacing w:line="36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w:t>
            </w:r>
          </w:p>
        </w:tc>
        <w:tc>
          <w:tcPr>
            <w:tcW w:w="865" w:type="pct"/>
            <w:shd w:val="clear" w:color="auto" w:fill="auto"/>
            <w:tcMar>
              <w:left w:w="108" w:type="dxa"/>
              <w:right w:w="108" w:type="dxa"/>
            </w:tcMar>
            <w:vAlign w:val="center"/>
          </w:tcPr>
          <w:p w14:paraId="0EB4E6E4">
            <w:pPr>
              <w:spacing w:line="36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w:t>
            </w:r>
          </w:p>
        </w:tc>
      </w:tr>
      <w:tr w14:paraId="0029C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4" w:hRule="atLeast"/>
        </w:trPr>
        <w:tc>
          <w:tcPr>
            <w:tcW w:w="914" w:type="pct"/>
            <w:vMerge w:val="continue"/>
            <w:tcMar>
              <w:left w:w="108" w:type="dxa"/>
              <w:right w:w="108" w:type="dxa"/>
            </w:tcMar>
            <w:vAlign w:val="center"/>
          </w:tcPr>
          <w:p w14:paraId="77B5A856">
            <w:pPr>
              <w:numPr>
                <w:ilvl w:val="0"/>
                <w:numId w:val="0"/>
              </w:numPr>
              <w:spacing w:line="360" w:lineRule="auto"/>
              <w:jc w:val="center"/>
              <w:rPr>
                <w:rFonts w:hint="default" w:ascii="Times New Roman" w:hAnsi="Times New Roman" w:cs="Times New Roman"/>
                <w:color w:val="auto"/>
                <w:sz w:val="21"/>
                <w:szCs w:val="21"/>
                <w:highlight w:val="yellow"/>
                <w:lang w:val="en-US" w:eastAsia="zh-CN"/>
              </w:rPr>
            </w:pPr>
          </w:p>
        </w:tc>
        <w:tc>
          <w:tcPr>
            <w:tcW w:w="834" w:type="pct"/>
            <w:gridSpan w:val="2"/>
            <w:vMerge w:val="continue"/>
            <w:shd w:val="clear" w:color="auto" w:fill="auto"/>
            <w:tcMar>
              <w:left w:w="108" w:type="dxa"/>
              <w:right w:w="108" w:type="dxa"/>
            </w:tcMar>
            <w:vAlign w:val="center"/>
          </w:tcPr>
          <w:p w14:paraId="3AAFBB0A">
            <w:pPr>
              <w:spacing w:line="360" w:lineRule="auto"/>
              <w:jc w:val="center"/>
              <w:rPr>
                <w:rFonts w:hint="eastAsia" w:cs="Times New Roman"/>
                <w:color w:val="auto"/>
                <w:sz w:val="21"/>
                <w:szCs w:val="21"/>
                <w:highlight w:val="none"/>
                <w:lang w:val="en-US" w:eastAsia="zh-CN"/>
              </w:rPr>
            </w:pPr>
          </w:p>
        </w:tc>
        <w:tc>
          <w:tcPr>
            <w:tcW w:w="834" w:type="pct"/>
            <w:shd w:val="clear" w:color="auto" w:fill="auto"/>
            <w:tcMar>
              <w:left w:w="108" w:type="dxa"/>
              <w:right w:w="108" w:type="dxa"/>
            </w:tcMar>
            <w:vAlign w:val="center"/>
          </w:tcPr>
          <w:p w14:paraId="53450841">
            <w:pPr>
              <w:spacing w:line="360" w:lineRule="auto"/>
              <w:jc w:val="center"/>
              <w:rPr>
                <w:rFonts w:hint="default"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总β</w:t>
            </w:r>
          </w:p>
        </w:tc>
        <w:tc>
          <w:tcPr>
            <w:tcW w:w="663" w:type="pct"/>
            <w:shd w:val="clear" w:color="auto" w:fill="auto"/>
            <w:tcMar>
              <w:left w:w="108" w:type="dxa"/>
              <w:right w:w="108" w:type="dxa"/>
            </w:tcMar>
            <w:vAlign w:val="center"/>
          </w:tcPr>
          <w:p w14:paraId="409B6BDA">
            <w:pPr>
              <w:spacing w:line="36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Bq/L</w:t>
            </w:r>
          </w:p>
        </w:tc>
        <w:tc>
          <w:tcPr>
            <w:tcW w:w="888" w:type="pct"/>
            <w:shd w:val="clear" w:color="auto" w:fill="auto"/>
            <w:tcMar>
              <w:left w:w="108" w:type="dxa"/>
              <w:right w:w="108" w:type="dxa"/>
            </w:tcMar>
            <w:vAlign w:val="center"/>
          </w:tcPr>
          <w:p w14:paraId="77FEAAC4">
            <w:pPr>
              <w:spacing w:line="36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w:t>
            </w:r>
          </w:p>
        </w:tc>
        <w:tc>
          <w:tcPr>
            <w:tcW w:w="865" w:type="pct"/>
            <w:shd w:val="clear" w:color="auto" w:fill="auto"/>
            <w:tcMar>
              <w:left w:w="108" w:type="dxa"/>
              <w:right w:w="108" w:type="dxa"/>
            </w:tcMar>
            <w:vAlign w:val="center"/>
          </w:tcPr>
          <w:p w14:paraId="5B4BB889">
            <w:pPr>
              <w:spacing w:line="36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w:t>
            </w:r>
          </w:p>
        </w:tc>
      </w:tr>
      <w:tr w14:paraId="7295C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4" w:hRule="atLeast"/>
        </w:trPr>
        <w:tc>
          <w:tcPr>
            <w:tcW w:w="914" w:type="pct"/>
            <w:vMerge w:val="continue"/>
            <w:tcMar>
              <w:left w:w="108" w:type="dxa"/>
              <w:right w:w="108" w:type="dxa"/>
            </w:tcMar>
            <w:vAlign w:val="center"/>
          </w:tcPr>
          <w:p w14:paraId="0ED0C842">
            <w:pPr>
              <w:numPr>
                <w:ilvl w:val="0"/>
                <w:numId w:val="0"/>
              </w:numPr>
              <w:spacing w:line="360" w:lineRule="auto"/>
              <w:jc w:val="center"/>
              <w:rPr>
                <w:rFonts w:hint="default" w:ascii="Times New Roman" w:hAnsi="Times New Roman" w:cs="Times New Roman"/>
                <w:color w:val="auto"/>
                <w:sz w:val="21"/>
                <w:szCs w:val="21"/>
                <w:highlight w:val="yellow"/>
                <w:lang w:val="en-US" w:eastAsia="zh-CN"/>
              </w:rPr>
            </w:pPr>
          </w:p>
        </w:tc>
        <w:tc>
          <w:tcPr>
            <w:tcW w:w="834" w:type="pct"/>
            <w:gridSpan w:val="2"/>
            <w:vMerge w:val="continue"/>
            <w:shd w:val="clear" w:color="auto" w:fill="auto"/>
            <w:tcMar>
              <w:left w:w="108" w:type="dxa"/>
              <w:right w:w="108" w:type="dxa"/>
            </w:tcMar>
            <w:vAlign w:val="center"/>
          </w:tcPr>
          <w:p w14:paraId="1F691DBD">
            <w:pPr>
              <w:spacing w:line="360" w:lineRule="auto"/>
              <w:jc w:val="center"/>
              <w:rPr>
                <w:rFonts w:hint="eastAsia" w:cs="Times New Roman"/>
                <w:color w:val="auto"/>
                <w:sz w:val="21"/>
                <w:szCs w:val="21"/>
                <w:highlight w:val="none"/>
                <w:lang w:val="en-US" w:eastAsia="zh-CN"/>
              </w:rPr>
            </w:pPr>
          </w:p>
        </w:tc>
        <w:tc>
          <w:tcPr>
            <w:tcW w:w="834" w:type="pct"/>
            <w:shd w:val="clear" w:color="auto" w:fill="auto"/>
            <w:tcMar>
              <w:left w:w="108" w:type="dxa"/>
              <w:right w:w="108" w:type="dxa"/>
            </w:tcMar>
            <w:vAlign w:val="center"/>
          </w:tcPr>
          <w:p w14:paraId="482ADF1F">
            <w:pPr>
              <w:spacing w:line="36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Th</w:t>
            </w:r>
          </w:p>
        </w:tc>
        <w:tc>
          <w:tcPr>
            <w:tcW w:w="663" w:type="pct"/>
            <w:shd w:val="clear" w:color="auto" w:fill="auto"/>
            <w:tcMar>
              <w:left w:w="108" w:type="dxa"/>
              <w:right w:w="108" w:type="dxa"/>
            </w:tcMar>
            <w:vAlign w:val="center"/>
          </w:tcPr>
          <w:p w14:paraId="2587C2B9">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μg</w:t>
            </w:r>
            <w:r>
              <w:rPr>
                <w:rFonts w:hint="eastAsia" w:ascii="Times New Roman" w:hAnsi="Times New Roman" w:cs="Times New Roman"/>
                <w:color w:val="auto"/>
                <w:sz w:val="21"/>
                <w:szCs w:val="21"/>
                <w:highlight w:val="none"/>
                <w:lang w:val="en-US" w:eastAsia="zh-CN"/>
              </w:rPr>
              <w:t>/L</w:t>
            </w:r>
          </w:p>
        </w:tc>
        <w:tc>
          <w:tcPr>
            <w:tcW w:w="888" w:type="pct"/>
            <w:shd w:val="clear" w:color="auto" w:fill="auto"/>
            <w:tcMar>
              <w:left w:w="108" w:type="dxa"/>
              <w:right w:w="108" w:type="dxa"/>
            </w:tcMar>
            <w:vAlign w:val="center"/>
          </w:tcPr>
          <w:p w14:paraId="20E72A1D">
            <w:pPr>
              <w:spacing w:line="36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w:t>
            </w:r>
          </w:p>
        </w:tc>
        <w:tc>
          <w:tcPr>
            <w:tcW w:w="865" w:type="pct"/>
            <w:shd w:val="clear" w:color="auto" w:fill="auto"/>
            <w:tcMar>
              <w:left w:w="108" w:type="dxa"/>
              <w:right w:w="108" w:type="dxa"/>
            </w:tcMar>
            <w:vAlign w:val="center"/>
          </w:tcPr>
          <w:p w14:paraId="6534FD55">
            <w:pPr>
              <w:spacing w:line="36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w:t>
            </w:r>
          </w:p>
        </w:tc>
      </w:tr>
      <w:tr w14:paraId="5B2B7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9" w:hRule="atLeast"/>
        </w:trPr>
        <w:tc>
          <w:tcPr>
            <w:tcW w:w="914" w:type="pct"/>
            <w:vMerge w:val="continue"/>
            <w:tcMar>
              <w:left w:w="108" w:type="dxa"/>
              <w:right w:w="108" w:type="dxa"/>
            </w:tcMar>
            <w:vAlign w:val="center"/>
          </w:tcPr>
          <w:p w14:paraId="043E518F">
            <w:pPr>
              <w:numPr>
                <w:ilvl w:val="0"/>
                <w:numId w:val="0"/>
              </w:numPr>
              <w:spacing w:line="360" w:lineRule="auto"/>
              <w:jc w:val="center"/>
              <w:rPr>
                <w:rFonts w:hint="default" w:ascii="Times New Roman" w:hAnsi="Times New Roman" w:cs="Times New Roman"/>
                <w:color w:val="auto"/>
                <w:sz w:val="21"/>
                <w:szCs w:val="21"/>
                <w:highlight w:val="yellow"/>
                <w:lang w:val="en-US" w:eastAsia="zh-CN"/>
              </w:rPr>
            </w:pPr>
          </w:p>
        </w:tc>
        <w:tc>
          <w:tcPr>
            <w:tcW w:w="834" w:type="pct"/>
            <w:gridSpan w:val="2"/>
            <w:vMerge w:val="restart"/>
            <w:shd w:val="clear" w:color="auto" w:fill="auto"/>
            <w:tcMar>
              <w:left w:w="108" w:type="dxa"/>
              <w:right w:w="108" w:type="dxa"/>
            </w:tcMar>
            <w:vAlign w:val="center"/>
          </w:tcPr>
          <w:p w14:paraId="31947803">
            <w:pPr>
              <w:spacing w:line="36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尾矿库周围空气气溶胶监测限值</w:t>
            </w:r>
          </w:p>
        </w:tc>
        <w:tc>
          <w:tcPr>
            <w:tcW w:w="834" w:type="pct"/>
            <w:shd w:val="clear" w:color="auto" w:fill="auto"/>
            <w:tcMar>
              <w:left w:w="108" w:type="dxa"/>
              <w:right w:w="108" w:type="dxa"/>
            </w:tcMar>
            <w:vAlign w:val="center"/>
          </w:tcPr>
          <w:p w14:paraId="50C9E0E4">
            <w:pPr>
              <w:spacing w:line="360" w:lineRule="auto"/>
              <w:jc w:val="center"/>
              <w:rPr>
                <w:rFonts w:hint="default" w:cs="Times New Roman"/>
                <w:color w:val="auto"/>
                <w:sz w:val="21"/>
                <w:szCs w:val="21"/>
                <w:highlight w:val="none"/>
                <w:lang w:val="en-US" w:eastAsia="zh-CN"/>
              </w:rPr>
            </w:pPr>
            <w:r>
              <w:rPr>
                <w:rFonts w:hint="default" w:cs="Times New Roman"/>
                <w:color w:val="auto"/>
                <w:sz w:val="21"/>
                <w:szCs w:val="21"/>
                <w:highlight w:val="none"/>
                <w:lang w:val="en-US" w:eastAsia="zh-CN"/>
              </w:rPr>
              <w:t>Rn</w:t>
            </w:r>
            <w:r>
              <w:rPr>
                <w:rFonts w:hint="eastAsia" w:cs="Times New Roman"/>
                <w:color w:val="auto"/>
                <w:sz w:val="21"/>
                <w:szCs w:val="21"/>
                <w:highlight w:val="none"/>
                <w:lang w:val="en-US" w:eastAsia="zh-CN"/>
              </w:rPr>
              <w:t>（氡）</w:t>
            </w:r>
            <w:r>
              <w:rPr>
                <w:rFonts w:hint="default" w:cs="Times New Roman"/>
                <w:color w:val="auto"/>
                <w:sz w:val="21"/>
                <w:szCs w:val="21"/>
                <w:highlight w:val="none"/>
                <w:lang w:val="en-US" w:eastAsia="zh-CN"/>
              </w:rPr>
              <w:t>子体α潜能值</w:t>
            </w:r>
          </w:p>
        </w:tc>
        <w:tc>
          <w:tcPr>
            <w:tcW w:w="663" w:type="pct"/>
            <w:shd w:val="clear" w:color="auto" w:fill="auto"/>
            <w:tcMar>
              <w:left w:w="108" w:type="dxa"/>
              <w:right w:w="108" w:type="dxa"/>
            </w:tcMar>
            <w:vAlign w:val="center"/>
          </w:tcPr>
          <w:p w14:paraId="4F05E5CC">
            <w:pPr>
              <w:spacing w:line="36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nJ/m</w:t>
            </w:r>
            <w:r>
              <w:rPr>
                <w:rFonts w:hint="eastAsia" w:cs="Times New Roman"/>
                <w:color w:val="auto"/>
                <w:sz w:val="21"/>
                <w:szCs w:val="21"/>
                <w:highlight w:val="none"/>
                <w:vertAlign w:val="superscript"/>
                <w:lang w:val="en-US" w:eastAsia="zh-CN"/>
              </w:rPr>
              <w:t>3</w:t>
            </w:r>
          </w:p>
        </w:tc>
        <w:tc>
          <w:tcPr>
            <w:tcW w:w="888" w:type="pct"/>
            <w:shd w:val="clear" w:color="auto" w:fill="auto"/>
            <w:tcMar>
              <w:left w:w="108" w:type="dxa"/>
              <w:right w:w="108" w:type="dxa"/>
            </w:tcMar>
            <w:vAlign w:val="center"/>
          </w:tcPr>
          <w:p w14:paraId="1D45F824">
            <w:pPr>
              <w:spacing w:line="36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≤30</w:t>
            </w:r>
          </w:p>
        </w:tc>
        <w:tc>
          <w:tcPr>
            <w:tcW w:w="865" w:type="pct"/>
            <w:shd w:val="clear" w:color="auto" w:fill="auto"/>
            <w:tcMar>
              <w:left w:w="108" w:type="dxa"/>
              <w:right w:w="108" w:type="dxa"/>
            </w:tcMar>
            <w:vAlign w:val="center"/>
          </w:tcPr>
          <w:p w14:paraId="3BE55582">
            <w:pPr>
              <w:spacing w:line="36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≤32</w:t>
            </w:r>
          </w:p>
        </w:tc>
      </w:tr>
      <w:tr w14:paraId="70AA9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914" w:type="pct"/>
            <w:vMerge w:val="continue"/>
            <w:tcMar>
              <w:left w:w="108" w:type="dxa"/>
              <w:right w:w="108" w:type="dxa"/>
            </w:tcMar>
            <w:vAlign w:val="center"/>
          </w:tcPr>
          <w:p w14:paraId="44E2236E">
            <w:pPr>
              <w:numPr>
                <w:ilvl w:val="0"/>
                <w:numId w:val="0"/>
              </w:numPr>
              <w:spacing w:line="360" w:lineRule="auto"/>
              <w:jc w:val="center"/>
              <w:rPr>
                <w:rFonts w:hint="default" w:ascii="Times New Roman" w:hAnsi="Times New Roman" w:cs="Times New Roman"/>
                <w:color w:val="auto"/>
                <w:sz w:val="21"/>
                <w:szCs w:val="21"/>
                <w:highlight w:val="yellow"/>
                <w:lang w:val="en-US" w:eastAsia="zh-CN"/>
              </w:rPr>
            </w:pPr>
          </w:p>
        </w:tc>
        <w:tc>
          <w:tcPr>
            <w:tcW w:w="834" w:type="pct"/>
            <w:gridSpan w:val="2"/>
            <w:vMerge w:val="continue"/>
            <w:shd w:val="clear" w:color="auto" w:fill="auto"/>
            <w:tcMar>
              <w:left w:w="108" w:type="dxa"/>
              <w:right w:w="108" w:type="dxa"/>
            </w:tcMar>
            <w:vAlign w:val="center"/>
          </w:tcPr>
          <w:p w14:paraId="4C550208">
            <w:pPr>
              <w:spacing w:line="360" w:lineRule="auto"/>
              <w:jc w:val="center"/>
              <w:rPr>
                <w:rFonts w:hint="default" w:ascii="Times New Roman" w:hAnsi="Times New Roman" w:eastAsia="宋体" w:cs="Times New Roman"/>
                <w:color w:val="auto"/>
                <w:sz w:val="21"/>
                <w:szCs w:val="21"/>
                <w:highlight w:val="none"/>
                <w:lang w:val="en-US" w:eastAsia="zh-CN"/>
              </w:rPr>
            </w:pPr>
          </w:p>
        </w:tc>
        <w:tc>
          <w:tcPr>
            <w:tcW w:w="834" w:type="pct"/>
            <w:shd w:val="clear" w:color="auto" w:fill="auto"/>
            <w:tcMar>
              <w:left w:w="108" w:type="dxa"/>
              <w:right w:w="108" w:type="dxa"/>
            </w:tcMar>
            <w:vAlign w:val="center"/>
          </w:tcPr>
          <w:p w14:paraId="014BA4B2">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Tn</w:t>
            </w:r>
            <w:r>
              <w:rPr>
                <w:rFonts w:hint="eastAsia" w:cs="Times New Roman"/>
                <w:color w:val="auto"/>
                <w:sz w:val="21"/>
                <w:szCs w:val="21"/>
                <w:highlight w:val="none"/>
                <w:lang w:val="en-US" w:eastAsia="zh-CN"/>
              </w:rPr>
              <w:t>（</w:t>
            </w:r>
            <w:r>
              <w:rPr>
                <w:highlight w:val="none"/>
              </w:rPr>
              <w:drawing>
                <wp:inline distT="0" distB="0" distL="114300" distR="114300">
                  <wp:extent cx="147955" cy="151765"/>
                  <wp:effectExtent l="0" t="0" r="4445" b="63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27"/>
                          <a:stretch>
                            <a:fillRect/>
                          </a:stretch>
                        </pic:blipFill>
                        <pic:spPr>
                          <a:xfrm>
                            <a:off x="0" y="0"/>
                            <a:ext cx="147955" cy="151765"/>
                          </a:xfrm>
                          <a:prstGeom prst="rect">
                            <a:avLst/>
                          </a:prstGeom>
                          <a:noFill/>
                          <a:ln>
                            <a:noFill/>
                          </a:ln>
                        </pic:spPr>
                      </pic:pic>
                    </a:graphicData>
                  </a:graphic>
                </wp:inline>
              </w:drawing>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子体α潜能值</w:t>
            </w:r>
          </w:p>
        </w:tc>
        <w:tc>
          <w:tcPr>
            <w:tcW w:w="663" w:type="pct"/>
            <w:shd w:val="clear" w:color="auto" w:fill="auto"/>
            <w:tcMar>
              <w:left w:w="108" w:type="dxa"/>
              <w:right w:w="108" w:type="dxa"/>
            </w:tcMar>
            <w:vAlign w:val="center"/>
          </w:tcPr>
          <w:p w14:paraId="295EE286">
            <w:pPr>
              <w:spacing w:line="36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nJ/m</w:t>
            </w:r>
            <w:r>
              <w:rPr>
                <w:rFonts w:hint="eastAsia" w:cs="Times New Roman"/>
                <w:color w:val="auto"/>
                <w:sz w:val="21"/>
                <w:szCs w:val="21"/>
                <w:highlight w:val="none"/>
                <w:vertAlign w:val="superscript"/>
                <w:lang w:val="en-US" w:eastAsia="zh-CN"/>
              </w:rPr>
              <w:t>3</w:t>
            </w:r>
          </w:p>
        </w:tc>
        <w:tc>
          <w:tcPr>
            <w:tcW w:w="888" w:type="pct"/>
            <w:shd w:val="clear" w:color="auto" w:fill="auto"/>
            <w:tcMar>
              <w:left w:w="108" w:type="dxa"/>
              <w:right w:w="108" w:type="dxa"/>
            </w:tcMar>
            <w:vAlign w:val="center"/>
          </w:tcPr>
          <w:p w14:paraId="3165151C">
            <w:pPr>
              <w:spacing w:line="36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≤50</w:t>
            </w:r>
          </w:p>
        </w:tc>
        <w:tc>
          <w:tcPr>
            <w:tcW w:w="865" w:type="pct"/>
            <w:shd w:val="clear" w:color="auto" w:fill="auto"/>
            <w:tcMar>
              <w:left w:w="108" w:type="dxa"/>
              <w:right w:w="108" w:type="dxa"/>
            </w:tcMar>
            <w:vAlign w:val="center"/>
          </w:tcPr>
          <w:p w14:paraId="1444ECAF">
            <w:pPr>
              <w:spacing w:line="36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≤97</w:t>
            </w:r>
          </w:p>
        </w:tc>
      </w:tr>
      <w:tr w14:paraId="7B573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7" w:hRule="atLeast"/>
        </w:trPr>
        <w:tc>
          <w:tcPr>
            <w:tcW w:w="914" w:type="pct"/>
            <w:vMerge w:val="continue"/>
            <w:tcMar>
              <w:left w:w="108" w:type="dxa"/>
              <w:right w:w="108" w:type="dxa"/>
            </w:tcMar>
            <w:vAlign w:val="center"/>
          </w:tcPr>
          <w:p w14:paraId="05AC852C">
            <w:pPr>
              <w:numPr>
                <w:ilvl w:val="0"/>
                <w:numId w:val="0"/>
              </w:numPr>
              <w:spacing w:line="360" w:lineRule="auto"/>
              <w:jc w:val="center"/>
              <w:rPr>
                <w:rFonts w:hint="default" w:ascii="Times New Roman" w:hAnsi="Times New Roman" w:cs="Times New Roman"/>
                <w:color w:val="auto"/>
                <w:sz w:val="21"/>
                <w:szCs w:val="21"/>
                <w:highlight w:val="yellow"/>
                <w:lang w:val="en-US" w:eastAsia="zh-CN"/>
              </w:rPr>
            </w:pPr>
          </w:p>
        </w:tc>
        <w:tc>
          <w:tcPr>
            <w:tcW w:w="834" w:type="pct"/>
            <w:gridSpan w:val="2"/>
            <w:vMerge w:val="continue"/>
            <w:shd w:val="clear" w:color="auto" w:fill="auto"/>
            <w:tcMar>
              <w:left w:w="108" w:type="dxa"/>
              <w:right w:w="108" w:type="dxa"/>
            </w:tcMar>
            <w:vAlign w:val="center"/>
          </w:tcPr>
          <w:p w14:paraId="6E81A9CB">
            <w:pPr>
              <w:spacing w:line="360" w:lineRule="auto"/>
              <w:jc w:val="center"/>
              <w:rPr>
                <w:rFonts w:hint="default" w:ascii="Times New Roman" w:hAnsi="Times New Roman" w:eastAsia="宋体" w:cs="Times New Roman"/>
                <w:color w:val="auto"/>
                <w:sz w:val="21"/>
                <w:szCs w:val="21"/>
                <w:highlight w:val="none"/>
                <w:lang w:val="en-US" w:eastAsia="zh-CN"/>
              </w:rPr>
            </w:pPr>
          </w:p>
        </w:tc>
        <w:tc>
          <w:tcPr>
            <w:tcW w:w="834" w:type="pct"/>
            <w:shd w:val="clear" w:color="auto" w:fill="auto"/>
            <w:tcMar>
              <w:left w:w="108" w:type="dxa"/>
              <w:right w:w="108" w:type="dxa"/>
            </w:tcMar>
            <w:vAlign w:val="center"/>
          </w:tcPr>
          <w:p w14:paraId="3F4E4BFA">
            <w:pPr>
              <w:spacing w:line="360" w:lineRule="auto"/>
              <w:jc w:val="center"/>
              <w:rPr>
                <w:rFonts w:hint="default"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Tn子体/Rn子体</w:t>
            </w:r>
          </w:p>
        </w:tc>
        <w:tc>
          <w:tcPr>
            <w:tcW w:w="663" w:type="pct"/>
            <w:shd w:val="clear" w:color="auto" w:fill="auto"/>
            <w:tcMar>
              <w:left w:w="108" w:type="dxa"/>
              <w:right w:w="108" w:type="dxa"/>
            </w:tcMar>
            <w:vAlign w:val="center"/>
          </w:tcPr>
          <w:p w14:paraId="7C3F2BAE">
            <w:pPr>
              <w:spacing w:line="36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8" w:type="pct"/>
            <w:shd w:val="clear" w:color="auto" w:fill="auto"/>
            <w:tcMar>
              <w:left w:w="108" w:type="dxa"/>
              <w:right w:w="108" w:type="dxa"/>
            </w:tcMar>
            <w:vAlign w:val="center"/>
          </w:tcPr>
          <w:p w14:paraId="3CF903C9">
            <w:pPr>
              <w:spacing w:line="36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w:t>
            </w:r>
          </w:p>
        </w:tc>
        <w:tc>
          <w:tcPr>
            <w:tcW w:w="865" w:type="pct"/>
            <w:shd w:val="clear" w:color="auto" w:fill="auto"/>
            <w:tcMar>
              <w:left w:w="108" w:type="dxa"/>
              <w:right w:w="108" w:type="dxa"/>
            </w:tcMar>
            <w:vAlign w:val="center"/>
          </w:tcPr>
          <w:p w14:paraId="4A79BEE6">
            <w:pPr>
              <w:spacing w:line="36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w:t>
            </w:r>
          </w:p>
        </w:tc>
      </w:tr>
      <w:tr w14:paraId="39D7C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914" w:type="pct"/>
            <w:vMerge w:val="continue"/>
            <w:tcMar>
              <w:left w:w="108" w:type="dxa"/>
              <w:right w:w="108" w:type="dxa"/>
            </w:tcMar>
            <w:vAlign w:val="center"/>
          </w:tcPr>
          <w:p w14:paraId="576AB9A2">
            <w:pPr>
              <w:numPr>
                <w:ilvl w:val="0"/>
                <w:numId w:val="0"/>
              </w:numPr>
              <w:spacing w:line="360" w:lineRule="auto"/>
              <w:jc w:val="center"/>
              <w:rPr>
                <w:rFonts w:hint="default" w:ascii="Times New Roman" w:hAnsi="Times New Roman" w:cs="Times New Roman"/>
                <w:color w:val="auto"/>
                <w:sz w:val="21"/>
                <w:szCs w:val="21"/>
                <w:highlight w:val="yellow"/>
                <w:lang w:val="en-US" w:eastAsia="zh-CN"/>
              </w:rPr>
            </w:pPr>
          </w:p>
        </w:tc>
        <w:tc>
          <w:tcPr>
            <w:tcW w:w="1668" w:type="pct"/>
            <w:gridSpan w:val="3"/>
            <w:shd w:val="clear" w:color="auto" w:fill="auto"/>
            <w:tcMar>
              <w:left w:w="108" w:type="dxa"/>
              <w:right w:w="108" w:type="dxa"/>
            </w:tcMar>
            <w:vAlign w:val="center"/>
          </w:tcPr>
          <w:p w14:paraId="1C0011B2">
            <w:pPr>
              <w:spacing w:line="36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环保设备运行达标率</w:t>
            </w:r>
          </w:p>
        </w:tc>
        <w:tc>
          <w:tcPr>
            <w:tcW w:w="663" w:type="pct"/>
            <w:shd w:val="clear" w:color="auto" w:fill="auto"/>
            <w:tcMar>
              <w:left w:w="108" w:type="dxa"/>
              <w:right w:w="108" w:type="dxa"/>
            </w:tcMar>
            <w:vAlign w:val="center"/>
          </w:tcPr>
          <w:p w14:paraId="541594DF">
            <w:pPr>
              <w:spacing w:line="36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8" w:type="pct"/>
            <w:shd w:val="clear" w:color="auto" w:fill="auto"/>
            <w:tcMar>
              <w:left w:w="108" w:type="dxa"/>
              <w:right w:w="108" w:type="dxa"/>
            </w:tcMar>
            <w:vAlign w:val="center"/>
          </w:tcPr>
          <w:p w14:paraId="35386965">
            <w:pPr>
              <w:spacing w:line="36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100</w:t>
            </w:r>
          </w:p>
        </w:tc>
        <w:tc>
          <w:tcPr>
            <w:tcW w:w="865" w:type="pct"/>
            <w:shd w:val="clear" w:color="auto" w:fill="auto"/>
            <w:tcMar>
              <w:left w:w="108" w:type="dxa"/>
              <w:right w:w="108" w:type="dxa"/>
            </w:tcMar>
            <w:vAlign w:val="center"/>
          </w:tcPr>
          <w:p w14:paraId="5E6C8AA8">
            <w:pPr>
              <w:spacing w:line="36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≥98</w:t>
            </w:r>
          </w:p>
        </w:tc>
      </w:tr>
      <w:tr w14:paraId="00D57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914" w:type="pct"/>
            <w:vMerge w:val="continue"/>
            <w:tcMar>
              <w:left w:w="108" w:type="dxa"/>
              <w:right w:w="108" w:type="dxa"/>
            </w:tcMar>
            <w:vAlign w:val="center"/>
          </w:tcPr>
          <w:p w14:paraId="58582B37">
            <w:pPr>
              <w:numPr>
                <w:ilvl w:val="0"/>
                <w:numId w:val="0"/>
              </w:numPr>
              <w:spacing w:line="360" w:lineRule="auto"/>
              <w:jc w:val="center"/>
              <w:rPr>
                <w:rFonts w:hint="default" w:ascii="Times New Roman" w:hAnsi="Times New Roman" w:cs="Times New Roman"/>
                <w:color w:val="auto"/>
                <w:sz w:val="21"/>
                <w:szCs w:val="21"/>
                <w:highlight w:val="yellow"/>
                <w:lang w:val="en-US" w:eastAsia="zh-CN"/>
              </w:rPr>
            </w:pPr>
          </w:p>
        </w:tc>
        <w:tc>
          <w:tcPr>
            <w:tcW w:w="1668" w:type="pct"/>
            <w:gridSpan w:val="3"/>
            <w:shd w:val="clear" w:color="auto" w:fill="auto"/>
            <w:tcMar>
              <w:left w:w="108" w:type="dxa"/>
              <w:right w:w="108" w:type="dxa"/>
            </w:tcMar>
            <w:vAlign w:val="center"/>
          </w:tcPr>
          <w:p w14:paraId="1B40C71F">
            <w:pPr>
              <w:spacing w:line="36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采选作业</w:t>
            </w:r>
            <w:r>
              <w:rPr>
                <w:rFonts w:hint="default" w:ascii="Times New Roman" w:hAnsi="Times New Roman" w:eastAsia="宋体" w:cs="Times New Roman"/>
                <w:color w:val="auto"/>
                <w:sz w:val="21"/>
                <w:szCs w:val="21"/>
                <w:highlight w:val="none"/>
                <w:lang w:val="en-US" w:eastAsia="zh-CN"/>
              </w:rPr>
              <w:t>有组织排放颗粒物</w:t>
            </w:r>
          </w:p>
        </w:tc>
        <w:tc>
          <w:tcPr>
            <w:tcW w:w="663" w:type="pct"/>
            <w:shd w:val="clear" w:color="auto" w:fill="auto"/>
            <w:tcMar>
              <w:left w:w="108" w:type="dxa"/>
              <w:right w:w="108" w:type="dxa"/>
            </w:tcMar>
            <w:vAlign w:val="center"/>
          </w:tcPr>
          <w:p w14:paraId="28644392">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mg/m³</w:t>
            </w:r>
          </w:p>
        </w:tc>
        <w:tc>
          <w:tcPr>
            <w:tcW w:w="888" w:type="pct"/>
            <w:shd w:val="clear" w:color="auto" w:fill="auto"/>
            <w:tcMar>
              <w:left w:w="108" w:type="dxa"/>
              <w:right w:w="108" w:type="dxa"/>
            </w:tcMar>
            <w:vAlign w:val="center"/>
          </w:tcPr>
          <w:p w14:paraId="5A795DC2">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val="en-US" w:eastAsia="zh-CN"/>
              </w:rPr>
              <w:t>0</w:t>
            </w:r>
          </w:p>
        </w:tc>
        <w:tc>
          <w:tcPr>
            <w:tcW w:w="865" w:type="pct"/>
            <w:shd w:val="clear" w:color="auto" w:fill="auto"/>
            <w:tcMar>
              <w:left w:w="108" w:type="dxa"/>
              <w:right w:w="108" w:type="dxa"/>
            </w:tcMar>
            <w:vAlign w:val="center"/>
          </w:tcPr>
          <w:p w14:paraId="2E42EB4B">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val="en-US" w:eastAsia="zh-CN"/>
              </w:rPr>
              <w:t>0</w:t>
            </w:r>
          </w:p>
        </w:tc>
      </w:tr>
      <w:tr w14:paraId="61D66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914" w:type="pct"/>
            <w:vMerge w:val="continue"/>
            <w:tcMar>
              <w:left w:w="108" w:type="dxa"/>
              <w:right w:w="108" w:type="dxa"/>
            </w:tcMar>
            <w:vAlign w:val="center"/>
          </w:tcPr>
          <w:p w14:paraId="356F5639">
            <w:pPr>
              <w:numPr>
                <w:ilvl w:val="0"/>
                <w:numId w:val="0"/>
              </w:numPr>
              <w:spacing w:line="360" w:lineRule="auto"/>
              <w:jc w:val="center"/>
              <w:rPr>
                <w:rFonts w:hint="default" w:ascii="Times New Roman" w:hAnsi="Times New Roman" w:cs="Times New Roman"/>
                <w:color w:val="auto"/>
                <w:sz w:val="21"/>
                <w:szCs w:val="21"/>
                <w:highlight w:val="yellow"/>
                <w:lang w:val="en-US" w:eastAsia="zh-CN"/>
              </w:rPr>
            </w:pPr>
          </w:p>
        </w:tc>
        <w:tc>
          <w:tcPr>
            <w:tcW w:w="1668" w:type="pct"/>
            <w:gridSpan w:val="3"/>
            <w:shd w:val="clear" w:color="auto" w:fill="auto"/>
            <w:tcMar>
              <w:left w:w="108" w:type="dxa"/>
              <w:right w:w="108" w:type="dxa"/>
            </w:tcMar>
            <w:vAlign w:val="center"/>
          </w:tcPr>
          <w:p w14:paraId="6485F71D">
            <w:pPr>
              <w:spacing w:line="360" w:lineRule="auto"/>
              <w:jc w:val="center"/>
              <w:rPr>
                <w:rFonts w:hint="default" w:ascii="Times New Roman" w:hAnsi="Times New Roman" w:cs="Times New Roman"/>
                <w:color w:val="auto"/>
                <w:kern w:val="0"/>
                <w:sz w:val="21"/>
                <w:szCs w:val="21"/>
                <w:highlight w:val="yellow"/>
                <w:lang w:val="en-US" w:eastAsia="zh-CN" w:bidi="ar"/>
              </w:rPr>
            </w:pPr>
            <w:r>
              <w:rPr>
                <w:rFonts w:hint="default" w:ascii="Times New Roman" w:hAnsi="Times New Roman" w:eastAsia="宋体" w:cs="Times New Roman"/>
                <w:color w:val="auto"/>
                <w:sz w:val="21"/>
                <w:szCs w:val="21"/>
                <w:highlight w:val="none"/>
                <w:lang w:val="en-US" w:eastAsia="zh-CN"/>
              </w:rPr>
              <w:t>厂界无组织颗粒物</w:t>
            </w:r>
          </w:p>
        </w:tc>
        <w:tc>
          <w:tcPr>
            <w:tcW w:w="663" w:type="pct"/>
            <w:shd w:val="clear" w:color="auto" w:fill="auto"/>
            <w:tcMar>
              <w:left w:w="108" w:type="dxa"/>
              <w:right w:w="108" w:type="dxa"/>
            </w:tcMar>
            <w:vAlign w:val="center"/>
          </w:tcPr>
          <w:p w14:paraId="5BBEC431">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mg/m³</w:t>
            </w:r>
          </w:p>
        </w:tc>
        <w:tc>
          <w:tcPr>
            <w:tcW w:w="888" w:type="pct"/>
            <w:shd w:val="clear" w:color="auto" w:fill="auto"/>
            <w:tcMar>
              <w:left w:w="108" w:type="dxa"/>
              <w:right w:w="108" w:type="dxa"/>
            </w:tcMar>
            <w:vAlign w:val="center"/>
          </w:tcPr>
          <w:p w14:paraId="197A2A9A">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1.0</w:t>
            </w:r>
          </w:p>
        </w:tc>
        <w:tc>
          <w:tcPr>
            <w:tcW w:w="865" w:type="pct"/>
            <w:shd w:val="clear" w:color="auto" w:fill="auto"/>
            <w:tcMar>
              <w:left w:w="108" w:type="dxa"/>
              <w:right w:w="108" w:type="dxa"/>
            </w:tcMar>
            <w:vAlign w:val="center"/>
          </w:tcPr>
          <w:p w14:paraId="4BCC7D16">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1.0</w:t>
            </w:r>
          </w:p>
        </w:tc>
      </w:tr>
      <w:tr w14:paraId="0BC48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914" w:type="pct"/>
            <w:vMerge w:val="continue"/>
            <w:tcMar>
              <w:left w:w="108" w:type="dxa"/>
              <w:right w:w="108" w:type="dxa"/>
            </w:tcMar>
            <w:vAlign w:val="center"/>
          </w:tcPr>
          <w:p w14:paraId="7AE2CBC1">
            <w:pPr>
              <w:spacing w:line="360" w:lineRule="auto"/>
              <w:jc w:val="center"/>
              <w:rPr>
                <w:rFonts w:hint="default" w:ascii="Times New Roman" w:hAnsi="Times New Roman" w:eastAsia="宋体" w:cs="Times New Roman"/>
                <w:color w:val="auto"/>
                <w:sz w:val="21"/>
                <w:szCs w:val="21"/>
                <w:highlight w:val="none"/>
                <w:lang w:val="en-US" w:eastAsia="zh-CN"/>
              </w:rPr>
            </w:pPr>
          </w:p>
        </w:tc>
        <w:tc>
          <w:tcPr>
            <w:tcW w:w="1668" w:type="pct"/>
            <w:gridSpan w:val="3"/>
            <w:shd w:val="clear" w:color="auto" w:fill="auto"/>
            <w:tcMar>
              <w:left w:w="108" w:type="dxa"/>
              <w:right w:w="108" w:type="dxa"/>
            </w:tcMar>
            <w:vAlign w:val="center"/>
          </w:tcPr>
          <w:p w14:paraId="194AAEE2">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cs="Times New Roman"/>
                <w:color w:val="auto"/>
                <w:sz w:val="21"/>
                <w:szCs w:val="21"/>
                <w:highlight w:val="none"/>
                <w:lang w:val="en-US" w:eastAsia="zh-CN"/>
              </w:rPr>
              <w:t>厂界</w:t>
            </w:r>
            <w:r>
              <w:rPr>
                <w:rFonts w:hint="default" w:ascii="Times New Roman" w:hAnsi="Times New Roman" w:eastAsia="宋体" w:cs="Times New Roman"/>
                <w:color w:val="auto"/>
                <w:sz w:val="21"/>
                <w:szCs w:val="21"/>
                <w:highlight w:val="none"/>
                <w:lang w:val="en-US" w:eastAsia="zh-CN"/>
              </w:rPr>
              <w:t>噪声</w:t>
            </w:r>
          </w:p>
        </w:tc>
        <w:tc>
          <w:tcPr>
            <w:tcW w:w="663" w:type="pct"/>
            <w:shd w:val="clear" w:color="auto" w:fill="auto"/>
            <w:tcMar>
              <w:left w:w="108" w:type="dxa"/>
              <w:right w:w="108" w:type="dxa"/>
            </w:tcMar>
            <w:vAlign w:val="center"/>
          </w:tcPr>
          <w:p w14:paraId="49FC3947">
            <w:pPr>
              <w:spacing w:line="360" w:lineRule="auto"/>
              <w:jc w:val="center"/>
              <w:rPr>
                <w:rFonts w:hint="default" w:ascii="Times New Roman" w:hAnsi="Times New Roman" w:eastAsia="宋体" w:cs="Times New Roman"/>
                <w:color w:val="auto"/>
                <w:sz w:val="22"/>
                <w:highlight w:val="none"/>
              </w:rPr>
            </w:pPr>
            <w:r>
              <w:rPr>
                <w:rFonts w:hint="default" w:ascii="Times New Roman" w:hAnsi="Times New Roman" w:eastAsia="宋体" w:cs="Times New Roman"/>
                <w:color w:val="auto"/>
                <w:sz w:val="22"/>
                <w:highlight w:val="none"/>
              </w:rPr>
              <w:t>dB(A)</w:t>
            </w:r>
          </w:p>
        </w:tc>
        <w:tc>
          <w:tcPr>
            <w:tcW w:w="888" w:type="pct"/>
            <w:shd w:val="clear" w:color="auto" w:fill="auto"/>
            <w:tcMar>
              <w:left w:w="108" w:type="dxa"/>
              <w:right w:w="108" w:type="dxa"/>
            </w:tcMar>
            <w:vAlign w:val="center"/>
          </w:tcPr>
          <w:p w14:paraId="3C32DFB3">
            <w:pPr>
              <w:spacing w:line="360" w:lineRule="auto"/>
              <w:jc w:val="center"/>
              <w:rPr>
                <w:rFonts w:hint="default" w:ascii="Times New Roman" w:hAnsi="Times New Roman" w:eastAsia="宋体" w:cs="Times New Roman"/>
                <w:color w:val="auto"/>
                <w:sz w:val="22"/>
                <w:highlight w:val="none"/>
              </w:rPr>
            </w:pPr>
            <w:r>
              <w:rPr>
                <w:rFonts w:hint="default" w:ascii="Times New Roman" w:hAnsi="Times New Roman" w:eastAsia="宋体" w:cs="Times New Roman"/>
                <w:color w:val="auto"/>
                <w:sz w:val="22"/>
                <w:highlight w:val="none"/>
                <w:lang w:val="en-US" w:eastAsia="zh-CN"/>
              </w:rPr>
              <w:t>昼</w:t>
            </w:r>
            <w:r>
              <w:rPr>
                <w:rFonts w:hint="default" w:ascii="Times New Roman" w:hAnsi="Times New Roman" w:eastAsia="宋体" w:cs="Times New Roman"/>
                <w:color w:val="auto"/>
                <w:sz w:val="22"/>
                <w:highlight w:val="none"/>
              </w:rPr>
              <w:t>间≤6</w:t>
            </w:r>
            <w:r>
              <w:rPr>
                <w:rFonts w:hint="default" w:ascii="Times New Roman" w:hAnsi="Times New Roman" w:cs="Times New Roman"/>
                <w:color w:val="auto"/>
                <w:sz w:val="22"/>
                <w:highlight w:val="none"/>
                <w:lang w:val="en-US" w:eastAsia="zh-CN"/>
              </w:rPr>
              <w:t>0</w:t>
            </w:r>
          </w:p>
          <w:p w14:paraId="7B84DA82">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eastAsia="宋体" w:cs="Times New Roman"/>
                <w:color w:val="auto"/>
                <w:sz w:val="22"/>
                <w:highlight w:val="none"/>
              </w:rPr>
              <w:t>夜间≤5</w:t>
            </w:r>
            <w:r>
              <w:rPr>
                <w:rFonts w:hint="default" w:ascii="Times New Roman" w:hAnsi="Times New Roman" w:cs="Times New Roman"/>
                <w:color w:val="auto"/>
                <w:sz w:val="22"/>
                <w:highlight w:val="none"/>
                <w:lang w:val="en-US" w:eastAsia="zh-CN"/>
              </w:rPr>
              <w:t>0</w:t>
            </w:r>
          </w:p>
        </w:tc>
        <w:tc>
          <w:tcPr>
            <w:tcW w:w="865" w:type="pct"/>
            <w:shd w:val="clear" w:color="auto" w:fill="auto"/>
            <w:tcMar>
              <w:left w:w="108" w:type="dxa"/>
              <w:right w:w="108" w:type="dxa"/>
            </w:tcMar>
            <w:vAlign w:val="center"/>
          </w:tcPr>
          <w:p w14:paraId="3B2A4C1A">
            <w:pPr>
              <w:spacing w:line="360" w:lineRule="auto"/>
              <w:jc w:val="center"/>
              <w:rPr>
                <w:rFonts w:hint="default" w:ascii="Times New Roman" w:hAnsi="Times New Roman" w:eastAsia="宋体" w:cs="Times New Roman"/>
                <w:color w:val="auto"/>
                <w:sz w:val="22"/>
                <w:highlight w:val="none"/>
              </w:rPr>
            </w:pPr>
            <w:r>
              <w:rPr>
                <w:rFonts w:hint="default" w:ascii="Times New Roman" w:hAnsi="Times New Roman" w:eastAsia="宋体" w:cs="Times New Roman"/>
                <w:color w:val="auto"/>
                <w:sz w:val="22"/>
                <w:highlight w:val="none"/>
                <w:lang w:val="en-US" w:eastAsia="zh-CN"/>
              </w:rPr>
              <w:t>昼</w:t>
            </w:r>
            <w:r>
              <w:rPr>
                <w:rFonts w:hint="default" w:ascii="Times New Roman" w:hAnsi="Times New Roman" w:eastAsia="宋体" w:cs="Times New Roman"/>
                <w:color w:val="auto"/>
                <w:sz w:val="22"/>
                <w:highlight w:val="none"/>
              </w:rPr>
              <w:t>间≤6</w:t>
            </w:r>
            <w:r>
              <w:rPr>
                <w:rFonts w:hint="default" w:ascii="Times New Roman" w:hAnsi="Times New Roman" w:cs="Times New Roman"/>
                <w:color w:val="auto"/>
                <w:sz w:val="22"/>
                <w:highlight w:val="none"/>
                <w:lang w:val="en-US" w:eastAsia="zh-CN"/>
              </w:rPr>
              <w:t>0</w:t>
            </w:r>
          </w:p>
          <w:p w14:paraId="18AE9052">
            <w:pPr>
              <w:spacing w:line="360" w:lineRule="auto"/>
              <w:jc w:val="center"/>
              <w:rPr>
                <w:rFonts w:hint="default" w:ascii="Times New Roman" w:hAnsi="Times New Roman" w:eastAsia="宋体" w:cs="Times New Roman"/>
                <w:color w:val="auto"/>
                <w:kern w:val="2"/>
                <w:sz w:val="21"/>
                <w:szCs w:val="21"/>
                <w:highlight w:val="none"/>
                <w:lang w:val="en-US" w:eastAsia="zh-CN" w:bidi="ar-SA"/>
                <w14:ligatures w14:val="standardContextual"/>
              </w:rPr>
            </w:pPr>
            <w:r>
              <w:rPr>
                <w:rFonts w:hint="default" w:ascii="Times New Roman" w:hAnsi="Times New Roman" w:eastAsia="宋体" w:cs="Times New Roman"/>
                <w:color w:val="auto"/>
                <w:sz w:val="22"/>
                <w:highlight w:val="none"/>
              </w:rPr>
              <w:t>夜间≤5</w:t>
            </w:r>
            <w:r>
              <w:rPr>
                <w:rFonts w:hint="default" w:ascii="Times New Roman" w:hAnsi="Times New Roman" w:cs="Times New Roman"/>
                <w:color w:val="auto"/>
                <w:sz w:val="22"/>
                <w:highlight w:val="none"/>
                <w:lang w:val="en-US" w:eastAsia="zh-CN"/>
              </w:rPr>
              <w:t>0</w:t>
            </w:r>
          </w:p>
        </w:tc>
      </w:tr>
      <w:tr w14:paraId="50BD2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914" w:type="pct"/>
            <w:vMerge w:val="continue"/>
            <w:tcMar>
              <w:left w:w="108" w:type="dxa"/>
              <w:right w:w="108" w:type="dxa"/>
            </w:tcMar>
            <w:vAlign w:val="center"/>
          </w:tcPr>
          <w:p w14:paraId="4105A4F2">
            <w:pPr>
              <w:spacing w:line="360" w:lineRule="auto"/>
              <w:jc w:val="center"/>
              <w:rPr>
                <w:rFonts w:hint="default" w:ascii="Times New Roman" w:hAnsi="Times New Roman" w:eastAsia="宋体" w:cs="Times New Roman"/>
                <w:color w:val="auto"/>
                <w:sz w:val="21"/>
                <w:szCs w:val="21"/>
                <w:highlight w:val="none"/>
                <w:lang w:val="en-US" w:eastAsia="zh-CN"/>
              </w:rPr>
            </w:pPr>
          </w:p>
        </w:tc>
        <w:tc>
          <w:tcPr>
            <w:tcW w:w="1668" w:type="pct"/>
            <w:gridSpan w:val="3"/>
            <w:shd w:val="clear" w:color="auto" w:fill="auto"/>
            <w:tcMar>
              <w:left w:w="108" w:type="dxa"/>
              <w:right w:w="108" w:type="dxa"/>
            </w:tcMar>
            <w:vAlign w:val="center"/>
          </w:tcPr>
          <w:p w14:paraId="245BC223">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林草植被</w:t>
            </w:r>
            <w:r>
              <w:rPr>
                <w:rFonts w:hint="eastAsia" w:cs="Times New Roman"/>
                <w:color w:val="auto"/>
                <w:sz w:val="21"/>
                <w:szCs w:val="21"/>
                <w:highlight w:val="none"/>
                <w:lang w:val="en-US" w:eastAsia="zh-CN"/>
              </w:rPr>
              <w:t>恢复</w:t>
            </w:r>
            <w:r>
              <w:rPr>
                <w:rFonts w:hint="default" w:ascii="Times New Roman" w:hAnsi="Times New Roman" w:cs="Times New Roman"/>
                <w:color w:val="auto"/>
                <w:sz w:val="21"/>
                <w:szCs w:val="21"/>
                <w:highlight w:val="none"/>
                <w:lang w:val="en-US" w:eastAsia="zh-CN"/>
              </w:rPr>
              <w:t>率</w:t>
            </w:r>
          </w:p>
        </w:tc>
        <w:tc>
          <w:tcPr>
            <w:tcW w:w="663" w:type="pct"/>
            <w:shd w:val="clear" w:color="auto" w:fill="auto"/>
            <w:tcMar>
              <w:left w:w="108" w:type="dxa"/>
              <w:right w:w="108" w:type="dxa"/>
            </w:tcMar>
            <w:vAlign w:val="center"/>
          </w:tcPr>
          <w:p w14:paraId="55CD2055">
            <w:pPr>
              <w:spacing w:line="360" w:lineRule="auto"/>
              <w:jc w:val="center"/>
              <w:rPr>
                <w:rFonts w:hint="default" w:ascii="Times New Roman" w:hAnsi="Times New Roman" w:eastAsia="宋体" w:cs="Times New Roman"/>
                <w:color w:val="auto"/>
                <w:sz w:val="22"/>
                <w:highlight w:val="none"/>
              </w:rPr>
            </w:pPr>
            <w:r>
              <w:rPr>
                <w:rFonts w:hint="default" w:ascii="Times New Roman" w:hAnsi="Times New Roman" w:eastAsia="宋体" w:cs="Times New Roman"/>
                <w:color w:val="auto"/>
                <w:sz w:val="21"/>
                <w:szCs w:val="21"/>
                <w:highlight w:val="none"/>
                <w:lang w:val="en-US" w:eastAsia="zh-CN"/>
              </w:rPr>
              <w:t>%</w:t>
            </w:r>
          </w:p>
        </w:tc>
        <w:tc>
          <w:tcPr>
            <w:tcW w:w="888" w:type="pct"/>
            <w:shd w:val="clear" w:color="auto" w:fill="auto"/>
            <w:tcMar>
              <w:left w:w="108" w:type="dxa"/>
              <w:right w:w="108" w:type="dxa"/>
            </w:tcMar>
            <w:vAlign w:val="center"/>
          </w:tcPr>
          <w:p w14:paraId="32707681">
            <w:pPr>
              <w:spacing w:line="360" w:lineRule="auto"/>
              <w:jc w:val="center"/>
              <w:rPr>
                <w:rFonts w:hint="default" w:ascii="Times New Roman" w:hAnsi="Times New Roman" w:eastAsia="宋体" w:cs="Times New Roman"/>
                <w:color w:val="auto"/>
                <w:sz w:val="22"/>
                <w:highlight w:val="none"/>
                <w:lang w:val="en-US" w:eastAsia="zh-CN"/>
              </w:rPr>
            </w:pPr>
            <w:r>
              <w:rPr>
                <w:rFonts w:hint="default" w:ascii="Times New Roman" w:hAnsi="Times New Roman" w:cs="Times New Roman"/>
                <w:color w:val="auto"/>
                <w:sz w:val="22"/>
                <w:highlight w:val="none"/>
                <w:lang w:val="en-US" w:eastAsia="zh-CN"/>
              </w:rPr>
              <w:t>95</w:t>
            </w:r>
          </w:p>
        </w:tc>
        <w:tc>
          <w:tcPr>
            <w:tcW w:w="865" w:type="pct"/>
            <w:shd w:val="clear" w:color="auto" w:fill="auto"/>
            <w:tcMar>
              <w:left w:w="108" w:type="dxa"/>
              <w:right w:w="108" w:type="dxa"/>
            </w:tcMar>
            <w:vAlign w:val="center"/>
          </w:tcPr>
          <w:p w14:paraId="16A819B1">
            <w:pPr>
              <w:spacing w:line="360" w:lineRule="auto"/>
              <w:jc w:val="center"/>
              <w:rPr>
                <w:rFonts w:hint="default" w:ascii="Times New Roman" w:hAnsi="Times New Roman" w:eastAsia="宋体" w:cs="Times New Roman"/>
                <w:color w:val="auto"/>
                <w:sz w:val="22"/>
                <w:highlight w:val="none"/>
                <w:lang w:val="en-US" w:eastAsia="zh-CN"/>
              </w:rPr>
            </w:pPr>
            <w:r>
              <w:rPr>
                <w:rFonts w:hint="default" w:ascii="Times New Roman" w:hAnsi="Times New Roman" w:cs="Times New Roman"/>
                <w:color w:val="auto"/>
                <w:sz w:val="22"/>
                <w:highlight w:val="none"/>
                <w:lang w:val="en-US" w:eastAsia="zh-CN"/>
              </w:rPr>
              <w:t>95</w:t>
            </w:r>
          </w:p>
        </w:tc>
      </w:tr>
      <w:tr w14:paraId="55B96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914" w:type="pct"/>
            <w:vMerge w:val="continue"/>
            <w:tcMar>
              <w:left w:w="108" w:type="dxa"/>
              <w:right w:w="108" w:type="dxa"/>
            </w:tcMar>
            <w:vAlign w:val="center"/>
          </w:tcPr>
          <w:p w14:paraId="144717E3">
            <w:pPr>
              <w:spacing w:line="360" w:lineRule="auto"/>
              <w:jc w:val="center"/>
              <w:rPr>
                <w:rFonts w:hint="default" w:ascii="Times New Roman" w:hAnsi="Times New Roman" w:eastAsia="宋体" w:cs="Times New Roman"/>
                <w:color w:val="auto"/>
                <w:sz w:val="21"/>
                <w:szCs w:val="21"/>
                <w:highlight w:val="none"/>
                <w:lang w:val="en-US" w:eastAsia="zh-CN"/>
              </w:rPr>
            </w:pPr>
          </w:p>
        </w:tc>
        <w:tc>
          <w:tcPr>
            <w:tcW w:w="1668" w:type="pct"/>
            <w:gridSpan w:val="3"/>
            <w:shd w:val="clear" w:color="auto" w:fill="auto"/>
            <w:tcMar>
              <w:left w:w="108" w:type="dxa"/>
              <w:right w:w="108" w:type="dxa"/>
            </w:tcMar>
            <w:vAlign w:val="center"/>
          </w:tcPr>
          <w:p w14:paraId="4153A6E1">
            <w:pPr>
              <w:spacing w:line="360" w:lineRule="auto"/>
              <w:jc w:val="center"/>
              <w:rPr>
                <w:rFonts w:hint="eastAsia"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矿区</w:t>
            </w:r>
            <w:r>
              <w:rPr>
                <w:rFonts w:hint="eastAsia" w:cs="Times New Roman"/>
                <w:color w:val="auto"/>
                <w:sz w:val="21"/>
                <w:szCs w:val="21"/>
                <w:highlight w:val="none"/>
                <w:lang w:val="en-US" w:eastAsia="zh-CN"/>
              </w:rPr>
              <w:t>可绿化面积</w:t>
            </w:r>
          </w:p>
          <w:p w14:paraId="54C8C671">
            <w:pPr>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绿化覆盖率</w:t>
            </w:r>
          </w:p>
        </w:tc>
        <w:tc>
          <w:tcPr>
            <w:tcW w:w="663" w:type="pct"/>
            <w:shd w:val="clear" w:color="auto" w:fill="auto"/>
            <w:tcMar>
              <w:left w:w="108" w:type="dxa"/>
              <w:right w:w="108" w:type="dxa"/>
            </w:tcMar>
            <w:vAlign w:val="center"/>
          </w:tcPr>
          <w:p w14:paraId="449F47FC">
            <w:pPr>
              <w:spacing w:line="360" w:lineRule="auto"/>
              <w:jc w:val="center"/>
              <w:rPr>
                <w:rFonts w:hint="default" w:ascii="Times New Roman" w:hAnsi="Times New Roman" w:eastAsia="宋体" w:cs="Times New Roman"/>
                <w:color w:val="auto"/>
                <w:sz w:val="22"/>
                <w:highlight w:val="none"/>
              </w:rPr>
            </w:pPr>
            <w:r>
              <w:rPr>
                <w:rFonts w:hint="default" w:ascii="Times New Roman" w:hAnsi="Times New Roman" w:eastAsia="宋体" w:cs="Times New Roman"/>
                <w:color w:val="auto"/>
                <w:sz w:val="21"/>
                <w:szCs w:val="21"/>
                <w:highlight w:val="none"/>
                <w:lang w:val="en-US" w:eastAsia="zh-CN"/>
              </w:rPr>
              <w:t>%</w:t>
            </w:r>
          </w:p>
        </w:tc>
        <w:tc>
          <w:tcPr>
            <w:tcW w:w="888" w:type="pct"/>
            <w:shd w:val="clear" w:color="auto" w:fill="auto"/>
            <w:tcMar>
              <w:left w:w="108" w:type="dxa"/>
              <w:right w:w="108" w:type="dxa"/>
            </w:tcMar>
            <w:vAlign w:val="center"/>
          </w:tcPr>
          <w:p w14:paraId="68AE486A">
            <w:pPr>
              <w:spacing w:line="360" w:lineRule="auto"/>
              <w:jc w:val="center"/>
              <w:rPr>
                <w:rFonts w:hint="default" w:ascii="Times New Roman" w:hAnsi="Times New Roman" w:eastAsia="宋体" w:cs="Times New Roman"/>
                <w:color w:val="auto"/>
                <w:sz w:val="22"/>
                <w:highlight w:val="none"/>
                <w:lang w:val="en-US" w:eastAsia="zh-CN"/>
              </w:rPr>
            </w:pPr>
            <w:r>
              <w:rPr>
                <w:rFonts w:hint="default" w:ascii="Times New Roman" w:hAnsi="Times New Roman" w:cs="Times New Roman"/>
                <w:color w:val="auto"/>
                <w:sz w:val="22"/>
                <w:highlight w:val="none"/>
                <w:lang w:val="en-US" w:eastAsia="zh-CN"/>
              </w:rPr>
              <w:t>100</w:t>
            </w:r>
          </w:p>
        </w:tc>
        <w:tc>
          <w:tcPr>
            <w:tcW w:w="865" w:type="pct"/>
            <w:shd w:val="clear" w:color="auto" w:fill="auto"/>
            <w:tcMar>
              <w:left w:w="108" w:type="dxa"/>
              <w:right w:w="108" w:type="dxa"/>
            </w:tcMar>
            <w:vAlign w:val="center"/>
          </w:tcPr>
          <w:p w14:paraId="41894C21">
            <w:pPr>
              <w:spacing w:line="360" w:lineRule="auto"/>
              <w:jc w:val="center"/>
              <w:rPr>
                <w:rFonts w:hint="default" w:ascii="Times New Roman" w:hAnsi="Times New Roman" w:eastAsia="宋体" w:cs="Times New Roman"/>
                <w:color w:val="auto"/>
                <w:sz w:val="22"/>
                <w:highlight w:val="none"/>
                <w:lang w:val="en-US" w:eastAsia="zh-CN"/>
              </w:rPr>
            </w:pPr>
            <w:r>
              <w:rPr>
                <w:rFonts w:hint="default" w:ascii="Times New Roman" w:hAnsi="Times New Roman" w:cs="Times New Roman"/>
                <w:color w:val="auto"/>
                <w:sz w:val="22"/>
                <w:highlight w:val="none"/>
                <w:lang w:val="en-US" w:eastAsia="zh-CN"/>
              </w:rPr>
              <w:t>100</w:t>
            </w:r>
          </w:p>
        </w:tc>
      </w:tr>
      <w:tr w14:paraId="3E131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914" w:type="pct"/>
            <w:vMerge w:val="restart"/>
            <w:tcMar>
              <w:left w:w="108" w:type="dxa"/>
              <w:right w:w="108" w:type="dxa"/>
            </w:tcMar>
            <w:vAlign w:val="center"/>
          </w:tcPr>
          <w:p w14:paraId="7CE5C48F">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产品</w:t>
            </w:r>
            <w:r>
              <w:rPr>
                <w:rFonts w:hint="default" w:ascii="Times New Roman" w:hAnsi="Times New Roman" w:eastAsia="宋体" w:cs="Times New Roman"/>
                <w:color w:val="auto"/>
                <w:sz w:val="21"/>
                <w:szCs w:val="21"/>
                <w:highlight w:val="none"/>
                <w:lang w:val="en-US" w:eastAsia="zh-CN"/>
              </w:rPr>
              <w:t>属性</w:t>
            </w:r>
          </w:p>
        </w:tc>
        <w:tc>
          <w:tcPr>
            <w:tcW w:w="1668" w:type="pct"/>
            <w:gridSpan w:val="3"/>
            <w:shd w:val="clear" w:color="auto" w:fill="auto"/>
            <w:tcMar>
              <w:left w:w="108" w:type="dxa"/>
              <w:right w:w="108" w:type="dxa"/>
            </w:tcMar>
            <w:vAlign w:val="center"/>
          </w:tcPr>
          <w:p w14:paraId="50E2F653">
            <w:pPr>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lang w:val="en-US" w:eastAsia="zh-CN"/>
              </w:rPr>
              <w:t>稀土</w:t>
            </w:r>
            <w:r>
              <w:rPr>
                <w:rFonts w:hint="default" w:ascii="Times New Roman" w:hAnsi="Times New Roman" w:eastAsia="宋体" w:cs="Times New Roman"/>
                <w:color w:val="auto"/>
                <w:sz w:val="21"/>
                <w:szCs w:val="21"/>
                <w:highlight w:val="none"/>
                <w:lang w:val="en-US" w:eastAsia="zh-CN"/>
              </w:rPr>
              <w:t>精矿品位</w:t>
            </w:r>
            <w:r>
              <w:rPr>
                <w:rFonts w:hint="default" w:ascii="Times New Roman" w:hAnsi="Times New Roman" w:cs="Times New Roman"/>
                <w:color w:val="auto"/>
                <w:sz w:val="21"/>
                <w:szCs w:val="21"/>
                <w:highlight w:val="none"/>
                <w:lang w:val="en-US" w:eastAsia="zh-CN"/>
              </w:rPr>
              <w:t>（REO）</w:t>
            </w:r>
          </w:p>
        </w:tc>
        <w:tc>
          <w:tcPr>
            <w:tcW w:w="663" w:type="pct"/>
            <w:vMerge w:val="restart"/>
            <w:tcMar>
              <w:left w:w="108" w:type="dxa"/>
              <w:right w:w="108" w:type="dxa"/>
            </w:tcMar>
            <w:vAlign w:val="center"/>
          </w:tcPr>
          <w:p w14:paraId="3EFD5EB5">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888" w:type="pct"/>
            <w:tcMar>
              <w:left w:w="108" w:type="dxa"/>
              <w:right w:w="108" w:type="dxa"/>
            </w:tcMar>
            <w:vAlign w:val="center"/>
          </w:tcPr>
          <w:p w14:paraId="3A2B7EF0">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≥58</w:t>
            </w:r>
          </w:p>
        </w:tc>
        <w:tc>
          <w:tcPr>
            <w:tcW w:w="865" w:type="pct"/>
            <w:tcMar>
              <w:left w:w="108" w:type="dxa"/>
              <w:right w:w="108" w:type="dxa"/>
            </w:tcMar>
            <w:vAlign w:val="center"/>
          </w:tcPr>
          <w:p w14:paraId="57524C96">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≥50</w:t>
            </w:r>
          </w:p>
        </w:tc>
      </w:tr>
      <w:tr w14:paraId="3314C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914" w:type="pct"/>
            <w:vMerge w:val="continue"/>
            <w:tcMar>
              <w:left w:w="108" w:type="dxa"/>
              <w:right w:w="108" w:type="dxa"/>
            </w:tcMar>
            <w:vAlign w:val="center"/>
          </w:tcPr>
          <w:p w14:paraId="13F95101">
            <w:pPr>
              <w:spacing w:line="360" w:lineRule="auto"/>
              <w:jc w:val="center"/>
              <w:rPr>
                <w:rFonts w:hint="default" w:ascii="Times New Roman" w:hAnsi="Times New Roman" w:cs="Times New Roman"/>
                <w:color w:val="auto"/>
                <w:sz w:val="21"/>
                <w:szCs w:val="21"/>
                <w:highlight w:val="none"/>
                <w:lang w:val="en-US" w:eastAsia="zh-CN"/>
              </w:rPr>
            </w:pPr>
          </w:p>
        </w:tc>
        <w:tc>
          <w:tcPr>
            <w:tcW w:w="1668" w:type="pct"/>
            <w:gridSpan w:val="3"/>
            <w:shd w:val="clear" w:color="auto" w:fill="auto"/>
            <w:tcMar>
              <w:left w:w="108" w:type="dxa"/>
              <w:right w:w="108" w:type="dxa"/>
            </w:tcMar>
            <w:vAlign w:val="center"/>
          </w:tcPr>
          <w:p w14:paraId="29823DEA">
            <w:pPr>
              <w:spacing w:line="360" w:lineRule="auto"/>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合格率</w:t>
            </w:r>
          </w:p>
        </w:tc>
        <w:tc>
          <w:tcPr>
            <w:tcW w:w="663" w:type="pct"/>
            <w:vMerge w:val="continue"/>
            <w:tcMar>
              <w:left w:w="108" w:type="dxa"/>
              <w:right w:w="108" w:type="dxa"/>
            </w:tcMar>
            <w:vAlign w:val="center"/>
          </w:tcPr>
          <w:p w14:paraId="1BB342F9">
            <w:pPr>
              <w:spacing w:line="360" w:lineRule="auto"/>
              <w:jc w:val="center"/>
              <w:rPr>
                <w:rFonts w:hint="default" w:ascii="Times New Roman" w:hAnsi="Times New Roman" w:eastAsia="宋体" w:cs="Times New Roman"/>
                <w:color w:val="auto"/>
                <w:sz w:val="21"/>
                <w:szCs w:val="21"/>
                <w:highlight w:val="none"/>
                <w:lang w:val="en-US" w:eastAsia="zh-CN"/>
              </w:rPr>
            </w:pPr>
          </w:p>
        </w:tc>
        <w:tc>
          <w:tcPr>
            <w:tcW w:w="888" w:type="pct"/>
            <w:tcMar>
              <w:left w:w="108" w:type="dxa"/>
              <w:right w:w="108" w:type="dxa"/>
            </w:tcMar>
            <w:vAlign w:val="center"/>
          </w:tcPr>
          <w:p w14:paraId="3C30BB94">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9</w:t>
            </w:r>
            <w:r>
              <w:rPr>
                <w:rFonts w:hint="eastAsia" w:cs="Times New Roman"/>
                <w:color w:val="auto"/>
                <w:sz w:val="21"/>
                <w:szCs w:val="21"/>
                <w:highlight w:val="none"/>
                <w:lang w:val="en-US" w:eastAsia="zh-CN"/>
              </w:rPr>
              <w:t>8</w:t>
            </w:r>
          </w:p>
        </w:tc>
        <w:tc>
          <w:tcPr>
            <w:tcW w:w="865" w:type="pct"/>
            <w:tcMar>
              <w:left w:w="108" w:type="dxa"/>
              <w:right w:w="108" w:type="dxa"/>
            </w:tcMar>
            <w:vAlign w:val="center"/>
          </w:tcPr>
          <w:p w14:paraId="413EEED4">
            <w:pPr>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9</w:t>
            </w:r>
            <w:r>
              <w:rPr>
                <w:rFonts w:hint="eastAsia" w:cs="Times New Roman"/>
                <w:color w:val="auto"/>
                <w:sz w:val="21"/>
                <w:szCs w:val="21"/>
                <w:highlight w:val="none"/>
                <w:lang w:val="en-US" w:eastAsia="zh-CN"/>
              </w:rPr>
              <w:t>7</w:t>
            </w:r>
          </w:p>
        </w:tc>
      </w:tr>
    </w:tbl>
    <w:p w14:paraId="0ED99754">
      <w:pPr>
        <w:keepNext w:val="0"/>
        <w:keepLines w:val="0"/>
        <w:pageBreakBefore w:val="0"/>
        <w:widowControl/>
        <w:kinsoku/>
        <w:wordWrap/>
        <w:overflowPunct/>
        <w:topLinePunct w:val="0"/>
        <w:autoSpaceDE/>
        <w:autoSpaceDN/>
        <w:bidi w:val="0"/>
        <w:adjustRightInd w:val="0"/>
        <w:snapToGrid/>
        <w:spacing w:line="360" w:lineRule="exact"/>
        <w:ind w:firstLine="420" w:firstLineChars="200"/>
        <w:textAlignment w:val="auto"/>
        <w:outlineLvl w:val="2"/>
        <w:rPr>
          <w:rFonts w:hint="eastAsia" w:ascii="Times New Roman" w:hAnsi="Times New Roman" w:cs="Times New Roman"/>
          <w:sz w:val="21"/>
          <w:szCs w:val="21"/>
          <w:highlight w:val="none"/>
          <w:lang w:val="en-US" w:eastAsia="zh-CN"/>
        </w:rPr>
      </w:pPr>
      <w:r>
        <w:rPr>
          <w:rFonts w:hint="eastAsia" w:ascii="Times New Roman" w:hAnsi="Times New Roman" w:cs="Times New Roman"/>
          <w:sz w:val="21"/>
          <w:szCs w:val="21"/>
          <w:highlight w:val="none"/>
          <w:lang w:val="en-US" w:eastAsia="zh-CN"/>
        </w:rPr>
        <w:t>注：</w:t>
      </w:r>
    </w:p>
    <w:p w14:paraId="5F7D5E52">
      <w:pPr>
        <w:keepNext w:val="0"/>
        <w:keepLines w:val="0"/>
        <w:pageBreakBefore w:val="0"/>
        <w:widowControl/>
        <w:numPr>
          <w:ilvl w:val="0"/>
          <w:numId w:val="0"/>
        </w:numPr>
        <w:kinsoku/>
        <w:wordWrap/>
        <w:overflowPunct/>
        <w:topLinePunct w:val="0"/>
        <w:autoSpaceDE/>
        <w:autoSpaceDN/>
        <w:bidi w:val="0"/>
        <w:adjustRightInd w:val="0"/>
        <w:snapToGrid/>
        <w:spacing w:line="360" w:lineRule="exact"/>
        <w:ind w:firstLine="420" w:firstLineChars="200"/>
        <w:textAlignment w:val="auto"/>
        <w:outlineLvl w:val="2"/>
        <w:rPr>
          <w:rFonts w:hint="default" w:ascii="Times New Roman" w:hAnsi="Times New Roman" w:cs="Times New Roman"/>
          <w:sz w:val="21"/>
          <w:szCs w:val="21"/>
          <w:highlight w:val="none"/>
          <w:lang w:val="en-US" w:eastAsia="zh-CN"/>
        </w:rPr>
      </w:pPr>
      <w:r>
        <w:rPr>
          <w:rFonts w:hint="eastAsia" w:cs="Times New Roman"/>
          <w:sz w:val="21"/>
          <w:szCs w:val="21"/>
          <w:highlight w:val="none"/>
          <w:lang w:val="en-US" w:eastAsia="zh-CN"/>
        </w:rPr>
        <w:t>1.</w:t>
      </w:r>
      <w:r>
        <w:rPr>
          <w:rFonts w:hint="default" w:ascii="Times New Roman" w:hAnsi="Times New Roman" w:cs="Times New Roman"/>
          <w:sz w:val="21"/>
          <w:szCs w:val="21"/>
          <w:highlight w:val="none"/>
          <w:lang w:val="en-US" w:eastAsia="zh-CN"/>
        </w:rPr>
        <w:t>环保设备运行达标率指统计期内矿石破碎车间布袋除尘器与破碎机同步正常运行、且排气筒颗粒物排放浓度符合GB 26451规定限值的时间，占破碎机运行时间的百分比。</w:t>
      </w:r>
    </w:p>
    <w:p w14:paraId="5ACF29C9">
      <w:pPr>
        <w:keepNext w:val="0"/>
        <w:keepLines w:val="0"/>
        <w:pageBreakBefore w:val="0"/>
        <w:widowControl/>
        <w:numPr>
          <w:ilvl w:val="0"/>
          <w:numId w:val="0"/>
        </w:numPr>
        <w:kinsoku/>
        <w:wordWrap/>
        <w:overflowPunct/>
        <w:topLinePunct w:val="0"/>
        <w:autoSpaceDE/>
        <w:autoSpaceDN/>
        <w:bidi w:val="0"/>
        <w:adjustRightInd w:val="0"/>
        <w:snapToGrid/>
        <w:spacing w:line="360" w:lineRule="exact"/>
        <w:ind w:firstLine="420" w:firstLineChars="200"/>
        <w:textAlignment w:val="auto"/>
        <w:outlineLvl w:val="2"/>
        <w:rPr>
          <w:rFonts w:hint="eastAsia" w:ascii="Times New Roman" w:hAnsi="Times New Roman" w:cs="Times New Roman"/>
          <w:sz w:val="21"/>
          <w:szCs w:val="21"/>
          <w:highlight w:val="none"/>
          <w:lang w:val="en-US" w:eastAsia="zh-CN"/>
        </w:rPr>
      </w:pPr>
      <w:r>
        <w:rPr>
          <w:rFonts w:hint="eastAsia" w:ascii="Times New Roman" w:hAnsi="Times New Roman" w:cs="Times New Roman"/>
          <w:sz w:val="21"/>
          <w:szCs w:val="21"/>
          <w:highlight w:val="none"/>
          <w:lang w:val="en-US" w:eastAsia="zh-CN"/>
        </w:rPr>
        <w:t>2.鉴于</w:t>
      </w:r>
      <w:r>
        <w:rPr>
          <w:rFonts w:hint="eastAsia" w:cs="Times New Roman"/>
          <w:sz w:val="21"/>
          <w:szCs w:val="21"/>
          <w:highlight w:val="none"/>
          <w:lang w:val="en-US" w:eastAsia="zh-CN"/>
        </w:rPr>
        <w:t>氟碳铈矿—</w:t>
      </w:r>
      <w:r>
        <w:rPr>
          <w:rFonts w:hint="eastAsia" w:ascii="Times New Roman" w:hAnsi="Times New Roman" w:cs="Times New Roman"/>
          <w:sz w:val="21"/>
          <w:szCs w:val="21"/>
          <w:highlight w:val="none"/>
          <w:lang w:val="en-US" w:eastAsia="zh-CN"/>
        </w:rPr>
        <w:t>独居石</w:t>
      </w:r>
      <w:r>
        <w:rPr>
          <w:rFonts w:hint="eastAsia" w:cs="Times New Roman"/>
          <w:sz w:val="21"/>
          <w:szCs w:val="21"/>
          <w:highlight w:val="none"/>
          <w:lang w:val="en-US" w:eastAsia="zh-CN"/>
        </w:rPr>
        <w:t>混合</w:t>
      </w:r>
      <w:r>
        <w:rPr>
          <w:rFonts w:hint="eastAsia" w:ascii="Times New Roman" w:hAnsi="Times New Roman" w:cs="Times New Roman"/>
          <w:sz w:val="21"/>
          <w:szCs w:val="21"/>
          <w:highlight w:val="none"/>
          <w:lang w:val="en-US" w:eastAsia="zh-CN"/>
        </w:rPr>
        <w:t>型</w:t>
      </w:r>
      <w:r>
        <w:rPr>
          <w:rFonts w:hint="eastAsia" w:cs="Times New Roman"/>
          <w:sz w:val="21"/>
          <w:szCs w:val="21"/>
          <w:highlight w:val="none"/>
          <w:lang w:val="en-US" w:eastAsia="zh-CN"/>
        </w:rPr>
        <w:t>矿山</w:t>
      </w:r>
      <w:r>
        <w:rPr>
          <w:rFonts w:hint="eastAsia" w:ascii="Times New Roman" w:hAnsi="Times New Roman" w:cs="Times New Roman"/>
          <w:sz w:val="21"/>
          <w:szCs w:val="21"/>
          <w:highlight w:val="none"/>
          <w:lang w:val="en-US" w:eastAsia="zh-CN"/>
        </w:rPr>
        <w:t>天然钍含量较高，尾矿库周围空气氡子体</w:t>
      </w:r>
      <w:r>
        <w:rPr>
          <w:rFonts w:hint="eastAsia" w:cs="Times New Roman"/>
          <w:sz w:val="21"/>
          <w:szCs w:val="21"/>
          <w:highlight w:val="none"/>
          <w:lang w:val="en-US" w:eastAsia="zh-CN"/>
        </w:rPr>
        <w:t>和</w:t>
      </w:r>
      <w:r>
        <w:rPr>
          <w:rFonts w:hint="eastAsia" w:ascii="Times New Roman" w:hAnsi="Times New Roman" w:cs="Times New Roman"/>
          <w:sz w:val="21"/>
          <w:szCs w:val="21"/>
          <w:highlight w:val="none"/>
          <w:lang w:val="en-US" w:eastAsia="zh-CN"/>
        </w:rPr>
        <w:t>钍射气及其子体为重要监测对象，监测结果用于评估尾矿库周边公众的内照射剂量贡献</w:t>
      </w:r>
      <w:r>
        <w:rPr>
          <w:rFonts w:hint="eastAsia" w:cs="Times New Roman"/>
          <w:sz w:val="21"/>
          <w:szCs w:val="21"/>
          <w:highlight w:val="none"/>
          <w:lang w:val="en-US" w:eastAsia="zh-CN"/>
        </w:rPr>
        <w:t>，</w:t>
      </w:r>
      <w:r>
        <w:rPr>
          <w:rFonts w:hint="eastAsia" w:ascii="Times New Roman" w:hAnsi="Times New Roman" w:cs="Times New Roman"/>
          <w:sz w:val="21"/>
          <w:szCs w:val="21"/>
          <w:highlight w:val="none"/>
          <w:lang w:val="en-US" w:eastAsia="zh-CN"/>
        </w:rPr>
        <w:t>Tn子体/Rn子体比值为辅助分析参数</w:t>
      </w:r>
      <w:r>
        <w:rPr>
          <w:rFonts w:hint="eastAsia" w:cs="Times New Roman"/>
          <w:sz w:val="21"/>
          <w:szCs w:val="21"/>
          <w:highlight w:val="none"/>
          <w:lang w:val="en-US" w:eastAsia="zh-CN"/>
        </w:rPr>
        <w:t>。限值参考了GB18871和典型矿山实际监测数据</w:t>
      </w:r>
      <w:r>
        <w:rPr>
          <w:rFonts w:hint="eastAsia" w:ascii="Times New Roman" w:hAnsi="Times New Roman" w:cs="Times New Roman"/>
          <w:sz w:val="21"/>
          <w:szCs w:val="21"/>
          <w:highlight w:val="none"/>
          <w:lang w:val="en-US" w:eastAsia="zh-CN"/>
        </w:rPr>
        <w:t>。</w:t>
      </w:r>
    </w:p>
    <w:p w14:paraId="4DF86EE8">
      <w:pPr>
        <w:rPr>
          <w:rFonts w:hint="default" w:ascii="Times New Roman" w:hAnsi="Times New Roman" w:eastAsia="黑体" w:cs="Times New Roman"/>
          <w:color w:val="auto"/>
          <w:kern w:val="0"/>
          <w:sz w:val="21"/>
          <w:szCs w:val="21"/>
          <w:lang w:val="en-US" w:eastAsia="zh-CN" w:bidi="ar"/>
          <w14:ligatures w14:val="none"/>
        </w:rPr>
      </w:pPr>
      <w:r>
        <w:rPr>
          <w:rFonts w:hint="default" w:ascii="Times New Roman" w:hAnsi="Times New Roman" w:eastAsia="黑体" w:cs="Times New Roman"/>
          <w:color w:val="auto"/>
          <w:kern w:val="0"/>
          <w:sz w:val="21"/>
          <w:szCs w:val="21"/>
          <w:lang w:val="en-US" w:eastAsia="zh-CN" w:bidi="ar"/>
          <w14:ligatures w14:val="none"/>
        </w:rPr>
        <w:br w:type="page"/>
      </w:r>
    </w:p>
    <w:p w14:paraId="574E975B">
      <w:pPr>
        <w:widowControl w:val="0"/>
        <w:spacing w:line="360" w:lineRule="exact"/>
        <w:ind w:firstLine="420"/>
        <w:jc w:val="center"/>
        <w:outlineLvl w:val="0"/>
        <w:rPr>
          <w:rFonts w:hint="default" w:ascii="Times New Roman" w:hAnsi="Times New Roman" w:eastAsia="黑体" w:cs="Times New Roman"/>
          <w:color w:val="auto"/>
          <w:kern w:val="0"/>
          <w:sz w:val="21"/>
          <w:szCs w:val="21"/>
          <w:lang w:val="en-US" w:eastAsia="zh-CN" w:bidi="ar"/>
          <w14:ligatures w14:val="none"/>
        </w:rPr>
      </w:pPr>
      <w:bookmarkStart w:id="15" w:name="_Toc23474"/>
      <w:r>
        <w:rPr>
          <w:rFonts w:hint="default" w:ascii="Times New Roman" w:hAnsi="Times New Roman" w:eastAsia="黑体" w:cs="Times New Roman"/>
          <w:color w:val="auto"/>
          <w:kern w:val="0"/>
          <w:sz w:val="21"/>
          <w:szCs w:val="21"/>
          <w:lang w:val="en-US" w:eastAsia="zh-CN" w:bidi="ar"/>
          <w14:ligatures w14:val="none"/>
        </w:rPr>
        <w:t>附录A</w:t>
      </w:r>
      <w:bookmarkEnd w:id="15"/>
    </w:p>
    <w:p w14:paraId="23A96CAB">
      <w:pPr>
        <w:widowControl w:val="0"/>
        <w:spacing w:line="360" w:lineRule="exact"/>
        <w:ind w:firstLine="420"/>
        <w:jc w:val="center"/>
        <w:outlineLvl w:val="9"/>
        <w:rPr>
          <w:rFonts w:hint="default" w:ascii="Times New Roman" w:hAnsi="Times New Roman" w:eastAsia="黑体" w:cs="Times New Roman"/>
          <w:color w:val="auto"/>
          <w:kern w:val="0"/>
          <w:sz w:val="21"/>
          <w:szCs w:val="21"/>
          <w:lang w:val="en-US" w:eastAsia="zh-CN" w:bidi="ar"/>
          <w14:ligatures w14:val="none"/>
        </w:rPr>
      </w:pPr>
      <w:r>
        <w:rPr>
          <w:rFonts w:hint="default" w:ascii="Times New Roman" w:hAnsi="Times New Roman" w:eastAsia="黑体" w:cs="Times New Roman"/>
          <w:color w:val="auto"/>
          <w:kern w:val="0"/>
          <w:sz w:val="21"/>
          <w:szCs w:val="21"/>
          <w:lang w:val="en-US" w:eastAsia="zh-CN" w:bidi="ar"/>
          <w14:ligatures w14:val="none"/>
        </w:rPr>
        <w:t>（规范性）</w:t>
      </w:r>
    </w:p>
    <w:p w14:paraId="3819EDF0">
      <w:pPr>
        <w:widowControl w:val="0"/>
        <w:spacing w:line="360" w:lineRule="exact"/>
        <w:ind w:firstLine="420"/>
        <w:jc w:val="center"/>
        <w:outlineLvl w:val="9"/>
        <w:rPr>
          <w:rFonts w:hint="default" w:ascii="Times New Roman" w:hAnsi="Times New Roman" w:eastAsia="黑体" w:cs="Times New Roman"/>
          <w:color w:val="auto"/>
          <w:kern w:val="0"/>
          <w:sz w:val="21"/>
          <w:szCs w:val="21"/>
          <w:lang w:val="en-US" w:eastAsia="zh-CN" w:bidi="ar"/>
          <w14:ligatures w14:val="none"/>
        </w:rPr>
      </w:pPr>
      <w:r>
        <w:rPr>
          <w:rFonts w:hint="default" w:ascii="Times New Roman" w:hAnsi="Times New Roman" w:eastAsia="黑体" w:cs="Times New Roman"/>
          <w:color w:val="auto"/>
          <w:kern w:val="0"/>
          <w:sz w:val="21"/>
          <w:szCs w:val="21"/>
          <w:lang w:val="en-US" w:eastAsia="zh-CN" w:bidi="ar"/>
          <w14:ligatures w14:val="none"/>
        </w:rPr>
        <w:t>绿色</w:t>
      </w:r>
      <w:r>
        <w:rPr>
          <w:rFonts w:hint="eastAsia" w:eastAsia="黑体" w:cs="Times New Roman"/>
          <w:color w:val="auto"/>
          <w:kern w:val="0"/>
          <w:sz w:val="21"/>
          <w:szCs w:val="21"/>
          <w:lang w:val="en-US" w:eastAsia="zh-CN" w:bidi="ar"/>
          <w14:ligatures w14:val="none"/>
        </w:rPr>
        <w:t>开采要求</w:t>
      </w:r>
      <w:r>
        <w:rPr>
          <w:rFonts w:hint="default" w:ascii="Times New Roman" w:hAnsi="Times New Roman" w:eastAsia="黑体" w:cs="Times New Roman"/>
          <w:color w:val="auto"/>
          <w:kern w:val="0"/>
          <w:sz w:val="21"/>
          <w:szCs w:val="21"/>
          <w:lang w:val="en-US" w:eastAsia="zh-CN" w:bidi="ar"/>
          <w14:ligatures w14:val="none"/>
        </w:rPr>
        <w:t>指标计算方法</w:t>
      </w:r>
    </w:p>
    <w:p w14:paraId="035E6E2D">
      <w:pPr>
        <w:keepNext w:val="0"/>
        <w:keepLines w:val="0"/>
        <w:pageBreakBefore w:val="0"/>
        <w:widowControl/>
        <w:kinsoku/>
        <w:wordWrap/>
        <w:overflowPunct/>
        <w:topLinePunct w:val="0"/>
        <w:autoSpaceDE/>
        <w:autoSpaceDN/>
        <w:bidi w:val="0"/>
        <w:adjustRightInd w:val="0"/>
        <w:snapToGrid/>
        <w:spacing w:line="360" w:lineRule="auto"/>
        <w:textAlignment w:val="auto"/>
        <w:outlineLvl w:val="1"/>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 xml:space="preserve">A.1 稀土开采回采率 </w:t>
      </w:r>
    </w:p>
    <w:p w14:paraId="4725B2DA">
      <w:pPr>
        <w:adjustRightInd w:val="0"/>
        <w:snapToGrid w:val="0"/>
        <w:spacing w:before="156" w:beforeLines="50" w:after="156" w:afterLines="5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按照公式（1）计算</w:t>
      </w:r>
      <w:r>
        <w:rPr>
          <w:rFonts w:hint="default" w:ascii="Times New Roman" w:hAnsi="Times New Roman" w:cs="Times New Roman"/>
          <w:sz w:val="21"/>
          <w:szCs w:val="21"/>
          <w:highlight w:val="none"/>
          <w:lang w:val="en-US" w:eastAsia="zh-CN"/>
        </w:rPr>
        <w:t>稀土</w:t>
      </w:r>
      <w:r>
        <w:rPr>
          <w:rFonts w:hint="default" w:ascii="Times New Roman" w:hAnsi="Times New Roman" w:cs="Times New Roman"/>
          <w:sz w:val="21"/>
          <w:szCs w:val="21"/>
          <w:highlight w:val="none"/>
        </w:rPr>
        <w:t>开采回采率：</w:t>
      </w:r>
    </w:p>
    <w:p w14:paraId="16E7D9B4">
      <w:pPr>
        <w:keepNext w:val="0"/>
        <w:keepLines w:val="0"/>
        <w:pageBreakBefore w:val="0"/>
        <w:widowControl/>
        <w:kinsoku/>
        <w:wordWrap/>
        <w:overflowPunct/>
        <w:topLinePunct w:val="0"/>
        <w:autoSpaceDE/>
        <w:autoSpaceDN/>
        <w:bidi w:val="0"/>
        <w:adjustRightInd w:val="0"/>
        <w:snapToGrid/>
        <w:spacing w:line="360" w:lineRule="auto"/>
        <w:jc w:val="center"/>
        <w:textAlignment w:val="auto"/>
        <w:outlineLvl w:val="9"/>
        <w:rPr>
          <w:rFonts w:hint="default" w:ascii="Times New Roman" w:hAnsi="Times New Roman" w:cs="Times New Roman"/>
          <w:i w:val="0"/>
          <w:sz w:val="21"/>
          <w:szCs w:val="21"/>
          <w:highlight w:val="none"/>
          <w:lang w:val="en-US" w:eastAsia="zh-CN"/>
        </w:rPr>
      </w:pPr>
      <m:oMath>
        <m:r>
          <m:rPr>
            <m:nor/>
            <m:sty m:val="p"/>
          </m:rPr>
          <w:rPr>
            <w:rFonts w:hint="default" w:ascii="Times New Roman" w:hAnsi="Times New Roman" w:cs="Times New Roman"/>
            <w:b w:val="0"/>
            <w:i w:val="0"/>
            <w:sz w:val="21"/>
            <w:szCs w:val="21"/>
            <w:highlight w:val="none"/>
            <w:lang w:val="en-US" w:eastAsia="zh-CN"/>
          </w:rPr>
          <m:t>K=</m:t>
        </m:r>
        <m:f>
          <m:fPr>
            <m:ctrlPr>
              <w:rPr>
                <w:rFonts w:hint="default" w:ascii="Cambria Math" w:hAnsi="Cambria Math" w:cs="Times New Roman"/>
                <w:i w:val="0"/>
                <w:sz w:val="21"/>
                <w:szCs w:val="21"/>
                <w:highlight w:val="none"/>
                <w:lang w:val="en-US" w:eastAsia="zh-CN"/>
              </w:rPr>
            </m:ctrlPr>
          </m:fPr>
          <m:num>
            <m:sSub>
              <m:sSubPr>
                <m:ctrlPr>
                  <w:rPr>
                    <w:rFonts w:hint="default" w:ascii="Cambria Math" w:hAnsi="Cambria Math" w:cs="Times New Roman"/>
                    <w:i w:val="0"/>
                    <w:sz w:val="21"/>
                    <w:szCs w:val="21"/>
                    <w:highlight w:val="none"/>
                    <w:lang w:val="en-US" w:eastAsia="zh-CN"/>
                  </w:rPr>
                </m:ctrlPr>
              </m:sSubPr>
              <m:e>
                <m:r>
                  <m:rPr>
                    <m:nor/>
                    <m:sty m:val="p"/>
                  </m:rPr>
                  <w:rPr>
                    <w:rFonts w:hint="default" w:ascii="Times New Roman" w:hAnsi="Times New Roman" w:cs="Times New Roman"/>
                    <w:b w:val="0"/>
                    <w:i w:val="0"/>
                    <w:sz w:val="21"/>
                    <w:szCs w:val="21"/>
                    <w:highlight w:val="none"/>
                    <w:lang w:val="en-US" w:eastAsia="zh-CN"/>
                  </w:rPr>
                  <m:t>Q</m:t>
                </m:r>
                <m:ctrlPr>
                  <w:rPr>
                    <w:rFonts w:hint="default" w:ascii="Cambria Math" w:hAnsi="Cambria Math" w:cs="Times New Roman"/>
                    <w:i w:val="0"/>
                    <w:sz w:val="21"/>
                    <w:szCs w:val="21"/>
                    <w:highlight w:val="none"/>
                    <w:lang w:val="en-US" w:eastAsia="zh-CN"/>
                  </w:rPr>
                </m:ctrlPr>
              </m:e>
              <m:sub>
                <m:r>
                  <m:rPr>
                    <m:nor/>
                    <m:sty m:val="p"/>
                  </m:rPr>
                  <w:rPr>
                    <w:rFonts w:hint="default" w:ascii="Times New Roman" w:hAnsi="Times New Roman" w:cs="Times New Roman"/>
                    <w:b w:val="0"/>
                    <w:i w:val="0"/>
                    <w:sz w:val="21"/>
                    <w:szCs w:val="21"/>
                    <w:highlight w:val="none"/>
                    <w:lang w:val="en-US" w:eastAsia="zh-CN"/>
                  </w:rPr>
                  <m:t>C</m:t>
                </m:r>
                <m:ctrlPr>
                  <w:rPr>
                    <w:rFonts w:hint="default" w:ascii="Cambria Math" w:hAnsi="Cambria Math" w:cs="Times New Roman"/>
                    <w:i w:val="0"/>
                    <w:sz w:val="21"/>
                    <w:szCs w:val="21"/>
                    <w:highlight w:val="none"/>
                    <w:lang w:val="en-US" w:eastAsia="zh-CN"/>
                  </w:rPr>
                </m:ctrlPr>
              </m:sub>
            </m:sSub>
            <m:ctrlPr>
              <w:rPr>
                <w:rFonts w:hint="default" w:ascii="Cambria Math" w:hAnsi="Cambria Math" w:cs="Times New Roman"/>
                <w:i w:val="0"/>
                <w:sz w:val="21"/>
                <w:szCs w:val="21"/>
                <w:highlight w:val="none"/>
                <w:lang w:val="en-US" w:eastAsia="zh-CN"/>
              </w:rPr>
            </m:ctrlPr>
          </m:num>
          <m:den>
            <m:r>
              <m:rPr>
                <m:nor/>
                <m:sty m:val="p"/>
              </m:rPr>
              <w:rPr>
                <w:rFonts w:hint="default" w:ascii="Times New Roman" w:hAnsi="Times New Roman" w:cs="Times New Roman"/>
                <w:b w:val="0"/>
                <w:i w:val="0"/>
                <w:sz w:val="21"/>
                <w:szCs w:val="21"/>
                <w:highlight w:val="none"/>
                <w:lang w:val="en-US" w:eastAsia="zh-CN"/>
              </w:rPr>
              <m:t>Q</m:t>
            </m:r>
            <m:ctrlPr>
              <w:rPr>
                <w:rFonts w:hint="default" w:ascii="Cambria Math" w:hAnsi="Cambria Math" w:cs="Times New Roman"/>
                <w:i w:val="0"/>
                <w:sz w:val="21"/>
                <w:szCs w:val="21"/>
                <w:highlight w:val="none"/>
                <w:lang w:val="en-US" w:eastAsia="zh-CN"/>
              </w:rPr>
            </m:ctrlPr>
          </m:den>
        </m:f>
        <m:r>
          <m:rPr>
            <m:nor/>
            <m:sty m:val="p"/>
          </m:rPr>
          <w:rPr>
            <w:rFonts w:hint="default" w:ascii="Times New Roman" w:hAnsi="Times New Roman" w:cs="Times New Roman"/>
            <w:b w:val="0"/>
            <w:i w:val="0"/>
            <w:sz w:val="21"/>
            <w:szCs w:val="21"/>
            <w:highlight w:val="none"/>
            <w:lang w:val="en-US" w:eastAsia="zh-CN"/>
          </w:rPr>
          <m:t>×100%=</m:t>
        </m:r>
        <m:f>
          <m:fPr>
            <m:ctrlPr>
              <w:rPr>
                <w:rFonts w:hint="default" w:ascii="Cambria Math" w:hAnsi="Cambria Math" w:cs="Times New Roman"/>
                <w:i w:val="0"/>
                <w:sz w:val="21"/>
                <w:szCs w:val="21"/>
                <w:highlight w:val="none"/>
                <w:lang w:val="en-US" w:eastAsia="zh-CN"/>
              </w:rPr>
            </m:ctrlPr>
          </m:fPr>
          <m:num>
            <m:sSub>
              <m:sSubPr>
                <m:ctrlPr>
                  <w:rPr>
                    <w:rFonts w:hint="default" w:ascii="Cambria Math" w:hAnsi="Cambria Math" w:cs="Times New Roman"/>
                    <w:i w:val="0"/>
                    <w:sz w:val="21"/>
                    <w:szCs w:val="21"/>
                    <w:highlight w:val="none"/>
                    <w:lang w:val="en-US" w:eastAsia="zh-CN"/>
                  </w:rPr>
                </m:ctrlPr>
              </m:sSubPr>
              <m:e>
                <m:r>
                  <m:rPr>
                    <m:nor/>
                    <m:sty m:val="p"/>
                  </m:rPr>
                  <w:rPr>
                    <w:rFonts w:hint="default" w:ascii="Times New Roman" w:hAnsi="Times New Roman" w:cs="Times New Roman"/>
                    <w:b w:val="0"/>
                    <w:i w:val="0"/>
                    <w:sz w:val="21"/>
                    <w:szCs w:val="21"/>
                    <w:highlight w:val="none"/>
                    <w:lang w:val="en-US" w:eastAsia="zh-CN"/>
                  </w:rPr>
                  <m:t>Q−Q</m:t>
                </m:r>
                <m:ctrlPr>
                  <w:rPr>
                    <w:rFonts w:hint="default" w:ascii="Cambria Math" w:hAnsi="Cambria Math" w:cs="Times New Roman"/>
                    <w:i w:val="0"/>
                    <w:sz w:val="21"/>
                    <w:szCs w:val="21"/>
                    <w:highlight w:val="none"/>
                    <w:lang w:val="en-US" w:eastAsia="zh-CN"/>
                  </w:rPr>
                </m:ctrlPr>
              </m:e>
              <m:sub>
                <m:r>
                  <m:rPr>
                    <m:nor/>
                    <m:sty m:val="p"/>
                  </m:rPr>
                  <w:rPr>
                    <w:rFonts w:hint="default" w:ascii="Times New Roman" w:hAnsi="Times New Roman" w:cs="Times New Roman"/>
                    <w:b w:val="0"/>
                    <w:i w:val="0"/>
                    <w:sz w:val="21"/>
                    <w:szCs w:val="21"/>
                    <w:highlight w:val="none"/>
                    <w:lang w:val="en-US" w:eastAsia="zh-CN"/>
                  </w:rPr>
                  <m:t>S</m:t>
                </m:r>
                <m:ctrlPr>
                  <w:rPr>
                    <w:rFonts w:hint="default" w:ascii="Cambria Math" w:hAnsi="Cambria Math" w:cs="Times New Roman"/>
                    <w:i w:val="0"/>
                    <w:sz w:val="21"/>
                    <w:szCs w:val="21"/>
                    <w:highlight w:val="none"/>
                    <w:lang w:val="en-US" w:eastAsia="zh-CN"/>
                  </w:rPr>
                </m:ctrlPr>
              </m:sub>
            </m:sSub>
            <m:ctrlPr>
              <w:rPr>
                <w:rFonts w:hint="default" w:ascii="Cambria Math" w:hAnsi="Cambria Math" w:cs="Times New Roman"/>
                <w:i w:val="0"/>
                <w:sz w:val="21"/>
                <w:szCs w:val="21"/>
                <w:highlight w:val="none"/>
                <w:lang w:val="en-US" w:eastAsia="zh-CN"/>
              </w:rPr>
            </m:ctrlPr>
          </m:num>
          <m:den>
            <m:r>
              <m:rPr>
                <m:nor/>
                <m:sty m:val="p"/>
              </m:rPr>
              <w:rPr>
                <w:rFonts w:hint="default" w:ascii="Times New Roman" w:hAnsi="Times New Roman" w:cs="Times New Roman"/>
                <w:b w:val="0"/>
                <w:i w:val="0"/>
                <w:sz w:val="21"/>
                <w:szCs w:val="21"/>
                <w:highlight w:val="none"/>
                <w:lang w:val="en-US" w:eastAsia="zh-CN"/>
              </w:rPr>
              <m:t>Q</m:t>
            </m:r>
            <m:ctrlPr>
              <w:rPr>
                <w:rFonts w:hint="default" w:ascii="Cambria Math" w:hAnsi="Cambria Math" w:cs="Times New Roman"/>
                <w:i w:val="0"/>
                <w:sz w:val="21"/>
                <w:szCs w:val="21"/>
                <w:highlight w:val="none"/>
                <w:lang w:val="en-US" w:eastAsia="zh-CN"/>
              </w:rPr>
            </m:ctrlPr>
          </m:den>
        </m:f>
        <m:r>
          <m:rPr>
            <m:nor/>
            <m:sty m:val="p"/>
          </m:rPr>
          <w:rPr>
            <w:rFonts w:hint="default" w:ascii="Times New Roman" w:hAnsi="Times New Roman" w:cs="Times New Roman"/>
            <w:b w:val="0"/>
            <w:i w:val="0"/>
            <w:sz w:val="21"/>
            <w:szCs w:val="21"/>
            <w:highlight w:val="none"/>
            <w:lang w:val="en-US" w:eastAsia="zh-CN"/>
          </w:rPr>
          <m:t>×100%=</m:t>
        </m:r>
        <m:d>
          <m:dPr>
            <m:ctrlPr>
              <w:rPr>
                <w:rFonts w:hint="default" w:ascii="Cambria Math" w:hAnsi="Cambria Math" w:cs="Times New Roman"/>
                <w:i w:val="0"/>
                <w:sz w:val="21"/>
                <w:szCs w:val="21"/>
                <w:highlight w:val="none"/>
                <w:lang w:val="en-US" w:eastAsia="zh-CN"/>
              </w:rPr>
            </m:ctrlPr>
          </m:dPr>
          <m:e>
            <m:r>
              <m:rPr>
                <m:nor/>
                <m:sty m:val="p"/>
              </m:rPr>
              <w:rPr>
                <w:rFonts w:hint="default" w:ascii="Times New Roman" w:hAnsi="Times New Roman" w:cs="Times New Roman"/>
                <w:b w:val="0"/>
                <w:i w:val="0"/>
                <w:sz w:val="21"/>
                <w:szCs w:val="21"/>
                <w:highlight w:val="none"/>
                <w:lang w:val="en-US" w:eastAsia="zh-CN"/>
              </w:rPr>
              <m:t>1−S</m:t>
            </m:r>
            <m:ctrlPr>
              <w:rPr>
                <w:rFonts w:hint="default" w:ascii="Cambria Math" w:hAnsi="Cambria Math" w:cs="Times New Roman"/>
                <w:i w:val="0"/>
                <w:sz w:val="21"/>
                <w:szCs w:val="21"/>
                <w:highlight w:val="none"/>
                <w:lang w:val="en-US" w:eastAsia="zh-CN"/>
              </w:rPr>
            </m:ctrlPr>
          </m:e>
        </m:d>
        <m:r>
          <m:rPr>
            <m:nor/>
            <m:sty m:val="p"/>
          </m:rPr>
          <w:rPr>
            <w:rFonts w:hint="default" w:ascii="Times New Roman" w:hAnsi="Times New Roman" w:cs="Times New Roman"/>
            <w:b w:val="0"/>
            <w:i w:val="0"/>
            <w:sz w:val="21"/>
            <w:szCs w:val="21"/>
            <w:highlight w:val="none"/>
            <w:lang w:val="en-US" w:eastAsia="zh-CN"/>
          </w:rPr>
          <m:t>×100%</m:t>
        </m:r>
      </m:oMath>
      <w:r>
        <w:rPr>
          <w:rFonts w:hint="default" w:ascii="Times New Roman" w:hAnsi="Times New Roman" w:cs="Times New Roman"/>
          <w:i w:val="0"/>
          <w:sz w:val="21"/>
          <w:szCs w:val="21"/>
          <w:highlight w:val="none"/>
          <w:lang w:val="en-US" w:eastAsia="zh-CN"/>
        </w:rPr>
        <w:t>（1）</w:t>
      </w:r>
    </w:p>
    <w:p w14:paraId="3217C798">
      <w:pPr>
        <w:adjustRightInd w:val="0"/>
        <w:snapToGrid w:val="0"/>
        <w:spacing w:before="156" w:beforeLines="50" w:after="156" w:afterLines="5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式中：</w:t>
      </w:r>
    </w:p>
    <w:p w14:paraId="5042CE13">
      <w:pPr>
        <w:adjustRightInd w:val="0"/>
        <w:snapToGrid w:val="0"/>
        <w:spacing w:before="156" w:beforeLines="50" w:after="156" w:afterLines="5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K—</w:t>
      </w:r>
      <w:r>
        <w:rPr>
          <w:rFonts w:hint="default" w:ascii="Times New Roman" w:hAnsi="Times New Roman" w:cs="Times New Roman"/>
          <w:sz w:val="21"/>
          <w:szCs w:val="21"/>
          <w:highlight w:val="none"/>
          <w:lang w:val="en-US" w:eastAsia="zh-CN"/>
        </w:rPr>
        <w:t>稀土</w:t>
      </w:r>
      <w:r>
        <w:rPr>
          <w:rFonts w:hint="default" w:ascii="Times New Roman" w:hAnsi="Times New Roman" w:cs="Times New Roman"/>
          <w:sz w:val="21"/>
          <w:szCs w:val="21"/>
          <w:highlight w:val="none"/>
        </w:rPr>
        <w:t>开采回采率；</w:t>
      </w:r>
    </w:p>
    <w:p w14:paraId="0E42D10F">
      <w:pPr>
        <w:adjustRightInd w:val="0"/>
        <w:snapToGrid w:val="0"/>
        <w:spacing w:before="156" w:beforeLines="50" w:after="156" w:afterLines="5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Q</w:t>
      </w:r>
      <w:r>
        <w:rPr>
          <w:rFonts w:hint="default" w:ascii="Times New Roman" w:hAnsi="Times New Roman" w:cs="Times New Roman"/>
          <w:sz w:val="21"/>
          <w:szCs w:val="21"/>
          <w:highlight w:val="none"/>
          <w:vertAlign w:val="subscript"/>
        </w:rPr>
        <w:t>C</w:t>
      </w:r>
      <w:r>
        <w:rPr>
          <w:rFonts w:hint="default" w:ascii="Times New Roman" w:hAnsi="Times New Roman" w:cs="Times New Roman"/>
          <w:sz w:val="21"/>
          <w:szCs w:val="21"/>
          <w:highlight w:val="none"/>
        </w:rPr>
        <w:t>—当期采出的纯</w:t>
      </w:r>
      <w:r>
        <w:rPr>
          <w:rFonts w:hint="default" w:ascii="Times New Roman" w:hAnsi="Times New Roman" w:cs="Times New Roman"/>
          <w:sz w:val="21"/>
          <w:szCs w:val="21"/>
          <w:highlight w:val="none"/>
          <w:lang w:val="en-US" w:eastAsia="zh-CN"/>
        </w:rPr>
        <w:t>稀土</w:t>
      </w:r>
      <w:r>
        <w:rPr>
          <w:rFonts w:hint="default" w:ascii="Times New Roman" w:hAnsi="Times New Roman" w:cs="Times New Roman"/>
          <w:sz w:val="21"/>
          <w:szCs w:val="21"/>
          <w:highlight w:val="none"/>
        </w:rPr>
        <w:t>矿石量(资源储量)，单位为吨</w:t>
      </w:r>
      <w:r>
        <w:rPr>
          <w:rFonts w:hint="eastAsia" w:cs="Times New Roman"/>
          <w:sz w:val="21"/>
          <w:szCs w:val="21"/>
          <w:highlight w:val="none"/>
          <w:lang w:eastAsia="zh-CN"/>
        </w:rPr>
        <w:t>（</w:t>
      </w:r>
      <w:r>
        <w:rPr>
          <w:rFonts w:hint="default" w:ascii="Times New Roman" w:hAnsi="Times New Roman" w:cs="Times New Roman"/>
          <w:sz w:val="21"/>
          <w:szCs w:val="21"/>
          <w:highlight w:val="none"/>
        </w:rPr>
        <w:t>t</w:t>
      </w:r>
      <w:r>
        <w:rPr>
          <w:rFonts w:hint="eastAsia" w:cs="Times New Roman"/>
          <w:sz w:val="21"/>
          <w:szCs w:val="21"/>
          <w:highlight w:val="none"/>
          <w:lang w:eastAsia="zh-CN"/>
        </w:rPr>
        <w:t>）</w:t>
      </w:r>
      <w:r>
        <w:rPr>
          <w:rFonts w:hint="default" w:ascii="Times New Roman" w:hAnsi="Times New Roman" w:cs="Times New Roman"/>
          <w:sz w:val="21"/>
          <w:szCs w:val="21"/>
          <w:highlight w:val="none"/>
        </w:rPr>
        <w:t>；</w:t>
      </w:r>
    </w:p>
    <w:p w14:paraId="2054A8B2">
      <w:pPr>
        <w:adjustRightInd w:val="0"/>
        <w:snapToGrid w:val="0"/>
        <w:spacing w:before="156" w:beforeLines="50" w:after="156" w:afterLines="5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Q—当期消耗的</w:t>
      </w:r>
      <w:r>
        <w:rPr>
          <w:rFonts w:hint="default" w:ascii="Times New Roman" w:hAnsi="Times New Roman" w:cs="Times New Roman"/>
          <w:sz w:val="21"/>
          <w:szCs w:val="21"/>
          <w:highlight w:val="none"/>
          <w:lang w:val="en-US" w:eastAsia="zh-CN"/>
        </w:rPr>
        <w:t>稀土</w:t>
      </w:r>
      <w:r>
        <w:rPr>
          <w:rFonts w:hint="default" w:ascii="Times New Roman" w:hAnsi="Times New Roman" w:cs="Times New Roman"/>
          <w:sz w:val="21"/>
          <w:szCs w:val="21"/>
          <w:highlight w:val="none"/>
        </w:rPr>
        <w:t>矿产资源储量，单位为吨</w:t>
      </w:r>
      <w:r>
        <w:rPr>
          <w:rFonts w:hint="eastAsia" w:cs="Times New Roman"/>
          <w:sz w:val="21"/>
          <w:szCs w:val="21"/>
          <w:highlight w:val="none"/>
          <w:lang w:eastAsia="zh-CN"/>
        </w:rPr>
        <w:t>（</w:t>
      </w:r>
      <w:r>
        <w:rPr>
          <w:rFonts w:hint="default" w:ascii="Times New Roman" w:hAnsi="Times New Roman" w:cs="Times New Roman"/>
          <w:sz w:val="21"/>
          <w:szCs w:val="21"/>
          <w:highlight w:val="none"/>
        </w:rPr>
        <w:t>t</w:t>
      </w:r>
      <w:r>
        <w:rPr>
          <w:rFonts w:hint="eastAsia" w:cs="Times New Roman"/>
          <w:sz w:val="21"/>
          <w:szCs w:val="21"/>
          <w:highlight w:val="none"/>
          <w:lang w:eastAsia="zh-CN"/>
        </w:rPr>
        <w:t>）</w:t>
      </w:r>
      <w:r>
        <w:rPr>
          <w:rFonts w:hint="default" w:ascii="Times New Roman" w:hAnsi="Times New Roman" w:cs="Times New Roman"/>
          <w:sz w:val="21"/>
          <w:szCs w:val="21"/>
          <w:highlight w:val="none"/>
        </w:rPr>
        <w:t>；</w:t>
      </w:r>
    </w:p>
    <w:p w14:paraId="43BEB712">
      <w:pPr>
        <w:adjustRightInd w:val="0"/>
        <w:snapToGrid w:val="0"/>
        <w:spacing w:before="156" w:beforeLines="50" w:after="156" w:afterLines="5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Q</w:t>
      </w:r>
      <w:r>
        <w:rPr>
          <w:rFonts w:hint="default" w:ascii="Times New Roman" w:hAnsi="Times New Roman" w:cs="Times New Roman"/>
          <w:sz w:val="21"/>
          <w:szCs w:val="21"/>
          <w:highlight w:val="none"/>
          <w:vertAlign w:val="subscript"/>
        </w:rPr>
        <w:t>S</w:t>
      </w:r>
      <w:r>
        <w:rPr>
          <w:rFonts w:hint="default" w:ascii="Times New Roman" w:hAnsi="Times New Roman" w:cs="Times New Roman"/>
          <w:sz w:val="21"/>
          <w:szCs w:val="21"/>
          <w:highlight w:val="none"/>
        </w:rPr>
        <w:t>—当期损失的</w:t>
      </w:r>
      <w:r>
        <w:rPr>
          <w:rFonts w:hint="default" w:ascii="Times New Roman" w:hAnsi="Times New Roman" w:cs="Times New Roman"/>
          <w:sz w:val="21"/>
          <w:szCs w:val="21"/>
          <w:highlight w:val="none"/>
          <w:lang w:val="en-US" w:eastAsia="zh-CN"/>
        </w:rPr>
        <w:t>稀土</w:t>
      </w:r>
      <w:r>
        <w:rPr>
          <w:rFonts w:hint="default" w:ascii="Times New Roman" w:hAnsi="Times New Roman" w:cs="Times New Roman"/>
          <w:sz w:val="21"/>
          <w:szCs w:val="21"/>
          <w:highlight w:val="none"/>
        </w:rPr>
        <w:t>矿产资源储量，单位为吨</w:t>
      </w:r>
      <w:r>
        <w:rPr>
          <w:rFonts w:hint="eastAsia" w:cs="Times New Roman"/>
          <w:sz w:val="21"/>
          <w:szCs w:val="21"/>
          <w:highlight w:val="none"/>
          <w:lang w:eastAsia="zh-CN"/>
        </w:rPr>
        <w:t>（</w:t>
      </w:r>
      <w:r>
        <w:rPr>
          <w:rFonts w:hint="default" w:ascii="Times New Roman" w:hAnsi="Times New Roman" w:cs="Times New Roman"/>
          <w:sz w:val="21"/>
          <w:szCs w:val="21"/>
          <w:highlight w:val="none"/>
        </w:rPr>
        <w:t>t</w:t>
      </w:r>
      <w:r>
        <w:rPr>
          <w:rFonts w:hint="eastAsia" w:cs="Times New Roman"/>
          <w:sz w:val="21"/>
          <w:szCs w:val="21"/>
          <w:highlight w:val="none"/>
          <w:lang w:eastAsia="zh-CN"/>
        </w:rPr>
        <w:t>）</w:t>
      </w:r>
      <w:r>
        <w:rPr>
          <w:rFonts w:hint="default" w:ascii="Times New Roman" w:hAnsi="Times New Roman" w:cs="Times New Roman"/>
          <w:sz w:val="21"/>
          <w:szCs w:val="21"/>
          <w:highlight w:val="none"/>
        </w:rPr>
        <w:t>；</w:t>
      </w:r>
    </w:p>
    <w:p w14:paraId="54875242">
      <w:pPr>
        <w:adjustRightInd w:val="0"/>
        <w:snapToGrid w:val="0"/>
        <w:spacing w:before="156" w:beforeLines="50" w:after="156" w:afterLines="50"/>
        <w:rPr>
          <w:rFonts w:hint="default" w:ascii="Times New Roman" w:hAnsi="Times New Roman" w:cs="Times New Roman"/>
          <w:b/>
          <w:bCs/>
          <w:sz w:val="21"/>
          <w:szCs w:val="21"/>
          <w:highlight w:val="none"/>
          <w:lang w:val="en-US" w:eastAsia="zh-CN"/>
        </w:rPr>
      </w:pPr>
      <w:r>
        <w:rPr>
          <w:rFonts w:hint="default" w:ascii="Times New Roman" w:hAnsi="Times New Roman" w:cs="Times New Roman"/>
          <w:sz w:val="21"/>
          <w:szCs w:val="21"/>
          <w:highlight w:val="none"/>
        </w:rPr>
        <w:t>S—</w:t>
      </w:r>
      <w:r>
        <w:rPr>
          <w:rFonts w:hint="default" w:ascii="Times New Roman" w:hAnsi="Times New Roman" w:cs="Times New Roman"/>
          <w:sz w:val="21"/>
          <w:szCs w:val="21"/>
          <w:highlight w:val="none"/>
          <w:lang w:val="en-US" w:eastAsia="zh-CN"/>
        </w:rPr>
        <w:t>稀土</w:t>
      </w:r>
      <w:r>
        <w:rPr>
          <w:rFonts w:hint="default" w:ascii="Times New Roman" w:hAnsi="Times New Roman" w:cs="Times New Roman"/>
          <w:sz w:val="21"/>
          <w:szCs w:val="21"/>
          <w:highlight w:val="none"/>
        </w:rPr>
        <w:t>采矿损失率。</w:t>
      </w:r>
    </w:p>
    <w:p w14:paraId="4EE44204">
      <w:pPr>
        <w:adjustRightInd w:val="0"/>
        <w:snapToGrid w:val="0"/>
        <w:spacing w:before="156" w:beforeLines="50" w:after="156" w:afterLines="50"/>
        <w:outlineLvl w:val="1"/>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 xml:space="preserve">A.2 </w:t>
      </w:r>
      <w:r>
        <w:rPr>
          <w:rFonts w:hint="default" w:ascii="Times New Roman" w:hAnsi="Times New Roman" w:cs="Times New Roman"/>
          <w:sz w:val="21"/>
          <w:szCs w:val="21"/>
          <w:highlight w:val="none"/>
          <w:lang w:val="en-US" w:eastAsia="zh-CN"/>
        </w:rPr>
        <w:t>稀土</w:t>
      </w:r>
      <w:r>
        <w:rPr>
          <w:rFonts w:hint="default" w:ascii="Times New Roman" w:hAnsi="Times New Roman" w:cs="Times New Roman"/>
          <w:sz w:val="21"/>
          <w:szCs w:val="21"/>
          <w:highlight w:val="none"/>
        </w:rPr>
        <w:t>选矿</w:t>
      </w:r>
      <w:r>
        <w:rPr>
          <w:rFonts w:hint="default" w:ascii="Times New Roman" w:hAnsi="Times New Roman" w:cs="Times New Roman"/>
          <w:sz w:val="21"/>
          <w:szCs w:val="21"/>
          <w:highlight w:val="none"/>
          <w:lang w:val="en-US" w:eastAsia="zh-CN"/>
        </w:rPr>
        <w:t>作业</w:t>
      </w:r>
      <w:r>
        <w:rPr>
          <w:rFonts w:hint="default" w:ascii="Times New Roman" w:hAnsi="Times New Roman" w:cs="Times New Roman"/>
          <w:sz w:val="21"/>
          <w:szCs w:val="21"/>
          <w:highlight w:val="none"/>
        </w:rPr>
        <w:t>回收率</w:t>
      </w:r>
    </w:p>
    <w:p w14:paraId="2CD41E89">
      <w:pPr>
        <w:adjustRightInd w:val="0"/>
        <w:snapToGrid w:val="0"/>
        <w:spacing w:before="156" w:beforeLines="50" w:after="156" w:afterLines="5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按照公式（2）计算</w:t>
      </w:r>
      <w:r>
        <w:rPr>
          <w:rFonts w:hint="default" w:ascii="Times New Roman" w:hAnsi="Times New Roman" w:cs="Times New Roman"/>
          <w:sz w:val="21"/>
          <w:szCs w:val="21"/>
          <w:highlight w:val="none"/>
          <w:lang w:val="en-US" w:eastAsia="zh-CN"/>
        </w:rPr>
        <w:t>岩矿型稀土</w:t>
      </w:r>
      <w:r>
        <w:rPr>
          <w:rFonts w:hint="default" w:ascii="Times New Roman" w:hAnsi="Times New Roman" w:cs="Times New Roman"/>
          <w:sz w:val="21"/>
          <w:szCs w:val="21"/>
          <w:highlight w:val="none"/>
        </w:rPr>
        <w:t>矿山</w:t>
      </w:r>
      <w:r>
        <w:rPr>
          <w:rFonts w:hint="default" w:ascii="Times New Roman" w:hAnsi="Times New Roman" w:cs="Times New Roman"/>
          <w:sz w:val="21"/>
          <w:szCs w:val="21"/>
          <w:highlight w:val="none"/>
          <w:lang w:val="en-US" w:eastAsia="zh-CN"/>
        </w:rPr>
        <w:t>稀土</w:t>
      </w:r>
      <w:r>
        <w:rPr>
          <w:rFonts w:hint="default" w:ascii="Times New Roman" w:hAnsi="Times New Roman" w:cs="Times New Roman"/>
          <w:sz w:val="21"/>
          <w:szCs w:val="21"/>
          <w:highlight w:val="none"/>
        </w:rPr>
        <w:t>选矿</w:t>
      </w:r>
      <w:r>
        <w:rPr>
          <w:rFonts w:hint="default" w:ascii="Times New Roman" w:hAnsi="Times New Roman" w:cs="Times New Roman"/>
          <w:sz w:val="21"/>
          <w:szCs w:val="21"/>
          <w:highlight w:val="none"/>
          <w:lang w:val="en-US" w:eastAsia="zh-CN"/>
        </w:rPr>
        <w:t>作业</w:t>
      </w:r>
      <w:r>
        <w:rPr>
          <w:rFonts w:hint="default" w:ascii="Times New Roman" w:hAnsi="Times New Roman" w:cs="Times New Roman"/>
          <w:sz w:val="21"/>
          <w:szCs w:val="21"/>
          <w:highlight w:val="none"/>
        </w:rPr>
        <w:t>回收率：</w:t>
      </w:r>
    </w:p>
    <w:p w14:paraId="3D6565DF">
      <w:pPr>
        <w:tabs>
          <w:tab w:val="center" w:leader="middleDot" w:pos="6300"/>
        </w:tabs>
        <w:adjustRightInd w:val="0"/>
        <w:snapToGrid w:val="0"/>
        <w:spacing w:before="156" w:beforeLines="50" w:after="156" w:afterLines="50"/>
        <w:jc w:val="center"/>
        <w:rPr>
          <w:rFonts w:hint="default" w:ascii="Times New Roman" w:hAnsi="Times New Roman" w:cs="Times New Roman"/>
          <w:sz w:val="21"/>
          <w:szCs w:val="21"/>
          <w:highlight w:val="none"/>
        </w:rPr>
      </w:pPr>
      <m:oMath>
        <m:r>
          <m:rPr>
            <m:nor/>
          </m:rPr>
          <w:rPr>
            <w:rFonts w:hint="default" w:ascii="Times New Roman" w:hAnsi="Times New Roman" w:cs="Times New Roman"/>
            <w:i/>
            <w:sz w:val="21"/>
            <w:szCs w:val="21"/>
            <w:highlight w:val="none"/>
          </w:rPr>
          <m:t>ε</m:t>
        </m:r>
        <m:r>
          <m:rPr>
            <m:nor/>
            <m:sty m:val="p"/>
          </m:rPr>
          <w:rPr>
            <w:rFonts w:hint="default" w:ascii="Times New Roman" w:hAnsi="Times New Roman" w:cs="Times New Roman"/>
            <w:b w:val="0"/>
            <w:i w:val="0"/>
            <w:sz w:val="21"/>
            <w:szCs w:val="21"/>
            <w:highlight w:val="none"/>
          </w:rPr>
          <m:t>=</m:t>
        </m:r>
        <m:f>
          <m:fPr>
            <m:ctrlPr>
              <w:rPr>
                <w:rFonts w:hint="default" w:ascii="Cambria Math" w:hAnsi="Cambria Math" w:cs="Times New Roman"/>
                <w:i/>
                <w:iCs/>
                <w:sz w:val="21"/>
                <w:szCs w:val="21"/>
                <w:highlight w:val="none"/>
              </w:rPr>
            </m:ctrlPr>
          </m:fPr>
          <m:num>
            <m:sSub>
              <m:sSubPr>
                <m:ctrlPr>
                  <w:rPr>
                    <w:rFonts w:hint="default" w:ascii="Cambria Math" w:hAnsi="Cambria Math" w:cs="Times New Roman"/>
                    <w:i/>
                    <w:iCs/>
                    <w:sz w:val="21"/>
                    <w:szCs w:val="21"/>
                    <w:highlight w:val="none"/>
                  </w:rPr>
                </m:ctrlPr>
              </m:sSubPr>
              <m:e>
                <m:r>
                  <m:rPr>
                    <m:nor/>
                  </m:rPr>
                  <w:rPr>
                    <w:rFonts w:hint="default" w:ascii="Times New Roman" w:hAnsi="Times New Roman" w:cs="Times New Roman"/>
                    <w:i/>
                    <w:sz w:val="21"/>
                    <w:szCs w:val="21"/>
                    <w:highlight w:val="none"/>
                  </w:rPr>
                  <m:t>Q</m:t>
                </m:r>
                <m:ctrlPr>
                  <w:rPr>
                    <w:rFonts w:hint="default" w:ascii="Cambria Math" w:hAnsi="Cambria Math" w:cs="Times New Roman"/>
                    <w:i/>
                    <w:iCs/>
                    <w:sz w:val="21"/>
                    <w:szCs w:val="21"/>
                    <w:highlight w:val="none"/>
                  </w:rPr>
                </m:ctrlPr>
              </m:e>
              <m:sub>
                <m:r>
                  <m:rPr>
                    <m:nor/>
                  </m:rPr>
                  <w:rPr>
                    <w:rFonts w:hint="default" w:ascii="Times New Roman" w:hAnsi="Times New Roman" w:cs="Times New Roman"/>
                    <w:i/>
                    <w:sz w:val="21"/>
                    <w:szCs w:val="21"/>
                    <w:highlight w:val="none"/>
                  </w:rPr>
                  <m:t>k</m:t>
                </m:r>
                <m:ctrlPr>
                  <w:rPr>
                    <w:rFonts w:hint="default" w:ascii="Cambria Math" w:hAnsi="Cambria Math" w:cs="Times New Roman"/>
                    <w:i/>
                    <w:iCs/>
                    <w:sz w:val="21"/>
                    <w:szCs w:val="21"/>
                    <w:highlight w:val="none"/>
                  </w:rPr>
                </m:ctrlPr>
              </m:sub>
            </m:sSub>
            <m:r>
              <m:rPr>
                <m:nor/>
                <m:sty m:val="p"/>
              </m:rPr>
              <w:rPr>
                <w:rFonts w:hint="default" w:ascii="Times New Roman" w:hAnsi="Times New Roman" w:cs="Times New Roman"/>
                <w:b w:val="0"/>
                <w:i w:val="0"/>
                <w:sz w:val="21"/>
                <w:szCs w:val="21"/>
                <w:highlight w:val="none"/>
              </w:rPr>
              <m:t>×</m:t>
            </m:r>
            <m:r>
              <m:rPr>
                <m:nor/>
                <m:sty m:val="p"/>
              </m:rPr>
              <w:rPr>
                <w:rFonts w:ascii="Cambria Math" w:hAnsi="Cambria Math" w:cs="Times New Roman"/>
                <w:b w:val="0"/>
                <w:i w:val="0"/>
                <w:sz w:val="21"/>
                <w:szCs w:val="21"/>
                <w:highlight w:val="none"/>
              </w:rPr>
              <m:t>β</m:t>
            </m:r>
            <m:ctrlPr>
              <w:rPr>
                <w:rFonts w:hint="default" w:ascii="Cambria Math" w:hAnsi="Cambria Math" w:cs="Times New Roman"/>
                <w:i/>
                <w:iCs/>
                <w:sz w:val="21"/>
                <w:szCs w:val="21"/>
                <w:highlight w:val="none"/>
              </w:rPr>
            </m:ctrlPr>
          </m:num>
          <m:den>
            <m:sSub>
              <m:sSubPr>
                <m:ctrlPr>
                  <w:rPr>
                    <w:rFonts w:hint="default" w:ascii="Cambria Math" w:hAnsi="Cambria Math" w:cs="Times New Roman"/>
                    <w:i/>
                    <w:iCs/>
                    <w:sz w:val="21"/>
                    <w:szCs w:val="21"/>
                    <w:highlight w:val="none"/>
                  </w:rPr>
                </m:ctrlPr>
              </m:sSubPr>
              <m:e>
                <m:r>
                  <m:rPr>
                    <m:nor/>
                  </m:rPr>
                  <w:rPr>
                    <w:rFonts w:hint="default" w:ascii="Times New Roman" w:hAnsi="Times New Roman" w:cs="Times New Roman"/>
                    <w:i/>
                    <w:sz w:val="21"/>
                    <w:szCs w:val="21"/>
                    <w:highlight w:val="none"/>
                  </w:rPr>
                  <m:t>Q</m:t>
                </m:r>
                <m:ctrlPr>
                  <w:rPr>
                    <w:rFonts w:hint="default" w:ascii="Cambria Math" w:hAnsi="Cambria Math" w:cs="Times New Roman"/>
                    <w:i/>
                    <w:iCs/>
                    <w:sz w:val="21"/>
                    <w:szCs w:val="21"/>
                    <w:highlight w:val="none"/>
                  </w:rPr>
                </m:ctrlPr>
              </m:e>
              <m:sub>
                <m:r>
                  <m:rPr>
                    <m:nor/>
                    <m:sty m:val="p"/>
                  </m:rPr>
                  <w:rPr>
                    <w:rFonts w:hint="default" w:ascii="Times New Roman" w:hAnsi="Times New Roman" w:cs="Times New Roman"/>
                    <w:b w:val="0"/>
                    <w:i w:val="0"/>
                    <w:sz w:val="21"/>
                    <w:szCs w:val="21"/>
                    <w:highlight w:val="none"/>
                  </w:rPr>
                  <m:t>0</m:t>
                </m:r>
                <m:ctrlPr>
                  <w:rPr>
                    <w:rFonts w:hint="default" w:ascii="Cambria Math" w:hAnsi="Cambria Math" w:cs="Times New Roman"/>
                    <w:i/>
                    <w:iCs/>
                    <w:sz w:val="21"/>
                    <w:szCs w:val="21"/>
                    <w:highlight w:val="none"/>
                  </w:rPr>
                </m:ctrlPr>
              </m:sub>
            </m:sSub>
            <m:r>
              <m:rPr>
                <m:nor/>
                <m:sty m:val="p"/>
              </m:rPr>
              <w:rPr>
                <w:rFonts w:hint="default" w:ascii="Times New Roman" w:hAnsi="Times New Roman" w:cs="Times New Roman"/>
                <w:b w:val="0"/>
                <w:i w:val="0"/>
                <w:sz w:val="21"/>
                <w:szCs w:val="21"/>
                <w:highlight w:val="none"/>
              </w:rPr>
              <m:t>×</m:t>
            </m:r>
            <m:r>
              <m:rPr>
                <m:nor/>
              </m:rPr>
              <w:rPr>
                <w:rFonts w:hint="default" w:ascii="Times New Roman" w:hAnsi="Times New Roman" w:cs="Times New Roman"/>
                <w:i/>
                <w:sz w:val="21"/>
                <w:szCs w:val="21"/>
                <w:highlight w:val="none"/>
              </w:rPr>
              <m:t>α</m:t>
            </m:r>
            <m:ctrlPr>
              <w:rPr>
                <w:rFonts w:hint="default" w:ascii="Cambria Math" w:hAnsi="Cambria Math" w:cs="Times New Roman"/>
                <w:i/>
                <w:iCs/>
                <w:sz w:val="21"/>
                <w:szCs w:val="21"/>
                <w:highlight w:val="none"/>
              </w:rPr>
            </m:ctrlPr>
          </m:den>
        </m:f>
        <m:r>
          <m:rPr>
            <m:nor/>
            <m:sty m:val="p"/>
          </m:rPr>
          <w:rPr>
            <w:rFonts w:hint="default" w:ascii="Times New Roman" w:hAnsi="Times New Roman" w:cs="Times New Roman"/>
            <w:b w:val="0"/>
            <w:i w:val="0"/>
            <w:sz w:val="21"/>
            <w:szCs w:val="21"/>
            <w:highlight w:val="none"/>
          </w:rPr>
          <m:t>×100%</m:t>
        </m:r>
      </m:oMath>
      <w:r>
        <w:rPr>
          <w:rFonts w:hint="eastAsia" w:hAnsi="Times New Roman" w:cs="Times New Roman"/>
          <w:b w:val="0"/>
          <w:i w:val="0"/>
          <w:sz w:val="21"/>
          <w:szCs w:val="21"/>
          <w:highlight w:val="none"/>
          <w:lang w:val="en-US" w:eastAsia="zh-CN"/>
        </w:rPr>
        <w:t xml:space="preserve">                                     </w:t>
      </w:r>
      <w:r>
        <w:rPr>
          <w:rFonts w:hint="default" w:ascii="Times New Roman" w:hAnsi="Times New Roman" w:cs="Times New Roman"/>
          <w:sz w:val="21"/>
          <w:szCs w:val="21"/>
          <w:highlight w:val="none"/>
        </w:rPr>
        <w:t>（2）</w:t>
      </w:r>
    </w:p>
    <w:p w14:paraId="6223AEB8">
      <w:pPr>
        <w:adjustRightInd w:val="0"/>
        <w:snapToGrid w:val="0"/>
        <w:spacing w:before="156" w:beforeLines="50" w:after="156" w:afterLines="5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式中：</w:t>
      </w:r>
    </w:p>
    <w:p w14:paraId="43461620">
      <w:pPr>
        <w:adjustRightInd w:val="0"/>
        <w:snapToGrid w:val="0"/>
        <w:spacing w:before="156" w:beforeLines="50" w:after="156" w:afterLines="50"/>
        <w:rPr>
          <w:rFonts w:hint="default" w:ascii="Times New Roman" w:hAnsi="Times New Roman" w:cs="Times New Roman"/>
          <w:sz w:val="21"/>
          <w:szCs w:val="21"/>
          <w:highlight w:val="none"/>
        </w:rPr>
      </w:pPr>
      <w:r>
        <w:rPr>
          <w:rFonts w:hint="default" w:ascii="Times New Roman" w:hAnsi="Times New Roman" w:cs="Times New Roman"/>
          <w:i/>
          <w:iCs/>
          <w:sz w:val="21"/>
          <w:szCs w:val="21"/>
          <w:highlight w:val="none"/>
        </w:rPr>
        <w:t>ε</w:t>
      </w:r>
      <w:r>
        <w:rPr>
          <w:rFonts w:hint="default" w:ascii="Times New Roman" w:hAnsi="Times New Roman" w:cs="Times New Roman"/>
          <w:sz w:val="21"/>
          <w:szCs w:val="21"/>
          <w:highlight w:val="none"/>
        </w:rPr>
        <w:t>—</w:t>
      </w:r>
      <w:r>
        <w:rPr>
          <w:rFonts w:hint="default" w:ascii="Times New Roman" w:hAnsi="Times New Roman" w:cs="Times New Roman"/>
          <w:sz w:val="21"/>
          <w:szCs w:val="21"/>
          <w:highlight w:val="none"/>
          <w:lang w:val="en-US" w:eastAsia="zh-CN"/>
        </w:rPr>
        <w:t>稀土</w:t>
      </w:r>
      <w:r>
        <w:rPr>
          <w:rFonts w:hint="default" w:ascii="Times New Roman" w:hAnsi="Times New Roman" w:cs="Times New Roman"/>
          <w:sz w:val="21"/>
          <w:szCs w:val="21"/>
          <w:highlight w:val="none"/>
        </w:rPr>
        <w:t>选矿</w:t>
      </w:r>
      <w:r>
        <w:rPr>
          <w:rFonts w:hint="default" w:ascii="Times New Roman" w:hAnsi="Times New Roman" w:cs="Times New Roman"/>
          <w:sz w:val="21"/>
          <w:szCs w:val="21"/>
          <w:highlight w:val="none"/>
          <w:lang w:val="en-US" w:eastAsia="zh-CN"/>
        </w:rPr>
        <w:t>作业</w:t>
      </w:r>
      <w:r>
        <w:rPr>
          <w:rFonts w:hint="default" w:ascii="Times New Roman" w:hAnsi="Times New Roman" w:cs="Times New Roman"/>
          <w:sz w:val="21"/>
          <w:szCs w:val="21"/>
          <w:highlight w:val="none"/>
        </w:rPr>
        <w:t>回收率；</w:t>
      </w:r>
    </w:p>
    <w:p w14:paraId="6DC789D5">
      <w:pPr>
        <w:adjustRightInd w:val="0"/>
        <w:snapToGrid w:val="0"/>
        <w:spacing w:before="156" w:beforeLines="50" w:after="156" w:afterLines="50"/>
        <w:rPr>
          <w:rFonts w:hint="default" w:ascii="Times New Roman" w:hAnsi="Times New Roman" w:cs="Times New Roman"/>
          <w:sz w:val="21"/>
          <w:szCs w:val="21"/>
          <w:highlight w:val="none"/>
        </w:rPr>
      </w:pPr>
      <w:r>
        <w:rPr>
          <w:rFonts w:hint="default" w:ascii="Times New Roman" w:hAnsi="Times New Roman" w:cs="Times New Roman"/>
          <w:i/>
          <w:iCs/>
          <w:sz w:val="21"/>
          <w:szCs w:val="21"/>
          <w:highlight w:val="none"/>
        </w:rPr>
        <w:t>Q</w:t>
      </w:r>
      <w:r>
        <w:rPr>
          <w:rFonts w:hint="default" w:ascii="Times New Roman" w:hAnsi="Times New Roman" w:cs="Times New Roman"/>
          <w:i/>
          <w:iCs/>
          <w:sz w:val="21"/>
          <w:szCs w:val="21"/>
          <w:highlight w:val="none"/>
          <w:vertAlign w:val="subscript"/>
        </w:rPr>
        <w:t>k</w:t>
      </w:r>
      <w:r>
        <w:rPr>
          <w:rFonts w:hint="default" w:ascii="Times New Roman" w:hAnsi="Times New Roman" w:cs="Times New Roman"/>
          <w:sz w:val="21"/>
          <w:szCs w:val="21"/>
          <w:highlight w:val="none"/>
        </w:rPr>
        <w:t>—</w:t>
      </w:r>
      <w:r>
        <w:rPr>
          <w:rFonts w:hint="default" w:ascii="Times New Roman" w:hAnsi="Times New Roman" w:cs="Times New Roman"/>
          <w:sz w:val="21"/>
          <w:szCs w:val="21"/>
          <w:highlight w:val="none"/>
          <w:lang w:val="en-US" w:eastAsia="zh-CN"/>
        </w:rPr>
        <w:t>稀土</w:t>
      </w:r>
      <w:r>
        <w:rPr>
          <w:rFonts w:hint="default" w:ascii="Times New Roman" w:hAnsi="Times New Roman" w:cs="Times New Roman"/>
          <w:sz w:val="21"/>
          <w:szCs w:val="21"/>
          <w:highlight w:val="none"/>
        </w:rPr>
        <w:t>精矿的质量，单位为吨</w:t>
      </w:r>
      <w:r>
        <w:rPr>
          <w:rFonts w:hint="eastAsia" w:cs="Times New Roman"/>
          <w:sz w:val="21"/>
          <w:szCs w:val="21"/>
          <w:highlight w:val="none"/>
          <w:lang w:eastAsia="zh-CN"/>
        </w:rPr>
        <w:t>（</w:t>
      </w:r>
      <w:r>
        <w:rPr>
          <w:rFonts w:hint="default" w:ascii="Times New Roman" w:hAnsi="Times New Roman" w:cs="Times New Roman"/>
          <w:sz w:val="21"/>
          <w:szCs w:val="21"/>
          <w:highlight w:val="none"/>
        </w:rPr>
        <w:t>t</w:t>
      </w:r>
      <w:r>
        <w:rPr>
          <w:rFonts w:hint="eastAsia" w:cs="Times New Roman"/>
          <w:sz w:val="21"/>
          <w:szCs w:val="21"/>
          <w:highlight w:val="none"/>
          <w:lang w:eastAsia="zh-CN"/>
        </w:rPr>
        <w:t>）</w:t>
      </w:r>
      <w:r>
        <w:rPr>
          <w:rFonts w:hint="default" w:ascii="Times New Roman" w:hAnsi="Times New Roman" w:cs="Times New Roman"/>
          <w:sz w:val="21"/>
          <w:szCs w:val="21"/>
          <w:highlight w:val="none"/>
        </w:rPr>
        <w:t>；</w:t>
      </w:r>
    </w:p>
    <w:p w14:paraId="7A7BF7CA">
      <w:pPr>
        <w:adjustRightInd w:val="0"/>
        <w:snapToGrid w:val="0"/>
        <w:spacing w:before="156" w:beforeLines="50" w:after="156" w:afterLines="50"/>
        <w:rPr>
          <w:rFonts w:hint="default" w:ascii="Times New Roman" w:hAnsi="Times New Roman" w:eastAsia="宋体" w:cs="Times New Roman"/>
          <w:sz w:val="21"/>
          <w:szCs w:val="21"/>
          <w:highlight w:val="none"/>
          <w:lang w:eastAsia="zh-CN"/>
        </w:rPr>
      </w:pPr>
      <w:r>
        <w:rPr>
          <w:rFonts w:hint="default" w:ascii="Times New Roman" w:hAnsi="Times New Roman" w:cs="Times New Roman"/>
          <w:i/>
          <w:iCs/>
          <w:sz w:val="21"/>
          <w:szCs w:val="21"/>
          <w:highlight w:val="none"/>
        </w:rPr>
        <w:t>β</w:t>
      </w:r>
      <w:r>
        <w:rPr>
          <w:rFonts w:hint="default" w:ascii="Times New Roman" w:hAnsi="Times New Roman" w:cs="Times New Roman"/>
          <w:sz w:val="21"/>
          <w:szCs w:val="21"/>
          <w:highlight w:val="none"/>
        </w:rPr>
        <w:t>—</w:t>
      </w:r>
      <w:r>
        <w:rPr>
          <w:rFonts w:hint="default" w:ascii="Times New Roman" w:hAnsi="Times New Roman" w:cs="Times New Roman"/>
          <w:sz w:val="21"/>
          <w:szCs w:val="21"/>
          <w:highlight w:val="none"/>
          <w:lang w:val="en-US" w:eastAsia="zh-CN"/>
        </w:rPr>
        <w:t>稀土</w:t>
      </w:r>
      <w:r>
        <w:rPr>
          <w:rFonts w:hint="default" w:ascii="Times New Roman" w:hAnsi="Times New Roman" w:cs="Times New Roman"/>
          <w:sz w:val="21"/>
          <w:szCs w:val="21"/>
          <w:highlight w:val="none"/>
        </w:rPr>
        <w:t>精矿</w:t>
      </w:r>
      <w:r>
        <w:rPr>
          <w:rFonts w:hint="eastAsia" w:ascii="Times New Roman" w:hAnsi="Times New Roman" w:cs="Times New Roman"/>
          <w:sz w:val="21"/>
          <w:szCs w:val="21"/>
          <w:highlight w:val="none"/>
          <w:lang w:val="en-US" w:eastAsia="zh-CN"/>
        </w:rPr>
        <w:t>的</w:t>
      </w:r>
      <w:r>
        <w:rPr>
          <w:rFonts w:hint="default" w:ascii="Times New Roman" w:hAnsi="Times New Roman" w:cs="Times New Roman"/>
          <w:sz w:val="21"/>
          <w:szCs w:val="21"/>
          <w:highlight w:val="none"/>
          <w:lang w:val="en-US" w:eastAsia="zh-CN"/>
        </w:rPr>
        <w:t>稀土氧化物（REO）</w:t>
      </w:r>
      <w:r>
        <w:rPr>
          <w:rFonts w:hint="default" w:ascii="Times New Roman" w:hAnsi="Times New Roman" w:cs="Times New Roman"/>
          <w:sz w:val="21"/>
          <w:szCs w:val="21"/>
          <w:highlight w:val="none"/>
        </w:rPr>
        <w:t>品位，</w:t>
      </w:r>
      <w:r>
        <w:rPr>
          <w:rFonts w:hint="default" w:ascii="Times New Roman" w:hAnsi="Times New Roman" w:cs="Times New Roman"/>
          <w:sz w:val="21"/>
          <w:szCs w:val="21"/>
          <w:highlight w:val="none"/>
          <w:lang w:val="en-US" w:eastAsia="zh-CN"/>
        </w:rPr>
        <w:t>质量分数，</w:t>
      </w:r>
      <w:r>
        <w:rPr>
          <w:rFonts w:hint="default" w:ascii="Times New Roman" w:hAnsi="Times New Roman" w:cs="Times New Roman"/>
          <w:sz w:val="21"/>
          <w:szCs w:val="21"/>
          <w:highlight w:val="none"/>
        </w:rPr>
        <w:t>%</w:t>
      </w:r>
      <w:r>
        <w:rPr>
          <w:rFonts w:hint="eastAsia" w:cs="Times New Roman"/>
          <w:sz w:val="21"/>
          <w:szCs w:val="21"/>
          <w:highlight w:val="none"/>
          <w:lang w:eastAsia="zh-CN"/>
        </w:rPr>
        <w:t>；</w:t>
      </w:r>
    </w:p>
    <w:p w14:paraId="68E03216">
      <w:pPr>
        <w:adjustRightInd w:val="0"/>
        <w:snapToGrid w:val="0"/>
        <w:spacing w:before="156" w:beforeLines="50" w:after="156" w:afterLines="50"/>
        <w:rPr>
          <w:rFonts w:hint="eastAsia" w:ascii="Times New Roman" w:hAnsi="Times New Roman" w:eastAsia="宋体" w:cs="Times New Roman"/>
          <w:sz w:val="21"/>
          <w:szCs w:val="21"/>
          <w:highlight w:val="none"/>
          <w:lang w:eastAsia="zh-CN"/>
        </w:rPr>
      </w:pPr>
      <w:r>
        <w:rPr>
          <w:rFonts w:hint="default" w:ascii="Times New Roman" w:hAnsi="Times New Roman" w:cs="Times New Roman"/>
          <w:i/>
          <w:iCs/>
          <w:sz w:val="21"/>
          <w:szCs w:val="21"/>
          <w:highlight w:val="none"/>
        </w:rPr>
        <w:t>Q</w:t>
      </w:r>
      <w:r>
        <w:rPr>
          <w:rFonts w:hint="default" w:ascii="Times New Roman" w:hAnsi="Times New Roman" w:cs="Times New Roman"/>
          <w:i/>
          <w:iCs/>
          <w:sz w:val="21"/>
          <w:szCs w:val="21"/>
          <w:highlight w:val="none"/>
          <w:vertAlign w:val="subscript"/>
        </w:rPr>
        <w:t>0</w:t>
      </w:r>
      <w:r>
        <w:rPr>
          <w:rFonts w:hint="default" w:ascii="Times New Roman" w:hAnsi="Times New Roman" w:cs="Times New Roman"/>
          <w:sz w:val="21"/>
          <w:szCs w:val="21"/>
          <w:highlight w:val="none"/>
        </w:rPr>
        <w:t>—</w:t>
      </w:r>
      <w:r>
        <w:rPr>
          <w:rFonts w:hint="default" w:ascii="Times New Roman" w:hAnsi="Times New Roman" w:cs="Times New Roman"/>
          <w:sz w:val="21"/>
          <w:szCs w:val="21"/>
          <w:highlight w:val="none"/>
          <w:lang w:val="en-US" w:eastAsia="zh-CN"/>
        </w:rPr>
        <w:t>稀土选矿作业入选</w:t>
      </w:r>
      <w:r>
        <w:rPr>
          <w:rFonts w:hint="default" w:ascii="Times New Roman" w:hAnsi="Times New Roman" w:cs="Times New Roman"/>
          <w:sz w:val="21"/>
          <w:szCs w:val="21"/>
          <w:highlight w:val="none"/>
        </w:rPr>
        <w:t>原矿质量，单位为吨</w:t>
      </w:r>
      <w:r>
        <w:rPr>
          <w:rFonts w:hint="eastAsia" w:cs="Times New Roman"/>
          <w:sz w:val="21"/>
          <w:szCs w:val="21"/>
          <w:highlight w:val="none"/>
          <w:lang w:eastAsia="zh-CN"/>
        </w:rPr>
        <w:t>（</w:t>
      </w:r>
      <w:r>
        <w:rPr>
          <w:rFonts w:hint="default" w:ascii="Times New Roman" w:hAnsi="Times New Roman" w:cs="Times New Roman"/>
          <w:sz w:val="21"/>
          <w:szCs w:val="21"/>
          <w:highlight w:val="none"/>
        </w:rPr>
        <w:t>t</w:t>
      </w:r>
      <w:r>
        <w:rPr>
          <w:rFonts w:hint="eastAsia" w:cs="Times New Roman"/>
          <w:sz w:val="21"/>
          <w:szCs w:val="21"/>
          <w:highlight w:val="none"/>
          <w:lang w:eastAsia="zh-CN"/>
        </w:rPr>
        <w:t>）；</w:t>
      </w:r>
    </w:p>
    <w:p w14:paraId="17813CB6">
      <w:pPr>
        <w:adjustRightInd w:val="0"/>
        <w:snapToGrid w:val="0"/>
        <w:spacing w:before="156" w:beforeLines="50" w:after="156" w:afterLines="50"/>
        <w:rPr>
          <w:rFonts w:hint="default" w:ascii="Times New Roman" w:hAnsi="Times New Roman" w:cs="Times New Roman"/>
          <w:b/>
          <w:bCs/>
          <w:sz w:val="21"/>
          <w:szCs w:val="21"/>
          <w:highlight w:val="none"/>
          <w:lang w:val="en-US" w:eastAsia="zh-CN"/>
        </w:rPr>
      </w:pPr>
      <w:r>
        <w:rPr>
          <w:rFonts w:hint="default" w:ascii="Times New Roman" w:hAnsi="Times New Roman" w:cs="Times New Roman"/>
          <w:i/>
          <w:iCs/>
          <w:sz w:val="21"/>
          <w:szCs w:val="21"/>
          <w:highlight w:val="none"/>
        </w:rPr>
        <w:t>α</w:t>
      </w:r>
      <w:r>
        <w:rPr>
          <w:rFonts w:hint="default" w:ascii="Times New Roman" w:hAnsi="Times New Roman" w:cs="Times New Roman"/>
          <w:sz w:val="21"/>
          <w:szCs w:val="21"/>
          <w:highlight w:val="none"/>
        </w:rPr>
        <w:t>—</w:t>
      </w:r>
      <w:r>
        <w:rPr>
          <w:rFonts w:hint="default" w:ascii="Times New Roman" w:hAnsi="Times New Roman" w:cs="Times New Roman"/>
          <w:sz w:val="21"/>
          <w:szCs w:val="21"/>
          <w:highlight w:val="none"/>
          <w:lang w:val="en-US" w:eastAsia="zh-CN"/>
        </w:rPr>
        <w:t>稀土选矿作业入选</w:t>
      </w:r>
      <w:r>
        <w:rPr>
          <w:rFonts w:hint="default" w:ascii="Times New Roman" w:hAnsi="Times New Roman" w:cs="Times New Roman"/>
          <w:sz w:val="21"/>
          <w:szCs w:val="21"/>
          <w:highlight w:val="none"/>
        </w:rPr>
        <w:t>原矿</w:t>
      </w:r>
      <w:r>
        <w:rPr>
          <w:rFonts w:hint="default" w:ascii="Times New Roman" w:hAnsi="Times New Roman" w:cs="Times New Roman"/>
          <w:sz w:val="21"/>
          <w:szCs w:val="21"/>
          <w:highlight w:val="none"/>
          <w:lang w:val="en-US" w:eastAsia="zh-CN"/>
        </w:rPr>
        <w:t>稀土氧化物（REO）</w:t>
      </w:r>
      <w:r>
        <w:rPr>
          <w:rFonts w:hint="default" w:ascii="Times New Roman" w:hAnsi="Times New Roman" w:cs="Times New Roman"/>
          <w:sz w:val="21"/>
          <w:szCs w:val="21"/>
          <w:highlight w:val="none"/>
        </w:rPr>
        <w:t>品位</w:t>
      </w:r>
      <w:r>
        <w:rPr>
          <w:rFonts w:hint="default" w:ascii="Times New Roman" w:hAnsi="Times New Roman" w:cs="Times New Roman"/>
          <w:sz w:val="21"/>
          <w:szCs w:val="21"/>
          <w:highlight w:val="none"/>
          <w:lang w:eastAsia="zh-CN"/>
        </w:rPr>
        <w:t>，</w:t>
      </w:r>
      <w:r>
        <w:rPr>
          <w:rFonts w:hint="default" w:ascii="Times New Roman" w:hAnsi="Times New Roman" w:cs="Times New Roman"/>
          <w:sz w:val="21"/>
          <w:szCs w:val="21"/>
          <w:highlight w:val="none"/>
          <w:lang w:val="en-US" w:eastAsia="zh-CN"/>
        </w:rPr>
        <w:t>质量分数，%</w:t>
      </w:r>
      <w:r>
        <w:rPr>
          <w:rFonts w:hint="default" w:ascii="Times New Roman" w:hAnsi="Times New Roman" w:cs="Times New Roman"/>
          <w:sz w:val="21"/>
          <w:szCs w:val="21"/>
          <w:highlight w:val="none"/>
        </w:rPr>
        <w:t>。</w:t>
      </w:r>
    </w:p>
    <w:p w14:paraId="33E6CEBD">
      <w:pPr>
        <w:adjustRightInd w:val="0"/>
        <w:snapToGrid w:val="0"/>
        <w:spacing w:before="156" w:beforeLines="50" w:after="156" w:afterLines="50"/>
        <w:outlineLvl w:val="1"/>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A.3稀土采选作业综合回收率</w:t>
      </w:r>
    </w:p>
    <w:p w14:paraId="7F807D2A">
      <w:pPr>
        <w:adjustRightInd w:val="0"/>
        <w:snapToGrid w:val="0"/>
        <w:spacing w:before="156" w:beforeLines="50" w:after="156" w:afterLines="50"/>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按照公式（3）计算稀土采选作业综合回收率：</w:t>
      </w:r>
    </w:p>
    <w:p w14:paraId="65AFD12E">
      <w:pPr>
        <w:adjustRightInd w:val="0"/>
        <w:snapToGrid w:val="0"/>
        <w:spacing w:before="156" w:beforeLines="50" w:after="156" w:afterLines="50"/>
        <w:jc w:val="center"/>
        <w:rPr>
          <w:rFonts w:hint="default" w:ascii="Times New Roman" w:hAnsi="Times New Roman" w:cs="Times New Roman"/>
          <w:sz w:val="21"/>
          <w:szCs w:val="21"/>
          <w:highlight w:val="none"/>
          <w:lang w:val="en-US" w:eastAsia="zh-CN"/>
        </w:rPr>
      </w:pPr>
      <m:oMath>
        <m:sSub>
          <m:sSubPr>
            <m:ctrlPr>
              <w:rPr>
                <w:rFonts w:hint="default" w:ascii="Cambria Math" w:hAnsi="Cambria Math" w:cs="Times New Roman"/>
                <w:sz w:val="21"/>
                <w:szCs w:val="21"/>
                <w:highlight w:val="none"/>
                <w:lang w:val="en-US" w:eastAsia="zh-CN"/>
              </w:rPr>
            </m:ctrlPr>
          </m:sSubPr>
          <m:e>
            <m:r>
              <m:rPr>
                <m:nor/>
                <m:sty m:val="p"/>
              </m:rPr>
              <w:rPr>
                <w:rFonts w:hint="default" w:ascii="Times New Roman" w:hAnsi="Times New Roman" w:cs="Times New Roman"/>
                <w:b w:val="0"/>
                <w:i w:val="0"/>
                <w:sz w:val="21"/>
                <w:szCs w:val="21"/>
                <w:highlight w:val="none"/>
                <w:lang w:val="en-US" w:eastAsia="zh-CN"/>
              </w:rPr>
              <m:t>ε</m:t>
            </m:r>
            <m:ctrlPr>
              <w:rPr>
                <w:rFonts w:hint="default" w:ascii="Cambria Math" w:hAnsi="Cambria Math" w:cs="Times New Roman"/>
                <w:sz w:val="21"/>
                <w:szCs w:val="21"/>
                <w:highlight w:val="none"/>
                <w:lang w:val="en-US" w:eastAsia="zh-CN"/>
              </w:rPr>
            </m:ctrlPr>
          </m:e>
          <m:sub>
            <m:r>
              <m:rPr>
                <m:sty m:val="p"/>
              </m:rPr>
              <w:rPr>
                <w:rFonts w:hint="eastAsia" w:ascii="Cambria Math" w:hAnsi="Cambria Math" w:cs="Times New Roman"/>
                <w:sz w:val="21"/>
                <w:szCs w:val="21"/>
                <w:highlight w:val="none"/>
                <w:lang w:val="en-US" w:eastAsia="zh-CN"/>
              </w:rPr>
              <m:t>t</m:t>
            </m:r>
            <m:ctrlPr>
              <w:rPr>
                <w:rFonts w:hint="default" w:ascii="Cambria Math" w:hAnsi="Cambria Math" w:cs="Times New Roman"/>
                <w:sz w:val="21"/>
                <w:szCs w:val="21"/>
                <w:highlight w:val="none"/>
                <w:lang w:val="en-US" w:eastAsia="zh-CN"/>
              </w:rPr>
            </m:ctrlPr>
          </m:sub>
        </m:sSub>
        <m:r>
          <m:rPr>
            <m:nor/>
            <m:sty m:val="p"/>
          </m:rPr>
          <w:rPr>
            <w:rFonts w:hint="default" w:ascii="Times New Roman" w:hAnsi="Times New Roman" w:cs="Times New Roman"/>
            <w:b w:val="0"/>
            <w:i w:val="0"/>
            <w:sz w:val="21"/>
            <w:szCs w:val="21"/>
            <w:highlight w:val="none"/>
            <w:lang w:val="en-US" w:eastAsia="zh-CN"/>
          </w:rPr>
          <m:t>=K×ε</m:t>
        </m:r>
      </m:oMath>
      <w:r>
        <w:rPr>
          <w:rFonts w:hint="default" w:ascii="Times New Roman" w:hAnsi="Times New Roman" w:cs="Times New Roman"/>
          <w:sz w:val="21"/>
          <w:szCs w:val="21"/>
          <w:highlight w:val="none"/>
          <w:lang w:val="en-US" w:eastAsia="zh-CN"/>
        </w:rPr>
        <w:t xml:space="preserve">                                              (3)</w:t>
      </w:r>
    </w:p>
    <w:p w14:paraId="546A0604">
      <w:pPr>
        <w:adjustRightInd w:val="0"/>
        <w:snapToGrid w:val="0"/>
        <w:spacing w:before="156" w:beforeLines="50" w:after="156" w:afterLines="50"/>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式中：</w:t>
      </w:r>
    </w:p>
    <w:p w14:paraId="482FCF38">
      <w:pPr>
        <w:adjustRightInd w:val="0"/>
        <w:snapToGrid w:val="0"/>
        <w:spacing w:before="156" w:beforeLines="50" w:after="156" w:afterLines="50"/>
        <w:rPr>
          <w:rFonts w:hint="eastAsia" w:ascii="Times New Roman" w:hAnsi="Times New Roman" w:cs="Times New Roman"/>
          <w:sz w:val="21"/>
          <w:szCs w:val="21"/>
          <w:highlight w:val="none"/>
          <w:lang w:val="en-US" w:eastAsia="zh-CN"/>
        </w:rPr>
      </w:pPr>
      <m:oMath>
        <m:sSub>
          <m:sSubPr>
            <m:ctrlPr>
              <w:rPr>
                <w:rFonts w:hint="default" w:ascii="Cambria Math" w:hAnsi="Cambria Math" w:cs="Times New Roman"/>
                <w:sz w:val="21"/>
                <w:szCs w:val="21"/>
                <w:highlight w:val="none"/>
                <w:lang w:val="en-US" w:eastAsia="zh-CN"/>
              </w:rPr>
            </m:ctrlPr>
          </m:sSubPr>
          <m:e>
            <m:r>
              <m:rPr>
                <m:nor/>
                <m:sty m:val="p"/>
              </m:rPr>
              <w:rPr>
                <w:rFonts w:hint="default" w:ascii="Times New Roman" w:hAnsi="Times New Roman" w:cs="Times New Roman"/>
                <w:b w:val="0"/>
                <w:i w:val="0"/>
                <w:sz w:val="21"/>
                <w:szCs w:val="21"/>
                <w:highlight w:val="none"/>
                <w:lang w:val="en-US" w:eastAsia="zh-CN"/>
              </w:rPr>
              <m:t>ε</m:t>
            </m:r>
            <m:ctrlPr>
              <w:rPr>
                <w:rFonts w:hint="default" w:ascii="Cambria Math" w:hAnsi="Cambria Math" w:cs="Times New Roman"/>
                <w:sz w:val="21"/>
                <w:szCs w:val="21"/>
                <w:highlight w:val="none"/>
                <w:lang w:val="en-US" w:eastAsia="zh-CN"/>
              </w:rPr>
            </m:ctrlPr>
          </m:e>
          <m:sub>
            <m:r>
              <m:rPr>
                <m:nor/>
                <m:sty m:val="p"/>
              </m:rPr>
              <w:rPr>
                <w:rFonts w:hint="default" w:ascii="Times New Roman" w:hAnsi="Times New Roman" w:cs="Times New Roman"/>
                <w:b w:val="0"/>
                <w:i w:val="0"/>
                <w:sz w:val="21"/>
                <w:szCs w:val="21"/>
                <w:highlight w:val="none"/>
                <w:lang w:val="en-US" w:eastAsia="zh-CN"/>
              </w:rPr>
              <m:t>t</m:t>
            </m:r>
            <m:ctrlPr>
              <w:rPr>
                <w:rFonts w:hint="default" w:ascii="Cambria Math" w:hAnsi="Cambria Math" w:cs="Times New Roman"/>
                <w:sz w:val="21"/>
                <w:szCs w:val="21"/>
                <w:highlight w:val="none"/>
                <w:lang w:val="en-US" w:eastAsia="zh-CN"/>
              </w:rPr>
            </m:ctrlPr>
          </m:sub>
        </m:sSub>
      </m:oMath>
      <w:r>
        <w:rPr>
          <w:rFonts w:hint="default" w:ascii="Times New Roman" w:hAnsi="Times New Roman" w:cs="Times New Roman"/>
          <w:sz w:val="21"/>
          <w:szCs w:val="21"/>
          <w:highlight w:val="none"/>
          <w:lang w:val="en-US" w:eastAsia="zh-CN"/>
        </w:rPr>
        <w:t>—稀土采选作业综合回收率</w:t>
      </w:r>
      <w:r>
        <w:rPr>
          <w:rFonts w:hint="eastAsia" w:ascii="Times New Roman" w:hAnsi="Times New Roman" w:cs="Times New Roman"/>
          <w:sz w:val="21"/>
          <w:szCs w:val="21"/>
          <w:highlight w:val="none"/>
          <w:lang w:val="en-US" w:eastAsia="zh-CN"/>
        </w:rPr>
        <w:t>。</w:t>
      </w:r>
    </w:p>
    <w:p w14:paraId="71DDB0CD">
      <w:pPr>
        <w:adjustRightInd w:val="0"/>
        <w:snapToGrid w:val="0"/>
        <w:spacing w:before="156" w:beforeLines="50" w:after="156" w:afterLines="50"/>
        <w:outlineLvl w:val="1"/>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A.</w:t>
      </w:r>
      <w:r>
        <w:rPr>
          <w:rFonts w:hint="eastAsia" w:cs="Times New Roman"/>
          <w:sz w:val="21"/>
          <w:szCs w:val="21"/>
          <w:highlight w:val="none"/>
          <w:lang w:val="en-US" w:eastAsia="zh-CN"/>
        </w:rPr>
        <w:t>4工业用水重复利用</w:t>
      </w:r>
      <w:r>
        <w:rPr>
          <w:rFonts w:hint="default" w:ascii="Times New Roman" w:hAnsi="Times New Roman" w:cs="Times New Roman"/>
          <w:sz w:val="21"/>
          <w:szCs w:val="21"/>
          <w:highlight w:val="none"/>
          <w:lang w:val="en-US" w:eastAsia="zh-CN"/>
        </w:rPr>
        <w:t>率</w:t>
      </w:r>
    </w:p>
    <w:p w14:paraId="7DEA3E64">
      <w:pPr>
        <w:adjustRightInd w:val="0"/>
        <w:snapToGrid w:val="0"/>
        <w:spacing w:before="156" w:beforeLines="50" w:after="156" w:afterLines="50"/>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按照公式（</w:t>
      </w:r>
      <w:r>
        <w:rPr>
          <w:rFonts w:hint="eastAsia" w:cs="Times New Roman"/>
          <w:sz w:val="21"/>
          <w:szCs w:val="21"/>
          <w:highlight w:val="none"/>
          <w:lang w:val="en-US" w:eastAsia="zh-CN"/>
        </w:rPr>
        <w:t>4</w:t>
      </w:r>
      <w:r>
        <w:rPr>
          <w:rFonts w:hint="default" w:ascii="Times New Roman" w:hAnsi="Times New Roman" w:cs="Times New Roman"/>
          <w:sz w:val="21"/>
          <w:szCs w:val="21"/>
          <w:highlight w:val="none"/>
          <w:lang w:val="en-US" w:eastAsia="zh-CN"/>
        </w:rPr>
        <w:t>）计算</w:t>
      </w:r>
      <w:r>
        <w:rPr>
          <w:rFonts w:hint="eastAsia" w:cs="Times New Roman"/>
          <w:sz w:val="21"/>
          <w:szCs w:val="21"/>
          <w:highlight w:val="none"/>
          <w:lang w:val="en-US" w:eastAsia="zh-CN"/>
        </w:rPr>
        <w:t>工业用水重复利用</w:t>
      </w:r>
      <w:r>
        <w:rPr>
          <w:rFonts w:hint="default" w:ascii="Times New Roman" w:hAnsi="Times New Roman" w:cs="Times New Roman"/>
          <w:sz w:val="21"/>
          <w:szCs w:val="21"/>
          <w:highlight w:val="none"/>
          <w:lang w:val="en-US" w:eastAsia="zh-CN"/>
        </w:rPr>
        <w:t>率：</w:t>
      </w:r>
    </w:p>
    <w:p w14:paraId="3142CB97">
      <w:pPr>
        <w:tabs>
          <w:tab w:val="center" w:leader="middleDot" w:pos="6300"/>
        </w:tabs>
        <w:adjustRightInd w:val="0"/>
        <w:snapToGrid w:val="0"/>
        <w:spacing w:before="156" w:beforeLines="50" w:after="156" w:afterLines="50"/>
        <w:jc w:val="center"/>
        <w:rPr>
          <w:rFonts w:hint="default" w:ascii="Times New Roman" w:hAnsi="Times New Roman" w:cs="Times New Roman"/>
          <w:sz w:val="21"/>
          <w:szCs w:val="21"/>
          <w:highlight w:val="none"/>
        </w:rPr>
      </w:pPr>
      <m:oMath>
        <m:r>
          <m:rPr>
            <m:nor/>
          </m:rPr>
          <w:rPr>
            <w:rFonts w:hint="default" w:cs="Times New Roman"/>
            <w:i/>
            <w:sz w:val="21"/>
            <w:szCs w:val="21"/>
            <w:highlight w:val="none"/>
            <w:lang w:val="en-US" w:eastAsia="zh-CN"/>
          </w:rPr>
          <m:t>R</m:t>
        </m:r>
        <m:r>
          <m:rPr>
            <m:nor/>
            <m:sty m:val="p"/>
          </m:rPr>
          <w:rPr>
            <w:rFonts w:hint="default" w:ascii="Times New Roman" w:hAnsi="Times New Roman" w:cs="Times New Roman"/>
            <w:b w:val="0"/>
            <w:i w:val="0"/>
            <w:sz w:val="21"/>
            <w:szCs w:val="21"/>
            <w:highlight w:val="none"/>
          </w:rPr>
          <m:t>=</m:t>
        </m:r>
        <m:f>
          <m:fPr>
            <m:ctrlPr>
              <w:rPr>
                <w:rFonts w:hint="default" w:ascii="Cambria Math" w:hAnsi="Cambria Math" w:cs="Times New Roman"/>
                <w:i/>
                <w:iCs/>
                <w:sz w:val="21"/>
                <w:szCs w:val="21"/>
                <w:highlight w:val="none"/>
              </w:rPr>
            </m:ctrlPr>
          </m:fPr>
          <m:num>
            <m:sSub>
              <m:sSubPr>
                <m:ctrlPr>
                  <w:rPr>
                    <w:rFonts w:hint="default" w:ascii="Cambria Math" w:hAnsi="Cambria Math" w:cs="Times New Roman"/>
                    <w:i/>
                    <w:iCs/>
                    <w:sz w:val="21"/>
                    <w:szCs w:val="21"/>
                    <w:highlight w:val="none"/>
                  </w:rPr>
                </m:ctrlPr>
              </m:sSubPr>
              <m:e>
                <m:r>
                  <m:rPr/>
                  <w:rPr>
                    <w:rFonts w:hint="default" w:cs="Times New Roman"/>
                    <w:sz w:val="21"/>
                    <w:szCs w:val="21"/>
                    <w:highlight w:val="none"/>
                    <w:lang w:val="en-US" w:eastAsia="zh-CN"/>
                  </w:rPr>
                  <m:t>V</m:t>
                </m:r>
                <m:ctrlPr>
                  <w:rPr>
                    <w:rFonts w:hint="default" w:ascii="Cambria Math" w:hAnsi="Cambria Math" w:cs="Times New Roman"/>
                    <w:i/>
                    <w:iCs/>
                    <w:sz w:val="21"/>
                    <w:szCs w:val="21"/>
                    <w:highlight w:val="none"/>
                  </w:rPr>
                </m:ctrlPr>
              </m:e>
              <m:sub>
                <m:r>
                  <m:rPr>
                    <m:nor/>
                  </m:rPr>
                  <w:rPr>
                    <w:rFonts w:hint="default" w:ascii="Cambria Math" w:hAnsi="Cambria Math" w:cs="Times New Roman"/>
                    <w:i/>
                    <w:iCs/>
                    <w:sz w:val="21"/>
                    <w:szCs w:val="21"/>
                    <w:highlight w:val="none"/>
                    <w:lang w:val="en-US" w:eastAsia="zh-CN"/>
                  </w:rPr>
                  <m:t>r</m:t>
                </m:r>
                <m:ctrlPr>
                  <w:rPr>
                    <w:rFonts w:hint="default" w:ascii="Cambria Math" w:hAnsi="Cambria Math" w:cs="Times New Roman"/>
                    <w:i/>
                    <w:iCs/>
                    <w:sz w:val="21"/>
                    <w:szCs w:val="21"/>
                    <w:highlight w:val="none"/>
                  </w:rPr>
                </m:ctrlPr>
              </m:sub>
            </m:sSub>
            <m:ctrlPr>
              <w:rPr>
                <w:rFonts w:hint="default" w:ascii="Cambria Math" w:hAnsi="Cambria Math" w:cs="Times New Roman"/>
                <w:i/>
                <w:iCs/>
                <w:sz w:val="21"/>
                <w:szCs w:val="21"/>
                <w:highlight w:val="none"/>
              </w:rPr>
            </m:ctrlPr>
          </m:num>
          <m:den>
            <m:sSub>
              <m:sSubPr>
                <m:ctrlPr>
                  <w:rPr>
                    <w:rFonts w:hint="default" w:ascii="Cambria Math" w:hAnsi="Cambria Math" w:cs="Times New Roman"/>
                    <w:i/>
                    <w:iCs/>
                    <w:sz w:val="21"/>
                    <w:szCs w:val="21"/>
                    <w:highlight w:val="none"/>
                  </w:rPr>
                </m:ctrlPr>
              </m:sSubPr>
              <m:e>
                <m:r>
                  <m:rPr>
                    <m:nor/>
                  </m:rPr>
                  <w:rPr>
                    <w:rFonts w:hint="default" w:ascii="Cambria Math" w:hAnsi="Cambria Math" w:cs="Times New Roman"/>
                    <w:i/>
                    <w:iCs/>
                    <w:sz w:val="21"/>
                    <w:szCs w:val="21"/>
                    <w:highlight w:val="none"/>
                    <w:lang w:val="en-US" w:eastAsia="zh-CN"/>
                  </w:rPr>
                  <m:t>V</m:t>
                </m:r>
                <m:ctrlPr>
                  <w:rPr>
                    <w:rFonts w:hint="default" w:ascii="Cambria Math" w:hAnsi="Cambria Math" w:cs="Times New Roman"/>
                    <w:i/>
                    <w:iCs/>
                    <w:sz w:val="21"/>
                    <w:szCs w:val="21"/>
                    <w:highlight w:val="none"/>
                  </w:rPr>
                </m:ctrlPr>
              </m:e>
              <m:sub>
                <m:r>
                  <m:rPr>
                    <m:nor/>
                    <m:sty m:val="p"/>
                  </m:rPr>
                  <w:rPr>
                    <w:rFonts w:hint="default" w:ascii="Cambria Math" w:hAnsi="Cambria Math" w:cs="Times New Roman"/>
                    <w:b w:val="0"/>
                    <w:i w:val="0"/>
                    <w:iCs/>
                    <w:sz w:val="21"/>
                    <w:szCs w:val="21"/>
                    <w:highlight w:val="none"/>
                    <w:lang w:val="en-US" w:eastAsia="zh-CN"/>
                  </w:rPr>
                  <m:t>i</m:t>
                </m:r>
                <m:ctrlPr>
                  <w:rPr>
                    <w:rFonts w:hint="default" w:ascii="Cambria Math" w:hAnsi="Cambria Math" w:cs="Times New Roman"/>
                    <w:i/>
                    <w:iCs/>
                    <w:sz w:val="21"/>
                    <w:szCs w:val="21"/>
                    <w:highlight w:val="none"/>
                  </w:rPr>
                </m:ctrlPr>
              </m:sub>
            </m:sSub>
            <m:r>
              <m:rPr>
                <m:nor/>
                <m:sty m:val="p"/>
              </m:rPr>
              <w:rPr>
                <w:rFonts w:hint="default" w:ascii="Cambria Math" w:hAnsi="Cambria Math" w:cs="Times New Roman"/>
                <w:b w:val="0"/>
                <w:i w:val="0"/>
                <w:iCs/>
                <w:sz w:val="21"/>
                <w:szCs w:val="21"/>
                <w:highlight w:val="none"/>
                <w:lang w:val="en-US" w:eastAsia="zh-CN"/>
              </w:rPr>
              <m:t>+</m:t>
            </m:r>
            <m:sSub>
              <m:sSubPr>
                <m:ctrlPr>
                  <w:rPr>
                    <w:rFonts w:hint="default" w:ascii="Cambria Math" w:hAnsi="Cambria Math" w:cs="Times New Roman"/>
                    <w:i/>
                    <w:iCs/>
                    <w:sz w:val="21"/>
                    <w:szCs w:val="21"/>
                    <w:highlight w:val="none"/>
                  </w:rPr>
                </m:ctrlPr>
              </m:sSubPr>
              <m:e>
                <m:r>
                  <m:rPr/>
                  <w:rPr>
                    <w:rFonts w:hint="default" w:cs="Times New Roman"/>
                    <w:sz w:val="21"/>
                    <w:szCs w:val="21"/>
                    <w:highlight w:val="none"/>
                    <w:lang w:val="en-US" w:eastAsia="zh-CN"/>
                  </w:rPr>
                  <m:t>V</m:t>
                </m:r>
                <m:ctrlPr>
                  <w:rPr>
                    <w:rFonts w:hint="default" w:ascii="Cambria Math" w:hAnsi="Cambria Math" w:cs="Times New Roman"/>
                    <w:i/>
                    <w:iCs/>
                    <w:sz w:val="21"/>
                    <w:szCs w:val="21"/>
                    <w:highlight w:val="none"/>
                  </w:rPr>
                </m:ctrlPr>
              </m:e>
              <m:sub>
                <m:r>
                  <m:rPr>
                    <m:nor/>
                  </m:rPr>
                  <w:rPr>
                    <w:rFonts w:hint="default" w:ascii="Cambria Math" w:hAnsi="Cambria Math" w:cs="Times New Roman"/>
                    <w:i/>
                    <w:iCs/>
                    <w:sz w:val="21"/>
                    <w:szCs w:val="21"/>
                    <w:highlight w:val="none"/>
                    <w:lang w:val="en-US" w:eastAsia="zh-CN"/>
                  </w:rPr>
                  <m:t>r</m:t>
                </m:r>
                <m:ctrlPr>
                  <w:rPr>
                    <w:rFonts w:hint="default" w:ascii="Cambria Math" w:hAnsi="Cambria Math" w:cs="Times New Roman"/>
                    <w:i/>
                    <w:iCs/>
                    <w:sz w:val="21"/>
                    <w:szCs w:val="21"/>
                    <w:highlight w:val="none"/>
                  </w:rPr>
                </m:ctrlPr>
              </m:sub>
            </m:sSub>
            <m:ctrlPr>
              <w:rPr>
                <w:rFonts w:hint="default" w:ascii="Cambria Math" w:hAnsi="Cambria Math" w:cs="Times New Roman"/>
                <w:i/>
                <w:iCs/>
                <w:sz w:val="21"/>
                <w:szCs w:val="21"/>
                <w:highlight w:val="none"/>
              </w:rPr>
            </m:ctrlPr>
          </m:den>
        </m:f>
        <m:r>
          <m:rPr>
            <m:nor/>
            <m:sty m:val="p"/>
          </m:rPr>
          <w:rPr>
            <w:rFonts w:hint="default" w:ascii="Times New Roman" w:hAnsi="Times New Roman" w:cs="Times New Roman"/>
            <w:b w:val="0"/>
            <w:i w:val="0"/>
            <w:sz w:val="21"/>
            <w:szCs w:val="21"/>
            <w:highlight w:val="none"/>
          </w:rPr>
          <m:t>×100%</m:t>
        </m:r>
      </m:oMath>
      <w:r>
        <w:rPr>
          <w:rFonts w:hint="eastAsia" w:hAnsi="Times New Roman" w:cs="Times New Roman"/>
          <w:b w:val="0"/>
          <w:i w:val="0"/>
          <w:sz w:val="21"/>
          <w:szCs w:val="21"/>
          <w:highlight w:val="none"/>
          <w:lang w:val="en-US" w:eastAsia="zh-CN"/>
        </w:rPr>
        <w:t xml:space="preserve">                                     </w:t>
      </w:r>
      <w:r>
        <w:rPr>
          <w:rFonts w:hint="default" w:ascii="Times New Roman" w:hAnsi="Times New Roman" w:cs="Times New Roman"/>
          <w:sz w:val="21"/>
          <w:szCs w:val="21"/>
          <w:highlight w:val="none"/>
        </w:rPr>
        <w:t>（</w:t>
      </w:r>
      <w:r>
        <w:rPr>
          <w:rFonts w:hint="eastAsia" w:cs="Times New Roman"/>
          <w:sz w:val="21"/>
          <w:szCs w:val="21"/>
          <w:highlight w:val="none"/>
          <w:lang w:val="en-US" w:eastAsia="zh-CN"/>
        </w:rPr>
        <w:t>4</w:t>
      </w:r>
      <w:r>
        <w:rPr>
          <w:rFonts w:hint="default" w:ascii="Times New Roman" w:hAnsi="Times New Roman" w:cs="Times New Roman"/>
          <w:sz w:val="21"/>
          <w:szCs w:val="21"/>
          <w:highlight w:val="none"/>
        </w:rPr>
        <w:t>）</w:t>
      </w:r>
    </w:p>
    <w:p w14:paraId="7AA8815E">
      <w:pPr>
        <w:adjustRightInd w:val="0"/>
        <w:snapToGrid w:val="0"/>
        <w:spacing w:before="156" w:beforeLines="50" w:after="156" w:afterLines="50"/>
        <w:rPr>
          <w:rFonts w:hint="eastAsia" w:cs="Times New Roman"/>
          <w:sz w:val="21"/>
          <w:szCs w:val="21"/>
          <w:highlight w:val="none"/>
          <w:lang w:val="en-US" w:eastAsia="zh-CN"/>
        </w:rPr>
      </w:pPr>
      <w:r>
        <w:rPr>
          <w:rFonts w:hint="eastAsia" w:cs="Times New Roman"/>
          <w:sz w:val="21"/>
          <w:szCs w:val="21"/>
          <w:highlight w:val="none"/>
          <w:lang w:val="en-US" w:eastAsia="zh-CN"/>
        </w:rPr>
        <w:t>式中：</w:t>
      </w:r>
    </w:p>
    <w:p w14:paraId="39705DDF">
      <w:pPr>
        <w:adjustRightInd w:val="0"/>
        <w:snapToGrid w:val="0"/>
        <w:spacing w:before="156" w:beforeLines="50" w:after="156" w:afterLines="50"/>
        <w:rPr>
          <w:rFonts w:hint="default" w:ascii="Times New Roman" w:hAnsi="Times New Roman" w:eastAsia="宋体" w:cs="Times New Roman"/>
          <w:sz w:val="21"/>
          <w:szCs w:val="21"/>
          <w:highlight w:val="none"/>
          <w:lang w:val="en-US" w:eastAsia="zh-CN"/>
        </w:rPr>
      </w:pPr>
      <w:r>
        <w:rPr>
          <w:rFonts w:hint="eastAsia" w:cs="Times New Roman"/>
          <w:sz w:val="21"/>
          <w:szCs w:val="21"/>
          <w:highlight w:val="none"/>
          <w:lang w:val="en-US" w:eastAsia="zh-CN"/>
        </w:rPr>
        <w:t>R</w:t>
      </w:r>
      <w:r>
        <w:rPr>
          <w:rFonts w:hint="default" w:ascii="Times New Roman" w:hAnsi="Times New Roman" w:cs="Times New Roman"/>
          <w:sz w:val="21"/>
          <w:szCs w:val="21"/>
          <w:highlight w:val="none"/>
        </w:rPr>
        <w:t>—</w:t>
      </w:r>
      <w:r>
        <w:rPr>
          <w:rFonts w:hint="eastAsia" w:cs="Times New Roman"/>
          <w:sz w:val="21"/>
          <w:szCs w:val="21"/>
          <w:highlight w:val="none"/>
          <w:lang w:val="en-US" w:eastAsia="zh-CN"/>
        </w:rPr>
        <w:t>工业用水重复利用率。</w:t>
      </w:r>
    </w:p>
    <w:p w14:paraId="4C1615DD">
      <w:pPr>
        <w:adjustRightInd w:val="0"/>
        <w:snapToGrid w:val="0"/>
        <w:spacing w:before="156" w:beforeLines="50" w:after="156" w:afterLines="50"/>
        <w:rPr>
          <w:rFonts w:hint="eastAsia" w:cs="Times New Roman"/>
          <w:sz w:val="21"/>
          <w:szCs w:val="21"/>
          <w:highlight w:val="none"/>
          <w:lang w:val="en-US" w:eastAsia="zh-CN"/>
        </w:rPr>
      </w:pPr>
      <w:r>
        <w:rPr>
          <w:rFonts w:hint="eastAsia" w:cs="Times New Roman"/>
          <w:sz w:val="21"/>
          <w:szCs w:val="21"/>
          <w:highlight w:val="none"/>
          <w:lang w:val="en-US" w:eastAsia="zh-CN"/>
        </w:rPr>
        <w:t>V</w:t>
      </w:r>
      <w:r>
        <w:rPr>
          <w:rFonts w:hint="eastAsia" w:cs="Times New Roman"/>
          <w:i/>
          <w:iCs/>
          <w:sz w:val="21"/>
          <w:szCs w:val="21"/>
          <w:highlight w:val="none"/>
          <w:vertAlign w:val="subscript"/>
          <w:lang w:val="en-US" w:eastAsia="zh-CN"/>
        </w:rPr>
        <w:t>r</w:t>
      </w:r>
      <w:r>
        <w:rPr>
          <w:rFonts w:hint="eastAsia" w:cs="Times New Roman"/>
          <w:sz w:val="21"/>
          <w:szCs w:val="21"/>
          <w:highlight w:val="none"/>
          <w:lang w:val="en-US" w:eastAsia="zh-CN"/>
        </w:rPr>
        <w:t>—在一定的计量时间内，稀土采选作业的重复利用水量，单位为立方米（m</w:t>
      </w:r>
      <w:r>
        <w:rPr>
          <w:rFonts w:hint="eastAsia" w:cs="Times New Roman"/>
          <w:sz w:val="21"/>
          <w:szCs w:val="21"/>
          <w:highlight w:val="none"/>
          <w:vertAlign w:val="superscript"/>
          <w:lang w:val="en-US" w:eastAsia="zh-CN"/>
        </w:rPr>
        <w:t>3</w:t>
      </w:r>
      <w:r>
        <w:rPr>
          <w:rFonts w:hint="eastAsia" w:cs="Times New Roman"/>
          <w:sz w:val="21"/>
          <w:szCs w:val="21"/>
          <w:highlight w:val="none"/>
          <w:lang w:val="en-US" w:eastAsia="zh-CN"/>
        </w:rPr>
        <w:t>）；</w:t>
      </w:r>
    </w:p>
    <w:p w14:paraId="54F0410E">
      <w:pPr>
        <w:adjustRightInd w:val="0"/>
        <w:snapToGrid w:val="0"/>
        <w:spacing w:before="156" w:beforeLines="50" w:after="156" w:afterLines="50"/>
        <w:rPr>
          <w:rFonts w:hint="default" w:cs="Times New Roman"/>
          <w:sz w:val="21"/>
          <w:szCs w:val="21"/>
          <w:highlight w:val="none"/>
          <w:lang w:val="en-US" w:eastAsia="zh-CN"/>
        </w:rPr>
      </w:pPr>
      <w:r>
        <w:rPr>
          <w:rFonts w:hint="eastAsia" w:cs="Times New Roman"/>
          <w:sz w:val="21"/>
          <w:szCs w:val="21"/>
          <w:highlight w:val="none"/>
          <w:lang w:val="en-US" w:eastAsia="zh-CN"/>
        </w:rPr>
        <w:t>V</w:t>
      </w:r>
      <w:r>
        <w:rPr>
          <w:rFonts w:hint="eastAsia" w:cs="Times New Roman"/>
          <w:i/>
          <w:iCs/>
          <w:sz w:val="21"/>
          <w:szCs w:val="21"/>
          <w:highlight w:val="none"/>
          <w:vertAlign w:val="subscript"/>
          <w:lang w:val="en-US" w:eastAsia="zh-CN"/>
        </w:rPr>
        <w:t>i</w:t>
      </w:r>
      <w:r>
        <w:rPr>
          <w:rFonts w:hint="eastAsia" w:cs="Times New Roman"/>
          <w:sz w:val="21"/>
          <w:szCs w:val="21"/>
          <w:highlight w:val="none"/>
          <w:lang w:val="en-US" w:eastAsia="zh-CN"/>
        </w:rPr>
        <w:t>—在一定的计量时间内，稀土采选作业的取水量，单位为立方米（m</w:t>
      </w:r>
      <w:r>
        <w:rPr>
          <w:rFonts w:hint="eastAsia" w:cs="Times New Roman"/>
          <w:sz w:val="21"/>
          <w:szCs w:val="21"/>
          <w:highlight w:val="none"/>
          <w:vertAlign w:val="superscript"/>
          <w:lang w:val="en-US" w:eastAsia="zh-CN"/>
        </w:rPr>
        <w:t>3</w:t>
      </w:r>
      <w:r>
        <w:rPr>
          <w:rFonts w:hint="eastAsia" w:cs="Times New Roman"/>
          <w:sz w:val="21"/>
          <w:szCs w:val="21"/>
          <w:highlight w:val="none"/>
          <w:lang w:val="en-US" w:eastAsia="zh-CN"/>
        </w:rPr>
        <w:t>）。</w:t>
      </w:r>
    </w:p>
    <w:p w14:paraId="2C7335BD">
      <w:pPr>
        <w:rPr>
          <w:rFonts w:hint="eastAsia" w:ascii="Times New Roman" w:hAnsi="Times New Roman" w:cs="Times New Roman"/>
          <w:sz w:val="21"/>
          <w:szCs w:val="21"/>
          <w:highlight w:val="none"/>
          <w:lang w:val="en-US" w:eastAsia="zh-CN"/>
        </w:rPr>
      </w:pPr>
      <w:r>
        <w:rPr>
          <w:rFonts w:hint="eastAsia" w:ascii="Times New Roman" w:hAnsi="Times New Roman" w:cs="Times New Roman"/>
          <w:sz w:val="21"/>
          <w:szCs w:val="21"/>
          <w:highlight w:val="none"/>
          <w:lang w:val="en-US" w:eastAsia="zh-CN"/>
        </w:rPr>
        <w:br w:type="page"/>
      </w:r>
    </w:p>
    <w:p w14:paraId="2339E027">
      <w:pPr>
        <w:widowControl w:val="0"/>
        <w:spacing w:line="360" w:lineRule="exact"/>
        <w:ind w:firstLine="420"/>
        <w:jc w:val="center"/>
        <w:outlineLvl w:val="0"/>
        <w:rPr>
          <w:rFonts w:hint="eastAsia" w:ascii="Times New Roman" w:hAnsi="Times New Roman" w:eastAsia="黑体" w:cs="Times New Roman"/>
          <w:color w:val="auto"/>
          <w:kern w:val="0"/>
          <w:sz w:val="21"/>
          <w:szCs w:val="21"/>
          <w:lang w:val="en-US" w:eastAsia="zh-CN" w:bidi="ar"/>
          <w14:ligatures w14:val="none"/>
        </w:rPr>
      </w:pPr>
      <w:bookmarkStart w:id="16" w:name="_Toc19617"/>
      <w:r>
        <w:rPr>
          <w:rFonts w:hint="eastAsia" w:ascii="Times New Roman" w:hAnsi="Times New Roman" w:eastAsia="黑体" w:cs="Times New Roman"/>
          <w:color w:val="auto"/>
          <w:kern w:val="0"/>
          <w:sz w:val="21"/>
          <w:szCs w:val="21"/>
          <w:lang w:val="en-US" w:eastAsia="zh-CN" w:bidi="ar"/>
          <w14:ligatures w14:val="none"/>
        </w:rPr>
        <w:t>参考文献</w:t>
      </w:r>
      <w:bookmarkEnd w:id="16"/>
    </w:p>
    <w:p w14:paraId="759742A5">
      <w:pPr>
        <w:widowControl w:val="0"/>
        <w:spacing w:line="360" w:lineRule="exact"/>
        <w:ind w:firstLine="420"/>
        <w:jc w:val="center"/>
        <w:outlineLvl w:val="0"/>
        <w:rPr>
          <w:rFonts w:hint="eastAsia" w:ascii="Times New Roman" w:hAnsi="Times New Roman" w:eastAsia="黑体" w:cs="Times New Roman"/>
          <w:color w:val="auto"/>
          <w:kern w:val="0"/>
          <w:sz w:val="21"/>
          <w:szCs w:val="21"/>
          <w:lang w:val="en-US" w:eastAsia="zh-CN" w:bidi="ar"/>
          <w14:ligatures w14:val="none"/>
        </w:rPr>
      </w:pPr>
    </w:p>
    <w:p w14:paraId="752FE86D">
      <w:pPr>
        <w:adjustRightInd w:val="0"/>
        <w:snapToGrid w:val="0"/>
        <w:spacing w:before="156" w:beforeLines="50" w:after="156" w:afterLines="50"/>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[1] GB/T 21534—2021, 节约用水 术语[S].</w:t>
      </w:r>
    </w:p>
    <w:p w14:paraId="7FCA87CC">
      <w:pPr>
        <w:adjustRightInd w:val="0"/>
        <w:snapToGrid w:val="0"/>
        <w:spacing w:before="156" w:beforeLines="50" w:after="156" w:afterLines="50"/>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[2] GB/T 25283—2023, 矿产资源综合勘查评价规范[S].</w:t>
      </w:r>
    </w:p>
    <w:p w14:paraId="3465CA1B">
      <w:pPr>
        <w:adjustRightInd w:val="0"/>
        <w:snapToGrid w:val="0"/>
        <w:spacing w:before="156" w:beforeLines="50" w:after="156" w:afterLines="50"/>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[3] GBZ 139—2019, 稀土生产场所放射防护要求[S].</w:t>
      </w:r>
    </w:p>
    <w:p w14:paraId="1C9DB42B">
      <w:pPr>
        <w:adjustRightInd w:val="0"/>
        <w:snapToGrid w:val="0"/>
        <w:spacing w:before="156" w:beforeLines="50" w:after="156" w:afterLines="50"/>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[4] DZ/T 0204—2022, 矿产地质勘查规范 稀土[S].</w:t>
      </w:r>
    </w:p>
    <w:p w14:paraId="1376A423">
      <w:pPr>
        <w:adjustRightInd w:val="0"/>
        <w:snapToGrid w:val="0"/>
        <w:spacing w:before="156" w:beforeLines="50" w:after="156" w:afterLines="50"/>
        <w:rPr>
          <w:rFonts w:hint="default" w:ascii="Times New Roman" w:hAnsi="Times New Roman" w:cs="Times New Roman"/>
          <w:sz w:val="21"/>
          <w:szCs w:val="21"/>
          <w:highlight w:val="none"/>
          <w:lang w:val="en-US" w:eastAsia="zh-CN"/>
        </w:rPr>
      </w:pPr>
      <w:r>
        <w:rPr>
          <w:rFonts w:hint="eastAsia" w:cs="Times New Roman"/>
          <w:sz w:val="21"/>
          <w:szCs w:val="21"/>
          <w:highlight w:val="none"/>
          <w:lang w:val="en-US" w:eastAsia="zh-CN"/>
        </w:rPr>
        <w:t xml:space="preserve">[5] </w:t>
      </w:r>
      <w:r>
        <w:rPr>
          <w:rFonts w:hint="default" w:ascii="Times New Roman" w:hAnsi="Times New Roman" w:cs="Times New Roman"/>
          <w:sz w:val="21"/>
          <w:szCs w:val="21"/>
          <w:highlight w:val="none"/>
          <w:lang w:val="en-US" w:eastAsia="zh-CN"/>
        </w:rPr>
        <w:t>GB/T 7119—2018</w:t>
      </w:r>
      <w:r>
        <w:rPr>
          <w:rFonts w:hint="eastAsia" w:cs="Times New Roman"/>
          <w:sz w:val="21"/>
          <w:szCs w:val="21"/>
          <w:highlight w:val="none"/>
          <w:lang w:val="en-US" w:eastAsia="zh-CN"/>
        </w:rPr>
        <w:t xml:space="preserve">, </w:t>
      </w:r>
      <w:r>
        <w:rPr>
          <w:rFonts w:hint="default" w:ascii="Times New Roman" w:hAnsi="Times New Roman" w:cs="Times New Roman"/>
          <w:sz w:val="21"/>
          <w:szCs w:val="21"/>
          <w:highlight w:val="none"/>
          <w:lang w:val="en-US" w:eastAsia="zh-CN"/>
        </w:rPr>
        <w:t>节水型企业评价导则[S].</w:t>
      </w:r>
    </w:p>
    <w:p w14:paraId="6876798E">
      <w:pPr>
        <w:adjustRightInd w:val="0"/>
        <w:snapToGrid w:val="0"/>
        <w:spacing w:before="156" w:beforeLines="50" w:after="156" w:afterLines="50"/>
        <w:rPr>
          <w:rFonts w:hint="default" w:ascii="Times New Roman" w:hAnsi="Times New Roman" w:cs="Times New Roman"/>
          <w:sz w:val="21"/>
          <w:szCs w:val="21"/>
          <w:highlight w:val="none"/>
          <w:lang w:val="en-US" w:eastAsia="zh-CN"/>
        </w:rPr>
      </w:pPr>
      <w:r>
        <w:rPr>
          <w:rFonts w:hint="eastAsia" w:cs="Times New Roman"/>
          <w:sz w:val="21"/>
          <w:szCs w:val="21"/>
          <w:highlight w:val="none"/>
          <w:lang w:val="en-US" w:eastAsia="zh-CN"/>
        </w:rPr>
        <w:t xml:space="preserve">[6] </w:t>
      </w:r>
      <w:r>
        <w:rPr>
          <w:rFonts w:hint="default" w:ascii="Times New Roman" w:hAnsi="Times New Roman" w:cs="Times New Roman"/>
          <w:sz w:val="21"/>
          <w:szCs w:val="21"/>
          <w:highlight w:val="none"/>
          <w:lang w:val="en-US" w:eastAsia="zh-CN"/>
        </w:rPr>
        <w:t>GB 51414—2020</w:t>
      </w:r>
      <w:r>
        <w:rPr>
          <w:rFonts w:hint="eastAsia" w:cs="Times New Roman"/>
          <w:sz w:val="21"/>
          <w:szCs w:val="21"/>
          <w:highlight w:val="none"/>
          <w:lang w:val="en-US" w:eastAsia="zh-CN"/>
        </w:rPr>
        <w:t>, 有色金属企业节水设计标准</w:t>
      </w:r>
      <w:r>
        <w:rPr>
          <w:rFonts w:hint="default" w:ascii="Times New Roman" w:hAnsi="Times New Roman" w:cs="Times New Roman"/>
          <w:sz w:val="21"/>
          <w:szCs w:val="21"/>
          <w:highlight w:val="none"/>
          <w:lang w:val="en-US" w:eastAsia="zh-CN"/>
        </w:rPr>
        <w:t>[S]</w:t>
      </w:r>
      <w:r>
        <w:rPr>
          <w:rFonts w:hint="eastAsia" w:cs="Times New Roman"/>
          <w:sz w:val="21"/>
          <w:szCs w:val="21"/>
          <w:highlight w:val="none"/>
          <w:lang w:val="en-US" w:eastAsia="zh-CN"/>
        </w:rPr>
        <w:t>.</w:t>
      </w:r>
    </w:p>
    <w:sectPr>
      <w:headerReference r:id="rId24" w:type="default"/>
      <w:footerReference r:id="rId25" w:type="default"/>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意欣" w:date="2026-06-30T11:25:27Z" w:initials="">
    <w:p w14:paraId="28C20A4A">
      <w:pPr>
        <w:pStyle w:val="12"/>
      </w:pPr>
      <w: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8C20A4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E52B8">
    <w:pPr>
      <w:pStyle w:val="121"/>
      <w:rPr>
        <w:rStyle w:val="41"/>
      </w:rP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AC52C9">
                          <w:pPr>
                            <w:pStyle w:val="121"/>
                          </w:pPr>
                          <w:r>
                            <w:fldChar w:fldCharType="begin"/>
                          </w:r>
                          <w:r>
                            <w:rPr>
                              <w:rStyle w:val="41"/>
                            </w:rPr>
                            <w:instrText xml:space="preserve">PAGE  </w:instrText>
                          </w:r>
                          <w:r>
                            <w:fldChar w:fldCharType="separate"/>
                          </w:r>
                          <w:r>
                            <w:rPr>
                              <w:rStyle w:val="41"/>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3BAC52C9">
                    <w:pPr>
                      <w:pStyle w:val="121"/>
                    </w:pPr>
                    <w:r>
                      <w:fldChar w:fldCharType="begin"/>
                    </w:r>
                    <w:r>
                      <w:rPr>
                        <w:rStyle w:val="41"/>
                      </w:rPr>
                      <w:instrText xml:space="preserve">PAGE  </w:instrText>
                    </w:r>
                    <w:r>
                      <w:fldChar w:fldCharType="separate"/>
                    </w:r>
                    <w:r>
                      <w:rPr>
                        <w:rStyle w:val="41"/>
                      </w:rP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2AE3D">
    <w:pPr>
      <w:pStyle w:val="112"/>
      <w:rPr>
        <w:rStyle w:val="41"/>
      </w:rPr>
    </w:pPr>
    <w:r>
      <w:fldChar w:fldCharType="begin"/>
    </w:r>
    <w:r>
      <w:rPr>
        <w:rStyle w:val="41"/>
      </w:rPr>
      <w:instrText xml:space="preserve">PAGE  </w:instrTex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D6FD0">
    <w:pPr>
      <w:pStyle w:val="24"/>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98B4AA">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0A98B4AA">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D1CBE">
    <w:pPr>
      <w:spacing w:line="1" w:lineRule="exact"/>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6BCA8B">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36BCA8B">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3147F">
    <w:pPr>
      <w:spacing w:line="1" w:lineRule="exact"/>
    </w:pPr>
    <w:r>
      <mc:AlternateContent>
        <mc:Choice Requires="wps">
          <w:drawing>
            <wp:anchor distT="0" distB="0" distL="0" distR="0" simplePos="0" relativeHeight="251662336" behindDoc="1" locked="0" layoutInCell="1" allowOverlap="1">
              <wp:simplePos x="0" y="0"/>
              <wp:positionH relativeFrom="page">
                <wp:posOffset>1031875</wp:posOffset>
              </wp:positionH>
              <wp:positionV relativeFrom="page">
                <wp:posOffset>9989185</wp:posOffset>
              </wp:positionV>
              <wp:extent cx="100330" cy="7747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00330" cy="77470"/>
                      </a:xfrm>
                      <a:prstGeom prst="rect">
                        <a:avLst/>
                      </a:prstGeom>
                      <a:noFill/>
                    </wps:spPr>
                    <wps:txbx>
                      <w:txbxContent>
                        <w:p w14:paraId="7A65AD96">
                          <w:pPr>
                            <w:pStyle w:val="177"/>
                            <w:rPr>
                              <w:sz w:val="12"/>
                              <w:szCs w:val="12"/>
                            </w:rPr>
                          </w:pPr>
                          <w:r>
                            <w:rPr>
                              <w:lang w:eastAsia="en-US" w:bidi="en-US"/>
                            </w:rPr>
                            <w:fldChar w:fldCharType="begin"/>
                          </w:r>
                          <w:r>
                            <w:instrText xml:space="preserve"> PAGE \* MERGEFORMAT </w:instrText>
                          </w:r>
                          <w:r>
                            <w:rPr>
                              <w:lang w:eastAsia="en-US" w:bidi="en-US"/>
                            </w:rPr>
                            <w:fldChar w:fldCharType="separate"/>
                          </w:r>
                          <w:r>
                            <w:rPr>
                              <w:i/>
                              <w:iCs/>
                              <w:sz w:val="12"/>
                              <w:szCs w:val="12"/>
                              <w:lang w:val="zh-TW" w:eastAsia="zh-TW" w:bidi="zh-TW"/>
                            </w:rPr>
                            <w:t>#</w:t>
                          </w:r>
                          <w:r>
                            <w:rPr>
                              <w:i/>
                              <w:iCs/>
                              <w:sz w:val="12"/>
                              <w:szCs w:val="12"/>
                              <w:lang w:val="zh-TW" w:eastAsia="zh-TW" w:bidi="zh-TW"/>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left:81.25pt;margin-top:786.55pt;height:6.1pt;width:7.9pt;mso-position-horizontal-relative:page;mso-position-vertical-relative:page;mso-wrap-style:none;z-index:-251654144;mso-width-relative:page;mso-height-relative:page;" filled="f" stroked="f" coordsize="21600,21600" o:gfxdata="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xl1lj1wAAAA0BAAAPAAAAAAAAAAEAIAAAACIAAABkcnMvZG93bnJldi54bWxQ&#10;SwECFAAUAAAACACHTuJAYNdBbL8BAAB0AwAADgAAAAAAAAABACAAAAAmAQAAZHJzL2Uyb0RvYy54&#10;bWxQSwUGAAAAAAYABgBZAQAAVwUAAAAA&#10;">
              <v:fill on="f" focussize="0,0"/>
              <v:stroke on="f"/>
              <v:imagedata o:title=""/>
              <o:lock v:ext="edit" aspectratio="f"/>
              <v:textbox inset="0mm,0mm,0mm,0mm" style="mso-fit-shape-to-text:t;">
                <w:txbxContent>
                  <w:p w14:paraId="7A65AD96">
                    <w:pPr>
                      <w:pStyle w:val="177"/>
                      <w:rPr>
                        <w:sz w:val="12"/>
                        <w:szCs w:val="12"/>
                      </w:rPr>
                    </w:pPr>
                    <w:r>
                      <w:rPr>
                        <w:lang w:eastAsia="en-US" w:bidi="en-US"/>
                      </w:rPr>
                      <w:fldChar w:fldCharType="begin"/>
                    </w:r>
                    <w:r>
                      <w:instrText xml:space="preserve"> PAGE \* MERGEFORMAT </w:instrText>
                    </w:r>
                    <w:r>
                      <w:rPr>
                        <w:lang w:eastAsia="en-US" w:bidi="en-US"/>
                      </w:rPr>
                      <w:fldChar w:fldCharType="separate"/>
                    </w:r>
                    <w:r>
                      <w:rPr>
                        <w:i/>
                        <w:iCs/>
                        <w:sz w:val="12"/>
                        <w:szCs w:val="12"/>
                        <w:lang w:val="zh-TW" w:eastAsia="zh-TW" w:bidi="zh-TW"/>
                      </w:rPr>
                      <w:t>#</w:t>
                    </w:r>
                    <w:r>
                      <w:rPr>
                        <w:i/>
                        <w:iCs/>
                        <w:sz w:val="12"/>
                        <w:szCs w:val="12"/>
                        <w:lang w:val="zh-TW" w:eastAsia="zh-TW" w:bidi="zh-TW"/>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04289A04">
        <w:pPr>
          <w:pStyle w:val="24"/>
          <w:jc w:val="center"/>
        </w:pPr>
        <w:r>
          <w:fldChar w:fldCharType="begin"/>
        </w:r>
        <w:r>
          <w:instrText xml:space="preserve">PAGE   \* MERGEFORMAT</w:instrText>
        </w:r>
        <w:r>
          <w:fldChar w:fldCharType="separate"/>
        </w:r>
        <w:r>
          <w:rPr>
            <w:lang w:val="zh-CN"/>
          </w:rPr>
          <w:t>I</w:t>
        </w:r>
        <w:r>
          <w:fldChar w:fldCharType="end"/>
        </w:r>
      </w:p>
    </w:sdtContent>
  </w:sdt>
  <w:p w14:paraId="5E8BE1C1">
    <w:pPr>
      <w:spacing w:line="1" w:lineRule="exac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19152550"/>
      <w:docPartObj>
        <w:docPartGallery w:val="autotext"/>
      </w:docPartObj>
    </w:sdtPr>
    <w:sdtContent>
      <w:p w14:paraId="6A7F48DB">
        <w:pPr>
          <w:pStyle w:val="24"/>
          <w:jc w:val="center"/>
        </w:pPr>
        <w:r>
          <w:fldChar w:fldCharType="begin"/>
        </w:r>
        <w:r>
          <w:instrText xml:space="preserve">PAGE   \* MERGEFORMAT</w:instrText>
        </w:r>
        <w:r>
          <w:fldChar w:fldCharType="separate"/>
        </w:r>
        <w:r>
          <w:rPr>
            <w:lang w:val="zh-CN"/>
          </w:rPr>
          <w:t>II</w:t>
        </w:r>
        <w:r>
          <w:fldChar w:fldCharType="end"/>
        </w:r>
      </w:p>
    </w:sdtContent>
  </w:sdt>
  <w:p w14:paraId="4A20C154">
    <w:pPr>
      <w:spacing w:line="1" w:lineRule="exac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909B9">
    <w:pPr>
      <w:spacing w:line="1" w:lineRule="exact"/>
    </w:pPr>
    <w:r>
      <mc:AlternateContent>
        <mc:Choice Requires="wps">
          <w:drawing>
            <wp:anchor distT="0" distB="0" distL="0" distR="0" simplePos="0" relativeHeight="251667456" behindDoc="1" locked="0" layoutInCell="1" allowOverlap="1">
              <wp:simplePos x="0" y="0"/>
              <wp:positionH relativeFrom="page">
                <wp:posOffset>1226185</wp:posOffset>
              </wp:positionH>
              <wp:positionV relativeFrom="page">
                <wp:posOffset>10017760</wp:posOffset>
              </wp:positionV>
              <wp:extent cx="114935" cy="131445"/>
              <wp:effectExtent l="0" t="0" r="0" b="0"/>
              <wp:wrapNone/>
              <wp:docPr id="2" name="文本框 2"/>
              <wp:cNvGraphicFramePr/>
              <a:graphic xmlns:a="http://schemas.openxmlformats.org/drawingml/2006/main">
                <a:graphicData uri="http://schemas.microsoft.com/office/word/2010/wordprocessingShape">
                  <wps:wsp>
                    <wps:cNvSpPr txBox="1"/>
                    <wps:spPr>
                      <a:xfrm>
                        <a:off x="0" y="0"/>
                        <a:ext cx="114935" cy="131445"/>
                      </a:xfrm>
                      <a:prstGeom prst="rect">
                        <a:avLst/>
                      </a:prstGeom>
                      <a:noFill/>
                    </wps:spPr>
                    <wps:txbx>
                      <w:txbxContent>
                        <w:p w14:paraId="1A110C28">
                          <w:pPr>
                            <w:pStyle w:val="177"/>
                            <w:rPr>
                              <w:sz w:val="18"/>
                              <w:szCs w:val="18"/>
                            </w:rPr>
                          </w:pPr>
                          <w:r>
                            <w:rPr>
                              <w:lang w:eastAsia="en-US" w:bidi="en-US"/>
                            </w:rPr>
                            <w:fldChar w:fldCharType="begin"/>
                          </w:r>
                          <w:r>
                            <w:instrText xml:space="preserve"> PAGE \* MERGEFORMAT </w:instrText>
                          </w:r>
                          <w:r>
                            <w:rPr>
                              <w:lang w:eastAsia="en-US" w:bidi="en-US"/>
                            </w:rPr>
                            <w:fldChar w:fldCharType="separate"/>
                          </w:r>
                          <w:r>
                            <w:rPr>
                              <w:sz w:val="18"/>
                              <w:szCs w:val="18"/>
                              <w:lang w:val="zh-TW" w:eastAsia="zh-TW" w:bidi="zh-TW"/>
                            </w:rPr>
                            <w:t>4</w:t>
                          </w:r>
                          <w:r>
                            <w:rPr>
                              <w:sz w:val="18"/>
                              <w:szCs w:val="18"/>
                              <w:lang w:val="zh-TW" w:eastAsia="zh-TW" w:bidi="zh-TW"/>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left:96.55pt;margin-top:788.8pt;height:10.35pt;width:9.05pt;mso-position-horizontal-relative:page;mso-position-vertical-relative:page;mso-wrap-style:none;z-index:-251649024;mso-width-relative:page;mso-height-relative:page;" filled="f" stroked="f" coordsize="21600,21600" o:gfxdata="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B57FnNgAAAANAQAADwAAAAAAAAABACAAAAAiAAAAZHJzL2Rvd25yZXYueG1s&#10;UEsBAhQAFAAAAAgAh07iQBjAZwi/AQAAcwMAAA4AAAAAAAAAAQAgAAAAJwEAAGRycy9lMm9Eb2Mu&#10;eG1sUEsFBgAAAAAGAAYAWQEAAFgFAAAAAA==&#10;">
              <v:fill on="f" focussize="0,0"/>
              <v:stroke on="f"/>
              <v:imagedata o:title=""/>
              <o:lock v:ext="edit" aspectratio="f"/>
              <v:textbox inset="0mm,0mm,0mm,0mm" style="mso-fit-shape-to-text:t;">
                <w:txbxContent>
                  <w:p w14:paraId="1A110C28">
                    <w:pPr>
                      <w:pStyle w:val="177"/>
                      <w:rPr>
                        <w:sz w:val="18"/>
                        <w:szCs w:val="18"/>
                      </w:rPr>
                    </w:pPr>
                    <w:r>
                      <w:rPr>
                        <w:lang w:eastAsia="en-US" w:bidi="en-US"/>
                      </w:rPr>
                      <w:fldChar w:fldCharType="begin"/>
                    </w:r>
                    <w:r>
                      <w:instrText xml:space="preserve"> PAGE \* MERGEFORMAT </w:instrText>
                    </w:r>
                    <w:r>
                      <w:rPr>
                        <w:lang w:eastAsia="en-US" w:bidi="en-US"/>
                      </w:rPr>
                      <w:fldChar w:fldCharType="separate"/>
                    </w:r>
                    <w:r>
                      <w:rPr>
                        <w:sz w:val="18"/>
                        <w:szCs w:val="18"/>
                        <w:lang w:val="zh-TW" w:eastAsia="zh-TW" w:bidi="zh-TW"/>
                      </w:rPr>
                      <w:t>4</w:t>
                    </w:r>
                    <w:r>
                      <w:rPr>
                        <w:sz w:val="18"/>
                        <w:szCs w:val="18"/>
                        <w:lang w:val="zh-TW" w:eastAsia="zh-TW" w:bidi="zh-TW"/>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6246"/>
      <w:docPartObj>
        <w:docPartGallery w:val="autotext"/>
      </w:docPartObj>
    </w:sdtPr>
    <w:sdtContent>
      <w:p w14:paraId="32319A91">
        <w:pPr>
          <w:pStyle w:val="24"/>
          <w:jc w:val="center"/>
        </w:pPr>
        <w:r>
          <w:fldChar w:fldCharType="begin"/>
        </w:r>
        <w:r>
          <w:instrText xml:space="preserve">PAGE   \* MERGEFORMAT</w:instrText>
        </w:r>
        <w:r>
          <w:fldChar w:fldCharType="separate"/>
        </w:r>
        <w:r>
          <w:rPr>
            <w:lang w:val="zh-CN"/>
          </w:rPr>
          <w:t>19</w:t>
        </w:r>
        <w:r>
          <w:fldChar w:fldCharType="end"/>
        </w:r>
      </w:p>
    </w:sdtContent>
  </w:sdt>
  <w:p w14:paraId="31768AF6">
    <w:pPr>
      <w:pStyle w:val="13"/>
      <w:spacing w:line="234" w:lineRule="auto"/>
      <w:rPr>
        <w:sz w:val="16"/>
        <w:szCs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83433"/>
      <w:docPartObj>
        <w:docPartGallery w:val="autotext"/>
      </w:docPartObj>
    </w:sdtPr>
    <w:sdtContent>
      <w:p w14:paraId="58F6FEB0">
        <w:pPr>
          <w:pStyle w:val="24"/>
          <w:jc w:val="center"/>
        </w:pPr>
        <w:r>
          <w:fldChar w:fldCharType="begin"/>
        </w:r>
        <w:r>
          <w:instrText xml:space="preserve">PAGE   \* MERGEFORMAT</w:instrText>
        </w:r>
        <w:r>
          <w:fldChar w:fldCharType="separate"/>
        </w:r>
        <w:r>
          <w:rPr>
            <w:lang w:val="zh-CN"/>
          </w:rPr>
          <w:t>19</w:t>
        </w:r>
        <w:r>
          <w:fldChar w:fldCharType="end"/>
        </w:r>
      </w:p>
    </w:sdtContent>
  </w:sdt>
  <w:p w14:paraId="2BBC0EB1">
    <w:pPr>
      <w:pStyle w:val="13"/>
      <w:spacing w:line="234" w:lineRule="auto"/>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1B4EE">
    <w:pPr>
      <w:pStyle w:val="106"/>
      <w:jc w:val="center"/>
      <w:rPr>
        <w:rFonts w:ascii="宋体" w:hAnsi="宋体"/>
      </w:rPr>
    </w:pPr>
    <w:r>
      <w:rPr>
        <w:rFonts w:hint="eastAsia"/>
      </w:rPr>
      <w:t xml:space="preserve">                                                                 </w:t>
    </w:r>
    <w:r>
      <w:rPr>
        <w:rFonts w:hint="eastAsia" w:ascii="宋体" w:hAnsi="宋体"/>
      </w:rPr>
      <w:t>X</w:t>
    </w:r>
    <w:r>
      <w:rPr>
        <w:rFonts w:ascii="宋体" w:hAnsi="宋体"/>
      </w:rPr>
      <w:t xml:space="preserve">B/T </w:t>
    </w:r>
    <w:r>
      <w:rPr>
        <w:b/>
        <w:szCs w:val="21"/>
      </w:rPr>
      <w:t>XXXX</w:t>
    </w:r>
    <w:r>
      <w:rPr>
        <w:rFonts w:ascii="宋体" w:hAnsi="宋体"/>
      </w:rPr>
      <w:t>—20</w:t>
    </w:r>
    <w:r>
      <w:rPr>
        <w:rFonts w:hint="eastAsia" w:ascii="宋体" w:hAnsi="宋体"/>
      </w:rPr>
      <w:t>2</w:t>
    </w:r>
    <w:r>
      <w:rPr>
        <w:rFonts w:ascii="宋体" w:hAnsi="宋体"/>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E81B3">
    <w:pPr>
      <w:pStyle w:val="122"/>
    </w:pPr>
    <w:r>
      <w:t>GB/T ××××—200×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65A65">
    <w:pPr>
      <w:pStyle w:val="116"/>
      <w:rPr>
        <w:sz w:val="18"/>
        <w:szCs w:val="18"/>
      </w:rPr>
    </w:pPr>
    <w:r>
      <w:rPr>
        <w:rFonts w:hint="eastAsia"/>
        <w:sz w:val="18"/>
        <w:szCs w:val="18"/>
      </w:rPr>
      <w:t>ICS 77</w:t>
    </w:r>
    <w:r>
      <w:rPr>
        <w:sz w:val="18"/>
        <w:szCs w:val="18"/>
      </w:rPr>
      <w:t>.</w:t>
    </w:r>
    <w:r>
      <w:rPr>
        <w:rFonts w:hint="eastAsia"/>
        <w:sz w:val="18"/>
        <w:szCs w:val="18"/>
      </w:rPr>
      <w:t>1</w:t>
    </w:r>
    <w:r>
      <w:rPr>
        <w:sz w:val="18"/>
        <w:szCs w:val="18"/>
      </w:rPr>
      <w:t>20.99</w:t>
    </w:r>
  </w:p>
  <w:p w14:paraId="76AD33C2">
    <w:pPr>
      <w:pStyle w:val="116"/>
      <w:rPr>
        <w:sz w:val="18"/>
        <w:szCs w:val="18"/>
      </w:rPr>
    </w:pPr>
    <w:r>
      <w:rPr>
        <w:rFonts w:hint="eastAsia"/>
        <w:sz w:val="18"/>
        <w:szCs w:val="18"/>
      </w:rPr>
      <w:t>CCS H 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88357">
    <w:pPr>
      <w:spacing w:line="1" w:lineRule="exact"/>
    </w:pPr>
    <w:r>
      <mc:AlternateContent>
        <mc:Choice Requires="wps">
          <w:drawing>
            <wp:anchor distT="0" distB="0" distL="0" distR="0" simplePos="0" relativeHeight="251659264" behindDoc="1" locked="0" layoutInCell="1" allowOverlap="1">
              <wp:simplePos x="0" y="0"/>
              <wp:positionH relativeFrom="page">
                <wp:posOffset>5486400</wp:posOffset>
              </wp:positionH>
              <wp:positionV relativeFrom="page">
                <wp:posOffset>1042035</wp:posOffset>
              </wp:positionV>
              <wp:extent cx="1116330" cy="159385"/>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116330" cy="159385"/>
                      </a:xfrm>
                      <a:prstGeom prst="rect">
                        <a:avLst/>
                      </a:prstGeom>
                      <a:noFill/>
                    </wps:spPr>
                    <wps:txbx>
                      <w:txbxContent>
                        <w:p w14:paraId="7403316D">
                          <w:pPr>
                            <w:jc w:val="right"/>
                            <w:rPr>
                              <w:rFonts w:ascii="黑体" w:hAnsi="黑体" w:eastAsia="黑体"/>
                            </w:rPr>
                          </w:pPr>
                        </w:p>
                      </w:txbxContent>
                    </wps:txbx>
                    <wps:bodyPr wrap="square" lIns="0" tIns="0" rIns="0" bIns="0">
                      <a:noAutofit/>
                    </wps:bodyPr>
                  </wps:wsp>
                </a:graphicData>
              </a:graphic>
            </wp:anchor>
          </w:drawing>
        </mc:Choice>
        <mc:Fallback>
          <w:pict>
            <v:shape id="_x0000_s1026" o:spid="_x0000_s1026" o:spt="202" type="#_x0000_t202" style="position:absolute;left:0pt;margin-left:432pt;margin-top:82.05pt;height:12.55pt;width:87.9pt;mso-position-horizontal-relative:page;mso-position-vertical-relative:page;z-index:-251657216;mso-width-relative:page;mso-height-relative:page;" filled="f" stroked="f" coordsize="21600,21600" o:gfxdata="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UviJvaAAAADAEAAA8AAAAAAAAAAQAgAAAAIgAAAGRycy9kb3ducmV2&#10;LnhtbFBLAQIUABQAAAAIAIdO4kDOnYCUwQEAAHgDAAAOAAAAAAAAAAEAIAAAACkBAABkcnMvZTJv&#10;RG9jLnhtbFBLBQYAAAAABgAGAFkBAABcBQAAAAA=&#10;">
              <v:fill on="f" focussize="0,0"/>
              <v:stroke on="f"/>
              <v:imagedata o:title=""/>
              <o:lock v:ext="edit" aspectratio="f"/>
              <v:textbox inset="0mm,0mm,0mm,0mm">
                <w:txbxContent>
                  <w:p w14:paraId="7403316D">
                    <w:pPr>
                      <w:jc w:val="right"/>
                      <w:rPr>
                        <w:rFonts w:ascii="黑体" w:hAnsi="黑体" w:eastAsia="黑体"/>
                      </w:rPr>
                    </w:pPr>
                  </w:p>
                </w:txbxContent>
              </v:textbox>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47B4C">
    <w:pPr>
      <w:spacing w:line="1" w:lineRule="exact"/>
    </w:pPr>
    <w:r>
      <mc:AlternateContent>
        <mc:Choice Requires="wps">
          <w:drawing>
            <wp:anchor distT="0" distB="0" distL="0" distR="0" simplePos="0" relativeHeight="251661312" behindDoc="1" locked="0" layoutInCell="1" allowOverlap="1">
              <wp:simplePos x="0" y="0"/>
              <wp:positionH relativeFrom="page">
                <wp:posOffset>883920</wp:posOffset>
              </wp:positionH>
              <wp:positionV relativeFrom="page">
                <wp:posOffset>1021715</wp:posOffset>
              </wp:positionV>
              <wp:extent cx="1216025" cy="12065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216025" cy="120650"/>
                      </a:xfrm>
                      <a:prstGeom prst="rect">
                        <a:avLst/>
                      </a:prstGeom>
                      <a:noFill/>
                    </wps:spPr>
                    <wps:txbx>
                      <w:txbxContent>
                        <w:p w14:paraId="037209FD">
                          <w:pPr>
                            <w:pStyle w:val="177"/>
                            <w:rPr>
                              <w:sz w:val="19"/>
                              <w:szCs w:val="19"/>
                            </w:rPr>
                          </w:pPr>
                          <w:r>
                            <w:rPr>
                              <w:b/>
                              <w:bCs/>
                              <w:sz w:val="19"/>
                              <w:szCs w:val="19"/>
                            </w:rPr>
                            <w:t>GB/T 32151.5—2015</w:t>
                          </w:r>
                        </w:p>
                      </w:txbxContent>
                    </wps:txbx>
                    <wps:bodyPr wrap="none" lIns="0" tIns="0" rIns="0" bIns="0">
                      <a:spAutoFit/>
                    </wps:bodyPr>
                  </wps:wsp>
                </a:graphicData>
              </a:graphic>
            </wp:anchor>
          </w:drawing>
        </mc:Choice>
        <mc:Fallback>
          <w:pict>
            <v:shape id="_x0000_s1026" o:spid="_x0000_s1026" o:spt="202" type="#_x0000_t202" style="position:absolute;left:0pt;margin-left:69.6pt;margin-top:80.45pt;height:9.5pt;width:95.75pt;mso-position-horizontal-relative:page;mso-position-vertical-relative:page;mso-wrap-style:none;z-index:-251655168;mso-width-relative:page;mso-height-relative:page;" filled="f" stroked="f" coordsize="21600,21600" o:gfxdata="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mJEXE1wAAAAsBAAAPAAAAAAAAAAEAIAAAACIAAABkcnMvZG93bnJldi54bWxQ&#10;SwECFAAUAAAACACHTuJAwxnCaL8BAAB2AwAADgAAAAAAAAABACAAAAAmAQAAZHJzL2Uyb0RvYy54&#10;bWxQSwUGAAAAAAYABgBZAQAAVwUAAAAA&#10;">
              <v:fill on="f" focussize="0,0"/>
              <v:stroke on="f"/>
              <v:imagedata o:title=""/>
              <o:lock v:ext="edit" aspectratio="f"/>
              <v:textbox inset="0mm,0mm,0mm,0mm" style="mso-fit-shape-to-text:t;">
                <w:txbxContent>
                  <w:p w14:paraId="037209FD">
                    <w:pPr>
                      <w:pStyle w:val="177"/>
                      <w:rPr>
                        <w:sz w:val="19"/>
                        <w:szCs w:val="19"/>
                      </w:rPr>
                    </w:pPr>
                    <w:r>
                      <w:rPr>
                        <w:b/>
                        <w:bCs/>
                        <w:sz w:val="19"/>
                        <w:szCs w:val="19"/>
                      </w:rPr>
                      <w:t>GB/T 32151.5—2015</w:t>
                    </w:r>
                  </w:p>
                </w:txbxContent>
              </v:textbox>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3DB69">
    <w:pPr>
      <w:spacing w:line="1" w:lineRule="exact"/>
    </w:pPr>
    <w:r>
      <mc:AlternateContent>
        <mc:Choice Requires="wps">
          <w:drawing>
            <wp:anchor distT="0" distB="0" distL="0" distR="0" simplePos="0" relativeHeight="251663360" behindDoc="1" locked="0" layoutInCell="1" allowOverlap="1">
              <wp:simplePos x="0" y="0"/>
              <wp:positionH relativeFrom="page">
                <wp:posOffset>1087120</wp:posOffset>
              </wp:positionH>
              <wp:positionV relativeFrom="page">
                <wp:posOffset>1050925</wp:posOffset>
              </wp:positionV>
              <wp:extent cx="114935" cy="13843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14935" cy="138430"/>
                      </a:xfrm>
                      <a:prstGeom prst="rect">
                        <a:avLst/>
                      </a:prstGeom>
                      <a:noFill/>
                    </wps:spPr>
                    <wps:txbx>
                      <w:txbxContent>
                        <w:p w14:paraId="046F84F6">
                          <w:pPr>
                            <w:pStyle w:val="177"/>
                            <w:rPr>
                              <w:sz w:val="19"/>
                              <w:szCs w:val="19"/>
                            </w:rPr>
                          </w:pPr>
                        </w:p>
                      </w:txbxContent>
                    </wps:txbx>
                    <wps:bodyPr wrap="none" lIns="0" tIns="0" rIns="0" bIns="0">
                      <a:spAutoFit/>
                    </wps:bodyPr>
                  </wps:wsp>
                </a:graphicData>
              </a:graphic>
            </wp:anchor>
          </w:drawing>
        </mc:Choice>
        <mc:Fallback>
          <w:pict>
            <v:shape id="_x0000_s1026" o:spid="_x0000_s1026" o:spt="202" type="#_x0000_t202" style="position:absolute;left:0pt;margin-left:85.6pt;margin-top:82.75pt;height:10.9pt;width:9.05pt;mso-position-horizontal-relative:page;mso-position-vertical-relative:page;mso-wrap-style:none;z-index:-251653120;mso-width-relative:page;mso-height-relative:page;" filled="f" stroked="f" coordsize="21600,21600" o:gfxdata="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YOaJKdYAAAALAQAADwAAAAAAAAABACAAAAAiAAAAZHJzL2Rvd25yZXYueG1s&#10;UEsBAhQAFAAAAAgAh07iQOAcPBXBAQAAdQMAAA4AAAAAAAAAAQAgAAAAJQEAAGRycy9lMm9Eb2Mu&#10;eG1sUEsFBgAAAAAGAAYAWQEAAFgFAAAAAA==&#10;">
              <v:fill on="f" focussize="0,0"/>
              <v:stroke on="f"/>
              <v:imagedata o:title=""/>
              <o:lock v:ext="edit" aspectratio="f"/>
              <v:textbox inset="0mm,0mm,0mm,0mm" style="mso-fit-shape-to-text:t;">
                <w:txbxContent>
                  <w:p w14:paraId="046F84F6">
                    <w:pPr>
                      <w:pStyle w:val="177"/>
                      <w:rPr>
                        <w:sz w:val="19"/>
                        <w:szCs w:val="19"/>
                      </w:rPr>
                    </w:pPr>
                  </w:p>
                </w:txbxContent>
              </v:textbox>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81D92">
    <w:pPr>
      <w:spacing w:line="1" w:lineRule="exact"/>
    </w:pPr>
    <w:r>
      <mc:AlternateContent>
        <mc:Choice Requires="wps">
          <w:drawing>
            <wp:anchor distT="0" distB="0" distL="0" distR="0" simplePos="0" relativeHeight="251671552" behindDoc="1" locked="0" layoutInCell="1" allowOverlap="1">
              <wp:simplePos x="0" y="0"/>
              <wp:positionH relativeFrom="page">
                <wp:posOffset>5486400</wp:posOffset>
              </wp:positionH>
              <wp:positionV relativeFrom="page">
                <wp:posOffset>1042035</wp:posOffset>
              </wp:positionV>
              <wp:extent cx="1116330" cy="15938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16330" cy="159385"/>
                      </a:xfrm>
                      <a:prstGeom prst="rect">
                        <a:avLst/>
                      </a:prstGeom>
                      <a:noFill/>
                    </wps:spPr>
                    <wps:txbx>
                      <w:txbxContent>
                        <w:p w14:paraId="6374FB6E">
                          <w:pPr>
                            <w:jc w:val="right"/>
                            <w:rPr>
                              <w:rFonts w:ascii="黑体" w:hAnsi="黑体" w:eastAsia="黑体"/>
                            </w:rPr>
                          </w:pPr>
                        </w:p>
                      </w:txbxContent>
                    </wps:txbx>
                    <wps:bodyPr wrap="square" lIns="0" tIns="0" rIns="0" bIns="0">
                      <a:noAutofit/>
                    </wps:bodyPr>
                  </wps:wsp>
                </a:graphicData>
              </a:graphic>
            </wp:anchor>
          </w:drawing>
        </mc:Choice>
        <mc:Fallback>
          <w:pict>
            <v:shape id="_x0000_s1026" o:spid="_x0000_s1026" o:spt="202" type="#_x0000_t202" style="position:absolute;left:0pt;margin-left:432pt;margin-top:82.05pt;height:12.55pt;width:87.9pt;mso-position-horizontal-relative:page;mso-position-vertical-relative:page;z-index:-251644928;mso-width-relative:page;mso-height-relative:page;" filled="f" stroked="f" coordsize="21600,21600" o:gfxdata="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FL4ib2gAAAAwBAAAPAAAAAAAAAAEAIAAAACIAAABkcnMvZG93bnJldi54&#10;bWxQSwECFAAUAAAACACHTuJAEeUwkL8BAAB2AwAADgAAAAAAAAABACAAAAApAQAAZHJzL2Uyb0Rv&#10;Yy54bWxQSwUGAAAAAAYABgBZAQAAWgUAAAAA&#10;">
              <v:fill on="f" focussize="0,0"/>
              <v:stroke on="f"/>
              <v:imagedata o:title=""/>
              <o:lock v:ext="edit" aspectratio="f"/>
              <v:textbox inset="0mm,0mm,0mm,0mm">
                <w:txbxContent>
                  <w:p w14:paraId="6374FB6E">
                    <w:pPr>
                      <w:jc w:val="right"/>
                      <w:rPr>
                        <w:rFonts w:ascii="黑体" w:hAnsi="黑体" w:eastAsia="黑体"/>
                      </w:rPr>
                    </w:pPr>
                  </w:p>
                </w:txbxContent>
              </v:textbox>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91837">
    <w:pPr>
      <w:pStyle w:val="13"/>
      <w:spacing w:before="61" w:line="235" w:lineRule="auto"/>
      <w:ind w:left="973"/>
      <w:rPr>
        <w:sz w:val="19"/>
        <w:szCs w:val="19"/>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FBE32">
    <w:pPr>
      <w:pStyle w:val="13"/>
      <w:spacing w:before="61" w:line="235" w:lineRule="auto"/>
      <w:ind w:left="973"/>
      <w:rPr>
        <w:sz w:val="19"/>
        <w:szCs w:val="19"/>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upperLetter"/>
      <w:suff w:val="nothing"/>
      <w:lvlText w:val="附　录　%1"/>
      <w:lvlJc w:val="left"/>
      <w:pPr>
        <w:ind w:left="5145" w:firstLine="0"/>
      </w:pPr>
      <w:rPr>
        <w:rFonts w:hint="eastAsia" w:ascii="黑体" w:hAnsi="Times New Roman" w:eastAsia="黑体"/>
        <w:b w:val="0"/>
        <w:i w:val="0"/>
        <w:sz w:val="21"/>
      </w:rPr>
    </w:lvl>
    <w:lvl w:ilvl="1" w:tentative="0">
      <w:start w:val="1"/>
      <w:numFmt w:val="decimal"/>
      <w:pStyle w:val="140"/>
      <w:suff w:val="nothing"/>
      <w:lvlText w:val="%1.%2　"/>
      <w:lvlJc w:val="left"/>
      <w:pPr>
        <w:ind w:left="315"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105" w:firstLine="0"/>
      </w:pPr>
      <w:rPr>
        <w:rFonts w:hint="eastAsia" w:ascii="黑体" w:hAnsi="Times New Roman" w:eastAsia="黑体"/>
        <w:b w:val="0"/>
        <w:i w:val="0"/>
        <w:sz w:val="21"/>
      </w:rPr>
    </w:lvl>
    <w:lvl w:ilvl="3" w:tentative="0">
      <w:start w:val="1"/>
      <w:numFmt w:val="decimal"/>
      <w:pStyle w:val="133"/>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意欣">
    <w15:presenceInfo w15:providerId="WPS Office" w15:userId="10184655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bordersDoNotSurroundHeader w:val="0"/>
  <w:bordersDoNotSurroundFooter w:val="0"/>
  <w:revisionView w:markup="0"/>
  <w:documentProtection w:enforcement="0"/>
  <w:defaultTabStop w:val="4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U5N2FlYjVlNTBmYmMxZDg5MzE1OWI0YmZmNDI3OTIifQ=="/>
  </w:docVars>
  <w:rsids>
    <w:rsidRoot w:val="00D873C5"/>
    <w:rsid w:val="00003BA4"/>
    <w:rsid w:val="00014175"/>
    <w:rsid w:val="000370FA"/>
    <w:rsid w:val="00055EDF"/>
    <w:rsid w:val="00060942"/>
    <w:rsid w:val="00064D14"/>
    <w:rsid w:val="0007664E"/>
    <w:rsid w:val="000A7401"/>
    <w:rsid w:val="000D65F6"/>
    <w:rsid w:val="000F5FAE"/>
    <w:rsid w:val="00104146"/>
    <w:rsid w:val="00116E7E"/>
    <w:rsid w:val="00117DC8"/>
    <w:rsid w:val="0012074B"/>
    <w:rsid w:val="00145256"/>
    <w:rsid w:val="00157D5B"/>
    <w:rsid w:val="00173619"/>
    <w:rsid w:val="00174530"/>
    <w:rsid w:val="00182963"/>
    <w:rsid w:val="001A76E6"/>
    <w:rsid w:val="001B11CC"/>
    <w:rsid w:val="001D4548"/>
    <w:rsid w:val="001D7486"/>
    <w:rsid w:val="001F2AD5"/>
    <w:rsid w:val="001F351B"/>
    <w:rsid w:val="00222D6C"/>
    <w:rsid w:val="00230ACF"/>
    <w:rsid w:val="0023235A"/>
    <w:rsid w:val="00232F6A"/>
    <w:rsid w:val="00233A37"/>
    <w:rsid w:val="0023471F"/>
    <w:rsid w:val="00252ED6"/>
    <w:rsid w:val="0025342B"/>
    <w:rsid w:val="002549D8"/>
    <w:rsid w:val="002641F8"/>
    <w:rsid w:val="00267E52"/>
    <w:rsid w:val="0027500B"/>
    <w:rsid w:val="00276166"/>
    <w:rsid w:val="0027628C"/>
    <w:rsid w:val="0028188C"/>
    <w:rsid w:val="00284EC2"/>
    <w:rsid w:val="00286405"/>
    <w:rsid w:val="00292A70"/>
    <w:rsid w:val="002A5B82"/>
    <w:rsid w:val="002D1F53"/>
    <w:rsid w:val="002D63D7"/>
    <w:rsid w:val="002F1434"/>
    <w:rsid w:val="002F3DD5"/>
    <w:rsid w:val="002F6D79"/>
    <w:rsid w:val="00311C07"/>
    <w:rsid w:val="0031369F"/>
    <w:rsid w:val="00325140"/>
    <w:rsid w:val="003462B7"/>
    <w:rsid w:val="0035197E"/>
    <w:rsid w:val="00374174"/>
    <w:rsid w:val="0037606E"/>
    <w:rsid w:val="003768A7"/>
    <w:rsid w:val="003817B7"/>
    <w:rsid w:val="00383306"/>
    <w:rsid w:val="003A5997"/>
    <w:rsid w:val="003B2B42"/>
    <w:rsid w:val="003C6894"/>
    <w:rsid w:val="003D0A75"/>
    <w:rsid w:val="003D35EA"/>
    <w:rsid w:val="004025CE"/>
    <w:rsid w:val="004174FD"/>
    <w:rsid w:val="00424F0F"/>
    <w:rsid w:val="00437C73"/>
    <w:rsid w:val="0044787D"/>
    <w:rsid w:val="0046190F"/>
    <w:rsid w:val="00462000"/>
    <w:rsid w:val="004654A9"/>
    <w:rsid w:val="004B5A44"/>
    <w:rsid w:val="004B7EB6"/>
    <w:rsid w:val="004C2CE1"/>
    <w:rsid w:val="004E76C8"/>
    <w:rsid w:val="00500138"/>
    <w:rsid w:val="00507004"/>
    <w:rsid w:val="0051046A"/>
    <w:rsid w:val="005168C1"/>
    <w:rsid w:val="00540084"/>
    <w:rsid w:val="00553652"/>
    <w:rsid w:val="00555156"/>
    <w:rsid w:val="005578DA"/>
    <w:rsid w:val="00573D65"/>
    <w:rsid w:val="005810BE"/>
    <w:rsid w:val="005967AA"/>
    <w:rsid w:val="005A4422"/>
    <w:rsid w:val="005A5189"/>
    <w:rsid w:val="005C50BE"/>
    <w:rsid w:val="005E0171"/>
    <w:rsid w:val="006067B0"/>
    <w:rsid w:val="00613A63"/>
    <w:rsid w:val="00620E7D"/>
    <w:rsid w:val="00625E4F"/>
    <w:rsid w:val="00631867"/>
    <w:rsid w:val="00646AF9"/>
    <w:rsid w:val="00656A09"/>
    <w:rsid w:val="006714C0"/>
    <w:rsid w:val="0067776C"/>
    <w:rsid w:val="00690773"/>
    <w:rsid w:val="00691F34"/>
    <w:rsid w:val="006A0E17"/>
    <w:rsid w:val="006A24D2"/>
    <w:rsid w:val="006B42E2"/>
    <w:rsid w:val="007012EE"/>
    <w:rsid w:val="00734115"/>
    <w:rsid w:val="00742752"/>
    <w:rsid w:val="00750602"/>
    <w:rsid w:val="007506B2"/>
    <w:rsid w:val="0075646A"/>
    <w:rsid w:val="00760495"/>
    <w:rsid w:val="007646A9"/>
    <w:rsid w:val="007731F0"/>
    <w:rsid w:val="00775A3C"/>
    <w:rsid w:val="007854E7"/>
    <w:rsid w:val="007870E5"/>
    <w:rsid w:val="00792906"/>
    <w:rsid w:val="007A4B10"/>
    <w:rsid w:val="007B0773"/>
    <w:rsid w:val="007C12F6"/>
    <w:rsid w:val="007C1688"/>
    <w:rsid w:val="007C3AA5"/>
    <w:rsid w:val="007F01AF"/>
    <w:rsid w:val="007F71FE"/>
    <w:rsid w:val="008133AE"/>
    <w:rsid w:val="008178D9"/>
    <w:rsid w:val="008248B7"/>
    <w:rsid w:val="008256D0"/>
    <w:rsid w:val="0083088C"/>
    <w:rsid w:val="00842B66"/>
    <w:rsid w:val="00863D22"/>
    <w:rsid w:val="00863EF7"/>
    <w:rsid w:val="008842CC"/>
    <w:rsid w:val="00886677"/>
    <w:rsid w:val="008A48AB"/>
    <w:rsid w:val="008A5F24"/>
    <w:rsid w:val="008B0301"/>
    <w:rsid w:val="008B3359"/>
    <w:rsid w:val="008D578F"/>
    <w:rsid w:val="008D5EEE"/>
    <w:rsid w:val="008F64BE"/>
    <w:rsid w:val="0090681F"/>
    <w:rsid w:val="00907FD9"/>
    <w:rsid w:val="00927B45"/>
    <w:rsid w:val="009419BC"/>
    <w:rsid w:val="0094410C"/>
    <w:rsid w:val="00956F87"/>
    <w:rsid w:val="00962B21"/>
    <w:rsid w:val="009657E1"/>
    <w:rsid w:val="00977F84"/>
    <w:rsid w:val="009A72DF"/>
    <w:rsid w:val="009A75B8"/>
    <w:rsid w:val="009B77BC"/>
    <w:rsid w:val="009D05B4"/>
    <w:rsid w:val="009D2A40"/>
    <w:rsid w:val="009D3C9C"/>
    <w:rsid w:val="009E45C9"/>
    <w:rsid w:val="009E5574"/>
    <w:rsid w:val="009F7266"/>
    <w:rsid w:val="00A01788"/>
    <w:rsid w:val="00A04B5A"/>
    <w:rsid w:val="00A1036B"/>
    <w:rsid w:val="00A22E81"/>
    <w:rsid w:val="00A22F16"/>
    <w:rsid w:val="00A338B2"/>
    <w:rsid w:val="00A33EB5"/>
    <w:rsid w:val="00A45614"/>
    <w:rsid w:val="00A46827"/>
    <w:rsid w:val="00A56DFE"/>
    <w:rsid w:val="00A81799"/>
    <w:rsid w:val="00A85A82"/>
    <w:rsid w:val="00AB04A4"/>
    <w:rsid w:val="00AB7205"/>
    <w:rsid w:val="00AC55F9"/>
    <w:rsid w:val="00AD01ED"/>
    <w:rsid w:val="00AD365F"/>
    <w:rsid w:val="00AE0234"/>
    <w:rsid w:val="00AE38C5"/>
    <w:rsid w:val="00AE7F03"/>
    <w:rsid w:val="00AF0200"/>
    <w:rsid w:val="00B065E6"/>
    <w:rsid w:val="00B10529"/>
    <w:rsid w:val="00B264E9"/>
    <w:rsid w:val="00B30DA4"/>
    <w:rsid w:val="00B41823"/>
    <w:rsid w:val="00B46EDD"/>
    <w:rsid w:val="00B57699"/>
    <w:rsid w:val="00B63047"/>
    <w:rsid w:val="00B72C5C"/>
    <w:rsid w:val="00B761A3"/>
    <w:rsid w:val="00B7657F"/>
    <w:rsid w:val="00B81C0F"/>
    <w:rsid w:val="00B8201D"/>
    <w:rsid w:val="00BA5075"/>
    <w:rsid w:val="00BA52D8"/>
    <w:rsid w:val="00BB0269"/>
    <w:rsid w:val="00BB75A5"/>
    <w:rsid w:val="00BB76CA"/>
    <w:rsid w:val="00BD1527"/>
    <w:rsid w:val="00BD39F1"/>
    <w:rsid w:val="00BD4646"/>
    <w:rsid w:val="00BE6033"/>
    <w:rsid w:val="00BF5373"/>
    <w:rsid w:val="00C02A0A"/>
    <w:rsid w:val="00C200AE"/>
    <w:rsid w:val="00C26969"/>
    <w:rsid w:val="00C2716C"/>
    <w:rsid w:val="00C56DA6"/>
    <w:rsid w:val="00C64A67"/>
    <w:rsid w:val="00C700B0"/>
    <w:rsid w:val="00C92774"/>
    <w:rsid w:val="00CA1CE7"/>
    <w:rsid w:val="00CB126B"/>
    <w:rsid w:val="00CB37D8"/>
    <w:rsid w:val="00D01F37"/>
    <w:rsid w:val="00D143A4"/>
    <w:rsid w:val="00D350B6"/>
    <w:rsid w:val="00D42B17"/>
    <w:rsid w:val="00D46D85"/>
    <w:rsid w:val="00D46E39"/>
    <w:rsid w:val="00D57BA8"/>
    <w:rsid w:val="00D61F2A"/>
    <w:rsid w:val="00D873C5"/>
    <w:rsid w:val="00D94D30"/>
    <w:rsid w:val="00DA1875"/>
    <w:rsid w:val="00DA4E13"/>
    <w:rsid w:val="00DA7826"/>
    <w:rsid w:val="00DC5FE1"/>
    <w:rsid w:val="00DD0DE2"/>
    <w:rsid w:val="00DD131D"/>
    <w:rsid w:val="00DD191D"/>
    <w:rsid w:val="00DD1F7D"/>
    <w:rsid w:val="00DD5755"/>
    <w:rsid w:val="00DE5911"/>
    <w:rsid w:val="00E12718"/>
    <w:rsid w:val="00E331E6"/>
    <w:rsid w:val="00E636AB"/>
    <w:rsid w:val="00E77935"/>
    <w:rsid w:val="00E77EB4"/>
    <w:rsid w:val="00E95457"/>
    <w:rsid w:val="00E974BF"/>
    <w:rsid w:val="00EA06A0"/>
    <w:rsid w:val="00EB42C7"/>
    <w:rsid w:val="00EC79CA"/>
    <w:rsid w:val="00EE09E2"/>
    <w:rsid w:val="00EE4B96"/>
    <w:rsid w:val="00EE4D1C"/>
    <w:rsid w:val="00EE6420"/>
    <w:rsid w:val="00EF5F2B"/>
    <w:rsid w:val="00F23054"/>
    <w:rsid w:val="00F47552"/>
    <w:rsid w:val="00F57B2A"/>
    <w:rsid w:val="00F63807"/>
    <w:rsid w:val="00F76D36"/>
    <w:rsid w:val="00F77AC6"/>
    <w:rsid w:val="00F85DAC"/>
    <w:rsid w:val="00F91BB1"/>
    <w:rsid w:val="00FA7A95"/>
    <w:rsid w:val="00FB2524"/>
    <w:rsid w:val="00FB5E0C"/>
    <w:rsid w:val="00FE20E1"/>
    <w:rsid w:val="00FE2680"/>
    <w:rsid w:val="00FF27AB"/>
    <w:rsid w:val="01170C55"/>
    <w:rsid w:val="01334A62"/>
    <w:rsid w:val="01575236"/>
    <w:rsid w:val="01763BCE"/>
    <w:rsid w:val="01891B53"/>
    <w:rsid w:val="018C4D74"/>
    <w:rsid w:val="01BE3CCA"/>
    <w:rsid w:val="01D95F0B"/>
    <w:rsid w:val="01F114A6"/>
    <w:rsid w:val="022950E4"/>
    <w:rsid w:val="02317AF5"/>
    <w:rsid w:val="0241242E"/>
    <w:rsid w:val="025A34EF"/>
    <w:rsid w:val="02692F66"/>
    <w:rsid w:val="026D782A"/>
    <w:rsid w:val="0284231A"/>
    <w:rsid w:val="02865554"/>
    <w:rsid w:val="02BB2B95"/>
    <w:rsid w:val="02D2752A"/>
    <w:rsid w:val="02DD4E51"/>
    <w:rsid w:val="035B12CD"/>
    <w:rsid w:val="03970A50"/>
    <w:rsid w:val="03A2514E"/>
    <w:rsid w:val="03D716E6"/>
    <w:rsid w:val="03DF574F"/>
    <w:rsid w:val="040957DD"/>
    <w:rsid w:val="04192360"/>
    <w:rsid w:val="04471852"/>
    <w:rsid w:val="04657F2A"/>
    <w:rsid w:val="0487744A"/>
    <w:rsid w:val="04B74CF5"/>
    <w:rsid w:val="04BD4BCE"/>
    <w:rsid w:val="04D64A5F"/>
    <w:rsid w:val="04E0678E"/>
    <w:rsid w:val="051156A7"/>
    <w:rsid w:val="051E25B2"/>
    <w:rsid w:val="059C797B"/>
    <w:rsid w:val="05DD246D"/>
    <w:rsid w:val="05F16646"/>
    <w:rsid w:val="06896151"/>
    <w:rsid w:val="06A50AB1"/>
    <w:rsid w:val="071F0152"/>
    <w:rsid w:val="07322E22"/>
    <w:rsid w:val="07385C4C"/>
    <w:rsid w:val="0748600C"/>
    <w:rsid w:val="07BB67DE"/>
    <w:rsid w:val="082351C9"/>
    <w:rsid w:val="08297BEC"/>
    <w:rsid w:val="08684408"/>
    <w:rsid w:val="08757642"/>
    <w:rsid w:val="088E5CA1"/>
    <w:rsid w:val="08BF54B5"/>
    <w:rsid w:val="08FD2E27"/>
    <w:rsid w:val="099F5C8C"/>
    <w:rsid w:val="09CD45A7"/>
    <w:rsid w:val="09E007EF"/>
    <w:rsid w:val="0A12645E"/>
    <w:rsid w:val="0A3665F0"/>
    <w:rsid w:val="0A51082B"/>
    <w:rsid w:val="0AB17607"/>
    <w:rsid w:val="0AB94B2B"/>
    <w:rsid w:val="0AD72F31"/>
    <w:rsid w:val="0ADD6413"/>
    <w:rsid w:val="0AF94898"/>
    <w:rsid w:val="0B095AB3"/>
    <w:rsid w:val="0B0C10FF"/>
    <w:rsid w:val="0B3A2110"/>
    <w:rsid w:val="0B6E31FA"/>
    <w:rsid w:val="0B995089"/>
    <w:rsid w:val="0BBA0DF1"/>
    <w:rsid w:val="0BD10E08"/>
    <w:rsid w:val="0BED268A"/>
    <w:rsid w:val="0C2D757F"/>
    <w:rsid w:val="0C3A1068"/>
    <w:rsid w:val="0C6D30BD"/>
    <w:rsid w:val="0C833F24"/>
    <w:rsid w:val="0D165D29"/>
    <w:rsid w:val="0D1C62EE"/>
    <w:rsid w:val="0D1D35AB"/>
    <w:rsid w:val="0D504134"/>
    <w:rsid w:val="0DA73361"/>
    <w:rsid w:val="0DB32676"/>
    <w:rsid w:val="0DF241E1"/>
    <w:rsid w:val="0DFC3AF9"/>
    <w:rsid w:val="0E7E2314"/>
    <w:rsid w:val="0E92760B"/>
    <w:rsid w:val="0EB85FFB"/>
    <w:rsid w:val="0F317386"/>
    <w:rsid w:val="0F4C5F6E"/>
    <w:rsid w:val="0F554F54"/>
    <w:rsid w:val="0F6D5FBB"/>
    <w:rsid w:val="0FAB538A"/>
    <w:rsid w:val="0FC40EBB"/>
    <w:rsid w:val="10026F41"/>
    <w:rsid w:val="10152BA9"/>
    <w:rsid w:val="103B45D5"/>
    <w:rsid w:val="104650B3"/>
    <w:rsid w:val="106043C7"/>
    <w:rsid w:val="10B262A5"/>
    <w:rsid w:val="11072A94"/>
    <w:rsid w:val="11436FB1"/>
    <w:rsid w:val="117F246D"/>
    <w:rsid w:val="11950A02"/>
    <w:rsid w:val="11A77DD3"/>
    <w:rsid w:val="131D659F"/>
    <w:rsid w:val="13421B62"/>
    <w:rsid w:val="13583ACA"/>
    <w:rsid w:val="135F2AC9"/>
    <w:rsid w:val="13817FF1"/>
    <w:rsid w:val="141D694C"/>
    <w:rsid w:val="14290F74"/>
    <w:rsid w:val="1445127B"/>
    <w:rsid w:val="1479172F"/>
    <w:rsid w:val="149F2FE4"/>
    <w:rsid w:val="14A7499E"/>
    <w:rsid w:val="14AD74AF"/>
    <w:rsid w:val="14D42BBE"/>
    <w:rsid w:val="15252A82"/>
    <w:rsid w:val="153A047E"/>
    <w:rsid w:val="15475B55"/>
    <w:rsid w:val="15787109"/>
    <w:rsid w:val="159E5735"/>
    <w:rsid w:val="15B83995"/>
    <w:rsid w:val="15C42D02"/>
    <w:rsid w:val="167A5AB7"/>
    <w:rsid w:val="169C77DB"/>
    <w:rsid w:val="16E41182"/>
    <w:rsid w:val="172C6AFF"/>
    <w:rsid w:val="175B58E8"/>
    <w:rsid w:val="176201D3"/>
    <w:rsid w:val="1764234F"/>
    <w:rsid w:val="17975971"/>
    <w:rsid w:val="17996410"/>
    <w:rsid w:val="17BF2138"/>
    <w:rsid w:val="18356139"/>
    <w:rsid w:val="18A46E1B"/>
    <w:rsid w:val="18C64FE3"/>
    <w:rsid w:val="18C86456"/>
    <w:rsid w:val="18FC6C57"/>
    <w:rsid w:val="193B777F"/>
    <w:rsid w:val="19A74E14"/>
    <w:rsid w:val="19BD6013"/>
    <w:rsid w:val="1A66082C"/>
    <w:rsid w:val="1A9F789A"/>
    <w:rsid w:val="1AA3476A"/>
    <w:rsid w:val="1AD05CA5"/>
    <w:rsid w:val="1ADF23F3"/>
    <w:rsid w:val="1AF7A8D4"/>
    <w:rsid w:val="1B190749"/>
    <w:rsid w:val="1B222872"/>
    <w:rsid w:val="1B400971"/>
    <w:rsid w:val="1B6E0C25"/>
    <w:rsid w:val="1BB05AD7"/>
    <w:rsid w:val="1BD23C9F"/>
    <w:rsid w:val="1BF12377"/>
    <w:rsid w:val="1C0025BA"/>
    <w:rsid w:val="1C332870"/>
    <w:rsid w:val="1C984EE8"/>
    <w:rsid w:val="1CDB2A0F"/>
    <w:rsid w:val="1D76522A"/>
    <w:rsid w:val="1D87473E"/>
    <w:rsid w:val="1DCF2316"/>
    <w:rsid w:val="1DEB684E"/>
    <w:rsid w:val="1E0208EF"/>
    <w:rsid w:val="1E262080"/>
    <w:rsid w:val="1EAF02C7"/>
    <w:rsid w:val="1EBF779B"/>
    <w:rsid w:val="1EEA587B"/>
    <w:rsid w:val="1F1C595D"/>
    <w:rsid w:val="1F245FC0"/>
    <w:rsid w:val="1F530537"/>
    <w:rsid w:val="1F680BA2"/>
    <w:rsid w:val="1F6F4356"/>
    <w:rsid w:val="1F981124"/>
    <w:rsid w:val="1FBD3B4C"/>
    <w:rsid w:val="2026540F"/>
    <w:rsid w:val="204C2272"/>
    <w:rsid w:val="208C08C0"/>
    <w:rsid w:val="20B816B5"/>
    <w:rsid w:val="20DC5D53"/>
    <w:rsid w:val="211006F3"/>
    <w:rsid w:val="21294361"/>
    <w:rsid w:val="212B632B"/>
    <w:rsid w:val="2196425A"/>
    <w:rsid w:val="21FA52C5"/>
    <w:rsid w:val="221C2118"/>
    <w:rsid w:val="224C47AB"/>
    <w:rsid w:val="225631B3"/>
    <w:rsid w:val="22EC3898"/>
    <w:rsid w:val="22F01796"/>
    <w:rsid w:val="22F1787E"/>
    <w:rsid w:val="2338373F"/>
    <w:rsid w:val="234436D4"/>
    <w:rsid w:val="2367017D"/>
    <w:rsid w:val="238B1303"/>
    <w:rsid w:val="238C0BD7"/>
    <w:rsid w:val="244F40DF"/>
    <w:rsid w:val="24805AD8"/>
    <w:rsid w:val="24997A50"/>
    <w:rsid w:val="24BB79C6"/>
    <w:rsid w:val="24BF7655"/>
    <w:rsid w:val="24F04D9A"/>
    <w:rsid w:val="2513258C"/>
    <w:rsid w:val="25155082"/>
    <w:rsid w:val="25262A84"/>
    <w:rsid w:val="25940A9C"/>
    <w:rsid w:val="25FC3DF2"/>
    <w:rsid w:val="261455E0"/>
    <w:rsid w:val="26321F0A"/>
    <w:rsid w:val="26CE5E11"/>
    <w:rsid w:val="26D652B7"/>
    <w:rsid w:val="26E441E5"/>
    <w:rsid w:val="27132E90"/>
    <w:rsid w:val="27545EB0"/>
    <w:rsid w:val="275F6D2E"/>
    <w:rsid w:val="27787DF0"/>
    <w:rsid w:val="27982240"/>
    <w:rsid w:val="27C45C81"/>
    <w:rsid w:val="27C76682"/>
    <w:rsid w:val="27F82CDF"/>
    <w:rsid w:val="28186766"/>
    <w:rsid w:val="28A54C15"/>
    <w:rsid w:val="28C72DDD"/>
    <w:rsid w:val="28F40740"/>
    <w:rsid w:val="28F71569"/>
    <w:rsid w:val="2920429C"/>
    <w:rsid w:val="2920604A"/>
    <w:rsid w:val="296F6FD1"/>
    <w:rsid w:val="2AC5334C"/>
    <w:rsid w:val="2ACC0018"/>
    <w:rsid w:val="2B0025D7"/>
    <w:rsid w:val="2B4F6A5D"/>
    <w:rsid w:val="2B876B7E"/>
    <w:rsid w:val="2B990335"/>
    <w:rsid w:val="2BA32F62"/>
    <w:rsid w:val="2C047EA4"/>
    <w:rsid w:val="2C1A76C8"/>
    <w:rsid w:val="2C652E2E"/>
    <w:rsid w:val="2CA8138C"/>
    <w:rsid w:val="2CB35427"/>
    <w:rsid w:val="2CB847EB"/>
    <w:rsid w:val="2CFE48F4"/>
    <w:rsid w:val="2D20628D"/>
    <w:rsid w:val="2D3839D2"/>
    <w:rsid w:val="2D63223D"/>
    <w:rsid w:val="2D6706EB"/>
    <w:rsid w:val="2DC0604D"/>
    <w:rsid w:val="2DD179B0"/>
    <w:rsid w:val="2DD47C87"/>
    <w:rsid w:val="2E2E2FB7"/>
    <w:rsid w:val="2EE32F12"/>
    <w:rsid w:val="2F08260E"/>
    <w:rsid w:val="2F193C67"/>
    <w:rsid w:val="2FD61B58"/>
    <w:rsid w:val="30446AC1"/>
    <w:rsid w:val="309571CD"/>
    <w:rsid w:val="310B5831"/>
    <w:rsid w:val="31656D62"/>
    <w:rsid w:val="322070BA"/>
    <w:rsid w:val="32254F27"/>
    <w:rsid w:val="326E7049"/>
    <w:rsid w:val="327613D0"/>
    <w:rsid w:val="32891103"/>
    <w:rsid w:val="32BC4ADD"/>
    <w:rsid w:val="32BD6FFF"/>
    <w:rsid w:val="32CE3D87"/>
    <w:rsid w:val="330F7979"/>
    <w:rsid w:val="33486ECA"/>
    <w:rsid w:val="33686F6B"/>
    <w:rsid w:val="338274EC"/>
    <w:rsid w:val="33972AB1"/>
    <w:rsid w:val="339C6C14"/>
    <w:rsid w:val="33F65F9B"/>
    <w:rsid w:val="34263521"/>
    <w:rsid w:val="34660F7A"/>
    <w:rsid w:val="34884FD5"/>
    <w:rsid w:val="349647EC"/>
    <w:rsid w:val="349F3919"/>
    <w:rsid w:val="34D01570"/>
    <w:rsid w:val="350031D3"/>
    <w:rsid w:val="354E03E2"/>
    <w:rsid w:val="356A44E4"/>
    <w:rsid w:val="35A10512"/>
    <w:rsid w:val="35C6441D"/>
    <w:rsid w:val="363870C8"/>
    <w:rsid w:val="36581430"/>
    <w:rsid w:val="367C4ADB"/>
    <w:rsid w:val="36A856A2"/>
    <w:rsid w:val="36DB5CA6"/>
    <w:rsid w:val="3730231A"/>
    <w:rsid w:val="3730646B"/>
    <w:rsid w:val="373F7FE3"/>
    <w:rsid w:val="374101FF"/>
    <w:rsid w:val="376659DD"/>
    <w:rsid w:val="377E672C"/>
    <w:rsid w:val="378712DC"/>
    <w:rsid w:val="3789494E"/>
    <w:rsid w:val="379F6CD3"/>
    <w:rsid w:val="37BB509C"/>
    <w:rsid w:val="37D638B8"/>
    <w:rsid w:val="38392C84"/>
    <w:rsid w:val="38741F0E"/>
    <w:rsid w:val="3894435E"/>
    <w:rsid w:val="38C6103F"/>
    <w:rsid w:val="38DC04A8"/>
    <w:rsid w:val="38E726E0"/>
    <w:rsid w:val="390C261A"/>
    <w:rsid w:val="390D6212"/>
    <w:rsid w:val="391D359F"/>
    <w:rsid w:val="392215DF"/>
    <w:rsid w:val="39516418"/>
    <w:rsid w:val="39587818"/>
    <w:rsid w:val="39707C19"/>
    <w:rsid w:val="398D772B"/>
    <w:rsid w:val="39D76BF8"/>
    <w:rsid w:val="39EA0FA5"/>
    <w:rsid w:val="3A053765"/>
    <w:rsid w:val="3A270DD8"/>
    <w:rsid w:val="3A410DB5"/>
    <w:rsid w:val="3A877855"/>
    <w:rsid w:val="3B97070E"/>
    <w:rsid w:val="3BB61388"/>
    <w:rsid w:val="3BCF4E67"/>
    <w:rsid w:val="3C0805C1"/>
    <w:rsid w:val="3C1063F2"/>
    <w:rsid w:val="3C1F4887"/>
    <w:rsid w:val="3C2105FF"/>
    <w:rsid w:val="3C432FC8"/>
    <w:rsid w:val="3C502C92"/>
    <w:rsid w:val="3CE70AA0"/>
    <w:rsid w:val="3D8F1E7E"/>
    <w:rsid w:val="3DA70690"/>
    <w:rsid w:val="3DBB413B"/>
    <w:rsid w:val="3DF24EB3"/>
    <w:rsid w:val="3E261EFC"/>
    <w:rsid w:val="3E4C6DBD"/>
    <w:rsid w:val="3E983A09"/>
    <w:rsid w:val="3EBA2645"/>
    <w:rsid w:val="3ECB6600"/>
    <w:rsid w:val="3F067638"/>
    <w:rsid w:val="3F327625"/>
    <w:rsid w:val="3FD61700"/>
    <w:rsid w:val="4027003D"/>
    <w:rsid w:val="403A57EB"/>
    <w:rsid w:val="40460634"/>
    <w:rsid w:val="40580367"/>
    <w:rsid w:val="40601A59"/>
    <w:rsid w:val="409E3FCC"/>
    <w:rsid w:val="40E7461B"/>
    <w:rsid w:val="411B7C64"/>
    <w:rsid w:val="41923405"/>
    <w:rsid w:val="41B31CF9"/>
    <w:rsid w:val="41DE110C"/>
    <w:rsid w:val="41EE0F83"/>
    <w:rsid w:val="422449A5"/>
    <w:rsid w:val="4250579A"/>
    <w:rsid w:val="42CB6D71"/>
    <w:rsid w:val="43106CD7"/>
    <w:rsid w:val="43460A77"/>
    <w:rsid w:val="43673C4E"/>
    <w:rsid w:val="43857D39"/>
    <w:rsid w:val="43893FEF"/>
    <w:rsid w:val="446B6683"/>
    <w:rsid w:val="44B71B00"/>
    <w:rsid w:val="44DD4BE7"/>
    <w:rsid w:val="451231DA"/>
    <w:rsid w:val="455B1BC2"/>
    <w:rsid w:val="45944E0F"/>
    <w:rsid w:val="459C771C"/>
    <w:rsid w:val="45F4468E"/>
    <w:rsid w:val="460946B9"/>
    <w:rsid w:val="460A5C60"/>
    <w:rsid w:val="465F6B0C"/>
    <w:rsid w:val="466E2EC1"/>
    <w:rsid w:val="470C3AC9"/>
    <w:rsid w:val="473849AD"/>
    <w:rsid w:val="4740470E"/>
    <w:rsid w:val="47A74968"/>
    <w:rsid w:val="485736FE"/>
    <w:rsid w:val="489C210E"/>
    <w:rsid w:val="48B32B2A"/>
    <w:rsid w:val="48CB5B7A"/>
    <w:rsid w:val="48CE566A"/>
    <w:rsid w:val="499F016E"/>
    <w:rsid w:val="49B27B2C"/>
    <w:rsid w:val="49FB4ED6"/>
    <w:rsid w:val="4A201DA7"/>
    <w:rsid w:val="4A225C6E"/>
    <w:rsid w:val="4A233794"/>
    <w:rsid w:val="4A6C513B"/>
    <w:rsid w:val="4AA95AF3"/>
    <w:rsid w:val="4B452F6D"/>
    <w:rsid w:val="4B4634EA"/>
    <w:rsid w:val="4B6D2F19"/>
    <w:rsid w:val="4B7B7E44"/>
    <w:rsid w:val="4BA229D7"/>
    <w:rsid w:val="4BBC7D76"/>
    <w:rsid w:val="4BC92119"/>
    <w:rsid w:val="4BCF5981"/>
    <w:rsid w:val="4BFA58BF"/>
    <w:rsid w:val="4C406BBF"/>
    <w:rsid w:val="4C746529"/>
    <w:rsid w:val="4C862DB6"/>
    <w:rsid w:val="4CB6269D"/>
    <w:rsid w:val="4D14408C"/>
    <w:rsid w:val="4D2A02F0"/>
    <w:rsid w:val="4D761E2D"/>
    <w:rsid w:val="4DFFF0BA"/>
    <w:rsid w:val="4E4D7031"/>
    <w:rsid w:val="4E5A68A3"/>
    <w:rsid w:val="4E685DBF"/>
    <w:rsid w:val="4EB86BA1"/>
    <w:rsid w:val="4ED65279"/>
    <w:rsid w:val="4F2E1FB8"/>
    <w:rsid w:val="4F7D74A2"/>
    <w:rsid w:val="4FA9473B"/>
    <w:rsid w:val="4FB77B54"/>
    <w:rsid w:val="4FD92F52"/>
    <w:rsid w:val="503941CB"/>
    <w:rsid w:val="50575F45"/>
    <w:rsid w:val="507C6E73"/>
    <w:rsid w:val="50A355EA"/>
    <w:rsid w:val="50D91050"/>
    <w:rsid w:val="50F0374B"/>
    <w:rsid w:val="51336677"/>
    <w:rsid w:val="513B2C5D"/>
    <w:rsid w:val="514A5AAA"/>
    <w:rsid w:val="51711289"/>
    <w:rsid w:val="51AE7773"/>
    <w:rsid w:val="523B20D8"/>
    <w:rsid w:val="525879E5"/>
    <w:rsid w:val="526F21C3"/>
    <w:rsid w:val="52D415CD"/>
    <w:rsid w:val="5314011E"/>
    <w:rsid w:val="535350EA"/>
    <w:rsid w:val="535F3A8F"/>
    <w:rsid w:val="53FE0F12"/>
    <w:rsid w:val="54773DDD"/>
    <w:rsid w:val="548C69E5"/>
    <w:rsid w:val="54AF0B23"/>
    <w:rsid w:val="55140593"/>
    <w:rsid w:val="55142657"/>
    <w:rsid w:val="55472A2C"/>
    <w:rsid w:val="554E4DCA"/>
    <w:rsid w:val="55C325B4"/>
    <w:rsid w:val="55E71B19"/>
    <w:rsid w:val="56350AD7"/>
    <w:rsid w:val="56BF3894"/>
    <w:rsid w:val="571C28CC"/>
    <w:rsid w:val="572E258A"/>
    <w:rsid w:val="574B095E"/>
    <w:rsid w:val="57B974E6"/>
    <w:rsid w:val="57C07ECA"/>
    <w:rsid w:val="57FE7B61"/>
    <w:rsid w:val="58530121"/>
    <w:rsid w:val="58552B88"/>
    <w:rsid w:val="58B32187"/>
    <w:rsid w:val="58B86757"/>
    <w:rsid w:val="58BD4DB3"/>
    <w:rsid w:val="59407B3D"/>
    <w:rsid w:val="59CA6695"/>
    <w:rsid w:val="5A13112F"/>
    <w:rsid w:val="5A617478"/>
    <w:rsid w:val="5A763514"/>
    <w:rsid w:val="5A875CB4"/>
    <w:rsid w:val="5AB61195"/>
    <w:rsid w:val="5B4D241F"/>
    <w:rsid w:val="5B6072FD"/>
    <w:rsid w:val="5B631DF7"/>
    <w:rsid w:val="5B782231"/>
    <w:rsid w:val="5B797FAF"/>
    <w:rsid w:val="5C447CC6"/>
    <w:rsid w:val="5C827219"/>
    <w:rsid w:val="5C8708E3"/>
    <w:rsid w:val="5CBA3AE4"/>
    <w:rsid w:val="5D333A77"/>
    <w:rsid w:val="5D46181B"/>
    <w:rsid w:val="5D487342"/>
    <w:rsid w:val="5D846F1A"/>
    <w:rsid w:val="5D9F1247"/>
    <w:rsid w:val="5DF94AE0"/>
    <w:rsid w:val="5E280F21"/>
    <w:rsid w:val="5E443446"/>
    <w:rsid w:val="5E620D4B"/>
    <w:rsid w:val="5E7174EB"/>
    <w:rsid w:val="5E9472FF"/>
    <w:rsid w:val="5F4B136B"/>
    <w:rsid w:val="5FF23595"/>
    <w:rsid w:val="5FF27A39"/>
    <w:rsid w:val="5FFE50D9"/>
    <w:rsid w:val="603A5DED"/>
    <w:rsid w:val="606E3563"/>
    <w:rsid w:val="60832080"/>
    <w:rsid w:val="612B4288"/>
    <w:rsid w:val="617B5DD6"/>
    <w:rsid w:val="61A06A29"/>
    <w:rsid w:val="61AE344B"/>
    <w:rsid w:val="61AF3E33"/>
    <w:rsid w:val="61BF27FF"/>
    <w:rsid w:val="61D70C94"/>
    <w:rsid w:val="621E68C3"/>
    <w:rsid w:val="625729A8"/>
    <w:rsid w:val="625C1559"/>
    <w:rsid w:val="626C3AD2"/>
    <w:rsid w:val="62A83DE8"/>
    <w:rsid w:val="62E1774C"/>
    <w:rsid w:val="62EC076F"/>
    <w:rsid w:val="63122C2B"/>
    <w:rsid w:val="63316ACA"/>
    <w:rsid w:val="633B0FD4"/>
    <w:rsid w:val="633B34A5"/>
    <w:rsid w:val="6372336A"/>
    <w:rsid w:val="638D2AD1"/>
    <w:rsid w:val="639F1C85"/>
    <w:rsid w:val="63C943BC"/>
    <w:rsid w:val="63D80CF3"/>
    <w:rsid w:val="63F87244"/>
    <w:rsid w:val="64011C9A"/>
    <w:rsid w:val="643248A8"/>
    <w:rsid w:val="64526DC7"/>
    <w:rsid w:val="647C5B23"/>
    <w:rsid w:val="647D4FF0"/>
    <w:rsid w:val="64B302A7"/>
    <w:rsid w:val="65060EB8"/>
    <w:rsid w:val="650C6EA7"/>
    <w:rsid w:val="654601DF"/>
    <w:rsid w:val="65530F79"/>
    <w:rsid w:val="65B0017A"/>
    <w:rsid w:val="65F33DD0"/>
    <w:rsid w:val="66925AD1"/>
    <w:rsid w:val="6697176B"/>
    <w:rsid w:val="66D93700"/>
    <w:rsid w:val="66DC085E"/>
    <w:rsid w:val="66EE67F2"/>
    <w:rsid w:val="6703252B"/>
    <w:rsid w:val="673426E5"/>
    <w:rsid w:val="6760172C"/>
    <w:rsid w:val="67666E50"/>
    <w:rsid w:val="676C4934"/>
    <w:rsid w:val="678E0047"/>
    <w:rsid w:val="67DC23FB"/>
    <w:rsid w:val="68607844"/>
    <w:rsid w:val="688D02FE"/>
    <w:rsid w:val="68D423D1"/>
    <w:rsid w:val="69403836"/>
    <w:rsid w:val="695733C6"/>
    <w:rsid w:val="698C05B6"/>
    <w:rsid w:val="699A157F"/>
    <w:rsid w:val="699A71FC"/>
    <w:rsid w:val="69C57527"/>
    <w:rsid w:val="69EB20CE"/>
    <w:rsid w:val="6A242EE4"/>
    <w:rsid w:val="6A6C66D4"/>
    <w:rsid w:val="6A71274B"/>
    <w:rsid w:val="6AE34B4E"/>
    <w:rsid w:val="6AF6735B"/>
    <w:rsid w:val="6B8336BC"/>
    <w:rsid w:val="6B857A26"/>
    <w:rsid w:val="6B8974A3"/>
    <w:rsid w:val="6BB24C81"/>
    <w:rsid w:val="6BF07522"/>
    <w:rsid w:val="6BF40694"/>
    <w:rsid w:val="6BFF1FC2"/>
    <w:rsid w:val="6C024528"/>
    <w:rsid w:val="6C5119CD"/>
    <w:rsid w:val="6C8211A9"/>
    <w:rsid w:val="6C8D2FC3"/>
    <w:rsid w:val="6CB55E70"/>
    <w:rsid w:val="6CD96208"/>
    <w:rsid w:val="6D967C55"/>
    <w:rsid w:val="6DF17581"/>
    <w:rsid w:val="6DF34171"/>
    <w:rsid w:val="6DFE71B4"/>
    <w:rsid w:val="6E5A5127"/>
    <w:rsid w:val="6E770199"/>
    <w:rsid w:val="6E9445C5"/>
    <w:rsid w:val="6ED0363B"/>
    <w:rsid w:val="6EEA36B8"/>
    <w:rsid w:val="6EF07839"/>
    <w:rsid w:val="6F343BCA"/>
    <w:rsid w:val="6F6C6382"/>
    <w:rsid w:val="6F70012C"/>
    <w:rsid w:val="6F706D43"/>
    <w:rsid w:val="6F88665B"/>
    <w:rsid w:val="6F8C7CBB"/>
    <w:rsid w:val="6F8D5088"/>
    <w:rsid w:val="6F8E37C7"/>
    <w:rsid w:val="6FC211D5"/>
    <w:rsid w:val="700417EE"/>
    <w:rsid w:val="703D6AD8"/>
    <w:rsid w:val="70730722"/>
    <w:rsid w:val="70A66401"/>
    <w:rsid w:val="70F55334"/>
    <w:rsid w:val="710650F2"/>
    <w:rsid w:val="71281454"/>
    <w:rsid w:val="71494703"/>
    <w:rsid w:val="717FB51B"/>
    <w:rsid w:val="71A52B5D"/>
    <w:rsid w:val="71A91862"/>
    <w:rsid w:val="72534367"/>
    <w:rsid w:val="729F7A67"/>
    <w:rsid w:val="72B172DF"/>
    <w:rsid w:val="73102D5C"/>
    <w:rsid w:val="731959A1"/>
    <w:rsid w:val="735C5F19"/>
    <w:rsid w:val="7392064D"/>
    <w:rsid w:val="739C3274"/>
    <w:rsid w:val="746565D3"/>
    <w:rsid w:val="7491561A"/>
    <w:rsid w:val="74A54ACE"/>
    <w:rsid w:val="74AA7F35"/>
    <w:rsid w:val="74D94E25"/>
    <w:rsid w:val="74E53C59"/>
    <w:rsid w:val="753461B2"/>
    <w:rsid w:val="757A6531"/>
    <w:rsid w:val="75D0761E"/>
    <w:rsid w:val="75ED6880"/>
    <w:rsid w:val="75FEB801"/>
    <w:rsid w:val="76312184"/>
    <w:rsid w:val="764346F2"/>
    <w:rsid w:val="767F361B"/>
    <w:rsid w:val="76CA0970"/>
    <w:rsid w:val="76DE18DB"/>
    <w:rsid w:val="770E5D39"/>
    <w:rsid w:val="77BE04D4"/>
    <w:rsid w:val="77C50C6C"/>
    <w:rsid w:val="780A206B"/>
    <w:rsid w:val="780D320A"/>
    <w:rsid w:val="7836433E"/>
    <w:rsid w:val="78381AFE"/>
    <w:rsid w:val="787212BF"/>
    <w:rsid w:val="7882093A"/>
    <w:rsid w:val="78A27DF6"/>
    <w:rsid w:val="78A3591C"/>
    <w:rsid w:val="79202947"/>
    <w:rsid w:val="792B7DEB"/>
    <w:rsid w:val="799C2F50"/>
    <w:rsid w:val="79BF22E2"/>
    <w:rsid w:val="79C8359A"/>
    <w:rsid w:val="7A2465E9"/>
    <w:rsid w:val="7A5C3C00"/>
    <w:rsid w:val="7A5E7D4D"/>
    <w:rsid w:val="7A857317"/>
    <w:rsid w:val="7AB8675C"/>
    <w:rsid w:val="7AE71DB9"/>
    <w:rsid w:val="7AE934B3"/>
    <w:rsid w:val="7B041E62"/>
    <w:rsid w:val="7B1D7C08"/>
    <w:rsid w:val="7B3867F0"/>
    <w:rsid w:val="7B6969A9"/>
    <w:rsid w:val="7B8F3F36"/>
    <w:rsid w:val="7BFD5343"/>
    <w:rsid w:val="7C140A94"/>
    <w:rsid w:val="7C76671C"/>
    <w:rsid w:val="7D253273"/>
    <w:rsid w:val="7D2A03BA"/>
    <w:rsid w:val="7D360B0D"/>
    <w:rsid w:val="7D7016E2"/>
    <w:rsid w:val="7DAB3FD5"/>
    <w:rsid w:val="7DC71B0E"/>
    <w:rsid w:val="7E0021EB"/>
    <w:rsid w:val="7E515322"/>
    <w:rsid w:val="7E6301C0"/>
    <w:rsid w:val="7E636915"/>
    <w:rsid w:val="7E6E393F"/>
    <w:rsid w:val="7ED83B75"/>
    <w:rsid w:val="7F2A209D"/>
    <w:rsid w:val="7F761695"/>
    <w:rsid w:val="7F8405AD"/>
    <w:rsid w:val="89FE95C8"/>
    <w:rsid w:val="A79FA217"/>
    <w:rsid w:val="ADFED26F"/>
    <w:rsid w:val="EB457F23"/>
    <w:rsid w:val="FDFF150C"/>
    <w:rsid w:val="FFDD3889"/>
    <w:rsid w:val="FFDDD923"/>
    <w:rsid w:val="FFED05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name="toc 4"/>
    <w:lsdException w:qFormat="1" w:uiPriority="39" w:name="toc 5"/>
    <w:lsdException w:qFormat="1" w:uiPriority="39" w:name="toc 6"/>
    <w:lsdException w:qFormat="1" w:uiPriority="39" w:name="toc 7"/>
    <w:lsdException w:qFormat="1" w:uiPriority="39" w:name="toc 8"/>
    <w:lsdException w:qFormat="1" w:uiPriority="39" w:name="toc 9"/>
    <w:lsdException w:uiPriority="99"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jc w:val="both"/>
    </w:pPr>
    <w:rPr>
      <w:rFonts w:ascii="Times New Roman" w:hAnsi="Times New Roman" w:eastAsia="宋体" w:cstheme="minorBidi"/>
      <w:kern w:val="2"/>
      <w:sz w:val="24"/>
      <w:szCs w:val="22"/>
      <w:lang w:val="en-US" w:eastAsia="zh-CN" w:bidi="ar-SA"/>
      <w14:ligatures w14:val="standardContextual"/>
    </w:rPr>
  </w:style>
  <w:style w:type="paragraph" w:styleId="2">
    <w:name w:val="heading 1"/>
    <w:basedOn w:val="1"/>
    <w:next w:val="1"/>
    <w:link w:val="54"/>
    <w:qFormat/>
    <w:uiPriority w:val="0"/>
    <w:pPr>
      <w:keepNext/>
      <w:keepLines/>
      <w:spacing w:before="360" w:after="80"/>
      <w:jc w:val="left"/>
      <w:outlineLvl w:val="0"/>
    </w:pPr>
    <w:rPr>
      <w:rFonts w:eastAsia="黑体" w:asciiTheme="majorAscii" w:hAnsiTheme="majorAscii" w:cstheme="majorBidi"/>
      <w:b/>
      <w:color w:val="104862" w:themeColor="accent1" w:themeShade="BF"/>
      <w:sz w:val="21"/>
      <w:szCs w:val="48"/>
    </w:rPr>
  </w:style>
  <w:style w:type="paragraph" w:styleId="3">
    <w:name w:val="heading 2"/>
    <w:basedOn w:val="1"/>
    <w:next w:val="1"/>
    <w:link w:val="55"/>
    <w:unhideWhenUsed/>
    <w:qFormat/>
    <w:uiPriority w:val="0"/>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56"/>
    <w:unhideWhenUsed/>
    <w:qFormat/>
    <w:uiPriority w:val="0"/>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57"/>
    <w:unhideWhenUsed/>
    <w:qFormat/>
    <w:uiPriority w:val="0"/>
    <w:pPr>
      <w:keepNext/>
      <w:keepLines/>
      <w:spacing w:before="80" w:after="40"/>
      <w:outlineLvl w:val="3"/>
    </w:pPr>
    <w:rPr>
      <w:rFonts w:asciiTheme="minorHAnsi" w:hAnsiTheme="minorHAnsi" w:eastAsiaTheme="minorEastAsia" w:cstheme="majorBidi"/>
      <w:color w:val="104862" w:themeColor="accent1" w:themeShade="BF"/>
      <w:sz w:val="28"/>
      <w:szCs w:val="28"/>
    </w:rPr>
  </w:style>
  <w:style w:type="paragraph" w:styleId="6">
    <w:name w:val="heading 5"/>
    <w:basedOn w:val="1"/>
    <w:next w:val="1"/>
    <w:link w:val="58"/>
    <w:unhideWhenUsed/>
    <w:qFormat/>
    <w:uiPriority w:val="0"/>
    <w:pPr>
      <w:keepNext/>
      <w:keepLines/>
      <w:spacing w:before="80" w:after="40"/>
      <w:outlineLvl w:val="4"/>
    </w:pPr>
    <w:rPr>
      <w:rFonts w:asciiTheme="minorHAnsi" w:hAnsiTheme="minorHAnsi" w:eastAsiaTheme="minorEastAsia" w:cstheme="majorBidi"/>
      <w:color w:val="104862" w:themeColor="accent1" w:themeShade="BF"/>
      <w:szCs w:val="24"/>
    </w:rPr>
  </w:style>
  <w:style w:type="paragraph" w:styleId="7">
    <w:name w:val="heading 6"/>
    <w:basedOn w:val="1"/>
    <w:next w:val="1"/>
    <w:link w:val="59"/>
    <w:unhideWhenUsed/>
    <w:qFormat/>
    <w:uiPriority w:val="0"/>
    <w:pPr>
      <w:keepNext/>
      <w:keepLines/>
      <w:spacing w:before="40"/>
      <w:outlineLvl w:val="5"/>
    </w:pPr>
    <w:rPr>
      <w:rFonts w:asciiTheme="minorHAnsi" w:hAnsiTheme="minorHAnsi" w:eastAsiaTheme="minorEastAsia" w:cstheme="majorBidi"/>
      <w:b/>
      <w:bCs/>
      <w:color w:val="104862" w:themeColor="accent1" w:themeShade="BF"/>
    </w:rPr>
  </w:style>
  <w:style w:type="paragraph" w:styleId="8">
    <w:name w:val="heading 7"/>
    <w:basedOn w:val="1"/>
    <w:next w:val="1"/>
    <w:link w:val="60"/>
    <w:unhideWhenUsed/>
    <w:qFormat/>
    <w:uiPriority w:val="0"/>
    <w:pPr>
      <w:keepNext/>
      <w:keepLines/>
      <w:spacing w:before="40"/>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61"/>
    <w:unhideWhenUsed/>
    <w:qFormat/>
    <w:uiPriority w:val="0"/>
    <w:pPr>
      <w:keepNext/>
      <w:keepLines/>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62"/>
    <w:unhideWhenUsed/>
    <w:qFormat/>
    <w:uiPriority w:val="0"/>
    <w:pPr>
      <w:keepNext/>
      <w:keepLines/>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semiHidden/>
    <w:unhideWhenUsed/>
    <w:qFormat/>
    <w:uiPriority w:val="39"/>
    <w:pPr>
      <w:widowControl w:val="0"/>
      <w:spacing w:line="240" w:lineRule="auto"/>
      <w:ind w:left="2520" w:leftChars="1200"/>
    </w:pPr>
    <w:rPr>
      <w:rFonts w:cs="Times New Roman"/>
      <w:sz w:val="21"/>
      <w:szCs w:val="24"/>
      <w14:ligatures w14:val="none"/>
    </w:rPr>
  </w:style>
  <w:style w:type="paragraph" w:styleId="12">
    <w:name w:val="annotation text"/>
    <w:basedOn w:val="1"/>
    <w:link w:val="82"/>
    <w:qFormat/>
    <w:uiPriority w:val="0"/>
    <w:pPr>
      <w:widowControl w:val="0"/>
      <w:spacing w:line="240" w:lineRule="auto"/>
      <w:jc w:val="left"/>
    </w:pPr>
    <w:rPr>
      <w:rFonts w:cs="Times New Roman"/>
      <w:sz w:val="21"/>
      <w:szCs w:val="24"/>
      <w14:ligatures w14:val="none"/>
    </w:rPr>
  </w:style>
  <w:style w:type="paragraph" w:styleId="13">
    <w:name w:val="Body Text"/>
    <w:basedOn w:val="14"/>
    <w:semiHidden/>
    <w:qFormat/>
    <w:uiPriority w:val="0"/>
    <w:rPr>
      <w:rFonts w:ascii="Arial" w:hAnsi="Arial" w:eastAsia="Arial" w:cs="Arial"/>
      <w:sz w:val="21"/>
      <w:szCs w:val="21"/>
      <w:lang w:eastAsia="en-US"/>
    </w:rPr>
  </w:style>
  <w:style w:type="paragraph" w:customStyle="1" w:styleId="14">
    <w:name w:val="First Paragraph"/>
    <w:basedOn w:val="1"/>
    <w:next w:val="13"/>
    <w:qFormat/>
    <w:uiPriority w:val="0"/>
    <w:pPr>
      <w:spacing w:before="180"/>
      <w:ind w:firstLine="480" w:firstLineChars="200"/>
    </w:pPr>
  </w:style>
  <w:style w:type="paragraph" w:styleId="15">
    <w:name w:val="Body Text Indent"/>
    <w:basedOn w:val="1"/>
    <w:link w:val="83"/>
    <w:qFormat/>
    <w:uiPriority w:val="0"/>
    <w:pPr>
      <w:widowControl w:val="0"/>
      <w:spacing w:line="440" w:lineRule="exact"/>
      <w:ind w:firstLine="560" w:firstLineChars="200"/>
    </w:pPr>
    <w:rPr>
      <w:rFonts w:cs="Times New Roman"/>
      <w:sz w:val="28"/>
      <w:szCs w:val="24"/>
      <w14:ligatures w14:val="none"/>
    </w:rPr>
  </w:style>
  <w:style w:type="paragraph" w:styleId="16">
    <w:name w:val="HTML Address"/>
    <w:basedOn w:val="1"/>
    <w:link w:val="85"/>
    <w:qFormat/>
    <w:uiPriority w:val="0"/>
    <w:pPr>
      <w:widowControl w:val="0"/>
      <w:spacing w:line="240" w:lineRule="auto"/>
    </w:pPr>
    <w:rPr>
      <w:rFonts w:cs="Times New Roman"/>
      <w:i/>
      <w:iCs/>
      <w:sz w:val="21"/>
      <w:szCs w:val="24"/>
      <w14:ligatures w14:val="none"/>
    </w:rPr>
  </w:style>
  <w:style w:type="paragraph" w:styleId="17">
    <w:name w:val="toc 5"/>
    <w:basedOn w:val="1"/>
    <w:next w:val="1"/>
    <w:autoRedefine/>
    <w:semiHidden/>
    <w:unhideWhenUsed/>
    <w:qFormat/>
    <w:uiPriority w:val="39"/>
    <w:pPr>
      <w:widowControl w:val="0"/>
      <w:spacing w:line="240" w:lineRule="auto"/>
      <w:ind w:left="1680" w:leftChars="800"/>
    </w:pPr>
    <w:rPr>
      <w:rFonts w:cs="Times New Roman"/>
      <w:sz w:val="21"/>
      <w:szCs w:val="24"/>
      <w14:ligatures w14:val="none"/>
    </w:rPr>
  </w:style>
  <w:style w:type="paragraph" w:styleId="18">
    <w:name w:val="toc 3"/>
    <w:basedOn w:val="1"/>
    <w:next w:val="1"/>
    <w:autoRedefine/>
    <w:unhideWhenUsed/>
    <w:qFormat/>
    <w:uiPriority w:val="39"/>
    <w:pPr>
      <w:widowControl w:val="0"/>
      <w:spacing w:line="240" w:lineRule="auto"/>
      <w:ind w:left="840" w:leftChars="400"/>
    </w:pPr>
    <w:rPr>
      <w:rFonts w:cs="Times New Roman"/>
      <w:sz w:val="21"/>
      <w:szCs w:val="24"/>
      <w14:ligatures w14:val="none"/>
    </w:rPr>
  </w:style>
  <w:style w:type="paragraph" w:styleId="19">
    <w:name w:val="Plain Text"/>
    <w:basedOn w:val="1"/>
    <w:link w:val="87"/>
    <w:qFormat/>
    <w:uiPriority w:val="0"/>
    <w:pPr>
      <w:widowControl w:val="0"/>
      <w:spacing w:line="240" w:lineRule="auto"/>
    </w:pPr>
    <w:rPr>
      <w:rFonts w:ascii="宋体" w:hAnsi="Courier New" w:cs="Times New Roman"/>
      <w:sz w:val="21"/>
      <w:szCs w:val="20"/>
      <w14:ligatures w14:val="none"/>
    </w:rPr>
  </w:style>
  <w:style w:type="paragraph" w:styleId="20">
    <w:name w:val="toc 8"/>
    <w:basedOn w:val="1"/>
    <w:next w:val="1"/>
    <w:autoRedefine/>
    <w:semiHidden/>
    <w:unhideWhenUsed/>
    <w:qFormat/>
    <w:uiPriority w:val="39"/>
    <w:pPr>
      <w:widowControl w:val="0"/>
      <w:spacing w:line="240" w:lineRule="auto"/>
      <w:ind w:left="2940" w:leftChars="1400"/>
    </w:pPr>
    <w:rPr>
      <w:rFonts w:cs="Times New Roman"/>
      <w:sz w:val="21"/>
      <w:szCs w:val="24"/>
      <w14:ligatures w14:val="none"/>
    </w:rPr>
  </w:style>
  <w:style w:type="paragraph" w:styleId="21">
    <w:name w:val="Date"/>
    <w:basedOn w:val="1"/>
    <w:next w:val="1"/>
    <w:link w:val="89"/>
    <w:unhideWhenUsed/>
    <w:qFormat/>
    <w:uiPriority w:val="99"/>
    <w:pPr>
      <w:widowControl w:val="0"/>
      <w:spacing w:line="240" w:lineRule="auto"/>
      <w:ind w:left="100" w:leftChars="2500"/>
    </w:pPr>
    <w:rPr>
      <w:rFonts w:cs="Times New Roman"/>
      <w:sz w:val="21"/>
      <w:szCs w:val="24"/>
      <w14:ligatures w14:val="none"/>
    </w:rPr>
  </w:style>
  <w:style w:type="paragraph" w:styleId="22">
    <w:name w:val="Body Text Indent 2"/>
    <w:basedOn w:val="1"/>
    <w:link w:val="90"/>
    <w:qFormat/>
    <w:uiPriority w:val="0"/>
    <w:pPr>
      <w:widowControl w:val="0"/>
      <w:spacing w:line="440" w:lineRule="exact"/>
      <w:ind w:firstLine="420" w:firstLineChars="200"/>
    </w:pPr>
    <w:rPr>
      <w:rFonts w:cs="Times New Roman"/>
      <w:sz w:val="21"/>
      <w:szCs w:val="24"/>
      <w14:ligatures w14:val="none"/>
    </w:rPr>
  </w:style>
  <w:style w:type="paragraph" w:styleId="23">
    <w:name w:val="Balloon Text"/>
    <w:basedOn w:val="1"/>
    <w:link w:val="92"/>
    <w:unhideWhenUsed/>
    <w:qFormat/>
    <w:uiPriority w:val="99"/>
    <w:pPr>
      <w:widowControl w:val="0"/>
      <w:spacing w:line="240" w:lineRule="auto"/>
    </w:pPr>
    <w:rPr>
      <w:rFonts w:cs="Times New Roman"/>
      <w:sz w:val="18"/>
      <w:szCs w:val="18"/>
      <w14:ligatures w14:val="none"/>
    </w:rPr>
  </w:style>
  <w:style w:type="paragraph" w:styleId="24">
    <w:name w:val="footer"/>
    <w:basedOn w:val="1"/>
    <w:link w:val="93"/>
    <w:qFormat/>
    <w:uiPriority w:val="99"/>
    <w:pPr>
      <w:widowControl w:val="0"/>
      <w:tabs>
        <w:tab w:val="center" w:pos="4153"/>
        <w:tab w:val="right" w:pos="8306"/>
      </w:tabs>
      <w:snapToGrid w:val="0"/>
      <w:spacing w:line="240" w:lineRule="auto"/>
      <w:jc w:val="left"/>
    </w:pPr>
    <w:rPr>
      <w:rFonts w:cs="Times New Roman"/>
      <w:sz w:val="18"/>
      <w:szCs w:val="18"/>
      <w14:ligatures w14:val="none"/>
    </w:rPr>
  </w:style>
  <w:style w:type="paragraph" w:styleId="25">
    <w:name w:val="header"/>
    <w:basedOn w:val="1"/>
    <w:link w:val="95"/>
    <w:qFormat/>
    <w:uiPriority w:val="99"/>
    <w:pPr>
      <w:widowControl w:val="0"/>
      <w:pBdr>
        <w:bottom w:val="single" w:color="auto" w:sz="6" w:space="1"/>
      </w:pBdr>
      <w:tabs>
        <w:tab w:val="center" w:pos="4153"/>
        <w:tab w:val="right" w:pos="8306"/>
      </w:tabs>
      <w:snapToGrid w:val="0"/>
      <w:spacing w:line="240" w:lineRule="auto"/>
      <w:jc w:val="center"/>
    </w:pPr>
    <w:rPr>
      <w:rFonts w:cs="Times New Roman"/>
      <w:sz w:val="18"/>
      <w:szCs w:val="18"/>
      <w14:ligatures w14:val="none"/>
    </w:rPr>
  </w:style>
  <w:style w:type="paragraph" w:styleId="26">
    <w:name w:val="toc 1"/>
    <w:basedOn w:val="1"/>
    <w:next w:val="1"/>
    <w:autoRedefine/>
    <w:unhideWhenUsed/>
    <w:qFormat/>
    <w:uiPriority w:val="39"/>
    <w:pPr>
      <w:widowControl w:val="0"/>
      <w:spacing w:line="240" w:lineRule="auto"/>
    </w:pPr>
    <w:rPr>
      <w:rFonts w:cs="Times New Roman"/>
      <w:sz w:val="21"/>
      <w:szCs w:val="24"/>
      <w14:ligatures w14:val="none"/>
    </w:rPr>
  </w:style>
  <w:style w:type="paragraph" w:styleId="27">
    <w:name w:val="toc 4"/>
    <w:basedOn w:val="1"/>
    <w:next w:val="1"/>
    <w:autoRedefine/>
    <w:semiHidden/>
    <w:unhideWhenUsed/>
    <w:qFormat/>
    <w:uiPriority w:val="39"/>
    <w:pPr>
      <w:widowControl w:val="0"/>
      <w:spacing w:line="240" w:lineRule="auto"/>
      <w:ind w:left="1260" w:leftChars="600"/>
    </w:pPr>
    <w:rPr>
      <w:rFonts w:cs="Times New Roman"/>
      <w:sz w:val="21"/>
      <w:szCs w:val="24"/>
      <w14:ligatures w14:val="none"/>
    </w:rPr>
  </w:style>
  <w:style w:type="paragraph" w:styleId="28">
    <w:name w:val="Subtitle"/>
    <w:basedOn w:val="1"/>
    <w:next w:val="1"/>
    <w:link w:val="64"/>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footnote text"/>
    <w:basedOn w:val="1"/>
    <w:link w:val="97"/>
    <w:qFormat/>
    <w:uiPriority w:val="0"/>
    <w:pPr>
      <w:widowControl w:val="0"/>
      <w:snapToGrid w:val="0"/>
      <w:spacing w:line="240" w:lineRule="auto"/>
      <w:jc w:val="left"/>
    </w:pPr>
    <w:rPr>
      <w:rFonts w:cs="Times New Roman"/>
      <w:sz w:val="18"/>
      <w:szCs w:val="18"/>
      <w14:ligatures w14:val="none"/>
    </w:rPr>
  </w:style>
  <w:style w:type="paragraph" w:styleId="30">
    <w:name w:val="toc 6"/>
    <w:basedOn w:val="1"/>
    <w:next w:val="1"/>
    <w:autoRedefine/>
    <w:semiHidden/>
    <w:unhideWhenUsed/>
    <w:qFormat/>
    <w:uiPriority w:val="39"/>
    <w:pPr>
      <w:widowControl w:val="0"/>
      <w:spacing w:line="240" w:lineRule="auto"/>
      <w:ind w:left="2100" w:leftChars="1000"/>
    </w:pPr>
    <w:rPr>
      <w:rFonts w:cs="Times New Roman"/>
      <w:sz w:val="21"/>
      <w:szCs w:val="24"/>
      <w14:ligatures w14:val="none"/>
    </w:rPr>
  </w:style>
  <w:style w:type="paragraph" w:styleId="31">
    <w:name w:val="toc 2"/>
    <w:basedOn w:val="1"/>
    <w:next w:val="1"/>
    <w:autoRedefine/>
    <w:unhideWhenUsed/>
    <w:qFormat/>
    <w:uiPriority w:val="39"/>
    <w:pPr>
      <w:widowControl w:val="0"/>
      <w:spacing w:line="240" w:lineRule="auto"/>
      <w:ind w:left="420" w:leftChars="200"/>
    </w:pPr>
    <w:rPr>
      <w:rFonts w:cs="Times New Roman"/>
      <w:sz w:val="21"/>
      <w:szCs w:val="24"/>
      <w14:ligatures w14:val="none"/>
    </w:rPr>
  </w:style>
  <w:style w:type="paragraph" w:styleId="32">
    <w:name w:val="toc 9"/>
    <w:basedOn w:val="1"/>
    <w:next w:val="1"/>
    <w:autoRedefine/>
    <w:semiHidden/>
    <w:unhideWhenUsed/>
    <w:qFormat/>
    <w:uiPriority w:val="39"/>
    <w:pPr>
      <w:widowControl w:val="0"/>
      <w:spacing w:line="240" w:lineRule="auto"/>
      <w:ind w:left="3360" w:leftChars="1600"/>
    </w:pPr>
    <w:rPr>
      <w:rFonts w:cs="Times New Roman"/>
      <w:sz w:val="21"/>
      <w:szCs w:val="24"/>
      <w14:ligatures w14:val="none"/>
    </w:rPr>
  </w:style>
  <w:style w:type="paragraph" w:styleId="33">
    <w:name w:val="HTML Preformatted"/>
    <w:basedOn w:val="1"/>
    <w:link w:val="99"/>
    <w:qFormat/>
    <w:uiPriority w:val="0"/>
    <w:pPr>
      <w:widowControl w:val="0"/>
      <w:spacing w:line="240" w:lineRule="auto"/>
    </w:pPr>
    <w:rPr>
      <w:rFonts w:ascii="Courier New" w:hAnsi="Courier New" w:cs="Times New Roman"/>
      <w:sz w:val="20"/>
      <w:szCs w:val="20"/>
      <w14:ligatures w14:val="none"/>
    </w:rPr>
  </w:style>
  <w:style w:type="paragraph" w:styleId="34">
    <w:name w:val="Normal (Web)"/>
    <w:basedOn w:val="1"/>
    <w:unhideWhenUsed/>
    <w:qFormat/>
    <w:uiPriority w:val="99"/>
    <w:pPr>
      <w:spacing w:before="100" w:beforeAutospacing="1" w:after="100" w:afterAutospacing="1" w:line="240" w:lineRule="auto"/>
      <w:jc w:val="left"/>
    </w:pPr>
    <w:rPr>
      <w:rFonts w:ascii="宋体" w:hAnsi="宋体" w:cs="宋体"/>
      <w:kern w:val="0"/>
      <w:szCs w:val="24"/>
      <w14:ligatures w14:val="none"/>
    </w:rPr>
  </w:style>
  <w:style w:type="paragraph" w:styleId="35">
    <w:name w:val="Title"/>
    <w:basedOn w:val="1"/>
    <w:next w:val="1"/>
    <w:link w:val="63"/>
    <w:qFormat/>
    <w:uiPriority w:val="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36">
    <w:name w:val="annotation subject"/>
    <w:basedOn w:val="12"/>
    <w:next w:val="12"/>
    <w:link w:val="183"/>
    <w:semiHidden/>
    <w:unhideWhenUsed/>
    <w:qFormat/>
    <w:uiPriority w:val="99"/>
    <w:rPr>
      <w:b/>
      <w:bCs/>
    </w:rPr>
  </w:style>
  <w:style w:type="table" w:styleId="38">
    <w:name w:val="Table Grid"/>
    <w:basedOn w:val="37"/>
    <w:qFormat/>
    <w:uiPriority w:val="0"/>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Strong"/>
    <w:basedOn w:val="39"/>
    <w:qFormat/>
    <w:uiPriority w:val="22"/>
    <w:rPr>
      <w:b/>
    </w:rPr>
  </w:style>
  <w:style w:type="character" w:styleId="41">
    <w:name w:val="page number"/>
    <w:qFormat/>
    <w:uiPriority w:val="0"/>
  </w:style>
  <w:style w:type="character" w:styleId="42">
    <w:name w:val="FollowedHyperlink"/>
    <w:basedOn w:val="39"/>
    <w:semiHidden/>
    <w:unhideWhenUsed/>
    <w:qFormat/>
    <w:uiPriority w:val="99"/>
    <w:rPr>
      <w:color w:val="96607D" w:themeColor="followedHyperlink"/>
      <w:u w:val="single"/>
      <w14:textFill>
        <w14:solidFill>
          <w14:schemeClr w14:val="folHlink"/>
        </w14:solidFill>
      </w14:textFill>
    </w:rPr>
  </w:style>
  <w:style w:type="character" w:styleId="43">
    <w:name w:val="HTML Definition"/>
    <w:qFormat/>
    <w:uiPriority w:val="0"/>
    <w:rPr>
      <w:i/>
      <w:iCs/>
    </w:rPr>
  </w:style>
  <w:style w:type="character" w:styleId="44">
    <w:name w:val="HTML Typewriter"/>
    <w:qFormat/>
    <w:uiPriority w:val="0"/>
    <w:rPr>
      <w:rFonts w:ascii="Courier New" w:hAnsi="Courier New"/>
      <w:sz w:val="20"/>
      <w:szCs w:val="20"/>
    </w:rPr>
  </w:style>
  <w:style w:type="character" w:styleId="45">
    <w:name w:val="HTML Acronym"/>
    <w:qFormat/>
    <w:uiPriority w:val="0"/>
  </w:style>
  <w:style w:type="character" w:styleId="46">
    <w:name w:val="HTML Variable"/>
    <w:qFormat/>
    <w:uiPriority w:val="0"/>
    <w:rPr>
      <w:i/>
      <w:iCs/>
    </w:rPr>
  </w:style>
  <w:style w:type="character" w:styleId="47">
    <w:name w:val="Hyperlink"/>
    <w:qFormat/>
    <w:uiPriority w:val="99"/>
    <w:rPr>
      <w:rFonts w:ascii="Times New Roman" w:hAnsi="Times New Roman" w:eastAsia="宋体"/>
      <w:color w:val="auto"/>
      <w:spacing w:val="0"/>
      <w:w w:val="100"/>
      <w:position w:val="0"/>
      <w:sz w:val="21"/>
      <w:u w:val="none"/>
      <w:vertAlign w:val="baseline"/>
    </w:rPr>
  </w:style>
  <w:style w:type="character" w:styleId="48">
    <w:name w:val="HTML Code"/>
    <w:qFormat/>
    <w:uiPriority w:val="0"/>
    <w:rPr>
      <w:rFonts w:ascii="Courier New" w:hAnsi="Courier New"/>
      <w:sz w:val="20"/>
      <w:szCs w:val="20"/>
    </w:rPr>
  </w:style>
  <w:style w:type="character" w:styleId="49">
    <w:name w:val="annotation reference"/>
    <w:semiHidden/>
    <w:unhideWhenUsed/>
    <w:qFormat/>
    <w:uiPriority w:val="99"/>
    <w:rPr>
      <w:sz w:val="21"/>
      <w:szCs w:val="21"/>
    </w:rPr>
  </w:style>
  <w:style w:type="character" w:styleId="50">
    <w:name w:val="HTML Cite"/>
    <w:qFormat/>
    <w:uiPriority w:val="0"/>
    <w:rPr>
      <w:i/>
      <w:iCs/>
    </w:rPr>
  </w:style>
  <w:style w:type="character" w:styleId="51">
    <w:name w:val="footnote reference"/>
    <w:qFormat/>
    <w:uiPriority w:val="0"/>
    <w:rPr>
      <w:vertAlign w:val="superscript"/>
    </w:rPr>
  </w:style>
  <w:style w:type="character" w:styleId="52">
    <w:name w:val="HTML Keyboard"/>
    <w:qFormat/>
    <w:uiPriority w:val="0"/>
    <w:rPr>
      <w:rFonts w:ascii="Courier New" w:hAnsi="Courier New"/>
      <w:sz w:val="20"/>
      <w:szCs w:val="20"/>
    </w:rPr>
  </w:style>
  <w:style w:type="character" w:styleId="53">
    <w:name w:val="HTML Sample"/>
    <w:qFormat/>
    <w:uiPriority w:val="0"/>
    <w:rPr>
      <w:rFonts w:ascii="Courier New" w:hAnsi="Courier New"/>
    </w:rPr>
  </w:style>
  <w:style w:type="character" w:customStyle="1" w:styleId="54">
    <w:name w:val="标题 1 字符"/>
    <w:basedOn w:val="39"/>
    <w:link w:val="2"/>
    <w:qFormat/>
    <w:uiPriority w:val="9"/>
    <w:rPr>
      <w:rFonts w:eastAsia="黑体" w:asciiTheme="majorAscii" w:hAnsiTheme="majorAscii" w:cstheme="majorBidi"/>
      <w:b/>
      <w:color w:val="104862" w:themeColor="accent1" w:themeShade="BF"/>
      <w:sz w:val="21"/>
      <w:szCs w:val="48"/>
    </w:rPr>
  </w:style>
  <w:style w:type="character" w:customStyle="1" w:styleId="55">
    <w:name w:val="标题 2 字符"/>
    <w:basedOn w:val="39"/>
    <w:link w:val="3"/>
    <w:qFormat/>
    <w:uiPriority w:val="0"/>
    <w:rPr>
      <w:rFonts w:asciiTheme="majorHAnsi" w:hAnsiTheme="majorHAnsi" w:eastAsiaTheme="majorEastAsia" w:cstheme="majorBidi"/>
      <w:color w:val="104862" w:themeColor="accent1" w:themeShade="BF"/>
      <w:sz w:val="40"/>
      <w:szCs w:val="40"/>
    </w:rPr>
  </w:style>
  <w:style w:type="character" w:customStyle="1" w:styleId="56">
    <w:name w:val="标题 3 字符"/>
    <w:basedOn w:val="39"/>
    <w:link w:val="4"/>
    <w:qFormat/>
    <w:uiPriority w:val="0"/>
    <w:rPr>
      <w:rFonts w:asciiTheme="majorHAnsi" w:hAnsiTheme="majorHAnsi" w:eastAsiaTheme="majorEastAsia" w:cstheme="majorBidi"/>
      <w:color w:val="104862" w:themeColor="accent1" w:themeShade="BF"/>
      <w:sz w:val="32"/>
      <w:szCs w:val="32"/>
    </w:rPr>
  </w:style>
  <w:style w:type="character" w:customStyle="1" w:styleId="57">
    <w:name w:val="标题 4 字符"/>
    <w:basedOn w:val="39"/>
    <w:link w:val="5"/>
    <w:qFormat/>
    <w:uiPriority w:val="0"/>
    <w:rPr>
      <w:rFonts w:asciiTheme="minorHAnsi" w:hAnsiTheme="minorHAnsi" w:eastAsiaTheme="minorEastAsia" w:cstheme="majorBidi"/>
      <w:color w:val="104862" w:themeColor="accent1" w:themeShade="BF"/>
      <w:sz w:val="28"/>
      <w:szCs w:val="28"/>
    </w:rPr>
  </w:style>
  <w:style w:type="character" w:customStyle="1" w:styleId="58">
    <w:name w:val="标题 5 字符"/>
    <w:basedOn w:val="39"/>
    <w:link w:val="6"/>
    <w:semiHidden/>
    <w:qFormat/>
    <w:uiPriority w:val="9"/>
    <w:rPr>
      <w:rFonts w:asciiTheme="minorHAnsi" w:hAnsiTheme="minorHAnsi" w:eastAsiaTheme="minorEastAsia" w:cstheme="majorBidi"/>
      <w:color w:val="104862" w:themeColor="accent1" w:themeShade="BF"/>
      <w:szCs w:val="24"/>
    </w:rPr>
  </w:style>
  <w:style w:type="character" w:customStyle="1" w:styleId="59">
    <w:name w:val="标题 6 字符"/>
    <w:basedOn w:val="39"/>
    <w:link w:val="7"/>
    <w:semiHidden/>
    <w:qFormat/>
    <w:uiPriority w:val="9"/>
    <w:rPr>
      <w:rFonts w:asciiTheme="minorHAnsi" w:hAnsiTheme="minorHAnsi" w:eastAsiaTheme="minorEastAsia" w:cstheme="majorBidi"/>
      <w:b/>
      <w:bCs/>
      <w:color w:val="104862" w:themeColor="accent1" w:themeShade="BF"/>
    </w:rPr>
  </w:style>
  <w:style w:type="character" w:customStyle="1" w:styleId="60">
    <w:name w:val="标题 7 字符"/>
    <w:basedOn w:val="39"/>
    <w:link w:val="8"/>
    <w:semiHidden/>
    <w:qFormat/>
    <w:uiPriority w:val="9"/>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character" w:customStyle="1" w:styleId="61">
    <w:name w:val="标题 8 字符"/>
    <w:basedOn w:val="39"/>
    <w:link w:val="9"/>
    <w:semiHidden/>
    <w:qFormat/>
    <w:uiPriority w:val="9"/>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character" w:customStyle="1" w:styleId="62">
    <w:name w:val="标题 9 字符"/>
    <w:basedOn w:val="39"/>
    <w:link w:val="10"/>
    <w:semiHidden/>
    <w:qFormat/>
    <w:uiPriority w:val="9"/>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63">
    <w:name w:val="标题 字符"/>
    <w:basedOn w:val="39"/>
    <w:link w:val="35"/>
    <w:qFormat/>
    <w:uiPriority w:val="10"/>
    <w:rPr>
      <w:rFonts w:asciiTheme="majorHAnsi" w:hAnsiTheme="majorHAnsi" w:eastAsiaTheme="majorEastAsia" w:cstheme="majorBidi"/>
      <w:spacing w:val="-10"/>
      <w:kern w:val="28"/>
      <w:sz w:val="56"/>
      <w:szCs w:val="56"/>
    </w:rPr>
  </w:style>
  <w:style w:type="character" w:customStyle="1" w:styleId="64">
    <w:name w:val="副标题 字符"/>
    <w:basedOn w:val="39"/>
    <w:link w:val="28"/>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65">
    <w:name w:val="Quote"/>
    <w:basedOn w:val="1"/>
    <w:next w:val="1"/>
    <w:link w:val="66"/>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66">
    <w:name w:val="引用 字符"/>
    <w:basedOn w:val="39"/>
    <w:link w:val="65"/>
    <w:qFormat/>
    <w:uiPriority w:val="29"/>
    <w:rPr>
      <w:i/>
      <w:iCs/>
      <w:color w:val="404040" w:themeColor="text1" w:themeTint="BF"/>
      <w14:textFill>
        <w14:solidFill>
          <w14:schemeClr w14:val="tx1">
            <w14:lumMod w14:val="75000"/>
            <w14:lumOff w14:val="25000"/>
          </w14:schemeClr>
        </w14:solidFill>
      </w14:textFill>
    </w:rPr>
  </w:style>
  <w:style w:type="paragraph" w:styleId="67">
    <w:name w:val="List Paragraph"/>
    <w:basedOn w:val="1"/>
    <w:qFormat/>
    <w:uiPriority w:val="34"/>
    <w:pPr>
      <w:ind w:left="720"/>
      <w:contextualSpacing/>
    </w:pPr>
  </w:style>
  <w:style w:type="character" w:customStyle="1" w:styleId="68">
    <w:name w:val="明显强调1"/>
    <w:basedOn w:val="39"/>
    <w:qFormat/>
    <w:uiPriority w:val="21"/>
    <w:rPr>
      <w:i/>
      <w:iCs/>
      <w:color w:val="104862" w:themeColor="accent1" w:themeShade="BF"/>
    </w:rPr>
  </w:style>
  <w:style w:type="paragraph" w:styleId="69">
    <w:name w:val="Intense Quote"/>
    <w:basedOn w:val="1"/>
    <w:next w:val="1"/>
    <w:link w:val="70"/>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70">
    <w:name w:val="明显引用 字符"/>
    <w:basedOn w:val="39"/>
    <w:link w:val="69"/>
    <w:qFormat/>
    <w:uiPriority w:val="30"/>
    <w:rPr>
      <w:i/>
      <w:iCs/>
      <w:color w:val="104862" w:themeColor="accent1" w:themeShade="BF"/>
    </w:rPr>
  </w:style>
  <w:style w:type="character" w:customStyle="1" w:styleId="71">
    <w:name w:val="明显参考1"/>
    <w:basedOn w:val="39"/>
    <w:qFormat/>
    <w:uiPriority w:val="32"/>
    <w:rPr>
      <w:b/>
      <w:bCs/>
      <w:smallCaps/>
      <w:color w:val="104862" w:themeColor="accent1" w:themeShade="BF"/>
      <w:spacing w:val="5"/>
    </w:rPr>
  </w:style>
  <w:style w:type="character" w:styleId="72">
    <w:name w:val="Placeholder Text"/>
    <w:basedOn w:val="39"/>
    <w:semiHidden/>
    <w:qFormat/>
    <w:uiPriority w:val="99"/>
    <w:rPr>
      <w:color w:val="666666"/>
    </w:rPr>
  </w:style>
  <w:style w:type="character" w:customStyle="1" w:styleId="73">
    <w:name w:val="标题 1 Char"/>
    <w:qFormat/>
    <w:uiPriority w:val="0"/>
    <w:rPr>
      <w:b/>
      <w:bCs/>
      <w:kern w:val="44"/>
      <w:sz w:val="44"/>
      <w:szCs w:val="44"/>
    </w:rPr>
  </w:style>
  <w:style w:type="character" w:customStyle="1" w:styleId="74">
    <w:name w:val="标题 2 Char"/>
    <w:qFormat/>
    <w:uiPriority w:val="0"/>
    <w:rPr>
      <w:rFonts w:ascii="Arial" w:hAnsi="Arial" w:eastAsia="黑体"/>
      <w:b/>
      <w:bCs/>
      <w:kern w:val="2"/>
      <w:sz w:val="32"/>
      <w:szCs w:val="32"/>
    </w:rPr>
  </w:style>
  <w:style w:type="character" w:customStyle="1" w:styleId="75">
    <w:name w:val="标题 5 Char"/>
    <w:qFormat/>
    <w:uiPriority w:val="0"/>
    <w:rPr>
      <w:b/>
      <w:bCs/>
      <w:kern w:val="2"/>
      <w:sz w:val="28"/>
      <w:szCs w:val="28"/>
    </w:rPr>
  </w:style>
  <w:style w:type="character" w:customStyle="1" w:styleId="76">
    <w:name w:val="标题 6 Char"/>
    <w:qFormat/>
    <w:uiPriority w:val="0"/>
    <w:rPr>
      <w:rFonts w:ascii="Arial" w:hAnsi="Arial" w:eastAsia="黑体"/>
      <w:b/>
      <w:bCs/>
      <w:kern w:val="2"/>
      <w:sz w:val="24"/>
      <w:szCs w:val="24"/>
    </w:rPr>
  </w:style>
  <w:style w:type="character" w:customStyle="1" w:styleId="77">
    <w:name w:val="标题 7 Char"/>
    <w:qFormat/>
    <w:uiPriority w:val="0"/>
    <w:rPr>
      <w:b/>
      <w:bCs/>
      <w:kern w:val="2"/>
      <w:sz w:val="24"/>
      <w:szCs w:val="24"/>
    </w:rPr>
  </w:style>
  <w:style w:type="character" w:customStyle="1" w:styleId="78">
    <w:name w:val="标题 8 Char"/>
    <w:qFormat/>
    <w:uiPriority w:val="0"/>
    <w:rPr>
      <w:rFonts w:ascii="Arial" w:hAnsi="Arial" w:eastAsia="黑体"/>
      <w:kern w:val="2"/>
      <w:sz w:val="24"/>
      <w:szCs w:val="24"/>
    </w:rPr>
  </w:style>
  <w:style w:type="character" w:customStyle="1" w:styleId="79">
    <w:name w:val="标题 9 Char"/>
    <w:qFormat/>
    <w:uiPriority w:val="0"/>
    <w:rPr>
      <w:rFonts w:ascii="Arial" w:hAnsi="Arial" w:eastAsia="黑体"/>
      <w:kern w:val="2"/>
      <w:sz w:val="21"/>
      <w:szCs w:val="21"/>
    </w:rPr>
  </w:style>
  <w:style w:type="paragraph" w:customStyle="1" w:styleId="80">
    <w:name w:val="_Style 40"/>
    <w:basedOn w:val="1"/>
    <w:next w:val="67"/>
    <w:qFormat/>
    <w:uiPriority w:val="99"/>
    <w:pPr>
      <w:widowControl w:val="0"/>
      <w:spacing w:line="240" w:lineRule="auto"/>
      <w:ind w:firstLine="420" w:firstLineChars="200"/>
    </w:pPr>
    <w:rPr>
      <w:rFonts w:cs="Times New Roman"/>
      <w:sz w:val="21"/>
      <w:szCs w:val="24"/>
      <w14:ligatures w14:val="none"/>
    </w:rPr>
  </w:style>
  <w:style w:type="character" w:customStyle="1" w:styleId="81">
    <w:name w:val="批注文字 字符"/>
    <w:basedOn w:val="39"/>
    <w:semiHidden/>
    <w:qFormat/>
    <w:uiPriority w:val="99"/>
  </w:style>
  <w:style w:type="character" w:customStyle="1" w:styleId="82">
    <w:name w:val="批注文字 字符1"/>
    <w:link w:val="12"/>
    <w:qFormat/>
    <w:uiPriority w:val="0"/>
    <w:rPr>
      <w:rFonts w:cs="Times New Roman"/>
      <w:sz w:val="21"/>
      <w:szCs w:val="24"/>
      <w14:ligatures w14:val="none"/>
    </w:rPr>
  </w:style>
  <w:style w:type="character" w:customStyle="1" w:styleId="83">
    <w:name w:val="正文文本缩进 字符"/>
    <w:basedOn w:val="39"/>
    <w:link w:val="15"/>
    <w:qFormat/>
    <w:uiPriority w:val="0"/>
    <w:rPr>
      <w:rFonts w:cs="Times New Roman"/>
      <w:sz w:val="28"/>
      <w:szCs w:val="24"/>
      <w14:ligatures w14:val="none"/>
    </w:rPr>
  </w:style>
  <w:style w:type="character" w:customStyle="1" w:styleId="84">
    <w:name w:val="HTML 地址 字符"/>
    <w:basedOn w:val="39"/>
    <w:semiHidden/>
    <w:qFormat/>
    <w:uiPriority w:val="99"/>
    <w:rPr>
      <w:i/>
      <w:iCs/>
    </w:rPr>
  </w:style>
  <w:style w:type="character" w:customStyle="1" w:styleId="85">
    <w:name w:val="HTML 地址 字符1"/>
    <w:link w:val="16"/>
    <w:qFormat/>
    <w:uiPriority w:val="0"/>
    <w:rPr>
      <w:rFonts w:cs="Times New Roman"/>
      <w:i/>
      <w:iCs/>
      <w:sz w:val="21"/>
      <w:szCs w:val="24"/>
      <w14:ligatures w14:val="none"/>
    </w:rPr>
  </w:style>
  <w:style w:type="character" w:customStyle="1" w:styleId="86">
    <w:name w:val="纯文本 字符"/>
    <w:basedOn w:val="39"/>
    <w:semiHidden/>
    <w:qFormat/>
    <w:uiPriority w:val="99"/>
    <w:rPr>
      <w:rFonts w:hAnsi="Courier New" w:cs="Courier New" w:asciiTheme="minorEastAsia" w:eastAsiaTheme="minorEastAsia"/>
    </w:rPr>
  </w:style>
  <w:style w:type="character" w:customStyle="1" w:styleId="87">
    <w:name w:val="纯文本 字符2"/>
    <w:link w:val="19"/>
    <w:qFormat/>
    <w:uiPriority w:val="0"/>
    <w:rPr>
      <w:rFonts w:ascii="宋体" w:hAnsi="Courier New" w:cs="Times New Roman"/>
      <w:sz w:val="21"/>
      <w:szCs w:val="20"/>
      <w14:ligatures w14:val="none"/>
    </w:rPr>
  </w:style>
  <w:style w:type="character" w:customStyle="1" w:styleId="88">
    <w:name w:val="日期 字符"/>
    <w:basedOn w:val="39"/>
    <w:qFormat/>
    <w:uiPriority w:val="0"/>
  </w:style>
  <w:style w:type="character" w:customStyle="1" w:styleId="89">
    <w:name w:val="日期 字符1"/>
    <w:link w:val="21"/>
    <w:qFormat/>
    <w:uiPriority w:val="99"/>
    <w:rPr>
      <w:rFonts w:cs="Times New Roman"/>
      <w:sz w:val="21"/>
      <w:szCs w:val="24"/>
      <w14:ligatures w14:val="none"/>
    </w:rPr>
  </w:style>
  <w:style w:type="character" w:customStyle="1" w:styleId="90">
    <w:name w:val="正文文本缩进 2 字符"/>
    <w:basedOn w:val="39"/>
    <w:link w:val="22"/>
    <w:qFormat/>
    <w:uiPriority w:val="0"/>
    <w:rPr>
      <w:rFonts w:cs="Times New Roman"/>
      <w:sz w:val="21"/>
      <w:szCs w:val="24"/>
      <w14:ligatures w14:val="none"/>
    </w:rPr>
  </w:style>
  <w:style w:type="character" w:customStyle="1" w:styleId="91">
    <w:name w:val="批注框文本 字符"/>
    <w:basedOn w:val="39"/>
    <w:semiHidden/>
    <w:qFormat/>
    <w:uiPriority w:val="99"/>
    <w:rPr>
      <w:sz w:val="18"/>
      <w:szCs w:val="18"/>
    </w:rPr>
  </w:style>
  <w:style w:type="character" w:customStyle="1" w:styleId="92">
    <w:name w:val="批注框文本 字符1"/>
    <w:link w:val="23"/>
    <w:qFormat/>
    <w:uiPriority w:val="99"/>
    <w:rPr>
      <w:rFonts w:cs="Times New Roman"/>
      <w:sz w:val="18"/>
      <w:szCs w:val="18"/>
      <w14:ligatures w14:val="none"/>
    </w:rPr>
  </w:style>
  <w:style w:type="character" w:customStyle="1" w:styleId="93">
    <w:name w:val="页脚 字符"/>
    <w:basedOn w:val="39"/>
    <w:link w:val="24"/>
    <w:qFormat/>
    <w:uiPriority w:val="99"/>
    <w:rPr>
      <w:rFonts w:cs="Times New Roman"/>
      <w:sz w:val="18"/>
      <w:szCs w:val="18"/>
      <w14:ligatures w14:val="none"/>
    </w:rPr>
  </w:style>
  <w:style w:type="character" w:customStyle="1" w:styleId="94">
    <w:name w:val="页眉 字符"/>
    <w:basedOn w:val="39"/>
    <w:semiHidden/>
    <w:qFormat/>
    <w:uiPriority w:val="99"/>
    <w:rPr>
      <w:sz w:val="18"/>
      <w:szCs w:val="18"/>
    </w:rPr>
  </w:style>
  <w:style w:type="character" w:customStyle="1" w:styleId="95">
    <w:name w:val="页眉 字符1"/>
    <w:link w:val="25"/>
    <w:qFormat/>
    <w:uiPriority w:val="99"/>
    <w:rPr>
      <w:rFonts w:cs="Times New Roman"/>
      <w:sz w:val="18"/>
      <w:szCs w:val="18"/>
      <w14:ligatures w14:val="none"/>
    </w:rPr>
  </w:style>
  <w:style w:type="character" w:customStyle="1" w:styleId="96">
    <w:name w:val="脚注文本 字符"/>
    <w:basedOn w:val="39"/>
    <w:semiHidden/>
    <w:qFormat/>
    <w:uiPriority w:val="99"/>
    <w:rPr>
      <w:sz w:val="18"/>
      <w:szCs w:val="18"/>
    </w:rPr>
  </w:style>
  <w:style w:type="character" w:customStyle="1" w:styleId="97">
    <w:name w:val="脚注文本 字符1"/>
    <w:link w:val="29"/>
    <w:qFormat/>
    <w:uiPriority w:val="0"/>
    <w:rPr>
      <w:rFonts w:cs="Times New Roman"/>
      <w:sz w:val="18"/>
      <w:szCs w:val="18"/>
      <w14:ligatures w14:val="none"/>
    </w:rPr>
  </w:style>
  <w:style w:type="character" w:customStyle="1" w:styleId="98">
    <w:name w:val="HTML 预设格式 字符"/>
    <w:basedOn w:val="39"/>
    <w:semiHidden/>
    <w:qFormat/>
    <w:uiPriority w:val="99"/>
    <w:rPr>
      <w:rFonts w:ascii="Courier New" w:hAnsi="Courier New" w:cs="Courier New"/>
      <w:sz w:val="20"/>
      <w:szCs w:val="20"/>
    </w:rPr>
  </w:style>
  <w:style w:type="character" w:customStyle="1" w:styleId="99">
    <w:name w:val="HTML 预设格式 字符1"/>
    <w:link w:val="33"/>
    <w:qFormat/>
    <w:uiPriority w:val="0"/>
    <w:rPr>
      <w:rFonts w:ascii="Courier New" w:hAnsi="Courier New" w:cs="Times New Roman"/>
      <w:sz w:val="20"/>
      <w:szCs w:val="20"/>
      <w14:ligatures w14:val="none"/>
    </w:rPr>
  </w:style>
  <w:style w:type="character" w:customStyle="1" w:styleId="100">
    <w:name w:val="标题 Char"/>
    <w:qFormat/>
    <w:uiPriority w:val="0"/>
    <w:rPr>
      <w:rFonts w:ascii="Arial" w:hAnsi="Arial"/>
      <w:b/>
      <w:bCs/>
      <w:kern w:val="2"/>
      <w:sz w:val="32"/>
      <w:szCs w:val="32"/>
    </w:rPr>
  </w:style>
  <w:style w:type="character" w:customStyle="1" w:styleId="101">
    <w:name w:val="发布"/>
    <w:qFormat/>
    <w:uiPriority w:val="0"/>
    <w:rPr>
      <w:rFonts w:ascii="黑体" w:eastAsia="黑体"/>
      <w:spacing w:val="22"/>
      <w:w w:val="100"/>
      <w:position w:val="3"/>
      <w:sz w:val="28"/>
    </w:rPr>
  </w:style>
  <w:style w:type="character" w:customStyle="1" w:styleId="102">
    <w:name w:val="high-light-bg"/>
    <w:qFormat/>
    <w:uiPriority w:val="0"/>
  </w:style>
  <w:style w:type="character" w:customStyle="1" w:styleId="103">
    <w:name w:val="apple-converted-space"/>
    <w:qFormat/>
    <w:uiPriority w:val="0"/>
  </w:style>
  <w:style w:type="paragraph" w:customStyle="1" w:styleId="104">
    <w:name w:val="段"/>
    <w:link w:val="105"/>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105">
    <w:name w:val="段 Char"/>
    <w:link w:val="104"/>
    <w:qFormat/>
    <w:uiPriority w:val="0"/>
    <w:rPr>
      <w:rFonts w:ascii="宋体" w:cs="Times New Roman"/>
      <w:kern w:val="0"/>
      <w:sz w:val="21"/>
      <w:szCs w:val="20"/>
      <w14:ligatures w14:val="none"/>
    </w:rPr>
  </w:style>
  <w:style w:type="paragraph" w:customStyle="1" w:styleId="106">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107">
    <w:name w:val="封面标准名称"/>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08">
    <w:name w:val="标准标志"/>
    <w:next w:val="1"/>
    <w:qFormat/>
    <w:uiPriority w:val="0"/>
    <w:pPr>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109">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10">
    <w:name w:val="发布部门"/>
    <w:next w:val="1"/>
    <w:qFormat/>
    <w:uiPriority w:val="0"/>
    <w:pPr>
      <w:jc w:val="center"/>
    </w:pPr>
    <w:rPr>
      <w:rFonts w:ascii="宋体" w:hAnsi="Times New Roman" w:eastAsia="宋体" w:cs="Times New Roman"/>
      <w:b/>
      <w:spacing w:val="20"/>
      <w:w w:val="135"/>
      <w:sz w:val="36"/>
      <w:lang w:val="en-US" w:eastAsia="zh-CN" w:bidi="ar-SA"/>
    </w:rPr>
  </w:style>
  <w:style w:type="paragraph" w:customStyle="1" w:styleId="111">
    <w:name w:val="文献分类号"/>
    <w:qFormat/>
    <w:uiPriority w:val="0"/>
    <w:pPr>
      <w:widowControl w:val="0"/>
      <w:textAlignment w:val="center"/>
    </w:pPr>
    <w:rPr>
      <w:rFonts w:ascii="Times New Roman" w:hAnsi="Times New Roman" w:eastAsia="黑体" w:cs="Times New Roman"/>
      <w:sz w:val="21"/>
      <w:lang w:val="en-US" w:eastAsia="zh-CN" w:bidi="ar-SA"/>
    </w:rPr>
  </w:style>
  <w:style w:type="paragraph" w:customStyle="1" w:styleId="112">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113">
    <w:name w:val="实施日期"/>
    <w:basedOn w:val="114"/>
    <w:qFormat/>
    <w:uiPriority w:val="0"/>
    <w:pPr>
      <w:jc w:val="right"/>
    </w:pPr>
  </w:style>
  <w:style w:type="paragraph" w:customStyle="1" w:styleId="114">
    <w:name w:val="发布日期"/>
    <w:qFormat/>
    <w:uiPriority w:val="0"/>
    <w:rPr>
      <w:rFonts w:ascii="Times New Roman" w:hAnsi="Times New Roman" w:eastAsia="黑体" w:cs="Times New Roman"/>
      <w:sz w:val="28"/>
      <w:lang w:val="en-US" w:eastAsia="zh-CN" w:bidi="ar-SA"/>
    </w:rPr>
  </w:style>
  <w:style w:type="paragraph" w:customStyle="1" w:styleId="115">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16">
    <w:name w:val="标准书眉一"/>
    <w:qFormat/>
    <w:uiPriority w:val="0"/>
    <w:pPr>
      <w:jc w:val="both"/>
    </w:pPr>
    <w:rPr>
      <w:rFonts w:ascii="Times New Roman" w:hAnsi="Times New Roman" w:eastAsia="宋体" w:cs="Times New Roman"/>
      <w:lang w:val="en-US" w:eastAsia="zh-CN" w:bidi="ar-SA"/>
    </w:rPr>
  </w:style>
  <w:style w:type="paragraph" w:customStyle="1" w:styleId="117">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118">
    <w:name w:val="前言、引言标题"/>
    <w:next w:val="1"/>
    <w:qFormat/>
    <w:uiPriority w:val="0"/>
    <w:pPr>
      <w:shd w:val="clear" w:color="FFFFFF" w:fill="FFFFFF"/>
      <w:spacing w:before="640" w:after="560"/>
      <w:ind w:left="360" w:hanging="360"/>
      <w:jc w:val="center"/>
      <w:outlineLvl w:val="0"/>
    </w:pPr>
    <w:rPr>
      <w:rFonts w:ascii="黑体" w:hAnsi="Times New Roman" w:eastAsia="黑体" w:cs="Times New Roman"/>
      <w:sz w:val="32"/>
      <w:lang w:val="en-US" w:eastAsia="zh-CN" w:bidi="ar-SA"/>
    </w:rPr>
  </w:style>
  <w:style w:type="paragraph" w:customStyle="1" w:styleId="119">
    <w:name w:val="封面正文"/>
    <w:qFormat/>
    <w:uiPriority w:val="0"/>
    <w:pPr>
      <w:jc w:val="both"/>
    </w:pPr>
    <w:rPr>
      <w:rFonts w:ascii="Times New Roman" w:hAnsi="Times New Roman" w:eastAsia="宋体" w:cs="Times New Roman"/>
      <w:lang w:val="en-US" w:eastAsia="zh-CN" w:bidi="ar-SA"/>
    </w:rPr>
  </w:style>
  <w:style w:type="paragraph" w:customStyle="1" w:styleId="120">
    <w:name w:val="标准称谓"/>
    <w:next w:val="1"/>
    <w:qFormat/>
    <w:uiPriority w:val="0"/>
    <w:pPr>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121">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122">
    <w:name w:val="标准书眉_偶数页"/>
    <w:basedOn w:val="106"/>
    <w:next w:val="1"/>
    <w:qFormat/>
    <w:uiPriority w:val="0"/>
    <w:pPr>
      <w:jc w:val="left"/>
    </w:pPr>
  </w:style>
  <w:style w:type="paragraph" w:customStyle="1" w:styleId="123">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character" w:customStyle="1" w:styleId="124">
    <w:name w:val="个人答复风格"/>
    <w:qFormat/>
    <w:uiPriority w:val="0"/>
    <w:rPr>
      <w:rFonts w:ascii="Arial" w:hAnsi="Arial" w:eastAsia="宋体" w:cs="Arial"/>
      <w:color w:val="auto"/>
      <w:sz w:val="20"/>
    </w:rPr>
  </w:style>
  <w:style w:type="character" w:customStyle="1" w:styleId="125">
    <w:name w:val="个人撰写风格"/>
    <w:qFormat/>
    <w:uiPriority w:val="0"/>
    <w:rPr>
      <w:rFonts w:ascii="Arial" w:hAnsi="Arial" w:eastAsia="宋体" w:cs="Arial"/>
      <w:color w:val="auto"/>
      <w:sz w:val="20"/>
    </w:rPr>
  </w:style>
  <w:style w:type="character" w:customStyle="1" w:styleId="126">
    <w:name w:val="纯文本 字符1"/>
    <w:semiHidden/>
    <w:qFormat/>
    <w:uiPriority w:val="99"/>
    <w:rPr>
      <w:rFonts w:ascii="宋体" w:hAnsi="Courier New" w:cs="Courier New"/>
      <w:kern w:val="2"/>
      <w:sz w:val="21"/>
      <w:szCs w:val="21"/>
    </w:rPr>
  </w:style>
  <w:style w:type="paragraph" w:customStyle="1" w:styleId="127">
    <w:name w:val="参考文献、索引标题"/>
    <w:basedOn w:val="118"/>
    <w:next w:val="1"/>
    <w:qFormat/>
    <w:uiPriority w:val="0"/>
    <w:pPr>
      <w:spacing w:after="200"/>
      <w:ind w:left="0" w:firstLine="0"/>
    </w:pPr>
    <w:rPr>
      <w:sz w:val="21"/>
    </w:rPr>
  </w:style>
  <w:style w:type="paragraph" w:customStyle="1" w:styleId="128">
    <w:name w:val="附录表标题"/>
    <w:next w:val="104"/>
    <w:qFormat/>
    <w:uiPriority w:val="0"/>
    <w:pPr>
      <w:tabs>
        <w:tab w:val="left" w:pos="360"/>
      </w:tabs>
      <w:ind w:left="360" w:hanging="360"/>
      <w:jc w:val="center"/>
      <w:textAlignment w:val="baseline"/>
    </w:pPr>
    <w:rPr>
      <w:rFonts w:ascii="黑体" w:hAnsi="Times New Roman" w:eastAsia="黑体" w:cs="Times New Roman"/>
      <w:kern w:val="21"/>
      <w:sz w:val="21"/>
      <w:lang w:val="en-US" w:eastAsia="zh-CN" w:bidi="ar-SA"/>
    </w:rPr>
  </w:style>
  <w:style w:type="paragraph" w:customStyle="1" w:styleId="129">
    <w:name w:val="附录二级条标题"/>
    <w:basedOn w:val="130"/>
    <w:next w:val="104"/>
    <w:qFormat/>
    <w:uiPriority w:val="0"/>
    <w:pPr>
      <w:tabs>
        <w:tab w:val="left" w:pos="840"/>
        <w:tab w:val="left" w:pos="1260"/>
        <w:tab w:val="left" w:pos="1680"/>
      </w:tabs>
      <w:ind w:left="1680"/>
      <w:outlineLvl w:val="3"/>
    </w:pPr>
  </w:style>
  <w:style w:type="paragraph" w:customStyle="1" w:styleId="130">
    <w:name w:val="附录一级条标题"/>
    <w:basedOn w:val="131"/>
    <w:next w:val="104"/>
    <w:qFormat/>
    <w:uiPriority w:val="0"/>
    <w:pPr>
      <w:tabs>
        <w:tab w:val="left" w:pos="840"/>
        <w:tab w:val="left" w:pos="1260"/>
      </w:tabs>
      <w:autoSpaceDN w:val="0"/>
      <w:spacing w:before="0" w:beforeLines="0" w:after="0" w:afterLines="0"/>
      <w:ind w:left="1260"/>
      <w:outlineLvl w:val="2"/>
    </w:pPr>
  </w:style>
  <w:style w:type="paragraph" w:customStyle="1" w:styleId="131">
    <w:name w:val="附录章标题"/>
    <w:next w:val="104"/>
    <w:qFormat/>
    <w:uiPriority w:val="0"/>
    <w:pPr>
      <w:tabs>
        <w:tab w:val="left" w:pos="840"/>
      </w:tabs>
      <w:wordWrap w:val="0"/>
      <w:overflowPunct w:val="0"/>
      <w:autoSpaceDE w:val="0"/>
      <w:spacing w:before="156" w:beforeLines="50" w:after="156" w:afterLines="50"/>
      <w:ind w:left="840" w:hanging="420"/>
      <w:jc w:val="both"/>
      <w:textAlignment w:val="baseline"/>
      <w:outlineLvl w:val="1"/>
    </w:pPr>
    <w:rPr>
      <w:rFonts w:ascii="黑体" w:hAnsi="Times New Roman" w:eastAsia="黑体" w:cs="Times New Roman"/>
      <w:kern w:val="21"/>
      <w:sz w:val="21"/>
      <w:lang w:val="en-US" w:eastAsia="zh-CN" w:bidi="ar-SA"/>
    </w:rPr>
  </w:style>
  <w:style w:type="paragraph" w:customStyle="1" w:styleId="132">
    <w:name w:val="三级条标题"/>
    <w:basedOn w:val="133"/>
    <w:next w:val="104"/>
    <w:qFormat/>
    <w:uiPriority w:val="0"/>
    <w:pPr>
      <w:numPr>
        <w:numId w:val="0"/>
      </w:numPr>
      <w:outlineLvl w:val="4"/>
    </w:pPr>
  </w:style>
  <w:style w:type="paragraph" w:customStyle="1" w:styleId="133">
    <w:name w:val="二级条标题"/>
    <w:basedOn w:val="134"/>
    <w:next w:val="104"/>
    <w:qFormat/>
    <w:uiPriority w:val="0"/>
    <w:pPr>
      <w:numPr>
        <w:ilvl w:val="3"/>
        <w:numId w:val="1"/>
      </w:numPr>
      <w:outlineLvl w:val="3"/>
    </w:pPr>
  </w:style>
  <w:style w:type="paragraph" w:customStyle="1" w:styleId="134">
    <w:name w:val="一级条标题"/>
    <w:next w:val="104"/>
    <w:qFormat/>
    <w:uiPriority w:val="0"/>
    <w:pPr>
      <w:ind w:left="105"/>
      <w:outlineLvl w:val="2"/>
    </w:pPr>
    <w:rPr>
      <w:rFonts w:ascii="Times New Roman" w:hAnsi="Times New Roman" w:eastAsia="黑体" w:cs="Times New Roman"/>
      <w:sz w:val="21"/>
      <w:lang w:val="en-US" w:eastAsia="zh-CN" w:bidi="ar-SA"/>
    </w:rPr>
  </w:style>
  <w:style w:type="paragraph" w:customStyle="1" w:styleId="135">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136">
    <w:name w:val="封面标准代替信息"/>
    <w:basedOn w:val="137"/>
    <w:qFormat/>
    <w:uiPriority w:val="0"/>
    <w:pPr>
      <w:spacing w:before="57"/>
    </w:pPr>
    <w:rPr>
      <w:rFonts w:ascii="宋体"/>
      <w:sz w:val="21"/>
    </w:rPr>
  </w:style>
  <w:style w:type="paragraph" w:customStyle="1" w:styleId="137">
    <w:name w:val="封面标准号2"/>
    <w:basedOn w:val="135"/>
    <w:qFormat/>
    <w:uiPriority w:val="0"/>
    <w:pPr>
      <w:adjustRightInd w:val="0"/>
      <w:spacing w:before="357" w:line="280" w:lineRule="exact"/>
    </w:pPr>
  </w:style>
  <w:style w:type="paragraph" w:customStyle="1" w:styleId="138">
    <w:name w:val="条文脚注"/>
    <w:basedOn w:val="29"/>
    <w:qFormat/>
    <w:uiPriority w:val="0"/>
    <w:pPr>
      <w:ind w:left="780" w:leftChars="200" w:hanging="360" w:hangingChars="200"/>
      <w:jc w:val="both"/>
    </w:pPr>
    <w:rPr>
      <w:rFonts w:ascii="宋体"/>
    </w:rPr>
  </w:style>
  <w:style w:type="paragraph" w:customStyle="1" w:styleId="139">
    <w:name w:val="附录三级条标题"/>
    <w:basedOn w:val="129"/>
    <w:next w:val="104"/>
    <w:qFormat/>
    <w:uiPriority w:val="0"/>
    <w:pPr>
      <w:tabs>
        <w:tab w:val="left" w:pos="2100"/>
        <w:tab w:val="clear" w:pos="1680"/>
      </w:tabs>
      <w:ind w:left="2100"/>
      <w:outlineLvl w:val="4"/>
    </w:pPr>
  </w:style>
  <w:style w:type="paragraph" w:customStyle="1" w:styleId="140">
    <w:name w:val="章标题"/>
    <w:next w:val="104"/>
    <w:qFormat/>
    <w:uiPriority w:val="0"/>
    <w:pPr>
      <w:numPr>
        <w:ilvl w:val="1"/>
        <w:numId w:val="1"/>
      </w:numPr>
      <w:spacing w:before="156" w:beforeLines="50" w:after="156" w:afterLines="50"/>
      <w:jc w:val="both"/>
      <w:outlineLvl w:val="1"/>
    </w:pPr>
    <w:rPr>
      <w:rFonts w:ascii="黑体" w:hAnsi="Times New Roman" w:eastAsia="黑体" w:cs="Times New Roman"/>
      <w:sz w:val="21"/>
      <w:lang w:val="en-US" w:eastAsia="zh-CN" w:bidi="ar-SA"/>
    </w:rPr>
  </w:style>
  <w:style w:type="paragraph" w:customStyle="1" w:styleId="141">
    <w:name w:val="示例"/>
    <w:next w:val="104"/>
    <w:qFormat/>
    <w:uiPriority w:val="0"/>
    <w:pPr>
      <w:tabs>
        <w:tab w:val="left" w:pos="816"/>
      </w:tabs>
      <w:ind w:firstLine="419" w:firstLineChars="233"/>
      <w:jc w:val="both"/>
    </w:pPr>
    <w:rPr>
      <w:rFonts w:ascii="宋体" w:hAnsi="Times New Roman" w:eastAsia="宋体" w:cs="Times New Roman"/>
      <w:sz w:val="18"/>
      <w:lang w:val="en-US" w:eastAsia="zh-CN" w:bidi="ar-SA"/>
    </w:rPr>
  </w:style>
  <w:style w:type="paragraph" w:customStyle="1" w:styleId="142">
    <w:name w:val="附录图标题"/>
    <w:next w:val="104"/>
    <w:qFormat/>
    <w:uiPriority w:val="0"/>
    <w:pPr>
      <w:tabs>
        <w:tab w:val="left" w:pos="360"/>
      </w:tabs>
      <w:jc w:val="center"/>
    </w:pPr>
    <w:rPr>
      <w:rFonts w:ascii="黑体" w:hAnsi="Times New Roman" w:eastAsia="黑体" w:cs="Times New Roman"/>
      <w:sz w:val="21"/>
      <w:lang w:val="en-US" w:eastAsia="zh-CN" w:bidi="ar-SA"/>
    </w:rPr>
  </w:style>
  <w:style w:type="paragraph" w:customStyle="1" w:styleId="143">
    <w:name w:val="封面一致性程度标识"/>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144">
    <w:name w:val="数字编号列项（二级）"/>
    <w:qFormat/>
    <w:uiPriority w:val="0"/>
    <w:pPr>
      <w:ind w:left="1260" w:leftChars="400" w:hanging="420" w:hangingChars="200"/>
      <w:jc w:val="both"/>
    </w:pPr>
    <w:rPr>
      <w:rFonts w:ascii="宋体" w:hAnsi="Times New Roman" w:eastAsia="宋体" w:cs="Times New Roman"/>
      <w:sz w:val="21"/>
      <w:lang w:val="en-US" w:eastAsia="zh-CN" w:bidi="ar-SA"/>
    </w:rPr>
  </w:style>
  <w:style w:type="paragraph" w:customStyle="1" w:styleId="145">
    <w:name w:val="附录四级条标题"/>
    <w:basedOn w:val="139"/>
    <w:next w:val="104"/>
    <w:qFormat/>
    <w:uiPriority w:val="0"/>
    <w:pPr>
      <w:tabs>
        <w:tab w:val="left" w:pos="2520"/>
        <w:tab w:val="clear" w:pos="2100"/>
      </w:tabs>
      <w:ind w:left="2520"/>
      <w:outlineLvl w:val="5"/>
    </w:pPr>
  </w:style>
  <w:style w:type="paragraph" w:customStyle="1" w:styleId="146">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7">
    <w:name w:val="正文表标题"/>
    <w:next w:val="104"/>
    <w:qFormat/>
    <w:uiPriority w:val="0"/>
    <w:pPr>
      <w:jc w:val="center"/>
    </w:pPr>
    <w:rPr>
      <w:rFonts w:ascii="黑体" w:hAnsi="Times New Roman" w:eastAsia="黑体" w:cs="Times New Roman"/>
      <w:sz w:val="21"/>
      <w:lang w:val="en-US" w:eastAsia="zh-CN" w:bidi="ar-SA"/>
    </w:rPr>
  </w:style>
  <w:style w:type="paragraph" w:customStyle="1" w:styleId="148">
    <w:name w:val="四级条标题"/>
    <w:basedOn w:val="132"/>
    <w:next w:val="104"/>
    <w:qFormat/>
    <w:uiPriority w:val="0"/>
    <w:pPr>
      <w:outlineLvl w:val="5"/>
    </w:pPr>
  </w:style>
  <w:style w:type="paragraph" w:customStyle="1" w:styleId="149">
    <w:name w:val="注："/>
    <w:next w:val="104"/>
    <w:qFormat/>
    <w:uiPriority w:val="0"/>
    <w:pPr>
      <w:widowControl w:val="0"/>
      <w:autoSpaceDE w:val="0"/>
      <w:autoSpaceDN w:val="0"/>
      <w:ind w:left="840" w:hanging="420"/>
      <w:jc w:val="both"/>
    </w:pPr>
    <w:rPr>
      <w:rFonts w:ascii="宋体" w:hAnsi="Times New Roman" w:eastAsia="宋体" w:cs="Times New Roman"/>
      <w:sz w:val="18"/>
      <w:lang w:val="en-US" w:eastAsia="zh-CN" w:bidi="ar-SA"/>
    </w:rPr>
  </w:style>
  <w:style w:type="paragraph" w:customStyle="1" w:styleId="150">
    <w:name w:val="Char"/>
    <w:basedOn w:val="1"/>
    <w:qFormat/>
    <w:uiPriority w:val="0"/>
    <w:pPr>
      <w:spacing w:after="160" w:line="240" w:lineRule="exact"/>
      <w:jc w:val="left"/>
    </w:pPr>
    <w:rPr>
      <w:rFonts w:ascii="Verdana" w:hAnsi="Verdana" w:cs="Times New Roman"/>
      <w:kern w:val="0"/>
      <w:sz w:val="20"/>
      <w:szCs w:val="20"/>
      <w:lang w:eastAsia="en-US"/>
      <w14:ligatures w14:val="none"/>
    </w:rPr>
  </w:style>
  <w:style w:type="paragraph" w:customStyle="1" w:styleId="151">
    <w:name w:val="列项●（二级）"/>
    <w:qFormat/>
    <w:uiPriority w:val="0"/>
    <w:pPr>
      <w:tabs>
        <w:tab w:val="left" w:pos="760"/>
        <w:tab w:val="left" w:pos="840"/>
      </w:tabs>
      <w:ind w:left="600" w:leftChars="400" w:hanging="200" w:hangingChars="200"/>
      <w:jc w:val="both"/>
    </w:pPr>
    <w:rPr>
      <w:rFonts w:ascii="宋体" w:hAnsi="Times New Roman" w:eastAsia="宋体" w:cs="Times New Roman"/>
      <w:sz w:val="21"/>
      <w:lang w:val="en-US" w:eastAsia="zh-CN" w:bidi="ar-SA"/>
    </w:rPr>
  </w:style>
  <w:style w:type="paragraph" w:customStyle="1" w:styleId="152">
    <w:name w:val="其他发布部门"/>
    <w:basedOn w:val="110"/>
    <w:qFormat/>
    <w:uiPriority w:val="0"/>
    <w:pPr>
      <w:spacing w:line="0" w:lineRule="atLeast"/>
    </w:pPr>
    <w:rPr>
      <w:rFonts w:ascii="黑体" w:eastAsia="黑体"/>
      <w:b w:val="0"/>
    </w:rPr>
  </w:style>
  <w:style w:type="paragraph" w:customStyle="1" w:styleId="153">
    <w:name w:val="图表脚注"/>
    <w:next w:val="104"/>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154">
    <w:name w:val="五级条标题"/>
    <w:basedOn w:val="148"/>
    <w:next w:val="104"/>
    <w:qFormat/>
    <w:uiPriority w:val="0"/>
    <w:pPr>
      <w:outlineLvl w:val="6"/>
    </w:pPr>
  </w:style>
  <w:style w:type="paragraph" w:customStyle="1" w:styleId="155">
    <w:name w:val="附录标识"/>
    <w:basedOn w:val="118"/>
    <w:qFormat/>
    <w:uiPriority w:val="0"/>
    <w:pPr>
      <w:tabs>
        <w:tab w:val="left" w:pos="360"/>
        <w:tab w:val="left" w:pos="6405"/>
      </w:tabs>
      <w:spacing w:after="200"/>
    </w:pPr>
    <w:rPr>
      <w:sz w:val="21"/>
    </w:rPr>
  </w:style>
  <w:style w:type="paragraph" w:customStyle="1" w:styleId="156">
    <w:name w:val="列项——（一级）"/>
    <w:qFormat/>
    <w:uiPriority w:val="0"/>
    <w:pPr>
      <w:widowControl w:val="0"/>
      <w:tabs>
        <w:tab w:val="left" w:pos="360"/>
        <w:tab w:val="left" w:pos="854"/>
      </w:tabs>
      <w:ind w:left="200" w:leftChars="200" w:hanging="200" w:hangingChars="200"/>
      <w:jc w:val="both"/>
    </w:pPr>
    <w:rPr>
      <w:rFonts w:ascii="宋体" w:hAnsi="Times New Roman" w:eastAsia="宋体" w:cs="Times New Roman"/>
      <w:sz w:val="21"/>
      <w:lang w:val="en-US" w:eastAsia="zh-CN" w:bidi="ar-SA"/>
    </w:rPr>
  </w:style>
  <w:style w:type="paragraph" w:customStyle="1" w:styleId="157">
    <w:name w:val="附录五级条标题"/>
    <w:basedOn w:val="145"/>
    <w:next w:val="104"/>
    <w:qFormat/>
    <w:uiPriority w:val="0"/>
    <w:pPr>
      <w:tabs>
        <w:tab w:val="left" w:pos="2940"/>
        <w:tab w:val="clear" w:pos="2520"/>
      </w:tabs>
      <w:ind w:left="2940"/>
      <w:outlineLvl w:val="6"/>
    </w:pPr>
  </w:style>
  <w:style w:type="paragraph" w:customStyle="1" w:styleId="158">
    <w:name w:val="注×："/>
    <w:qFormat/>
    <w:uiPriority w:val="0"/>
    <w:pPr>
      <w:widowControl w:val="0"/>
      <w:tabs>
        <w:tab w:val="left" w:pos="630"/>
      </w:tabs>
      <w:autoSpaceDE w:val="0"/>
      <w:autoSpaceDN w:val="0"/>
      <w:ind w:left="900" w:hanging="500"/>
      <w:jc w:val="both"/>
    </w:pPr>
    <w:rPr>
      <w:rFonts w:ascii="宋体" w:hAnsi="Times New Roman" w:eastAsia="宋体" w:cs="Times New Roman"/>
      <w:sz w:val="18"/>
      <w:lang w:val="en-US" w:eastAsia="zh-CN" w:bidi="ar-SA"/>
    </w:rPr>
  </w:style>
  <w:style w:type="paragraph" w:customStyle="1" w:styleId="159">
    <w:name w:val="编号列项（三级）"/>
    <w:qFormat/>
    <w:uiPriority w:val="0"/>
    <w:pPr>
      <w:ind w:left="800" w:leftChars="600" w:hanging="200" w:hangingChars="200"/>
    </w:pPr>
    <w:rPr>
      <w:rFonts w:ascii="宋体" w:hAnsi="Times New Roman" w:eastAsia="宋体" w:cs="Times New Roman"/>
      <w:sz w:val="21"/>
      <w:lang w:val="en-US" w:eastAsia="zh-CN" w:bidi="ar-SA"/>
    </w:rPr>
  </w:style>
  <w:style w:type="paragraph" w:customStyle="1" w:styleId="160">
    <w:name w:val="列项◆（三级）"/>
    <w:qFormat/>
    <w:uiPriority w:val="0"/>
    <w:pPr>
      <w:tabs>
        <w:tab w:val="left" w:pos="760"/>
        <w:tab w:val="left" w:pos="960"/>
      </w:tabs>
      <w:ind w:left="800" w:leftChars="600" w:hanging="200" w:hangingChars="200"/>
    </w:pPr>
    <w:rPr>
      <w:rFonts w:ascii="宋体" w:hAnsi="Times New Roman" w:eastAsia="宋体" w:cs="Times New Roman"/>
      <w:sz w:val="21"/>
      <w:lang w:val="en-US" w:eastAsia="zh-CN" w:bidi="ar-SA"/>
    </w:rPr>
  </w:style>
  <w:style w:type="paragraph" w:customStyle="1" w:styleId="161">
    <w:name w:val="目次、标准名称标题"/>
    <w:basedOn w:val="118"/>
    <w:next w:val="104"/>
    <w:qFormat/>
    <w:uiPriority w:val="0"/>
    <w:pPr>
      <w:spacing w:line="460" w:lineRule="exact"/>
      <w:ind w:left="0" w:firstLine="0"/>
    </w:pPr>
  </w:style>
  <w:style w:type="paragraph" w:customStyle="1" w:styleId="162">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163">
    <w:name w:val="正文图标题"/>
    <w:next w:val="104"/>
    <w:qFormat/>
    <w:uiPriority w:val="0"/>
    <w:pPr>
      <w:jc w:val="center"/>
    </w:pPr>
    <w:rPr>
      <w:rFonts w:ascii="黑体" w:hAnsi="Times New Roman" w:eastAsia="黑体" w:cs="Times New Roman"/>
      <w:sz w:val="21"/>
      <w:lang w:val="en-US" w:eastAsia="zh-CN" w:bidi="ar-SA"/>
    </w:rPr>
  </w:style>
  <w:style w:type="paragraph" w:customStyle="1" w:styleId="164">
    <w:name w:val="标准"/>
    <w:basedOn w:val="1"/>
    <w:qFormat/>
    <w:uiPriority w:val="0"/>
    <w:pPr>
      <w:widowControl w:val="0"/>
      <w:adjustRightInd w:val="0"/>
      <w:spacing w:line="312" w:lineRule="atLeast"/>
      <w:jc w:val="center"/>
      <w:textAlignment w:val="baseline"/>
    </w:pPr>
    <w:rPr>
      <w:rFonts w:cs="Times New Roman"/>
      <w:kern w:val="0"/>
      <w:sz w:val="21"/>
      <w:szCs w:val="20"/>
      <w14:ligatures w14:val="none"/>
    </w:rPr>
  </w:style>
  <w:style w:type="character" w:customStyle="1" w:styleId="165">
    <w:name w:val="ordinary-span-edit2"/>
    <w:qFormat/>
    <w:uiPriority w:val="0"/>
  </w:style>
  <w:style w:type="paragraph" w:customStyle="1" w:styleId="166">
    <w:name w:val="1"/>
    <w:basedOn w:val="1"/>
    <w:next w:val="67"/>
    <w:qFormat/>
    <w:uiPriority w:val="34"/>
    <w:pPr>
      <w:widowControl w:val="0"/>
      <w:spacing w:line="240" w:lineRule="auto"/>
      <w:ind w:firstLine="420" w:firstLineChars="200"/>
    </w:pPr>
    <w:rPr>
      <w:rFonts w:cs="Times New Roman"/>
      <w:sz w:val="21"/>
      <w:szCs w:val="21"/>
      <w14:ligatures w14:val="none"/>
    </w:rPr>
  </w:style>
  <w:style w:type="table" w:customStyle="1" w:styleId="167">
    <w:name w:val="网格型1"/>
    <w:basedOn w:val="37"/>
    <w:qFormat/>
    <w:uiPriority w:val="59"/>
    <w:rPr>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8">
    <w:name w:val="Body text|1_"/>
    <w:link w:val="169"/>
    <w:qFormat/>
    <w:uiPriority w:val="0"/>
    <w:rPr>
      <w:rFonts w:ascii="宋体" w:hAnsi="宋体" w:cs="宋体"/>
      <w:lang w:val="zh-TW" w:eastAsia="zh-TW" w:bidi="zh-TW"/>
    </w:rPr>
  </w:style>
  <w:style w:type="paragraph" w:customStyle="1" w:styleId="169">
    <w:name w:val="Body text|1"/>
    <w:basedOn w:val="1"/>
    <w:link w:val="168"/>
    <w:qFormat/>
    <w:uiPriority w:val="0"/>
    <w:pPr>
      <w:widowControl w:val="0"/>
      <w:spacing w:after="80" w:line="334" w:lineRule="auto"/>
      <w:ind w:firstLine="400"/>
      <w:jc w:val="left"/>
    </w:pPr>
    <w:rPr>
      <w:rFonts w:ascii="宋体" w:hAnsi="宋体" w:cs="宋体"/>
      <w:lang w:val="zh-TW" w:eastAsia="zh-TW" w:bidi="zh-TW"/>
    </w:rPr>
  </w:style>
  <w:style w:type="character" w:customStyle="1" w:styleId="170">
    <w:name w:val="Body text|2_"/>
    <w:link w:val="171"/>
    <w:qFormat/>
    <w:uiPriority w:val="0"/>
  </w:style>
  <w:style w:type="paragraph" w:customStyle="1" w:styleId="171">
    <w:name w:val="Body text|2"/>
    <w:basedOn w:val="1"/>
    <w:link w:val="170"/>
    <w:qFormat/>
    <w:uiPriority w:val="0"/>
    <w:pPr>
      <w:widowControl w:val="0"/>
      <w:spacing w:line="338" w:lineRule="auto"/>
      <w:ind w:firstLine="240"/>
      <w:jc w:val="left"/>
    </w:pPr>
  </w:style>
  <w:style w:type="character" w:customStyle="1" w:styleId="172">
    <w:name w:val="Other|1_"/>
    <w:link w:val="173"/>
    <w:qFormat/>
    <w:uiPriority w:val="0"/>
    <w:rPr>
      <w:rFonts w:ascii="宋体" w:hAnsi="宋体" w:cs="宋体"/>
    </w:rPr>
  </w:style>
  <w:style w:type="paragraph" w:customStyle="1" w:styleId="173">
    <w:name w:val="Other|1"/>
    <w:basedOn w:val="1"/>
    <w:link w:val="172"/>
    <w:qFormat/>
    <w:uiPriority w:val="0"/>
    <w:pPr>
      <w:widowControl w:val="0"/>
      <w:spacing w:after="80" w:line="310" w:lineRule="auto"/>
      <w:ind w:firstLine="400"/>
      <w:jc w:val="left"/>
    </w:pPr>
    <w:rPr>
      <w:rFonts w:ascii="宋体" w:hAnsi="宋体" w:cs="宋体"/>
    </w:rPr>
  </w:style>
  <w:style w:type="character" w:customStyle="1" w:styleId="174">
    <w:name w:val="Body text|7_"/>
    <w:link w:val="175"/>
    <w:qFormat/>
    <w:uiPriority w:val="0"/>
    <w:rPr>
      <w:rFonts w:ascii="宋体" w:hAnsi="宋体" w:cs="宋体"/>
      <w:sz w:val="15"/>
      <w:szCs w:val="15"/>
      <w:lang w:val="zh-TW" w:eastAsia="zh-TW" w:bidi="zh-TW"/>
    </w:rPr>
  </w:style>
  <w:style w:type="paragraph" w:customStyle="1" w:styleId="175">
    <w:name w:val="Body text|7"/>
    <w:basedOn w:val="1"/>
    <w:link w:val="174"/>
    <w:qFormat/>
    <w:uiPriority w:val="0"/>
    <w:pPr>
      <w:widowControl w:val="0"/>
      <w:spacing w:line="240" w:lineRule="auto"/>
      <w:jc w:val="center"/>
    </w:pPr>
    <w:rPr>
      <w:rFonts w:ascii="宋体" w:hAnsi="宋体" w:cs="宋体"/>
      <w:sz w:val="15"/>
      <w:szCs w:val="15"/>
      <w:lang w:val="zh-TW" w:eastAsia="zh-TW" w:bidi="zh-TW"/>
    </w:rPr>
  </w:style>
  <w:style w:type="character" w:customStyle="1" w:styleId="176">
    <w:name w:val="Header or footer|1_"/>
    <w:link w:val="177"/>
    <w:qFormat/>
    <w:uiPriority w:val="0"/>
  </w:style>
  <w:style w:type="paragraph" w:customStyle="1" w:styleId="177">
    <w:name w:val="Header or footer|1"/>
    <w:basedOn w:val="1"/>
    <w:link w:val="176"/>
    <w:qFormat/>
    <w:uiPriority w:val="0"/>
    <w:pPr>
      <w:widowControl w:val="0"/>
      <w:spacing w:line="240" w:lineRule="auto"/>
      <w:jc w:val="left"/>
    </w:pPr>
  </w:style>
  <w:style w:type="character" w:customStyle="1" w:styleId="178">
    <w:name w:val="Body text|4_"/>
    <w:link w:val="179"/>
    <w:qFormat/>
    <w:uiPriority w:val="0"/>
    <w:rPr>
      <w:rFonts w:ascii="宋体" w:hAnsi="宋体" w:cs="宋体"/>
      <w:sz w:val="17"/>
      <w:szCs w:val="17"/>
      <w:lang w:val="zh-TW" w:eastAsia="zh-TW" w:bidi="zh-TW"/>
    </w:rPr>
  </w:style>
  <w:style w:type="paragraph" w:customStyle="1" w:styleId="179">
    <w:name w:val="Body text|4"/>
    <w:basedOn w:val="1"/>
    <w:link w:val="178"/>
    <w:qFormat/>
    <w:uiPriority w:val="0"/>
    <w:pPr>
      <w:widowControl w:val="0"/>
      <w:spacing w:after="80" w:line="240" w:lineRule="auto"/>
      <w:ind w:firstLine="660"/>
      <w:jc w:val="left"/>
    </w:pPr>
    <w:rPr>
      <w:rFonts w:ascii="宋体" w:hAnsi="宋体" w:cs="宋体"/>
      <w:sz w:val="17"/>
      <w:szCs w:val="17"/>
      <w:lang w:val="zh-TW" w:eastAsia="zh-TW" w:bidi="zh-TW"/>
    </w:rPr>
  </w:style>
  <w:style w:type="character" w:customStyle="1" w:styleId="180">
    <w:name w:val="Body text|3_"/>
    <w:link w:val="181"/>
    <w:qFormat/>
    <w:uiPriority w:val="0"/>
    <w:rPr>
      <w:rFonts w:ascii="宋体" w:hAnsi="宋体" w:cs="宋体"/>
      <w:sz w:val="26"/>
      <w:szCs w:val="26"/>
      <w:lang w:val="zh-TW" w:eastAsia="zh-TW" w:bidi="zh-TW"/>
    </w:rPr>
  </w:style>
  <w:style w:type="paragraph" w:customStyle="1" w:styleId="181">
    <w:name w:val="Body text|3"/>
    <w:basedOn w:val="1"/>
    <w:link w:val="180"/>
    <w:qFormat/>
    <w:uiPriority w:val="0"/>
    <w:pPr>
      <w:widowControl w:val="0"/>
      <w:spacing w:after="460" w:line="240" w:lineRule="auto"/>
      <w:ind w:firstLine="20"/>
      <w:jc w:val="left"/>
    </w:pPr>
    <w:rPr>
      <w:rFonts w:ascii="宋体" w:hAnsi="宋体" w:cs="宋体"/>
      <w:sz w:val="26"/>
      <w:szCs w:val="26"/>
      <w:lang w:val="zh-TW" w:eastAsia="zh-TW" w:bidi="zh-TW"/>
    </w:rPr>
  </w:style>
  <w:style w:type="paragraph" w:customStyle="1" w:styleId="182">
    <w:name w:val="修订1"/>
    <w:hidden/>
    <w:unhideWhenUsed/>
    <w:qFormat/>
    <w:uiPriority w:val="99"/>
    <w:rPr>
      <w:rFonts w:ascii="Times New Roman" w:hAnsi="Times New Roman" w:eastAsia="宋体" w:cs="Times New Roman"/>
      <w:kern w:val="2"/>
      <w:sz w:val="21"/>
      <w:szCs w:val="24"/>
      <w:lang w:val="en-US" w:eastAsia="zh-CN" w:bidi="ar-SA"/>
    </w:rPr>
  </w:style>
  <w:style w:type="character" w:customStyle="1" w:styleId="183">
    <w:name w:val="批注主题 字符"/>
    <w:basedOn w:val="81"/>
    <w:link w:val="36"/>
    <w:semiHidden/>
    <w:qFormat/>
    <w:uiPriority w:val="99"/>
    <w:rPr>
      <w:rFonts w:cs="Times New Roman"/>
      <w:b/>
      <w:bCs/>
      <w:sz w:val="21"/>
      <w:szCs w:val="24"/>
      <w14:ligatures w14:val="none"/>
    </w:rPr>
  </w:style>
  <w:style w:type="character" w:customStyle="1" w:styleId="184">
    <w:name w:val="long-date"/>
    <w:qFormat/>
    <w:uiPriority w:val="0"/>
  </w:style>
  <w:style w:type="paragraph" w:customStyle="1" w:styleId="185">
    <w:name w:val="TOC 标题1"/>
    <w:basedOn w:val="2"/>
    <w:next w:val="1"/>
    <w:unhideWhenUsed/>
    <w:qFormat/>
    <w:uiPriority w:val="39"/>
    <w:pPr>
      <w:spacing w:before="240" w:after="0" w:line="259" w:lineRule="auto"/>
      <w:jc w:val="left"/>
      <w:outlineLvl w:val="9"/>
    </w:pPr>
    <w:rPr>
      <w:kern w:val="0"/>
      <w:sz w:val="32"/>
      <w:szCs w:val="32"/>
      <w14:ligatures w14:val="none"/>
    </w:rPr>
  </w:style>
  <w:style w:type="character" w:customStyle="1" w:styleId="186">
    <w:name w:val="font31"/>
    <w:basedOn w:val="39"/>
    <w:qFormat/>
    <w:uiPriority w:val="0"/>
    <w:rPr>
      <w:rFonts w:hint="eastAsia" w:ascii="宋体" w:hAnsi="宋体" w:eastAsia="宋体" w:cs="宋体"/>
      <w:color w:val="000000"/>
      <w:sz w:val="16"/>
      <w:szCs w:val="16"/>
      <w:u w:val="none"/>
    </w:rPr>
  </w:style>
  <w:style w:type="character" w:customStyle="1" w:styleId="187">
    <w:name w:val="font41"/>
    <w:basedOn w:val="39"/>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1" Type="http://schemas.microsoft.com/office/2011/relationships/people" Target="people.xml"/><Relationship Id="rId30" Type="http://schemas.openxmlformats.org/officeDocument/2006/relationships/fontTable" Target="fontTable.xml"/><Relationship Id="rId3" Type="http://schemas.openxmlformats.org/officeDocument/2006/relationships/comments" Target="comments.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1.png"/><Relationship Id="rId26" Type="http://schemas.openxmlformats.org/officeDocument/2006/relationships/theme" Target="theme/theme1.xml"/><Relationship Id="rId25" Type="http://schemas.openxmlformats.org/officeDocument/2006/relationships/footer" Target="footer10.xml"/><Relationship Id="rId24" Type="http://schemas.openxmlformats.org/officeDocument/2006/relationships/header" Target="header9.xml"/><Relationship Id="rId23" Type="http://schemas.openxmlformats.org/officeDocument/2006/relationships/footer" Target="footer9.xml"/><Relationship Id="rId22" Type="http://schemas.openxmlformats.org/officeDocument/2006/relationships/header" Target="header8.xml"/><Relationship Id="rId21" Type="http://schemas.openxmlformats.org/officeDocument/2006/relationships/footer" Target="footer8.xml"/><Relationship Id="rId20" Type="http://schemas.openxmlformats.org/officeDocument/2006/relationships/footer" Target="footer7.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6.xml"/><Relationship Id="rId17" Type="http://schemas.openxmlformats.org/officeDocument/2006/relationships/footer" Target="footer5.xml"/><Relationship Id="rId16" Type="http://schemas.openxmlformats.org/officeDocument/2006/relationships/footer" Target="footer4.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header" Target="header4.xml"/><Relationship Id="rId12" Type="http://schemas.openxmlformats.org/officeDocument/2006/relationships/footer" Target="footer3.xml"/><Relationship Id="rId11" Type="http://schemas.openxmlformats.org/officeDocument/2006/relationships/footer" Target="footer2.xml"/><Relationship Id="rId10" Type="http://schemas.openxmlformats.org/officeDocument/2006/relationships/footer" Target="footer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15</Pages>
  <Words>6498</Words>
  <Characters>7742</Characters>
  <Lines>113</Lines>
  <Paragraphs>32</Paragraphs>
  <TotalTime>21</TotalTime>
  <ScaleCrop>false</ScaleCrop>
  <LinksUpToDate>false</LinksUpToDate>
  <CharactersWithSpaces>8203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2025-09-01T18:05:00Z</dcterms:created>
  <dc:creator>丁艳蓉</dc:creator>
  <cp:lastModifiedBy>Yang-LW</cp:lastModifiedBy>
  <cp:lastPrinted>2026-07-12T06:26:00Z</cp:lastPrinted>
  <dcterms:modified xsi:type="dcterms:W3CDTF">2026-08-17T01:44:40Z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eyJoZGlkIjoiNDExNDM2ZjcyNjU5NDg0OWI3ZDBhYjRhZjQyMGU0NDYiLCJ1c2VySWQiOiIxNzYzODI3ODk4In0=</vt:lpwstr>
  </property>
  <property fmtid="{D5CDD505-2E9C-101B-9397-08002B2CF9AE}" pid="3" name="KSOProductBuildVer">
    <vt:lpwstr>2052-12.1.0.28043</vt:lpwstr>
  </property>
  <property fmtid="{D5CDD505-2E9C-101B-9397-08002B2CF9AE}" pid="4" name="ICV">
    <vt:lpwstr>7EBB36D46E5B430D9D95BA350067BA5E_13</vt:lpwstr>
  </property>
</Properties>
</file>