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F33871">
      <w:pPr>
        <w:spacing w:before="4" w:line="190" w:lineRule="auto"/>
        <w:ind w:left="6996"/>
        <w:rPr>
          <w:rFonts w:ascii="Times New Roman" w:hAnsi="Times New Roman" w:eastAsia="Times New Roman" w:cs="Times New Roman"/>
          <w:sz w:val="95"/>
          <w:szCs w:val="95"/>
        </w:rPr>
      </w:pPr>
      <w:r>
        <w:rPr>
          <w:color w:val="auto"/>
        </w:rPr>
        <mc:AlternateContent>
          <mc:Choice Requires="wps">
            <w:drawing>
              <wp:anchor distT="0" distB="0" distL="114300" distR="114300" simplePos="0" relativeHeight="251662336" behindDoc="0" locked="1" layoutInCell="1" allowOverlap="1">
                <wp:simplePos x="0" y="0"/>
                <wp:positionH relativeFrom="margin">
                  <wp:posOffset>1270</wp:posOffset>
                </wp:positionH>
                <wp:positionV relativeFrom="margin">
                  <wp:posOffset>-78105</wp:posOffset>
                </wp:positionV>
                <wp:extent cx="2540000" cy="657860"/>
                <wp:effectExtent l="0" t="0" r="0" b="2540"/>
                <wp:wrapNone/>
                <wp:docPr id="3" name="fmFrame1"/>
                <wp:cNvGraphicFramePr/>
                <a:graphic xmlns:a="http://schemas.openxmlformats.org/drawingml/2006/main">
                  <a:graphicData uri="http://schemas.microsoft.com/office/word/2010/wordprocessingShape">
                    <wps:wsp>
                      <wps:cNvSpPr txBox="1">
                        <a:spLocks noChangeArrowheads="1"/>
                      </wps:cNvSpPr>
                      <wps:spPr bwMode="auto">
                        <a:xfrm>
                          <a:off x="0" y="0"/>
                          <a:ext cx="2540000" cy="657860"/>
                        </a:xfrm>
                        <a:prstGeom prst="rect">
                          <a:avLst/>
                        </a:prstGeom>
                        <a:solidFill>
                          <a:srgbClr val="FFFFFF"/>
                        </a:solidFill>
                        <a:ln>
                          <a:noFill/>
                        </a:ln>
                      </wps:spPr>
                      <wps:txbx>
                        <w:txbxContent>
                          <w:p w14:paraId="5FF22F23">
                            <w:pPr>
                              <w:pStyle w:val="8"/>
                              <w:rPr>
                                <w:rFonts w:ascii="黑体" w:hAnsi="黑体"/>
                              </w:rPr>
                            </w:pPr>
                            <w:r>
                              <w:rPr>
                                <w:rFonts w:hint="default" w:ascii="Times New Roman" w:hAnsi="Times New Roman" w:cs="Times New Roman"/>
                                <w:b/>
                              </w:rPr>
                              <w:t>ICS</w:t>
                            </w:r>
                            <w:r>
                              <w:rPr>
                                <w:rFonts w:hint="default" w:ascii="Times New Roman" w:hAnsi="Times New Roman" w:cs="Times New Roman"/>
                              </w:rPr>
                              <w:t xml:space="preserve"> </w:t>
                            </w:r>
                            <w:r>
                              <w:rPr>
                                <w:rFonts w:hint="eastAsia" w:ascii="黑体" w:hAnsi="黑体"/>
                              </w:rPr>
                              <w:t>77.150.99</w:t>
                            </w:r>
                          </w:p>
                          <w:p w14:paraId="0EAA5A03">
                            <w:pPr>
                              <w:pStyle w:val="8"/>
                              <w:rPr>
                                <w:rFonts w:ascii="黑体" w:hAnsi="黑体"/>
                              </w:rPr>
                            </w:pPr>
                            <w:r>
                              <w:rPr>
                                <w:rFonts w:hint="default" w:ascii="Times New Roman" w:hAnsi="Times New Roman" w:cs="Times New Roman"/>
                                <w:b/>
                              </w:rPr>
                              <w:t>CCS H</w:t>
                            </w:r>
                            <w:r>
                              <w:rPr>
                                <w:rFonts w:ascii="黑体" w:hAnsi="黑体"/>
                                <w:b/>
                              </w:rPr>
                              <w:t xml:space="preserve"> </w:t>
                            </w:r>
                            <w:r>
                              <w:rPr>
                                <w:rFonts w:hint="eastAsia" w:ascii="黑体" w:hAnsi="黑体"/>
                              </w:rPr>
                              <w:t>68</w:t>
                            </w:r>
                          </w:p>
                        </w:txbxContent>
                      </wps:txbx>
                      <wps:bodyPr rot="0" vert="horz" wrap="square" lIns="0" tIns="0" rIns="0" bIns="0" anchor="t" anchorCtr="0" upright="1">
                        <a:noAutofit/>
                      </wps:bodyPr>
                    </wps:wsp>
                  </a:graphicData>
                </a:graphic>
              </wp:anchor>
            </w:drawing>
          </mc:Choice>
          <mc:Fallback>
            <w:pict>
              <v:shape id="fmFrame1" o:spid="_x0000_s1026" o:spt="202" type="#_x0000_t202" style="position:absolute;left:0pt;margin-left:0.1pt;margin-top:-6.15pt;height:51.8pt;width:200pt;mso-position-horizontal-relative:margin;mso-position-vertical-relative:margin;z-index:251662336;mso-width-relative:page;mso-height-relative:page;" fillcolor="#FFFFFF" filled="t" stroked="f" coordsize="21600,21600" o:gfxdata="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UNXyM1QAAAAcBAAAPAAAAAAAAAAEAIAAA&#10;ACIAAABkcnMvZG93bnJldi54bWxQSwECFAAUAAAACACHTuJAe+0+fA8CAAArBAAADgAAAAAAAAAB&#10;ACAAAAAkAQAAZHJzL2Uyb0RvYy54bWxQSwUGAAAAAAYABgBZAQAApQUAAAAA&#10;">
                <v:fill on="t" focussize="0,0"/>
                <v:stroke on="f"/>
                <v:imagedata o:title=""/>
                <o:lock v:ext="edit" aspectratio="f"/>
                <v:textbox inset="0mm,0mm,0mm,0mm">
                  <w:txbxContent>
                    <w:p w14:paraId="5FF22F23">
                      <w:pPr>
                        <w:pStyle w:val="8"/>
                        <w:rPr>
                          <w:rFonts w:ascii="黑体" w:hAnsi="黑体"/>
                        </w:rPr>
                      </w:pPr>
                      <w:r>
                        <w:rPr>
                          <w:rFonts w:hint="default" w:ascii="Times New Roman" w:hAnsi="Times New Roman" w:cs="Times New Roman"/>
                          <w:b/>
                        </w:rPr>
                        <w:t>ICS</w:t>
                      </w:r>
                      <w:r>
                        <w:rPr>
                          <w:rFonts w:hint="default" w:ascii="Times New Roman" w:hAnsi="Times New Roman" w:cs="Times New Roman"/>
                        </w:rPr>
                        <w:t xml:space="preserve"> </w:t>
                      </w:r>
                      <w:r>
                        <w:rPr>
                          <w:rFonts w:hint="eastAsia" w:ascii="黑体" w:hAnsi="黑体"/>
                        </w:rPr>
                        <w:t>77.150.99</w:t>
                      </w:r>
                    </w:p>
                    <w:p w14:paraId="0EAA5A03">
                      <w:pPr>
                        <w:pStyle w:val="8"/>
                        <w:rPr>
                          <w:rFonts w:ascii="黑体" w:hAnsi="黑体"/>
                        </w:rPr>
                      </w:pPr>
                      <w:r>
                        <w:rPr>
                          <w:rFonts w:hint="default" w:ascii="Times New Roman" w:hAnsi="Times New Roman" w:cs="Times New Roman"/>
                          <w:b/>
                        </w:rPr>
                        <w:t>CCS H</w:t>
                      </w:r>
                      <w:r>
                        <w:rPr>
                          <w:rFonts w:ascii="黑体" w:hAnsi="黑体"/>
                          <w:b/>
                        </w:rPr>
                        <w:t xml:space="preserve"> </w:t>
                      </w:r>
                      <w:r>
                        <w:rPr>
                          <w:rFonts w:hint="eastAsia" w:ascii="黑体" w:hAnsi="黑体"/>
                        </w:rPr>
                        <w:t>68</w:t>
                      </w:r>
                    </w:p>
                  </w:txbxContent>
                </v:textbox>
                <w10:anchorlock/>
              </v:shape>
            </w:pict>
          </mc:Fallback>
        </mc:AlternateContent>
      </w:r>
      <w:r>
        <w:rPr>
          <w:rFonts w:ascii="Times New Roman" w:hAnsi="Times New Roman" w:eastAsia="Times New Roman" w:cs="Times New Roman"/>
          <w:b/>
          <w:bCs/>
          <w:spacing w:val="124"/>
          <w:w w:val="150"/>
          <w:sz w:val="95"/>
          <w:szCs w:val="95"/>
        </w:rPr>
        <w:t>YS</w:t>
      </w:r>
    </w:p>
    <w:p w14:paraId="7277274F">
      <w:pPr>
        <w:pStyle w:val="2"/>
        <w:spacing w:before="288" w:line="226" w:lineRule="auto"/>
        <w:jc w:val="right"/>
        <w:rPr>
          <w:sz w:val="47"/>
          <w:szCs w:val="47"/>
        </w:rPr>
      </w:pPr>
      <w:r>
        <w:rPr>
          <w:spacing w:val="-18"/>
          <w:sz w:val="47"/>
          <w:szCs w:val="47"/>
        </w:rPr>
        <w:t>中 华 人 民</w:t>
      </w:r>
      <w:r>
        <w:rPr>
          <w:spacing w:val="-19"/>
          <w:sz w:val="47"/>
          <w:szCs w:val="47"/>
        </w:rPr>
        <w:t xml:space="preserve"> </w:t>
      </w:r>
      <w:r>
        <w:rPr>
          <w:spacing w:val="-18"/>
          <w:sz w:val="47"/>
          <w:szCs w:val="47"/>
        </w:rPr>
        <w:t>共</w:t>
      </w:r>
      <w:r>
        <w:rPr>
          <w:spacing w:val="-35"/>
          <w:sz w:val="47"/>
          <w:szCs w:val="47"/>
        </w:rPr>
        <w:t xml:space="preserve"> </w:t>
      </w:r>
      <w:r>
        <w:rPr>
          <w:spacing w:val="-18"/>
          <w:sz w:val="47"/>
          <w:szCs w:val="47"/>
        </w:rPr>
        <w:t>和 国</w:t>
      </w:r>
      <w:r>
        <w:rPr>
          <w:spacing w:val="-34"/>
          <w:sz w:val="47"/>
          <w:szCs w:val="47"/>
        </w:rPr>
        <w:t xml:space="preserve"> </w:t>
      </w:r>
      <w:r>
        <w:rPr>
          <w:spacing w:val="-18"/>
          <w:sz w:val="47"/>
          <w:szCs w:val="47"/>
        </w:rPr>
        <w:t>有</w:t>
      </w:r>
      <w:r>
        <w:rPr>
          <w:spacing w:val="-30"/>
          <w:sz w:val="47"/>
          <w:szCs w:val="47"/>
        </w:rPr>
        <w:t xml:space="preserve"> </w:t>
      </w:r>
      <w:r>
        <w:rPr>
          <w:spacing w:val="-18"/>
          <w:sz w:val="47"/>
          <w:szCs w:val="47"/>
        </w:rPr>
        <w:t>色</w:t>
      </w:r>
      <w:r>
        <w:rPr>
          <w:spacing w:val="-37"/>
          <w:sz w:val="47"/>
          <w:szCs w:val="47"/>
        </w:rPr>
        <w:t xml:space="preserve"> </w:t>
      </w:r>
      <w:r>
        <w:rPr>
          <w:spacing w:val="-18"/>
          <w:sz w:val="47"/>
          <w:szCs w:val="47"/>
        </w:rPr>
        <w:t>金</w:t>
      </w:r>
      <w:r>
        <w:rPr>
          <w:spacing w:val="-37"/>
          <w:sz w:val="47"/>
          <w:szCs w:val="47"/>
        </w:rPr>
        <w:t xml:space="preserve"> </w:t>
      </w:r>
      <w:r>
        <w:rPr>
          <w:spacing w:val="-18"/>
          <w:sz w:val="47"/>
          <w:szCs w:val="47"/>
        </w:rPr>
        <w:t>属</w:t>
      </w:r>
      <w:r>
        <w:rPr>
          <w:spacing w:val="-36"/>
          <w:sz w:val="47"/>
          <w:szCs w:val="47"/>
        </w:rPr>
        <w:t xml:space="preserve"> </w:t>
      </w:r>
      <w:r>
        <w:rPr>
          <w:spacing w:val="-18"/>
          <w:sz w:val="47"/>
          <w:szCs w:val="47"/>
        </w:rPr>
        <w:t>行</w:t>
      </w:r>
      <w:r>
        <w:rPr>
          <w:spacing w:val="-30"/>
          <w:sz w:val="47"/>
          <w:szCs w:val="47"/>
        </w:rPr>
        <w:t xml:space="preserve"> </w:t>
      </w:r>
      <w:r>
        <w:rPr>
          <w:spacing w:val="-18"/>
          <w:sz w:val="47"/>
          <w:szCs w:val="47"/>
        </w:rPr>
        <w:t>业</w:t>
      </w:r>
      <w:r>
        <w:rPr>
          <w:spacing w:val="-46"/>
          <w:sz w:val="47"/>
          <w:szCs w:val="47"/>
        </w:rPr>
        <w:t xml:space="preserve"> </w:t>
      </w:r>
      <w:r>
        <w:rPr>
          <w:spacing w:val="-18"/>
          <w:sz w:val="47"/>
          <w:szCs w:val="47"/>
        </w:rPr>
        <w:t>标</w:t>
      </w:r>
      <w:r>
        <w:rPr>
          <w:spacing w:val="-34"/>
          <w:sz w:val="47"/>
          <w:szCs w:val="47"/>
        </w:rPr>
        <w:t xml:space="preserve"> </w:t>
      </w:r>
      <w:r>
        <w:rPr>
          <w:spacing w:val="-18"/>
          <w:sz w:val="47"/>
          <w:szCs w:val="47"/>
        </w:rPr>
        <w:t>准</w:t>
      </w:r>
    </w:p>
    <w:p w14:paraId="7FC4B478">
      <w:pPr>
        <w:pStyle w:val="2"/>
        <w:spacing w:before="319" w:line="239" w:lineRule="auto"/>
        <w:ind w:left="7120"/>
      </w:pPr>
      <w:r>
        <w:rPr>
          <w:rFonts w:ascii="Times New Roman" w:hAnsi="Times New Roman" w:eastAsia="Times New Roman" w:cs="Times New Roman"/>
          <w:spacing w:val="-1"/>
        </w:rPr>
        <w:t xml:space="preserve">YS/T </w:t>
      </w:r>
      <w:r>
        <w:rPr>
          <w:spacing w:val="-1"/>
        </w:rPr>
        <w:t>XXXXX—202X</w:t>
      </w:r>
    </w:p>
    <w:p w14:paraId="3DB56C1D">
      <w:pPr>
        <w:spacing w:line="244" w:lineRule="auto"/>
        <w:rPr>
          <w:rFonts w:ascii="Arial"/>
          <w:sz w:val="21"/>
        </w:rPr>
      </w:pPr>
    </w:p>
    <w:p w14:paraId="3D4D1AD6">
      <w:pPr>
        <w:spacing w:line="244" w:lineRule="auto"/>
        <w:rPr>
          <w:rFonts w:ascii="Arial"/>
          <w:sz w:val="21"/>
        </w:rPr>
      </w:pPr>
    </w:p>
    <w:p w14:paraId="28BE5196">
      <w:pPr>
        <w:spacing w:line="244" w:lineRule="auto"/>
        <w:rPr>
          <w:rFonts w:ascii="Arial"/>
          <w:sz w:val="21"/>
        </w:rPr>
      </w:pPr>
      <w:r>
        <w:drawing>
          <wp:anchor distT="0" distB="0" distL="0" distR="0" simplePos="0" relativeHeight="251660288" behindDoc="0" locked="0" layoutInCell="1" allowOverlap="1">
            <wp:simplePos x="0" y="0"/>
            <wp:positionH relativeFrom="column">
              <wp:posOffset>635</wp:posOffset>
            </wp:positionH>
            <wp:positionV relativeFrom="paragraph">
              <wp:posOffset>90170</wp:posOffset>
            </wp:positionV>
            <wp:extent cx="6120130" cy="952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6"/>
                    <a:stretch>
                      <a:fillRect/>
                    </a:stretch>
                  </pic:blipFill>
                  <pic:spPr>
                    <a:xfrm>
                      <a:off x="0" y="0"/>
                      <a:ext cx="6120129" cy="9525"/>
                    </a:xfrm>
                    <a:prstGeom prst="rect">
                      <a:avLst/>
                    </a:prstGeom>
                  </pic:spPr>
                </pic:pic>
              </a:graphicData>
            </a:graphic>
          </wp:anchor>
        </w:drawing>
      </w:r>
    </w:p>
    <w:p w14:paraId="7FD2166D">
      <w:pPr>
        <w:spacing w:line="244" w:lineRule="auto"/>
        <w:rPr>
          <w:rFonts w:ascii="Arial"/>
          <w:sz w:val="21"/>
        </w:rPr>
      </w:pPr>
    </w:p>
    <w:p w14:paraId="150A54CB">
      <w:pPr>
        <w:spacing w:line="244" w:lineRule="auto"/>
        <w:rPr>
          <w:rFonts w:ascii="Arial"/>
          <w:sz w:val="21"/>
        </w:rPr>
      </w:pPr>
    </w:p>
    <w:p w14:paraId="4FE0A827">
      <w:pPr>
        <w:spacing w:line="245" w:lineRule="auto"/>
        <w:rPr>
          <w:rFonts w:ascii="Arial"/>
          <w:sz w:val="21"/>
        </w:rPr>
      </w:pPr>
    </w:p>
    <w:p w14:paraId="627CA774">
      <w:pPr>
        <w:spacing w:line="245" w:lineRule="auto"/>
        <w:rPr>
          <w:rFonts w:ascii="Arial"/>
          <w:sz w:val="21"/>
        </w:rPr>
      </w:pPr>
    </w:p>
    <w:p w14:paraId="414EE7DA">
      <w:pPr>
        <w:spacing w:line="245" w:lineRule="auto"/>
        <w:rPr>
          <w:rFonts w:ascii="Arial"/>
          <w:sz w:val="21"/>
        </w:rPr>
      </w:pPr>
    </w:p>
    <w:p w14:paraId="13985607">
      <w:pPr>
        <w:spacing w:line="245" w:lineRule="auto"/>
        <w:rPr>
          <w:rFonts w:ascii="Arial"/>
          <w:sz w:val="21"/>
        </w:rPr>
      </w:pPr>
    </w:p>
    <w:p w14:paraId="030003A8">
      <w:pPr>
        <w:spacing w:line="245" w:lineRule="auto"/>
        <w:rPr>
          <w:rFonts w:ascii="Arial"/>
          <w:sz w:val="21"/>
        </w:rPr>
      </w:pPr>
    </w:p>
    <w:p w14:paraId="5DD68225">
      <w:pPr>
        <w:spacing w:line="245" w:lineRule="auto"/>
        <w:rPr>
          <w:rFonts w:ascii="Arial"/>
          <w:sz w:val="21"/>
        </w:rPr>
      </w:pPr>
    </w:p>
    <w:p w14:paraId="359DB560">
      <w:pPr>
        <w:pStyle w:val="2"/>
        <w:spacing w:before="169" w:line="221" w:lineRule="auto"/>
        <w:ind w:left="3774"/>
        <w:rPr>
          <w:sz w:val="52"/>
          <w:szCs w:val="52"/>
        </w:rPr>
      </w:pPr>
      <w:r>
        <w:rPr>
          <w:rFonts w:hint="eastAsia"/>
          <w:spacing w:val="-6"/>
          <w:sz w:val="52"/>
          <w:szCs w:val="52"/>
          <w:lang w:val="en-US" w:eastAsia="zh-CN"/>
        </w:rPr>
        <w:t>乙酸</w:t>
      </w:r>
      <w:r>
        <w:rPr>
          <w:spacing w:val="-6"/>
          <w:sz w:val="52"/>
          <w:szCs w:val="52"/>
        </w:rPr>
        <w:t>银</w:t>
      </w:r>
    </w:p>
    <w:p w14:paraId="6553F6D4">
      <w:pPr>
        <w:spacing w:line="367" w:lineRule="auto"/>
        <w:rPr>
          <w:rFonts w:ascii="Arial"/>
          <w:sz w:val="21"/>
        </w:rPr>
      </w:pPr>
    </w:p>
    <w:p w14:paraId="4606EA4D">
      <w:pPr>
        <w:spacing w:before="81" w:line="192" w:lineRule="auto"/>
        <w:ind w:left="3641"/>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 xml:space="preserve">Silver </w:t>
      </w:r>
      <w:r>
        <w:rPr>
          <w:rFonts w:hint="eastAsia" w:ascii="Times New Roman" w:hAnsi="Times New Roman" w:eastAsia="Times New Roman" w:cs="Times New Roman"/>
          <w:spacing w:val="-2"/>
          <w:sz w:val="28"/>
          <w:szCs w:val="28"/>
        </w:rPr>
        <w:t>acetate</w:t>
      </w:r>
    </w:p>
    <w:p w14:paraId="28E8A4C3">
      <w:pPr>
        <w:spacing w:line="265" w:lineRule="auto"/>
        <w:rPr>
          <w:rFonts w:ascii="Arial"/>
          <w:sz w:val="21"/>
        </w:rPr>
      </w:pPr>
    </w:p>
    <w:p w14:paraId="21C218BC">
      <w:pPr>
        <w:spacing w:line="265" w:lineRule="auto"/>
        <w:rPr>
          <w:rFonts w:ascii="Arial"/>
          <w:sz w:val="21"/>
        </w:rPr>
      </w:pPr>
    </w:p>
    <w:p w14:paraId="511848CC">
      <w:pPr>
        <w:spacing w:line="265" w:lineRule="auto"/>
        <w:rPr>
          <w:rFonts w:ascii="Arial"/>
          <w:sz w:val="21"/>
        </w:rPr>
      </w:pPr>
    </w:p>
    <w:p w14:paraId="5C8A5B2E">
      <w:pPr>
        <w:spacing w:line="266" w:lineRule="auto"/>
        <w:rPr>
          <w:rFonts w:ascii="Arial"/>
          <w:sz w:val="21"/>
        </w:rPr>
      </w:pPr>
    </w:p>
    <w:p w14:paraId="2C5AA0F5">
      <w:pPr>
        <w:spacing w:line="266" w:lineRule="auto"/>
        <w:rPr>
          <w:rFonts w:ascii="Arial"/>
          <w:sz w:val="21"/>
        </w:rPr>
      </w:pPr>
    </w:p>
    <w:p w14:paraId="1CBC9A5B">
      <w:pPr>
        <w:spacing w:line="266" w:lineRule="auto"/>
        <w:rPr>
          <w:rFonts w:ascii="Arial"/>
          <w:sz w:val="21"/>
        </w:rPr>
      </w:pPr>
    </w:p>
    <w:p w14:paraId="6F675C5D">
      <w:pPr>
        <w:spacing w:line="266" w:lineRule="auto"/>
        <w:rPr>
          <w:rFonts w:ascii="Arial"/>
          <w:sz w:val="21"/>
        </w:rPr>
      </w:pPr>
    </w:p>
    <w:p w14:paraId="2E44F0C2">
      <w:pPr>
        <w:spacing w:line="266" w:lineRule="auto"/>
        <w:rPr>
          <w:rFonts w:ascii="Arial"/>
          <w:sz w:val="21"/>
        </w:rPr>
      </w:pPr>
    </w:p>
    <w:p w14:paraId="733C4895">
      <w:pPr>
        <w:spacing w:line="266" w:lineRule="auto"/>
        <w:rPr>
          <w:rFonts w:ascii="Arial"/>
          <w:sz w:val="21"/>
        </w:rPr>
      </w:pPr>
    </w:p>
    <w:p w14:paraId="4314D2AB">
      <w:pPr>
        <w:spacing w:before="78" w:line="221" w:lineRule="auto"/>
        <w:ind w:left="3956"/>
        <w:rPr>
          <w:rFonts w:ascii="宋体" w:hAnsi="宋体" w:eastAsia="宋体" w:cs="宋体"/>
          <w:sz w:val="24"/>
          <w:szCs w:val="24"/>
        </w:rPr>
      </w:pPr>
      <w:r>
        <w:rPr>
          <w:rFonts w:ascii="宋体" w:hAnsi="宋体" w:eastAsia="宋体" w:cs="宋体"/>
          <w:spacing w:val="-5"/>
          <w:sz w:val="24"/>
          <w:szCs w:val="24"/>
        </w:rPr>
        <w:t>（</w:t>
      </w:r>
      <w:r>
        <w:rPr>
          <w:rFonts w:hint="eastAsia" w:ascii="宋体" w:hAnsi="宋体" w:eastAsia="宋体" w:cs="宋体"/>
          <w:spacing w:val="-5"/>
          <w:sz w:val="24"/>
          <w:szCs w:val="24"/>
          <w:lang w:val="en-US" w:eastAsia="zh-CN"/>
        </w:rPr>
        <w:t>讨论</w:t>
      </w:r>
      <w:r>
        <w:rPr>
          <w:rFonts w:ascii="宋体" w:hAnsi="宋体" w:eastAsia="宋体" w:cs="宋体"/>
          <w:spacing w:val="-5"/>
          <w:sz w:val="24"/>
          <w:szCs w:val="24"/>
        </w:rPr>
        <w:t>稿）</w:t>
      </w:r>
    </w:p>
    <w:p w14:paraId="71A286AA">
      <w:pPr>
        <w:spacing w:line="254" w:lineRule="auto"/>
        <w:rPr>
          <w:rFonts w:ascii="Arial"/>
          <w:sz w:val="21"/>
        </w:rPr>
      </w:pPr>
    </w:p>
    <w:p w14:paraId="234EDF8A">
      <w:pPr>
        <w:spacing w:line="254" w:lineRule="auto"/>
        <w:rPr>
          <w:rFonts w:ascii="Arial"/>
          <w:sz w:val="21"/>
        </w:rPr>
      </w:pPr>
    </w:p>
    <w:p w14:paraId="68006DAB">
      <w:pPr>
        <w:spacing w:line="254" w:lineRule="auto"/>
        <w:rPr>
          <w:rFonts w:ascii="Arial"/>
          <w:sz w:val="21"/>
        </w:rPr>
      </w:pPr>
    </w:p>
    <w:p w14:paraId="75B883CE">
      <w:pPr>
        <w:spacing w:line="254" w:lineRule="auto"/>
        <w:rPr>
          <w:rFonts w:ascii="Arial"/>
          <w:sz w:val="21"/>
        </w:rPr>
      </w:pPr>
    </w:p>
    <w:p w14:paraId="02726F4F">
      <w:pPr>
        <w:spacing w:line="254" w:lineRule="auto"/>
        <w:rPr>
          <w:rFonts w:ascii="Arial"/>
          <w:sz w:val="21"/>
        </w:rPr>
      </w:pPr>
    </w:p>
    <w:p w14:paraId="7EC746C8">
      <w:pPr>
        <w:spacing w:line="254" w:lineRule="auto"/>
        <w:rPr>
          <w:rFonts w:ascii="Arial"/>
          <w:sz w:val="21"/>
        </w:rPr>
      </w:pPr>
    </w:p>
    <w:p w14:paraId="7A72F72E">
      <w:pPr>
        <w:spacing w:line="255" w:lineRule="auto"/>
        <w:rPr>
          <w:rFonts w:ascii="Arial"/>
          <w:sz w:val="21"/>
        </w:rPr>
      </w:pPr>
    </w:p>
    <w:p w14:paraId="00327802">
      <w:pPr>
        <w:spacing w:line="255" w:lineRule="auto"/>
        <w:rPr>
          <w:rFonts w:ascii="Arial"/>
          <w:sz w:val="21"/>
        </w:rPr>
      </w:pPr>
    </w:p>
    <w:p w14:paraId="021C071D">
      <w:pPr>
        <w:spacing w:line="255" w:lineRule="auto"/>
        <w:rPr>
          <w:rFonts w:ascii="Arial"/>
          <w:sz w:val="21"/>
        </w:rPr>
      </w:pPr>
    </w:p>
    <w:p w14:paraId="2C9BA83F">
      <w:pPr>
        <w:spacing w:line="255" w:lineRule="auto"/>
        <w:rPr>
          <w:rFonts w:ascii="Arial"/>
          <w:sz w:val="21"/>
        </w:rPr>
      </w:pPr>
    </w:p>
    <w:p w14:paraId="7E292B47">
      <w:pPr>
        <w:spacing w:line="255" w:lineRule="auto"/>
        <w:rPr>
          <w:rFonts w:ascii="Arial"/>
          <w:sz w:val="21"/>
        </w:rPr>
      </w:pPr>
    </w:p>
    <w:p w14:paraId="76853E79">
      <w:pPr>
        <w:spacing w:line="255" w:lineRule="auto"/>
        <w:rPr>
          <w:rFonts w:ascii="Arial"/>
          <w:sz w:val="21"/>
        </w:rPr>
      </w:pPr>
    </w:p>
    <w:p w14:paraId="4BA9C69A">
      <w:pPr>
        <w:spacing w:line="255" w:lineRule="auto"/>
        <w:rPr>
          <w:rFonts w:ascii="Arial"/>
          <w:sz w:val="21"/>
        </w:rPr>
      </w:pPr>
    </w:p>
    <w:p w14:paraId="5DDCA010">
      <w:pPr>
        <w:spacing w:line="255" w:lineRule="auto"/>
        <w:rPr>
          <w:rFonts w:ascii="Arial"/>
          <w:sz w:val="21"/>
        </w:rPr>
      </w:pPr>
    </w:p>
    <w:p w14:paraId="52B5458F">
      <w:pPr>
        <w:pStyle w:val="2"/>
        <w:spacing w:before="91" w:line="222" w:lineRule="auto"/>
        <w:ind w:left="4"/>
      </w:pPr>
      <w:r>
        <w:drawing>
          <wp:anchor distT="0" distB="0" distL="0" distR="0" simplePos="0" relativeHeight="251659264" behindDoc="0" locked="0" layoutInCell="1" allowOverlap="1">
            <wp:simplePos x="0" y="0"/>
            <wp:positionH relativeFrom="column">
              <wp:posOffset>0</wp:posOffset>
            </wp:positionH>
            <wp:positionV relativeFrom="paragraph">
              <wp:posOffset>245110</wp:posOffset>
            </wp:positionV>
            <wp:extent cx="6120130" cy="952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6"/>
                    <a:stretch>
                      <a:fillRect/>
                    </a:stretch>
                  </pic:blipFill>
                  <pic:spPr>
                    <a:xfrm>
                      <a:off x="0" y="0"/>
                      <a:ext cx="6120130" cy="9525"/>
                    </a:xfrm>
                    <a:prstGeom prst="rect">
                      <a:avLst/>
                    </a:prstGeom>
                  </pic:spPr>
                </pic:pic>
              </a:graphicData>
            </a:graphic>
          </wp:anchor>
        </w:drawing>
      </w:r>
      <w:r>
        <w:rPr>
          <w:spacing w:val="-3"/>
        </w:rPr>
        <w:t>XXXX</w:t>
      </w:r>
      <w:r>
        <w:rPr>
          <w:spacing w:val="-64"/>
        </w:rPr>
        <w:t xml:space="preserve"> </w:t>
      </w:r>
      <w:r>
        <w:rPr>
          <w:spacing w:val="-3"/>
        </w:rPr>
        <w:t>-</w:t>
      </w:r>
      <w:r>
        <w:rPr>
          <w:spacing w:val="-67"/>
        </w:rPr>
        <w:t xml:space="preserve"> </w:t>
      </w:r>
      <w:r>
        <w:rPr>
          <w:spacing w:val="-3"/>
        </w:rPr>
        <w:t>XX</w:t>
      </w:r>
      <w:r>
        <w:rPr>
          <w:spacing w:val="-66"/>
        </w:rPr>
        <w:t xml:space="preserve"> </w:t>
      </w:r>
      <w:r>
        <w:rPr>
          <w:spacing w:val="-3"/>
        </w:rPr>
        <w:t>-</w:t>
      </w:r>
      <w:r>
        <w:rPr>
          <w:spacing w:val="-65"/>
        </w:rPr>
        <w:t xml:space="preserve"> </w:t>
      </w:r>
      <w:r>
        <w:rPr>
          <w:spacing w:val="-3"/>
        </w:rPr>
        <w:t>XX</w:t>
      </w:r>
      <w:r>
        <w:rPr>
          <w:spacing w:val="-58"/>
        </w:rPr>
        <w:t xml:space="preserve"> </w:t>
      </w:r>
      <w:r>
        <w:rPr>
          <w:spacing w:val="-3"/>
        </w:rPr>
        <w:t>发布</w:t>
      </w:r>
      <w:r>
        <w:t xml:space="preserve">                                    </w:t>
      </w:r>
      <w:r>
        <w:rPr>
          <w:spacing w:val="-3"/>
        </w:rPr>
        <w:t>202X</w:t>
      </w:r>
      <w:r>
        <w:rPr>
          <w:spacing w:val="-53"/>
        </w:rPr>
        <w:t xml:space="preserve"> </w:t>
      </w:r>
      <w:r>
        <w:rPr>
          <w:spacing w:val="-3"/>
        </w:rPr>
        <w:t>-</w:t>
      </w:r>
      <w:r>
        <w:rPr>
          <w:spacing w:val="-65"/>
        </w:rPr>
        <w:t xml:space="preserve"> </w:t>
      </w:r>
      <w:r>
        <w:rPr>
          <w:spacing w:val="-3"/>
        </w:rPr>
        <w:t>XX</w:t>
      </w:r>
      <w:r>
        <w:rPr>
          <w:spacing w:val="-66"/>
        </w:rPr>
        <w:t xml:space="preserve"> </w:t>
      </w:r>
      <w:r>
        <w:rPr>
          <w:spacing w:val="-3"/>
        </w:rPr>
        <w:t>-</w:t>
      </w:r>
      <w:r>
        <w:rPr>
          <w:spacing w:val="-67"/>
        </w:rPr>
        <w:t xml:space="preserve"> </w:t>
      </w:r>
      <w:r>
        <w:rPr>
          <w:spacing w:val="-3"/>
        </w:rPr>
        <w:t>XX</w:t>
      </w:r>
      <w:r>
        <w:rPr>
          <w:spacing w:val="-53"/>
        </w:rPr>
        <w:t xml:space="preserve"> </w:t>
      </w:r>
      <w:r>
        <w:rPr>
          <w:spacing w:val="-3"/>
        </w:rPr>
        <w:t>实施</w:t>
      </w:r>
    </w:p>
    <w:p w14:paraId="305A79F7">
      <w:pPr>
        <w:pStyle w:val="2"/>
        <w:spacing w:before="257" w:line="230" w:lineRule="auto"/>
        <w:ind w:left="1356"/>
      </w:pPr>
      <w:r>
        <w:rPr>
          <w:spacing w:val="36"/>
          <w:w w:val="117"/>
        </w:rPr>
        <w:t>中华人民</w:t>
      </w:r>
      <w:r>
        <w:rPr>
          <w:spacing w:val="-80"/>
        </w:rPr>
        <w:t xml:space="preserve"> </w:t>
      </w:r>
      <w:r>
        <w:rPr>
          <w:spacing w:val="36"/>
          <w:w w:val="117"/>
        </w:rPr>
        <w:t>共和国工</w:t>
      </w:r>
      <w:r>
        <w:rPr>
          <w:spacing w:val="-82"/>
        </w:rPr>
        <w:t xml:space="preserve"> </w:t>
      </w:r>
      <w:r>
        <w:rPr>
          <w:spacing w:val="36"/>
          <w:w w:val="117"/>
        </w:rPr>
        <w:t>业和信息化部</w:t>
      </w:r>
      <w:r>
        <w:rPr>
          <w:spacing w:val="121"/>
        </w:rPr>
        <w:t xml:space="preserve"> </w:t>
      </w:r>
      <w:r>
        <w:rPr>
          <w:rFonts w:hint="eastAsia"/>
          <w:spacing w:val="121"/>
          <w:lang w:val="en-US" w:eastAsia="zh-CN"/>
        </w:rPr>
        <w:t xml:space="preserve">   </w:t>
      </w:r>
      <w:r>
        <w:rPr>
          <w:spacing w:val="36"/>
          <w:w w:val="117"/>
          <w:position w:val="2"/>
        </w:rPr>
        <w:t>发 布</w:t>
      </w:r>
    </w:p>
    <w:p w14:paraId="10DF15AF">
      <w:pPr>
        <w:spacing w:line="230" w:lineRule="auto"/>
        <w:sectPr>
          <w:pgSz w:w="11906" w:h="16839"/>
          <w:pgMar w:top="1197" w:right="772" w:bottom="0" w:left="1416" w:header="563" w:footer="0" w:gutter="0"/>
          <w:cols w:space="720" w:num="1"/>
        </w:sectPr>
      </w:pPr>
    </w:p>
    <w:p w14:paraId="46D6B720">
      <w:pPr>
        <w:spacing w:line="280" w:lineRule="auto"/>
        <w:rPr>
          <w:rFonts w:ascii="Arial"/>
          <w:sz w:val="21"/>
        </w:rPr>
      </w:pPr>
    </w:p>
    <w:p w14:paraId="024E7FFF">
      <w:pPr>
        <w:spacing w:line="280" w:lineRule="auto"/>
        <w:rPr>
          <w:rFonts w:ascii="Arial"/>
          <w:sz w:val="21"/>
        </w:rPr>
      </w:pPr>
    </w:p>
    <w:p w14:paraId="4051A570">
      <w:pPr>
        <w:spacing w:line="280" w:lineRule="auto"/>
        <w:rPr>
          <w:rFonts w:ascii="Arial"/>
          <w:sz w:val="21"/>
        </w:rPr>
      </w:pPr>
    </w:p>
    <w:p w14:paraId="531A128A">
      <w:pPr>
        <w:spacing w:line="280" w:lineRule="auto"/>
        <w:rPr>
          <w:rFonts w:ascii="Arial"/>
          <w:sz w:val="21"/>
        </w:rPr>
      </w:pPr>
    </w:p>
    <w:p w14:paraId="248406B9">
      <w:pPr>
        <w:spacing w:line="280" w:lineRule="auto"/>
        <w:rPr>
          <w:rFonts w:ascii="Arial"/>
          <w:sz w:val="21"/>
        </w:rPr>
      </w:pPr>
    </w:p>
    <w:p w14:paraId="6B814F80">
      <w:pPr>
        <w:pStyle w:val="2"/>
        <w:spacing w:before="101" w:line="228" w:lineRule="auto"/>
        <w:ind w:left="3938"/>
        <w:outlineLvl w:val="0"/>
        <w:rPr>
          <w:sz w:val="31"/>
          <w:szCs w:val="31"/>
        </w:rPr>
      </w:pPr>
      <w:r>
        <w:rPr>
          <w:spacing w:val="-2"/>
          <w:sz w:val="31"/>
          <w:szCs w:val="31"/>
        </w:rPr>
        <w:t>前</w:t>
      </w:r>
      <w:r>
        <w:rPr>
          <w:spacing w:val="42"/>
          <w:sz w:val="31"/>
          <w:szCs w:val="31"/>
        </w:rPr>
        <w:t xml:space="preserve">   </w:t>
      </w:r>
      <w:r>
        <w:rPr>
          <w:spacing w:val="-2"/>
          <w:sz w:val="31"/>
          <w:szCs w:val="31"/>
        </w:rPr>
        <w:t>言</w:t>
      </w:r>
    </w:p>
    <w:p w14:paraId="445E00C7">
      <w:pPr>
        <w:spacing w:line="251" w:lineRule="auto"/>
        <w:rPr>
          <w:rFonts w:ascii="Arial"/>
          <w:sz w:val="21"/>
        </w:rPr>
      </w:pPr>
    </w:p>
    <w:p w14:paraId="54A10883">
      <w:pPr>
        <w:spacing w:line="251" w:lineRule="auto"/>
        <w:rPr>
          <w:rFonts w:ascii="Arial"/>
          <w:sz w:val="21"/>
        </w:rPr>
      </w:pPr>
    </w:p>
    <w:p w14:paraId="53BE9E56">
      <w:pPr>
        <w:spacing w:line="251" w:lineRule="auto"/>
        <w:rPr>
          <w:rFonts w:ascii="Arial"/>
          <w:sz w:val="21"/>
        </w:rPr>
      </w:pPr>
    </w:p>
    <w:p w14:paraId="2CA1D7DB">
      <w:pPr>
        <w:spacing w:line="251" w:lineRule="auto"/>
        <w:rPr>
          <w:rFonts w:ascii="Arial"/>
          <w:sz w:val="21"/>
        </w:rPr>
      </w:pPr>
    </w:p>
    <w:p w14:paraId="68883D73">
      <w:pPr>
        <w:spacing w:before="65" w:line="288" w:lineRule="auto"/>
        <w:ind w:left="419" w:firstLine="2"/>
        <w:jc w:val="both"/>
        <w:rPr>
          <w:rFonts w:ascii="宋体" w:hAnsi="宋体" w:eastAsia="宋体" w:cs="宋体"/>
          <w:sz w:val="20"/>
          <w:szCs w:val="20"/>
        </w:rPr>
      </w:pPr>
      <w:r>
        <w:rPr>
          <w:rFonts w:ascii="宋体" w:hAnsi="宋体" w:eastAsia="宋体" w:cs="宋体"/>
          <w:spacing w:val="5"/>
          <w:sz w:val="20"/>
          <w:szCs w:val="20"/>
        </w:rPr>
        <w:t>本文件按照</w:t>
      </w:r>
      <w:r>
        <w:rPr>
          <w:rFonts w:ascii="宋体" w:hAnsi="宋体" w:eastAsia="宋体" w:cs="宋体"/>
          <w:sz w:val="20"/>
          <w:szCs w:val="20"/>
        </w:rPr>
        <w:t>GB</w:t>
      </w:r>
      <w:r>
        <w:rPr>
          <w:rFonts w:ascii="宋体" w:hAnsi="宋体" w:eastAsia="宋体" w:cs="宋体"/>
          <w:spacing w:val="5"/>
          <w:sz w:val="20"/>
          <w:szCs w:val="20"/>
        </w:rPr>
        <w:t>/T</w:t>
      </w:r>
      <w:r>
        <w:rPr>
          <w:rFonts w:ascii="宋体" w:hAnsi="宋体" w:eastAsia="宋体" w:cs="宋体"/>
          <w:spacing w:val="-9"/>
          <w:sz w:val="20"/>
          <w:szCs w:val="20"/>
        </w:rPr>
        <w:t xml:space="preserve"> </w:t>
      </w:r>
      <w:r>
        <w:rPr>
          <w:rFonts w:ascii="宋体" w:hAnsi="宋体" w:eastAsia="宋体" w:cs="宋体"/>
          <w:spacing w:val="5"/>
          <w:sz w:val="20"/>
          <w:szCs w:val="20"/>
        </w:rPr>
        <w:t>1.1-2020《标准化工作导则 第</w:t>
      </w:r>
      <w:r>
        <w:rPr>
          <w:rFonts w:ascii="宋体" w:hAnsi="宋体" w:eastAsia="宋体" w:cs="宋体"/>
          <w:spacing w:val="-24"/>
          <w:sz w:val="20"/>
          <w:szCs w:val="20"/>
        </w:rPr>
        <w:t xml:space="preserve"> </w:t>
      </w:r>
      <w:r>
        <w:rPr>
          <w:rFonts w:ascii="宋体" w:hAnsi="宋体" w:eastAsia="宋体" w:cs="宋体"/>
          <w:spacing w:val="5"/>
          <w:sz w:val="20"/>
          <w:szCs w:val="20"/>
        </w:rPr>
        <w:t>1</w:t>
      </w:r>
      <w:r>
        <w:rPr>
          <w:rFonts w:ascii="宋体" w:hAnsi="宋体" w:eastAsia="宋体" w:cs="宋体"/>
          <w:spacing w:val="-36"/>
          <w:sz w:val="20"/>
          <w:szCs w:val="20"/>
        </w:rPr>
        <w:t xml:space="preserve"> </w:t>
      </w:r>
      <w:r>
        <w:rPr>
          <w:rFonts w:ascii="宋体" w:hAnsi="宋体" w:eastAsia="宋体" w:cs="宋体"/>
          <w:spacing w:val="5"/>
          <w:sz w:val="20"/>
          <w:szCs w:val="20"/>
        </w:rPr>
        <w:t>部分：标准化文件的结构和起草规则》的规定起草。</w:t>
      </w:r>
      <w:r>
        <w:rPr>
          <w:rFonts w:ascii="宋体" w:hAnsi="宋体" w:eastAsia="宋体" w:cs="宋体"/>
          <w:spacing w:val="9"/>
          <w:sz w:val="20"/>
          <w:szCs w:val="20"/>
        </w:rPr>
        <w:t>请注意本文件的某些内容可能涉及专利。本文件的发布机构不承担识别专利的责任。</w:t>
      </w:r>
    </w:p>
    <w:p w14:paraId="5B895DF9">
      <w:pPr>
        <w:spacing w:line="226" w:lineRule="auto"/>
        <w:ind w:left="421"/>
        <w:jc w:val="both"/>
        <w:rPr>
          <w:rFonts w:ascii="宋体" w:hAnsi="宋体" w:eastAsia="宋体" w:cs="宋体"/>
          <w:sz w:val="20"/>
          <w:szCs w:val="20"/>
        </w:rPr>
      </w:pPr>
      <w:r>
        <w:rPr>
          <w:rFonts w:ascii="宋体" w:hAnsi="宋体" w:eastAsia="宋体" w:cs="宋体"/>
          <w:spacing w:val="9"/>
          <w:sz w:val="20"/>
          <w:szCs w:val="20"/>
        </w:rPr>
        <w:t>本文件由全国有色金属标准化技术委员会（</w:t>
      </w:r>
      <w:r>
        <w:rPr>
          <w:rFonts w:ascii="宋体" w:hAnsi="宋体" w:eastAsia="宋体" w:cs="宋体"/>
          <w:sz w:val="20"/>
          <w:szCs w:val="20"/>
        </w:rPr>
        <w:t>SAC</w:t>
      </w:r>
      <w:r>
        <w:rPr>
          <w:rFonts w:ascii="宋体" w:hAnsi="宋体" w:eastAsia="宋体" w:cs="宋体"/>
          <w:spacing w:val="9"/>
          <w:sz w:val="20"/>
          <w:szCs w:val="20"/>
        </w:rPr>
        <w:t>/</w:t>
      </w:r>
      <w:r>
        <w:rPr>
          <w:rFonts w:ascii="宋体" w:hAnsi="宋体" w:eastAsia="宋体" w:cs="宋体"/>
          <w:sz w:val="20"/>
          <w:szCs w:val="20"/>
        </w:rPr>
        <w:t>TC</w:t>
      </w:r>
      <w:r>
        <w:rPr>
          <w:rFonts w:ascii="宋体" w:hAnsi="宋体" w:eastAsia="宋体" w:cs="宋体"/>
          <w:spacing w:val="9"/>
          <w:sz w:val="20"/>
          <w:szCs w:val="20"/>
        </w:rPr>
        <w:t xml:space="preserve"> 243）提出并归口。</w:t>
      </w:r>
    </w:p>
    <w:p w14:paraId="7185E6B6">
      <w:pPr>
        <w:spacing w:before="66" w:line="288" w:lineRule="auto"/>
        <w:ind w:right="70" w:firstLine="421"/>
        <w:jc w:val="both"/>
        <w:rPr>
          <w:rFonts w:ascii="宋体" w:hAnsi="宋体" w:eastAsia="宋体" w:cs="宋体"/>
          <w:sz w:val="20"/>
          <w:szCs w:val="20"/>
        </w:rPr>
      </w:pPr>
      <w:r>
        <w:rPr>
          <w:rFonts w:ascii="宋体" w:hAnsi="宋体" w:eastAsia="宋体" w:cs="宋体"/>
          <w:spacing w:val="9"/>
          <w:sz w:val="20"/>
          <w:szCs w:val="20"/>
        </w:rPr>
        <w:t>本文件起草单位：</w:t>
      </w:r>
      <w:r>
        <w:rPr>
          <w:rFonts w:hint="eastAsia" w:ascii="宋体" w:hAnsi="宋体"/>
          <w:color w:val="auto"/>
          <w:szCs w:val="21"/>
          <w:lang w:val="en-US" w:eastAsia="zh-CN"/>
        </w:rPr>
        <w:t>***、***、***</w:t>
      </w:r>
      <w:r>
        <w:rPr>
          <w:rFonts w:hint="eastAsia"/>
          <w:color w:val="auto"/>
          <w:sz w:val="21"/>
          <w:lang w:val="en-US" w:eastAsia="zh-CN"/>
        </w:rPr>
        <w:t>、</w:t>
      </w:r>
      <w:r>
        <w:rPr>
          <w:rFonts w:hint="eastAsia" w:ascii="宋体" w:hAnsi="宋体"/>
          <w:color w:val="auto"/>
          <w:szCs w:val="21"/>
          <w:lang w:val="en-US" w:eastAsia="zh-CN"/>
        </w:rPr>
        <w:t>***、***</w:t>
      </w:r>
      <w:r>
        <w:rPr>
          <w:rFonts w:hint="eastAsia"/>
          <w:color w:val="auto"/>
          <w:sz w:val="21"/>
          <w:lang w:val="en-US" w:eastAsia="zh-CN"/>
        </w:rPr>
        <w:t>、</w:t>
      </w:r>
      <w:r>
        <w:rPr>
          <w:rFonts w:hint="eastAsia" w:ascii="宋体" w:hAnsi="宋体"/>
          <w:color w:val="auto"/>
          <w:szCs w:val="21"/>
          <w:lang w:val="en-US" w:eastAsia="zh-CN"/>
        </w:rPr>
        <w:t>***、***</w:t>
      </w:r>
      <w:r>
        <w:rPr>
          <w:rFonts w:hint="eastAsia"/>
          <w:color w:val="auto"/>
          <w:sz w:val="21"/>
          <w:lang w:val="en-US" w:eastAsia="zh-CN"/>
        </w:rPr>
        <w:t>、</w:t>
      </w:r>
      <w:r>
        <w:rPr>
          <w:rFonts w:hint="eastAsia" w:ascii="宋体" w:hAnsi="宋体"/>
          <w:color w:val="auto"/>
          <w:szCs w:val="21"/>
          <w:lang w:val="en-US" w:eastAsia="zh-CN"/>
        </w:rPr>
        <w:t>***。</w:t>
      </w:r>
    </w:p>
    <w:p w14:paraId="50E3BE7F">
      <w:pPr>
        <w:spacing w:line="289" w:lineRule="auto"/>
        <w:ind w:right="70" w:firstLine="420"/>
        <w:jc w:val="both"/>
        <w:rPr>
          <w:rFonts w:ascii="宋体" w:hAnsi="宋体" w:eastAsia="宋体" w:cs="宋体"/>
          <w:sz w:val="20"/>
          <w:szCs w:val="20"/>
        </w:rPr>
      </w:pPr>
      <w:r>
        <w:rPr>
          <w:rFonts w:ascii="宋体" w:hAnsi="宋体" w:eastAsia="宋体" w:cs="宋体"/>
          <w:spacing w:val="9"/>
          <w:sz w:val="20"/>
          <w:szCs w:val="20"/>
        </w:rPr>
        <w:t>本文件主要起草人：</w:t>
      </w:r>
      <w:r>
        <w:rPr>
          <w:rFonts w:hint="eastAsia" w:ascii="宋体" w:hAnsi="宋体"/>
          <w:color w:val="auto"/>
          <w:szCs w:val="21"/>
          <w:lang w:val="en-US" w:eastAsia="zh-CN"/>
        </w:rPr>
        <w:t>***、***、***</w:t>
      </w:r>
      <w:r>
        <w:rPr>
          <w:rFonts w:hint="eastAsia"/>
          <w:color w:val="auto"/>
          <w:sz w:val="21"/>
          <w:lang w:val="en-US" w:eastAsia="zh-CN"/>
        </w:rPr>
        <w:t>、</w:t>
      </w:r>
      <w:r>
        <w:rPr>
          <w:rFonts w:hint="eastAsia" w:ascii="宋体" w:hAnsi="宋体"/>
          <w:color w:val="auto"/>
          <w:szCs w:val="21"/>
          <w:lang w:val="en-US" w:eastAsia="zh-CN"/>
        </w:rPr>
        <w:t>***、***</w:t>
      </w:r>
      <w:r>
        <w:rPr>
          <w:rFonts w:hint="eastAsia"/>
          <w:color w:val="auto"/>
          <w:sz w:val="21"/>
          <w:lang w:val="en-US" w:eastAsia="zh-CN"/>
        </w:rPr>
        <w:t>、</w:t>
      </w:r>
      <w:r>
        <w:rPr>
          <w:rFonts w:hint="eastAsia" w:ascii="宋体" w:hAnsi="宋体"/>
          <w:color w:val="auto"/>
          <w:szCs w:val="21"/>
          <w:lang w:val="en-US" w:eastAsia="zh-CN"/>
        </w:rPr>
        <w:t>***、***</w:t>
      </w:r>
      <w:r>
        <w:rPr>
          <w:rFonts w:hint="eastAsia"/>
          <w:color w:val="auto"/>
          <w:sz w:val="21"/>
          <w:lang w:val="en-US" w:eastAsia="zh-CN"/>
        </w:rPr>
        <w:t>、</w:t>
      </w:r>
      <w:r>
        <w:rPr>
          <w:rFonts w:hint="eastAsia" w:ascii="宋体" w:hAnsi="宋体"/>
          <w:color w:val="auto"/>
          <w:szCs w:val="21"/>
          <w:lang w:val="en-US" w:eastAsia="zh-CN"/>
        </w:rPr>
        <w:t>***。</w:t>
      </w:r>
    </w:p>
    <w:p w14:paraId="147C6CDE">
      <w:pPr>
        <w:spacing w:line="289" w:lineRule="auto"/>
        <w:rPr>
          <w:rFonts w:ascii="宋体" w:hAnsi="宋体" w:eastAsia="宋体" w:cs="宋体"/>
          <w:sz w:val="20"/>
          <w:szCs w:val="20"/>
        </w:rPr>
        <w:sectPr>
          <w:headerReference r:id="rId5" w:type="default"/>
          <w:pgSz w:w="11906" w:h="16839"/>
          <w:pgMar w:top="318" w:right="780" w:bottom="0" w:left="1425" w:header="0" w:footer="0" w:gutter="0"/>
          <w:cols w:space="720" w:num="1"/>
        </w:sectPr>
      </w:pPr>
    </w:p>
    <w:p w14:paraId="4C05C47E">
      <w:pPr>
        <w:spacing w:line="254" w:lineRule="auto"/>
        <w:rPr>
          <w:rFonts w:ascii="Arial"/>
          <w:sz w:val="21"/>
        </w:rPr>
      </w:pPr>
    </w:p>
    <w:p w14:paraId="4D5405FA">
      <w:pPr>
        <w:pStyle w:val="2"/>
        <w:spacing w:before="101" w:line="226" w:lineRule="auto"/>
        <w:ind w:left="4267"/>
        <w:rPr>
          <w:sz w:val="31"/>
          <w:szCs w:val="31"/>
        </w:rPr>
      </w:pPr>
      <w:r>
        <w:rPr>
          <w:rFonts w:hint="eastAsia"/>
          <w:spacing w:val="6"/>
          <w:sz w:val="31"/>
          <w:szCs w:val="31"/>
          <w:lang w:val="en-US" w:eastAsia="zh-CN"/>
        </w:rPr>
        <w:t>乙酸</w:t>
      </w:r>
      <w:r>
        <w:rPr>
          <w:spacing w:val="6"/>
          <w:sz w:val="31"/>
          <w:szCs w:val="31"/>
        </w:rPr>
        <w:t>银</w:t>
      </w:r>
    </w:p>
    <w:p w14:paraId="780F5CC7">
      <w:pPr>
        <w:spacing w:line="386" w:lineRule="auto"/>
        <w:rPr>
          <w:rFonts w:ascii="Arial"/>
          <w:sz w:val="21"/>
        </w:rPr>
      </w:pPr>
    </w:p>
    <w:p w14:paraId="161ED173">
      <w:pPr>
        <w:pStyle w:val="2"/>
        <w:spacing w:before="65" w:line="231" w:lineRule="auto"/>
        <w:ind w:left="135"/>
        <w:outlineLvl w:val="1"/>
        <w:rPr>
          <w:sz w:val="20"/>
          <w:szCs w:val="20"/>
        </w:rPr>
      </w:pPr>
      <w:r>
        <w:rPr>
          <w:spacing w:val="-3"/>
          <w:sz w:val="20"/>
          <w:szCs w:val="20"/>
        </w:rPr>
        <w:t>1</w:t>
      </w:r>
      <w:r>
        <w:rPr>
          <w:spacing w:val="11"/>
          <w:sz w:val="20"/>
          <w:szCs w:val="20"/>
        </w:rPr>
        <w:t xml:space="preserve">  </w:t>
      </w:r>
      <w:r>
        <w:rPr>
          <w:spacing w:val="-3"/>
          <w:sz w:val="20"/>
          <w:szCs w:val="20"/>
        </w:rPr>
        <w:t>范围</w:t>
      </w:r>
    </w:p>
    <w:p w14:paraId="7DBD0453">
      <w:pPr>
        <w:spacing w:line="306" w:lineRule="auto"/>
        <w:rPr>
          <w:rFonts w:ascii="Arial"/>
          <w:sz w:val="21"/>
        </w:rPr>
      </w:pPr>
    </w:p>
    <w:p w14:paraId="0B79D85C">
      <w:pPr>
        <w:spacing w:before="65" w:line="288" w:lineRule="auto"/>
        <w:ind w:left="136" w:right="230" w:firstLine="426"/>
        <w:rPr>
          <w:rFonts w:ascii="宋体" w:hAnsi="宋体" w:eastAsia="宋体" w:cs="宋体"/>
          <w:sz w:val="20"/>
          <w:szCs w:val="20"/>
        </w:rPr>
      </w:pPr>
      <w:r>
        <w:rPr>
          <w:rFonts w:ascii="宋体" w:hAnsi="宋体" w:eastAsia="宋体" w:cs="宋体"/>
          <w:spacing w:val="6"/>
          <w:sz w:val="20"/>
          <w:szCs w:val="20"/>
        </w:rPr>
        <w:t>本文件规定了</w:t>
      </w:r>
      <w:r>
        <w:rPr>
          <w:rFonts w:hint="eastAsia" w:ascii="宋体" w:hAnsi="宋体" w:eastAsia="宋体" w:cs="宋体"/>
          <w:spacing w:val="6"/>
          <w:sz w:val="20"/>
          <w:szCs w:val="20"/>
          <w:lang w:val="en-US" w:eastAsia="zh-CN"/>
        </w:rPr>
        <w:t>乙酸银</w:t>
      </w:r>
      <w:r>
        <w:rPr>
          <w:rFonts w:ascii="宋体" w:hAnsi="宋体" w:eastAsia="宋体" w:cs="宋体"/>
          <w:spacing w:val="6"/>
          <w:sz w:val="20"/>
          <w:szCs w:val="20"/>
        </w:rPr>
        <w:t>的分类和标记、技术要求、试验方法、检验规则及标志、包装、运输、贮存、</w:t>
      </w:r>
      <w:r>
        <w:rPr>
          <w:rFonts w:ascii="宋体" w:hAnsi="宋体" w:eastAsia="宋体" w:cs="宋体"/>
          <w:spacing w:val="7"/>
          <w:sz w:val="20"/>
          <w:szCs w:val="20"/>
        </w:rPr>
        <w:t>随行文件和订货单内容。</w:t>
      </w:r>
    </w:p>
    <w:p w14:paraId="306DD11C">
      <w:pPr>
        <w:spacing w:line="226" w:lineRule="auto"/>
        <w:ind w:left="562"/>
        <w:rPr>
          <w:rFonts w:ascii="宋体" w:hAnsi="宋体" w:eastAsia="宋体" w:cs="宋体"/>
          <w:sz w:val="20"/>
          <w:szCs w:val="20"/>
        </w:rPr>
      </w:pPr>
      <w:r>
        <w:rPr>
          <w:rFonts w:ascii="宋体" w:hAnsi="宋体" w:eastAsia="宋体" w:cs="宋体"/>
          <w:spacing w:val="8"/>
          <w:sz w:val="20"/>
          <w:szCs w:val="20"/>
        </w:rPr>
        <w:t>本文件适用于工业及化学试剂用</w:t>
      </w:r>
      <w:r>
        <w:rPr>
          <w:rFonts w:hint="eastAsia" w:ascii="宋体" w:hAnsi="宋体" w:eastAsia="宋体" w:cs="宋体"/>
          <w:spacing w:val="8"/>
          <w:sz w:val="20"/>
          <w:szCs w:val="20"/>
          <w:lang w:val="en-US" w:eastAsia="zh-CN"/>
        </w:rPr>
        <w:t>乙酸</w:t>
      </w:r>
      <w:r>
        <w:rPr>
          <w:rFonts w:ascii="宋体" w:hAnsi="宋体" w:eastAsia="宋体" w:cs="宋体"/>
          <w:spacing w:val="8"/>
          <w:sz w:val="20"/>
          <w:szCs w:val="20"/>
        </w:rPr>
        <w:t>银。</w:t>
      </w:r>
    </w:p>
    <w:p w14:paraId="119D7006">
      <w:pPr>
        <w:spacing w:line="311" w:lineRule="auto"/>
        <w:rPr>
          <w:rFonts w:ascii="Arial"/>
          <w:sz w:val="21"/>
        </w:rPr>
      </w:pPr>
    </w:p>
    <w:p w14:paraId="7EFC3BBB">
      <w:pPr>
        <w:pStyle w:val="2"/>
        <w:spacing w:before="65" w:line="230" w:lineRule="auto"/>
        <w:ind w:left="123"/>
        <w:outlineLvl w:val="1"/>
        <w:rPr>
          <w:sz w:val="20"/>
          <w:szCs w:val="20"/>
        </w:rPr>
      </w:pPr>
      <w:r>
        <w:rPr>
          <w:spacing w:val="7"/>
          <w:sz w:val="20"/>
          <w:szCs w:val="20"/>
        </w:rPr>
        <w:t>2  规范性引用文件</w:t>
      </w:r>
    </w:p>
    <w:p w14:paraId="37CCA886">
      <w:pPr>
        <w:spacing w:line="307" w:lineRule="auto"/>
        <w:rPr>
          <w:rFonts w:ascii="Arial"/>
          <w:sz w:val="21"/>
        </w:rPr>
      </w:pPr>
    </w:p>
    <w:p w14:paraId="3F227E3C">
      <w:pPr>
        <w:spacing w:before="66" w:line="288" w:lineRule="auto"/>
        <w:ind w:left="123" w:right="131" w:firstLine="428"/>
        <w:jc w:val="both"/>
        <w:rPr>
          <w:rFonts w:ascii="宋体" w:hAnsi="宋体" w:eastAsia="宋体" w:cs="宋体"/>
          <w:sz w:val="20"/>
          <w:szCs w:val="20"/>
        </w:rPr>
      </w:pPr>
      <w:r>
        <w:rPr>
          <w:rFonts w:ascii="宋体" w:hAnsi="宋体" w:eastAsia="宋体" w:cs="宋体"/>
          <w:spacing w:val="4"/>
          <w:sz w:val="20"/>
          <w:szCs w:val="20"/>
        </w:rPr>
        <w:t>下列文件中的内容通过文中的规范性引用而构成本文件必不可少的条款。其中，注日期的引用文</w:t>
      </w:r>
      <w:r>
        <w:rPr>
          <w:rFonts w:ascii="宋体" w:hAnsi="宋体" w:eastAsia="宋体" w:cs="宋体"/>
          <w:spacing w:val="3"/>
          <w:sz w:val="20"/>
          <w:szCs w:val="20"/>
        </w:rPr>
        <w:t>件，</w:t>
      </w:r>
      <w:r>
        <w:rPr>
          <w:rFonts w:ascii="宋体" w:hAnsi="宋体" w:eastAsia="宋体" w:cs="宋体"/>
          <w:spacing w:val="8"/>
          <w:sz w:val="20"/>
          <w:szCs w:val="20"/>
        </w:rPr>
        <w:t>仅该日期对应的版本适用于本文件；不注日期的引用文件，其最新版</w:t>
      </w:r>
      <w:r>
        <w:rPr>
          <w:rFonts w:ascii="宋体" w:hAnsi="宋体" w:eastAsia="宋体" w:cs="宋体"/>
          <w:spacing w:val="7"/>
          <w:sz w:val="20"/>
          <w:szCs w:val="20"/>
        </w:rPr>
        <w:t>本（包括所有的修改单）适用于本</w:t>
      </w:r>
      <w:r>
        <w:rPr>
          <w:rFonts w:ascii="宋体" w:hAnsi="宋体" w:eastAsia="宋体" w:cs="宋体"/>
          <w:spacing w:val="3"/>
          <w:sz w:val="20"/>
          <w:szCs w:val="20"/>
        </w:rPr>
        <w:t>文件。</w:t>
      </w:r>
    </w:p>
    <w:p w14:paraId="39389921">
      <w:pPr>
        <w:spacing w:before="1" w:line="226" w:lineRule="auto"/>
        <w:ind w:left="542"/>
        <w:rPr>
          <w:rFonts w:hint="default" w:ascii="Times New Roman" w:hAnsi="Times New Roman" w:eastAsia="宋体" w:cs="Times New Roman"/>
          <w:sz w:val="20"/>
          <w:szCs w:val="20"/>
          <w:highlight w:val="none"/>
          <w:lang w:eastAsia="zh-CN"/>
        </w:rPr>
      </w:pPr>
      <w:r>
        <w:rPr>
          <w:rFonts w:hint="default" w:ascii="Times New Roman" w:hAnsi="Times New Roman" w:eastAsia="宋体" w:cs="Times New Roman"/>
          <w:sz w:val="20"/>
          <w:szCs w:val="20"/>
          <w:highlight w:val="none"/>
        </w:rPr>
        <w:t>GB</w:t>
      </w:r>
      <w:r>
        <w:rPr>
          <w:rFonts w:hint="default" w:ascii="Times New Roman" w:hAnsi="Times New Roman" w:eastAsia="宋体" w:cs="Times New Roman"/>
          <w:spacing w:val="8"/>
          <w:sz w:val="20"/>
          <w:szCs w:val="20"/>
          <w:highlight w:val="none"/>
        </w:rPr>
        <w:t>/T 602   化学试剂 杂质测定用标准溶液的制备</w:t>
      </w:r>
    </w:p>
    <w:p w14:paraId="593080F5">
      <w:pPr>
        <w:spacing w:before="66" w:line="228" w:lineRule="auto"/>
        <w:ind w:left="542"/>
        <w:rPr>
          <w:rFonts w:hint="default" w:ascii="Times New Roman" w:hAnsi="Times New Roman" w:eastAsia="宋体" w:cs="Times New Roman"/>
          <w:sz w:val="20"/>
          <w:szCs w:val="20"/>
        </w:rPr>
      </w:pPr>
      <w:r>
        <w:rPr>
          <w:rFonts w:hint="default" w:ascii="Times New Roman" w:hAnsi="Times New Roman" w:eastAsia="宋体" w:cs="Times New Roman"/>
          <w:sz w:val="20"/>
          <w:szCs w:val="20"/>
        </w:rPr>
        <w:t>GB</w:t>
      </w:r>
      <w:r>
        <w:rPr>
          <w:rFonts w:hint="default" w:ascii="Times New Roman" w:hAnsi="Times New Roman" w:eastAsia="宋体" w:cs="Times New Roman"/>
          <w:spacing w:val="8"/>
          <w:sz w:val="20"/>
          <w:szCs w:val="20"/>
        </w:rPr>
        <w:t>/T 8170  数值修约规则与极限数值的表示和判定</w:t>
      </w:r>
    </w:p>
    <w:p w14:paraId="7B56F682">
      <w:pPr>
        <w:spacing w:before="65" w:line="227" w:lineRule="auto"/>
        <w:ind w:left="539"/>
        <w:rPr>
          <w:rFonts w:hint="default" w:ascii="Times New Roman" w:hAnsi="Times New Roman" w:eastAsia="宋体" w:cs="Times New Roman"/>
          <w:sz w:val="20"/>
          <w:szCs w:val="20"/>
        </w:rPr>
      </w:pPr>
      <w:r>
        <w:rPr>
          <w:rFonts w:hint="default" w:ascii="Times New Roman" w:hAnsi="Times New Roman" w:eastAsia="宋体" w:cs="Times New Roman"/>
          <w:sz w:val="20"/>
          <w:szCs w:val="20"/>
        </w:rPr>
        <w:t>HG</w:t>
      </w:r>
      <w:r>
        <w:rPr>
          <w:rFonts w:hint="default" w:ascii="Times New Roman" w:hAnsi="Times New Roman" w:eastAsia="宋体" w:cs="Times New Roman"/>
          <w:spacing w:val="8"/>
          <w:sz w:val="20"/>
          <w:szCs w:val="20"/>
        </w:rPr>
        <w:t>/T 3484  化学试剂 标准玻璃乳浊液和澄清度标准</w:t>
      </w:r>
    </w:p>
    <w:p w14:paraId="2716B359">
      <w:pPr>
        <w:spacing w:before="66" w:line="228" w:lineRule="auto"/>
        <w:ind w:left="541"/>
        <w:rPr>
          <w:rFonts w:hint="default" w:ascii="Times New Roman" w:hAnsi="Times New Roman" w:eastAsia="宋体" w:cs="Times New Roman"/>
          <w:sz w:val="20"/>
          <w:szCs w:val="20"/>
        </w:rPr>
      </w:pPr>
      <w:r>
        <w:rPr>
          <w:rFonts w:hint="default" w:ascii="Times New Roman" w:hAnsi="Times New Roman" w:eastAsia="宋体" w:cs="Times New Roman"/>
          <w:sz w:val="20"/>
          <w:szCs w:val="20"/>
        </w:rPr>
        <w:t>YS</w:t>
      </w:r>
      <w:r>
        <w:rPr>
          <w:rFonts w:hint="default" w:ascii="Times New Roman" w:hAnsi="Times New Roman" w:eastAsia="宋体" w:cs="Times New Roman"/>
          <w:spacing w:val="6"/>
          <w:sz w:val="20"/>
          <w:szCs w:val="20"/>
        </w:rPr>
        <w:t>/T 958   银化学分析方法 铜、铋、铁、铅、锑、钯、硒和碲量的测定</w:t>
      </w:r>
      <w:r>
        <w:rPr>
          <w:rFonts w:hint="default" w:ascii="Times New Roman" w:hAnsi="Times New Roman" w:eastAsia="宋体" w:cs="Times New Roman"/>
          <w:spacing w:val="38"/>
          <w:sz w:val="20"/>
          <w:szCs w:val="20"/>
        </w:rPr>
        <w:t xml:space="preserve"> </w:t>
      </w:r>
      <w:r>
        <w:rPr>
          <w:rFonts w:hint="default" w:ascii="Times New Roman" w:hAnsi="Times New Roman" w:eastAsia="宋体" w:cs="Times New Roman"/>
          <w:spacing w:val="6"/>
          <w:sz w:val="20"/>
          <w:szCs w:val="20"/>
        </w:rPr>
        <w:t>电感耦合等离子</w:t>
      </w:r>
      <w:r>
        <w:rPr>
          <w:rFonts w:hint="default" w:ascii="Times New Roman" w:hAnsi="Times New Roman" w:eastAsia="宋体" w:cs="Times New Roman"/>
          <w:spacing w:val="5"/>
          <w:sz w:val="20"/>
          <w:szCs w:val="20"/>
        </w:rPr>
        <w:t>体原子</w:t>
      </w:r>
    </w:p>
    <w:p w14:paraId="1269C95F">
      <w:pPr>
        <w:spacing w:before="65" w:line="228" w:lineRule="auto"/>
        <w:ind w:left="128"/>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发射光谱法</w:t>
      </w:r>
    </w:p>
    <w:p w14:paraId="2D925E10">
      <w:pPr>
        <w:spacing w:line="310" w:lineRule="auto"/>
        <w:rPr>
          <w:rFonts w:ascii="Arial"/>
          <w:sz w:val="21"/>
        </w:rPr>
      </w:pPr>
    </w:p>
    <w:p w14:paraId="325693F1">
      <w:pPr>
        <w:pStyle w:val="2"/>
        <w:spacing w:before="65" w:line="231" w:lineRule="auto"/>
        <w:ind w:left="124"/>
        <w:outlineLvl w:val="1"/>
        <w:rPr>
          <w:sz w:val="20"/>
          <w:szCs w:val="20"/>
        </w:rPr>
      </w:pPr>
      <w:r>
        <w:rPr>
          <w:spacing w:val="6"/>
          <w:sz w:val="20"/>
          <w:szCs w:val="20"/>
        </w:rPr>
        <w:t>3</w:t>
      </w:r>
      <w:r>
        <w:rPr>
          <w:spacing w:val="10"/>
          <w:sz w:val="20"/>
          <w:szCs w:val="20"/>
        </w:rPr>
        <w:t xml:space="preserve">  </w:t>
      </w:r>
      <w:r>
        <w:rPr>
          <w:spacing w:val="6"/>
          <w:sz w:val="20"/>
          <w:szCs w:val="20"/>
        </w:rPr>
        <w:t>术语和定义</w:t>
      </w:r>
    </w:p>
    <w:p w14:paraId="214244C0">
      <w:pPr>
        <w:spacing w:line="307" w:lineRule="auto"/>
        <w:rPr>
          <w:rFonts w:ascii="Arial"/>
          <w:sz w:val="21"/>
        </w:rPr>
      </w:pPr>
    </w:p>
    <w:p w14:paraId="52A12AE7">
      <w:pPr>
        <w:spacing w:before="65" w:line="227" w:lineRule="auto"/>
        <w:ind w:left="545"/>
        <w:rPr>
          <w:rFonts w:ascii="宋体" w:hAnsi="宋体" w:eastAsia="宋体" w:cs="宋体"/>
          <w:sz w:val="20"/>
          <w:szCs w:val="20"/>
        </w:rPr>
      </w:pPr>
      <w:r>
        <w:rPr>
          <w:rFonts w:ascii="宋体" w:hAnsi="宋体" w:eastAsia="宋体" w:cs="宋体"/>
          <w:spacing w:val="8"/>
          <w:sz w:val="20"/>
          <w:szCs w:val="20"/>
        </w:rPr>
        <w:t>本文件没有需要界定的术语和定义。</w:t>
      </w:r>
    </w:p>
    <w:p w14:paraId="5B21A57F">
      <w:pPr>
        <w:spacing w:line="311" w:lineRule="auto"/>
        <w:rPr>
          <w:rFonts w:ascii="Arial"/>
          <w:sz w:val="21"/>
        </w:rPr>
      </w:pPr>
    </w:p>
    <w:p w14:paraId="5F350618">
      <w:pPr>
        <w:pStyle w:val="2"/>
        <w:spacing w:before="66" w:line="229" w:lineRule="auto"/>
        <w:ind w:left="119"/>
        <w:outlineLvl w:val="1"/>
        <w:rPr>
          <w:rFonts w:hint="default" w:ascii="Times New Roman" w:hAnsi="Times New Roman" w:cs="Times New Roman"/>
          <w:sz w:val="20"/>
          <w:szCs w:val="20"/>
        </w:rPr>
      </w:pPr>
      <w:r>
        <w:rPr>
          <w:rFonts w:hint="default" w:ascii="Times New Roman" w:hAnsi="Times New Roman" w:cs="Times New Roman"/>
          <w:spacing w:val="2"/>
          <w:sz w:val="20"/>
          <w:szCs w:val="20"/>
        </w:rPr>
        <w:t>4</w:t>
      </w:r>
      <w:r>
        <w:rPr>
          <w:rFonts w:hint="default" w:ascii="Times New Roman" w:hAnsi="Times New Roman" w:cs="Times New Roman"/>
          <w:spacing w:val="12"/>
          <w:sz w:val="20"/>
          <w:szCs w:val="20"/>
        </w:rPr>
        <w:t xml:space="preserve">  </w:t>
      </w:r>
      <w:r>
        <w:rPr>
          <w:rFonts w:hint="default" w:ascii="Times New Roman" w:hAnsi="Times New Roman" w:cs="Times New Roman"/>
          <w:spacing w:val="2"/>
          <w:sz w:val="20"/>
          <w:szCs w:val="20"/>
        </w:rPr>
        <w:t>分类</w:t>
      </w:r>
    </w:p>
    <w:p w14:paraId="6036850D">
      <w:pPr>
        <w:spacing w:line="308" w:lineRule="auto"/>
        <w:rPr>
          <w:rFonts w:hint="default" w:ascii="Times New Roman" w:hAnsi="Times New Roman" w:cs="Times New Roman"/>
          <w:sz w:val="21"/>
        </w:rPr>
      </w:pPr>
    </w:p>
    <w:p w14:paraId="4E32846F">
      <w:pPr>
        <w:pStyle w:val="2"/>
        <w:spacing w:before="65" w:line="231" w:lineRule="auto"/>
        <w:ind w:left="119"/>
        <w:outlineLvl w:val="2"/>
        <w:rPr>
          <w:rFonts w:hint="default" w:ascii="Times New Roman" w:hAnsi="Times New Roman" w:cs="Times New Roman"/>
          <w:sz w:val="20"/>
          <w:szCs w:val="20"/>
        </w:rPr>
      </w:pPr>
      <w:r>
        <w:rPr>
          <w:rFonts w:hint="default" w:ascii="Times New Roman" w:hAnsi="Times New Roman" w:cs="Times New Roman"/>
          <w:spacing w:val="4"/>
          <w:sz w:val="20"/>
          <w:szCs w:val="20"/>
        </w:rPr>
        <w:t>4.1</w:t>
      </w:r>
      <w:r>
        <w:rPr>
          <w:rFonts w:hint="default" w:ascii="Times New Roman" w:hAnsi="Times New Roman" w:cs="Times New Roman"/>
          <w:spacing w:val="13"/>
          <w:sz w:val="20"/>
          <w:szCs w:val="20"/>
        </w:rPr>
        <w:t xml:space="preserve">  </w:t>
      </w:r>
      <w:r>
        <w:rPr>
          <w:rFonts w:hint="default" w:ascii="Times New Roman" w:hAnsi="Times New Roman" w:cs="Times New Roman"/>
          <w:spacing w:val="4"/>
          <w:sz w:val="20"/>
          <w:szCs w:val="20"/>
        </w:rPr>
        <w:t>分子式</w:t>
      </w:r>
    </w:p>
    <w:p w14:paraId="2BDDAC19">
      <w:pPr>
        <w:pStyle w:val="2"/>
        <w:spacing w:before="218" w:line="235" w:lineRule="auto"/>
        <w:ind w:left="119"/>
        <w:outlineLvl w:val="3"/>
        <w:rPr>
          <w:rFonts w:hint="default" w:ascii="Times New Roman" w:hAnsi="Times New Roman" w:eastAsia="宋体" w:cs="Times New Roman"/>
          <w:sz w:val="20"/>
          <w:szCs w:val="20"/>
        </w:rPr>
      </w:pPr>
      <w:r>
        <w:rPr>
          <w:rFonts w:hint="default" w:ascii="Times New Roman" w:hAnsi="Times New Roman" w:cs="Times New Roman"/>
          <w:spacing w:val="7"/>
          <w:sz w:val="20"/>
          <w:szCs w:val="20"/>
        </w:rPr>
        <w:t xml:space="preserve">4.1.1  </w:t>
      </w:r>
      <w:r>
        <w:rPr>
          <w:rFonts w:hint="default" w:ascii="Times New Roman" w:hAnsi="Times New Roman" w:eastAsia="宋体" w:cs="Times New Roman"/>
          <w:spacing w:val="7"/>
          <w:sz w:val="20"/>
          <w:szCs w:val="20"/>
        </w:rPr>
        <w:t>产品分子式：</w:t>
      </w:r>
      <w:r>
        <w:rPr>
          <w:rFonts w:hint="default" w:ascii="Times New Roman" w:hAnsi="Times New Roman" w:eastAsia="宋体" w:cs="Times New Roman"/>
          <w:spacing w:val="7"/>
          <w:sz w:val="20"/>
          <w:szCs w:val="20"/>
          <w:lang w:val="en-US" w:eastAsia="zh-CN"/>
        </w:rPr>
        <w:t>CH</w:t>
      </w:r>
      <w:r>
        <w:rPr>
          <w:rFonts w:hint="default" w:ascii="Times New Roman" w:hAnsi="Times New Roman" w:eastAsia="宋体" w:cs="Times New Roman"/>
          <w:spacing w:val="7"/>
          <w:sz w:val="20"/>
          <w:szCs w:val="20"/>
          <w:vertAlign w:val="subscript"/>
          <w:lang w:val="en-US" w:eastAsia="zh-CN"/>
        </w:rPr>
        <w:t>3</w:t>
      </w:r>
      <w:r>
        <w:rPr>
          <w:rFonts w:hint="default" w:ascii="Times New Roman" w:hAnsi="Times New Roman" w:eastAsia="宋体" w:cs="Times New Roman"/>
          <w:spacing w:val="7"/>
          <w:sz w:val="20"/>
          <w:szCs w:val="20"/>
          <w:lang w:val="en-US" w:eastAsia="zh-CN"/>
        </w:rPr>
        <w:t>COO</w:t>
      </w:r>
      <w:r>
        <w:rPr>
          <w:rFonts w:hint="default" w:ascii="Times New Roman" w:hAnsi="Times New Roman" w:eastAsia="宋体" w:cs="Times New Roman"/>
          <w:sz w:val="20"/>
          <w:szCs w:val="20"/>
        </w:rPr>
        <w:t>Ag</w:t>
      </w:r>
      <w:r>
        <w:rPr>
          <w:rFonts w:hint="default" w:ascii="Times New Roman" w:hAnsi="Times New Roman" w:eastAsia="宋体" w:cs="Times New Roman"/>
          <w:spacing w:val="7"/>
          <w:sz w:val="20"/>
          <w:szCs w:val="20"/>
        </w:rPr>
        <w:t>。</w:t>
      </w:r>
    </w:p>
    <w:p w14:paraId="4B0F56DC">
      <w:pPr>
        <w:pStyle w:val="2"/>
        <w:spacing w:before="213" w:line="231" w:lineRule="auto"/>
        <w:ind w:left="119"/>
        <w:outlineLvl w:val="3"/>
        <w:rPr>
          <w:rFonts w:hint="default" w:ascii="Times New Roman" w:hAnsi="Times New Roman" w:eastAsia="宋体" w:cs="Times New Roman"/>
          <w:sz w:val="20"/>
          <w:szCs w:val="20"/>
        </w:rPr>
      </w:pPr>
      <w:r>
        <w:rPr>
          <w:rFonts w:hint="default" w:ascii="Times New Roman" w:hAnsi="Times New Roman" w:cs="Times New Roman"/>
          <w:spacing w:val="6"/>
          <w:sz w:val="20"/>
          <w:szCs w:val="20"/>
        </w:rPr>
        <w:t xml:space="preserve">4.1.2  </w:t>
      </w:r>
      <w:r>
        <w:rPr>
          <w:rFonts w:hint="default" w:ascii="Times New Roman" w:hAnsi="Times New Roman" w:eastAsia="宋体" w:cs="Times New Roman"/>
          <w:spacing w:val="6"/>
          <w:sz w:val="20"/>
          <w:szCs w:val="20"/>
        </w:rPr>
        <w:t>产品相对分子质量：</w:t>
      </w:r>
      <w:r>
        <w:rPr>
          <w:rFonts w:hint="default" w:ascii="Times New Roman" w:hAnsi="Times New Roman" w:eastAsia="宋体" w:cs="Times New Roman"/>
          <w:spacing w:val="6"/>
          <w:sz w:val="20"/>
          <w:szCs w:val="20"/>
          <w:lang w:val="en-US" w:eastAsia="zh-CN"/>
        </w:rPr>
        <w:t>166.91</w:t>
      </w:r>
      <w:r>
        <w:rPr>
          <w:rFonts w:hint="default" w:ascii="Times New Roman" w:hAnsi="Times New Roman" w:eastAsia="宋体" w:cs="Times New Roman"/>
          <w:spacing w:val="6"/>
          <w:sz w:val="20"/>
          <w:szCs w:val="20"/>
        </w:rPr>
        <w:t>。</w:t>
      </w:r>
    </w:p>
    <w:p w14:paraId="04F6E9FB">
      <w:pPr>
        <w:pStyle w:val="2"/>
        <w:spacing w:before="219" w:line="229" w:lineRule="auto"/>
        <w:ind w:left="119"/>
        <w:outlineLvl w:val="2"/>
        <w:rPr>
          <w:rFonts w:hint="default" w:ascii="Times New Roman" w:hAnsi="Times New Roman" w:cs="Times New Roman"/>
          <w:sz w:val="20"/>
          <w:szCs w:val="20"/>
        </w:rPr>
      </w:pPr>
      <w:r>
        <w:rPr>
          <w:rFonts w:hint="default" w:ascii="Times New Roman" w:hAnsi="Times New Roman" w:cs="Times New Roman"/>
          <w:spacing w:val="3"/>
          <w:sz w:val="20"/>
          <w:szCs w:val="20"/>
        </w:rPr>
        <w:t>4.2</w:t>
      </w:r>
      <w:r>
        <w:rPr>
          <w:rFonts w:hint="default" w:ascii="Times New Roman" w:hAnsi="Times New Roman" w:cs="Times New Roman"/>
          <w:spacing w:val="12"/>
          <w:sz w:val="20"/>
          <w:szCs w:val="20"/>
        </w:rPr>
        <w:t xml:space="preserve">  </w:t>
      </w:r>
      <w:r>
        <w:rPr>
          <w:rFonts w:hint="default" w:ascii="Times New Roman" w:hAnsi="Times New Roman" w:cs="Times New Roman"/>
          <w:spacing w:val="3"/>
          <w:sz w:val="20"/>
          <w:szCs w:val="20"/>
        </w:rPr>
        <w:t>分类</w:t>
      </w:r>
    </w:p>
    <w:p w14:paraId="64458258">
      <w:pPr>
        <w:spacing w:before="63" w:line="228" w:lineRule="auto"/>
        <w:ind w:left="544"/>
        <w:rPr>
          <w:rFonts w:hint="default" w:ascii="Times New Roman" w:hAnsi="Times New Roman" w:eastAsia="宋体" w:cs="Times New Roman"/>
          <w:sz w:val="20"/>
          <w:szCs w:val="20"/>
        </w:rPr>
      </w:pPr>
      <w:r>
        <w:rPr>
          <w:rFonts w:hint="default" w:ascii="Times New Roman" w:hAnsi="Times New Roman" w:eastAsia="宋体" w:cs="Times New Roman"/>
          <w:spacing w:val="8"/>
          <w:sz w:val="20"/>
          <w:szCs w:val="20"/>
        </w:rPr>
        <w:t>产品按技术指标划分为一级和二级。</w:t>
      </w:r>
    </w:p>
    <w:p w14:paraId="05AB40BD">
      <w:pPr>
        <w:spacing w:line="310" w:lineRule="auto"/>
        <w:rPr>
          <w:rFonts w:ascii="Arial"/>
          <w:sz w:val="21"/>
        </w:rPr>
      </w:pPr>
    </w:p>
    <w:p w14:paraId="7FB9660E">
      <w:pPr>
        <w:pStyle w:val="2"/>
        <w:spacing w:before="65" w:line="231" w:lineRule="auto"/>
        <w:ind w:left="119"/>
        <w:outlineLvl w:val="1"/>
        <w:rPr>
          <w:sz w:val="20"/>
          <w:szCs w:val="20"/>
        </w:rPr>
      </w:pPr>
      <w:r>
        <w:rPr>
          <w:spacing w:val="6"/>
          <w:sz w:val="20"/>
          <w:szCs w:val="20"/>
        </w:rPr>
        <w:t>5</w:t>
      </w:r>
      <w:r>
        <w:rPr>
          <w:spacing w:val="10"/>
          <w:sz w:val="20"/>
          <w:szCs w:val="20"/>
        </w:rPr>
        <w:t xml:space="preserve">  </w:t>
      </w:r>
      <w:r>
        <w:rPr>
          <w:spacing w:val="6"/>
          <w:sz w:val="20"/>
          <w:szCs w:val="20"/>
        </w:rPr>
        <w:t>技术要求</w:t>
      </w:r>
    </w:p>
    <w:p w14:paraId="2433FE01">
      <w:pPr>
        <w:spacing w:line="306" w:lineRule="auto"/>
        <w:rPr>
          <w:rFonts w:ascii="Arial"/>
          <w:sz w:val="21"/>
        </w:rPr>
      </w:pPr>
    </w:p>
    <w:p w14:paraId="2DBFA794">
      <w:pPr>
        <w:spacing w:before="66" w:line="228" w:lineRule="auto"/>
        <w:ind w:left="544"/>
        <w:outlineLvl w:val="2"/>
        <w:rPr>
          <w:rFonts w:ascii="宋体" w:hAnsi="宋体" w:eastAsia="宋体" w:cs="宋体"/>
          <w:sz w:val="20"/>
          <w:szCs w:val="20"/>
        </w:rPr>
      </w:pPr>
      <w:r>
        <w:rPr>
          <w:rFonts w:ascii="宋体" w:hAnsi="宋体" w:eastAsia="宋体" w:cs="宋体"/>
          <w:spacing w:val="5"/>
          <w:sz w:val="20"/>
          <w:szCs w:val="20"/>
        </w:rPr>
        <w:t>产品的技术要求应符合表</w:t>
      </w:r>
      <w:r>
        <w:rPr>
          <w:rFonts w:ascii="宋体" w:hAnsi="宋体" w:eastAsia="宋体" w:cs="宋体"/>
          <w:spacing w:val="-17"/>
          <w:sz w:val="20"/>
          <w:szCs w:val="20"/>
        </w:rPr>
        <w:t xml:space="preserve"> </w:t>
      </w:r>
      <w:r>
        <w:rPr>
          <w:rFonts w:ascii="宋体" w:hAnsi="宋体" w:eastAsia="宋体" w:cs="宋体"/>
          <w:spacing w:val="5"/>
          <w:sz w:val="20"/>
          <w:szCs w:val="20"/>
        </w:rPr>
        <w:t>1</w:t>
      </w:r>
      <w:r>
        <w:rPr>
          <w:rFonts w:ascii="宋体" w:hAnsi="宋体" w:eastAsia="宋体" w:cs="宋体"/>
          <w:spacing w:val="-24"/>
          <w:sz w:val="20"/>
          <w:szCs w:val="20"/>
        </w:rPr>
        <w:t xml:space="preserve"> </w:t>
      </w:r>
      <w:r>
        <w:rPr>
          <w:rFonts w:ascii="宋体" w:hAnsi="宋体" w:eastAsia="宋体" w:cs="宋体"/>
          <w:spacing w:val="5"/>
          <w:sz w:val="20"/>
          <w:szCs w:val="20"/>
        </w:rPr>
        <w:t>的规定。</w:t>
      </w:r>
    </w:p>
    <w:p w14:paraId="1E536852">
      <w:pPr>
        <w:pStyle w:val="2"/>
        <w:spacing w:before="142" w:line="229" w:lineRule="auto"/>
        <w:ind w:left="3752"/>
        <w:rPr>
          <w:sz w:val="20"/>
          <w:szCs w:val="20"/>
        </w:rPr>
      </w:pPr>
      <w:r>
        <w:rPr>
          <w:spacing w:val="5"/>
          <w:sz w:val="20"/>
          <w:szCs w:val="20"/>
        </w:rPr>
        <w:t>表</w:t>
      </w:r>
      <w:r>
        <w:rPr>
          <w:spacing w:val="29"/>
          <w:sz w:val="20"/>
          <w:szCs w:val="20"/>
        </w:rPr>
        <w:t xml:space="preserve"> </w:t>
      </w:r>
      <w:r>
        <w:rPr>
          <w:spacing w:val="5"/>
          <w:sz w:val="20"/>
          <w:szCs w:val="20"/>
        </w:rPr>
        <w:t xml:space="preserve">1 </w:t>
      </w:r>
      <w:r>
        <w:rPr>
          <w:rFonts w:hint="eastAsia"/>
          <w:spacing w:val="5"/>
          <w:sz w:val="20"/>
          <w:szCs w:val="20"/>
          <w:lang w:val="en-US" w:eastAsia="zh-CN"/>
        </w:rPr>
        <w:t>乙酸</w:t>
      </w:r>
      <w:r>
        <w:rPr>
          <w:spacing w:val="5"/>
          <w:sz w:val="20"/>
          <w:szCs w:val="20"/>
        </w:rPr>
        <w:t>银技术要求</w:t>
      </w:r>
    </w:p>
    <w:p w14:paraId="6CD6D33A">
      <w:pPr>
        <w:spacing w:line="91" w:lineRule="exact"/>
      </w:pPr>
    </w:p>
    <w:tbl>
      <w:tblPr>
        <w:tblStyle w:val="6"/>
        <w:tblW w:w="9643"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2"/>
        <w:gridCol w:w="1965"/>
        <w:gridCol w:w="1966"/>
        <w:gridCol w:w="2448"/>
        <w:gridCol w:w="2442"/>
      </w:tblGrid>
      <w:tr w14:paraId="20BC2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822" w:type="dxa"/>
            <w:vMerge w:val="restart"/>
            <w:tcBorders>
              <w:top w:val="single" w:color="000000" w:sz="6" w:space="0"/>
              <w:left w:val="single" w:color="000000" w:sz="6" w:space="0"/>
              <w:bottom w:val="nil"/>
            </w:tcBorders>
            <w:vAlign w:val="top"/>
          </w:tcPr>
          <w:p w14:paraId="32CE6704">
            <w:pPr>
              <w:pStyle w:val="7"/>
              <w:spacing w:before="239" w:line="221" w:lineRule="auto"/>
              <w:ind w:left="227"/>
            </w:pPr>
            <w:r>
              <w:rPr>
                <w:spacing w:val="-4"/>
              </w:rPr>
              <w:t>序号</w:t>
            </w:r>
          </w:p>
        </w:tc>
        <w:tc>
          <w:tcPr>
            <w:tcW w:w="3931" w:type="dxa"/>
            <w:gridSpan w:val="2"/>
            <w:vMerge w:val="restart"/>
            <w:tcBorders>
              <w:top w:val="single" w:color="000000" w:sz="6" w:space="0"/>
              <w:bottom w:val="nil"/>
            </w:tcBorders>
            <w:vAlign w:val="top"/>
          </w:tcPr>
          <w:p w14:paraId="4FF680E5">
            <w:pPr>
              <w:pStyle w:val="7"/>
              <w:spacing w:before="240" w:line="220" w:lineRule="auto"/>
              <w:ind w:left="1790"/>
            </w:pPr>
            <w:r>
              <w:rPr>
                <w:spacing w:val="-5"/>
              </w:rPr>
              <w:t>项目</w:t>
            </w:r>
          </w:p>
        </w:tc>
        <w:tc>
          <w:tcPr>
            <w:tcW w:w="4890" w:type="dxa"/>
            <w:gridSpan w:val="2"/>
            <w:tcBorders>
              <w:top w:val="single" w:color="000000" w:sz="6" w:space="0"/>
              <w:bottom w:val="single" w:color="000000" w:sz="6" w:space="0"/>
              <w:right w:val="single" w:color="000000" w:sz="6" w:space="0"/>
            </w:tcBorders>
            <w:vAlign w:val="top"/>
          </w:tcPr>
          <w:p w14:paraId="4A8705B6">
            <w:pPr>
              <w:pStyle w:val="7"/>
              <w:spacing w:before="72" w:line="220" w:lineRule="auto"/>
              <w:ind w:left="2269"/>
            </w:pPr>
            <w:r>
              <w:rPr>
                <w:spacing w:val="-5"/>
              </w:rPr>
              <w:t>指标</w:t>
            </w:r>
          </w:p>
        </w:tc>
      </w:tr>
      <w:tr w14:paraId="450EE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822" w:type="dxa"/>
            <w:vMerge w:val="continue"/>
            <w:tcBorders>
              <w:top w:val="nil"/>
              <w:left w:val="single" w:color="000000" w:sz="6" w:space="0"/>
            </w:tcBorders>
            <w:vAlign w:val="top"/>
          </w:tcPr>
          <w:p w14:paraId="1664CE63">
            <w:pPr>
              <w:rPr>
                <w:rFonts w:ascii="Arial"/>
                <w:sz w:val="21"/>
              </w:rPr>
            </w:pPr>
          </w:p>
        </w:tc>
        <w:tc>
          <w:tcPr>
            <w:tcW w:w="3931" w:type="dxa"/>
            <w:gridSpan w:val="2"/>
            <w:vMerge w:val="continue"/>
            <w:tcBorders>
              <w:top w:val="nil"/>
            </w:tcBorders>
            <w:vAlign w:val="top"/>
          </w:tcPr>
          <w:p w14:paraId="462C547C">
            <w:pPr>
              <w:rPr>
                <w:rFonts w:ascii="Arial"/>
                <w:sz w:val="21"/>
              </w:rPr>
            </w:pPr>
          </w:p>
        </w:tc>
        <w:tc>
          <w:tcPr>
            <w:tcW w:w="2448" w:type="dxa"/>
            <w:tcBorders>
              <w:top w:val="single" w:color="000000" w:sz="6" w:space="0"/>
            </w:tcBorders>
            <w:vAlign w:val="top"/>
          </w:tcPr>
          <w:p w14:paraId="44B54C31">
            <w:pPr>
              <w:pStyle w:val="7"/>
              <w:spacing w:before="64" w:line="221" w:lineRule="auto"/>
              <w:ind w:left="1053"/>
            </w:pPr>
            <w:r>
              <w:rPr>
                <w:spacing w:val="-5"/>
              </w:rPr>
              <w:t>一级</w:t>
            </w:r>
          </w:p>
        </w:tc>
        <w:tc>
          <w:tcPr>
            <w:tcW w:w="2442" w:type="dxa"/>
            <w:tcBorders>
              <w:top w:val="single" w:color="000000" w:sz="6" w:space="0"/>
              <w:right w:val="single" w:color="000000" w:sz="6" w:space="0"/>
            </w:tcBorders>
            <w:vAlign w:val="top"/>
          </w:tcPr>
          <w:p w14:paraId="758434A3">
            <w:pPr>
              <w:pStyle w:val="7"/>
              <w:spacing w:before="64" w:line="221" w:lineRule="auto"/>
              <w:ind w:left="1049"/>
            </w:pPr>
            <w:r>
              <w:rPr>
                <w:spacing w:val="-5"/>
              </w:rPr>
              <w:t>二级</w:t>
            </w:r>
          </w:p>
        </w:tc>
      </w:tr>
      <w:tr w14:paraId="23573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822" w:type="dxa"/>
            <w:tcBorders>
              <w:left w:val="single" w:color="000000" w:sz="6" w:space="0"/>
            </w:tcBorders>
            <w:vAlign w:val="top"/>
          </w:tcPr>
          <w:p w14:paraId="7B355CAC">
            <w:pPr>
              <w:pStyle w:val="7"/>
              <w:spacing w:before="72" w:line="237" w:lineRule="auto"/>
              <w:ind w:left="376"/>
            </w:pPr>
            <w:r>
              <w:t>1</w:t>
            </w:r>
          </w:p>
        </w:tc>
        <w:tc>
          <w:tcPr>
            <w:tcW w:w="1965" w:type="dxa"/>
            <w:vMerge w:val="restart"/>
            <w:tcBorders>
              <w:bottom w:val="nil"/>
            </w:tcBorders>
            <w:vAlign w:val="top"/>
          </w:tcPr>
          <w:p w14:paraId="59D0C8B1">
            <w:pPr>
              <w:pStyle w:val="7"/>
              <w:spacing w:before="238" w:line="220" w:lineRule="auto"/>
              <w:ind w:left="624"/>
            </w:pPr>
            <w:r>
              <w:rPr>
                <w:spacing w:val="-2"/>
              </w:rPr>
              <w:t>化学成分</w:t>
            </w:r>
          </w:p>
          <w:p w14:paraId="7A4A6938">
            <w:pPr>
              <w:pStyle w:val="7"/>
              <w:spacing w:before="97" w:line="219" w:lineRule="auto"/>
              <w:ind w:left="307"/>
            </w:pPr>
            <w:r>
              <w:rPr>
                <w:rFonts w:ascii="Times New Roman" w:hAnsi="Times New Roman" w:eastAsia="Times New Roman" w:cs="Times New Roman"/>
                <w:i/>
                <w:iCs/>
                <w:spacing w:val="-1"/>
              </w:rPr>
              <w:t>w</w:t>
            </w:r>
            <w:r>
              <w:rPr>
                <w:rFonts w:ascii="Times New Roman" w:hAnsi="Times New Roman" w:eastAsia="Times New Roman" w:cs="Times New Roman"/>
                <w:spacing w:val="-1"/>
              </w:rPr>
              <w:t>/</w:t>
            </w:r>
            <w:r>
              <w:rPr>
                <w:spacing w:val="-1"/>
              </w:rPr>
              <w:t>%（质量分数）</w:t>
            </w:r>
          </w:p>
        </w:tc>
        <w:tc>
          <w:tcPr>
            <w:tcW w:w="1966" w:type="dxa"/>
            <w:vAlign w:val="top"/>
          </w:tcPr>
          <w:p w14:paraId="3B643249">
            <w:pPr>
              <w:pStyle w:val="7"/>
              <w:spacing w:before="72" w:line="228" w:lineRule="auto"/>
              <w:jc w:val="center"/>
            </w:pPr>
            <w:r>
              <w:rPr>
                <w:rFonts w:hint="eastAsia"/>
                <w:lang w:val="en-US" w:eastAsia="zh-CN"/>
              </w:rPr>
              <w:t>乙酸</w:t>
            </w:r>
            <w:r>
              <w:t>银</w:t>
            </w:r>
            <w:r>
              <w:rPr>
                <w:sz w:val="18"/>
                <w:szCs w:val="18"/>
              </w:rPr>
              <w:t>（</w:t>
            </w:r>
            <w:r>
              <w:rPr>
                <w:rFonts w:hint="eastAsia" w:ascii="宋体" w:hAnsi="宋体" w:eastAsia="宋体" w:cs="宋体"/>
                <w:spacing w:val="7"/>
                <w:sz w:val="18"/>
                <w:szCs w:val="18"/>
                <w:lang w:val="en-US" w:eastAsia="zh-CN"/>
              </w:rPr>
              <w:t>CH</w:t>
            </w:r>
            <w:r>
              <w:rPr>
                <w:rFonts w:hint="eastAsia" w:ascii="宋体" w:hAnsi="宋体" w:eastAsia="宋体" w:cs="宋体"/>
                <w:spacing w:val="7"/>
                <w:sz w:val="18"/>
                <w:szCs w:val="18"/>
                <w:vertAlign w:val="subscript"/>
                <w:lang w:val="en-US" w:eastAsia="zh-CN"/>
              </w:rPr>
              <w:t>3</w:t>
            </w:r>
            <w:r>
              <w:rPr>
                <w:rFonts w:hint="eastAsia" w:ascii="宋体" w:hAnsi="宋体" w:eastAsia="宋体" w:cs="宋体"/>
                <w:spacing w:val="7"/>
                <w:sz w:val="18"/>
                <w:szCs w:val="18"/>
                <w:lang w:val="en-US" w:eastAsia="zh-CN"/>
              </w:rPr>
              <w:t>COO</w:t>
            </w:r>
            <w:r>
              <w:rPr>
                <w:rFonts w:ascii="宋体" w:hAnsi="宋体" w:eastAsia="宋体" w:cs="宋体"/>
                <w:sz w:val="18"/>
                <w:szCs w:val="18"/>
              </w:rPr>
              <w:t>Ag</w:t>
            </w:r>
            <w:r>
              <w:rPr>
                <w:sz w:val="18"/>
                <w:szCs w:val="18"/>
              </w:rPr>
              <w:t>）</w:t>
            </w:r>
          </w:p>
        </w:tc>
        <w:tc>
          <w:tcPr>
            <w:tcW w:w="2448" w:type="dxa"/>
            <w:vAlign w:val="top"/>
          </w:tcPr>
          <w:p w14:paraId="758CBE41">
            <w:pPr>
              <w:pStyle w:val="7"/>
              <w:spacing w:before="72" w:line="237" w:lineRule="auto"/>
              <w:ind w:left="977"/>
            </w:pPr>
            <w:r>
              <w:rPr>
                <w:spacing w:val="-5"/>
              </w:rPr>
              <w:t>≥99.0</w:t>
            </w:r>
          </w:p>
        </w:tc>
        <w:tc>
          <w:tcPr>
            <w:tcW w:w="2442" w:type="dxa"/>
            <w:tcBorders>
              <w:right w:val="single" w:color="000000" w:sz="6" w:space="0"/>
            </w:tcBorders>
            <w:vAlign w:val="top"/>
          </w:tcPr>
          <w:p w14:paraId="77C1186C">
            <w:pPr>
              <w:pStyle w:val="7"/>
              <w:spacing w:before="72" w:line="237" w:lineRule="auto"/>
              <w:ind w:left="975"/>
            </w:pPr>
            <w:r>
              <w:rPr>
                <w:spacing w:val="-5"/>
              </w:rPr>
              <w:t>≥98.0</w:t>
            </w:r>
          </w:p>
        </w:tc>
      </w:tr>
      <w:tr w14:paraId="108D24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822" w:type="dxa"/>
            <w:tcBorders>
              <w:left w:val="single" w:color="000000" w:sz="6" w:space="0"/>
            </w:tcBorders>
            <w:vAlign w:val="top"/>
          </w:tcPr>
          <w:p w14:paraId="6CD5121F">
            <w:pPr>
              <w:pStyle w:val="7"/>
              <w:spacing w:before="75" w:line="234" w:lineRule="auto"/>
              <w:ind w:left="365"/>
            </w:pPr>
            <w:r>
              <w:t>2</w:t>
            </w:r>
          </w:p>
        </w:tc>
        <w:tc>
          <w:tcPr>
            <w:tcW w:w="1965" w:type="dxa"/>
            <w:vMerge w:val="continue"/>
            <w:tcBorders>
              <w:top w:val="nil"/>
              <w:bottom w:val="nil"/>
            </w:tcBorders>
            <w:vAlign w:val="top"/>
          </w:tcPr>
          <w:p w14:paraId="167E6C99">
            <w:pPr>
              <w:rPr>
                <w:rFonts w:ascii="Arial"/>
                <w:sz w:val="21"/>
              </w:rPr>
            </w:pPr>
          </w:p>
        </w:tc>
        <w:tc>
          <w:tcPr>
            <w:tcW w:w="1966" w:type="dxa"/>
            <w:vAlign w:val="top"/>
          </w:tcPr>
          <w:p w14:paraId="72063838">
            <w:pPr>
              <w:pStyle w:val="7"/>
              <w:spacing w:before="75" w:line="221" w:lineRule="auto"/>
              <w:ind w:left="625"/>
              <w:jc w:val="center"/>
            </w:pPr>
            <w:r>
              <w:rPr>
                <w:spacing w:val="-2"/>
              </w:rPr>
              <w:t>铁（Fe）</w:t>
            </w:r>
          </w:p>
        </w:tc>
        <w:tc>
          <w:tcPr>
            <w:tcW w:w="2448" w:type="dxa"/>
            <w:vAlign w:val="top"/>
          </w:tcPr>
          <w:p w14:paraId="164D0553">
            <w:pPr>
              <w:pStyle w:val="7"/>
              <w:spacing w:before="75" w:line="234" w:lineRule="auto"/>
              <w:ind w:left="929"/>
            </w:pPr>
            <w:r>
              <w:rPr>
                <w:spacing w:val="-4"/>
              </w:rPr>
              <w:t>≤0.002</w:t>
            </w:r>
          </w:p>
        </w:tc>
        <w:tc>
          <w:tcPr>
            <w:tcW w:w="2442" w:type="dxa"/>
            <w:tcBorders>
              <w:right w:val="single" w:color="000000" w:sz="6" w:space="0"/>
            </w:tcBorders>
            <w:vAlign w:val="top"/>
          </w:tcPr>
          <w:p w14:paraId="36EFBC8F">
            <w:pPr>
              <w:pStyle w:val="7"/>
              <w:spacing w:before="75" w:line="234" w:lineRule="auto"/>
              <w:ind w:left="924"/>
            </w:pPr>
            <w:r>
              <w:rPr>
                <w:spacing w:val="-4"/>
              </w:rPr>
              <w:t>≤0.005</w:t>
            </w:r>
          </w:p>
        </w:tc>
      </w:tr>
      <w:tr w14:paraId="7713E6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822" w:type="dxa"/>
            <w:tcBorders>
              <w:left w:val="single" w:color="000000" w:sz="6" w:space="0"/>
              <w:bottom w:val="single" w:color="000000" w:sz="6" w:space="0"/>
            </w:tcBorders>
            <w:vAlign w:val="top"/>
          </w:tcPr>
          <w:p w14:paraId="0BB3E6A2">
            <w:pPr>
              <w:pStyle w:val="7"/>
              <w:spacing w:before="77"/>
              <w:ind w:left="366"/>
            </w:pPr>
            <w:r>
              <w:t>3</w:t>
            </w:r>
          </w:p>
        </w:tc>
        <w:tc>
          <w:tcPr>
            <w:tcW w:w="1965" w:type="dxa"/>
            <w:vMerge w:val="continue"/>
            <w:tcBorders>
              <w:top w:val="nil"/>
              <w:bottom w:val="single" w:color="000000" w:sz="6" w:space="0"/>
            </w:tcBorders>
            <w:vAlign w:val="top"/>
          </w:tcPr>
          <w:p w14:paraId="2FA7FBB7">
            <w:pPr>
              <w:rPr>
                <w:rFonts w:ascii="Arial"/>
                <w:sz w:val="21"/>
              </w:rPr>
            </w:pPr>
          </w:p>
        </w:tc>
        <w:tc>
          <w:tcPr>
            <w:tcW w:w="1966" w:type="dxa"/>
            <w:tcBorders>
              <w:bottom w:val="single" w:color="000000" w:sz="6" w:space="0"/>
            </w:tcBorders>
            <w:vAlign w:val="top"/>
          </w:tcPr>
          <w:p w14:paraId="22AED45E">
            <w:pPr>
              <w:pStyle w:val="7"/>
              <w:spacing w:before="77" w:line="221" w:lineRule="auto"/>
              <w:ind w:left="626"/>
              <w:jc w:val="center"/>
            </w:pPr>
            <w:r>
              <w:rPr>
                <w:spacing w:val="-2"/>
              </w:rPr>
              <w:t>铜（Cu）</w:t>
            </w:r>
          </w:p>
        </w:tc>
        <w:tc>
          <w:tcPr>
            <w:tcW w:w="2448" w:type="dxa"/>
            <w:tcBorders>
              <w:bottom w:val="single" w:color="000000" w:sz="6" w:space="0"/>
            </w:tcBorders>
            <w:vAlign w:val="top"/>
          </w:tcPr>
          <w:p w14:paraId="160C5764">
            <w:pPr>
              <w:pStyle w:val="7"/>
              <w:spacing w:before="78" w:line="236" w:lineRule="auto"/>
              <w:ind w:left="929"/>
            </w:pPr>
            <w:r>
              <w:rPr>
                <w:spacing w:val="-4"/>
              </w:rPr>
              <w:t>≤0.001</w:t>
            </w:r>
          </w:p>
        </w:tc>
        <w:tc>
          <w:tcPr>
            <w:tcW w:w="2442" w:type="dxa"/>
            <w:tcBorders>
              <w:bottom w:val="single" w:color="000000" w:sz="6" w:space="0"/>
              <w:right w:val="single" w:color="000000" w:sz="6" w:space="0"/>
            </w:tcBorders>
            <w:vAlign w:val="top"/>
          </w:tcPr>
          <w:p w14:paraId="5222A08B">
            <w:pPr>
              <w:pStyle w:val="7"/>
              <w:spacing w:before="78" w:line="236" w:lineRule="auto"/>
              <w:ind w:left="924"/>
            </w:pPr>
            <w:r>
              <w:rPr>
                <w:spacing w:val="-4"/>
              </w:rPr>
              <w:t>≤0.002</w:t>
            </w:r>
          </w:p>
        </w:tc>
      </w:tr>
    </w:tbl>
    <w:p w14:paraId="55FEF601">
      <w:pPr>
        <w:spacing w:line="161" w:lineRule="exact"/>
        <w:rPr>
          <w:rFonts w:ascii="Arial"/>
          <w:sz w:val="14"/>
        </w:rPr>
      </w:pPr>
    </w:p>
    <w:p w14:paraId="7B669CA5">
      <w:pPr>
        <w:spacing w:line="161" w:lineRule="exact"/>
        <w:rPr>
          <w:rFonts w:ascii="Arial" w:hAnsi="Arial" w:eastAsia="Arial" w:cs="Arial"/>
          <w:sz w:val="14"/>
          <w:szCs w:val="14"/>
        </w:rPr>
        <w:sectPr>
          <w:headerReference r:id="rId6" w:type="default"/>
          <w:footerReference r:id="rId7" w:type="default"/>
          <w:pgSz w:w="11906" w:h="16839"/>
          <w:pgMar w:top="1451" w:right="948" w:bottom="1504" w:left="1299" w:header="1129" w:footer="1342" w:gutter="0"/>
          <w:cols w:space="720" w:num="1"/>
        </w:sectPr>
      </w:pPr>
    </w:p>
    <w:p w14:paraId="444A5F3D">
      <w:pPr>
        <w:spacing w:line="201" w:lineRule="exact"/>
      </w:pPr>
    </w:p>
    <w:tbl>
      <w:tblPr>
        <w:tblStyle w:val="6"/>
        <w:tblW w:w="9643"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2"/>
        <w:gridCol w:w="671"/>
        <w:gridCol w:w="1294"/>
        <w:gridCol w:w="1966"/>
        <w:gridCol w:w="2448"/>
        <w:gridCol w:w="2442"/>
      </w:tblGrid>
      <w:tr w14:paraId="58153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822" w:type="dxa"/>
            <w:tcBorders>
              <w:top w:val="single" w:color="000000" w:sz="6" w:space="0"/>
              <w:left w:val="single" w:color="000000" w:sz="6" w:space="0"/>
            </w:tcBorders>
            <w:vAlign w:val="top"/>
          </w:tcPr>
          <w:p w14:paraId="5AFEED58">
            <w:pPr>
              <w:pStyle w:val="7"/>
              <w:spacing w:before="71" w:line="241" w:lineRule="auto"/>
              <w:ind w:left="362"/>
            </w:pPr>
            <w:r>
              <w:t>4</w:t>
            </w:r>
          </w:p>
        </w:tc>
        <w:tc>
          <w:tcPr>
            <w:tcW w:w="1965" w:type="dxa"/>
            <w:gridSpan w:val="2"/>
            <w:vMerge w:val="restart"/>
            <w:tcBorders>
              <w:top w:val="single" w:color="000000" w:sz="6" w:space="0"/>
              <w:bottom w:val="nil"/>
            </w:tcBorders>
            <w:vAlign w:val="top"/>
          </w:tcPr>
          <w:p w14:paraId="4C988AE9">
            <w:pPr>
              <w:rPr>
                <w:rFonts w:ascii="Arial"/>
                <w:sz w:val="21"/>
              </w:rPr>
            </w:pPr>
          </w:p>
        </w:tc>
        <w:tc>
          <w:tcPr>
            <w:tcW w:w="1966" w:type="dxa"/>
            <w:tcBorders>
              <w:top w:val="single" w:color="000000" w:sz="6" w:space="0"/>
            </w:tcBorders>
            <w:vAlign w:val="top"/>
          </w:tcPr>
          <w:p w14:paraId="54CA96A4">
            <w:pPr>
              <w:pStyle w:val="7"/>
              <w:spacing w:before="71" w:line="224" w:lineRule="auto"/>
              <w:ind w:left="626"/>
            </w:pPr>
            <w:r>
              <w:rPr>
                <w:spacing w:val="-2"/>
              </w:rPr>
              <w:t>铅（Pb）</w:t>
            </w:r>
          </w:p>
        </w:tc>
        <w:tc>
          <w:tcPr>
            <w:tcW w:w="2448" w:type="dxa"/>
            <w:tcBorders>
              <w:top w:val="single" w:color="000000" w:sz="6" w:space="0"/>
            </w:tcBorders>
            <w:vAlign w:val="top"/>
          </w:tcPr>
          <w:p w14:paraId="2629D302">
            <w:pPr>
              <w:pStyle w:val="7"/>
              <w:spacing w:before="71" w:line="236" w:lineRule="auto"/>
              <w:ind w:left="929"/>
            </w:pPr>
            <w:r>
              <w:rPr>
                <w:spacing w:val="-4"/>
              </w:rPr>
              <w:t>≤0.001</w:t>
            </w:r>
          </w:p>
        </w:tc>
        <w:tc>
          <w:tcPr>
            <w:tcW w:w="2442" w:type="dxa"/>
            <w:tcBorders>
              <w:top w:val="single" w:color="000000" w:sz="6" w:space="0"/>
              <w:right w:val="single" w:color="000000" w:sz="6" w:space="0"/>
            </w:tcBorders>
            <w:vAlign w:val="top"/>
          </w:tcPr>
          <w:p w14:paraId="4BD47E68">
            <w:pPr>
              <w:pStyle w:val="7"/>
              <w:spacing w:before="71" w:line="236" w:lineRule="auto"/>
              <w:ind w:left="924"/>
            </w:pPr>
            <w:r>
              <w:rPr>
                <w:spacing w:val="-4"/>
              </w:rPr>
              <w:t>≤0.002</w:t>
            </w:r>
          </w:p>
        </w:tc>
      </w:tr>
      <w:tr w14:paraId="4D24A0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822" w:type="dxa"/>
            <w:tcBorders>
              <w:left w:val="single" w:color="000000" w:sz="6" w:space="0"/>
            </w:tcBorders>
            <w:vAlign w:val="top"/>
          </w:tcPr>
          <w:p w14:paraId="21274351">
            <w:pPr>
              <w:pStyle w:val="7"/>
              <w:spacing w:before="68"/>
              <w:ind w:left="366"/>
            </w:pPr>
            <w:r>
              <w:t>5</w:t>
            </w:r>
          </w:p>
        </w:tc>
        <w:tc>
          <w:tcPr>
            <w:tcW w:w="1965" w:type="dxa"/>
            <w:gridSpan w:val="2"/>
            <w:vMerge w:val="continue"/>
            <w:tcBorders>
              <w:top w:val="nil"/>
            </w:tcBorders>
            <w:vAlign w:val="top"/>
          </w:tcPr>
          <w:p w14:paraId="6E71E2D9">
            <w:pPr>
              <w:rPr>
                <w:rFonts w:ascii="Arial"/>
                <w:sz w:val="21"/>
              </w:rPr>
            </w:pPr>
          </w:p>
        </w:tc>
        <w:tc>
          <w:tcPr>
            <w:tcW w:w="1966" w:type="dxa"/>
            <w:vAlign w:val="top"/>
          </w:tcPr>
          <w:p w14:paraId="74405FEF">
            <w:pPr>
              <w:pStyle w:val="7"/>
              <w:spacing w:before="68" w:line="227" w:lineRule="auto"/>
              <w:ind w:left="625"/>
            </w:pPr>
            <w:r>
              <w:rPr>
                <w:spacing w:val="-2"/>
              </w:rPr>
              <w:t>铋（Bi）</w:t>
            </w:r>
          </w:p>
        </w:tc>
        <w:tc>
          <w:tcPr>
            <w:tcW w:w="2448" w:type="dxa"/>
            <w:vAlign w:val="top"/>
          </w:tcPr>
          <w:p w14:paraId="620AE813">
            <w:pPr>
              <w:pStyle w:val="7"/>
              <w:spacing w:before="68" w:line="236" w:lineRule="auto"/>
              <w:ind w:left="929"/>
            </w:pPr>
            <w:r>
              <w:rPr>
                <w:spacing w:val="-4"/>
              </w:rPr>
              <w:t>≤0.001</w:t>
            </w:r>
          </w:p>
        </w:tc>
        <w:tc>
          <w:tcPr>
            <w:tcW w:w="2442" w:type="dxa"/>
            <w:tcBorders>
              <w:right w:val="single" w:color="000000" w:sz="6" w:space="0"/>
            </w:tcBorders>
            <w:vAlign w:val="top"/>
          </w:tcPr>
          <w:p w14:paraId="4C2E2E87">
            <w:pPr>
              <w:pStyle w:val="7"/>
              <w:spacing w:before="68" w:line="236" w:lineRule="auto"/>
              <w:ind w:left="924"/>
            </w:pPr>
            <w:r>
              <w:rPr>
                <w:spacing w:val="-4"/>
              </w:rPr>
              <w:t>≤0.002</w:t>
            </w:r>
          </w:p>
        </w:tc>
      </w:tr>
      <w:tr w14:paraId="07EE9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822" w:type="dxa"/>
            <w:tcBorders>
              <w:left w:val="single" w:color="000000" w:sz="6" w:space="0"/>
            </w:tcBorders>
            <w:vAlign w:val="top"/>
          </w:tcPr>
          <w:p w14:paraId="5CE86327">
            <w:pPr>
              <w:pStyle w:val="7"/>
              <w:spacing w:before="69"/>
              <w:ind w:left="364"/>
            </w:pPr>
            <w:r>
              <w:t>6</w:t>
            </w:r>
          </w:p>
        </w:tc>
        <w:tc>
          <w:tcPr>
            <w:tcW w:w="671" w:type="dxa"/>
            <w:vMerge w:val="restart"/>
            <w:tcBorders>
              <w:bottom w:val="nil"/>
            </w:tcBorders>
            <w:vAlign w:val="top"/>
          </w:tcPr>
          <w:p w14:paraId="551ABA9A">
            <w:pPr>
              <w:spacing w:line="335" w:lineRule="auto"/>
              <w:rPr>
                <w:rFonts w:ascii="Arial"/>
                <w:sz w:val="21"/>
              </w:rPr>
            </w:pPr>
          </w:p>
          <w:p w14:paraId="6BE01C74">
            <w:pPr>
              <w:pStyle w:val="7"/>
              <w:spacing w:before="59" w:line="323" w:lineRule="auto"/>
              <w:ind w:left="155" w:right="157" w:firstLine="2"/>
            </w:pPr>
            <w:r>
              <w:rPr>
                <w:spacing w:val="-5"/>
              </w:rPr>
              <w:t>溶解</w:t>
            </w:r>
            <w:r>
              <w:rPr>
                <w:spacing w:val="-4"/>
              </w:rPr>
              <w:t>试验</w:t>
            </w:r>
          </w:p>
        </w:tc>
        <w:tc>
          <w:tcPr>
            <w:tcW w:w="1294" w:type="dxa"/>
            <w:vMerge w:val="restart"/>
            <w:tcBorders>
              <w:bottom w:val="nil"/>
            </w:tcBorders>
            <w:vAlign w:val="top"/>
          </w:tcPr>
          <w:p w14:paraId="04115C75">
            <w:pPr>
              <w:pStyle w:val="7"/>
              <w:spacing w:before="235" w:line="236" w:lineRule="auto"/>
              <w:ind w:left="512"/>
            </w:pPr>
            <w:r>
              <w:rPr>
                <w:rFonts w:ascii="Times New Roman" w:hAnsi="Times New Roman" w:eastAsia="Times New Roman" w:cs="Times New Roman"/>
                <w:i/>
                <w:iCs/>
                <w:spacing w:val="-1"/>
              </w:rPr>
              <w:t>w</w:t>
            </w:r>
            <w:r>
              <w:rPr>
                <w:rFonts w:ascii="Times New Roman" w:hAnsi="Times New Roman" w:eastAsia="Times New Roman" w:cs="Times New Roman"/>
                <w:spacing w:val="-1"/>
              </w:rPr>
              <w:t>/</w:t>
            </w:r>
            <w:r>
              <w:rPr>
                <w:spacing w:val="-1"/>
              </w:rPr>
              <w:t>%</w:t>
            </w:r>
          </w:p>
          <w:p w14:paraId="15825FF7">
            <w:pPr>
              <w:pStyle w:val="7"/>
              <w:spacing w:before="82" w:line="219" w:lineRule="auto"/>
              <w:ind w:left="118"/>
            </w:pPr>
            <w:r>
              <w:rPr>
                <w:spacing w:val="-3"/>
              </w:rPr>
              <w:t>（质量分数）</w:t>
            </w:r>
          </w:p>
        </w:tc>
        <w:tc>
          <w:tcPr>
            <w:tcW w:w="1966" w:type="dxa"/>
            <w:vAlign w:val="top"/>
          </w:tcPr>
          <w:p w14:paraId="3FE8BF37">
            <w:pPr>
              <w:pStyle w:val="7"/>
              <w:spacing w:before="70" w:line="232" w:lineRule="auto"/>
              <w:ind w:left="222"/>
            </w:pPr>
            <w:r>
              <w:t>硝酸盐（以NO</w:t>
            </w:r>
            <w:r>
              <w:rPr>
                <w:position w:val="-2"/>
                <w:sz w:val="8"/>
                <w:szCs w:val="8"/>
              </w:rPr>
              <w:t>3</w:t>
            </w:r>
            <w:r>
              <w:rPr>
                <w:position w:val="9"/>
                <w:sz w:val="8"/>
                <w:szCs w:val="8"/>
              </w:rPr>
              <w:t>-</w:t>
            </w:r>
            <w:r>
              <w:t>计）</w:t>
            </w:r>
          </w:p>
        </w:tc>
        <w:tc>
          <w:tcPr>
            <w:tcW w:w="2448" w:type="dxa"/>
            <w:vAlign w:val="top"/>
          </w:tcPr>
          <w:p w14:paraId="24455BAF">
            <w:pPr>
              <w:pStyle w:val="7"/>
              <w:spacing w:before="70" w:line="236" w:lineRule="auto"/>
              <w:ind w:left="972"/>
              <w:rPr>
                <w:rFonts w:hint="eastAsia" w:eastAsia="宋体"/>
                <w:lang w:val="en-US" w:eastAsia="zh-CN"/>
              </w:rPr>
            </w:pPr>
            <w:r>
              <w:rPr>
                <w:spacing w:val="-4"/>
              </w:rPr>
              <w:t>≤0.0</w:t>
            </w:r>
            <w:r>
              <w:rPr>
                <w:rFonts w:hint="eastAsia"/>
                <w:spacing w:val="-4"/>
                <w:lang w:val="en-US" w:eastAsia="zh-CN"/>
              </w:rPr>
              <w:t>3</w:t>
            </w:r>
          </w:p>
        </w:tc>
        <w:tc>
          <w:tcPr>
            <w:tcW w:w="2442" w:type="dxa"/>
            <w:tcBorders>
              <w:right w:val="single" w:color="000000" w:sz="6" w:space="0"/>
            </w:tcBorders>
            <w:vAlign w:val="top"/>
          </w:tcPr>
          <w:p w14:paraId="11C3A87A">
            <w:pPr>
              <w:pStyle w:val="7"/>
              <w:spacing w:before="70" w:line="236" w:lineRule="auto"/>
              <w:ind w:left="970"/>
            </w:pPr>
            <w:r>
              <w:rPr>
                <w:spacing w:val="-4"/>
              </w:rPr>
              <w:t>≤0.05</w:t>
            </w:r>
          </w:p>
        </w:tc>
      </w:tr>
      <w:tr w14:paraId="1731D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822" w:type="dxa"/>
            <w:tcBorders>
              <w:left w:val="single" w:color="000000" w:sz="6" w:space="0"/>
            </w:tcBorders>
            <w:vAlign w:val="top"/>
          </w:tcPr>
          <w:p w14:paraId="6F3FF63D">
            <w:pPr>
              <w:pStyle w:val="7"/>
              <w:spacing w:before="71" w:line="239" w:lineRule="auto"/>
              <w:ind w:left="367"/>
            </w:pPr>
            <w:r>
              <w:t>7</w:t>
            </w:r>
          </w:p>
        </w:tc>
        <w:tc>
          <w:tcPr>
            <w:tcW w:w="671" w:type="dxa"/>
            <w:vMerge w:val="continue"/>
            <w:tcBorders>
              <w:top w:val="nil"/>
              <w:bottom w:val="nil"/>
            </w:tcBorders>
            <w:vAlign w:val="top"/>
          </w:tcPr>
          <w:p w14:paraId="21FC6125">
            <w:pPr>
              <w:rPr>
                <w:rFonts w:ascii="Arial"/>
                <w:sz w:val="21"/>
              </w:rPr>
            </w:pPr>
          </w:p>
        </w:tc>
        <w:tc>
          <w:tcPr>
            <w:tcW w:w="1294" w:type="dxa"/>
            <w:vMerge w:val="continue"/>
            <w:tcBorders>
              <w:top w:val="nil"/>
              <w:bottom w:val="nil"/>
            </w:tcBorders>
            <w:vAlign w:val="top"/>
          </w:tcPr>
          <w:p w14:paraId="4E7660EF">
            <w:pPr>
              <w:rPr>
                <w:rFonts w:ascii="Arial"/>
                <w:sz w:val="21"/>
              </w:rPr>
            </w:pPr>
          </w:p>
        </w:tc>
        <w:tc>
          <w:tcPr>
            <w:tcW w:w="1966" w:type="dxa"/>
            <w:vAlign w:val="top"/>
          </w:tcPr>
          <w:p w14:paraId="014667C6">
            <w:pPr>
              <w:pStyle w:val="7"/>
              <w:spacing w:before="71" w:line="221" w:lineRule="auto"/>
              <w:ind w:left="536"/>
            </w:pPr>
            <w:r>
              <w:rPr>
                <w:spacing w:val="-2"/>
              </w:rPr>
              <w:t>硝酸不溶物</w:t>
            </w:r>
          </w:p>
        </w:tc>
        <w:tc>
          <w:tcPr>
            <w:tcW w:w="2448" w:type="dxa"/>
            <w:vAlign w:val="top"/>
          </w:tcPr>
          <w:p w14:paraId="3050C8E9">
            <w:pPr>
              <w:pStyle w:val="7"/>
              <w:spacing w:before="71" w:line="236" w:lineRule="auto"/>
              <w:ind w:left="972"/>
            </w:pPr>
            <w:r>
              <w:rPr>
                <w:spacing w:val="-4"/>
              </w:rPr>
              <w:t>≤0.03</w:t>
            </w:r>
          </w:p>
        </w:tc>
        <w:tc>
          <w:tcPr>
            <w:tcW w:w="2442" w:type="dxa"/>
            <w:tcBorders>
              <w:right w:val="single" w:color="000000" w:sz="6" w:space="0"/>
            </w:tcBorders>
            <w:vAlign w:val="top"/>
          </w:tcPr>
          <w:p w14:paraId="18E04AE8">
            <w:pPr>
              <w:pStyle w:val="7"/>
              <w:spacing w:before="71" w:line="236" w:lineRule="auto"/>
              <w:ind w:left="970"/>
            </w:pPr>
            <w:r>
              <w:rPr>
                <w:spacing w:val="-4"/>
              </w:rPr>
              <w:t>≤0.05</w:t>
            </w:r>
          </w:p>
        </w:tc>
      </w:tr>
      <w:tr w14:paraId="59924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822" w:type="dxa"/>
            <w:tcBorders>
              <w:left w:val="single" w:color="000000" w:sz="6" w:space="0"/>
            </w:tcBorders>
            <w:vAlign w:val="top"/>
          </w:tcPr>
          <w:p w14:paraId="53634EA4">
            <w:pPr>
              <w:pStyle w:val="7"/>
              <w:spacing w:before="72" w:line="238" w:lineRule="auto"/>
              <w:ind w:left="363"/>
            </w:pPr>
            <w:r>
              <w:t>8</w:t>
            </w:r>
          </w:p>
        </w:tc>
        <w:tc>
          <w:tcPr>
            <w:tcW w:w="671" w:type="dxa"/>
            <w:vMerge w:val="continue"/>
            <w:tcBorders>
              <w:top w:val="nil"/>
              <w:bottom w:val="nil"/>
            </w:tcBorders>
            <w:vAlign w:val="top"/>
          </w:tcPr>
          <w:p w14:paraId="3806E181">
            <w:pPr>
              <w:rPr>
                <w:rFonts w:ascii="Arial"/>
                <w:sz w:val="21"/>
              </w:rPr>
            </w:pPr>
          </w:p>
        </w:tc>
        <w:tc>
          <w:tcPr>
            <w:tcW w:w="1294" w:type="dxa"/>
            <w:vMerge w:val="continue"/>
            <w:tcBorders>
              <w:top w:val="nil"/>
            </w:tcBorders>
            <w:vAlign w:val="top"/>
          </w:tcPr>
          <w:p w14:paraId="4E1C654B">
            <w:pPr>
              <w:rPr>
                <w:rFonts w:ascii="Arial"/>
                <w:sz w:val="21"/>
              </w:rPr>
            </w:pPr>
          </w:p>
        </w:tc>
        <w:tc>
          <w:tcPr>
            <w:tcW w:w="1966" w:type="dxa"/>
            <w:vAlign w:val="top"/>
          </w:tcPr>
          <w:p w14:paraId="771DEFF7">
            <w:pPr>
              <w:pStyle w:val="7"/>
              <w:spacing w:before="73" w:line="220" w:lineRule="auto"/>
              <w:ind w:left="448"/>
            </w:pPr>
            <w:r>
              <w:rPr>
                <w:spacing w:val="-2"/>
              </w:rPr>
              <w:t>盐酸不沉淀物</w:t>
            </w:r>
          </w:p>
        </w:tc>
        <w:tc>
          <w:tcPr>
            <w:tcW w:w="2448" w:type="dxa"/>
            <w:vAlign w:val="top"/>
          </w:tcPr>
          <w:p w14:paraId="43174F4F">
            <w:pPr>
              <w:pStyle w:val="7"/>
              <w:spacing w:before="73" w:line="236" w:lineRule="auto"/>
              <w:ind w:left="972"/>
            </w:pPr>
            <w:r>
              <w:rPr>
                <w:spacing w:val="-4"/>
              </w:rPr>
              <w:t>≤0.10</w:t>
            </w:r>
          </w:p>
        </w:tc>
        <w:tc>
          <w:tcPr>
            <w:tcW w:w="2442" w:type="dxa"/>
            <w:tcBorders>
              <w:right w:val="single" w:color="000000" w:sz="6" w:space="0"/>
            </w:tcBorders>
            <w:vAlign w:val="top"/>
          </w:tcPr>
          <w:p w14:paraId="4A5A8DFC">
            <w:pPr>
              <w:pStyle w:val="7"/>
              <w:spacing w:before="73" w:line="236" w:lineRule="auto"/>
              <w:ind w:left="970"/>
            </w:pPr>
            <w:r>
              <w:rPr>
                <w:spacing w:val="-4"/>
              </w:rPr>
              <w:t>≤0.15</w:t>
            </w:r>
          </w:p>
        </w:tc>
      </w:tr>
      <w:tr w14:paraId="7C166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822" w:type="dxa"/>
            <w:tcBorders>
              <w:left w:val="single" w:color="000000" w:sz="6" w:space="0"/>
            </w:tcBorders>
            <w:vAlign w:val="top"/>
          </w:tcPr>
          <w:p w14:paraId="56E391F4">
            <w:pPr>
              <w:pStyle w:val="7"/>
              <w:spacing w:before="77" w:line="233" w:lineRule="auto"/>
              <w:ind w:left="363"/>
            </w:pPr>
            <w:r>
              <w:t>9</w:t>
            </w:r>
          </w:p>
        </w:tc>
        <w:tc>
          <w:tcPr>
            <w:tcW w:w="671" w:type="dxa"/>
            <w:vMerge w:val="continue"/>
            <w:tcBorders>
              <w:top w:val="nil"/>
            </w:tcBorders>
            <w:vAlign w:val="top"/>
          </w:tcPr>
          <w:p w14:paraId="2832E87A">
            <w:pPr>
              <w:rPr>
                <w:rFonts w:ascii="Arial"/>
                <w:sz w:val="21"/>
              </w:rPr>
            </w:pPr>
          </w:p>
        </w:tc>
        <w:tc>
          <w:tcPr>
            <w:tcW w:w="1294" w:type="dxa"/>
            <w:vAlign w:val="top"/>
          </w:tcPr>
          <w:p w14:paraId="38DF26AE">
            <w:pPr>
              <w:pStyle w:val="7"/>
              <w:spacing w:before="77" w:line="221" w:lineRule="auto"/>
              <w:ind w:left="561"/>
            </w:pPr>
            <w:r>
              <w:t>号</w:t>
            </w:r>
          </w:p>
        </w:tc>
        <w:tc>
          <w:tcPr>
            <w:tcW w:w="1966" w:type="dxa"/>
            <w:vAlign w:val="top"/>
          </w:tcPr>
          <w:p w14:paraId="57B730A3">
            <w:pPr>
              <w:pStyle w:val="7"/>
              <w:spacing w:before="77" w:line="220" w:lineRule="auto"/>
              <w:ind w:left="715"/>
            </w:pPr>
            <w:r>
              <w:rPr>
                <w:spacing w:val="-3"/>
              </w:rPr>
              <w:t>澄清度</w:t>
            </w:r>
          </w:p>
        </w:tc>
        <w:tc>
          <w:tcPr>
            <w:tcW w:w="2448" w:type="dxa"/>
            <w:vAlign w:val="top"/>
          </w:tcPr>
          <w:p w14:paraId="7C969B5E">
            <w:pPr>
              <w:pStyle w:val="7"/>
              <w:spacing w:before="77" w:line="221" w:lineRule="auto"/>
              <w:ind w:left="1018"/>
            </w:pPr>
            <w:r>
              <w:rPr>
                <w:spacing w:val="-7"/>
              </w:rPr>
              <w:t>≤3号</w:t>
            </w:r>
          </w:p>
        </w:tc>
        <w:tc>
          <w:tcPr>
            <w:tcW w:w="2442" w:type="dxa"/>
            <w:tcBorders>
              <w:right w:val="single" w:color="000000" w:sz="6" w:space="0"/>
            </w:tcBorders>
            <w:vAlign w:val="top"/>
          </w:tcPr>
          <w:p w14:paraId="10675E27">
            <w:pPr>
              <w:pStyle w:val="7"/>
              <w:spacing w:before="77" w:line="221" w:lineRule="auto"/>
              <w:ind w:left="1013"/>
            </w:pPr>
            <w:r>
              <w:rPr>
                <w:spacing w:val="-7"/>
              </w:rPr>
              <w:t>≤5号</w:t>
            </w:r>
          </w:p>
        </w:tc>
      </w:tr>
      <w:tr w14:paraId="45EAAA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822" w:type="dxa"/>
            <w:tcBorders>
              <w:left w:val="single" w:color="000000" w:sz="6" w:space="0"/>
            </w:tcBorders>
            <w:vAlign w:val="top"/>
          </w:tcPr>
          <w:p w14:paraId="0D44E01B">
            <w:pPr>
              <w:pStyle w:val="7"/>
              <w:spacing w:before="78" w:line="232" w:lineRule="auto"/>
              <w:ind w:left="330"/>
            </w:pPr>
            <w:r>
              <w:rPr>
                <w:spacing w:val="-10"/>
              </w:rPr>
              <w:t>10</w:t>
            </w:r>
          </w:p>
        </w:tc>
        <w:tc>
          <w:tcPr>
            <w:tcW w:w="3931" w:type="dxa"/>
            <w:gridSpan w:val="3"/>
            <w:vAlign w:val="top"/>
          </w:tcPr>
          <w:p w14:paraId="1F32225E">
            <w:pPr>
              <w:pStyle w:val="7"/>
              <w:spacing w:before="79" w:line="220" w:lineRule="auto"/>
              <w:ind w:left="1611"/>
            </w:pPr>
            <w:r>
              <w:rPr>
                <w:spacing w:val="-3"/>
              </w:rPr>
              <w:t>外观质量</w:t>
            </w:r>
          </w:p>
        </w:tc>
        <w:tc>
          <w:tcPr>
            <w:tcW w:w="4890" w:type="dxa"/>
            <w:gridSpan w:val="2"/>
            <w:tcBorders>
              <w:right w:val="single" w:color="000000" w:sz="6" w:space="0"/>
            </w:tcBorders>
            <w:vAlign w:val="top"/>
          </w:tcPr>
          <w:p w14:paraId="63D1D641">
            <w:pPr>
              <w:pStyle w:val="7"/>
              <w:spacing w:before="79" w:line="219" w:lineRule="auto"/>
              <w:ind w:left="1098"/>
            </w:pPr>
            <w:r>
              <w:rPr>
                <w:rFonts w:hint="eastAsia" w:ascii="Times New Roman" w:hAnsi="Times New Roman" w:eastAsia="宋体" w:cstheme="minorEastAsia"/>
                <w:sz w:val="18"/>
                <w:szCs w:val="18"/>
                <w:lang w:val="en-US" w:eastAsia="zh-CN"/>
              </w:rPr>
              <w:t>白色或近似白色的结晶或结晶性粉末</w:t>
            </w:r>
            <w:r>
              <w:rPr>
                <w:spacing w:val="-1"/>
              </w:rPr>
              <w:t>。</w:t>
            </w:r>
          </w:p>
        </w:tc>
      </w:tr>
      <w:tr w14:paraId="6B3AB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9643" w:type="dxa"/>
            <w:gridSpan w:val="6"/>
            <w:tcBorders>
              <w:left w:val="single" w:color="000000" w:sz="6" w:space="0"/>
              <w:bottom w:val="single" w:color="000000" w:sz="6" w:space="0"/>
              <w:right w:val="single" w:color="000000" w:sz="6" w:space="0"/>
            </w:tcBorders>
            <w:vAlign w:val="top"/>
          </w:tcPr>
          <w:p w14:paraId="534CFB54">
            <w:pPr>
              <w:pStyle w:val="7"/>
              <w:spacing w:before="80" w:line="219" w:lineRule="auto"/>
              <w:ind w:left="468"/>
            </w:pPr>
            <w:r>
              <w:t>注：需方如果对其它杂质元素含量有特殊要求时，</w:t>
            </w:r>
            <w:r>
              <w:rPr>
                <w:spacing w:val="-1"/>
              </w:rPr>
              <w:t>可由供需双方商定。</w:t>
            </w:r>
          </w:p>
        </w:tc>
      </w:tr>
    </w:tbl>
    <w:p w14:paraId="42608327">
      <w:pPr>
        <w:spacing w:line="303" w:lineRule="auto"/>
        <w:rPr>
          <w:rFonts w:hint="default" w:ascii="Times New Roman" w:hAnsi="Times New Roman" w:cs="Times New Roman"/>
          <w:sz w:val="21"/>
        </w:rPr>
      </w:pPr>
    </w:p>
    <w:p w14:paraId="68F4775A">
      <w:pPr>
        <w:pStyle w:val="2"/>
        <w:spacing w:before="65" w:line="229" w:lineRule="auto"/>
        <w:ind w:left="123"/>
        <w:outlineLvl w:val="1"/>
        <w:rPr>
          <w:rFonts w:hint="default" w:ascii="Times New Roman" w:hAnsi="Times New Roman" w:cs="Times New Roman"/>
          <w:sz w:val="21"/>
        </w:rPr>
      </w:pPr>
      <w:r>
        <w:rPr>
          <w:rFonts w:hint="default" w:ascii="Times New Roman" w:hAnsi="Times New Roman" w:cs="Times New Roman"/>
          <w:spacing w:val="5"/>
          <w:sz w:val="20"/>
          <w:szCs w:val="20"/>
        </w:rPr>
        <w:t>6</w:t>
      </w:r>
      <w:r>
        <w:rPr>
          <w:rFonts w:hint="default" w:ascii="Times New Roman" w:hAnsi="Times New Roman" w:cs="Times New Roman"/>
          <w:spacing w:val="11"/>
          <w:sz w:val="20"/>
          <w:szCs w:val="20"/>
        </w:rPr>
        <w:t xml:space="preserve">  </w:t>
      </w:r>
      <w:r>
        <w:rPr>
          <w:rFonts w:hint="default" w:ascii="Times New Roman" w:hAnsi="Times New Roman" w:cs="Times New Roman"/>
          <w:spacing w:val="5"/>
          <w:sz w:val="20"/>
          <w:szCs w:val="20"/>
        </w:rPr>
        <w:t>试验方法</w:t>
      </w:r>
    </w:p>
    <w:p w14:paraId="1B6C669E">
      <w:pPr>
        <w:pStyle w:val="2"/>
        <w:spacing w:before="65" w:line="229" w:lineRule="auto"/>
        <w:ind w:left="123"/>
        <w:outlineLvl w:val="2"/>
        <w:rPr>
          <w:rFonts w:hint="default" w:ascii="Times New Roman" w:hAnsi="Times New Roman" w:cs="Times New Roman"/>
          <w:sz w:val="20"/>
          <w:szCs w:val="20"/>
        </w:rPr>
      </w:pPr>
      <w:r>
        <w:rPr>
          <w:rFonts w:hint="default" w:ascii="Times New Roman" w:hAnsi="Times New Roman" w:cs="Times New Roman"/>
          <w:spacing w:val="5"/>
          <w:sz w:val="20"/>
          <w:szCs w:val="20"/>
        </w:rPr>
        <w:t>6.1</w:t>
      </w:r>
      <w:r>
        <w:rPr>
          <w:rFonts w:hint="default" w:ascii="Times New Roman" w:hAnsi="Times New Roman" w:cs="Times New Roman"/>
          <w:spacing w:val="10"/>
          <w:sz w:val="20"/>
          <w:szCs w:val="20"/>
        </w:rPr>
        <w:t xml:space="preserve">  </w:t>
      </w:r>
      <w:r>
        <w:rPr>
          <w:rFonts w:hint="default" w:ascii="Times New Roman" w:hAnsi="Times New Roman" w:cs="Times New Roman"/>
          <w:spacing w:val="5"/>
          <w:sz w:val="20"/>
          <w:szCs w:val="20"/>
        </w:rPr>
        <w:t>化学成分</w:t>
      </w:r>
    </w:p>
    <w:p w14:paraId="2BED1736">
      <w:pPr>
        <w:pStyle w:val="2"/>
        <w:spacing w:before="219" w:line="229" w:lineRule="auto"/>
        <w:ind w:left="123"/>
        <w:outlineLvl w:val="3"/>
        <w:rPr>
          <w:rFonts w:hint="default" w:ascii="Times New Roman" w:hAnsi="Times New Roman" w:cs="Times New Roman"/>
          <w:sz w:val="20"/>
          <w:szCs w:val="20"/>
        </w:rPr>
      </w:pPr>
      <w:r>
        <w:rPr>
          <w:rFonts w:hint="default" w:ascii="Times New Roman" w:hAnsi="Times New Roman" w:cs="Times New Roman"/>
          <w:spacing w:val="6"/>
          <w:sz w:val="20"/>
          <w:szCs w:val="20"/>
        </w:rPr>
        <w:t xml:space="preserve">6.1.1  </w:t>
      </w:r>
      <w:r>
        <w:rPr>
          <w:rFonts w:hint="default" w:ascii="Times New Roman" w:hAnsi="Times New Roman" w:cs="Times New Roman"/>
          <w:spacing w:val="6"/>
          <w:sz w:val="20"/>
          <w:szCs w:val="20"/>
          <w:lang w:val="en-US" w:eastAsia="zh-CN"/>
        </w:rPr>
        <w:t>乙酸</w:t>
      </w:r>
      <w:r>
        <w:rPr>
          <w:rFonts w:hint="default" w:ascii="Times New Roman" w:hAnsi="Times New Roman" w:cs="Times New Roman"/>
          <w:spacing w:val="6"/>
          <w:sz w:val="20"/>
          <w:szCs w:val="20"/>
        </w:rPr>
        <w:t>银含量</w:t>
      </w:r>
    </w:p>
    <w:p w14:paraId="428155B8">
      <w:pPr>
        <w:spacing w:before="220" w:line="288" w:lineRule="auto"/>
        <w:ind w:left="126" w:right="246" w:firstLine="417"/>
        <w:jc w:val="both"/>
        <w:rPr>
          <w:rFonts w:hint="default" w:ascii="Times New Roman" w:hAnsi="Times New Roman" w:eastAsia="宋体" w:cs="Times New Roman"/>
          <w:sz w:val="20"/>
          <w:szCs w:val="20"/>
        </w:rPr>
      </w:pPr>
      <w:r>
        <w:rPr>
          <w:rFonts w:hint="default" w:ascii="Times New Roman" w:hAnsi="Times New Roman" w:eastAsia="宋体" w:cs="Times New Roman"/>
          <w:spacing w:val="8"/>
          <w:sz w:val="20"/>
          <w:szCs w:val="20"/>
        </w:rPr>
        <w:t>称取0.50 g样品，精确到0.0001 g, 置于100</w:t>
      </w:r>
      <w:r>
        <w:rPr>
          <w:rFonts w:hint="default" w:ascii="Times New Roman" w:hAnsi="Times New Roman" w:eastAsia="宋体" w:cs="Times New Roman"/>
          <w:spacing w:val="8"/>
          <w:sz w:val="20"/>
          <w:szCs w:val="20"/>
          <w:lang w:val="en-US" w:eastAsia="zh-CN"/>
        </w:rPr>
        <w:t xml:space="preserve"> </w:t>
      </w:r>
      <w:r>
        <w:rPr>
          <w:rFonts w:hint="default" w:ascii="Times New Roman" w:hAnsi="Times New Roman" w:eastAsia="宋体" w:cs="Times New Roman"/>
          <w:sz w:val="20"/>
          <w:szCs w:val="20"/>
        </w:rPr>
        <w:t>mL</w:t>
      </w:r>
      <w:r>
        <w:rPr>
          <w:rFonts w:hint="default" w:ascii="Times New Roman" w:hAnsi="Times New Roman" w:eastAsia="宋体" w:cs="Times New Roman"/>
          <w:spacing w:val="8"/>
          <w:sz w:val="20"/>
          <w:szCs w:val="20"/>
        </w:rPr>
        <w:t>烧杯中，加少量水润湿，加3</w:t>
      </w:r>
      <w:r>
        <w:rPr>
          <w:rFonts w:hint="default" w:ascii="Times New Roman" w:hAnsi="Times New Roman" w:eastAsia="宋体" w:cs="Times New Roman"/>
          <w:spacing w:val="8"/>
          <w:sz w:val="20"/>
          <w:szCs w:val="20"/>
          <w:lang w:val="en-US" w:eastAsia="zh-CN"/>
        </w:rPr>
        <w:t xml:space="preserve"> </w:t>
      </w:r>
      <w:r>
        <w:rPr>
          <w:rFonts w:hint="default" w:ascii="Times New Roman" w:hAnsi="Times New Roman" w:eastAsia="宋体" w:cs="Times New Roman"/>
          <w:sz w:val="20"/>
          <w:szCs w:val="20"/>
        </w:rPr>
        <w:t>mL</w:t>
      </w:r>
      <w:r>
        <w:rPr>
          <w:rFonts w:hint="default" w:ascii="Times New Roman" w:hAnsi="Times New Roman" w:eastAsia="宋体" w:cs="Times New Roman"/>
          <w:spacing w:val="8"/>
          <w:sz w:val="20"/>
          <w:szCs w:val="20"/>
        </w:rPr>
        <w:t>硝酸，盖上表面皿，70℃~90℃低温加热至样品溶解完全后，冷却至室温</w:t>
      </w:r>
      <w:r>
        <w:rPr>
          <w:rFonts w:hint="default" w:ascii="Times New Roman" w:hAnsi="Times New Roman" w:eastAsia="宋体" w:cs="Times New Roman"/>
          <w:spacing w:val="9"/>
          <w:sz w:val="20"/>
          <w:szCs w:val="20"/>
        </w:rPr>
        <w:t xml:space="preserve">，缓慢加水至50 </w:t>
      </w:r>
      <w:r>
        <w:rPr>
          <w:rFonts w:hint="default" w:ascii="Times New Roman" w:hAnsi="Times New Roman" w:eastAsia="宋体" w:cs="Times New Roman"/>
          <w:sz w:val="20"/>
          <w:szCs w:val="20"/>
        </w:rPr>
        <w:t>mL</w:t>
      </w:r>
      <w:r>
        <w:rPr>
          <w:rFonts w:hint="default" w:ascii="Times New Roman" w:hAnsi="Times New Roman" w:eastAsia="宋体" w:cs="Times New Roman"/>
          <w:spacing w:val="9"/>
          <w:sz w:val="20"/>
          <w:szCs w:val="20"/>
        </w:rPr>
        <w:t>。将银复合电极或银</w:t>
      </w:r>
      <w:r>
        <w:rPr>
          <w:rFonts w:hint="default" w:ascii="Times New Roman" w:hAnsi="Times New Roman" w:eastAsia="宋体" w:cs="Times New Roman"/>
          <w:spacing w:val="8"/>
          <w:sz w:val="20"/>
          <w:szCs w:val="20"/>
        </w:rPr>
        <w:t>电极及适合的参比电极插入试液中，开动搅拌器，用已标定的氯化钠标准滴定溶液（约0.500</w:t>
      </w:r>
      <w:r>
        <w:rPr>
          <w:rFonts w:hint="default" w:ascii="Times New Roman" w:hAnsi="Times New Roman" w:eastAsia="宋体" w:cs="Times New Roman"/>
          <w:spacing w:val="-39"/>
          <w:sz w:val="20"/>
          <w:szCs w:val="20"/>
        </w:rPr>
        <w:t xml:space="preserve"> </w:t>
      </w:r>
      <w:r>
        <w:rPr>
          <w:rFonts w:hint="default" w:ascii="Times New Roman" w:hAnsi="Times New Roman" w:eastAsia="宋体" w:cs="Times New Roman"/>
          <w:sz w:val="20"/>
          <w:szCs w:val="20"/>
        </w:rPr>
        <w:t>mol</w:t>
      </w:r>
      <w:r>
        <w:rPr>
          <w:rFonts w:hint="default" w:ascii="Times New Roman" w:hAnsi="Times New Roman" w:eastAsia="宋体" w:cs="Times New Roman"/>
          <w:spacing w:val="8"/>
          <w:sz w:val="20"/>
          <w:szCs w:val="20"/>
        </w:rPr>
        <w:t>/L）滴定至电位突跃最大即为终点，记录氯化钠标准滴</w:t>
      </w:r>
      <w:r>
        <w:rPr>
          <w:rFonts w:hint="default" w:ascii="Times New Roman" w:hAnsi="Times New Roman" w:eastAsia="宋体" w:cs="Times New Roman"/>
          <w:spacing w:val="9"/>
          <w:sz w:val="20"/>
          <w:szCs w:val="20"/>
        </w:rPr>
        <w:t>定溶液消耗的体积，</w:t>
      </w:r>
      <w:r>
        <w:rPr>
          <w:rFonts w:hint="default" w:ascii="Times New Roman" w:hAnsi="Times New Roman" w:eastAsia="宋体" w:cs="Times New Roman"/>
          <w:spacing w:val="9"/>
          <w:sz w:val="20"/>
          <w:szCs w:val="20"/>
          <w:lang w:val="en-US" w:eastAsia="zh-CN"/>
        </w:rPr>
        <w:t>乙酸</w:t>
      </w:r>
      <w:r>
        <w:rPr>
          <w:rFonts w:hint="default" w:ascii="Times New Roman" w:hAnsi="Times New Roman" w:eastAsia="宋体" w:cs="Times New Roman"/>
          <w:spacing w:val="9"/>
          <w:sz w:val="20"/>
          <w:szCs w:val="20"/>
        </w:rPr>
        <w:t>银的质量分数以</w:t>
      </w:r>
      <w:r>
        <w:rPr>
          <w:rFonts w:hint="default" w:ascii="Times New Roman" w:hAnsi="Times New Roman" w:eastAsia="宋体" w:cs="Times New Roman"/>
          <w:i/>
          <w:iCs/>
          <w:spacing w:val="9"/>
          <w:sz w:val="21"/>
          <w:szCs w:val="21"/>
        </w:rPr>
        <w:t>w</w:t>
      </w:r>
      <w:r>
        <w:rPr>
          <w:rFonts w:hint="default" w:ascii="Times New Roman" w:hAnsi="Times New Roman" w:eastAsia="宋体" w:cs="Times New Roman"/>
          <w:spacing w:val="9"/>
          <w:sz w:val="20"/>
          <w:szCs w:val="20"/>
        </w:rPr>
        <w:t>(</w:t>
      </w:r>
      <w:r>
        <w:rPr>
          <w:rFonts w:hint="default" w:ascii="Times New Roman" w:hAnsi="Times New Roman" w:eastAsia="宋体" w:cs="Times New Roman"/>
          <w:spacing w:val="7"/>
          <w:sz w:val="20"/>
          <w:szCs w:val="20"/>
          <w:lang w:val="en-US" w:eastAsia="zh-CN"/>
        </w:rPr>
        <w:t>CH</w:t>
      </w:r>
      <w:r>
        <w:rPr>
          <w:rFonts w:hint="default" w:ascii="Times New Roman" w:hAnsi="Times New Roman" w:eastAsia="宋体" w:cs="Times New Roman"/>
          <w:spacing w:val="7"/>
          <w:sz w:val="20"/>
          <w:szCs w:val="20"/>
          <w:vertAlign w:val="subscript"/>
          <w:lang w:val="en-US" w:eastAsia="zh-CN"/>
        </w:rPr>
        <w:t>3</w:t>
      </w:r>
      <w:r>
        <w:rPr>
          <w:rFonts w:hint="default" w:ascii="Times New Roman" w:hAnsi="Times New Roman" w:eastAsia="宋体" w:cs="Times New Roman"/>
          <w:spacing w:val="7"/>
          <w:sz w:val="20"/>
          <w:szCs w:val="20"/>
          <w:lang w:val="en-US" w:eastAsia="zh-CN"/>
        </w:rPr>
        <w:t>COO</w:t>
      </w:r>
      <w:r>
        <w:rPr>
          <w:rFonts w:hint="default" w:ascii="Times New Roman" w:hAnsi="Times New Roman" w:eastAsia="宋体" w:cs="Times New Roman"/>
          <w:sz w:val="20"/>
          <w:szCs w:val="20"/>
        </w:rPr>
        <w:t>Ag</w:t>
      </w:r>
      <w:r>
        <w:rPr>
          <w:rFonts w:hint="default" w:ascii="Times New Roman" w:hAnsi="Times New Roman" w:eastAsia="宋体" w:cs="Times New Roman"/>
          <w:spacing w:val="9"/>
          <w:sz w:val="20"/>
          <w:szCs w:val="20"/>
        </w:rPr>
        <w:t>)表示，按式（1）计算</w:t>
      </w:r>
      <w:r>
        <w:rPr>
          <w:rFonts w:hint="default" w:ascii="Times New Roman" w:hAnsi="Times New Roman" w:eastAsia="宋体" w:cs="Times New Roman"/>
          <w:spacing w:val="9"/>
          <w:sz w:val="20"/>
          <w:szCs w:val="20"/>
          <w:lang w:val="en-US" w:eastAsia="zh-CN"/>
        </w:rPr>
        <w:t>乙酸</w:t>
      </w:r>
      <w:r>
        <w:rPr>
          <w:rFonts w:hint="default" w:ascii="Times New Roman" w:hAnsi="Times New Roman" w:eastAsia="宋体" w:cs="Times New Roman"/>
          <w:spacing w:val="8"/>
          <w:sz w:val="20"/>
          <w:szCs w:val="20"/>
        </w:rPr>
        <w:t>银含量：</w:t>
      </w:r>
    </w:p>
    <w:p w14:paraId="5D45C9E3">
      <w:pPr>
        <w:pStyle w:val="9"/>
        <w:tabs>
          <w:tab w:val="center" w:pos="4201"/>
          <w:tab w:val="right" w:leader="dot" w:pos="9298"/>
        </w:tabs>
        <w:jc w:val="right"/>
        <w:rPr>
          <w:rFonts w:hint="default" w:ascii="Times New Roman" w:hAnsi="Times New Roman" w:eastAsia="宋体" w:cs="Times New Roman"/>
        </w:rPr>
      </w:pPr>
      <w:r>
        <w:rPr>
          <w:rFonts w:hint="default" w:ascii="Times New Roman" w:hAnsi="Times New Roman" w:eastAsia="宋体" w:cs="Times New Roman"/>
          <w:position w:val="-24"/>
        </w:rPr>
        <w:object>
          <v:shape id="_x0000_i1025" o:spt="75" type="#_x0000_t75" style="height:33pt;width:197pt;" o:ole="t" filled="f" o:preferrelative="t" stroked="f" coordsize="21600,21600">
            <v:path/>
            <v:fill on="f" focussize="0,0"/>
            <v:stroke on="f"/>
            <v:imagedata r:id="rId18" o:title=""/>
            <o:lock v:ext="edit" aspectratio="f"/>
            <w10:wrap type="none"/>
            <w10:anchorlock/>
          </v:shape>
          <o:OLEObject Type="Embed" ProgID="Equation.KSEE3" ShapeID="_x0000_i1025" DrawAspect="Content" ObjectID="_1468075725" r:id="rId17">
            <o:LockedField>false</o:LockedField>
          </o:OLEObject>
        </w:object>
      </w:r>
      <w:r>
        <w:rPr>
          <w:rFonts w:hint="default" w:ascii="Times New Roman" w:hAnsi="Times New Roman" w:eastAsia="宋体" w:cs="Times New Roman"/>
        </w:rPr>
        <w:t>×100</w:t>
      </w:r>
      <w:r>
        <w:rPr>
          <w:rFonts w:hint="default" w:ascii="Times New Roman" w:hAnsi="Times New Roman" w:cs="Times New Roman"/>
          <w:lang w:val="en-US" w:eastAsia="zh-CN"/>
        </w:rPr>
        <w:t>%</w:t>
      </w:r>
      <w:r>
        <w:rPr>
          <w:rFonts w:hint="default" w:ascii="Times New Roman" w:hAnsi="Times New Roman" w:eastAsia="宋体" w:cs="Times New Roman"/>
        </w:rPr>
        <w:t>···········································(1)</w:t>
      </w:r>
      <w:r>
        <w:rPr>
          <w:rFonts w:hint="default" w:ascii="Times New Roman" w:hAnsi="Times New Roman" w:eastAsia="宋体" w:cs="Times New Roman"/>
          <w:highlight w:val="yellow"/>
        </w:rPr>
        <w:fldChar w:fldCharType="begin"/>
      </w:r>
      <w:r>
        <w:rPr>
          <w:rFonts w:hint="default" w:ascii="Times New Roman" w:hAnsi="Times New Roman" w:eastAsia="宋体" w:cs="Times New Roman"/>
          <w:highlight w:val="yellow"/>
        </w:rPr>
        <w:instrText xml:space="preserve"> QUOTE </w:instrText>
      </w:r>
      <w:r>
        <w:rPr>
          <w:rFonts w:hint="default" w:ascii="Times New Roman" w:hAnsi="Times New Roman" w:eastAsia="宋体" w:cs="Times New Roman"/>
          <w:position w:val="-23"/>
          <w:highlight w:val="yellow"/>
        </w:rPr>
        <w:pict>
          <v:shape id="_x0000_i1026" o:spt="75" type="#_x0000_t75" style="height:31.2pt;width:118.8pt;" filled="f" stroked="f" coordsize="21600,21600" equationxml="&lt;?xml version=&quot;1.0&quot; encoding=&quot;UTF-8&quot; standalone=&quot;yes&quot;?&gt;&#13;&#10;&lt;?mso-application progid=&quot;Word.Document&quot;?&gt;&#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TotalTime&gt;0&lt;/o:TotalTime&gt;&lt;o:Version&gt;16&lt;/o:Version&gt;&lt;/o:DocumentProperties&gt;&lt;w:docPr&gt;&lt;w:view w:val=&quot;print&quot;/&gt;&lt;w:zoom w:percent=&quot;90&quot;/&gt;&lt;w:doNotEmbedSystemFonts/&gt;&lt;w:bordersDontSurroundHeader/&gt;&lt;w:bordersDontSurroundFooter/&gt;&lt;w:stylePaneFormatFilter w:val=&quot;3F01&quot;/&gt;&lt;w:documentProtection w:edit=&quot;forms&quot; w:enforcement=&quot;on&quot; w:unprotectPassword=&quot;C8E3CFDF&quot;/&gt;&lt;w:defaultTabStop w:val=&quot;420&quot;/&gt;&lt;w:punctuationKerning/&gt;&lt;w:characterSpacingControl w:val=&quot;DontCompress&quot;/&gt;&lt;w:webPageEncoding w:val=&quot;x-cp20936&quot;/&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commondata&quot; w:val=&quot;eyJoZGlkIjoiMGFhYzFkYThjYmFkYjFhOTVjODQ2MmQ0OGZiYmI3MjEifQ==&quot;/&gt;&lt;/w:docVars&gt;&lt;wsp:rsids&gt;&lt;wsp:rsidRoot wsp:val=&quot;00035925&quot;/&gt;&lt;wsp:rsid wsp:val=&quot;00000244&quot;/&gt;&lt;wsp:rsid wsp:val=&quot;0000185F&quot;/&gt;&lt;wsp:rsid wsp:val=&quot;0000586F&quot;/&gt;&lt;wsp:rsid wsp:val=&quot;00013D86&quot;/&gt;&lt;wsp:rsid wsp:val=&quot;00013E02&quot;/&gt;&lt;wsp:rsid wsp:val=&quot;0002143C&quot;/&gt;&lt;wsp:rsid wsp:val=&quot;00021733&quot;/&gt;&lt;wsp:rsid wsp:val=&quot;00025A65&quot;/&gt;&lt;wsp:rsid wsp:val=&quot;00026C31&quot;/&gt;&lt;wsp:rsid wsp:val=&quot;00027280&quot;/&gt;&lt;wsp:rsid wsp:val=&quot;000320A7&quot;/&gt;&lt;wsp:rsid wsp:val=&quot;00035925&quot;/&gt;&lt;wsp:rsid wsp:val=&quot;00056E69&quot;/&gt;&lt;wsp:rsid wsp:val=&quot;00067CDF&quot;/&gt;&lt;wsp:rsid wsp:val=&quot;00074FBE&quot;/&gt;&lt;wsp:rsid wsp:val=&quot;00083A09&quot;/&gt;&lt;wsp:rsid wsp:val=&quot;00085AC5&quot;/&gt;&lt;wsp:rsid wsp:val=&quot;0009005E&quot;/&gt;&lt;wsp:rsid wsp:val=&quot;00092857&quot;/&gt;&lt;wsp:rsid wsp:val=&quot;000A20A9&quot;/&gt;&lt;wsp:rsid wsp:val=&quot;000A48B1&quot;/&gt;&lt;wsp:rsid wsp:val=&quot;000B3143&quot;/&gt;&lt;wsp:rsid wsp:val=&quot;000B704D&quot;/&gt;&lt;wsp:rsid wsp:val=&quot;000C6B05&quot;/&gt;&lt;wsp:rsid wsp:val=&quot;000C6DD6&quot;/&gt;&lt;wsp:rsid wsp:val=&quot;000C73D4&quot;/&gt;&lt;wsp:rsid wsp:val=&quot;000D2CF3&quot;/&gt;&lt;wsp:rsid wsp:val=&quot;000D3D4C&quot;/&gt;&lt;wsp:rsid wsp:val=&quot;000D4F51&quot;/&gt;&lt;wsp:rsid wsp:val=&quot;000D718B&quot;/&gt;&lt;wsp:rsid wsp:val=&quot;000E0C46&quot;/&gt;&lt;wsp:rsid wsp:val=&quot;000F030C&quot;/&gt;&lt;wsp:rsid wsp:val=&quot;000F129C&quot;/&gt;&lt;wsp:rsid wsp:val=&quot;001056DE&quot;/&gt;&lt;wsp:rsid wsp:val=&quot;001124C0&quot;/&gt;&lt;wsp:rsid wsp:val=&quot;00123041&quot;/&gt;&lt;wsp:rsid wsp:val=&quot;0013175F&quot;/&gt;&lt;wsp:rsid wsp:val=&quot;001512B4&quot;/&gt;&lt;wsp:rsid wsp:val=&quot;001620A5&quot;/&gt;&lt;wsp:rsid wsp:val=&quot;00164E53&quot;/&gt;&lt;wsp:rsid wsp:val=&quot;0016699D&quot;/&gt;&lt;wsp:rsid wsp:val=&quot;00175159&quot;/&gt;&lt;wsp:rsid wsp:val=&quot;00176208&quot;/&gt;&lt;wsp:rsid wsp:val=&quot;0018211B&quot;/&gt;&lt;wsp:rsid wsp:val=&quot;001840D3&quot;/&gt;&lt;wsp:rsid wsp:val=&quot;001900F8&quot;/&gt;&lt;wsp:rsid wsp:val=&quot;00191258&quot;/&gt;&lt;wsp:rsid wsp:val=&quot;00192680&quot;/&gt;&lt;wsp:rsid wsp:val=&quot;00193037&quot;/&gt;&lt;wsp:rsid wsp:val=&quot;00193A2C&quot;/&gt;&lt;wsp:rsid wsp:val=&quot;001A288E&quot;/&gt;&lt;wsp:rsid wsp:val=&quot;001A3951&quot;/&gt;&lt;wsp:rsid wsp:val=&quot;001B6DC2&quot;/&gt;&lt;wsp:rsid wsp:val=&quot;001C149C&quot;/&gt;&lt;wsp:rsid wsp:val=&quot;001C21AC&quot;/&gt;&lt;wsp:rsid wsp:val=&quot;001C47BA&quot;/&gt;&lt;wsp:rsid wsp:val=&quot;001C59EA&quot;/&gt;&lt;wsp:rsid wsp:val=&quot;001D406C&quot;/&gt;&lt;wsp:rsid wsp:val=&quot;001D41EE&quot;/&gt;&lt;wsp:rsid wsp:val=&quot;001E0380&quot;/&gt;&lt;wsp:rsid wsp:val=&quot;001E13B1&quot;/&gt;&lt;wsp:rsid wsp:val=&quot;001F3A19&quot;/&gt;&lt;wsp:rsid wsp:val=&quot;00234467&quot;/&gt;&lt;wsp:rsid wsp:val=&quot;00237D8D&quot;/&gt;&lt;wsp:rsid wsp:val=&quot;00241DA2&quot;/&gt;&lt;wsp:rsid wsp:val=&quot;00247FEE&quot;/&gt;&lt;wsp:rsid wsp:val=&quot;00250E7D&quot;/&gt;&lt;wsp:rsid wsp:val=&quot;00252DAA&quot;/&gt;&lt;wsp:rsid wsp:val=&quot;002565D5&quot;/&gt;&lt;wsp:rsid wsp:val=&quot;00256A26&quot;/&gt;&lt;wsp:rsid wsp:val=&quot;002622C0&quot;/&gt;&lt;wsp:rsid wsp:val=&quot;002778AE&quot;/&gt;&lt;wsp:rsid wsp:val=&quot;0028269A&quot;/&gt;&lt;wsp:rsid wsp:val=&quot;00283590&quot;/&gt;&lt;wsp:rsid wsp:val=&quot;00286973&quot;/&gt;&lt;wsp:rsid wsp:val=&quot;00294E70&quot;/&gt;&lt;wsp:rsid wsp:val=&quot;002A1924&quot;/&gt;&lt;wsp:rsid wsp:val=&quot;002A7420&quot;/&gt;&lt;wsp:rsid wsp:val=&quot;002B0F12&quot;/&gt;&lt;wsp:rsid wsp:val=&quot;002B1308&quot;/&gt;&lt;wsp:rsid wsp:val=&quot;002B4554&quot;/&gt;&lt;wsp:rsid wsp:val=&quot;002C72D8&quot;/&gt;&lt;wsp:rsid wsp:val=&quot;002D11FA&quot;/&gt;&lt;wsp:rsid wsp:val=&quot;002E0DDF&quot;/&gt;&lt;wsp:rsid wsp:val=&quot;002E2906&quot;/&gt;&lt;wsp:rsid wsp:val=&quot;002E363B&quot;/&gt;&lt;wsp:rsid wsp:val=&quot;002E5635&quot;/&gt;&lt;wsp:rsid wsp:val=&quot;002E64C3&quot;/&gt;&lt;wsp:rsid wsp:val=&quot;002E6A2C&quot;/&gt;&lt;wsp:rsid wsp:val=&quot;002F1D8C&quot;/&gt;&lt;wsp:rsid wsp:val=&quot;002F21DA&quot;/&gt;&lt;wsp:rsid wsp:val=&quot;00301F39&quot;/&gt;&lt;wsp:rsid wsp:val=&quot;00325926&quot;/&gt;&lt;wsp:rsid wsp:val=&quot;00327A8A&quot;/&gt;&lt;wsp:rsid wsp:val=&quot;00336610&quot;/&gt;&lt;wsp:rsid wsp:val=&quot;00343F73&quot;/&gt;&lt;wsp:rsid wsp:val=&quot;00345060&quot;/&gt;&lt;wsp:rsid wsp:val=&quot;0035323B&quot;/&gt;&lt;wsp:rsid wsp:val=&quot;003609D2&quot;/&gt;&lt;wsp:rsid wsp:val=&quot;00363F22&quot;/&gt;&lt;wsp:rsid wsp:val=&quot;00375564&quot;/&gt;&lt;wsp:rsid wsp:val=&quot;00383191&quot;/&gt;&lt;wsp:rsid wsp:val=&quot;00386DED&quot;/&gt;&lt;wsp:rsid wsp:val=&quot;003903E1&quot;/&gt;&lt;wsp:rsid wsp:val=&quot;003912E7&quot;/&gt;&lt;wsp:rsid wsp:val=&quot;00393947&quot;/&gt;&lt;wsp:rsid wsp:val=&quot;003A2275&quot;/&gt;&lt;wsp:rsid wsp:val=&quot;003A6A4F&quot;/&gt;&lt;wsp:rsid wsp:val=&quot;003A7088&quot;/&gt;&lt;wsp:rsid wsp:val=&quot;003B00DF&quot;/&gt;&lt;wsp:rsid wsp:val=&quot;003B1275&quot;/&gt;&lt;wsp:rsid wsp:val=&quot;003B1778&quot;/&gt;&lt;wsp:rsid wsp:val=&quot;003C11CB&quot;/&gt;&lt;wsp:rsid wsp:val=&quot;003C75F3&quot;/&gt;&lt;wsp:rsid wsp:val=&quot;003C78A3&quot;/&gt;&lt;wsp:rsid wsp:val=&quot;003E1867&quot;/&gt;&lt;wsp:rsid wsp:val=&quot;003E5729&quot;/&gt;&lt;wsp:rsid wsp:val=&quot;003F4EE0&quot;/&gt;&lt;wsp:rsid wsp:val=&quot;00402153&quot;/&gt;&lt;wsp:rsid wsp:val=&quot;00402FC1&quot;/&gt;&lt;wsp:rsid wsp:val=&quot;00425082&quot;/&gt;&lt;wsp:rsid wsp:val=&quot;00431DEB&quot;/&gt;&lt;wsp:rsid wsp:val=&quot;00446B29&quot;/&gt;&lt;wsp:rsid wsp:val=&quot;00453F9A&quot;/&gt;&lt;wsp:rsid wsp:val=&quot;00471E91&quot;/&gt;&lt;wsp:rsid wsp:val=&quot;00474675&quot;/&gt;&lt;wsp:rsid wsp:val=&quot;0047470C&quot;/&gt;&lt;wsp:rsid wsp:val=&quot;004A35F9&quot;/&gt;&lt;wsp:rsid wsp:val=&quot;004A4747&quot;/&gt;&lt;wsp:rsid wsp:val=&quot;004B24C1&quot;/&gt;&lt;wsp:rsid wsp:val=&quot;004C292F&quot;/&gt;&lt;wsp:rsid wsp:val=&quot;00510280&quot;/&gt;&lt;wsp:rsid wsp:val=&quot;00513D73&quot;/&gt;&lt;wsp:rsid wsp:val=&quot;00514A43&quot;/&gt;&lt;wsp:rsid wsp:val=&quot;005174E5&quot;/&gt;&lt;wsp:rsid wsp:val=&quot;005210F1&quot;/&gt;&lt;wsp:rsid wsp:val=&quot;00522393&quot;/&gt;&lt;wsp:rsid wsp:val=&quot;00522620&quot;/&gt;&lt;wsp:rsid wsp:val=&quot;00525656&quot;/&gt;&lt;wsp:rsid wsp:val=&quot;00534C02&quot;/&gt;&lt;wsp:rsid wsp:val=&quot;0054264B&quot;/&gt;&lt;wsp:rsid wsp:val=&quot;00543786&quot;/&gt;&lt;wsp:rsid wsp:val=&quot;005533D7&quot;/&gt;&lt;wsp:rsid wsp:val=&quot;005703DE&quot;/&gt;&lt;wsp:rsid wsp:val=&quot;0057170B&quot;/&gt;&lt;wsp:rsid wsp:val=&quot;0058464E&quot;/&gt;&lt;wsp:rsid wsp:val=&quot;00593B48&quot;/&gt;&lt;wsp:rsid wsp:val=&quot;005A01CB&quot;/&gt;&lt;wsp:rsid wsp:val=&quot;005A58FF&quot;/&gt;&lt;wsp:rsid wsp:val=&quot;005A5EAF&quot;/&gt;&lt;wsp:rsid wsp:val=&quot;005A64C0&quot;/&gt;&lt;wsp:rsid wsp:val=&quot;005A75FB&quot;/&gt;&lt;wsp:rsid wsp:val=&quot;005B3C11&quot;/&gt;&lt;wsp:rsid wsp:val=&quot;005C1C28&quot;/&gt;&lt;wsp:rsid wsp:val=&quot;005C6DB5&quot;/&gt;&lt;wsp:rsid wsp:val=&quot;005D2369&quot;/&gt;&lt;wsp:rsid wsp:val=&quot;005E19E7&quot;/&gt;&lt;wsp:rsid wsp:val=&quot;005F0D35&quot;/&gt;&lt;wsp:rsid wsp:val=&quot;0061716C&quot;/&gt;&lt;wsp:rsid wsp:val=&quot;006243A1&quot;/&gt;&lt;wsp:rsid wsp:val=&quot;00632E56&quot;/&gt;&lt;wsp:rsid wsp:val=&quot;00635CBA&quot;/&gt;&lt;wsp:rsid wsp:val=&quot;0064338B&quot;/&gt;&lt;wsp:rsid wsp:val=&quot;00646542&quot;/&gt;&lt;wsp:rsid wsp:val=&quot;006504F4&quot;/&gt;&lt;wsp:rsid wsp:val=&quot;00654BC9&quot;/&gt;&lt;wsp:rsid wsp:val=&quot;006552FD&quot;/&gt;&lt;wsp:rsid wsp:val=&quot;00663AF3&quot;/&gt;&lt;wsp:rsid wsp:val=&quot;00666B6C&quot;/&gt;&lt;wsp:rsid wsp:val=&quot;00682682&quot;/&gt;&lt;wsp:rsid wsp:val=&quot;00682702&quot;/&gt;&lt;wsp:rsid wsp:val=&quot;00682CAE&quot;/&gt;&lt;wsp:rsid wsp:val=&quot;00692368&quot;/&gt;&lt;wsp:rsid wsp:val=&quot;006A2EBC&quot;/&gt;&lt;wsp:rsid wsp:val=&quot;006A5EA0&quot;/&gt;&lt;wsp:rsid wsp:val=&quot;006A783B&quot;/&gt;&lt;wsp:rsid wsp:val=&quot;006A7B33&quot;/&gt;&lt;wsp:rsid wsp:val=&quot;006B4E13&quot;/&gt;&lt;wsp:rsid wsp:val=&quot;006B75DD&quot;/&gt;&lt;wsp:rsid wsp:val=&quot;006C67E0&quot;/&gt;&lt;wsp:rsid wsp:val=&quot;006C7ABA&quot;/&gt;&lt;wsp:rsid wsp:val=&quot;006D0D60&quot;/&gt;&lt;wsp:rsid wsp:val=&quot;006D1122&quot;/&gt;&lt;wsp:rsid wsp:val=&quot;006D3C00&quot;/&gt;&lt;wsp:rsid wsp:val=&quot;006D6CF4&quot;/&gt;&lt;wsp:rsid wsp:val=&quot;006E3675&quot;/&gt;&lt;wsp:rsid wsp:val=&quot;006E41CE&quot;/&gt;&lt;wsp:rsid wsp:val=&quot;006E4A7F&quot;/&gt;&lt;wsp:rsid wsp:val=&quot;00704DF6&quot;/&gt;&lt;wsp:rsid wsp:val=&quot;0070651C&quot;/&gt;&lt;wsp:rsid wsp:val=&quot;007132A3&quot;/&gt;&lt;wsp:rsid wsp:val=&quot;00716421&quot;/&gt;&lt;wsp:rsid wsp:val=&quot;00724EFB&quot;/&gt;&lt;wsp:rsid wsp:val=&quot;007419C3&quot;/&gt;&lt;wsp:rsid wsp:val=&quot;00744F22&quot;/&gt;&lt;wsp:rsid wsp:val=&quot;007467A7&quot;/&gt;&lt;wsp:rsid wsp:val=&quot;007469DD&quot;/&gt;&lt;wsp:rsid wsp:val=&quot;0074741B&quot;/&gt;&lt;wsp:rsid wsp:val=&quot;0074759E&quot;/&gt;&lt;wsp:rsid wsp:val=&quot;007478EA&quot;/&gt;&lt;wsp:rsid wsp:val=&quot;0075415C&quot;/&gt;&lt;wsp:rsid wsp:val=&quot;007565C1&quot;/&gt;&lt;wsp:rsid wsp:val=&quot;00763502&quot;/&gt;&lt;wsp:rsid wsp:val=&quot;007913AB&quot;/&gt;&lt;wsp:rsid wsp:val=&quot;007914F7&quot;/&gt;&lt;wsp:rsid wsp:val=&quot;0079678D&quot;/&gt;&lt;wsp:rsid wsp:val=&quot;007A7715&quot;/&gt;&lt;wsp:rsid wsp:val=&quot;007B1625&quot;/&gt;&lt;wsp:rsid wsp:val=&quot;007B37D1&quot;/&gt;&lt;wsp:rsid wsp:val=&quot;007B706E&quot;/&gt;&lt;wsp:rsid wsp:val=&quot;007B71EB&quot;/&gt;&lt;wsp:rsid wsp:val=&quot;007C6205&quot;/&gt;&lt;wsp:rsid wsp:val=&quot;007C686A&quot;/&gt;&lt;wsp:rsid wsp:val=&quot;007C728E&quot;/&gt;&lt;wsp:rsid wsp:val=&quot;007D2C53&quot;/&gt;&lt;wsp:rsid wsp:val=&quot;007D3D60&quot;/&gt;&lt;wsp:rsid wsp:val=&quot;007E1980&quot;/&gt;&lt;wsp:rsid wsp:val=&quot;007E4B76&quot;/&gt;&lt;wsp:rsid wsp:val=&quot;007E5EA8&quot;/&gt;&lt;wsp:rsid wsp:val=&quot;007F0CF1&quot;/&gt;&lt;wsp:rsid wsp:val=&quot;007F12A5&quot;/&gt;&lt;wsp:rsid wsp:val=&quot;007F4CF1&quot;/&gt;&lt;wsp:rsid wsp:val=&quot;007F758D&quot;/&gt;&lt;wsp:rsid wsp:val=&quot;007F7D52&quot;/&gt;&lt;wsp:rsid wsp:val=&quot;00802A9A&quot;/&gt;&lt;wsp:rsid wsp:val=&quot;0080654C&quot;/&gt;&lt;wsp:rsid wsp:val=&quot;008071C6&quot;/&gt;&lt;wsp:rsid wsp:val=&quot;00812678&quot;/&gt;&lt;wsp:rsid wsp:val=&quot;00817A00&quot;/&gt;&lt;wsp:rsid wsp:val=&quot;00835DB3&quot;/&gt;&lt;wsp:rsid wsp:val=&quot;0083617B&quot;/&gt;&lt;wsp:rsid wsp:val=&quot;008371BD&quot;/&gt;&lt;wsp:rsid wsp:val=&quot;008504A8&quot;/&gt;&lt;wsp:rsid wsp:val=&quot;0085282E&quot;/&gt;&lt;wsp:rsid wsp:val=&quot;00856CC1&quot;/&gt;&lt;wsp:rsid wsp:val=&quot;0086551A&quot;/&gt;&lt;wsp:rsid wsp:val=&quot;0087198C&quot;/&gt;&lt;wsp:rsid wsp:val=&quot;00872C1F&quot;/&gt;&lt;wsp:rsid wsp:val=&quot;00873B42&quot;/&gt;&lt;wsp:rsid wsp:val=&quot;008856D8&quot;/&gt;&lt;wsp:rsid wsp:val=&quot;00892E82&quot;/&gt;&lt;wsp:rsid wsp:val=&quot;008C1B58&quot;/&gt;&lt;wsp:rsid wsp:val=&quot;008C39AE&quot;/&gt;&lt;wsp:rsid wsp:val=&quot;008C590D&quot;/&gt;&lt;wsp:rsid wsp:val=&quot;008D32CE&quot;/&gt;&lt;wsp:rsid wsp:val=&quot;008E031B&quot;/&gt;&lt;wsp:rsid wsp:val=&quot;008E7029&quot;/&gt;&lt;wsp:rsid wsp:val=&quot;008E7EF6&quot;/&gt;&lt;wsp:rsid wsp:val=&quot;008F1F98&quot;/&gt;&lt;wsp:rsid wsp:val=&quot;008F30CF&quot;/&gt;&lt;wsp:rsid wsp:val=&quot;008F6758&quot;/&gt;&lt;wsp:rsid wsp:val=&quot;009040DD&quot;/&gt;&lt;wsp:rsid wsp:val=&quot;00905B47&quot;/&gt;&lt;wsp:rsid wsp:val=&quot;0091331C&quot;/&gt;&lt;wsp:rsid wsp:val=&quot;00913724&quot;/&gt;&lt;wsp:rsid wsp:val=&quot;009279DE&quot;/&gt;&lt;wsp:rsid wsp:val=&quot;00930116&quot;/&gt;&lt;wsp:rsid wsp:val=&quot;0094212C&quot;/&gt;&lt;wsp:rsid wsp:val=&quot;00954689&quot;/&gt;&lt;wsp:rsid wsp:val=&quot;009617C9&quot;/&gt;&lt;wsp:rsid wsp:val=&quot;00961C93&quot;/&gt;&lt;wsp:rsid wsp:val=&quot;00965324&quot;/&gt;&lt;wsp:rsid wsp:val=&quot;0097091E&quot;/&gt;&lt;wsp:rsid wsp:val=&quot;009760D3&quot;/&gt;&lt;wsp:rsid wsp:val=&quot;00977132&quot;/&gt;&lt;wsp:rsid wsp:val=&quot;00981A4B&quot;/&gt;&lt;wsp:rsid wsp:val=&quot;00982501&quot;/&gt;&lt;wsp:rsid wsp:val=&quot;009877D3&quot;/&gt;&lt;wsp:rsid wsp:val=&quot;00994E8F&quot;/&gt;&lt;wsp:rsid wsp:val=&quot;009951DC&quot;/&gt;&lt;wsp:rsid wsp:val=&quot;009959BB&quot;/&gt;&lt;wsp:rsid wsp:val=&quot;00997158&quot;/&gt;&lt;wsp:rsid wsp:val=&quot;009A3A7C&quot;/&gt;&lt;wsp:rsid wsp:val=&quot;009B2ADB&quot;/&gt;&lt;wsp:rsid wsp:val=&quot;009B603A&quot;/&gt;&lt;wsp:rsid wsp:val=&quot;009C2D0E&quot;/&gt;&lt;wsp:rsid wsp:val=&quot;009C3DAC&quot;/&gt;&lt;wsp:rsid wsp:val=&quot;009C42E0&quot;/&gt;&lt;wsp:rsid wsp:val=&quot;009C4AC9&quot;/&gt;&lt;wsp:rsid wsp:val=&quot;009D5362&quot;/&gt;&lt;wsp:rsid wsp:val=&quot;009E1415&quot;/&gt;&lt;wsp:rsid wsp:val=&quot;009E6116&quot;/&gt;&lt;wsp:rsid wsp:val=&quot;00A02E43&quot;/&gt;&lt;wsp:rsid wsp:val=&quot;00A065F9&quot;/&gt;&lt;wsp:rsid wsp:val=&quot;00A07F34&quot;/&gt;&lt;wsp:rsid wsp:val=&quot;00A22154&quot;/&gt;&lt;wsp:rsid wsp:val=&quot;00A25C38&quot;/&gt;&lt;wsp:rsid wsp:val=&quot;00A36BBE&quot;/&gt;&lt;wsp:rsid wsp:val=&quot;00A4307A&quot;/&gt;&lt;wsp:rsid wsp:val=&quot;00A47EBB&quot;/&gt;&lt;wsp:rsid wsp:val=&quot;00A51CDD&quot;/&gt;&lt;wsp:rsid wsp:val=&quot;00A6730D&quot;/&gt;&lt;wsp:rsid wsp:val=&quot;00A71625&quot;/&gt;&lt;wsp:rsid wsp:val=&quot;00A71B9B&quot;/&gt;&lt;wsp:rsid wsp:val=&quot;00A751C7&quot;/&gt;&lt;wsp:rsid wsp:val=&quot;00A86355&quot;/&gt;&lt;wsp:rsid wsp:val=&quot;00A87844&quot;/&gt;&lt;wsp:rsid wsp:val=&quot;00A96215&quot;/&gt;&lt;wsp:rsid wsp:val=&quot;00AA038C&quot;/&gt;&lt;wsp:rsid wsp:val=&quot;00AA631F&quot;/&gt;&lt;wsp:rsid wsp:val=&quot;00AA7A09&quot;/&gt;&lt;wsp:rsid wsp:val=&quot;00AB3B50&quot;/&gt;&lt;wsp:rsid wsp:val=&quot;00AB7BD5&quot;/&gt;&lt;wsp:rsid wsp:val=&quot;00AC05B1&quot;/&gt;&lt;wsp:rsid wsp:val=&quot;00AD356C&quot;/&gt;&lt;wsp:rsid wsp:val=&quot;00AE2914&quot;/&gt;&lt;wsp:rsid wsp:val=&quot;00AE4992&quot;/&gt;&lt;wsp:rsid wsp:val=&quot;00AE6D15&quot;/&gt;&lt;wsp:rsid wsp:val=&quot;00B04182&quot;/&gt;&lt;wsp:rsid wsp:val=&quot;00B07AE3&quot;/&gt;&lt;wsp:rsid wsp:val=&quot;00B11430&quot;/&gt;&lt;wsp:rsid wsp:val=&quot;00B215C2&quot;/&gt;&lt;wsp:rsid wsp:val=&quot;00B353EB&quot;/&gt;&lt;wsp:rsid wsp:val=&quot;00B36679&quot;/&gt;&lt;wsp:rsid wsp:val=&quot;00B439C4&quot;/&gt;&lt;wsp:rsid wsp:val=&quot;00B4535E&quot;/&gt;&lt;wsp:rsid wsp:val=&quot;00B52A8C&quot;/&gt;&lt;wsp:rsid wsp:val=&quot;00B636A8&quot;/&gt;&lt;wsp:rsid wsp:val=&quot;00B665C6&quot;/&gt;&lt;wsp:rsid wsp:val=&quot;00B805AF&quot;/&gt;&lt;wsp:rsid wsp:val=&quot;00B869EC&quot;/&gt;&lt;wsp:rsid wsp:val=&quot;00B9397A&quot;/&gt;&lt;wsp:rsid wsp:val=&quot;00B9633D&quot;/&gt;&lt;wsp:rsid wsp:val=&quot;00BA0B75&quot;/&gt;&lt;wsp:rsid wsp:val=&quot;00BA2EBE&quot;/&gt;&lt;wsp:rsid wsp:val=&quot;00BB0F28&quot;/&gt;&lt;wsp:rsid wsp:val=&quot;00BB458A&quot;/&gt;&lt;wsp:rsid wsp:val=&quot;00BD00D3&quot;/&gt;&lt;wsp:rsid wsp:val=&quot;00BD1659&quot;/&gt;&lt;wsp:rsid wsp:val=&quot;00BD37BE&quot;/&gt;&lt;wsp:rsid wsp:val=&quot;00BD3AA9&quot;/&gt;&lt;wsp:rsid wsp:val=&quot;00BD4A18&quot;/&gt;&lt;wsp:rsid wsp:val=&quot;00BD6DB2&quot;/&gt;&lt;wsp:rsid wsp:val=&quot;00BE11CF&quot;/&gt;&lt;wsp:rsid wsp:val=&quot;00BE21AB&quot;/&gt;&lt;wsp:rsid wsp:val=&quot;00BE55CB&quot;/&gt;&lt;wsp:rsid wsp:val=&quot;00BF0EB7&quot;/&gt;&lt;wsp:rsid wsp:val=&quot;00BF617A&quot;/&gt;&lt;wsp:rsid wsp:val=&quot;00BF6FCE&quot;/&gt;&lt;wsp:rsid wsp:val=&quot;00C0179F&quot;/&gt;&lt;wsp:rsid wsp:val=&quot;00C03474&quot;/&gt;&lt;wsp:rsid wsp:val=&quot;00C0379D&quot;/&gt;&lt;wsp:rsid wsp:val=&quot;00C03931&quot;/&gt;&lt;wsp:rsid wsp:val=&quot;00C05FE3&quot;/&gt;&lt;wsp:rsid wsp:val=&quot;00C2136D&quot;/&gt;&lt;wsp:rsid wsp:val=&quot;00C214EE&quot;/&gt;&lt;wsp:rsid wsp:val=&quot;00C2314B&quot;/&gt;&lt;wsp:rsid wsp:val=&quot;00C24971&quot;/&gt;&lt;wsp:rsid wsp:val=&quot;00C26BE5&quot;/&gt;&lt;wsp:rsid wsp:val=&quot;00C26E4D&quot;/&gt;&lt;wsp:rsid wsp:val=&quot;00C27909&quot;/&gt;&lt;wsp:rsid wsp:val=&quot;00C27B03&quot;/&gt;&lt;wsp:rsid wsp:val=&quot;00C314E1&quot;/&gt;&lt;wsp:rsid wsp:val=&quot;00C34397&quot;/&gt;&lt;wsp:rsid wsp:val=&quot;00C36870&quot;/&gt;&lt;wsp:rsid wsp:val=&quot;00C376A0&quot;/&gt;&lt;wsp:rsid wsp:val=&quot;00C3788B&quot;/&gt;&lt;wsp:rsid wsp:val=&quot;00C4095D&quot;/&gt;&lt;wsp:rsid wsp:val=&quot;00C601D2&quot;/&gt;&lt;wsp:rsid wsp:val=&quot;00C65BCC&quot;/&gt;&lt;wsp:rsid wsp:val=&quot;00C66970&quot;/&gt;&lt;wsp:rsid wsp:val=&quot;00C73FBE&quot;/&gt;&lt;wsp:rsid wsp:val=&quot;00C8691C&quot;/&gt;&lt;wsp:rsid wsp:val=&quot;00CA168A&quot;/&gt;&lt;wsp:rsid wsp:val=&quot;00CA357E&quot;/&gt;&lt;wsp:rsid wsp:val=&quot;00CA44F9&quot;/&gt;&lt;wsp:rsid wsp:val=&quot;00CA4A69&quot;/&gt;&lt;wsp:rsid wsp:val=&quot;00CC0040&quot;/&gt;&lt;wsp:rsid wsp:val=&quot;00CC3E0C&quot;/&gt;&lt;wsp:rsid wsp:val=&quot;00CC58D3&quot;/&gt;&lt;wsp:rsid wsp:val=&quot;00CC784D&quot;/&gt;&lt;wsp:rsid wsp:val=&quot;00CF0308&quot;/&gt;&lt;wsp:rsid wsp:val=&quot;00D0337B&quot;/&gt;&lt;wsp:rsid wsp:val=&quot;00D050E9&quot;/&gt;&lt;wsp:rsid wsp:val=&quot;00D079B2&quot;/&gt;&lt;wsp:rsid wsp:val=&quot;00D114E9&quot;/&gt;&lt;wsp:rsid wsp:val=&quot;00D429C6&quot;/&gt;&lt;wsp:rsid wsp:val=&quot;00D47748&quot;/&gt;&lt;wsp:rsid wsp:val=&quot;00D54CC3&quot;/&gt;&lt;wsp:rsid wsp:val=&quot;00D6041A&quot;/&gt;&lt;wsp:rsid wsp:val=&quot;00D633EB&quot;/&gt;&lt;wsp:rsid wsp:val=&quot;00D74D41&quot;/&gt;&lt;wsp:rsid wsp:val=&quot;00D82FF7&quot;/&gt;&lt;wsp:rsid wsp:val=&quot;00D847FE&quot;/&gt;&lt;wsp:rsid wsp:val=&quot;00D964EA&quot;/&gt;&lt;wsp:rsid wsp:val=&quot;00D966D0&quot;/&gt;&lt;wsp:rsid wsp:val=&quot;00DA0C59&quot;/&gt;&lt;wsp:rsid wsp:val=&quot;00DA3991&quot;/&gt;&lt;wsp:rsid wsp:val=&quot;00DA495F&quot;/&gt;&lt;wsp:rsid wsp:val=&quot;00DB0990&quot;/&gt;&lt;wsp:rsid wsp:val=&quot;00DB7E6C&quot;/&gt;&lt;wsp:rsid wsp:val=&quot;00DD4F34&quot;/&gt;&lt;wsp:rsid wsp:val=&quot;00DD5A29&quot;/&gt;&lt;wsp:rsid wsp:val=&quot;00DD5D9D&quot;/&gt;&lt;wsp:rsid wsp:val=&quot;00DE35CB&quot;/&gt;&lt;wsp:rsid wsp:val=&quot;00DF21E9&quot;/&gt;&lt;wsp:rsid wsp:val=&quot;00DF7C2B&quot;/&gt;&lt;wsp:rsid wsp:val=&quot;00E00F14&quot;/&gt;&lt;wsp:rsid wsp:val=&quot;00E06386&quot;/&gt;&lt;wsp:rsid wsp:val=&quot;00E24EB4&quot;/&gt;&lt;wsp:rsid wsp:val=&quot;00E320ED&quot;/&gt;&lt;wsp:rsid wsp:val=&quot;00E33AFB&quot;/&gt;&lt;wsp:rsid wsp:val=&quot;00E34218&quot;/&gt;&lt;wsp:rsid wsp:val=&quot;00E46282&quot;/&gt;&lt;wsp:rsid wsp:val=&quot;00E5216E&quot;/&gt;&lt;wsp:rsid wsp:val=&quot;00E82344&quot;/&gt;&lt;wsp:rsid wsp:val=&quot;00E84C82&quot;/&gt;&lt;wsp:rsid wsp:val=&quot;00E84D64&quot;/&gt;&lt;wsp:rsid wsp:val=&quot;00E87408&quot;/&gt;&lt;wsp:rsid wsp:val=&quot;00E87982&quot;/&gt;&lt;wsp:rsid wsp:val=&quot;00E914C4&quot;/&gt;&lt;wsp:rsid wsp:val=&quot;00E934F5&quot;/&gt;&lt;wsp:rsid wsp:val=&quot;00E96961&quot;/&gt;&lt;wsp:rsid wsp:val=&quot;00EA72EC&quot;/&gt;&lt;wsp:rsid wsp:val=&quot;00EB11CB&quot;/&gt;&lt;wsp:rsid wsp:val=&quot;00EB275A&quot;/&gt;&lt;wsp:rsid wsp:val=&quot;00EB786A&quot;/&gt;&lt;wsp:rsid wsp:val=&quot;00EC1578&quot;/&gt;&lt;wsp:rsid wsp:val=&quot;00EC1C72&quot;/&gt;&lt;wsp:rsid wsp:val=&quot;00EC3CC9&quot;/&gt;&lt;wsp:rsid wsp:val=&quot;00EC680A&quot;/&gt;&lt;wsp:rsid wsp:val=&quot;00EE2BED&quot;/&gt;&lt;wsp:rsid wsp:val=&quot;00EE2C28&quot;/&gt;&lt;wsp:rsid wsp:val=&quot;00EE374B&quot;/&gt;&lt;wsp:rsid wsp:val=&quot;00F0229C&quot;/&gt;&lt;wsp:rsid wsp:val=&quot;00F11BB5&quot;/&gt;&lt;wsp:rsid wsp:val=&quot;00F1417B&quot;/&gt;&lt;wsp:rsid wsp:val=&quot;00F330BC&quot;/&gt;&lt;wsp:rsid wsp:val=&quot;00F34B99&quot;/&gt;&lt;wsp:rsid wsp:val=&quot;00F52DAB&quot;/&gt;&lt;wsp:rsid wsp:val=&quot;00F543F0&quot;/&gt;&lt;wsp:rsid wsp:val=&quot;00F602D2&quot;/&gt;&lt;wsp:rsid wsp:val=&quot;00F67F0F&quot;/&gt;&lt;wsp:rsid wsp:val=&quot;00F81D29&quot;/&gt;&lt;wsp:rsid wsp:val=&quot;00F91C4D&quot;/&gt;&lt;wsp:rsid wsp:val=&quot;00F92FD9&quot;/&gt;&lt;wsp:rsid wsp:val=&quot;00FA3F36&quot;/&gt;&lt;wsp:rsid wsp:val=&quot;00FA6684&quot;/&gt;&lt;wsp:rsid wsp:val=&quot;00FA731E&quot;/&gt;&lt;wsp:rsid wsp:val=&quot;00FB2B38&quot;/&gt;&lt;wsp:rsid wsp:val=&quot;00FC6358&quot;/&gt;&lt;wsp:rsid wsp:val=&quot;00FD01CF&quot;/&gt;&lt;wsp:rsid wsp:val=&quot;00FD320D&quot;/&gt;&lt;wsp:rsid wsp:val=&quot;00FE23DE&quot;/&gt;&lt;wsp:rsid wsp:val=&quot;00FF7BC7&quot;/&gt;&lt;wsp:rsid wsp:val=&quot;1C7B5112&quot;/&gt;&lt;wsp:rsid wsp:val=&quot;734F74A7&quot;/&gt;&lt;/wsp:rsids&gt;&lt;/w:docPr&gt;&lt;w:body&gt;&lt;wx:sect&gt;&lt;w:p wsp:rsidR=&quot;00000000&quot; wsp:rsidRDefault=&quot;00256A26&quot; wsp:rsidP=&quot;00256A26&quot;&gt;&lt;m:oMathPara&gt;&lt;m:oMath&gt;&lt;m:sSub&gt;&lt;m:sSubPr&gt;&lt;m:ctrlPr&gt;&lt;w:rPr&gt;&lt;w:rFonts w:ascii=&quot;Cambria Math&quot;/&gt;&lt;wx:font wx:val=&quot;Cambria Math&quot;/&gt;&lt;w:i/&gt;&lt;w:sz-cs w:val=&quot;21&quot;/&gt;&lt;/w:rPr&gt;&lt;/m:ctrlPr&gt;&lt;/m:sSubPr&gt;&lt;m:e&gt;&lt;m:r&gt;&lt;w:rPr&gt;&lt;w:rFonts w:ascii=&quot;Cambria Math&quot;/&gt;&lt;wx:font wx:val=&quot;Cambria Math&quot;/&gt;&lt;w:i/&gt;&lt;w:sz-cs w:val=&quot;21&quot;/&gt;&lt;/w:rPr&gt;&lt;m:t&gt;w&lt;/m:t&gt;&lt;/m:r&gt;&lt;/m:e&gt;&lt;m:sub&gt;&lt;m:r&gt;&lt;m:rPr&gt;&lt;m:nor/&gt;&lt;/m:rPr&gt;&lt;w:rPr&gt;&lt;w:rFonts w:ascii=&quot;Cambria Math&quot;/&gt;&lt;wx:font wx:val=&quot;Cambria Math&quot;/&gt;&lt;w:sz-cs w:val=&quot;21&quot;/&gt;&lt;/w:rPr&gt;&lt;m:t&gt;Ag&lt;/m:t&gt;&lt;/m:r&gt;&lt;m:r&gt;&lt;m:rPr&gt;&lt;m:nor/&gt;&lt;/m:rPr&gt;&lt;w:rPr&gt;&lt;w:rFonts w:ascii=&quot;Cambria Math&quot;/&gt;&lt;wx:font wx:val=&quot;Cambria Math&quot;/&gt;&lt;w:sz w:val=&quot;10&quot;/&gt;&lt;w:sz-cs w:val=&quot;10&quot;/&gt;&lt;/w:rPr&gt;&lt;m:t&gt;2&lt;/m:t&gt;&lt;/m:r&gt;&lt;m:r&gt;&lt;m:rPr&gt;&lt;m:nor/&gt;&lt;/m:rPr&gt;&lt;w:rPr&gt;&lt;w:rFonts w:ascii=&quot;Cambria Math&quot;/&gt;&lt;wx:font wx:val=&quot;Cambria Math&quot;/&gt;&lt;w:sz-cs w:val=&quot;21&quot;/&gt;&lt;/w:rPr&gt;&lt;m:t&gt;O&lt;/m:t&gt;&lt;/m:r&gt;&lt;m:ctrlPr&gt;&lt;w:rPr&gt;&lt;w:rFonts w:ascii=&quot;Cambria Math&quot;/&gt;&lt;wx:font wx:val=&quot;Cambria Math&quot;/&gt;&lt;w:sz-cs w:val=&quot;21&quot;/&gt;&lt;/w:rPr&gt;&lt;/m:ctrlPr&gt;&lt;/m:sub&gt;&lt;/m:sSub&gt;&lt;m:r&gt;&lt;w:rPr&gt;&lt;w:rFonts w:ascii=&quot;Cambria Math&quot;/&gt;&lt;wx:font wx:val=&quot;Cambria Math&quot;/&gt;&lt;w:i/&gt;&lt;w:sz-cs w:val=&quot;21&quot;/&gt;&lt;/w:rPr&gt;&lt;m:t&gt;=&lt;/m:t&gt;&lt;/m:r&gt;&lt;m:f&gt;&lt;m:fPr&gt;&lt;m:ctrlPr&gt;&lt;w:rPr&gt;&lt;w:rFonts w:ascii=&quot;Cambria Math&quot;/&gt;&lt;wx:font wx:val=&quot;Cambria Math&quot;/&gt;&lt;w:i/&gt;&lt;w:sz-cs w:val=&quot;21&quot;/&gt;&lt;/w:rPr&gt;&lt;/m:ctrlPr&gt;&lt;/m:fPr&gt;&lt;m:num&gt;&lt;m:r&gt;&lt;w:rPr&gt;&lt;w:rFonts w:ascii=&quot;Cambria Math&quot;/&gt;&lt;wx:font wx:val=&quot;Cambria Math&quot;/&gt;&lt;w:i/&gt;&lt;w:sz-cs w:val=&quot;21&quot;/&gt;&lt;/w:rPr&gt;&lt;m:t&gt;C&lt;/m:t&gt;&lt;/m:r&gt;&lt;m:r&gt;&lt;w:rPr&gt;&lt;w:rFonts w:ascii=&quot;Cambria Math&quot; w:fareast=&quot;MS Gothic&quot; w:h-ansi=&quot;Cambria Math&quot; w:cs=&quot;MS Gothic&quot;/&gt;&lt;wx:font wx:val=&quot;Cambria Math&quot;/&gt;&lt;w:i/&gt;&lt;w:sz-cs w:val=&quot;21&quot;/&gt;&lt;/w:rPr&gt;&lt;m:t&gt;⋅&lt;/m:t&gt;&lt;/m:r&gt;&lt;m:r&gt;&lt;w:rPr&gt;&lt;w:rFonts w:ascii=&quot;Cambria Math&quot;/&gt;&lt;wx:font wx:val=&quot;Cambria Math&quot;/&gt;&lt;w:i/&gt;&lt;w:sz-cs w:val=&quot;21&quot;/&gt;&lt;/w:rPr&gt;&lt;m:t&gt;V&lt;/m:t&gt;&lt;/m:r&gt;&lt;m:r&gt;&lt;w:rPr&gt;&lt;w:rFonts w:ascii=&quot;Cambria Math&quot; w:hint=&quot;fareast&quot;/&gt;&lt;wx:font wx:val=&quot;宋体&quot;/&gt;&lt;w:i/&gt;&lt;w:sz-cs w:val=&quot;21&quot;/&gt;&lt;/w:rPr&gt;&lt;m:t&gt;·&lt;/m:t&gt;&lt;/m:r&gt;&lt;m:r&gt;&lt;w:rPr&gt;&lt;w:rFonts w:ascii=&quot;Cambria Math&quot;/&gt;&lt;wx:font wx:val=&quot;Cambria Math&quot;/&gt;&lt;w:i/&gt;&lt;w:sz-cs w:val=&quot;21&quot;/&gt;&lt;/w:rPr&gt;&lt;m:t&gt;M&lt;/m:t&gt;&lt;/m:r&gt;&lt;m:r&gt;&lt;w:rPr&gt;&lt;w:rFonts w:ascii=&quot;Cambria Math&quot;/&gt;&lt;w:i/&gt;&lt;w:sz-cs w:val=&quot;21&quot;/&gt;&lt;/w:rPr&gt;&lt;m:t&gt;×&lt;/m:t&gt;&lt;/m:r&gt;&lt;m:r&gt;&lt;w:rPr&gt;&lt;w:rFonts w:ascii=&quot;Cambria Math&quot;/&gt;&lt;wx:font wx:val=&quot;Cambria Math&quot;/&gt;&lt;w:i/&gt;&lt;w:sz-cs w:val=&quot;21&quot;/&gt;&lt;/w:rPr&gt;&lt;m:t&gt;1&lt;/m:t&gt;&lt;/m:r&gt;&lt;m:sSup&gt;&lt;m:sSupPr&gt;&lt;m:ctrlPr&gt;&lt;w:rPr&gt;&lt;w:rFonts w:ascii=&quot;Cambria Math&quot;/&gt;&lt;wx:font wx:val=&quot;Cambria Math&quot;/&gt;&lt;w:i/&gt;&lt;w:sz-cs w:val=&quot;21&quot;/&gt;&lt;/w:rPr&gt;&lt;/m:ctrlPr&gt;&lt;/m:sSupPr&gt;&lt;m:e&gt;&lt;m:r&gt;&lt;w:rPr&gt;&lt;w:rFonts w:ascii=&quot;Cambria Math&quot;/&gt;&lt;wx:font wx:val=&quot;Cambria Math&quot;/&gt;&lt;w:i/&gt;&lt;w:sz-cs w:val=&quot;21&quot;/&gt;&lt;/w:rPr&gt;&lt;m:t&gt;0&lt;/m:t&gt;&lt;/m:r&gt;&lt;/m:e&gt;&lt;m:sup&gt;&lt;m:r&gt;&lt;w:rPr&gt;&lt;w:rFonts w:ascii=&quot;Cambria Math&quot;/&gt;&lt;w:i/&gt;&lt;w:sz-cs w:val=&quot;21&quot;/&gt;&lt;/w:rPr&gt;&lt;m:t&gt;-&lt;/m:t&gt;&lt;/m:r&gt;&lt;m:r&gt;&lt;w:rPr&gt;&lt;w:rFonts w:ascii=&quot;Cambria Math&quot;/&gt;&lt;wx:font wx:val=&quot;Cambria Math&quot;/&gt;&lt;w:i/&gt;&lt;w:sz-cs w:val=&quot;21&quot;/&gt;&lt;/w:rPr&gt;&lt;m:t&gt;3&lt;/m:t&gt;&lt;/m:r&gt;&lt;/m:sup&gt;&lt;/m:sSup&gt;&lt;/m:num&gt;&lt;m:den&gt;&lt;m:r&gt;&lt;w:rPr&gt;&lt;w:rFonts w:ascii=&quot;Cambria Math&quot;/&gt;&lt;wx:font wx:val=&quot;Cambria Math&quot;/&gt;&lt;w:i/&gt;&lt;w:sz-cs w:val=&quot;21&quot;/&gt;&lt;/w:rPr&gt;&lt;m:t&gt;m&lt;/m:t&gt;&lt;/m:r&gt;&lt;m:r&gt;&lt;w:rPr&gt;&lt;w:rFonts w:ascii=&quot;Cambria Math&quot; w:hint=&quot;fareast&quot;/&gt;&lt;wx:font wx:val=&quot;宋体&quot;/&gt;&lt;w:i/&gt;&lt;w:sz-cs w:val=&quot;21&quot;/&gt;&lt;/w:rPr&gt;&lt;m:t&gt;×&lt;/m:t&gt;&lt;/m:r&gt;&lt;m:r&gt;&lt;w:rPr&gt;&lt;w:rFonts w:ascii=&quot;Cambria Math&quot;/&gt;&lt;wx:font wx:val=&quot;Cambria Math&quot;/&gt;&lt;w:i/&gt;&lt;w:sz-cs w:val=&quot;21&quot;/&gt;&lt;/w:rPr&gt;&lt;m:t&gt;2&lt;/m:t&gt;&lt;/m:r&gt;&lt;m:ctrlPr&gt;&lt;w:rPr&gt;&lt;w:rFonts w:ascii=&quot;Cambria Math&quot; w:h-ansi=&quot;Cambria Math&quot;/&gt;&lt;wx:font wx:val=&quot;Cambria Math&quot;/&gt;&lt;w:i/&gt;&lt;w:sz-cs w:val=&quot;21&quot;/&gt;&lt;/w:rPr&gt;&lt;/m:ctrlPr&gt;&lt;/m:den&gt;&lt;/m:f&gt;&lt;m:r&gt;&lt;w:rPr&gt;&lt;w:rFonts w:ascii=&quot;Cambria Math&quot;/&gt;&lt;w:i/&gt;&lt;w:sz-cs w:val=&quot;21&quot;/&gt;&lt;/w:rPr&gt;&lt;m:t&gt;×&lt;/m:t&gt;&lt;/m:r&gt;&lt;m:r&gt;&lt;w:rPr&gt;&lt;w:rFonts w:ascii=&quot;Cambria Math&quot;/&gt;&lt;wx:font wx:val=&quot;Cambria Math&quot;/&gt;&lt;w:i/&gt;&lt;w:sz-cs w:val=&quot;21&quot;/&gt;&lt;/w:rPr&gt;&lt;m:t&gt;100%&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
            <v:path/>
            <v:fill on="f" focussize="0,0"/>
            <v:stroke on="f"/>
            <v:imagedata r:id="rId19" chromakey="#FFFFFF" o:title=""/>
            <o:lock v:ext="edit" aspectratio="t"/>
            <w10:wrap type="none"/>
            <w10:anchorlock/>
          </v:shape>
        </w:pict>
      </w:r>
      <w:r>
        <w:rPr>
          <w:rFonts w:hint="default" w:ascii="Times New Roman" w:hAnsi="Times New Roman" w:eastAsia="宋体" w:cs="Times New Roman"/>
          <w:highlight w:val="yellow"/>
        </w:rPr>
        <w:instrText xml:space="preserve"> </w:instrText>
      </w:r>
      <w:r>
        <w:rPr>
          <w:rFonts w:hint="default" w:ascii="Times New Roman" w:hAnsi="Times New Roman" w:eastAsia="宋体" w:cs="Times New Roman"/>
          <w:highlight w:val="yellow"/>
        </w:rPr>
        <w:fldChar w:fldCharType="separate"/>
      </w:r>
      <w:r>
        <w:rPr>
          <w:rFonts w:hint="default" w:ascii="Times New Roman" w:hAnsi="Times New Roman" w:eastAsia="宋体" w:cs="Times New Roman"/>
          <w:highlight w:val="yellow"/>
        </w:rPr>
        <w:fldChar w:fldCharType="end"/>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QUOTE </w:instrText>
      </w:r>
      <w:r>
        <w:rPr>
          <w:rFonts w:hint="default" w:ascii="Times New Roman" w:hAnsi="Times New Roman" w:eastAsia="宋体" w:cs="Times New Roman"/>
          <w:position w:val="-26"/>
        </w:rPr>
        <w:pict>
          <v:shape id="_x0000_i1027" o:spt="75" type="#_x0000_t75" style="height:31.2pt;width:63pt;" filled="f" stroked="f" coordsize="21600,21600" equationxml="&lt;?xml version=&quot;1.0&quot; encoding=&quot;UTF-8&quot; standalone=&quot;yes&quot;?&gt;&#13;&#10;&lt;?mso-application progid=&quot;Word.Document&quot;?&gt;&#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TotalTime&gt;0&lt;/o:TotalTime&gt;&lt;o:Version&gt;16&lt;/o:Version&gt;&lt;/o:DocumentProperties&gt;&lt;w:docPr&gt;&lt;w:view w:val=&quot;print&quot;/&gt;&lt;w:zoom w:percent=&quot;90&quot;/&gt;&lt;w:doNotEmbedSystemFonts/&gt;&lt;w:bordersDontSurroundHeader/&gt;&lt;w:bordersDontSurroundFooter/&gt;&lt;w:stylePaneFormatFilter w:val=&quot;3F01&quot;/&gt;&lt;w:documentProtection w:edit=&quot;forms&quot; w:enforcement=&quot;on&quot; w:unprotectPassword=&quot;C8E3CFDF&quot;/&gt;&lt;w:defaultTabStop w:val=&quot;420&quot;/&gt;&lt;w:drawingGridHorizontalSpacing w:val=&quot;105&quot;/&gt;&lt;w:drawingGridVerticalSpacing w:val=&quot;156&quot;/&gt;&lt;w:displayHorizontalDrawingGridEvery w:val=&quot;0&quot;/&gt;&lt;w:displayVerticalDrawingGridEvery w:val=&quot;2&quot;/&gt;&lt;w:punctuationKerning/&gt;&lt;w:characterSpacingControl w:val=&quot;CompressPunctuation&quot;/&gt;&lt;w:webPageEncoding w:val=&quot;x-cp20936&quot;/&gt;&lt;w:optimizeForBrowser/&gt;&lt;w:allowPNG/&gt;&lt;w:pixelsPerInch w:val=&quot;120&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wrapTextWithPunct/&gt;&lt;w:useAsianBreakRules/&gt;&lt;w:dontGrowAutofit/&gt;&lt;w:useFELayout/&gt;&lt;/w:compat&gt;&lt;w:docVars&gt;&lt;w:docVar w:name=&quot;commondata&quot; w:val=&quot;eyJoZGlkIjoiMGFhYzFkYThjYmFkYjFhOTVjODQ2MmQ0OGZiYmI3MjEifQ==&quot;/&gt;&lt;/w:docVars&gt;&lt;wsp:rsids&gt;&lt;wsp:rsidRoot wsp:val=&quot;00035925&quot;/&gt;&lt;wsp:rsid wsp:val=&quot;00000244&quot;/&gt;&lt;wsp:rsid wsp:val=&quot;0000185F&quot;/&gt;&lt;wsp:rsid wsp:val=&quot;0000586F&quot;/&gt;&lt;wsp:rsid wsp:val=&quot;00013D86&quot;/&gt;&lt;wsp:rsid wsp:val=&quot;00013E02&quot;/&gt;&lt;wsp:rsid wsp:val=&quot;0002143C&quot;/&gt;&lt;wsp:rsid wsp:val=&quot;00021733&quot;/&gt;&lt;wsp:rsid wsp:val=&quot;00025A65&quot;/&gt;&lt;wsp:rsid wsp:val=&quot;00026C31&quot;/&gt;&lt;wsp:rsid wsp:val=&quot;00027280&quot;/&gt;&lt;wsp:rsid wsp:val=&quot;000320A7&quot;/&gt;&lt;wsp:rsid wsp:val=&quot;00035925&quot;/&gt;&lt;wsp:rsid wsp:val=&quot;00056E69&quot;/&gt;&lt;wsp:rsid wsp:val=&quot;00067CDF&quot;/&gt;&lt;wsp:rsid wsp:val=&quot;00074FBE&quot;/&gt;&lt;wsp:rsid wsp:val=&quot;00083A09&quot;/&gt;&lt;wsp:rsid wsp:val=&quot;00085AC5&quot;/&gt;&lt;wsp:rsid wsp:val=&quot;0009005E&quot;/&gt;&lt;wsp:rsid wsp:val=&quot;00092857&quot;/&gt;&lt;wsp:rsid wsp:val=&quot;000A20A9&quot;/&gt;&lt;wsp:rsid wsp:val=&quot;000A48B1&quot;/&gt;&lt;wsp:rsid wsp:val=&quot;000B3143&quot;/&gt;&lt;wsp:rsid wsp:val=&quot;000B704D&quot;/&gt;&lt;wsp:rsid wsp:val=&quot;000C6B05&quot;/&gt;&lt;wsp:rsid wsp:val=&quot;000C6DD6&quot;/&gt;&lt;wsp:rsid wsp:val=&quot;000C73D4&quot;/&gt;&lt;wsp:rsid wsp:val=&quot;000D2CF3&quot;/&gt;&lt;wsp:rsid wsp:val=&quot;000D3D4C&quot;/&gt;&lt;wsp:rsid wsp:val=&quot;000D4F51&quot;/&gt;&lt;wsp:rsid wsp:val=&quot;000D718B&quot;/&gt;&lt;wsp:rsid wsp:val=&quot;000E0C46&quot;/&gt;&lt;wsp:rsid wsp:val=&quot;000F030C&quot;/&gt;&lt;wsp:rsid wsp:val=&quot;000F129C&quot;/&gt;&lt;wsp:rsid wsp:val=&quot;001056DE&quot;/&gt;&lt;wsp:rsid wsp:val=&quot;001124C0&quot;/&gt;&lt;wsp:rsid wsp:val=&quot;00123041&quot;/&gt;&lt;wsp:rsid wsp:val=&quot;0013175F&quot;/&gt;&lt;wsp:rsid wsp:val=&quot;001512B4&quot;/&gt;&lt;wsp:rsid wsp:val=&quot;001620A5&quot;/&gt;&lt;wsp:rsid wsp:val=&quot;00164E53&quot;/&gt;&lt;wsp:rsid wsp:val=&quot;0016699D&quot;/&gt;&lt;wsp:rsid wsp:val=&quot;00175159&quot;/&gt;&lt;wsp:rsid wsp:val=&quot;00176208&quot;/&gt;&lt;wsp:rsid wsp:val=&quot;0018211B&quot;/&gt;&lt;wsp:rsid wsp:val=&quot;001840D3&quot;/&gt;&lt;wsp:rsid wsp:val=&quot;001900F8&quot;/&gt;&lt;wsp:rsid wsp:val=&quot;00191258&quot;/&gt;&lt;wsp:rsid wsp:val=&quot;00192680&quot;/&gt;&lt;wsp:rsid wsp:val=&quot;00193037&quot;/&gt;&lt;wsp:rsid wsp:val=&quot;00193A2C&quot;/&gt;&lt;wsp:rsid wsp:val=&quot;001A288E&quot;/&gt;&lt;wsp:rsid wsp:val=&quot;001A3951&quot;/&gt;&lt;wsp:rsid wsp:val=&quot;001B6DC2&quot;/&gt;&lt;wsp:rsid wsp:val=&quot;001C149C&quot;/&gt;&lt;wsp:rsid wsp:val=&quot;001C21AC&quot;/&gt;&lt;wsp:rsid wsp:val=&quot;001C47BA&quot;/&gt;&lt;wsp:rsid wsp:val=&quot;001C59EA&quot;/&gt;&lt;wsp:rsid wsp:val=&quot;001D406C&quot;/&gt;&lt;wsp:rsid wsp:val=&quot;001D41EE&quot;/&gt;&lt;wsp:rsid wsp:val=&quot;001E0380&quot;/&gt;&lt;wsp:rsid wsp:val=&quot;001E13B1&quot;/&gt;&lt;wsp:rsid wsp:val=&quot;001F3A19&quot;/&gt;&lt;wsp:rsid wsp:val=&quot;00234467&quot;/&gt;&lt;wsp:rsid wsp:val=&quot;00237D8D&quot;/&gt;&lt;wsp:rsid wsp:val=&quot;00241DA2&quot;/&gt;&lt;wsp:rsid wsp:val=&quot;00247FEE&quot;/&gt;&lt;wsp:rsid wsp:val=&quot;00250E7D&quot;/&gt;&lt;wsp:rsid wsp:val=&quot;00252DAA&quot;/&gt;&lt;wsp:rsid wsp:val=&quot;002565D5&quot;/&gt;&lt;wsp:rsid wsp:val=&quot;002622C0&quot;/&gt;&lt;wsp:rsid wsp:val=&quot;002778AE&quot;/&gt;&lt;wsp:rsid wsp:val=&quot;0028269A&quot;/&gt;&lt;wsp:rsid wsp:val=&quot;00283590&quot;/&gt;&lt;wsp:rsid wsp:val=&quot;00286973&quot;/&gt;&lt;wsp:rsid wsp:val=&quot;00294E70&quot;/&gt;&lt;wsp:rsid wsp:val=&quot;002A1924&quot;/&gt;&lt;wsp:rsid wsp:val=&quot;002A7420&quot;/&gt;&lt;wsp:rsid wsp:val=&quot;002B0F12&quot;/&gt;&lt;wsp:rsid wsp:val=&quot;002B1308&quot;/&gt;&lt;wsp:rsid wsp:val=&quot;002B4554&quot;/&gt;&lt;wsp:rsid wsp:val=&quot;002C72D8&quot;/&gt;&lt;wsp:rsid wsp:val=&quot;002D11FA&quot;/&gt;&lt;wsp:rsid wsp:val=&quot;002E0DDF&quot;/&gt;&lt;wsp:rsid wsp:val=&quot;002E2906&quot;/&gt;&lt;wsp:rsid wsp:val=&quot;002E363B&quot;/&gt;&lt;wsp:rsid wsp:val=&quot;002E5635&quot;/&gt;&lt;wsp:rsid wsp:val=&quot;002E64C3&quot;/&gt;&lt;wsp:rsid wsp:val=&quot;002E6A2C&quot;/&gt;&lt;wsp:rsid wsp:val=&quot;002F1D8C&quot;/&gt;&lt;wsp:rsid wsp:val=&quot;002F21DA&quot;/&gt;&lt;wsp:rsid wsp:val=&quot;00301F39&quot;/&gt;&lt;wsp:rsid wsp:val=&quot;00325926&quot;/&gt;&lt;wsp:rsid wsp:val=&quot;00327A8A&quot;/&gt;&lt;wsp:rsid wsp:val=&quot;00336610&quot;/&gt;&lt;wsp:rsid wsp:val=&quot;00343F73&quot;/&gt;&lt;wsp:rsid wsp:val=&quot;00345060&quot;/&gt;&lt;wsp:rsid wsp:val=&quot;0035323B&quot;/&gt;&lt;wsp:rsid wsp:val=&quot;003609D2&quot;/&gt;&lt;wsp:rsid wsp:val=&quot;00363F22&quot;/&gt;&lt;wsp:rsid wsp:val=&quot;00375564&quot;/&gt;&lt;wsp:rsid wsp:val=&quot;00383191&quot;/&gt;&lt;wsp:rsid wsp:val=&quot;00386DED&quot;/&gt;&lt;wsp:rsid wsp:val=&quot;003903E1&quot;/&gt;&lt;wsp:rsid wsp:val=&quot;003912E7&quot;/&gt;&lt;wsp:rsid wsp:val=&quot;00393947&quot;/&gt;&lt;wsp:rsid wsp:val=&quot;003A2275&quot;/&gt;&lt;wsp:rsid wsp:val=&quot;003A6A4F&quot;/&gt;&lt;wsp:rsid wsp:val=&quot;003A7088&quot;/&gt;&lt;wsp:rsid wsp:val=&quot;003B00DF&quot;/&gt;&lt;wsp:rsid wsp:val=&quot;003B1275&quot;/&gt;&lt;wsp:rsid wsp:val=&quot;003B1778&quot;/&gt;&lt;wsp:rsid wsp:val=&quot;003C11CB&quot;/&gt;&lt;wsp:rsid wsp:val=&quot;003C75F3&quot;/&gt;&lt;wsp:rsid wsp:val=&quot;003C78A3&quot;/&gt;&lt;wsp:rsid wsp:val=&quot;003E1867&quot;/&gt;&lt;wsp:rsid wsp:val=&quot;003E5729&quot;/&gt;&lt;wsp:rsid wsp:val=&quot;003F4EE0&quot;/&gt;&lt;wsp:rsid wsp:val=&quot;00402153&quot;/&gt;&lt;wsp:rsid wsp:val=&quot;00402FC1&quot;/&gt;&lt;wsp:rsid wsp:val=&quot;00425082&quot;/&gt;&lt;wsp:rsid wsp:val=&quot;00431DEB&quot;/&gt;&lt;wsp:rsid wsp:val=&quot;00446B29&quot;/&gt;&lt;wsp:rsid wsp:val=&quot;00453F9A&quot;/&gt;&lt;wsp:rsid wsp:val=&quot;00471E91&quot;/&gt;&lt;wsp:rsid wsp:val=&quot;00474675&quot;/&gt;&lt;wsp:rsid wsp:val=&quot;0047470C&quot;/&gt;&lt;wsp:rsid wsp:val=&quot;004A35F9&quot;/&gt;&lt;wsp:rsid wsp:val=&quot;004B24C1&quot;/&gt;&lt;wsp:rsid wsp:val=&quot;004C292F&quot;/&gt;&lt;wsp:rsid wsp:val=&quot;00510280&quot;/&gt;&lt;wsp:rsid wsp:val=&quot;00513D73&quot;/&gt;&lt;wsp:rsid wsp:val=&quot;00514A43&quot;/&gt;&lt;wsp:rsid wsp:val=&quot;005174E5&quot;/&gt;&lt;wsp:rsid wsp:val=&quot;005210F1&quot;/&gt;&lt;wsp:rsid wsp:val=&quot;00522393&quot;/&gt;&lt;wsp:rsid wsp:val=&quot;00522620&quot;/&gt;&lt;wsp:rsid wsp:val=&quot;00525656&quot;/&gt;&lt;wsp:rsid wsp:val=&quot;00534C02&quot;/&gt;&lt;wsp:rsid wsp:val=&quot;0054264B&quot;/&gt;&lt;wsp:rsid wsp:val=&quot;00543786&quot;/&gt;&lt;wsp:rsid wsp:val=&quot;005533D7&quot;/&gt;&lt;wsp:rsid wsp:val=&quot;005703DE&quot;/&gt;&lt;wsp:rsid wsp:val=&quot;0057170B&quot;/&gt;&lt;wsp:rsid wsp:val=&quot;0058464E&quot;/&gt;&lt;wsp:rsid wsp:val=&quot;00593B48&quot;/&gt;&lt;wsp:rsid wsp:val=&quot;005A01CB&quot;/&gt;&lt;wsp:rsid wsp:val=&quot;005A58FF&quot;/&gt;&lt;wsp:rsid wsp:val=&quot;005A5EAF&quot;/&gt;&lt;wsp:rsid wsp:val=&quot;005A64C0&quot;/&gt;&lt;wsp:rsid wsp:val=&quot;005A75FB&quot;/&gt;&lt;wsp:rsid wsp:val=&quot;005B3C11&quot;/&gt;&lt;wsp:rsid wsp:val=&quot;005C1C28&quot;/&gt;&lt;wsp:rsid wsp:val=&quot;005C6DB5&quot;/&gt;&lt;wsp:rsid wsp:val=&quot;005D2369&quot;/&gt;&lt;wsp:rsid wsp:val=&quot;005E19E7&quot;/&gt;&lt;wsp:rsid wsp:val=&quot;005F0D35&quot;/&gt;&lt;wsp:rsid wsp:val=&quot;0061716C&quot;/&gt;&lt;wsp:rsid wsp:val=&quot;006243A1&quot;/&gt;&lt;wsp:rsid wsp:val=&quot;00632E56&quot;/&gt;&lt;wsp:rsid wsp:val=&quot;00635CBA&quot;/&gt;&lt;wsp:rsid wsp:val=&quot;0064338B&quot;/&gt;&lt;wsp:rsid wsp:val=&quot;00646542&quot;/&gt;&lt;wsp:rsid wsp:val=&quot;006504F4&quot;/&gt;&lt;wsp:rsid wsp:val=&quot;00654BC9&quot;/&gt;&lt;wsp:rsid wsp:val=&quot;006552FD&quot;/&gt;&lt;wsp:rsid wsp:val=&quot;00663AF3&quot;/&gt;&lt;wsp:rsid wsp:val=&quot;00666B6C&quot;/&gt;&lt;wsp:rsid wsp:val=&quot;00682682&quot;/&gt;&lt;wsp:rsid wsp:val=&quot;00682702&quot;/&gt;&lt;wsp:rsid wsp:val=&quot;00682CAE&quot;/&gt;&lt;wsp:rsid wsp:val=&quot;00692368&quot;/&gt;&lt;wsp:rsid wsp:val=&quot;006A2EBC&quot;/&gt;&lt;wsp:rsid wsp:val=&quot;006A5EA0&quot;/&gt;&lt;wsp:rsid wsp:val=&quot;006A783B&quot;/&gt;&lt;wsp:rsid wsp:val=&quot;006A7B33&quot;/&gt;&lt;wsp:rsid wsp:val=&quot;006B4E13&quot;/&gt;&lt;wsp:rsid wsp:val=&quot;006B75DD&quot;/&gt;&lt;wsp:rsid wsp:val=&quot;006C67E0&quot;/&gt;&lt;wsp:rsid wsp:val=&quot;006C7ABA&quot;/&gt;&lt;wsp:rsid wsp:val=&quot;006D0D60&quot;/&gt;&lt;wsp:rsid wsp:val=&quot;006D1122&quot;/&gt;&lt;wsp:rsid wsp:val=&quot;006D3C00&quot;/&gt;&lt;wsp:rsid wsp:val=&quot;006D6CF4&quot;/&gt;&lt;wsp:rsid wsp:val=&quot;006E3675&quot;/&gt;&lt;wsp:rsid wsp:val=&quot;006E41CE&quot;/&gt;&lt;wsp:rsid wsp:val=&quot;006E4A7F&quot;/&gt;&lt;wsp:rsid wsp:val=&quot;00704DF6&quot;/&gt;&lt;wsp:rsid wsp:val=&quot;0070651C&quot;/&gt;&lt;wsp:rsid wsp:val=&quot;007132A3&quot;/&gt;&lt;wsp:rsid wsp:val=&quot;00716421&quot;/&gt;&lt;wsp:rsid wsp:val=&quot;00724EFB&quot;/&gt;&lt;wsp:rsid wsp:val=&quot;007419C3&quot;/&gt;&lt;wsp:rsid wsp:val=&quot;00744F22&quot;/&gt;&lt;wsp:rsid wsp:val=&quot;007467A7&quot;/&gt;&lt;wsp:rsid wsp:val=&quot;007469DD&quot;/&gt;&lt;wsp:rsid wsp:val=&quot;0074741B&quot;/&gt;&lt;wsp:rsid wsp:val=&quot;0074759E&quot;/&gt;&lt;wsp:rsid wsp:val=&quot;007478EA&quot;/&gt;&lt;wsp:rsid wsp:val=&quot;0075415C&quot;/&gt;&lt;wsp:rsid wsp:val=&quot;007565C1&quot;/&gt;&lt;wsp:rsid wsp:val=&quot;00763502&quot;/&gt;&lt;wsp:rsid wsp:val=&quot;007913AB&quot;/&gt;&lt;wsp:rsid wsp:val=&quot;007914F7&quot;/&gt;&lt;wsp:rsid wsp:val=&quot;0079678D&quot;/&gt;&lt;wsp:rsid wsp:val=&quot;007A7715&quot;/&gt;&lt;wsp:rsid wsp:val=&quot;007B1625&quot;/&gt;&lt;wsp:rsid wsp:val=&quot;007B37D1&quot;/&gt;&lt;wsp:rsid wsp:val=&quot;007B706E&quot;/&gt;&lt;wsp:rsid wsp:val=&quot;007B71EB&quot;/&gt;&lt;wsp:rsid wsp:val=&quot;007C6205&quot;/&gt;&lt;wsp:rsid wsp:val=&quot;007C686A&quot;/&gt;&lt;wsp:rsid wsp:val=&quot;007C728E&quot;/&gt;&lt;wsp:rsid wsp:val=&quot;007D2C53&quot;/&gt;&lt;wsp:rsid wsp:val=&quot;007D3D60&quot;/&gt;&lt;wsp:rsid wsp:val=&quot;007E1980&quot;/&gt;&lt;wsp:rsid wsp:val=&quot;007E4B76&quot;/&gt;&lt;wsp:rsid wsp:val=&quot;007E5EA8&quot;/&gt;&lt;wsp:rsid wsp:val=&quot;007F0CF1&quot;/&gt;&lt;wsp:rsid wsp:val=&quot;007F12A5&quot;/&gt;&lt;wsp:rsid wsp:val=&quot;007F4CF1&quot;/&gt;&lt;wsp:rsid wsp:val=&quot;007F758D&quot;/&gt;&lt;wsp:rsid wsp:val=&quot;007F7D52&quot;/&gt;&lt;wsp:rsid wsp:val=&quot;00802A9A&quot;/&gt;&lt;wsp:rsid wsp:val=&quot;0080654C&quot;/&gt;&lt;wsp:rsid wsp:val=&quot;008071C6&quot;/&gt;&lt;wsp:rsid wsp:val=&quot;00812678&quot;/&gt;&lt;wsp:rsid wsp:val=&quot;00817A00&quot;/&gt;&lt;wsp:rsid wsp:val=&quot;00835DB3&quot;/&gt;&lt;wsp:rsid wsp:val=&quot;0083617B&quot;/&gt;&lt;wsp:rsid wsp:val=&quot;008371BD&quot;/&gt;&lt;wsp:rsid wsp:val=&quot;008504A8&quot;/&gt;&lt;wsp:rsid wsp:val=&quot;0085282E&quot;/&gt;&lt;wsp:rsid wsp:val=&quot;0086551A&quot;/&gt;&lt;wsp:rsid wsp:val=&quot;0087198C&quot;/&gt;&lt;wsp:rsid wsp:val=&quot;00872C1F&quot;/&gt;&lt;wsp:rsid wsp:val=&quot;00873B42&quot;/&gt;&lt;wsp:rsid wsp:val=&quot;008856D8&quot;/&gt;&lt;wsp:rsid wsp:val=&quot;00892E82&quot;/&gt;&lt;wsp:rsid wsp:val=&quot;008C1B58&quot;/&gt;&lt;wsp:rsid wsp:val=&quot;008C39AE&quot;/&gt;&lt;wsp:rsid wsp:val=&quot;008C590D&quot;/&gt;&lt;wsp:rsid wsp:val=&quot;008D32CE&quot;/&gt;&lt;wsp:rsid wsp:val=&quot;008E031B&quot;/&gt;&lt;wsp:rsid wsp:val=&quot;008E7029&quot;/&gt;&lt;wsp:rsid wsp:val=&quot;008E7EF6&quot;/&gt;&lt;wsp:rsid wsp:val=&quot;008F1F98&quot;/&gt;&lt;wsp:rsid wsp:val=&quot;008F30CF&quot;/&gt;&lt;wsp:rsid wsp:val=&quot;008F6758&quot;/&gt;&lt;wsp:rsid wsp:val=&quot;009040DD&quot;/&gt;&lt;wsp:rsid wsp:val=&quot;00905B47&quot;/&gt;&lt;wsp:rsid wsp:val=&quot;0091331C&quot;/&gt;&lt;wsp:rsid wsp:val=&quot;00913724&quot;/&gt;&lt;wsp:rsid wsp:val=&quot;009279DE&quot;/&gt;&lt;wsp:rsid wsp:val=&quot;00930116&quot;/&gt;&lt;wsp:rsid wsp:val=&quot;0094212C&quot;/&gt;&lt;wsp:rsid wsp:val=&quot;00954689&quot;/&gt;&lt;wsp:rsid wsp:val=&quot;009617C9&quot;/&gt;&lt;wsp:rsid wsp:val=&quot;00961C93&quot;/&gt;&lt;wsp:rsid wsp:val=&quot;00965324&quot;/&gt;&lt;wsp:rsid wsp:val=&quot;0097091E&quot;/&gt;&lt;wsp:rsid wsp:val=&quot;009760D3&quot;/&gt;&lt;wsp:rsid wsp:val=&quot;00977132&quot;/&gt;&lt;wsp:rsid wsp:val=&quot;00981A4B&quot;/&gt;&lt;wsp:rsid wsp:val=&quot;00982501&quot;/&gt;&lt;wsp:rsid wsp:val=&quot;009877D3&quot;/&gt;&lt;wsp:rsid wsp:val=&quot;00994E8F&quot;/&gt;&lt;wsp:rsid wsp:val=&quot;009951DC&quot;/&gt;&lt;wsp:rsid wsp:val=&quot;009959BB&quot;/&gt;&lt;wsp:rsid wsp:val=&quot;00997158&quot;/&gt;&lt;wsp:rsid wsp:val=&quot;009A3A7C&quot;/&gt;&lt;wsp:rsid wsp:val=&quot;009B2ADB&quot;/&gt;&lt;wsp:rsid wsp:val=&quot;009B603A&quot;/&gt;&lt;wsp:rsid wsp:val=&quot;009C2D0E&quot;/&gt;&lt;wsp:rsid wsp:val=&quot;009C3DAC&quot;/&gt;&lt;wsp:rsid wsp:val=&quot;009C42E0&quot;/&gt;&lt;wsp:rsid wsp:val=&quot;009C4AC9&quot;/&gt;&lt;wsp:rsid wsp:val=&quot;009D5362&quot;/&gt;&lt;wsp:rsid wsp:val=&quot;009E1415&quot;/&gt;&lt;wsp:rsid wsp:val=&quot;009E6116&quot;/&gt;&lt;wsp:rsid wsp:val=&quot;00A02E43&quot;/&gt;&lt;wsp:rsid wsp:val=&quot;00A065F9&quot;/&gt;&lt;wsp:rsid wsp:val=&quot;00A07F34&quot;/&gt;&lt;wsp:rsid wsp:val=&quot;00A22154&quot;/&gt;&lt;wsp:rsid wsp:val=&quot;00A25C38&quot;/&gt;&lt;wsp:rsid wsp:val=&quot;00A36BBE&quot;/&gt;&lt;wsp:rsid wsp:val=&quot;00A4307A&quot;/&gt;&lt;wsp:rsid wsp:val=&quot;00A47EBB&quot;/&gt;&lt;wsp:rsid wsp:val=&quot;00A51CDD&quot;/&gt;&lt;wsp:rsid wsp:val=&quot;00A6730D&quot;/&gt;&lt;wsp:rsid wsp:val=&quot;00A71625&quot;/&gt;&lt;wsp:rsid wsp:val=&quot;00A71B9B&quot;/&gt;&lt;wsp:rsid wsp:val=&quot;00A751C7&quot;/&gt;&lt;wsp:rsid wsp:val=&quot;00A86355&quot;/&gt;&lt;wsp:rsid wsp:val=&quot;00A87844&quot;/&gt;&lt;wsp:rsid wsp:val=&quot;00A96215&quot;/&gt;&lt;wsp:rsid wsp:val=&quot;00AA038C&quot;/&gt;&lt;wsp:rsid wsp:val=&quot;00AA631F&quot;/&gt;&lt;wsp:rsid wsp:val=&quot;00AA7A09&quot;/&gt;&lt;wsp:rsid wsp:val=&quot;00AB3B50&quot;/&gt;&lt;wsp:rsid wsp:val=&quot;00AB7BD5&quot;/&gt;&lt;wsp:rsid wsp:val=&quot;00AC05B1&quot;/&gt;&lt;wsp:rsid wsp:val=&quot;00AD356C&quot;/&gt;&lt;wsp:rsid wsp:val=&quot;00AE2914&quot;/&gt;&lt;wsp:rsid wsp:val=&quot;00AE4992&quot;/&gt;&lt;wsp:rsid wsp:val=&quot;00AE6D15&quot;/&gt;&lt;wsp:rsid wsp:val=&quot;00B04182&quot;/&gt;&lt;wsp:rsid wsp:val=&quot;00B07AE3&quot;/&gt;&lt;wsp:rsid wsp:val=&quot;00B11430&quot;/&gt;&lt;wsp:rsid wsp:val=&quot;00B215C2&quot;/&gt;&lt;wsp:rsid wsp:val=&quot;00B353EB&quot;/&gt;&lt;wsp:rsid wsp:val=&quot;00B36679&quot;/&gt;&lt;wsp:rsid wsp:val=&quot;00B439C4&quot;/&gt;&lt;wsp:rsid wsp:val=&quot;00B4535E&quot;/&gt;&lt;wsp:rsid wsp:val=&quot;00B52A8C&quot;/&gt;&lt;wsp:rsid wsp:val=&quot;00B636A8&quot;/&gt;&lt;wsp:rsid wsp:val=&quot;00B665C6&quot;/&gt;&lt;wsp:rsid wsp:val=&quot;00B805AF&quot;/&gt;&lt;wsp:rsid wsp:val=&quot;00B869EC&quot;/&gt;&lt;wsp:rsid wsp:val=&quot;00B9397A&quot;/&gt;&lt;wsp:rsid wsp:val=&quot;00B9633D&quot;/&gt;&lt;wsp:rsid wsp:val=&quot;00BA0B75&quot;/&gt;&lt;wsp:rsid wsp:val=&quot;00BA2EBE&quot;/&gt;&lt;wsp:rsid wsp:val=&quot;00BB0F28&quot;/&gt;&lt;wsp:rsid wsp:val=&quot;00BB458A&quot;/&gt;&lt;wsp:rsid wsp:val=&quot;00BD00D3&quot;/&gt;&lt;wsp:rsid wsp:val=&quot;00BD1659&quot;/&gt;&lt;wsp:rsid wsp:val=&quot;00BD37BE&quot;/&gt;&lt;wsp:rsid wsp:val=&quot;00BD3AA9&quot;/&gt;&lt;wsp:rsid wsp:val=&quot;00BD4A18&quot;/&gt;&lt;wsp:rsid wsp:val=&quot;00BD6DB2&quot;/&gt;&lt;wsp:rsid wsp:val=&quot;00BE11CF&quot;/&gt;&lt;wsp:rsid wsp:val=&quot;00BE21AB&quot;/&gt;&lt;wsp:rsid wsp:val=&quot;00BE55CB&quot;/&gt;&lt;wsp:rsid wsp:val=&quot;00BF0EB7&quot;/&gt;&lt;wsp:rsid wsp:val=&quot;00BF617A&quot;/&gt;&lt;wsp:rsid wsp:val=&quot;00BF6FCE&quot;/&gt;&lt;wsp:rsid wsp:val=&quot;00C0179F&quot;/&gt;&lt;wsp:rsid wsp:val=&quot;00C03474&quot;/&gt;&lt;wsp:rsid wsp:val=&quot;00C0379D&quot;/&gt;&lt;wsp:rsid wsp:val=&quot;00C03931&quot;/&gt;&lt;wsp:rsid wsp:val=&quot;00C05FE3&quot;/&gt;&lt;wsp:rsid wsp:val=&quot;00C2136D&quot;/&gt;&lt;wsp:rsid wsp:val=&quot;00C214EE&quot;/&gt;&lt;wsp:rsid wsp:val=&quot;00C2314B&quot;/&gt;&lt;wsp:rsid wsp:val=&quot;00C24971&quot;/&gt;&lt;wsp:rsid wsp:val=&quot;00C26BE5&quot;/&gt;&lt;wsp:rsid wsp:val=&quot;00C26E4D&quot;/&gt;&lt;wsp:rsid wsp:val=&quot;00C27909&quot;/&gt;&lt;wsp:rsid wsp:val=&quot;00C27B03&quot;/&gt;&lt;wsp:rsid wsp:val=&quot;00C314E1&quot;/&gt;&lt;wsp:rsid wsp:val=&quot;00C34397&quot;/&gt;&lt;wsp:rsid wsp:val=&quot;00C36870&quot;/&gt;&lt;wsp:rsid wsp:val=&quot;00C376A0&quot;/&gt;&lt;wsp:rsid wsp:val=&quot;00C3788B&quot;/&gt;&lt;wsp:rsid wsp:val=&quot;00C4095D&quot;/&gt;&lt;wsp:rsid wsp:val=&quot;00C601D2&quot;/&gt;&lt;wsp:rsid wsp:val=&quot;00C65BCC&quot;/&gt;&lt;wsp:rsid wsp:val=&quot;00C66970&quot;/&gt;&lt;wsp:rsid wsp:val=&quot;00C73FBE&quot;/&gt;&lt;wsp:rsid wsp:val=&quot;00C8691C&quot;/&gt;&lt;wsp:rsid wsp:val=&quot;00CA168A&quot;/&gt;&lt;wsp:rsid wsp:val=&quot;00CA357E&quot;/&gt;&lt;wsp:rsid wsp:val=&quot;00CA44F9&quot;/&gt;&lt;wsp:rsid wsp:val=&quot;00CA4A69&quot;/&gt;&lt;wsp:rsid wsp:val=&quot;00CC0040&quot;/&gt;&lt;wsp:rsid wsp:val=&quot;00CC3E0C&quot;/&gt;&lt;wsp:rsid wsp:val=&quot;00CC58D3&quot;/&gt;&lt;wsp:rsid wsp:val=&quot;00CC784D&quot;/&gt;&lt;wsp:rsid wsp:val=&quot;00CF0308&quot;/&gt;&lt;wsp:rsid wsp:val=&quot;00D0337B&quot;/&gt;&lt;wsp:rsid wsp:val=&quot;00D050E9&quot;/&gt;&lt;wsp:rsid wsp:val=&quot;00D079B2&quot;/&gt;&lt;wsp:rsid wsp:val=&quot;00D114E9&quot;/&gt;&lt;wsp:rsid wsp:val=&quot;00D429C6&quot;/&gt;&lt;wsp:rsid wsp:val=&quot;00D47748&quot;/&gt;&lt;wsp:rsid wsp:val=&quot;00D54CC3&quot;/&gt;&lt;wsp:rsid wsp:val=&quot;00D6041A&quot;/&gt;&lt;wsp:rsid wsp:val=&quot;00D633EB&quot;/&gt;&lt;wsp:rsid wsp:val=&quot;00D74D41&quot;/&gt;&lt;wsp:rsid wsp:val=&quot;00D82FF7&quot;/&gt;&lt;wsp:rsid wsp:val=&quot;00D847FE&quot;/&gt;&lt;wsp:rsid wsp:val=&quot;00D964EA&quot;/&gt;&lt;wsp:rsid wsp:val=&quot;00D966D0&quot;/&gt;&lt;wsp:rsid wsp:val=&quot;00DA0C59&quot;/&gt;&lt;wsp:rsid wsp:val=&quot;00DA3991&quot;/&gt;&lt;wsp:rsid wsp:val=&quot;00DA495F&quot;/&gt;&lt;wsp:rsid wsp:val=&quot;00DB0990&quot;/&gt;&lt;wsp:rsid wsp:val=&quot;00DB7E6C&quot;/&gt;&lt;wsp:rsid wsp:val=&quot;00DD4F34&quot;/&gt;&lt;wsp:rsid wsp:val=&quot;00DD5A29&quot;/&gt;&lt;wsp:rsid wsp:val=&quot;00DD5D9D&quot;/&gt;&lt;wsp:rsid wsp:val=&quot;00DE35CB&quot;/&gt;&lt;wsp:rsid wsp:val=&quot;00DF21E9&quot;/&gt;&lt;wsp:rsid wsp:val=&quot;00DF7C2B&quot;/&gt;&lt;wsp:rsid wsp:val=&quot;00E00F14&quot;/&gt;&lt;wsp:rsid wsp:val=&quot;00E06386&quot;/&gt;&lt;wsp:rsid wsp:val=&quot;00E24EB4&quot;/&gt;&lt;wsp:rsid wsp:val=&quot;00E320ED&quot;/&gt;&lt;wsp:rsid wsp:val=&quot;00E33AFB&quot;/&gt;&lt;wsp:rsid wsp:val=&quot;00E34218&quot;/&gt;&lt;wsp:rsid wsp:val=&quot;00E46282&quot;/&gt;&lt;wsp:rsid wsp:val=&quot;00E5216E&quot;/&gt;&lt;wsp:rsid wsp:val=&quot;00E82344&quot;/&gt;&lt;wsp:rsid wsp:val=&quot;00E84C82&quot;/&gt;&lt;wsp:rsid wsp:val=&quot;00E84D64&quot;/&gt;&lt;wsp:rsid wsp:val=&quot;00E87408&quot;/&gt;&lt;wsp:rsid wsp:val=&quot;00E87982&quot;/&gt;&lt;wsp:rsid wsp:val=&quot;00E914C4&quot;/&gt;&lt;wsp:rsid wsp:val=&quot;00E934F5&quot;/&gt;&lt;wsp:rsid wsp:val=&quot;00E96961&quot;/&gt;&lt;wsp:rsid wsp:val=&quot;00EA72EC&quot;/&gt;&lt;wsp:rsid wsp:val=&quot;00EB11CB&quot;/&gt;&lt;wsp:rsid wsp:val=&quot;00EB275A&quot;/&gt;&lt;wsp:rsid wsp:val=&quot;00EB786A&quot;/&gt;&lt;wsp:rsid wsp:val=&quot;00EC1578&quot;/&gt;&lt;wsp:rsid wsp:val=&quot;00EC1C72&quot;/&gt;&lt;wsp:rsid wsp:val=&quot;00EC3CC9&quot;/&gt;&lt;wsp:rsid wsp:val=&quot;00EC680A&quot;/&gt;&lt;wsp:rsid wsp:val=&quot;00EE2BED&quot;/&gt;&lt;wsp:rsid wsp:val=&quot;00EE2C28&quot;/&gt;&lt;wsp:rsid wsp:val=&quot;00EE374B&quot;/&gt;&lt;wsp:rsid wsp:val=&quot;00F0229C&quot;/&gt;&lt;wsp:rsid wsp:val=&quot;00F11BB5&quot;/&gt;&lt;wsp:rsid wsp:val=&quot;00F1417B&quot;/&gt;&lt;wsp:rsid wsp:val=&quot;00F330BC&quot;/&gt;&lt;wsp:rsid wsp:val=&quot;00F34B99&quot;/&gt;&lt;wsp:rsid wsp:val=&quot;00F52DAB&quot;/&gt;&lt;wsp:rsid wsp:val=&quot;00F543F0&quot;/&gt;&lt;wsp:rsid wsp:val=&quot;00F602D2&quot;/&gt;&lt;wsp:rsid wsp:val=&quot;00F67F0F&quot;/&gt;&lt;wsp:rsid wsp:val=&quot;00F723ED&quot;/&gt;&lt;wsp:rsid wsp:val=&quot;00F81D29&quot;/&gt;&lt;wsp:rsid wsp:val=&quot;00F91C4D&quot;/&gt;&lt;wsp:rsid wsp:val=&quot;00F92FD9&quot;/&gt;&lt;wsp:rsid wsp:val=&quot;00FA3F36&quot;/&gt;&lt;wsp:rsid wsp:val=&quot;00FA6684&quot;/&gt;&lt;wsp:rsid wsp:val=&quot;00FA731E&quot;/&gt;&lt;wsp:rsid wsp:val=&quot;00FB2B38&quot;/&gt;&lt;wsp:rsid wsp:val=&quot;00FC6358&quot;/&gt;&lt;wsp:rsid wsp:val=&quot;00FD01CF&quot;/&gt;&lt;wsp:rsid wsp:val=&quot;00FD320D&quot;/&gt;&lt;wsp:rsid wsp:val=&quot;00FE23DE&quot;/&gt;&lt;wsp:rsid wsp:val=&quot;1C7B5112&quot;/&gt;&lt;wsp:rsid wsp:val=&quot;734F74A7&quot;/&gt;&lt;/wsp:rsids&gt;&lt;/w:docPr&gt;&lt;w:body&gt;&lt;wx:sect&gt;&lt;w:p wsp:rsidR=&quot;00000000&quot; wsp:rsidRDefault=&quot;00F723ED&quot; wsp:rsidP=&quot;00F723ED&quot;&gt;&lt;m:oMathPara&gt;&lt;m:oMath&gt;&lt;m:r&gt;&lt;w:rPr&gt;&lt;w:rFonts w:ascii=&quot;Cambria Math&quot; w:h-ansi=&quot;宋体&quot;/&gt;&lt;wx:font wx:val=&quot;Cambria Math&quot;/&gt;&lt;w:i/&gt;&lt;w:sz-cs w:val=&quot;21&quot;/&gt;&lt;/w:rPr&gt;&lt;m:t&gt;T=&lt;/m:t&gt;&lt;/m:r&gt;&lt;m:f&gt;&lt;m:fPr&gt;&lt;m:ctrlPr&gt;&lt;w:rPr&gt;&lt;w:rFonts w:ascii=&quot;Cambria Math&quot; w:h-ansi=&quot;宋体&quot;/&gt;&lt;wx:font wx:val=&quot;Cambria Math&quot;/&gt;&lt;w:i/&gt;&lt;w:sz-cs w:val=&quot;21&quot;/&gt;&lt;/w:rPr&gt;&lt;/m:ctrlPr&gt;&lt;/m:fPr&gt;&lt;m:num&gt;&lt;m:r&gt;&lt;w:rPr&gt;&lt;w:rFonts w:ascii=&quot;Cambria Math&quot; w:h-ansi=&quot;宋体&quot;/&gt;&lt;wx:font wx:val=&quot;Cambria Math&quot;/&gt;&lt;w:i/&gt;&lt;w:sz-cs w:val=&quot;21&quot;/&gt;&lt;/w:rPr&gt;&lt;m:t&gt;m&lt;/m:t&gt;&lt;/m:r&gt;&lt;/m:num&gt;&lt;m:den&gt;&lt;m:r&gt;&lt;w:rPr&gt;&lt;w:rFonts w:ascii=&quot;Cambria Math&quot; w:h-ansi=&quot;宋体&quot;/&gt;&lt;wx:font wx:val=&quot;Cambria Math&quot;/&gt;&lt;w:i/&gt;&lt;w:sz-cs w:val=&quot;21&quot;/&gt;&lt;/w:rPr&gt;&lt;m:t&gt;V&lt;/m:t&gt;&lt;/m:r&gt;&lt;/m:den&gt;&lt;/m:f&gt;&lt;m:r&gt;&lt;w:rPr&gt;&lt;w:rFonts w:ascii=&quot;Cambria Math&quot; w:h-ansi=&quot;宋体&quot;/&gt;&lt;wx:font wx:val=&quot;宋体&quot;/&gt;&lt;w:i/&gt;&lt;w:sz-cs w:val=&quot;21&quot;/&gt;&lt;/w:rPr&gt;&lt;m:t&gt;×&lt;/m:t&gt;&lt;/m:r&gt;&lt;m:r&gt;&lt;w:rPr&gt;&lt;w:rFonts w:ascii=&quot;Cambria Math&quot; w:h-ansi=&quot;宋体&quot;/&gt;&lt;wx:font wx:val=&quot;Cambria Math&quot;/&gt;&lt;w:i/&gt;&lt;w:sz-cs w:val=&quot;21&quot;/&gt;&lt;/w:rPr&gt;&lt;m:t&gt;1000&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
            <v:path/>
            <v:fill on="f" focussize="0,0"/>
            <v:stroke on="f"/>
            <v:imagedata r:id="rId20" chromakey="#FFFFFF" o:title=""/>
            <o:lock v:ext="edit" aspectratio="t"/>
            <w10:wrap type="none"/>
            <w10:anchorlock/>
          </v:shape>
        </w:pict>
      </w:r>
      <w:r>
        <w:rPr>
          <w:rFonts w:hint="default" w:ascii="Times New Roman" w:hAnsi="Times New Roman" w:eastAsia="宋体" w:cs="Times New Roman"/>
        </w:rPr>
        <w:instrText xml:space="preserve"> </w:instrText>
      </w:r>
      <w:r>
        <w:rPr>
          <w:rFonts w:hint="default" w:ascii="Times New Roman" w:hAnsi="Times New Roman" w:eastAsia="宋体" w:cs="Times New Roman"/>
        </w:rPr>
        <w:fldChar w:fldCharType="separate"/>
      </w:r>
      <w:r>
        <w:rPr>
          <w:rFonts w:hint="default" w:ascii="Times New Roman" w:hAnsi="Times New Roman" w:eastAsia="宋体" w:cs="Times New Roman"/>
        </w:rPr>
        <w:fldChar w:fldCharType="end"/>
      </w:r>
    </w:p>
    <w:p w14:paraId="0AE19725">
      <w:pPr>
        <w:pStyle w:val="9"/>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360" w:lineRule="exac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式中：</w:t>
      </w:r>
    </w:p>
    <w:p w14:paraId="04AA0280">
      <w:pPr>
        <w:pStyle w:val="9"/>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360" w:lineRule="exact"/>
        <w:textAlignment w:val="auto"/>
        <w:rPr>
          <w:rFonts w:hint="default" w:ascii="Times New Roman" w:hAnsi="Times New Roman" w:eastAsia="宋体" w:cs="Times New Roman"/>
          <w:color w:val="auto"/>
          <w:lang w:eastAsia="zh-CN"/>
        </w:rPr>
      </w:pPr>
      <w:r>
        <w:rPr>
          <w:rFonts w:hint="default" w:ascii="Times New Roman" w:hAnsi="Times New Roman" w:eastAsia="宋体" w:cs="Times New Roman"/>
          <w:i/>
          <w:iCs/>
          <w:color w:val="auto"/>
        </w:rPr>
        <w:t>C</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氯化钠</w:t>
      </w:r>
      <w:r>
        <w:rPr>
          <w:rFonts w:hint="default" w:ascii="Times New Roman" w:hAnsi="Times New Roman" w:eastAsia="宋体" w:cs="Times New Roman"/>
          <w:color w:val="auto"/>
        </w:rPr>
        <w:t>标准滴定溶液浓度，单位为摩尔每升（mol/L）</w:t>
      </w:r>
      <w:r>
        <w:rPr>
          <w:rFonts w:hint="default" w:ascii="Times New Roman" w:hAnsi="Times New Roman" w:eastAsia="宋体" w:cs="Times New Roman"/>
          <w:color w:val="auto"/>
          <w:lang w:eastAsia="zh-CN"/>
        </w:rPr>
        <w:t>；</w:t>
      </w:r>
    </w:p>
    <w:p w14:paraId="2458005A">
      <w:pPr>
        <w:pStyle w:val="9"/>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360" w:lineRule="exact"/>
        <w:textAlignment w:val="auto"/>
        <w:rPr>
          <w:rFonts w:hint="default" w:ascii="Times New Roman" w:hAnsi="Times New Roman" w:eastAsia="宋体" w:cs="Times New Roman"/>
          <w:color w:val="auto"/>
          <w:lang w:eastAsia="zh-CN"/>
        </w:rPr>
      </w:pPr>
      <w:r>
        <w:rPr>
          <w:rFonts w:hint="default" w:ascii="Times New Roman" w:hAnsi="Times New Roman" w:eastAsia="宋体" w:cs="Times New Roman"/>
          <w:i/>
          <w:iCs/>
          <w:color w:val="auto"/>
        </w:rPr>
        <w:t>V</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氯化钠</w:t>
      </w:r>
      <w:r>
        <w:rPr>
          <w:rFonts w:hint="default" w:ascii="Times New Roman" w:hAnsi="Times New Roman" w:eastAsia="宋体" w:cs="Times New Roman"/>
          <w:color w:val="auto"/>
        </w:rPr>
        <w:t>标准滴定溶液体积，单位为毫升（mL）</w:t>
      </w:r>
      <w:r>
        <w:rPr>
          <w:rFonts w:hint="default" w:ascii="Times New Roman" w:hAnsi="Times New Roman" w:eastAsia="宋体" w:cs="Times New Roman"/>
          <w:color w:val="auto"/>
          <w:lang w:eastAsia="zh-CN"/>
        </w:rPr>
        <w:t>；</w:t>
      </w:r>
    </w:p>
    <w:p w14:paraId="4E7C27F7">
      <w:pPr>
        <w:pStyle w:val="9"/>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36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i/>
          <w:iCs/>
        </w:rPr>
        <w:t>m</w:t>
      </w:r>
      <w:r>
        <w:rPr>
          <w:rFonts w:hint="default" w:ascii="Times New Roman" w:hAnsi="Times New Roman" w:eastAsia="宋体" w:cs="Times New Roman"/>
        </w:rPr>
        <w:t>——样品质量，单位为克（g）</w:t>
      </w:r>
      <w:r>
        <w:rPr>
          <w:rFonts w:hint="default" w:ascii="Times New Roman" w:hAnsi="Times New Roman" w:eastAsia="宋体" w:cs="Times New Roman"/>
          <w:lang w:eastAsia="zh-CN"/>
        </w:rPr>
        <w:t>；</w:t>
      </w:r>
    </w:p>
    <w:p w14:paraId="1099A483">
      <w:pPr>
        <w:pStyle w:val="9"/>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360" w:lineRule="exact"/>
        <w:textAlignment w:val="auto"/>
        <w:rPr>
          <w:rFonts w:hint="default" w:ascii="Times New Roman" w:hAnsi="Times New Roman" w:eastAsia="宋体" w:cs="Times New Roman"/>
        </w:rPr>
      </w:pPr>
      <w:r>
        <w:rPr>
          <w:rFonts w:hint="default" w:ascii="Times New Roman" w:hAnsi="Times New Roman" w:eastAsia="宋体" w:cs="Times New Roman"/>
          <w:color w:val="auto"/>
        </w:rPr>
        <w:t>1</w:t>
      </w:r>
      <w:r>
        <w:rPr>
          <w:rFonts w:hint="default" w:ascii="Times New Roman" w:hAnsi="Times New Roman" w:eastAsia="宋体" w:cs="Times New Roman"/>
          <w:color w:val="auto"/>
          <w:lang w:val="en-US" w:eastAsia="zh-CN"/>
        </w:rPr>
        <w:t>66</w:t>
      </w:r>
      <w:r>
        <w:rPr>
          <w:rFonts w:hint="default" w:ascii="Times New Roman" w:hAnsi="Times New Roman" w:eastAsia="宋体" w:cs="Times New Roman"/>
          <w:color w:val="auto"/>
        </w:rPr>
        <w:t>.9</w:t>
      </w:r>
      <w:r>
        <w:rPr>
          <w:rFonts w:hint="default" w:ascii="Times New Roman" w:hAnsi="Times New Roman" w:cs="Times New Roman"/>
          <w:color w:val="auto"/>
          <w:lang w:val="en-US" w:eastAsia="zh-CN"/>
        </w:rPr>
        <w:t>1</w:t>
      </w:r>
      <w:r>
        <w:rPr>
          <w:rFonts w:hint="default" w:ascii="Times New Roman" w:hAnsi="Times New Roman" w:eastAsia="宋体" w:cs="Times New Roman"/>
          <w:color w:val="auto"/>
        </w:rPr>
        <w:t>——</w:t>
      </w:r>
      <w:bookmarkStart w:id="0" w:name="_Hlk120558207"/>
      <w:r>
        <w:rPr>
          <w:rFonts w:hint="default" w:ascii="Times New Roman" w:hAnsi="Times New Roman" w:eastAsia="宋体" w:cs="Times New Roman"/>
          <w:color w:val="auto"/>
          <w:lang w:val="en-US" w:eastAsia="zh-CN"/>
        </w:rPr>
        <w:t>乙</w:t>
      </w:r>
      <w:r>
        <w:rPr>
          <w:rFonts w:hint="default" w:ascii="Times New Roman" w:hAnsi="Times New Roman" w:eastAsia="宋体" w:cs="Times New Roman"/>
          <w:color w:val="auto"/>
        </w:rPr>
        <w:t>酸银摩尔质量，</w:t>
      </w:r>
      <w:r>
        <w:rPr>
          <w:rFonts w:hint="default" w:ascii="Times New Roman" w:hAnsi="Times New Roman" w:eastAsia="宋体" w:cs="Times New Roman"/>
        </w:rPr>
        <w:t>单位为克每摩尔（g/mol）</w:t>
      </w:r>
      <w:bookmarkEnd w:id="0"/>
      <w:r>
        <w:rPr>
          <w:rFonts w:hint="default" w:ascii="Times New Roman" w:hAnsi="Times New Roman" w:eastAsia="宋体" w:cs="Times New Roman"/>
        </w:rPr>
        <w:t xml:space="preserve">。 </w:t>
      </w:r>
    </w:p>
    <w:p w14:paraId="6D3FCE77">
      <w:pPr>
        <w:pStyle w:val="9"/>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360" w:lineRule="exact"/>
        <w:textAlignment w:val="auto"/>
        <w:rPr>
          <w:rFonts w:hint="default" w:ascii="Times New Roman" w:hAnsi="Times New Roman" w:eastAsia="宋体" w:cs="Times New Roman"/>
        </w:rPr>
      </w:pPr>
      <w:r>
        <w:rPr>
          <w:rFonts w:hint="default" w:ascii="Times New Roman" w:hAnsi="Times New Roman" w:eastAsia="宋体" w:cs="Times New Roman"/>
        </w:rPr>
        <w:t>平行测定3次，取平均值，计算结果表示至小数点后两位，数值修约按GB/T 8170的规定进行。平行测定结果的绝对差值不大于0.</w:t>
      </w:r>
      <w:r>
        <w:rPr>
          <w:rFonts w:hint="default" w:ascii="Times New Roman" w:hAnsi="Times New Roman" w:eastAsia="宋体" w:cs="Times New Roman"/>
          <w:lang w:val="en-US" w:eastAsia="zh-CN"/>
        </w:rPr>
        <w:t>3</w:t>
      </w:r>
      <w:r>
        <w:rPr>
          <w:rFonts w:hint="default" w:ascii="Times New Roman" w:hAnsi="Times New Roman" w:eastAsia="宋体" w:cs="Times New Roman"/>
        </w:rPr>
        <w:t>0%。</w:t>
      </w:r>
    </w:p>
    <w:p w14:paraId="1BA1FD7E">
      <w:pPr>
        <w:spacing w:before="72" w:line="289" w:lineRule="auto"/>
        <w:ind w:left="128" w:right="301" w:firstLine="415"/>
        <w:rPr>
          <w:rFonts w:hint="default" w:ascii="Times New Roman" w:hAnsi="Times New Roman" w:eastAsia="宋体" w:cs="Times New Roman"/>
          <w:sz w:val="20"/>
          <w:szCs w:val="20"/>
        </w:rPr>
      </w:pPr>
    </w:p>
    <w:p w14:paraId="0A71834E">
      <w:pPr>
        <w:pStyle w:val="2"/>
        <w:spacing w:before="154" w:line="229" w:lineRule="auto"/>
        <w:ind w:left="123"/>
        <w:outlineLvl w:val="3"/>
        <w:rPr>
          <w:rFonts w:hint="default" w:ascii="Times New Roman" w:hAnsi="Times New Roman" w:cs="Times New Roman"/>
          <w:sz w:val="20"/>
          <w:szCs w:val="20"/>
        </w:rPr>
      </w:pPr>
      <w:r>
        <w:rPr>
          <w:rFonts w:hint="default" w:ascii="Times New Roman" w:hAnsi="Times New Roman" w:cs="Times New Roman"/>
          <w:spacing w:val="7"/>
          <w:sz w:val="20"/>
          <w:szCs w:val="20"/>
        </w:rPr>
        <w:t>6.1.2  铁、铜、铅、铋含量</w:t>
      </w:r>
    </w:p>
    <w:p w14:paraId="684125F8">
      <w:pPr>
        <w:widowControl/>
        <w:spacing w:before="50" w:after="50"/>
        <w:ind w:firstLine="440" w:firstLineChars="200"/>
        <w:jc w:val="left"/>
        <w:rPr>
          <w:rFonts w:hint="default" w:ascii="Times New Roman" w:hAnsi="Times New Roman" w:eastAsia="宋体" w:cs="Times New Roman"/>
          <w:spacing w:val="10"/>
          <w:sz w:val="20"/>
          <w:szCs w:val="20"/>
        </w:rPr>
      </w:pPr>
      <w:r>
        <w:rPr>
          <w:rFonts w:hint="default" w:ascii="Times New Roman" w:hAnsi="Times New Roman" w:eastAsia="宋体" w:cs="Times New Roman"/>
          <w:spacing w:val="10"/>
          <w:sz w:val="20"/>
          <w:szCs w:val="20"/>
        </w:rPr>
        <w:t>铁、铜、铅、铋含量的检验按照</w:t>
      </w:r>
      <w:r>
        <w:rPr>
          <w:rFonts w:hint="default" w:ascii="Times New Roman" w:hAnsi="Times New Roman" w:eastAsia="宋体" w:cs="Times New Roman"/>
          <w:sz w:val="20"/>
          <w:szCs w:val="20"/>
        </w:rPr>
        <w:t>YS</w:t>
      </w:r>
      <w:r>
        <w:rPr>
          <w:rFonts w:hint="default" w:ascii="Times New Roman" w:hAnsi="Times New Roman" w:eastAsia="宋体" w:cs="Times New Roman"/>
          <w:spacing w:val="10"/>
          <w:sz w:val="20"/>
          <w:szCs w:val="20"/>
        </w:rPr>
        <w:t>/T 958</w:t>
      </w:r>
      <w:r>
        <w:rPr>
          <w:rFonts w:hint="default" w:ascii="Times New Roman" w:hAnsi="Times New Roman" w:eastAsia="宋体" w:cs="Times New Roman"/>
          <w:spacing w:val="-34"/>
          <w:sz w:val="20"/>
          <w:szCs w:val="20"/>
        </w:rPr>
        <w:t xml:space="preserve"> </w:t>
      </w:r>
      <w:r>
        <w:rPr>
          <w:rFonts w:hint="default" w:ascii="Times New Roman" w:hAnsi="Times New Roman" w:eastAsia="宋体" w:cs="Times New Roman"/>
          <w:spacing w:val="10"/>
          <w:sz w:val="20"/>
          <w:szCs w:val="20"/>
        </w:rPr>
        <w:t>规定的方法进行。</w:t>
      </w:r>
    </w:p>
    <w:p w14:paraId="3E802FE7">
      <w:pPr>
        <w:pStyle w:val="2"/>
        <w:spacing w:before="66" w:line="229" w:lineRule="auto"/>
        <w:ind w:left="123"/>
        <w:outlineLvl w:val="2"/>
        <w:rPr>
          <w:rFonts w:hint="default" w:ascii="Times New Roman" w:hAnsi="Times New Roman" w:cs="Times New Roman"/>
          <w:sz w:val="20"/>
          <w:szCs w:val="20"/>
        </w:rPr>
      </w:pPr>
      <w:r>
        <w:rPr>
          <w:rFonts w:hint="default" w:ascii="Times New Roman" w:hAnsi="Times New Roman" w:cs="Times New Roman"/>
          <w:spacing w:val="6"/>
          <w:sz w:val="20"/>
          <w:szCs w:val="20"/>
        </w:rPr>
        <w:t>6.2  溶解试验</w:t>
      </w:r>
    </w:p>
    <w:p w14:paraId="34391BCE">
      <w:pPr>
        <w:pStyle w:val="2"/>
        <w:spacing w:before="219" w:line="237" w:lineRule="auto"/>
        <w:ind w:left="123"/>
        <w:outlineLvl w:val="2"/>
        <w:rPr>
          <w:rFonts w:hint="default" w:ascii="Times New Roman" w:hAnsi="Times New Roman" w:cs="Times New Roman"/>
          <w:sz w:val="20"/>
          <w:szCs w:val="20"/>
        </w:rPr>
      </w:pPr>
      <w:r>
        <w:rPr>
          <w:rFonts w:hint="default" w:ascii="Times New Roman" w:hAnsi="Times New Roman" w:cs="Times New Roman"/>
          <w:spacing w:val="5"/>
          <w:sz w:val="20"/>
          <w:szCs w:val="20"/>
        </w:rPr>
        <w:t>6.2.1  硝酸盐(以</w:t>
      </w:r>
      <w:r>
        <w:rPr>
          <w:rFonts w:hint="default" w:ascii="Times New Roman" w:hAnsi="Times New Roman" w:cs="Times New Roman"/>
          <w:spacing w:val="-26"/>
          <w:sz w:val="20"/>
          <w:szCs w:val="20"/>
        </w:rPr>
        <w:t xml:space="preserve"> </w:t>
      </w:r>
      <w:r>
        <w:rPr>
          <w:rFonts w:hint="default" w:ascii="Times New Roman" w:hAnsi="Times New Roman" w:cs="Times New Roman"/>
          <w:sz w:val="20"/>
          <w:szCs w:val="20"/>
        </w:rPr>
        <w:t>NO</w:t>
      </w:r>
      <w:r>
        <w:rPr>
          <w:rFonts w:hint="default" w:ascii="Times New Roman" w:hAnsi="Times New Roman" w:cs="Times New Roman"/>
          <w:spacing w:val="5"/>
          <w:position w:val="-3"/>
          <w:sz w:val="10"/>
          <w:szCs w:val="10"/>
        </w:rPr>
        <w:t>3</w:t>
      </w:r>
      <w:r>
        <w:rPr>
          <w:rFonts w:hint="default" w:ascii="Times New Roman" w:hAnsi="Times New Roman" w:cs="Times New Roman"/>
          <w:spacing w:val="5"/>
          <w:position w:val="10"/>
          <w:sz w:val="10"/>
          <w:szCs w:val="10"/>
        </w:rPr>
        <w:t>-</w:t>
      </w:r>
      <w:r>
        <w:rPr>
          <w:rFonts w:hint="default" w:ascii="Times New Roman" w:hAnsi="Times New Roman" w:cs="Times New Roman"/>
          <w:spacing w:val="5"/>
          <w:sz w:val="20"/>
          <w:szCs w:val="20"/>
        </w:rPr>
        <w:t>计)</w:t>
      </w:r>
    </w:p>
    <w:p w14:paraId="43DE7C62">
      <w:pPr>
        <w:spacing w:before="211" w:line="288" w:lineRule="auto"/>
        <w:ind w:left="123" w:right="246" w:firstLine="420"/>
        <w:jc w:val="both"/>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称取</w:t>
      </w:r>
      <w:r>
        <w:rPr>
          <w:rFonts w:hint="eastAsia" w:ascii="Times New Roman" w:hAnsi="Times New Roman" w:eastAsia="宋体" w:cs="Times New Roman"/>
          <w:spacing w:val="-1"/>
          <w:sz w:val="20"/>
          <w:szCs w:val="20"/>
          <w:lang w:val="en-US" w:eastAsia="zh-CN"/>
        </w:rPr>
        <w:t xml:space="preserve">1.0 </w:t>
      </w:r>
      <w:r>
        <w:rPr>
          <w:rFonts w:hint="default" w:ascii="Times New Roman" w:hAnsi="Times New Roman" w:eastAsia="宋体" w:cs="Times New Roman"/>
          <w:spacing w:val="-1"/>
          <w:sz w:val="20"/>
          <w:szCs w:val="20"/>
        </w:rPr>
        <w:t>g</w:t>
      </w:r>
      <w:r>
        <w:rPr>
          <w:rFonts w:hint="default" w:ascii="Times New Roman" w:hAnsi="Times New Roman" w:eastAsia="宋体" w:cs="Times New Roman"/>
          <w:spacing w:val="-41"/>
          <w:sz w:val="20"/>
          <w:szCs w:val="20"/>
        </w:rPr>
        <w:t xml:space="preserve"> </w:t>
      </w:r>
      <w:r>
        <w:rPr>
          <w:rFonts w:hint="default" w:ascii="Times New Roman" w:hAnsi="Times New Roman" w:eastAsia="宋体" w:cs="Times New Roman"/>
          <w:spacing w:val="-1"/>
          <w:sz w:val="20"/>
          <w:szCs w:val="20"/>
        </w:rPr>
        <w:t>样品，精确到</w:t>
      </w:r>
      <w:r>
        <w:rPr>
          <w:rFonts w:hint="default" w:ascii="Times New Roman" w:hAnsi="Times New Roman" w:eastAsia="宋体" w:cs="Times New Roman"/>
          <w:spacing w:val="-37"/>
          <w:sz w:val="20"/>
          <w:szCs w:val="20"/>
        </w:rPr>
        <w:t xml:space="preserve"> </w:t>
      </w:r>
      <w:r>
        <w:rPr>
          <w:rFonts w:hint="default" w:ascii="Times New Roman" w:hAnsi="Times New Roman" w:eastAsia="宋体" w:cs="Times New Roman"/>
          <w:spacing w:val="-1"/>
          <w:sz w:val="20"/>
          <w:szCs w:val="20"/>
        </w:rPr>
        <w:t>0.0001</w:t>
      </w:r>
      <w:r>
        <w:rPr>
          <w:rFonts w:hint="default" w:ascii="Times New Roman" w:hAnsi="Times New Roman" w:eastAsia="宋体" w:cs="Times New Roman"/>
          <w:spacing w:val="-37"/>
          <w:sz w:val="20"/>
          <w:szCs w:val="20"/>
        </w:rPr>
        <w:t xml:space="preserve"> </w:t>
      </w:r>
      <w:r>
        <w:rPr>
          <w:rFonts w:hint="default" w:ascii="Times New Roman" w:hAnsi="Times New Roman" w:eastAsia="宋体" w:cs="Times New Roman"/>
          <w:spacing w:val="-1"/>
          <w:sz w:val="20"/>
          <w:szCs w:val="20"/>
        </w:rPr>
        <w:t>g，置于</w:t>
      </w:r>
      <w:r>
        <w:rPr>
          <w:rFonts w:hint="default" w:ascii="Times New Roman" w:hAnsi="Times New Roman" w:eastAsia="宋体" w:cs="Times New Roman"/>
          <w:spacing w:val="-22"/>
          <w:sz w:val="20"/>
          <w:szCs w:val="20"/>
        </w:rPr>
        <w:t xml:space="preserve"> </w:t>
      </w:r>
      <w:r>
        <w:rPr>
          <w:rFonts w:hint="default" w:ascii="Times New Roman" w:hAnsi="Times New Roman" w:eastAsia="宋体" w:cs="Times New Roman"/>
          <w:spacing w:val="-1"/>
          <w:sz w:val="20"/>
          <w:szCs w:val="20"/>
        </w:rPr>
        <w:t>100</w:t>
      </w:r>
      <w:r>
        <w:rPr>
          <w:rFonts w:hint="default" w:ascii="Times New Roman" w:hAnsi="Times New Roman" w:eastAsia="宋体" w:cs="Times New Roman"/>
          <w:spacing w:val="-1"/>
          <w:sz w:val="20"/>
          <w:szCs w:val="20"/>
          <w:lang w:val="en-US" w:eastAsia="zh-CN"/>
        </w:rPr>
        <w:t xml:space="preserve"> </w:t>
      </w:r>
      <w:r>
        <w:rPr>
          <w:rFonts w:hint="default" w:ascii="Times New Roman" w:hAnsi="Times New Roman" w:eastAsia="宋体" w:cs="Times New Roman"/>
          <w:spacing w:val="-1"/>
          <w:sz w:val="20"/>
          <w:szCs w:val="20"/>
        </w:rPr>
        <w:t>m</w:t>
      </w:r>
      <w:r>
        <w:rPr>
          <w:rFonts w:hint="eastAsia" w:ascii="Times New Roman" w:hAnsi="Times New Roman" w:eastAsia="宋体" w:cs="Times New Roman"/>
          <w:spacing w:val="-1"/>
          <w:sz w:val="20"/>
          <w:szCs w:val="20"/>
          <w:lang w:val="en-US" w:eastAsia="zh-CN"/>
        </w:rPr>
        <w:t>L</w:t>
      </w:r>
      <w:r>
        <w:rPr>
          <w:rFonts w:hint="default" w:ascii="Times New Roman" w:hAnsi="Times New Roman" w:eastAsia="宋体" w:cs="Times New Roman"/>
          <w:spacing w:val="-41"/>
          <w:sz w:val="20"/>
          <w:szCs w:val="20"/>
        </w:rPr>
        <w:t xml:space="preserve"> </w:t>
      </w:r>
      <w:r>
        <w:rPr>
          <w:rFonts w:hint="default" w:ascii="Times New Roman" w:hAnsi="Times New Roman" w:eastAsia="宋体" w:cs="Times New Roman"/>
          <w:spacing w:val="-1"/>
          <w:sz w:val="20"/>
          <w:szCs w:val="20"/>
        </w:rPr>
        <w:t>烧杯中，加</w:t>
      </w:r>
      <w:r>
        <w:rPr>
          <w:rFonts w:hint="default" w:ascii="Times New Roman" w:hAnsi="Times New Roman" w:eastAsia="宋体" w:cs="Times New Roman"/>
          <w:spacing w:val="-35"/>
          <w:sz w:val="20"/>
          <w:szCs w:val="20"/>
        </w:rPr>
        <w:t xml:space="preserve"> </w:t>
      </w:r>
      <w:r>
        <w:rPr>
          <w:rFonts w:hint="default" w:ascii="Times New Roman" w:hAnsi="Times New Roman" w:eastAsia="宋体" w:cs="Times New Roman"/>
          <w:spacing w:val="-1"/>
          <w:sz w:val="20"/>
          <w:szCs w:val="20"/>
        </w:rPr>
        <w:t>50</w:t>
      </w:r>
      <w:r>
        <w:rPr>
          <w:rFonts w:hint="eastAsia" w:ascii="Times New Roman" w:hAnsi="Times New Roman" w:eastAsia="宋体" w:cs="Times New Roman"/>
          <w:spacing w:val="-1"/>
          <w:sz w:val="20"/>
          <w:szCs w:val="20"/>
          <w:lang w:val="en-US" w:eastAsia="zh-CN"/>
        </w:rPr>
        <w:t xml:space="preserve"> </w:t>
      </w:r>
      <w:r>
        <w:rPr>
          <w:rFonts w:hint="default" w:ascii="Times New Roman" w:hAnsi="Times New Roman" w:eastAsia="宋体" w:cs="Times New Roman"/>
          <w:spacing w:val="-1"/>
          <w:sz w:val="20"/>
          <w:szCs w:val="20"/>
        </w:rPr>
        <w:t>mL</w:t>
      </w:r>
      <w:r>
        <w:rPr>
          <w:rFonts w:hint="default" w:ascii="Times New Roman" w:hAnsi="Times New Roman" w:eastAsia="宋体" w:cs="Times New Roman"/>
          <w:spacing w:val="-38"/>
          <w:sz w:val="20"/>
          <w:szCs w:val="20"/>
        </w:rPr>
        <w:t xml:space="preserve"> </w:t>
      </w:r>
      <w:r>
        <w:rPr>
          <w:rFonts w:hint="default" w:ascii="Times New Roman" w:hAnsi="Times New Roman" w:eastAsia="宋体" w:cs="Times New Roman"/>
          <w:spacing w:val="-1"/>
          <w:sz w:val="20"/>
          <w:szCs w:val="20"/>
        </w:rPr>
        <w:t>水，在水浴（90℃)</w:t>
      </w:r>
      <w:r>
        <w:rPr>
          <w:rFonts w:hint="default" w:ascii="Times New Roman" w:hAnsi="Times New Roman" w:eastAsia="宋体" w:cs="Times New Roman"/>
          <w:spacing w:val="-22"/>
          <w:sz w:val="20"/>
          <w:szCs w:val="20"/>
        </w:rPr>
        <w:t xml:space="preserve"> </w:t>
      </w:r>
      <w:r>
        <w:rPr>
          <w:rFonts w:hint="default" w:ascii="Times New Roman" w:hAnsi="Times New Roman" w:eastAsia="宋体" w:cs="Times New Roman"/>
          <w:spacing w:val="-1"/>
          <w:sz w:val="20"/>
          <w:szCs w:val="20"/>
        </w:rPr>
        <w:t>上加热</w:t>
      </w:r>
      <w:r>
        <w:rPr>
          <w:rFonts w:hint="default" w:ascii="Times New Roman" w:hAnsi="Times New Roman" w:eastAsia="宋体" w:cs="Times New Roman"/>
          <w:spacing w:val="29"/>
          <w:sz w:val="20"/>
          <w:szCs w:val="20"/>
        </w:rPr>
        <w:t xml:space="preserve"> </w:t>
      </w:r>
      <w:r>
        <w:rPr>
          <w:rFonts w:hint="default" w:ascii="Times New Roman" w:hAnsi="Times New Roman" w:eastAsia="宋体" w:cs="Times New Roman"/>
          <w:spacing w:val="-1"/>
          <w:sz w:val="20"/>
          <w:szCs w:val="20"/>
        </w:rPr>
        <w:t>15</w:t>
      </w:r>
      <w:r>
        <w:rPr>
          <w:rFonts w:hint="eastAsia" w:ascii="Times New Roman" w:hAnsi="Times New Roman" w:eastAsia="宋体" w:cs="Times New Roman"/>
          <w:spacing w:val="-1"/>
          <w:sz w:val="20"/>
          <w:szCs w:val="20"/>
          <w:lang w:val="en-US" w:eastAsia="zh-CN"/>
        </w:rPr>
        <w:t xml:space="preserve"> </w:t>
      </w:r>
      <w:r>
        <w:rPr>
          <w:rFonts w:hint="default" w:ascii="Times New Roman" w:hAnsi="Times New Roman" w:eastAsia="宋体" w:cs="Times New Roman"/>
          <w:spacing w:val="-1"/>
          <w:sz w:val="20"/>
          <w:szCs w:val="20"/>
        </w:rPr>
        <w:t>min，</w:t>
      </w:r>
      <w:r>
        <w:rPr>
          <w:rFonts w:hint="default" w:ascii="Times New Roman" w:hAnsi="Times New Roman" w:eastAsia="宋体" w:cs="Times New Roman"/>
          <w:spacing w:val="4"/>
          <w:sz w:val="20"/>
          <w:szCs w:val="20"/>
        </w:rPr>
        <w:t>加入1 mL 盐酸（1 mol/L）及1 mL10%氯化钠溶液，冷却过滤，定容至20 mL。取该10 mL样品溶液，加入1 mL 0.001 mol/L靛蓝二磺酸钠，在摇动下于10 s～15 s内加10 mL硫酸（分析纯），放置10 min。所呈蓝色不得浅于标准液</w:t>
      </w:r>
      <w:r>
        <w:rPr>
          <w:rFonts w:hint="default" w:ascii="Times New Roman" w:hAnsi="Times New Roman" w:eastAsia="宋体" w:cs="Times New Roman"/>
          <w:spacing w:val="10"/>
          <w:sz w:val="20"/>
          <w:szCs w:val="20"/>
        </w:rPr>
        <w:t>。硝酸盐标准溶液的配制按照</w:t>
      </w:r>
      <w:r>
        <w:rPr>
          <w:rFonts w:hint="default" w:ascii="Times New Roman" w:hAnsi="Times New Roman" w:eastAsia="宋体" w:cs="Times New Roman"/>
          <w:sz w:val="20"/>
          <w:szCs w:val="20"/>
        </w:rPr>
        <w:t>GB</w:t>
      </w:r>
      <w:r>
        <w:rPr>
          <w:rFonts w:hint="default" w:ascii="Times New Roman" w:hAnsi="Times New Roman" w:eastAsia="宋体" w:cs="Times New Roman"/>
          <w:spacing w:val="10"/>
          <w:sz w:val="20"/>
          <w:szCs w:val="20"/>
        </w:rPr>
        <w:t>/T</w:t>
      </w:r>
      <w:r>
        <w:rPr>
          <w:rFonts w:hint="eastAsia" w:ascii="Times New Roman" w:hAnsi="Times New Roman" w:eastAsia="宋体" w:cs="Times New Roman"/>
          <w:spacing w:val="10"/>
          <w:sz w:val="20"/>
          <w:szCs w:val="20"/>
          <w:lang w:val="en-US" w:eastAsia="zh-CN"/>
        </w:rPr>
        <w:t xml:space="preserve"> </w:t>
      </w:r>
      <w:r>
        <w:rPr>
          <w:rFonts w:hint="default" w:ascii="Times New Roman" w:hAnsi="Times New Roman" w:eastAsia="宋体" w:cs="Times New Roman"/>
          <w:spacing w:val="10"/>
          <w:sz w:val="20"/>
          <w:szCs w:val="20"/>
        </w:rPr>
        <w:t>602</w:t>
      </w:r>
      <w:r>
        <w:rPr>
          <w:rFonts w:hint="default" w:ascii="Times New Roman" w:hAnsi="Times New Roman" w:eastAsia="宋体" w:cs="Times New Roman"/>
          <w:spacing w:val="-21"/>
          <w:sz w:val="20"/>
          <w:szCs w:val="20"/>
        </w:rPr>
        <w:t xml:space="preserve"> </w:t>
      </w:r>
      <w:r>
        <w:rPr>
          <w:rFonts w:hint="default" w:ascii="Times New Roman" w:hAnsi="Times New Roman" w:eastAsia="宋体" w:cs="Times New Roman"/>
          <w:spacing w:val="10"/>
          <w:sz w:val="20"/>
          <w:szCs w:val="20"/>
        </w:rPr>
        <w:t>的规定</w:t>
      </w:r>
      <w:r>
        <w:rPr>
          <w:rFonts w:hint="default" w:ascii="Times New Roman" w:hAnsi="Times New Roman" w:eastAsia="宋体" w:cs="Times New Roman"/>
          <w:spacing w:val="3"/>
          <w:sz w:val="20"/>
          <w:szCs w:val="20"/>
        </w:rPr>
        <w:t>进行。</w:t>
      </w:r>
    </w:p>
    <w:p w14:paraId="4A5AC759">
      <w:pPr>
        <w:spacing w:before="1" w:line="280" w:lineRule="auto"/>
        <w:ind w:left="145" w:right="301" w:firstLine="402"/>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一级</w:t>
      </w:r>
      <w:r>
        <w:rPr>
          <w:rFonts w:hint="default" w:ascii="Times New Roman" w:hAnsi="Times New Roman" w:eastAsia="宋体" w:cs="Times New Roman"/>
          <w:sz w:val="20"/>
          <w:szCs w:val="20"/>
        </w:rPr>
        <w:t>Ag</w:t>
      </w:r>
      <w:r>
        <w:rPr>
          <w:rFonts w:hint="default" w:ascii="Times New Roman" w:hAnsi="Times New Roman" w:eastAsia="宋体" w:cs="Times New Roman"/>
          <w:spacing w:val="9"/>
          <w:position w:val="-3"/>
          <w:sz w:val="10"/>
          <w:szCs w:val="10"/>
        </w:rPr>
        <w:t>2</w:t>
      </w:r>
      <w:r>
        <w:rPr>
          <w:rFonts w:hint="default" w:ascii="Times New Roman" w:hAnsi="Times New Roman" w:eastAsia="宋体" w:cs="Times New Roman"/>
          <w:sz w:val="20"/>
          <w:szCs w:val="20"/>
        </w:rPr>
        <w:t>CO</w:t>
      </w:r>
      <w:r>
        <w:rPr>
          <w:rFonts w:hint="default" w:ascii="Times New Roman" w:hAnsi="Times New Roman" w:eastAsia="宋体" w:cs="Times New Roman"/>
          <w:spacing w:val="9"/>
          <w:position w:val="-3"/>
          <w:sz w:val="10"/>
          <w:szCs w:val="10"/>
        </w:rPr>
        <w:t>3</w:t>
      </w:r>
      <w:r>
        <w:rPr>
          <w:rFonts w:hint="default" w:ascii="Times New Roman" w:hAnsi="Times New Roman" w:eastAsia="宋体" w:cs="Times New Roman"/>
          <w:spacing w:val="9"/>
          <w:sz w:val="20"/>
          <w:szCs w:val="20"/>
        </w:rPr>
        <w:t>用标准液：取含</w:t>
      </w:r>
      <w:r>
        <w:rPr>
          <w:rFonts w:hint="default" w:ascii="Times New Roman" w:hAnsi="Times New Roman" w:eastAsia="宋体" w:cs="Times New Roman"/>
          <w:sz w:val="20"/>
          <w:szCs w:val="20"/>
        </w:rPr>
        <w:t>NO</w:t>
      </w:r>
      <w:r>
        <w:rPr>
          <w:rFonts w:hint="default" w:ascii="Times New Roman" w:hAnsi="Times New Roman" w:eastAsia="宋体" w:cs="Times New Roman"/>
          <w:spacing w:val="9"/>
          <w:position w:val="-3"/>
          <w:sz w:val="10"/>
          <w:szCs w:val="10"/>
        </w:rPr>
        <w:t>3</w:t>
      </w:r>
      <w:r>
        <w:rPr>
          <w:rFonts w:hint="default" w:ascii="Times New Roman" w:hAnsi="Times New Roman" w:eastAsia="宋体" w:cs="Times New Roman"/>
          <w:spacing w:val="9"/>
          <w:position w:val="10"/>
          <w:sz w:val="10"/>
          <w:szCs w:val="10"/>
        </w:rPr>
        <w:t>-</w:t>
      </w:r>
      <w:r>
        <w:rPr>
          <w:rFonts w:hint="default" w:ascii="Times New Roman" w:hAnsi="Times New Roman" w:eastAsia="宋体" w:cs="Times New Roman"/>
          <w:spacing w:val="9"/>
          <w:sz w:val="20"/>
          <w:szCs w:val="20"/>
        </w:rPr>
        <w:t xml:space="preserve">0.01 </w:t>
      </w:r>
      <w:r>
        <w:rPr>
          <w:rFonts w:hint="default" w:ascii="Times New Roman" w:hAnsi="Times New Roman" w:eastAsia="宋体" w:cs="Times New Roman"/>
          <w:sz w:val="20"/>
          <w:szCs w:val="20"/>
        </w:rPr>
        <w:t>mg</w:t>
      </w:r>
      <w:r>
        <w:rPr>
          <w:rFonts w:hint="default" w:ascii="Times New Roman" w:hAnsi="Times New Roman" w:eastAsia="宋体" w:cs="Times New Roman"/>
          <w:spacing w:val="9"/>
          <w:sz w:val="20"/>
          <w:szCs w:val="20"/>
        </w:rPr>
        <w:t xml:space="preserve">的硝酸盐标准溶液，稀释至10 </w:t>
      </w:r>
      <w:r>
        <w:rPr>
          <w:rFonts w:hint="default" w:ascii="Times New Roman" w:hAnsi="Times New Roman" w:eastAsia="宋体" w:cs="Times New Roman"/>
          <w:sz w:val="20"/>
          <w:szCs w:val="20"/>
        </w:rPr>
        <w:t>mL</w:t>
      </w:r>
      <w:r>
        <w:rPr>
          <w:rFonts w:hint="default" w:ascii="Times New Roman" w:hAnsi="Times New Roman" w:eastAsia="宋体" w:cs="Times New Roman"/>
          <w:spacing w:val="9"/>
          <w:sz w:val="20"/>
          <w:szCs w:val="20"/>
        </w:rPr>
        <w:t>，与同体积样品溶液同时</w:t>
      </w:r>
      <w:r>
        <w:rPr>
          <w:rFonts w:hint="default" w:ascii="Times New Roman" w:hAnsi="Times New Roman" w:eastAsia="宋体" w:cs="Times New Roman"/>
          <w:spacing w:val="1"/>
          <w:sz w:val="20"/>
          <w:szCs w:val="20"/>
        </w:rPr>
        <w:t>同样处理；</w:t>
      </w:r>
    </w:p>
    <w:p w14:paraId="0E45E4E5">
      <w:pPr>
        <w:spacing w:line="280" w:lineRule="auto"/>
        <w:rPr>
          <w:rFonts w:ascii="宋体" w:hAnsi="宋体" w:eastAsia="宋体" w:cs="宋体"/>
          <w:sz w:val="20"/>
          <w:szCs w:val="20"/>
        </w:rPr>
        <w:sectPr>
          <w:footerReference r:id="rId8" w:type="default"/>
          <w:pgSz w:w="11906" w:h="16839"/>
          <w:pgMar w:top="1451" w:right="948" w:bottom="1504" w:left="1299" w:header="1129" w:footer="1342" w:gutter="0"/>
          <w:cols w:space="720" w:num="1"/>
        </w:sectPr>
      </w:pPr>
    </w:p>
    <w:p w14:paraId="7217793F">
      <w:pPr>
        <w:spacing w:before="254" w:line="282" w:lineRule="auto"/>
        <w:ind w:left="21" w:right="115" w:firstLine="402"/>
        <w:rPr>
          <w:rFonts w:hint="default" w:ascii="Times New Roman" w:hAnsi="Times New Roman" w:eastAsia="宋体" w:cs="Times New Roman"/>
          <w:spacing w:val="1"/>
          <w:sz w:val="20"/>
          <w:szCs w:val="20"/>
        </w:rPr>
      </w:pPr>
      <w:r>
        <w:rPr>
          <w:rFonts w:hint="default" w:ascii="Times New Roman" w:hAnsi="Times New Roman" w:eastAsia="宋体" w:cs="Times New Roman"/>
          <w:spacing w:val="9"/>
          <w:sz w:val="20"/>
          <w:szCs w:val="20"/>
        </w:rPr>
        <w:t>二级</w:t>
      </w:r>
      <w:r>
        <w:rPr>
          <w:rFonts w:hint="default" w:ascii="Times New Roman" w:hAnsi="Times New Roman" w:eastAsia="宋体" w:cs="Times New Roman"/>
          <w:sz w:val="20"/>
          <w:szCs w:val="20"/>
        </w:rPr>
        <w:t>Ag</w:t>
      </w:r>
      <w:r>
        <w:rPr>
          <w:rFonts w:hint="default" w:ascii="Times New Roman" w:hAnsi="Times New Roman" w:eastAsia="宋体" w:cs="Times New Roman"/>
          <w:spacing w:val="9"/>
          <w:position w:val="-2"/>
          <w:sz w:val="10"/>
          <w:szCs w:val="10"/>
        </w:rPr>
        <w:t>2</w:t>
      </w:r>
      <w:r>
        <w:rPr>
          <w:rFonts w:hint="default" w:ascii="Times New Roman" w:hAnsi="Times New Roman" w:eastAsia="宋体" w:cs="Times New Roman"/>
          <w:sz w:val="20"/>
          <w:szCs w:val="20"/>
        </w:rPr>
        <w:t>CO</w:t>
      </w:r>
      <w:r>
        <w:rPr>
          <w:rFonts w:hint="default" w:ascii="Times New Roman" w:hAnsi="Times New Roman" w:eastAsia="宋体" w:cs="Times New Roman"/>
          <w:spacing w:val="9"/>
          <w:position w:val="-2"/>
          <w:sz w:val="10"/>
          <w:szCs w:val="10"/>
        </w:rPr>
        <w:t>3</w:t>
      </w:r>
      <w:r>
        <w:rPr>
          <w:rFonts w:hint="default" w:ascii="Times New Roman" w:hAnsi="Times New Roman" w:eastAsia="宋体" w:cs="Times New Roman"/>
          <w:spacing w:val="9"/>
          <w:sz w:val="20"/>
          <w:szCs w:val="20"/>
        </w:rPr>
        <w:t>用标准液：取含</w:t>
      </w:r>
      <w:r>
        <w:rPr>
          <w:rFonts w:hint="default" w:ascii="Times New Roman" w:hAnsi="Times New Roman" w:eastAsia="宋体" w:cs="Times New Roman"/>
          <w:sz w:val="20"/>
          <w:szCs w:val="20"/>
        </w:rPr>
        <w:t>NO</w:t>
      </w:r>
      <w:r>
        <w:rPr>
          <w:rFonts w:hint="default" w:ascii="Times New Roman" w:hAnsi="Times New Roman" w:eastAsia="宋体" w:cs="Times New Roman"/>
          <w:spacing w:val="9"/>
          <w:position w:val="-2"/>
          <w:sz w:val="10"/>
          <w:szCs w:val="10"/>
        </w:rPr>
        <w:t>3</w:t>
      </w:r>
      <w:r>
        <w:rPr>
          <w:rFonts w:hint="default" w:ascii="Times New Roman" w:hAnsi="Times New Roman" w:eastAsia="宋体" w:cs="Times New Roman"/>
          <w:spacing w:val="9"/>
          <w:position w:val="10"/>
          <w:sz w:val="10"/>
          <w:szCs w:val="10"/>
        </w:rPr>
        <w:t>-</w:t>
      </w:r>
      <w:r>
        <w:rPr>
          <w:rFonts w:hint="default" w:ascii="Times New Roman" w:hAnsi="Times New Roman" w:eastAsia="宋体" w:cs="Times New Roman"/>
          <w:spacing w:val="9"/>
          <w:sz w:val="20"/>
          <w:szCs w:val="20"/>
        </w:rPr>
        <w:t>0.0</w:t>
      </w:r>
      <w:r>
        <w:rPr>
          <w:rFonts w:hint="eastAsia" w:ascii="Times New Roman" w:hAnsi="Times New Roman" w:eastAsia="宋体" w:cs="Times New Roman"/>
          <w:spacing w:val="9"/>
          <w:sz w:val="20"/>
          <w:szCs w:val="20"/>
          <w:lang w:val="en-US" w:eastAsia="zh-CN"/>
        </w:rPr>
        <w:t>2</w:t>
      </w:r>
      <w:r>
        <w:rPr>
          <w:rFonts w:hint="default" w:ascii="Times New Roman" w:hAnsi="Times New Roman" w:eastAsia="宋体" w:cs="Times New Roman"/>
          <w:spacing w:val="9"/>
          <w:sz w:val="20"/>
          <w:szCs w:val="20"/>
        </w:rPr>
        <w:t xml:space="preserve"> </w:t>
      </w:r>
      <w:r>
        <w:rPr>
          <w:rFonts w:hint="default" w:ascii="Times New Roman" w:hAnsi="Times New Roman" w:eastAsia="宋体" w:cs="Times New Roman"/>
          <w:sz w:val="20"/>
          <w:szCs w:val="20"/>
        </w:rPr>
        <w:t>mg</w:t>
      </w:r>
      <w:r>
        <w:rPr>
          <w:rFonts w:hint="default" w:ascii="Times New Roman" w:hAnsi="Times New Roman" w:eastAsia="宋体" w:cs="Times New Roman"/>
          <w:spacing w:val="9"/>
          <w:sz w:val="20"/>
          <w:szCs w:val="20"/>
        </w:rPr>
        <w:t xml:space="preserve">的硝酸盐标准溶液，稀释至10 </w:t>
      </w:r>
      <w:r>
        <w:rPr>
          <w:rFonts w:hint="default" w:ascii="Times New Roman" w:hAnsi="Times New Roman" w:eastAsia="宋体" w:cs="Times New Roman"/>
          <w:sz w:val="20"/>
          <w:szCs w:val="20"/>
        </w:rPr>
        <w:t>mL</w:t>
      </w:r>
      <w:r>
        <w:rPr>
          <w:rFonts w:hint="default" w:ascii="Times New Roman" w:hAnsi="Times New Roman" w:eastAsia="宋体" w:cs="Times New Roman"/>
          <w:spacing w:val="9"/>
          <w:sz w:val="20"/>
          <w:szCs w:val="20"/>
        </w:rPr>
        <w:t>，与同体积样品溶液同时</w:t>
      </w:r>
      <w:r>
        <w:rPr>
          <w:rFonts w:hint="default" w:ascii="Times New Roman" w:hAnsi="Times New Roman" w:eastAsia="宋体" w:cs="Times New Roman"/>
          <w:spacing w:val="1"/>
          <w:sz w:val="20"/>
          <w:szCs w:val="20"/>
        </w:rPr>
        <w:t>同样处理。</w:t>
      </w:r>
    </w:p>
    <w:p w14:paraId="51FC3004">
      <w:pPr>
        <w:pStyle w:val="2"/>
        <w:spacing w:before="168" w:line="229" w:lineRule="auto"/>
        <w:outlineLvl w:val="3"/>
        <w:rPr>
          <w:rFonts w:hint="default" w:ascii="Times New Roman" w:hAnsi="Times New Roman" w:cs="Times New Roman"/>
          <w:sz w:val="20"/>
          <w:szCs w:val="20"/>
        </w:rPr>
      </w:pPr>
      <w:r>
        <w:rPr>
          <w:rFonts w:hint="default" w:ascii="Times New Roman" w:hAnsi="Times New Roman" w:cs="Times New Roman"/>
          <w:spacing w:val="6"/>
          <w:sz w:val="20"/>
          <w:szCs w:val="20"/>
        </w:rPr>
        <w:t>6.2.2  硝酸不溶物</w:t>
      </w:r>
    </w:p>
    <w:p w14:paraId="7203C11E">
      <w:pPr>
        <w:spacing w:before="219" w:line="288" w:lineRule="auto"/>
        <w:ind w:right="60" w:firstLine="419"/>
        <w:jc w:val="both"/>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 xml:space="preserve">称取5g样品，精确到0.01 g，置于100 </w:t>
      </w:r>
      <w:r>
        <w:rPr>
          <w:rFonts w:hint="default" w:ascii="Times New Roman" w:hAnsi="Times New Roman" w:eastAsia="宋体" w:cs="Times New Roman"/>
          <w:sz w:val="20"/>
          <w:szCs w:val="20"/>
        </w:rPr>
        <w:t>mL</w:t>
      </w:r>
      <w:r>
        <w:rPr>
          <w:rFonts w:hint="default" w:ascii="Times New Roman" w:hAnsi="Times New Roman" w:eastAsia="宋体" w:cs="Times New Roman"/>
          <w:spacing w:val="9"/>
          <w:sz w:val="20"/>
          <w:szCs w:val="20"/>
        </w:rPr>
        <w:t xml:space="preserve">烧杯中，加5 </w:t>
      </w:r>
      <w:r>
        <w:rPr>
          <w:rFonts w:hint="default" w:ascii="Times New Roman" w:hAnsi="Times New Roman" w:eastAsia="宋体" w:cs="Times New Roman"/>
          <w:sz w:val="20"/>
          <w:szCs w:val="20"/>
        </w:rPr>
        <w:t>mL</w:t>
      </w:r>
      <w:r>
        <w:rPr>
          <w:rFonts w:hint="default" w:ascii="Times New Roman" w:hAnsi="Times New Roman" w:eastAsia="宋体" w:cs="Times New Roman"/>
          <w:spacing w:val="9"/>
          <w:sz w:val="20"/>
          <w:szCs w:val="20"/>
        </w:rPr>
        <w:t xml:space="preserve">硝酸湿润，盖上表面皿，放置30 </w:t>
      </w:r>
      <w:r>
        <w:rPr>
          <w:rFonts w:hint="default" w:ascii="Times New Roman" w:hAnsi="Times New Roman" w:eastAsia="宋体" w:cs="Times New Roman"/>
          <w:sz w:val="20"/>
          <w:szCs w:val="20"/>
        </w:rPr>
        <w:t>min</w:t>
      </w:r>
      <w:r>
        <w:rPr>
          <w:rFonts w:hint="default" w:ascii="Times New Roman" w:hAnsi="Times New Roman" w:eastAsia="宋体" w:cs="Times New Roman"/>
          <w:spacing w:val="9"/>
          <w:sz w:val="20"/>
          <w:szCs w:val="20"/>
        </w:rPr>
        <w:t>，</w:t>
      </w:r>
      <w:r>
        <w:rPr>
          <w:rFonts w:hint="default" w:ascii="Times New Roman" w:hAnsi="Times New Roman" w:eastAsia="宋体" w:cs="Times New Roman"/>
          <w:spacing w:val="8"/>
          <w:sz w:val="20"/>
          <w:szCs w:val="20"/>
        </w:rPr>
        <w:t>加10</w:t>
      </w:r>
      <w:r>
        <w:rPr>
          <w:rFonts w:hint="default" w:ascii="Times New Roman" w:hAnsi="Times New Roman" w:eastAsia="宋体" w:cs="Times New Roman"/>
          <w:spacing w:val="-19"/>
          <w:sz w:val="20"/>
          <w:szCs w:val="20"/>
        </w:rPr>
        <w:t xml:space="preserve"> </w:t>
      </w:r>
      <w:r>
        <w:rPr>
          <w:rFonts w:hint="default" w:ascii="Times New Roman" w:hAnsi="Times New Roman" w:eastAsia="宋体" w:cs="Times New Roman"/>
          <w:sz w:val="20"/>
          <w:szCs w:val="20"/>
        </w:rPr>
        <w:t>mL</w:t>
      </w:r>
      <w:r>
        <w:rPr>
          <w:rFonts w:hint="default" w:ascii="Times New Roman" w:hAnsi="Times New Roman" w:eastAsia="宋体" w:cs="Times New Roman"/>
          <w:spacing w:val="8"/>
          <w:sz w:val="20"/>
          <w:szCs w:val="20"/>
        </w:rPr>
        <w:t>水，在水浴上加热溶解后，转移至250</w:t>
      </w:r>
      <w:r>
        <w:rPr>
          <w:rFonts w:hint="default" w:ascii="Times New Roman" w:hAnsi="Times New Roman" w:eastAsia="宋体" w:cs="Times New Roman"/>
          <w:spacing w:val="-29"/>
          <w:sz w:val="20"/>
          <w:szCs w:val="20"/>
        </w:rPr>
        <w:t xml:space="preserve"> </w:t>
      </w:r>
      <w:r>
        <w:rPr>
          <w:rFonts w:hint="default" w:ascii="Times New Roman" w:hAnsi="Times New Roman" w:eastAsia="宋体" w:cs="Times New Roman"/>
          <w:sz w:val="20"/>
          <w:szCs w:val="20"/>
        </w:rPr>
        <w:t>mL</w:t>
      </w:r>
      <w:r>
        <w:rPr>
          <w:rFonts w:hint="default" w:ascii="Times New Roman" w:hAnsi="Times New Roman" w:eastAsia="宋体" w:cs="Times New Roman"/>
          <w:spacing w:val="8"/>
          <w:sz w:val="20"/>
          <w:szCs w:val="20"/>
        </w:rPr>
        <w:t>烧杯中，加水至200</w:t>
      </w:r>
      <w:r>
        <w:rPr>
          <w:rFonts w:hint="default" w:ascii="Times New Roman" w:hAnsi="Times New Roman" w:eastAsia="宋体" w:cs="Times New Roman"/>
          <w:spacing w:val="-27"/>
          <w:sz w:val="20"/>
          <w:szCs w:val="20"/>
        </w:rPr>
        <w:t xml:space="preserve"> </w:t>
      </w:r>
      <w:r>
        <w:rPr>
          <w:rFonts w:hint="default" w:ascii="Times New Roman" w:hAnsi="Times New Roman" w:eastAsia="宋体" w:cs="Times New Roman"/>
          <w:sz w:val="20"/>
          <w:szCs w:val="20"/>
        </w:rPr>
        <w:t>mL</w:t>
      </w:r>
      <w:r>
        <w:rPr>
          <w:rFonts w:hint="default" w:ascii="Times New Roman" w:hAnsi="Times New Roman" w:eastAsia="宋体" w:cs="Times New Roman"/>
          <w:spacing w:val="8"/>
          <w:sz w:val="20"/>
          <w:szCs w:val="20"/>
        </w:rPr>
        <w:t>，用4号已恒重砂芯漏斗过滤，保留滤液，滤渣用水洗涤3～4次，于（110±5）</w:t>
      </w:r>
      <w:r>
        <w:rPr>
          <w:rFonts w:hint="default" w:ascii="Times New Roman" w:hAnsi="Times New Roman" w:eastAsia="宋体" w:cs="Times New Roman"/>
          <w:spacing w:val="-67"/>
          <w:sz w:val="20"/>
          <w:szCs w:val="20"/>
        </w:rPr>
        <w:t xml:space="preserve"> </w:t>
      </w:r>
      <w:r>
        <w:rPr>
          <w:rFonts w:hint="default" w:ascii="Times New Roman" w:hAnsi="Times New Roman" w:eastAsia="宋体" w:cs="Times New Roman"/>
          <w:spacing w:val="8"/>
          <w:sz w:val="20"/>
          <w:szCs w:val="20"/>
        </w:rPr>
        <w:t>℃干燥箱中干</w:t>
      </w:r>
      <w:r>
        <w:rPr>
          <w:rFonts w:hint="default" w:ascii="Times New Roman" w:hAnsi="Times New Roman" w:eastAsia="宋体" w:cs="Times New Roman"/>
          <w:spacing w:val="7"/>
          <w:sz w:val="20"/>
          <w:szCs w:val="20"/>
        </w:rPr>
        <w:t xml:space="preserve">燥120 </w:t>
      </w:r>
      <w:r>
        <w:rPr>
          <w:rFonts w:hint="default" w:ascii="Times New Roman" w:hAnsi="Times New Roman" w:eastAsia="宋体" w:cs="Times New Roman"/>
          <w:sz w:val="20"/>
          <w:szCs w:val="20"/>
        </w:rPr>
        <w:t>min</w:t>
      </w:r>
      <w:r>
        <w:rPr>
          <w:rFonts w:hint="default" w:ascii="Times New Roman" w:hAnsi="Times New Roman" w:eastAsia="宋体" w:cs="Times New Roman"/>
          <w:spacing w:val="7"/>
          <w:sz w:val="20"/>
          <w:szCs w:val="20"/>
        </w:rPr>
        <w:t>至恒重。</w:t>
      </w:r>
    </w:p>
    <w:p w14:paraId="53E9C2DC">
      <w:pPr>
        <w:spacing w:before="1" w:line="231" w:lineRule="auto"/>
        <w:ind w:left="422"/>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硝酸不溶物的质量分数以</w:t>
      </w:r>
      <w:r>
        <w:rPr>
          <w:rFonts w:hint="default" w:ascii="Times New Roman" w:hAnsi="Times New Roman" w:eastAsia="宋体" w:cs="Times New Roman"/>
          <w:i/>
          <w:iCs/>
          <w:spacing w:val="9"/>
          <w:sz w:val="21"/>
          <w:szCs w:val="21"/>
        </w:rPr>
        <w:t>w</w:t>
      </w:r>
      <w:r>
        <w:rPr>
          <w:rFonts w:hint="default" w:ascii="Times New Roman" w:hAnsi="Times New Roman" w:eastAsia="宋体" w:cs="Times New Roman"/>
          <w:spacing w:val="9"/>
          <w:position w:val="-2"/>
          <w:sz w:val="10"/>
          <w:szCs w:val="10"/>
        </w:rPr>
        <w:t>1</w:t>
      </w:r>
      <w:r>
        <w:rPr>
          <w:rFonts w:hint="default" w:ascii="Times New Roman" w:hAnsi="Times New Roman" w:eastAsia="宋体" w:cs="Times New Roman"/>
          <w:spacing w:val="9"/>
          <w:sz w:val="20"/>
          <w:szCs w:val="20"/>
        </w:rPr>
        <w:t>表示，按式（</w:t>
      </w:r>
      <w:r>
        <w:rPr>
          <w:rFonts w:hint="default" w:ascii="Times New Roman" w:hAnsi="Times New Roman" w:eastAsia="宋体" w:cs="Times New Roman"/>
          <w:spacing w:val="8"/>
          <w:sz w:val="20"/>
          <w:szCs w:val="20"/>
        </w:rPr>
        <w:t>2）计算硝酸不溶物的含量：</w:t>
      </w:r>
    </w:p>
    <w:p w14:paraId="63A87E53">
      <w:pPr>
        <w:spacing w:before="121"/>
        <w:ind w:left="2889"/>
        <w:rPr>
          <w:rFonts w:hint="default" w:ascii="Times New Roman" w:hAnsi="Times New Roman" w:cs="Times New Roman"/>
          <w:sz w:val="23"/>
          <w:szCs w:val="23"/>
        </w:rPr>
      </w:pPr>
      <w:r>
        <w:rPr>
          <w:rFonts w:hint="default" w:ascii="Times New Roman" w:hAnsi="Times New Roman" w:eastAsia="Times New Roman" w:cs="Times New Roman"/>
          <w:i/>
          <w:iCs/>
          <w:spacing w:val="1"/>
          <w:sz w:val="23"/>
          <w:szCs w:val="23"/>
        </w:rPr>
        <w:t>w</w:t>
      </w:r>
      <w:r>
        <w:rPr>
          <w:rFonts w:hint="default" w:ascii="Times New Roman" w:hAnsi="Times New Roman" w:cs="Times New Roman"/>
          <w:position w:val="-15"/>
          <w:sz w:val="23"/>
          <w:szCs w:val="23"/>
        </w:rPr>
        <w:drawing>
          <wp:inline distT="0" distB="0" distL="0" distR="0">
            <wp:extent cx="3930015" cy="28384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1"/>
                    <a:stretch>
                      <a:fillRect/>
                    </a:stretch>
                  </pic:blipFill>
                  <pic:spPr>
                    <a:xfrm>
                      <a:off x="0" y="0"/>
                      <a:ext cx="3930076" cy="284148"/>
                    </a:xfrm>
                    <a:prstGeom prst="rect">
                      <a:avLst/>
                    </a:prstGeom>
                  </pic:spPr>
                </pic:pic>
              </a:graphicData>
            </a:graphic>
          </wp:inline>
        </w:drawing>
      </w:r>
    </w:p>
    <w:p w14:paraId="196902DD">
      <w:pPr>
        <w:spacing w:before="104" w:line="228" w:lineRule="auto"/>
        <w:ind w:left="425"/>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式中：</w:t>
      </w:r>
    </w:p>
    <w:p w14:paraId="54592F34">
      <w:pPr>
        <w:spacing w:before="64" w:line="221" w:lineRule="auto"/>
        <w:ind w:left="416"/>
        <w:rPr>
          <w:rFonts w:hint="default" w:ascii="Times New Roman" w:hAnsi="Times New Roman" w:eastAsia="Times New Roman" w:cs="Times New Roman"/>
          <w:sz w:val="20"/>
          <w:szCs w:val="20"/>
        </w:rPr>
      </w:pPr>
      <w:r>
        <w:rPr>
          <w:rFonts w:hint="default" w:ascii="Times New Roman" w:hAnsi="Times New Roman" w:eastAsia="Times New Roman" w:cs="Times New Roman"/>
          <w:i/>
          <w:iCs/>
          <w:spacing w:val="9"/>
          <w:sz w:val="20"/>
          <w:szCs w:val="20"/>
        </w:rPr>
        <w:t>m</w:t>
      </w:r>
      <w:r>
        <w:rPr>
          <w:rFonts w:hint="default" w:ascii="Times New Roman" w:hAnsi="Times New Roman" w:eastAsia="Times New Roman" w:cs="Times New Roman"/>
          <w:i/>
          <w:iCs/>
          <w:spacing w:val="9"/>
          <w:position w:val="-1"/>
          <w:sz w:val="13"/>
          <w:szCs w:val="13"/>
        </w:rPr>
        <w:t>2</w:t>
      </w:r>
      <w:r>
        <w:rPr>
          <w:rFonts w:hint="default" w:ascii="Times New Roman" w:hAnsi="Times New Roman" w:eastAsia="宋体" w:cs="Times New Roman"/>
          <w:spacing w:val="9"/>
          <w:sz w:val="20"/>
          <w:szCs w:val="20"/>
        </w:rPr>
        <w:t>——滤渣和砂芯漏斗的质量，单位为克（</w:t>
      </w:r>
      <w:r>
        <w:rPr>
          <w:rFonts w:hint="default" w:ascii="Times New Roman" w:hAnsi="Times New Roman" w:eastAsia="Times New Roman" w:cs="Times New Roman"/>
          <w:spacing w:val="9"/>
          <w:sz w:val="20"/>
          <w:szCs w:val="20"/>
        </w:rPr>
        <w:t>g</w:t>
      </w:r>
      <w:r>
        <w:rPr>
          <w:rFonts w:hint="default" w:ascii="Times New Roman" w:hAnsi="Times New Roman" w:eastAsia="宋体" w:cs="Times New Roman"/>
          <w:spacing w:val="9"/>
          <w:sz w:val="20"/>
          <w:szCs w:val="20"/>
        </w:rPr>
        <w:t>）</w:t>
      </w:r>
      <w:r>
        <w:rPr>
          <w:rFonts w:hint="default" w:ascii="Times New Roman" w:hAnsi="Times New Roman" w:eastAsia="Times New Roman" w:cs="Times New Roman"/>
          <w:spacing w:val="9"/>
          <w:sz w:val="20"/>
          <w:szCs w:val="20"/>
        </w:rPr>
        <w:t>;</w:t>
      </w:r>
    </w:p>
    <w:p w14:paraId="1B2E90A5">
      <w:pPr>
        <w:spacing w:before="73" w:line="221" w:lineRule="auto"/>
        <w:ind w:left="416"/>
        <w:rPr>
          <w:rFonts w:hint="default" w:ascii="Times New Roman" w:hAnsi="Times New Roman" w:eastAsia="Times New Roman" w:cs="Times New Roman"/>
          <w:sz w:val="20"/>
          <w:szCs w:val="20"/>
        </w:rPr>
      </w:pPr>
      <w:r>
        <w:rPr>
          <w:rFonts w:hint="default" w:ascii="Times New Roman" w:hAnsi="Times New Roman" w:eastAsia="Times New Roman" w:cs="Times New Roman"/>
          <w:i/>
          <w:iCs/>
          <w:spacing w:val="9"/>
          <w:sz w:val="20"/>
          <w:szCs w:val="20"/>
        </w:rPr>
        <w:t>m</w:t>
      </w:r>
      <w:r>
        <w:rPr>
          <w:rFonts w:hint="default" w:ascii="Times New Roman" w:hAnsi="Times New Roman" w:eastAsia="Times New Roman" w:cs="Times New Roman"/>
          <w:i/>
          <w:iCs/>
          <w:spacing w:val="9"/>
          <w:position w:val="-1"/>
          <w:sz w:val="13"/>
          <w:szCs w:val="13"/>
        </w:rPr>
        <w:t>1</w:t>
      </w:r>
      <w:r>
        <w:rPr>
          <w:rFonts w:hint="default" w:ascii="Times New Roman" w:hAnsi="Times New Roman" w:eastAsia="宋体" w:cs="Times New Roman"/>
          <w:spacing w:val="9"/>
          <w:sz w:val="20"/>
          <w:szCs w:val="20"/>
        </w:rPr>
        <w:t>——砂芯漏斗的质量，单位为克（</w:t>
      </w:r>
      <w:r>
        <w:rPr>
          <w:rFonts w:hint="default" w:ascii="Times New Roman" w:hAnsi="Times New Roman" w:eastAsia="Times New Roman" w:cs="Times New Roman"/>
          <w:spacing w:val="9"/>
          <w:sz w:val="20"/>
          <w:szCs w:val="20"/>
        </w:rPr>
        <w:t>g</w:t>
      </w:r>
      <w:r>
        <w:rPr>
          <w:rFonts w:hint="default" w:ascii="Times New Roman" w:hAnsi="Times New Roman" w:eastAsia="宋体" w:cs="Times New Roman"/>
          <w:spacing w:val="9"/>
          <w:sz w:val="20"/>
          <w:szCs w:val="20"/>
        </w:rPr>
        <w:t>）</w:t>
      </w:r>
      <w:r>
        <w:rPr>
          <w:rFonts w:hint="default" w:ascii="Times New Roman" w:hAnsi="Times New Roman" w:eastAsia="Times New Roman" w:cs="Times New Roman"/>
          <w:spacing w:val="9"/>
          <w:sz w:val="20"/>
          <w:szCs w:val="20"/>
        </w:rPr>
        <w:t>;</w:t>
      </w:r>
    </w:p>
    <w:p w14:paraId="490B610B">
      <w:pPr>
        <w:spacing w:before="72" w:line="221" w:lineRule="auto"/>
        <w:ind w:left="416"/>
        <w:rPr>
          <w:rFonts w:hint="default" w:ascii="Times New Roman" w:hAnsi="Times New Roman" w:eastAsia="宋体" w:cs="Times New Roman"/>
          <w:sz w:val="20"/>
          <w:szCs w:val="20"/>
        </w:rPr>
      </w:pPr>
      <w:r>
        <w:rPr>
          <w:rFonts w:hint="default" w:ascii="Times New Roman" w:hAnsi="Times New Roman" w:eastAsia="Times New Roman" w:cs="Times New Roman"/>
          <w:i/>
          <w:iCs/>
          <w:spacing w:val="8"/>
          <w:sz w:val="20"/>
          <w:szCs w:val="20"/>
        </w:rPr>
        <w:t>m</w:t>
      </w:r>
      <w:r>
        <w:rPr>
          <w:rFonts w:hint="default" w:ascii="Times New Roman" w:hAnsi="Times New Roman" w:eastAsia="宋体" w:cs="Times New Roman"/>
          <w:spacing w:val="8"/>
          <w:sz w:val="20"/>
          <w:szCs w:val="20"/>
        </w:rPr>
        <w:t>——样品的质量，单位为克（</w:t>
      </w:r>
      <w:r>
        <w:rPr>
          <w:rFonts w:hint="default" w:ascii="Times New Roman" w:hAnsi="Times New Roman" w:eastAsia="Times New Roman" w:cs="Times New Roman"/>
          <w:spacing w:val="8"/>
          <w:sz w:val="20"/>
          <w:szCs w:val="20"/>
        </w:rPr>
        <w:t>g</w:t>
      </w:r>
      <w:r>
        <w:rPr>
          <w:rFonts w:hint="default" w:ascii="Times New Roman" w:hAnsi="Times New Roman" w:eastAsia="宋体" w:cs="Times New Roman"/>
          <w:spacing w:val="8"/>
          <w:sz w:val="20"/>
          <w:szCs w:val="20"/>
        </w:rPr>
        <w:t>）。</w:t>
      </w:r>
    </w:p>
    <w:p w14:paraId="6C340286">
      <w:pPr>
        <w:spacing w:line="472" w:lineRule="auto"/>
        <w:rPr>
          <w:rFonts w:hint="default" w:ascii="Times New Roman" w:hAnsi="Times New Roman" w:cs="Times New Roman"/>
          <w:sz w:val="21"/>
        </w:rPr>
      </w:pPr>
    </w:p>
    <w:p w14:paraId="60C37FCA">
      <w:pPr>
        <w:pStyle w:val="2"/>
        <w:spacing w:before="66" w:line="229" w:lineRule="auto"/>
        <w:outlineLvl w:val="3"/>
        <w:rPr>
          <w:rFonts w:hint="default" w:ascii="Times New Roman" w:hAnsi="Times New Roman" w:cs="Times New Roman"/>
          <w:sz w:val="20"/>
          <w:szCs w:val="20"/>
        </w:rPr>
      </w:pPr>
      <w:r>
        <w:rPr>
          <w:rFonts w:hint="default" w:ascii="Times New Roman" w:hAnsi="Times New Roman" w:cs="Times New Roman"/>
          <w:spacing w:val="6"/>
          <w:sz w:val="20"/>
          <w:szCs w:val="20"/>
        </w:rPr>
        <w:t>6.2.3  盐酸不沉淀物</w:t>
      </w:r>
    </w:p>
    <w:p w14:paraId="105286EE">
      <w:pPr>
        <w:spacing w:before="220" w:line="288" w:lineRule="auto"/>
        <w:ind w:right="115" w:firstLine="419"/>
        <w:jc w:val="both"/>
        <w:rPr>
          <w:rFonts w:hint="default" w:ascii="Times New Roman" w:hAnsi="Times New Roman" w:eastAsia="宋体" w:cs="Times New Roman"/>
          <w:sz w:val="20"/>
          <w:szCs w:val="20"/>
        </w:rPr>
      </w:pPr>
      <w:r>
        <w:rPr>
          <w:rFonts w:hint="default" w:ascii="Times New Roman" w:hAnsi="Times New Roman" w:eastAsia="宋体" w:cs="Times New Roman"/>
          <w:spacing w:val="10"/>
          <w:sz w:val="20"/>
          <w:szCs w:val="20"/>
        </w:rPr>
        <w:t>将测定硝酸不溶物的滤液（6.2.2）稀释至</w:t>
      </w:r>
      <w:r>
        <w:rPr>
          <w:rFonts w:hint="default" w:ascii="Times New Roman" w:hAnsi="Times New Roman" w:eastAsia="宋体" w:cs="Times New Roman"/>
          <w:spacing w:val="-38"/>
          <w:sz w:val="20"/>
          <w:szCs w:val="20"/>
        </w:rPr>
        <w:t xml:space="preserve"> </w:t>
      </w:r>
      <w:r>
        <w:rPr>
          <w:rFonts w:hint="default" w:ascii="Times New Roman" w:hAnsi="Times New Roman" w:eastAsia="宋体" w:cs="Times New Roman"/>
          <w:spacing w:val="10"/>
          <w:sz w:val="20"/>
          <w:szCs w:val="20"/>
        </w:rPr>
        <w:t>4</w:t>
      </w:r>
      <w:r>
        <w:rPr>
          <w:rFonts w:hint="default" w:ascii="Times New Roman" w:hAnsi="Times New Roman" w:eastAsia="宋体" w:cs="Times New Roman"/>
          <w:spacing w:val="9"/>
          <w:sz w:val="20"/>
          <w:szCs w:val="20"/>
        </w:rPr>
        <w:t>00</w:t>
      </w:r>
      <w:r>
        <w:rPr>
          <w:rFonts w:hint="default" w:ascii="Times New Roman" w:hAnsi="Times New Roman" w:eastAsia="宋体" w:cs="Times New Roman"/>
          <w:spacing w:val="9"/>
          <w:sz w:val="20"/>
          <w:szCs w:val="20"/>
          <w:lang w:val="en-US" w:eastAsia="zh-CN"/>
        </w:rPr>
        <w:t xml:space="preserve"> </w:t>
      </w:r>
      <w:r>
        <w:rPr>
          <w:rFonts w:hint="default" w:ascii="Times New Roman" w:hAnsi="Times New Roman" w:eastAsia="宋体" w:cs="Times New Roman"/>
          <w:sz w:val="20"/>
          <w:szCs w:val="20"/>
        </w:rPr>
        <w:t>mL</w:t>
      </w:r>
      <w:r>
        <w:rPr>
          <w:rFonts w:hint="default" w:ascii="Times New Roman" w:hAnsi="Times New Roman" w:eastAsia="宋体" w:cs="Times New Roman"/>
          <w:spacing w:val="9"/>
          <w:sz w:val="20"/>
          <w:szCs w:val="20"/>
        </w:rPr>
        <w:t>，煮沸，在搅拌下滴加</w:t>
      </w:r>
      <w:r>
        <w:rPr>
          <w:rFonts w:hint="default" w:ascii="Times New Roman" w:hAnsi="Times New Roman" w:eastAsia="宋体" w:cs="Times New Roman"/>
          <w:spacing w:val="-32"/>
          <w:sz w:val="20"/>
          <w:szCs w:val="20"/>
        </w:rPr>
        <w:t xml:space="preserve"> </w:t>
      </w:r>
      <w:r>
        <w:rPr>
          <w:rFonts w:hint="default" w:ascii="Times New Roman" w:hAnsi="Times New Roman" w:eastAsia="宋体" w:cs="Times New Roman"/>
          <w:spacing w:val="9"/>
          <w:sz w:val="20"/>
          <w:szCs w:val="20"/>
        </w:rPr>
        <w:t>20</w:t>
      </w:r>
      <w:r>
        <w:rPr>
          <w:rFonts w:hint="default" w:ascii="Times New Roman" w:hAnsi="Times New Roman" w:eastAsia="宋体" w:cs="Times New Roman"/>
          <w:spacing w:val="9"/>
          <w:sz w:val="20"/>
          <w:szCs w:val="20"/>
          <w:lang w:val="en-US" w:eastAsia="zh-CN"/>
        </w:rPr>
        <w:t xml:space="preserve"> </w:t>
      </w:r>
      <w:r>
        <w:rPr>
          <w:rFonts w:hint="default" w:ascii="Times New Roman" w:hAnsi="Times New Roman" w:eastAsia="宋体" w:cs="Times New Roman"/>
          <w:sz w:val="20"/>
          <w:szCs w:val="20"/>
        </w:rPr>
        <w:t>mL</w:t>
      </w:r>
      <w:r>
        <w:rPr>
          <w:rFonts w:hint="default" w:ascii="Times New Roman" w:hAnsi="Times New Roman" w:eastAsia="宋体" w:cs="Times New Roman"/>
          <w:spacing w:val="-36"/>
          <w:sz w:val="20"/>
          <w:szCs w:val="20"/>
        </w:rPr>
        <w:t xml:space="preserve"> </w:t>
      </w:r>
      <w:r>
        <w:rPr>
          <w:rFonts w:hint="default" w:ascii="Times New Roman" w:hAnsi="Times New Roman" w:eastAsia="宋体" w:cs="Times New Roman"/>
          <w:spacing w:val="9"/>
          <w:sz w:val="20"/>
          <w:szCs w:val="20"/>
        </w:rPr>
        <w:t>盐酸，在水浴上加</w:t>
      </w:r>
      <w:r>
        <w:rPr>
          <w:rFonts w:hint="default" w:ascii="Times New Roman" w:hAnsi="Times New Roman" w:eastAsia="宋体" w:cs="Times New Roman"/>
          <w:spacing w:val="8"/>
          <w:sz w:val="20"/>
          <w:szCs w:val="20"/>
        </w:rPr>
        <w:t>热，继续搅拌直至上清液清亮透明为止。于暗处放置</w:t>
      </w:r>
      <w:r>
        <w:rPr>
          <w:rFonts w:hint="default" w:ascii="Times New Roman" w:hAnsi="Times New Roman" w:eastAsia="宋体" w:cs="Times New Roman"/>
          <w:spacing w:val="-29"/>
          <w:sz w:val="20"/>
          <w:szCs w:val="20"/>
        </w:rPr>
        <w:t xml:space="preserve"> </w:t>
      </w:r>
      <w:r>
        <w:rPr>
          <w:rFonts w:hint="default" w:ascii="Times New Roman" w:hAnsi="Times New Roman" w:eastAsia="宋体" w:cs="Times New Roman"/>
          <w:spacing w:val="8"/>
          <w:sz w:val="20"/>
          <w:szCs w:val="20"/>
        </w:rPr>
        <w:t>2</w:t>
      </w:r>
      <w:r>
        <w:rPr>
          <w:rFonts w:hint="eastAsia" w:ascii="Times New Roman" w:hAnsi="Times New Roman" w:eastAsia="宋体" w:cs="Times New Roman"/>
          <w:spacing w:val="8"/>
          <w:sz w:val="20"/>
          <w:szCs w:val="20"/>
          <w:lang w:val="en-US" w:eastAsia="zh-CN"/>
        </w:rPr>
        <w:t xml:space="preserve"> </w:t>
      </w:r>
      <w:r>
        <w:rPr>
          <w:rFonts w:hint="default" w:ascii="Times New Roman" w:hAnsi="Times New Roman" w:eastAsia="宋体" w:cs="Times New Roman"/>
          <w:spacing w:val="8"/>
          <w:sz w:val="20"/>
          <w:szCs w:val="20"/>
        </w:rPr>
        <w:t>h，用定量慢速滤纸过滤，滤液蒸至小体积，转</w:t>
      </w:r>
      <w:r>
        <w:rPr>
          <w:rFonts w:hint="default" w:ascii="Times New Roman" w:hAnsi="Times New Roman" w:eastAsia="宋体" w:cs="Times New Roman"/>
          <w:spacing w:val="7"/>
          <w:sz w:val="20"/>
          <w:szCs w:val="20"/>
        </w:rPr>
        <w:t>移至在</w:t>
      </w:r>
      <w:r>
        <w:rPr>
          <w:rFonts w:hint="default" w:ascii="Times New Roman" w:hAnsi="Times New Roman" w:eastAsia="宋体" w:cs="Times New Roman"/>
          <w:spacing w:val="-21"/>
          <w:sz w:val="20"/>
          <w:szCs w:val="20"/>
        </w:rPr>
        <w:t xml:space="preserve"> </w:t>
      </w:r>
      <w:r>
        <w:rPr>
          <w:rFonts w:hint="default" w:ascii="Times New Roman" w:hAnsi="Times New Roman" w:eastAsia="宋体" w:cs="Times New Roman"/>
          <w:spacing w:val="7"/>
          <w:sz w:val="20"/>
          <w:szCs w:val="20"/>
        </w:rPr>
        <w:t>105℃±2℃恒重的小玻璃蒸发皿</w:t>
      </w:r>
      <w:r>
        <w:rPr>
          <w:rFonts w:hint="default" w:ascii="Times New Roman" w:hAnsi="Times New Roman" w:eastAsia="宋体" w:cs="Times New Roman"/>
          <w:spacing w:val="6"/>
          <w:sz w:val="20"/>
          <w:szCs w:val="20"/>
        </w:rPr>
        <w:t xml:space="preserve"> (</w:t>
      </w:r>
      <w:r>
        <w:rPr>
          <w:rFonts w:hint="default" w:ascii="Times New Roman" w:hAnsi="Times New Roman" w:eastAsia="宋体" w:cs="Times New Roman"/>
          <w:spacing w:val="-37"/>
          <w:sz w:val="20"/>
          <w:szCs w:val="20"/>
        </w:rPr>
        <w:t xml:space="preserve"> </w:t>
      </w:r>
      <w:r>
        <w:rPr>
          <w:rFonts w:hint="default" w:ascii="Times New Roman" w:hAnsi="Times New Roman" w:eastAsia="宋体" w:cs="Times New Roman"/>
          <w:spacing w:val="6"/>
          <w:sz w:val="20"/>
          <w:szCs w:val="20"/>
        </w:rPr>
        <w:t xml:space="preserve">Φ60 </w:t>
      </w:r>
      <w:r>
        <w:rPr>
          <w:rFonts w:hint="default" w:ascii="Times New Roman" w:hAnsi="Times New Roman" w:eastAsia="宋体" w:cs="Times New Roman"/>
          <w:sz w:val="20"/>
          <w:szCs w:val="20"/>
        </w:rPr>
        <w:t>mm</w:t>
      </w:r>
      <w:r>
        <w:rPr>
          <w:rFonts w:hint="default" w:ascii="Times New Roman" w:hAnsi="Times New Roman" w:eastAsia="宋体" w:cs="Times New Roman"/>
          <w:spacing w:val="6"/>
          <w:sz w:val="20"/>
          <w:szCs w:val="20"/>
        </w:rPr>
        <w:t>）中蒸干，于</w:t>
      </w:r>
      <w:r>
        <w:rPr>
          <w:rFonts w:hint="default" w:ascii="Times New Roman" w:hAnsi="Times New Roman" w:eastAsia="宋体" w:cs="Times New Roman"/>
          <w:spacing w:val="-24"/>
          <w:sz w:val="20"/>
          <w:szCs w:val="20"/>
        </w:rPr>
        <w:t xml:space="preserve"> </w:t>
      </w:r>
      <w:r>
        <w:rPr>
          <w:rFonts w:hint="default" w:ascii="Times New Roman" w:hAnsi="Times New Roman" w:eastAsia="宋体" w:cs="Times New Roman"/>
          <w:spacing w:val="6"/>
          <w:sz w:val="20"/>
          <w:szCs w:val="20"/>
        </w:rPr>
        <w:t>105℃±2℃的电烘箱中干燥至恒重，</w:t>
      </w:r>
      <w:r>
        <w:rPr>
          <w:rFonts w:hint="default" w:ascii="Times New Roman" w:hAnsi="Times New Roman" w:eastAsia="宋体" w:cs="Times New Roman"/>
          <w:spacing w:val="8"/>
          <w:sz w:val="20"/>
          <w:szCs w:val="20"/>
        </w:rPr>
        <w:t>平行测定两次，随同试样做空白试验。</w:t>
      </w:r>
    </w:p>
    <w:p w14:paraId="20ABFDCA">
      <w:pPr>
        <w:spacing w:before="1" w:line="231" w:lineRule="auto"/>
        <w:ind w:left="422"/>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盐酸不沉淀物的质量分数以</w:t>
      </w:r>
      <w:r>
        <w:rPr>
          <w:rFonts w:hint="default" w:ascii="Times New Roman" w:hAnsi="Times New Roman" w:eastAsia="宋体" w:cs="Times New Roman"/>
          <w:i/>
          <w:iCs/>
          <w:spacing w:val="9"/>
          <w:sz w:val="21"/>
          <w:szCs w:val="21"/>
        </w:rPr>
        <w:t>w</w:t>
      </w:r>
      <w:r>
        <w:rPr>
          <w:rFonts w:hint="default" w:ascii="Times New Roman" w:hAnsi="Times New Roman" w:eastAsia="宋体" w:cs="Times New Roman"/>
          <w:spacing w:val="9"/>
          <w:position w:val="-2"/>
          <w:sz w:val="10"/>
          <w:szCs w:val="10"/>
        </w:rPr>
        <w:t>2</w:t>
      </w:r>
      <w:r>
        <w:rPr>
          <w:rFonts w:hint="default" w:ascii="Times New Roman" w:hAnsi="Times New Roman" w:eastAsia="宋体" w:cs="Times New Roman"/>
          <w:spacing w:val="9"/>
          <w:sz w:val="20"/>
          <w:szCs w:val="20"/>
        </w:rPr>
        <w:t>表示，按式（3）计</w:t>
      </w:r>
      <w:r>
        <w:rPr>
          <w:rFonts w:hint="default" w:ascii="Times New Roman" w:hAnsi="Times New Roman" w:eastAsia="宋体" w:cs="Times New Roman"/>
          <w:spacing w:val="8"/>
          <w:sz w:val="20"/>
          <w:szCs w:val="20"/>
        </w:rPr>
        <w:t>算盐酸不沉淀物的含量：</w:t>
      </w:r>
    </w:p>
    <w:p w14:paraId="57319B58">
      <w:pPr>
        <w:spacing w:before="96"/>
        <w:jc w:val="right"/>
        <w:rPr>
          <w:rFonts w:hint="default" w:ascii="Times New Roman" w:hAnsi="Times New Roman" w:eastAsia="Cambria Math" w:cs="Times New Roman"/>
          <w:sz w:val="20"/>
          <w:szCs w:val="20"/>
        </w:rPr>
      </w:pPr>
      <w:r>
        <w:rPr>
          <w:rFonts w:hint="default" w:ascii="Times New Roman" w:hAnsi="Times New Roman" w:eastAsia="Cambria Math" w:cs="Times New Roman"/>
          <w:spacing w:val="18"/>
          <w:position w:val="-7"/>
          <w:sz w:val="20"/>
          <w:szCs w:val="20"/>
        </w:rPr>
        <w:t>w</w:t>
      </w:r>
      <w:r>
        <w:rPr>
          <w:rFonts w:hint="default" w:ascii="Times New Roman" w:hAnsi="Times New Roman" w:cs="Times New Roman"/>
          <w:position w:val="-19"/>
          <w:sz w:val="20"/>
          <w:szCs w:val="20"/>
        </w:rPr>
        <w:drawing>
          <wp:inline distT="0" distB="0" distL="0" distR="0">
            <wp:extent cx="2413635" cy="3048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2"/>
                    <a:stretch>
                      <a:fillRect/>
                    </a:stretch>
                  </pic:blipFill>
                  <pic:spPr>
                    <a:xfrm>
                      <a:off x="0" y="0"/>
                      <a:ext cx="2414212" cy="305431"/>
                    </a:xfrm>
                    <a:prstGeom prst="rect">
                      <a:avLst/>
                    </a:prstGeom>
                  </pic:spPr>
                </pic:pic>
              </a:graphicData>
            </a:graphic>
          </wp:inline>
        </w:drawing>
      </w:r>
      <w:r>
        <w:rPr>
          <w:rFonts w:hint="default" w:ascii="Times New Roman" w:hAnsi="Times New Roman" w:eastAsia="Cambria Math" w:cs="Times New Roman"/>
          <w:spacing w:val="3"/>
          <w:position w:val="-7"/>
          <w:sz w:val="20"/>
          <w:szCs w:val="20"/>
        </w:rPr>
        <w:t xml:space="preserve">            </w:t>
      </w:r>
      <w:r>
        <w:rPr>
          <w:rFonts w:hint="default" w:ascii="Times New Roman" w:hAnsi="Times New Roman" w:eastAsia="Cambria Math" w:cs="Times New Roman"/>
          <w:spacing w:val="18"/>
          <w:position w:val="-7"/>
          <w:sz w:val="20"/>
          <w:szCs w:val="20"/>
        </w:rPr>
        <w:t>………………………</w:t>
      </w:r>
      <w:r>
        <w:rPr>
          <w:rFonts w:hint="default" w:ascii="Times New Roman" w:hAnsi="Times New Roman" w:eastAsia="Cambria Math" w:cs="Times New Roman"/>
          <w:spacing w:val="-14"/>
          <w:position w:val="-7"/>
          <w:sz w:val="20"/>
          <w:szCs w:val="20"/>
        </w:rPr>
        <w:t xml:space="preserve"> </w:t>
      </w:r>
      <w:r>
        <w:rPr>
          <w:rFonts w:hint="default" w:ascii="Times New Roman" w:hAnsi="Times New Roman" w:eastAsia="Cambria Math" w:cs="Times New Roman"/>
          <w:spacing w:val="18"/>
          <w:position w:val="-7"/>
          <w:sz w:val="20"/>
          <w:szCs w:val="20"/>
        </w:rPr>
        <w:t>(3)</w:t>
      </w:r>
    </w:p>
    <w:p w14:paraId="499B27BD">
      <w:pPr>
        <w:spacing w:before="96" w:line="228" w:lineRule="auto"/>
        <w:ind w:left="425"/>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式中：</w:t>
      </w:r>
    </w:p>
    <w:p w14:paraId="5B220929">
      <w:pPr>
        <w:spacing w:before="64" w:line="221" w:lineRule="auto"/>
        <w:ind w:left="415"/>
        <w:rPr>
          <w:rFonts w:hint="default" w:ascii="Times New Roman" w:hAnsi="Times New Roman" w:eastAsia="宋体" w:cs="Times New Roman"/>
          <w:sz w:val="20"/>
          <w:szCs w:val="20"/>
        </w:rPr>
      </w:pPr>
      <w:r>
        <w:rPr>
          <w:rFonts w:hint="default" w:ascii="Times New Roman" w:hAnsi="Times New Roman" w:eastAsia="Cambria Math" w:cs="Times New Roman"/>
          <w:spacing w:val="9"/>
          <w:sz w:val="20"/>
          <w:szCs w:val="20"/>
        </w:rPr>
        <w:t>m</w:t>
      </w:r>
      <w:r>
        <w:rPr>
          <w:rFonts w:hint="default" w:ascii="Times New Roman" w:hAnsi="Times New Roman" w:eastAsia="Cambria Math" w:cs="Times New Roman"/>
          <w:spacing w:val="9"/>
          <w:position w:val="-4"/>
          <w:sz w:val="14"/>
          <w:szCs w:val="14"/>
        </w:rPr>
        <w:t>1</w:t>
      </w:r>
      <w:r>
        <w:rPr>
          <w:rFonts w:hint="default" w:ascii="Times New Roman" w:hAnsi="Times New Roman" w:eastAsia="Cambria Math" w:cs="Times New Roman"/>
          <w:spacing w:val="-16"/>
          <w:position w:val="-4"/>
          <w:sz w:val="14"/>
          <w:szCs w:val="14"/>
        </w:rPr>
        <w:t xml:space="preserve"> </w:t>
      </w:r>
      <w:r>
        <w:rPr>
          <w:rFonts w:hint="default" w:ascii="Times New Roman" w:hAnsi="Times New Roman" w:eastAsia="宋体" w:cs="Times New Roman"/>
          <w:spacing w:val="9"/>
          <w:sz w:val="20"/>
          <w:szCs w:val="20"/>
        </w:rPr>
        <w:t>——空白蒸发皿的质量，单位为克（</w:t>
      </w:r>
      <w:r>
        <w:rPr>
          <w:rFonts w:hint="default" w:ascii="Times New Roman" w:hAnsi="Times New Roman" w:eastAsia="Times New Roman" w:cs="Times New Roman"/>
          <w:spacing w:val="9"/>
          <w:sz w:val="20"/>
          <w:szCs w:val="20"/>
        </w:rPr>
        <w:t>g</w:t>
      </w:r>
      <w:r>
        <w:rPr>
          <w:rFonts w:hint="default" w:ascii="Times New Roman" w:hAnsi="Times New Roman" w:eastAsia="宋体" w:cs="Times New Roman"/>
          <w:sz w:val="20"/>
          <w:szCs w:val="20"/>
        </w:rPr>
        <w:t>）；</w:t>
      </w:r>
    </w:p>
    <w:p w14:paraId="03D59BF6">
      <w:pPr>
        <w:spacing w:before="60" w:line="221" w:lineRule="auto"/>
        <w:ind w:left="415"/>
        <w:rPr>
          <w:rFonts w:hint="default" w:ascii="Times New Roman" w:hAnsi="Times New Roman" w:eastAsia="宋体" w:cs="Times New Roman"/>
          <w:sz w:val="20"/>
          <w:szCs w:val="20"/>
        </w:rPr>
      </w:pPr>
      <w:r>
        <w:rPr>
          <w:rFonts w:hint="default" w:ascii="Times New Roman" w:hAnsi="Times New Roman" w:eastAsia="Cambria Math" w:cs="Times New Roman"/>
          <w:spacing w:val="9"/>
          <w:sz w:val="20"/>
          <w:szCs w:val="20"/>
        </w:rPr>
        <w:t>m</w:t>
      </w:r>
      <w:r>
        <w:rPr>
          <w:rFonts w:hint="default" w:ascii="Times New Roman" w:hAnsi="Times New Roman" w:eastAsia="Cambria Math" w:cs="Times New Roman"/>
          <w:spacing w:val="9"/>
          <w:position w:val="-4"/>
          <w:sz w:val="14"/>
          <w:szCs w:val="14"/>
        </w:rPr>
        <w:t>2</w:t>
      </w:r>
      <w:r>
        <w:rPr>
          <w:rFonts w:hint="default" w:ascii="Times New Roman" w:hAnsi="Times New Roman" w:eastAsia="Cambria Math" w:cs="Times New Roman"/>
          <w:spacing w:val="-15"/>
          <w:position w:val="-4"/>
          <w:sz w:val="14"/>
          <w:szCs w:val="14"/>
        </w:rPr>
        <w:t xml:space="preserve"> </w:t>
      </w:r>
      <w:r>
        <w:rPr>
          <w:rFonts w:hint="default" w:ascii="Times New Roman" w:hAnsi="Times New Roman" w:eastAsia="宋体" w:cs="Times New Roman"/>
          <w:spacing w:val="9"/>
          <w:sz w:val="20"/>
          <w:szCs w:val="20"/>
        </w:rPr>
        <w:t>——空白蒸发皿及盐酸不沉淀物的质量，单位为克（</w:t>
      </w:r>
      <w:r>
        <w:rPr>
          <w:rFonts w:hint="default" w:ascii="Times New Roman" w:hAnsi="Times New Roman" w:eastAsia="Times New Roman" w:cs="Times New Roman"/>
          <w:spacing w:val="9"/>
          <w:sz w:val="20"/>
          <w:szCs w:val="20"/>
        </w:rPr>
        <w:t>g</w:t>
      </w:r>
      <w:r>
        <w:rPr>
          <w:rFonts w:hint="default" w:ascii="Times New Roman" w:hAnsi="Times New Roman" w:eastAsia="宋体" w:cs="Times New Roman"/>
          <w:spacing w:val="2"/>
          <w:sz w:val="20"/>
          <w:szCs w:val="20"/>
        </w:rPr>
        <w:t>）；</w:t>
      </w:r>
    </w:p>
    <w:p w14:paraId="3BD93744">
      <w:pPr>
        <w:spacing w:before="59" w:line="221" w:lineRule="auto"/>
        <w:ind w:left="415"/>
        <w:rPr>
          <w:rFonts w:hint="default" w:ascii="Times New Roman" w:hAnsi="Times New Roman" w:eastAsia="宋体" w:cs="Times New Roman"/>
          <w:sz w:val="20"/>
          <w:szCs w:val="20"/>
        </w:rPr>
      </w:pPr>
      <w:r>
        <w:rPr>
          <w:rFonts w:hint="default" w:ascii="Times New Roman" w:hAnsi="Times New Roman" w:eastAsia="Cambria Math" w:cs="Times New Roman"/>
          <w:spacing w:val="9"/>
          <w:sz w:val="20"/>
          <w:szCs w:val="20"/>
        </w:rPr>
        <w:t>m</w:t>
      </w:r>
      <w:r>
        <w:rPr>
          <w:rFonts w:hint="default" w:ascii="Times New Roman" w:hAnsi="Times New Roman" w:eastAsia="Cambria Math" w:cs="Times New Roman"/>
          <w:spacing w:val="9"/>
          <w:position w:val="-4"/>
          <w:sz w:val="14"/>
          <w:szCs w:val="14"/>
        </w:rPr>
        <w:t>3</w:t>
      </w:r>
      <w:r>
        <w:rPr>
          <w:rFonts w:hint="default" w:ascii="Times New Roman" w:hAnsi="Times New Roman" w:eastAsia="Cambria Math" w:cs="Times New Roman"/>
          <w:spacing w:val="-16"/>
          <w:position w:val="-4"/>
          <w:sz w:val="14"/>
          <w:szCs w:val="14"/>
        </w:rPr>
        <w:t xml:space="preserve"> </w:t>
      </w:r>
      <w:r>
        <w:rPr>
          <w:rFonts w:hint="default" w:ascii="Times New Roman" w:hAnsi="Times New Roman" w:eastAsia="宋体" w:cs="Times New Roman"/>
          <w:spacing w:val="9"/>
          <w:sz w:val="20"/>
          <w:szCs w:val="20"/>
        </w:rPr>
        <w:t>——样品蒸发皿的质量，单位为克（</w:t>
      </w:r>
      <w:r>
        <w:rPr>
          <w:rFonts w:hint="default" w:ascii="Times New Roman" w:hAnsi="Times New Roman" w:eastAsia="Times New Roman" w:cs="Times New Roman"/>
          <w:spacing w:val="9"/>
          <w:sz w:val="20"/>
          <w:szCs w:val="20"/>
        </w:rPr>
        <w:t>g</w:t>
      </w:r>
      <w:r>
        <w:rPr>
          <w:rFonts w:hint="default" w:ascii="Times New Roman" w:hAnsi="Times New Roman" w:eastAsia="宋体" w:cs="Times New Roman"/>
          <w:sz w:val="20"/>
          <w:szCs w:val="20"/>
        </w:rPr>
        <w:t>）；</w:t>
      </w:r>
    </w:p>
    <w:p w14:paraId="28DBF2CC">
      <w:pPr>
        <w:spacing w:before="60" w:line="221" w:lineRule="auto"/>
        <w:ind w:left="415"/>
        <w:rPr>
          <w:rFonts w:hint="default" w:ascii="Times New Roman" w:hAnsi="Times New Roman" w:eastAsia="宋体" w:cs="Times New Roman"/>
          <w:sz w:val="20"/>
          <w:szCs w:val="20"/>
        </w:rPr>
      </w:pPr>
      <w:r>
        <w:rPr>
          <w:rFonts w:hint="default" w:ascii="Times New Roman" w:hAnsi="Times New Roman" w:eastAsia="Cambria Math" w:cs="Times New Roman"/>
          <w:spacing w:val="9"/>
          <w:sz w:val="20"/>
          <w:szCs w:val="20"/>
        </w:rPr>
        <w:t>m</w:t>
      </w:r>
      <w:r>
        <w:rPr>
          <w:rFonts w:hint="default" w:ascii="Times New Roman" w:hAnsi="Times New Roman" w:eastAsia="Cambria Math" w:cs="Times New Roman"/>
          <w:spacing w:val="9"/>
          <w:position w:val="-4"/>
          <w:sz w:val="14"/>
          <w:szCs w:val="14"/>
        </w:rPr>
        <w:t>4</w:t>
      </w:r>
      <w:r>
        <w:rPr>
          <w:rFonts w:hint="default" w:ascii="Times New Roman" w:hAnsi="Times New Roman" w:eastAsia="Cambria Math" w:cs="Times New Roman"/>
          <w:spacing w:val="-15"/>
          <w:position w:val="-4"/>
          <w:sz w:val="14"/>
          <w:szCs w:val="14"/>
        </w:rPr>
        <w:t xml:space="preserve"> </w:t>
      </w:r>
      <w:r>
        <w:rPr>
          <w:rFonts w:hint="default" w:ascii="Times New Roman" w:hAnsi="Times New Roman" w:eastAsia="宋体" w:cs="Times New Roman"/>
          <w:spacing w:val="9"/>
          <w:sz w:val="20"/>
          <w:szCs w:val="20"/>
        </w:rPr>
        <w:t>——样品蒸发皿及盐酸不沉淀物的质量，单位为克（</w:t>
      </w:r>
      <w:r>
        <w:rPr>
          <w:rFonts w:hint="default" w:ascii="Times New Roman" w:hAnsi="Times New Roman" w:eastAsia="Times New Roman" w:cs="Times New Roman"/>
          <w:spacing w:val="9"/>
          <w:sz w:val="20"/>
          <w:szCs w:val="20"/>
        </w:rPr>
        <w:t>g</w:t>
      </w:r>
      <w:r>
        <w:rPr>
          <w:rFonts w:hint="default" w:ascii="Times New Roman" w:hAnsi="Times New Roman" w:eastAsia="宋体" w:cs="Times New Roman"/>
          <w:spacing w:val="2"/>
          <w:sz w:val="20"/>
          <w:szCs w:val="20"/>
        </w:rPr>
        <w:t>）；</w:t>
      </w:r>
    </w:p>
    <w:p w14:paraId="131F9ACA">
      <w:pPr>
        <w:spacing w:before="60" w:line="221" w:lineRule="auto"/>
        <w:ind w:left="415"/>
        <w:rPr>
          <w:rFonts w:ascii="宋体" w:hAnsi="宋体" w:eastAsia="宋体" w:cs="宋体"/>
          <w:sz w:val="20"/>
          <w:szCs w:val="20"/>
        </w:rPr>
      </w:pPr>
      <w:r>
        <w:rPr>
          <w:rFonts w:hint="default" w:ascii="Times New Roman" w:hAnsi="Times New Roman" w:eastAsia="Cambria Math" w:cs="Times New Roman"/>
          <w:spacing w:val="8"/>
          <w:sz w:val="20"/>
          <w:szCs w:val="20"/>
        </w:rPr>
        <w:t xml:space="preserve">m  </w:t>
      </w:r>
      <w:r>
        <w:rPr>
          <w:rFonts w:hint="default" w:ascii="Times New Roman" w:hAnsi="Times New Roman" w:eastAsia="宋体" w:cs="Times New Roman"/>
          <w:spacing w:val="8"/>
          <w:sz w:val="20"/>
          <w:szCs w:val="20"/>
        </w:rPr>
        <w:t>——称取样品的质量，单位为克（</w:t>
      </w:r>
      <w:r>
        <w:rPr>
          <w:rFonts w:hint="default" w:ascii="Times New Roman" w:hAnsi="Times New Roman" w:eastAsia="Times New Roman" w:cs="Times New Roman"/>
          <w:spacing w:val="8"/>
          <w:sz w:val="20"/>
          <w:szCs w:val="20"/>
        </w:rPr>
        <w:t>g</w:t>
      </w:r>
      <w:r>
        <w:rPr>
          <w:rFonts w:hint="default" w:ascii="Times New Roman" w:hAnsi="Times New Roman" w:eastAsia="宋体" w:cs="Times New Roman"/>
          <w:spacing w:val="7"/>
          <w:sz w:val="20"/>
          <w:szCs w:val="20"/>
        </w:rPr>
        <w:t>）</w:t>
      </w:r>
      <w:r>
        <w:rPr>
          <w:rFonts w:ascii="宋体" w:hAnsi="宋体" w:eastAsia="宋体" w:cs="宋体"/>
          <w:spacing w:val="7"/>
          <w:sz w:val="20"/>
          <w:szCs w:val="20"/>
        </w:rPr>
        <w:t>。</w:t>
      </w:r>
    </w:p>
    <w:p w14:paraId="35E922A4">
      <w:pPr>
        <w:spacing w:before="72" w:line="228" w:lineRule="auto"/>
        <w:ind w:left="420"/>
        <w:rPr>
          <w:rFonts w:ascii="宋体" w:hAnsi="宋体" w:eastAsia="宋体" w:cs="宋体"/>
          <w:sz w:val="20"/>
          <w:szCs w:val="20"/>
        </w:rPr>
      </w:pPr>
      <w:r>
        <w:rPr>
          <w:rFonts w:ascii="宋体" w:hAnsi="宋体" w:eastAsia="宋体" w:cs="宋体"/>
          <w:spacing w:val="8"/>
          <w:sz w:val="20"/>
          <w:szCs w:val="20"/>
        </w:rPr>
        <w:t>计算结果表示到小数点后两位有效数字。</w:t>
      </w:r>
    </w:p>
    <w:p w14:paraId="485FC2BB">
      <w:pPr>
        <w:pStyle w:val="2"/>
        <w:spacing w:before="221" w:line="230" w:lineRule="auto"/>
        <w:outlineLvl w:val="3"/>
        <w:rPr>
          <w:sz w:val="20"/>
          <w:szCs w:val="20"/>
        </w:rPr>
      </w:pPr>
      <w:r>
        <w:rPr>
          <w:spacing w:val="4"/>
          <w:sz w:val="20"/>
          <w:szCs w:val="20"/>
        </w:rPr>
        <w:t>6.2.4</w:t>
      </w:r>
      <w:r>
        <w:rPr>
          <w:spacing w:val="12"/>
          <w:sz w:val="20"/>
          <w:szCs w:val="20"/>
        </w:rPr>
        <w:t xml:space="preserve">  </w:t>
      </w:r>
      <w:r>
        <w:rPr>
          <w:spacing w:val="4"/>
          <w:sz w:val="20"/>
          <w:szCs w:val="20"/>
        </w:rPr>
        <w:t>澄清度</w:t>
      </w:r>
    </w:p>
    <w:p w14:paraId="16165586">
      <w:pPr>
        <w:spacing w:before="218" w:line="289" w:lineRule="auto"/>
        <w:ind w:left="5" w:right="115" w:firstLine="414"/>
        <w:jc w:val="both"/>
        <w:rPr>
          <w:rFonts w:hint="default" w:ascii="Times New Roman" w:hAnsi="Times New Roman" w:eastAsia="宋体" w:cs="Times New Roman"/>
          <w:sz w:val="20"/>
          <w:szCs w:val="20"/>
        </w:rPr>
      </w:pPr>
      <w:r>
        <w:rPr>
          <w:rFonts w:hint="default" w:ascii="Times New Roman" w:hAnsi="Times New Roman" w:eastAsia="宋体" w:cs="Times New Roman"/>
          <w:spacing w:val="8"/>
          <w:sz w:val="20"/>
          <w:szCs w:val="20"/>
        </w:rPr>
        <w:t>称取</w:t>
      </w:r>
      <w:r>
        <w:rPr>
          <w:rFonts w:hint="eastAsia" w:ascii="Times New Roman" w:hAnsi="Times New Roman" w:eastAsia="宋体" w:cs="Times New Roman"/>
          <w:spacing w:val="8"/>
          <w:sz w:val="20"/>
          <w:szCs w:val="20"/>
          <w:lang w:val="en-US" w:eastAsia="zh-CN"/>
        </w:rPr>
        <w:t>1.5</w:t>
      </w:r>
      <w:r>
        <w:rPr>
          <w:rFonts w:hint="default" w:ascii="Times New Roman" w:hAnsi="Times New Roman" w:eastAsia="宋体" w:cs="Times New Roman"/>
          <w:spacing w:val="8"/>
          <w:sz w:val="20"/>
          <w:szCs w:val="20"/>
          <w:lang w:val="en-US" w:eastAsia="zh-CN"/>
        </w:rPr>
        <w:t xml:space="preserve"> </w:t>
      </w:r>
      <w:r>
        <w:rPr>
          <w:rFonts w:hint="default" w:ascii="Times New Roman" w:hAnsi="Times New Roman" w:eastAsia="宋体" w:cs="Times New Roman"/>
          <w:spacing w:val="8"/>
          <w:sz w:val="20"/>
          <w:szCs w:val="20"/>
        </w:rPr>
        <w:t>g样品，精确到0.01</w:t>
      </w:r>
      <w:r>
        <w:rPr>
          <w:rFonts w:hint="default" w:ascii="Times New Roman" w:hAnsi="Times New Roman" w:eastAsia="宋体" w:cs="Times New Roman"/>
          <w:spacing w:val="-37"/>
          <w:sz w:val="20"/>
          <w:szCs w:val="20"/>
        </w:rPr>
        <w:t xml:space="preserve"> </w:t>
      </w:r>
      <w:r>
        <w:rPr>
          <w:rFonts w:hint="default" w:ascii="Times New Roman" w:hAnsi="Times New Roman" w:eastAsia="宋体" w:cs="Times New Roman"/>
          <w:spacing w:val="8"/>
          <w:sz w:val="20"/>
          <w:szCs w:val="20"/>
        </w:rPr>
        <w:t>g，置于100</w:t>
      </w:r>
      <w:r>
        <w:rPr>
          <w:rFonts w:hint="default" w:ascii="Times New Roman" w:hAnsi="Times New Roman" w:eastAsia="宋体" w:cs="Times New Roman"/>
          <w:spacing w:val="8"/>
          <w:sz w:val="20"/>
          <w:szCs w:val="20"/>
          <w:lang w:val="en-US" w:eastAsia="zh-CN"/>
        </w:rPr>
        <w:t xml:space="preserve"> </w:t>
      </w:r>
      <w:r>
        <w:rPr>
          <w:rFonts w:hint="default" w:ascii="Times New Roman" w:hAnsi="Times New Roman" w:eastAsia="宋体" w:cs="Times New Roman"/>
          <w:sz w:val="20"/>
          <w:szCs w:val="20"/>
        </w:rPr>
        <w:t>ml</w:t>
      </w:r>
      <w:r>
        <w:rPr>
          <w:rFonts w:hint="default" w:ascii="Times New Roman" w:hAnsi="Times New Roman" w:eastAsia="宋体" w:cs="Times New Roman"/>
          <w:spacing w:val="8"/>
          <w:sz w:val="20"/>
          <w:szCs w:val="20"/>
        </w:rPr>
        <w:t>烧杯中</w:t>
      </w:r>
      <w:r>
        <w:rPr>
          <w:rFonts w:hint="default" w:ascii="Times New Roman" w:hAnsi="Times New Roman" w:eastAsia="宋体" w:cs="Times New Roman"/>
          <w:spacing w:val="7"/>
          <w:sz w:val="20"/>
          <w:szCs w:val="20"/>
        </w:rPr>
        <w:t>，加5</w:t>
      </w:r>
      <w:r>
        <w:rPr>
          <w:rFonts w:hint="eastAsia" w:ascii="Times New Roman" w:hAnsi="Times New Roman" w:eastAsia="宋体" w:cs="Times New Roman"/>
          <w:spacing w:val="7"/>
          <w:sz w:val="20"/>
          <w:szCs w:val="20"/>
          <w:lang w:val="en-US" w:eastAsia="zh-CN"/>
        </w:rPr>
        <w:t xml:space="preserve"> </w:t>
      </w:r>
      <w:r>
        <w:rPr>
          <w:rFonts w:hint="default" w:ascii="Times New Roman" w:hAnsi="Times New Roman" w:eastAsia="宋体" w:cs="Times New Roman"/>
          <w:sz w:val="20"/>
          <w:szCs w:val="20"/>
        </w:rPr>
        <w:t>mL</w:t>
      </w:r>
      <w:r>
        <w:rPr>
          <w:rFonts w:hint="default" w:ascii="Times New Roman" w:hAnsi="Times New Roman" w:eastAsia="宋体" w:cs="Times New Roman"/>
          <w:spacing w:val="7"/>
          <w:sz w:val="20"/>
          <w:szCs w:val="20"/>
        </w:rPr>
        <w:t>硝酸润湿，盖以表面皿，放置30</w:t>
      </w:r>
      <w:r>
        <w:rPr>
          <w:rFonts w:hint="default" w:ascii="Times New Roman" w:hAnsi="Times New Roman" w:eastAsia="宋体" w:cs="Times New Roman"/>
          <w:spacing w:val="7"/>
          <w:sz w:val="20"/>
          <w:szCs w:val="20"/>
          <w:lang w:val="en-US" w:eastAsia="zh-CN"/>
        </w:rPr>
        <w:t xml:space="preserve"> </w:t>
      </w:r>
      <w:r>
        <w:rPr>
          <w:rFonts w:hint="default" w:ascii="Times New Roman" w:hAnsi="Times New Roman" w:eastAsia="宋体" w:cs="Times New Roman"/>
          <w:sz w:val="20"/>
          <w:szCs w:val="20"/>
        </w:rPr>
        <w:t>min</w:t>
      </w:r>
      <w:r>
        <w:rPr>
          <w:rFonts w:hint="default" w:ascii="Times New Roman" w:hAnsi="Times New Roman" w:eastAsia="宋体" w:cs="Times New Roman"/>
          <w:spacing w:val="7"/>
          <w:sz w:val="20"/>
          <w:szCs w:val="20"/>
        </w:rPr>
        <w:t>。加</w:t>
      </w:r>
      <w:r>
        <w:rPr>
          <w:rFonts w:hint="default" w:ascii="Times New Roman" w:hAnsi="Times New Roman" w:eastAsia="宋体" w:cs="Times New Roman"/>
          <w:spacing w:val="9"/>
          <w:sz w:val="20"/>
          <w:szCs w:val="20"/>
        </w:rPr>
        <w:t>10</w:t>
      </w:r>
      <w:r>
        <w:rPr>
          <w:rFonts w:hint="default" w:ascii="Times New Roman" w:hAnsi="Times New Roman" w:eastAsia="宋体" w:cs="Times New Roman"/>
          <w:spacing w:val="9"/>
          <w:sz w:val="20"/>
          <w:szCs w:val="20"/>
          <w:lang w:val="en-US" w:eastAsia="zh-CN"/>
        </w:rPr>
        <w:t xml:space="preserve"> </w:t>
      </w:r>
      <w:r>
        <w:rPr>
          <w:rFonts w:hint="default" w:ascii="Times New Roman" w:hAnsi="Times New Roman" w:eastAsia="宋体" w:cs="Times New Roman"/>
          <w:sz w:val="20"/>
          <w:szCs w:val="20"/>
        </w:rPr>
        <w:t>mL</w:t>
      </w:r>
      <w:r>
        <w:rPr>
          <w:rFonts w:hint="default" w:ascii="Times New Roman" w:hAnsi="Times New Roman" w:eastAsia="宋体" w:cs="Times New Roman"/>
          <w:spacing w:val="9"/>
          <w:sz w:val="20"/>
          <w:szCs w:val="20"/>
        </w:rPr>
        <w:t>水，在水浴上加热至完全溶解，冷却后用水稀释至100</w:t>
      </w:r>
      <w:r>
        <w:rPr>
          <w:rFonts w:hint="eastAsia" w:ascii="Times New Roman" w:hAnsi="Times New Roman" w:eastAsia="宋体" w:cs="Times New Roman"/>
          <w:spacing w:val="9"/>
          <w:sz w:val="20"/>
          <w:szCs w:val="20"/>
          <w:lang w:val="en-US" w:eastAsia="zh-CN"/>
        </w:rPr>
        <w:t xml:space="preserve"> </w:t>
      </w:r>
      <w:r>
        <w:rPr>
          <w:rFonts w:hint="default" w:ascii="Times New Roman" w:hAnsi="Times New Roman" w:eastAsia="宋体" w:cs="Times New Roman"/>
          <w:sz w:val="20"/>
          <w:szCs w:val="20"/>
        </w:rPr>
        <w:t>mL</w:t>
      </w:r>
      <w:r>
        <w:rPr>
          <w:rFonts w:hint="default" w:ascii="Times New Roman" w:hAnsi="Times New Roman" w:eastAsia="宋体" w:cs="Times New Roman"/>
          <w:spacing w:val="9"/>
          <w:sz w:val="20"/>
          <w:szCs w:val="20"/>
        </w:rPr>
        <w:t>，装入比浊管中备用。按</w:t>
      </w:r>
      <w:r>
        <w:rPr>
          <w:rFonts w:hint="default" w:ascii="Times New Roman" w:hAnsi="Times New Roman" w:eastAsia="宋体" w:cs="Times New Roman"/>
          <w:sz w:val="20"/>
          <w:szCs w:val="20"/>
        </w:rPr>
        <w:t>HG</w:t>
      </w:r>
      <w:r>
        <w:rPr>
          <w:rFonts w:hint="default" w:ascii="Times New Roman" w:hAnsi="Times New Roman" w:eastAsia="宋体" w:cs="Times New Roman"/>
          <w:spacing w:val="9"/>
          <w:sz w:val="20"/>
          <w:szCs w:val="20"/>
        </w:rPr>
        <w:t>/T 3484的规</w:t>
      </w:r>
      <w:r>
        <w:rPr>
          <w:rFonts w:hint="default" w:ascii="Times New Roman" w:hAnsi="Times New Roman" w:eastAsia="宋体" w:cs="Times New Roman"/>
          <w:spacing w:val="8"/>
          <w:sz w:val="20"/>
          <w:szCs w:val="20"/>
        </w:rPr>
        <w:t>定配制澄清度标准溶液，采用比浊法测定。</w:t>
      </w:r>
    </w:p>
    <w:p w14:paraId="22EFE42B">
      <w:pPr>
        <w:spacing w:line="319" w:lineRule="auto"/>
        <w:rPr>
          <w:rFonts w:ascii="Arial"/>
          <w:sz w:val="21"/>
        </w:rPr>
      </w:pPr>
    </w:p>
    <w:p w14:paraId="4BAEE456">
      <w:pPr>
        <w:pStyle w:val="2"/>
        <w:spacing w:before="65" w:line="231" w:lineRule="auto"/>
        <w:outlineLvl w:val="2"/>
        <w:rPr>
          <w:sz w:val="20"/>
          <w:szCs w:val="20"/>
        </w:rPr>
      </w:pPr>
      <w:r>
        <w:rPr>
          <w:spacing w:val="3"/>
          <w:sz w:val="20"/>
          <w:szCs w:val="20"/>
        </w:rPr>
        <w:t>6.3</w:t>
      </w:r>
      <w:r>
        <w:rPr>
          <w:spacing w:val="10"/>
          <w:sz w:val="20"/>
          <w:szCs w:val="20"/>
        </w:rPr>
        <w:t xml:space="preserve">  </w:t>
      </w:r>
      <w:r>
        <w:rPr>
          <w:spacing w:val="3"/>
          <w:sz w:val="20"/>
          <w:szCs w:val="20"/>
        </w:rPr>
        <w:t>外观</w:t>
      </w:r>
    </w:p>
    <w:p w14:paraId="54F23D94">
      <w:pPr>
        <w:spacing w:before="218" w:line="228" w:lineRule="auto"/>
        <w:ind w:left="420"/>
        <w:rPr>
          <w:rFonts w:ascii="宋体" w:hAnsi="宋体" w:eastAsia="宋体" w:cs="宋体"/>
          <w:sz w:val="20"/>
          <w:szCs w:val="20"/>
        </w:rPr>
      </w:pPr>
      <w:r>
        <w:rPr>
          <w:rFonts w:ascii="宋体" w:hAnsi="宋体" w:eastAsia="宋体" w:cs="宋体"/>
          <w:spacing w:val="7"/>
          <w:sz w:val="20"/>
          <w:szCs w:val="20"/>
        </w:rPr>
        <w:t>在日光灯下目测。</w:t>
      </w:r>
    </w:p>
    <w:p w14:paraId="2D77C8AE">
      <w:pPr>
        <w:spacing w:line="389" w:lineRule="auto"/>
        <w:rPr>
          <w:rFonts w:ascii="Arial"/>
          <w:sz w:val="21"/>
        </w:rPr>
      </w:pPr>
    </w:p>
    <w:p w14:paraId="716182D5">
      <w:pPr>
        <w:pStyle w:val="2"/>
        <w:spacing w:before="65" w:line="230" w:lineRule="auto"/>
        <w:ind w:left="1"/>
        <w:outlineLvl w:val="1"/>
        <w:rPr>
          <w:sz w:val="20"/>
          <w:szCs w:val="20"/>
        </w:rPr>
      </w:pPr>
      <w:r>
        <w:rPr>
          <w:spacing w:val="5"/>
          <w:sz w:val="20"/>
          <w:szCs w:val="20"/>
        </w:rPr>
        <w:t>7</w:t>
      </w:r>
      <w:r>
        <w:rPr>
          <w:spacing w:val="9"/>
          <w:sz w:val="20"/>
          <w:szCs w:val="20"/>
        </w:rPr>
        <w:t xml:space="preserve">  </w:t>
      </w:r>
      <w:r>
        <w:rPr>
          <w:spacing w:val="5"/>
          <w:sz w:val="20"/>
          <w:szCs w:val="20"/>
        </w:rPr>
        <w:t>检验规则</w:t>
      </w:r>
    </w:p>
    <w:p w14:paraId="5B45D3E1">
      <w:pPr>
        <w:spacing w:line="230" w:lineRule="auto"/>
        <w:rPr>
          <w:sz w:val="20"/>
          <w:szCs w:val="20"/>
        </w:rPr>
        <w:sectPr>
          <w:headerReference r:id="rId9" w:type="default"/>
          <w:footerReference r:id="rId10" w:type="default"/>
          <w:pgSz w:w="11906" w:h="16839"/>
          <w:pgMar w:top="1451" w:right="1134" w:bottom="1504" w:left="1423" w:header="1129" w:footer="1342" w:gutter="0"/>
          <w:cols w:space="720" w:num="1"/>
        </w:sectPr>
      </w:pPr>
    </w:p>
    <w:p w14:paraId="0FA98864">
      <w:pPr>
        <w:pStyle w:val="2"/>
        <w:spacing w:before="253" w:line="230" w:lineRule="auto"/>
        <w:ind w:left="120"/>
        <w:outlineLvl w:val="2"/>
        <w:rPr>
          <w:sz w:val="20"/>
          <w:szCs w:val="20"/>
        </w:rPr>
      </w:pPr>
      <w:r>
        <w:rPr>
          <w:spacing w:val="6"/>
          <w:sz w:val="20"/>
          <w:szCs w:val="20"/>
        </w:rPr>
        <w:t>7.1  检查和验收</w:t>
      </w:r>
    </w:p>
    <w:p w14:paraId="526DD9C7">
      <w:pPr>
        <w:pStyle w:val="2"/>
        <w:spacing w:before="218" w:line="230" w:lineRule="auto"/>
        <w:ind w:left="120"/>
        <w:outlineLvl w:val="3"/>
        <w:rPr>
          <w:rFonts w:ascii="宋体" w:hAnsi="宋体" w:eastAsia="宋体" w:cs="宋体"/>
          <w:sz w:val="20"/>
          <w:szCs w:val="20"/>
        </w:rPr>
      </w:pPr>
      <w:r>
        <w:rPr>
          <w:spacing w:val="9"/>
          <w:sz w:val="20"/>
          <w:szCs w:val="20"/>
        </w:rPr>
        <w:t xml:space="preserve">7.1.1  </w:t>
      </w:r>
      <w:r>
        <w:rPr>
          <w:rFonts w:ascii="宋体" w:hAnsi="宋体" w:eastAsia="宋体" w:cs="宋体"/>
          <w:spacing w:val="9"/>
          <w:sz w:val="20"/>
          <w:szCs w:val="20"/>
        </w:rPr>
        <w:t>产品应由供方或第三方进行检验，保证产品质</w:t>
      </w:r>
      <w:r>
        <w:rPr>
          <w:rFonts w:ascii="宋体" w:hAnsi="宋体" w:eastAsia="宋体" w:cs="宋体"/>
          <w:spacing w:val="8"/>
          <w:sz w:val="20"/>
          <w:szCs w:val="20"/>
        </w:rPr>
        <w:t>量符合本文件及订货单的规定。</w:t>
      </w:r>
    </w:p>
    <w:p w14:paraId="156422B8">
      <w:pPr>
        <w:pStyle w:val="2"/>
        <w:spacing w:before="218" w:line="230" w:lineRule="auto"/>
        <w:ind w:left="120"/>
        <w:outlineLvl w:val="3"/>
        <w:rPr>
          <w:rFonts w:ascii="宋体" w:hAnsi="宋体" w:eastAsia="宋体" w:cs="宋体"/>
          <w:sz w:val="20"/>
          <w:szCs w:val="20"/>
        </w:rPr>
      </w:pPr>
      <w:r>
        <w:rPr>
          <w:spacing w:val="9"/>
          <w:sz w:val="20"/>
          <w:szCs w:val="20"/>
        </w:rPr>
        <w:t xml:space="preserve">7.1.2  </w:t>
      </w:r>
      <w:r>
        <w:rPr>
          <w:rFonts w:ascii="宋体" w:hAnsi="宋体" w:eastAsia="宋体" w:cs="宋体"/>
          <w:spacing w:val="9"/>
          <w:sz w:val="20"/>
          <w:szCs w:val="20"/>
        </w:rPr>
        <w:t>需方可对收到的产品按本文件的规定进行检验，如检验结果与本文件及订货</w:t>
      </w:r>
      <w:r>
        <w:rPr>
          <w:rFonts w:ascii="宋体" w:hAnsi="宋体" w:eastAsia="宋体" w:cs="宋体"/>
          <w:spacing w:val="8"/>
          <w:sz w:val="20"/>
          <w:szCs w:val="20"/>
        </w:rPr>
        <w:t>单的规定不符时，</w:t>
      </w:r>
    </w:p>
    <w:p w14:paraId="344D9E63">
      <w:pPr>
        <w:spacing w:before="64" w:line="289" w:lineRule="auto"/>
        <w:ind w:left="119" w:right="228"/>
        <w:jc w:val="both"/>
        <w:rPr>
          <w:rFonts w:ascii="宋体" w:hAnsi="宋体" w:eastAsia="宋体" w:cs="宋体"/>
          <w:sz w:val="20"/>
          <w:szCs w:val="20"/>
        </w:rPr>
      </w:pPr>
      <w:r>
        <w:rPr>
          <w:rFonts w:ascii="宋体" w:hAnsi="宋体" w:eastAsia="宋体" w:cs="宋体"/>
          <w:spacing w:val="7"/>
          <w:sz w:val="20"/>
          <w:szCs w:val="20"/>
        </w:rPr>
        <w:t>应以书面形式向供方提出，</w:t>
      </w:r>
      <w:r>
        <w:rPr>
          <w:rFonts w:ascii="宋体" w:hAnsi="宋体" w:eastAsia="宋体" w:cs="宋体"/>
          <w:spacing w:val="-54"/>
          <w:sz w:val="20"/>
          <w:szCs w:val="20"/>
        </w:rPr>
        <w:t xml:space="preserve"> </w:t>
      </w:r>
      <w:r>
        <w:rPr>
          <w:rFonts w:ascii="宋体" w:hAnsi="宋体" w:eastAsia="宋体" w:cs="宋体"/>
          <w:spacing w:val="7"/>
          <w:sz w:val="20"/>
          <w:szCs w:val="20"/>
        </w:rPr>
        <w:t>由供需双方协商解决。属于外观质量的异议，应在收到产品之日起</w:t>
      </w:r>
      <w:r>
        <w:rPr>
          <w:rFonts w:ascii="宋体" w:hAnsi="宋体" w:eastAsia="宋体" w:cs="宋体"/>
          <w:spacing w:val="-33"/>
          <w:sz w:val="20"/>
          <w:szCs w:val="20"/>
        </w:rPr>
        <w:t xml:space="preserve"> </w:t>
      </w:r>
      <w:r>
        <w:rPr>
          <w:rFonts w:hint="eastAsia" w:ascii="宋体" w:hAnsi="宋体" w:eastAsia="宋体" w:cs="宋体"/>
          <w:spacing w:val="7"/>
          <w:sz w:val="20"/>
          <w:szCs w:val="20"/>
          <w:lang w:val="en-US" w:eastAsia="zh-CN"/>
        </w:rPr>
        <w:t>3</w:t>
      </w:r>
      <w:r>
        <w:rPr>
          <w:rFonts w:ascii="宋体" w:hAnsi="宋体" w:eastAsia="宋体" w:cs="宋体"/>
          <w:spacing w:val="7"/>
          <w:sz w:val="20"/>
          <w:szCs w:val="20"/>
        </w:rPr>
        <w:t>日内</w:t>
      </w:r>
      <w:r>
        <w:rPr>
          <w:rFonts w:ascii="宋体" w:hAnsi="宋体" w:eastAsia="宋体" w:cs="宋体"/>
          <w:spacing w:val="6"/>
          <w:sz w:val="20"/>
          <w:szCs w:val="20"/>
        </w:rPr>
        <w:t>提出；其它性能的异议，应在收到产品之日起</w:t>
      </w:r>
      <w:r>
        <w:rPr>
          <w:rFonts w:ascii="宋体" w:hAnsi="宋体" w:eastAsia="宋体" w:cs="宋体"/>
          <w:spacing w:val="-23"/>
          <w:sz w:val="20"/>
          <w:szCs w:val="20"/>
        </w:rPr>
        <w:t xml:space="preserve"> </w:t>
      </w:r>
      <w:r>
        <w:rPr>
          <w:rFonts w:ascii="宋体" w:hAnsi="宋体" w:eastAsia="宋体" w:cs="宋体"/>
          <w:spacing w:val="6"/>
          <w:sz w:val="20"/>
          <w:szCs w:val="20"/>
        </w:rPr>
        <w:t>1</w:t>
      </w:r>
      <w:bookmarkStart w:id="1" w:name="_GoBack"/>
      <w:r>
        <w:rPr>
          <w:rFonts w:ascii="宋体" w:hAnsi="宋体" w:eastAsia="宋体" w:cs="宋体"/>
          <w:spacing w:val="6"/>
          <w:sz w:val="20"/>
          <w:szCs w:val="20"/>
        </w:rPr>
        <w:t xml:space="preserve">5 </w:t>
      </w:r>
      <w:r>
        <w:rPr>
          <w:rFonts w:ascii="宋体" w:hAnsi="宋体" w:eastAsia="宋体" w:cs="宋体"/>
          <w:spacing w:val="5"/>
          <w:sz w:val="20"/>
          <w:szCs w:val="20"/>
        </w:rPr>
        <w:t>日</w:t>
      </w:r>
      <w:bookmarkEnd w:id="1"/>
      <w:r>
        <w:rPr>
          <w:rFonts w:ascii="宋体" w:hAnsi="宋体" w:eastAsia="宋体" w:cs="宋体"/>
          <w:spacing w:val="5"/>
          <w:sz w:val="20"/>
          <w:szCs w:val="20"/>
        </w:rPr>
        <w:t>内提出。如需仲裁，应由供需双方在需方共同取样</w:t>
      </w:r>
      <w:r>
        <w:rPr>
          <w:rFonts w:ascii="宋体" w:hAnsi="宋体" w:eastAsia="宋体" w:cs="宋体"/>
          <w:spacing w:val="6"/>
          <w:sz w:val="20"/>
          <w:szCs w:val="20"/>
        </w:rPr>
        <w:t>或协商确定。</w:t>
      </w:r>
    </w:p>
    <w:p w14:paraId="549AEA43">
      <w:pPr>
        <w:pStyle w:val="2"/>
        <w:spacing w:before="228" w:line="231" w:lineRule="auto"/>
        <w:ind w:left="120"/>
        <w:outlineLvl w:val="2"/>
        <w:rPr>
          <w:sz w:val="20"/>
          <w:szCs w:val="20"/>
        </w:rPr>
      </w:pPr>
      <w:r>
        <w:rPr>
          <w:spacing w:val="3"/>
          <w:sz w:val="20"/>
          <w:szCs w:val="20"/>
        </w:rPr>
        <w:t>7.2</w:t>
      </w:r>
      <w:r>
        <w:rPr>
          <w:spacing w:val="9"/>
          <w:sz w:val="20"/>
          <w:szCs w:val="20"/>
        </w:rPr>
        <w:t xml:space="preserve">  </w:t>
      </w:r>
      <w:r>
        <w:rPr>
          <w:spacing w:val="3"/>
          <w:sz w:val="20"/>
          <w:szCs w:val="20"/>
        </w:rPr>
        <w:t>组批</w:t>
      </w:r>
    </w:p>
    <w:p w14:paraId="3BE83C63">
      <w:pPr>
        <w:spacing w:before="219" w:line="428" w:lineRule="auto"/>
        <w:ind w:left="119" w:right="226" w:firstLine="420"/>
        <w:rPr>
          <w:rFonts w:ascii="宋体" w:hAnsi="宋体" w:eastAsia="宋体" w:cs="宋体"/>
          <w:sz w:val="20"/>
          <w:szCs w:val="20"/>
        </w:rPr>
      </w:pPr>
      <w:r>
        <w:rPr>
          <w:rFonts w:ascii="宋体" w:hAnsi="宋体" w:eastAsia="宋体" w:cs="宋体"/>
          <w:spacing w:val="8"/>
          <w:sz w:val="20"/>
          <w:szCs w:val="20"/>
        </w:rPr>
        <w:t>产品应按批提交检验</w:t>
      </w:r>
      <w:r>
        <w:rPr>
          <w:rFonts w:ascii="Times New Roman" w:hAnsi="Times New Roman" w:eastAsia="Times New Roman" w:cs="Times New Roman"/>
          <w:spacing w:val="8"/>
          <w:sz w:val="20"/>
          <w:szCs w:val="20"/>
        </w:rPr>
        <w:t>,</w:t>
      </w:r>
      <w:r>
        <w:rPr>
          <w:rFonts w:ascii="宋体" w:hAnsi="宋体" w:eastAsia="宋体" w:cs="宋体"/>
          <w:spacing w:val="8"/>
          <w:sz w:val="20"/>
          <w:szCs w:val="20"/>
        </w:rPr>
        <w:t>每批应由同一品级、采用同一生产条件、在同一生产周期生产的产品组成，每批重量应由供需双方协商确定。</w:t>
      </w:r>
    </w:p>
    <w:p w14:paraId="2072D168">
      <w:pPr>
        <w:pStyle w:val="2"/>
        <w:spacing w:before="8" w:line="229" w:lineRule="auto"/>
        <w:ind w:left="120"/>
        <w:outlineLvl w:val="2"/>
        <w:rPr>
          <w:sz w:val="20"/>
          <w:szCs w:val="20"/>
        </w:rPr>
      </w:pPr>
      <w:r>
        <w:rPr>
          <w:spacing w:val="7"/>
          <w:sz w:val="20"/>
          <w:szCs w:val="20"/>
        </w:rPr>
        <w:t>7.3  检验项目及取样</w:t>
      </w:r>
    </w:p>
    <w:p w14:paraId="791C8BB7">
      <w:pPr>
        <w:spacing w:before="143" w:line="228" w:lineRule="auto"/>
        <w:ind w:left="539"/>
        <w:rPr>
          <w:rFonts w:ascii="宋体" w:hAnsi="宋体" w:eastAsia="宋体" w:cs="宋体"/>
          <w:sz w:val="20"/>
          <w:szCs w:val="20"/>
        </w:rPr>
      </w:pPr>
      <w:r>
        <w:rPr>
          <w:rFonts w:ascii="宋体" w:hAnsi="宋体" w:eastAsia="宋体" w:cs="宋体"/>
          <w:spacing w:val="7"/>
          <w:sz w:val="20"/>
          <w:szCs w:val="20"/>
        </w:rPr>
        <w:t>产品的检验项目见表</w:t>
      </w:r>
      <w:r>
        <w:rPr>
          <w:rFonts w:ascii="Times New Roman" w:hAnsi="Times New Roman" w:eastAsia="Times New Roman" w:cs="Times New Roman"/>
          <w:spacing w:val="7"/>
          <w:sz w:val="20"/>
          <w:szCs w:val="20"/>
        </w:rPr>
        <w:t>2</w:t>
      </w:r>
      <w:r>
        <w:rPr>
          <w:rFonts w:ascii="宋体" w:hAnsi="宋体" w:eastAsia="宋体" w:cs="宋体"/>
          <w:spacing w:val="7"/>
          <w:sz w:val="20"/>
          <w:szCs w:val="20"/>
        </w:rPr>
        <w:t>。</w:t>
      </w:r>
    </w:p>
    <w:p w14:paraId="593A652B">
      <w:pPr>
        <w:pStyle w:val="2"/>
        <w:spacing w:before="142" w:line="229" w:lineRule="auto"/>
        <w:ind w:left="3982"/>
        <w:rPr>
          <w:sz w:val="20"/>
          <w:szCs w:val="20"/>
        </w:rPr>
      </w:pPr>
      <w:r>
        <w:rPr>
          <w:spacing w:val="7"/>
          <w:sz w:val="20"/>
          <w:szCs w:val="20"/>
        </w:rPr>
        <w:t>表</w:t>
      </w:r>
      <w:r>
        <w:rPr>
          <w:spacing w:val="-41"/>
          <w:sz w:val="20"/>
          <w:szCs w:val="20"/>
        </w:rPr>
        <w:t xml:space="preserve"> </w:t>
      </w:r>
      <w:r>
        <w:rPr>
          <w:spacing w:val="7"/>
          <w:sz w:val="20"/>
          <w:szCs w:val="20"/>
        </w:rPr>
        <w:t>2 检验项目及取样</w:t>
      </w:r>
    </w:p>
    <w:p w14:paraId="52DD563C">
      <w:pPr>
        <w:spacing w:line="91" w:lineRule="exact"/>
      </w:pPr>
    </w:p>
    <w:tbl>
      <w:tblPr>
        <w:tblStyle w:val="6"/>
        <w:tblW w:w="95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4"/>
        <w:gridCol w:w="985"/>
        <w:gridCol w:w="2021"/>
        <w:gridCol w:w="1665"/>
        <w:gridCol w:w="2125"/>
        <w:gridCol w:w="2095"/>
      </w:tblGrid>
      <w:tr w14:paraId="4ADA0A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684" w:type="dxa"/>
            <w:vAlign w:val="top"/>
          </w:tcPr>
          <w:p w14:paraId="407E199C">
            <w:pPr>
              <w:pStyle w:val="7"/>
              <w:spacing w:before="72" w:line="221" w:lineRule="auto"/>
              <w:ind w:left="165"/>
            </w:pPr>
            <w:r>
              <w:rPr>
                <w:spacing w:val="-4"/>
              </w:rPr>
              <w:t>序号</w:t>
            </w:r>
          </w:p>
        </w:tc>
        <w:tc>
          <w:tcPr>
            <w:tcW w:w="3006" w:type="dxa"/>
            <w:gridSpan w:val="2"/>
            <w:vAlign w:val="top"/>
          </w:tcPr>
          <w:p w14:paraId="26B9E60A">
            <w:pPr>
              <w:pStyle w:val="7"/>
              <w:spacing w:before="72" w:line="219" w:lineRule="auto"/>
              <w:ind w:left="1145"/>
            </w:pPr>
            <w:r>
              <w:rPr>
                <w:spacing w:val="-2"/>
              </w:rPr>
              <w:t>检验项目</w:t>
            </w:r>
          </w:p>
        </w:tc>
        <w:tc>
          <w:tcPr>
            <w:tcW w:w="1665" w:type="dxa"/>
            <w:vAlign w:val="top"/>
          </w:tcPr>
          <w:p w14:paraId="5DAECCE9">
            <w:pPr>
              <w:pStyle w:val="7"/>
              <w:spacing w:before="72" w:line="219" w:lineRule="auto"/>
              <w:ind w:left="479"/>
            </w:pPr>
            <w:r>
              <w:rPr>
                <w:spacing w:val="-3"/>
              </w:rPr>
              <w:t>取样规定</w:t>
            </w:r>
          </w:p>
        </w:tc>
        <w:tc>
          <w:tcPr>
            <w:tcW w:w="2125" w:type="dxa"/>
            <w:vAlign w:val="top"/>
          </w:tcPr>
          <w:p w14:paraId="67090FE6">
            <w:pPr>
              <w:pStyle w:val="7"/>
              <w:spacing w:before="72" w:line="219" w:lineRule="auto"/>
              <w:ind w:left="349"/>
            </w:pPr>
            <w:r>
              <w:rPr>
                <w:spacing w:val="-1"/>
              </w:rPr>
              <w:t>技术要求的章条号</w:t>
            </w:r>
          </w:p>
        </w:tc>
        <w:tc>
          <w:tcPr>
            <w:tcW w:w="2095" w:type="dxa"/>
            <w:vAlign w:val="top"/>
          </w:tcPr>
          <w:p w14:paraId="441D7988">
            <w:pPr>
              <w:pStyle w:val="7"/>
              <w:spacing w:before="72" w:line="219" w:lineRule="auto"/>
              <w:ind w:left="330"/>
            </w:pPr>
            <w:r>
              <w:rPr>
                <w:spacing w:val="-1"/>
              </w:rPr>
              <w:t>试验方法的章条号</w:t>
            </w:r>
          </w:p>
        </w:tc>
      </w:tr>
      <w:tr w14:paraId="4D1E9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4" w:type="dxa"/>
            <w:vAlign w:val="top"/>
          </w:tcPr>
          <w:p w14:paraId="78FF49C5">
            <w:pPr>
              <w:pStyle w:val="7"/>
              <w:spacing w:before="68" w:line="241" w:lineRule="auto"/>
              <w:ind w:left="314"/>
            </w:pPr>
            <w:r>
              <w:t>1</w:t>
            </w:r>
          </w:p>
        </w:tc>
        <w:tc>
          <w:tcPr>
            <w:tcW w:w="985" w:type="dxa"/>
            <w:vMerge w:val="restart"/>
            <w:tcBorders>
              <w:bottom w:val="nil"/>
            </w:tcBorders>
            <w:vAlign w:val="top"/>
          </w:tcPr>
          <w:p w14:paraId="6F247795">
            <w:pPr>
              <w:spacing w:line="329" w:lineRule="auto"/>
              <w:rPr>
                <w:rFonts w:ascii="Arial"/>
                <w:sz w:val="21"/>
              </w:rPr>
            </w:pPr>
          </w:p>
          <w:p w14:paraId="03203104">
            <w:pPr>
              <w:spacing w:line="329" w:lineRule="auto"/>
              <w:rPr>
                <w:rFonts w:ascii="Arial"/>
                <w:sz w:val="21"/>
              </w:rPr>
            </w:pPr>
          </w:p>
          <w:p w14:paraId="2B0E814F">
            <w:pPr>
              <w:pStyle w:val="7"/>
              <w:spacing w:before="58" w:line="220" w:lineRule="auto"/>
              <w:ind w:left="136"/>
            </w:pPr>
            <w:r>
              <w:rPr>
                <w:spacing w:val="-2"/>
              </w:rPr>
              <w:t>化学成分</w:t>
            </w:r>
          </w:p>
        </w:tc>
        <w:tc>
          <w:tcPr>
            <w:tcW w:w="2021" w:type="dxa"/>
            <w:vAlign w:val="top"/>
          </w:tcPr>
          <w:p w14:paraId="1F8C1810">
            <w:pPr>
              <w:pStyle w:val="7"/>
              <w:spacing w:before="68" w:line="225" w:lineRule="auto"/>
              <w:ind w:left="592"/>
            </w:pPr>
            <w:r>
              <w:t>Ag</w:t>
            </w:r>
            <w:r>
              <w:rPr>
                <w:position w:val="-2"/>
                <w:sz w:val="8"/>
                <w:szCs w:val="8"/>
              </w:rPr>
              <w:t>2</w:t>
            </w:r>
            <w:r>
              <w:t>CO</w:t>
            </w:r>
            <w:r>
              <w:rPr>
                <w:position w:val="-2"/>
                <w:sz w:val="8"/>
                <w:szCs w:val="8"/>
              </w:rPr>
              <w:t>3</w:t>
            </w:r>
            <w:r>
              <w:rPr>
                <w:spacing w:val="-10"/>
                <w:position w:val="-2"/>
                <w:sz w:val="8"/>
                <w:szCs w:val="8"/>
              </w:rPr>
              <w:t xml:space="preserve"> </w:t>
            </w:r>
            <w:r>
              <w:t>含量</w:t>
            </w:r>
          </w:p>
        </w:tc>
        <w:tc>
          <w:tcPr>
            <w:tcW w:w="1665" w:type="dxa"/>
            <w:vMerge w:val="restart"/>
            <w:tcBorders>
              <w:bottom w:val="nil"/>
            </w:tcBorders>
            <w:vAlign w:val="top"/>
          </w:tcPr>
          <w:p w14:paraId="486F8CE0">
            <w:pPr>
              <w:spacing w:line="292" w:lineRule="auto"/>
              <w:rPr>
                <w:rFonts w:ascii="Arial"/>
                <w:sz w:val="21"/>
              </w:rPr>
            </w:pPr>
          </w:p>
          <w:p w14:paraId="3BE70682">
            <w:pPr>
              <w:spacing w:line="293" w:lineRule="auto"/>
              <w:rPr>
                <w:rFonts w:ascii="Arial"/>
                <w:sz w:val="21"/>
              </w:rPr>
            </w:pPr>
          </w:p>
          <w:p w14:paraId="792AB784">
            <w:pPr>
              <w:spacing w:line="293" w:lineRule="auto"/>
              <w:rPr>
                <w:rFonts w:ascii="Arial"/>
                <w:sz w:val="21"/>
              </w:rPr>
            </w:pPr>
          </w:p>
          <w:p w14:paraId="3E07C4F1">
            <w:pPr>
              <w:spacing w:line="293" w:lineRule="auto"/>
              <w:rPr>
                <w:rFonts w:ascii="Arial"/>
                <w:sz w:val="21"/>
              </w:rPr>
            </w:pPr>
          </w:p>
          <w:p w14:paraId="1924D8C9">
            <w:pPr>
              <w:pStyle w:val="7"/>
              <w:spacing w:before="59" w:line="319" w:lineRule="auto"/>
              <w:ind w:left="275" w:right="109" w:hanging="158"/>
            </w:pPr>
            <w:r>
              <w:rPr>
                <w:spacing w:val="-5"/>
              </w:rPr>
              <w:t>每批任取</w:t>
            </w:r>
            <w:r>
              <w:rPr>
                <w:spacing w:val="-20"/>
              </w:rPr>
              <w:t xml:space="preserve"> </w:t>
            </w:r>
            <w:r>
              <w:rPr>
                <w:spacing w:val="-5"/>
              </w:rPr>
              <w:t>1</w:t>
            </w:r>
            <w:r>
              <w:rPr>
                <w:spacing w:val="-39"/>
              </w:rPr>
              <w:t xml:space="preserve"> </w:t>
            </w:r>
            <w:r>
              <w:rPr>
                <w:spacing w:val="-5"/>
              </w:rPr>
              <w:t>份，每</w:t>
            </w:r>
            <w:r>
              <w:rPr>
                <w:spacing w:val="-3"/>
              </w:rPr>
              <w:t>份不少于</w:t>
            </w:r>
            <w:r>
              <w:rPr>
                <w:spacing w:val="-33"/>
              </w:rPr>
              <w:t xml:space="preserve"> </w:t>
            </w:r>
            <w:r>
              <w:rPr>
                <w:spacing w:val="-3"/>
              </w:rPr>
              <w:t>30</w:t>
            </w:r>
            <w:r>
              <w:rPr>
                <w:spacing w:val="10"/>
              </w:rPr>
              <w:t xml:space="preserve"> </w:t>
            </w:r>
            <w:r>
              <w:rPr>
                <w:spacing w:val="-3"/>
              </w:rPr>
              <w:t>g</w:t>
            </w:r>
          </w:p>
        </w:tc>
        <w:tc>
          <w:tcPr>
            <w:tcW w:w="2125" w:type="dxa"/>
            <w:vMerge w:val="restart"/>
            <w:tcBorders>
              <w:bottom w:val="nil"/>
            </w:tcBorders>
            <w:vAlign w:val="top"/>
          </w:tcPr>
          <w:p w14:paraId="5BB56C5E">
            <w:pPr>
              <w:spacing w:line="249" w:lineRule="auto"/>
              <w:rPr>
                <w:rFonts w:ascii="Arial"/>
                <w:sz w:val="21"/>
              </w:rPr>
            </w:pPr>
          </w:p>
          <w:p w14:paraId="23300AA0">
            <w:pPr>
              <w:spacing w:line="249" w:lineRule="auto"/>
              <w:rPr>
                <w:rFonts w:ascii="Arial"/>
                <w:sz w:val="21"/>
              </w:rPr>
            </w:pPr>
          </w:p>
          <w:p w14:paraId="40A0CF9D">
            <w:pPr>
              <w:spacing w:line="249" w:lineRule="auto"/>
              <w:rPr>
                <w:rFonts w:ascii="Arial"/>
                <w:sz w:val="21"/>
              </w:rPr>
            </w:pPr>
          </w:p>
          <w:p w14:paraId="46E37F68">
            <w:pPr>
              <w:spacing w:line="249" w:lineRule="auto"/>
              <w:rPr>
                <w:rFonts w:ascii="Arial"/>
                <w:sz w:val="21"/>
              </w:rPr>
            </w:pPr>
          </w:p>
          <w:p w14:paraId="458450E9">
            <w:pPr>
              <w:spacing w:line="249" w:lineRule="auto"/>
              <w:rPr>
                <w:rFonts w:ascii="Arial"/>
                <w:sz w:val="21"/>
              </w:rPr>
            </w:pPr>
          </w:p>
          <w:p w14:paraId="7379DE9B">
            <w:pPr>
              <w:spacing w:line="250" w:lineRule="auto"/>
              <w:rPr>
                <w:rFonts w:ascii="Arial"/>
                <w:sz w:val="21"/>
              </w:rPr>
            </w:pPr>
          </w:p>
          <w:p w14:paraId="089B931D">
            <w:pPr>
              <w:pStyle w:val="7"/>
              <w:spacing w:before="58"/>
              <w:ind w:left="1026"/>
            </w:pPr>
            <w:r>
              <w:t>5</w:t>
            </w:r>
          </w:p>
        </w:tc>
        <w:tc>
          <w:tcPr>
            <w:tcW w:w="2095" w:type="dxa"/>
            <w:vAlign w:val="top"/>
          </w:tcPr>
          <w:p w14:paraId="2FE4AC6E">
            <w:pPr>
              <w:pStyle w:val="7"/>
              <w:spacing w:before="67" w:line="239" w:lineRule="auto"/>
              <w:ind w:left="917"/>
            </w:pPr>
            <w:r>
              <w:rPr>
                <w:spacing w:val="-3"/>
              </w:rPr>
              <w:t>6.1</w:t>
            </w:r>
          </w:p>
        </w:tc>
      </w:tr>
      <w:tr w14:paraId="2D0396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684" w:type="dxa"/>
            <w:vAlign w:val="top"/>
          </w:tcPr>
          <w:p w14:paraId="00E6914B">
            <w:pPr>
              <w:pStyle w:val="7"/>
              <w:spacing w:before="67" w:line="241" w:lineRule="auto"/>
              <w:ind w:left="303"/>
            </w:pPr>
            <w:r>
              <w:t>2</w:t>
            </w:r>
          </w:p>
        </w:tc>
        <w:tc>
          <w:tcPr>
            <w:tcW w:w="985" w:type="dxa"/>
            <w:vMerge w:val="continue"/>
            <w:tcBorders>
              <w:top w:val="nil"/>
              <w:bottom w:val="nil"/>
            </w:tcBorders>
            <w:vAlign w:val="top"/>
          </w:tcPr>
          <w:p w14:paraId="7363A74A">
            <w:pPr>
              <w:rPr>
                <w:rFonts w:ascii="Arial"/>
                <w:sz w:val="21"/>
              </w:rPr>
            </w:pPr>
          </w:p>
        </w:tc>
        <w:tc>
          <w:tcPr>
            <w:tcW w:w="2021" w:type="dxa"/>
            <w:vAlign w:val="top"/>
          </w:tcPr>
          <w:p w14:paraId="1CA6A7DA">
            <w:pPr>
              <w:pStyle w:val="7"/>
              <w:spacing w:before="67" w:line="221" w:lineRule="auto"/>
              <w:ind w:left="654"/>
            </w:pPr>
            <w:r>
              <w:rPr>
                <w:spacing w:val="-2"/>
              </w:rPr>
              <w:t>铁（Fe）</w:t>
            </w:r>
          </w:p>
        </w:tc>
        <w:tc>
          <w:tcPr>
            <w:tcW w:w="1665" w:type="dxa"/>
            <w:vMerge w:val="continue"/>
            <w:tcBorders>
              <w:top w:val="nil"/>
              <w:bottom w:val="nil"/>
            </w:tcBorders>
            <w:vAlign w:val="top"/>
          </w:tcPr>
          <w:p w14:paraId="724CD5CC">
            <w:pPr>
              <w:rPr>
                <w:rFonts w:ascii="Arial"/>
                <w:sz w:val="21"/>
              </w:rPr>
            </w:pPr>
          </w:p>
        </w:tc>
        <w:tc>
          <w:tcPr>
            <w:tcW w:w="2125" w:type="dxa"/>
            <w:vMerge w:val="continue"/>
            <w:tcBorders>
              <w:top w:val="nil"/>
              <w:bottom w:val="nil"/>
            </w:tcBorders>
            <w:vAlign w:val="top"/>
          </w:tcPr>
          <w:p w14:paraId="1D831242">
            <w:pPr>
              <w:rPr>
                <w:rFonts w:ascii="Arial"/>
                <w:sz w:val="21"/>
              </w:rPr>
            </w:pPr>
          </w:p>
        </w:tc>
        <w:tc>
          <w:tcPr>
            <w:tcW w:w="2095" w:type="dxa"/>
            <w:vAlign w:val="top"/>
          </w:tcPr>
          <w:p w14:paraId="074E9E8B">
            <w:pPr>
              <w:pStyle w:val="7"/>
              <w:spacing w:before="67" w:line="239" w:lineRule="auto"/>
              <w:ind w:left="917"/>
            </w:pPr>
            <w:r>
              <w:rPr>
                <w:spacing w:val="-3"/>
              </w:rPr>
              <w:t>6.1</w:t>
            </w:r>
          </w:p>
        </w:tc>
      </w:tr>
      <w:tr w14:paraId="184A09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684" w:type="dxa"/>
            <w:vAlign w:val="top"/>
          </w:tcPr>
          <w:p w14:paraId="7328FE83">
            <w:pPr>
              <w:pStyle w:val="7"/>
              <w:spacing w:before="68"/>
              <w:ind w:left="304"/>
            </w:pPr>
            <w:r>
              <w:t>3</w:t>
            </w:r>
          </w:p>
        </w:tc>
        <w:tc>
          <w:tcPr>
            <w:tcW w:w="985" w:type="dxa"/>
            <w:vMerge w:val="continue"/>
            <w:tcBorders>
              <w:top w:val="nil"/>
              <w:bottom w:val="nil"/>
            </w:tcBorders>
            <w:vAlign w:val="top"/>
          </w:tcPr>
          <w:p w14:paraId="763D2B6D">
            <w:pPr>
              <w:rPr>
                <w:rFonts w:ascii="Arial"/>
                <w:sz w:val="21"/>
              </w:rPr>
            </w:pPr>
          </w:p>
        </w:tc>
        <w:tc>
          <w:tcPr>
            <w:tcW w:w="2021" w:type="dxa"/>
            <w:vAlign w:val="top"/>
          </w:tcPr>
          <w:p w14:paraId="03E35B2F">
            <w:pPr>
              <w:pStyle w:val="7"/>
              <w:spacing w:before="68" w:line="221" w:lineRule="auto"/>
              <w:ind w:left="655"/>
            </w:pPr>
            <w:r>
              <w:rPr>
                <w:spacing w:val="-2"/>
              </w:rPr>
              <w:t>铜（Cu）</w:t>
            </w:r>
          </w:p>
        </w:tc>
        <w:tc>
          <w:tcPr>
            <w:tcW w:w="1665" w:type="dxa"/>
            <w:vMerge w:val="continue"/>
            <w:tcBorders>
              <w:top w:val="nil"/>
              <w:bottom w:val="nil"/>
            </w:tcBorders>
            <w:vAlign w:val="top"/>
          </w:tcPr>
          <w:p w14:paraId="6D34DD7A">
            <w:pPr>
              <w:rPr>
                <w:rFonts w:ascii="Arial"/>
                <w:sz w:val="21"/>
              </w:rPr>
            </w:pPr>
          </w:p>
        </w:tc>
        <w:tc>
          <w:tcPr>
            <w:tcW w:w="2125" w:type="dxa"/>
            <w:vMerge w:val="continue"/>
            <w:tcBorders>
              <w:top w:val="nil"/>
              <w:bottom w:val="nil"/>
            </w:tcBorders>
            <w:vAlign w:val="top"/>
          </w:tcPr>
          <w:p w14:paraId="4651EC55">
            <w:pPr>
              <w:rPr>
                <w:rFonts w:ascii="Arial"/>
                <w:sz w:val="21"/>
              </w:rPr>
            </w:pPr>
          </w:p>
        </w:tc>
        <w:tc>
          <w:tcPr>
            <w:tcW w:w="2095" w:type="dxa"/>
            <w:vAlign w:val="top"/>
          </w:tcPr>
          <w:p w14:paraId="62B480A6">
            <w:pPr>
              <w:pStyle w:val="7"/>
              <w:spacing w:before="68" w:line="239" w:lineRule="auto"/>
              <w:ind w:left="917"/>
            </w:pPr>
            <w:r>
              <w:rPr>
                <w:spacing w:val="-3"/>
              </w:rPr>
              <w:t>6.1</w:t>
            </w:r>
          </w:p>
        </w:tc>
      </w:tr>
      <w:tr w14:paraId="30D3A6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84" w:type="dxa"/>
            <w:vAlign w:val="top"/>
          </w:tcPr>
          <w:p w14:paraId="77138A67">
            <w:pPr>
              <w:pStyle w:val="7"/>
              <w:spacing w:before="68" w:line="241" w:lineRule="auto"/>
              <w:ind w:left="300"/>
            </w:pPr>
            <w:r>
              <w:t>4</w:t>
            </w:r>
          </w:p>
        </w:tc>
        <w:tc>
          <w:tcPr>
            <w:tcW w:w="985" w:type="dxa"/>
            <w:vMerge w:val="continue"/>
            <w:tcBorders>
              <w:top w:val="nil"/>
              <w:bottom w:val="nil"/>
            </w:tcBorders>
            <w:vAlign w:val="top"/>
          </w:tcPr>
          <w:p w14:paraId="25B57C2E">
            <w:pPr>
              <w:rPr>
                <w:rFonts w:ascii="Arial"/>
                <w:sz w:val="21"/>
              </w:rPr>
            </w:pPr>
          </w:p>
        </w:tc>
        <w:tc>
          <w:tcPr>
            <w:tcW w:w="2021" w:type="dxa"/>
            <w:vAlign w:val="top"/>
          </w:tcPr>
          <w:p w14:paraId="6F853CFD">
            <w:pPr>
              <w:pStyle w:val="7"/>
              <w:spacing w:before="68" w:line="224" w:lineRule="auto"/>
              <w:ind w:left="655"/>
            </w:pPr>
            <w:r>
              <w:rPr>
                <w:spacing w:val="-2"/>
              </w:rPr>
              <w:t>铅（Pb）</w:t>
            </w:r>
          </w:p>
        </w:tc>
        <w:tc>
          <w:tcPr>
            <w:tcW w:w="1665" w:type="dxa"/>
            <w:vMerge w:val="continue"/>
            <w:tcBorders>
              <w:top w:val="nil"/>
              <w:bottom w:val="nil"/>
            </w:tcBorders>
            <w:vAlign w:val="top"/>
          </w:tcPr>
          <w:p w14:paraId="674F0DA5">
            <w:pPr>
              <w:rPr>
                <w:rFonts w:ascii="Arial"/>
                <w:sz w:val="21"/>
              </w:rPr>
            </w:pPr>
          </w:p>
        </w:tc>
        <w:tc>
          <w:tcPr>
            <w:tcW w:w="2125" w:type="dxa"/>
            <w:vMerge w:val="continue"/>
            <w:tcBorders>
              <w:top w:val="nil"/>
              <w:bottom w:val="nil"/>
            </w:tcBorders>
            <w:vAlign w:val="top"/>
          </w:tcPr>
          <w:p w14:paraId="06973383">
            <w:pPr>
              <w:rPr>
                <w:rFonts w:ascii="Arial"/>
                <w:sz w:val="21"/>
              </w:rPr>
            </w:pPr>
          </w:p>
        </w:tc>
        <w:tc>
          <w:tcPr>
            <w:tcW w:w="2095" w:type="dxa"/>
            <w:vAlign w:val="top"/>
          </w:tcPr>
          <w:p w14:paraId="75E19F61">
            <w:pPr>
              <w:pStyle w:val="7"/>
              <w:spacing w:before="68" w:line="239" w:lineRule="auto"/>
              <w:ind w:left="917"/>
            </w:pPr>
            <w:r>
              <w:rPr>
                <w:spacing w:val="-3"/>
              </w:rPr>
              <w:t>6.1</w:t>
            </w:r>
          </w:p>
        </w:tc>
      </w:tr>
      <w:tr w14:paraId="35408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684" w:type="dxa"/>
            <w:vAlign w:val="top"/>
          </w:tcPr>
          <w:p w14:paraId="741B8B8A">
            <w:pPr>
              <w:pStyle w:val="7"/>
              <w:spacing w:before="67"/>
              <w:ind w:left="304"/>
            </w:pPr>
            <w:r>
              <w:t>5</w:t>
            </w:r>
          </w:p>
        </w:tc>
        <w:tc>
          <w:tcPr>
            <w:tcW w:w="985" w:type="dxa"/>
            <w:vMerge w:val="continue"/>
            <w:tcBorders>
              <w:top w:val="nil"/>
            </w:tcBorders>
            <w:vAlign w:val="top"/>
          </w:tcPr>
          <w:p w14:paraId="2F321123">
            <w:pPr>
              <w:rPr>
                <w:rFonts w:ascii="Arial"/>
                <w:sz w:val="21"/>
              </w:rPr>
            </w:pPr>
          </w:p>
        </w:tc>
        <w:tc>
          <w:tcPr>
            <w:tcW w:w="2021" w:type="dxa"/>
            <w:vAlign w:val="top"/>
          </w:tcPr>
          <w:p w14:paraId="72AC18B0">
            <w:pPr>
              <w:pStyle w:val="7"/>
              <w:spacing w:before="68" w:line="227" w:lineRule="auto"/>
              <w:ind w:left="654"/>
            </w:pPr>
            <w:r>
              <w:rPr>
                <w:spacing w:val="-2"/>
              </w:rPr>
              <w:t>铋（Bi）</w:t>
            </w:r>
          </w:p>
        </w:tc>
        <w:tc>
          <w:tcPr>
            <w:tcW w:w="1665" w:type="dxa"/>
            <w:vMerge w:val="continue"/>
            <w:tcBorders>
              <w:top w:val="nil"/>
              <w:bottom w:val="nil"/>
            </w:tcBorders>
            <w:vAlign w:val="top"/>
          </w:tcPr>
          <w:p w14:paraId="21AA9F1D">
            <w:pPr>
              <w:rPr>
                <w:rFonts w:ascii="Arial"/>
                <w:sz w:val="21"/>
              </w:rPr>
            </w:pPr>
          </w:p>
        </w:tc>
        <w:tc>
          <w:tcPr>
            <w:tcW w:w="2125" w:type="dxa"/>
            <w:vMerge w:val="continue"/>
            <w:tcBorders>
              <w:top w:val="nil"/>
              <w:bottom w:val="nil"/>
            </w:tcBorders>
            <w:vAlign w:val="top"/>
          </w:tcPr>
          <w:p w14:paraId="7B851194">
            <w:pPr>
              <w:rPr>
                <w:rFonts w:ascii="Arial"/>
                <w:sz w:val="21"/>
              </w:rPr>
            </w:pPr>
          </w:p>
        </w:tc>
        <w:tc>
          <w:tcPr>
            <w:tcW w:w="2095" w:type="dxa"/>
            <w:vAlign w:val="top"/>
          </w:tcPr>
          <w:p w14:paraId="6C67F3B2">
            <w:pPr>
              <w:pStyle w:val="7"/>
              <w:spacing w:before="67" w:line="239" w:lineRule="auto"/>
              <w:ind w:left="917"/>
            </w:pPr>
            <w:r>
              <w:rPr>
                <w:spacing w:val="-3"/>
              </w:rPr>
              <w:t>6.1</w:t>
            </w:r>
          </w:p>
        </w:tc>
      </w:tr>
      <w:tr w14:paraId="0133C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684" w:type="dxa"/>
            <w:vAlign w:val="top"/>
          </w:tcPr>
          <w:p w14:paraId="30D0DB21">
            <w:pPr>
              <w:pStyle w:val="7"/>
              <w:spacing w:before="68"/>
              <w:ind w:left="302"/>
            </w:pPr>
            <w:r>
              <w:t>6</w:t>
            </w:r>
          </w:p>
        </w:tc>
        <w:tc>
          <w:tcPr>
            <w:tcW w:w="985" w:type="dxa"/>
            <w:vMerge w:val="restart"/>
            <w:tcBorders>
              <w:bottom w:val="nil"/>
            </w:tcBorders>
            <w:vAlign w:val="top"/>
          </w:tcPr>
          <w:p w14:paraId="092B5D1B">
            <w:pPr>
              <w:spacing w:line="259" w:lineRule="auto"/>
              <w:rPr>
                <w:rFonts w:ascii="Arial"/>
                <w:sz w:val="21"/>
              </w:rPr>
            </w:pPr>
          </w:p>
          <w:p w14:paraId="3A34E815">
            <w:pPr>
              <w:spacing w:line="259" w:lineRule="auto"/>
              <w:rPr>
                <w:rFonts w:ascii="Arial"/>
                <w:sz w:val="21"/>
              </w:rPr>
            </w:pPr>
          </w:p>
          <w:p w14:paraId="02E80EDF">
            <w:pPr>
              <w:pStyle w:val="7"/>
              <w:spacing w:before="58" w:line="220" w:lineRule="auto"/>
              <w:ind w:left="137"/>
            </w:pPr>
            <w:r>
              <w:rPr>
                <w:spacing w:val="-3"/>
              </w:rPr>
              <w:t>溶解试验</w:t>
            </w:r>
          </w:p>
        </w:tc>
        <w:tc>
          <w:tcPr>
            <w:tcW w:w="2021" w:type="dxa"/>
            <w:vAlign w:val="top"/>
          </w:tcPr>
          <w:p w14:paraId="04434619">
            <w:pPr>
              <w:pStyle w:val="7"/>
              <w:spacing w:before="68" w:line="232" w:lineRule="auto"/>
              <w:ind w:left="183"/>
            </w:pPr>
            <w:r>
              <w:rPr>
                <w:spacing w:val="-1"/>
              </w:rPr>
              <w:t>硝酸盐（(以</w:t>
            </w:r>
            <w:r>
              <w:rPr>
                <w:spacing w:val="-35"/>
              </w:rPr>
              <w:t xml:space="preserve"> </w:t>
            </w:r>
            <w:r>
              <w:rPr>
                <w:spacing w:val="-1"/>
              </w:rPr>
              <w:t>NO</w:t>
            </w:r>
            <w:r>
              <w:rPr>
                <w:spacing w:val="-1"/>
                <w:position w:val="-2"/>
                <w:sz w:val="8"/>
                <w:szCs w:val="8"/>
              </w:rPr>
              <w:t>3</w:t>
            </w:r>
            <w:r>
              <w:rPr>
                <w:spacing w:val="-1"/>
                <w:position w:val="9"/>
                <w:sz w:val="8"/>
                <w:szCs w:val="8"/>
              </w:rPr>
              <w:t>-</w:t>
            </w:r>
            <w:r>
              <w:rPr>
                <w:spacing w:val="-1"/>
              </w:rPr>
              <w:t>计）</w:t>
            </w:r>
          </w:p>
        </w:tc>
        <w:tc>
          <w:tcPr>
            <w:tcW w:w="1665" w:type="dxa"/>
            <w:vMerge w:val="continue"/>
            <w:tcBorders>
              <w:top w:val="nil"/>
              <w:bottom w:val="nil"/>
            </w:tcBorders>
            <w:vAlign w:val="top"/>
          </w:tcPr>
          <w:p w14:paraId="342FD308">
            <w:pPr>
              <w:rPr>
                <w:rFonts w:ascii="Arial"/>
                <w:sz w:val="21"/>
              </w:rPr>
            </w:pPr>
          </w:p>
        </w:tc>
        <w:tc>
          <w:tcPr>
            <w:tcW w:w="2125" w:type="dxa"/>
            <w:vMerge w:val="continue"/>
            <w:tcBorders>
              <w:top w:val="nil"/>
              <w:bottom w:val="nil"/>
            </w:tcBorders>
            <w:vAlign w:val="top"/>
          </w:tcPr>
          <w:p w14:paraId="1BE94CA2">
            <w:pPr>
              <w:rPr>
                <w:rFonts w:ascii="Arial"/>
                <w:sz w:val="21"/>
              </w:rPr>
            </w:pPr>
          </w:p>
        </w:tc>
        <w:tc>
          <w:tcPr>
            <w:tcW w:w="2095" w:type="dxa"/>
            <w:vAlign w:val="top"/>
          </w:tcPr>
          <w:p w14:paraId="25434C57">
            <w:pPr>
              <w:pStyle w:val="7"/>
              <w:spacing w:before="68" w:line="239" w:lineRule="auto"/>
              <w:ind w:left="917"/>
            </w:pPr>
            <w:r>
              <w:rPr>
                <w:spacing w:val="-3"/>
              </w:rPr>
              <w:t>6.2</w:t>
            </w:r>
          </w:p>
        </w:tc>
      </w:tr>
      <w:tr w14:paraId="1A360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684" w:type="dxa"/>
            <w:vAlign w:val="top"/>
          </w:tcPr>
          <w:p w14:paraId="11507B6E">
            <w:pPr>
              <w:pStyle w:val="7"/>
              <w:spacing w:before="67"/>
              <w:ind w:left="305"/>
            </w:pPr>
            <w:r>
              <w:t>7</w:t>
            </w:r>
          </w:p>
        </w:tc>
        <w:tc>
          <w:tcPr>
            <w:tcW w:w="985" w:type="dxa"/>
            <w:vMerge w:val="continue"/>
            <w:tcBorders>
              <w:top w:val="nil"/>
              <w:bottom w:val="nil"/>
            </w:tcBorders>
            <w:vAlign w:val="top"/>
          </w:tcPr>
          <w:p w14:paraId="3D9B98D2">
            <w:pPr>
              <w:rPr>
                <w:rFonts w:ascii="Arial"/>
                <w:sz w:val="21"/>
              </w:rPr>
            </w:pPr>
          </w:p>
        </w:tc>
        <w:tc>
          <w:tcPr>
            <w:tcW w:w="2021" w:type="dxa"/>
            <w:vAlign w:val="top"/>
          </w:tcPr>
          <w:p w14:paraId="551C89CB">
            <w:pPr>
              <w:pStyle w:val="7"/>
              <w:spacing w:before="67" w:line="221" w:lineRule="auto"/>
              <w:ind w:left="565"/>
            </w:pPr>
            <w:r>
              <w:rPr>
                <w:spacing w:val="-2"/>
              </w:rPr>
              <w:t>硝酸不溶物</w:t>
            </w:r>
          </w:p>
        </w:tc>
        <w:tc>
          <w:tcPr>
            <w:tcW w:w="1665" w:type="dxa"/>
            <w:vMerge w:val="continue"/>
            <w:tcBorders>
              <w:top w:val="nil"/>
              <w:bottom w:val="nil"/>
            </w:tcBorders>
            <w:vAlign w:val="top"/>
          </w:tcPr>
          <w:p w14:paraId="76CEDCA0">
            <w:pPr>
              <w:rPr>
                <w:rFonts w:ascii="Arial"/>
                <w:sz w:val="21"/>
              </w:rPr>
            </w:pPr>
          </w:p>
        </w:tc>
        <w:tc>
          <w:tcPr>
            <w:tcW w:w="2125" w:type="dxa"/>
            <w:vMerge w:val="continue"/>
            <w:tcBorders>
              <w:top w:val="nil"/>
              <w:bottom w:val="nil"/>
            </w:tcBorders>
            <w:vAlign w:val="top"/>
          </w:tcPr>
          <w:p w14:paraId="6D624CAF">
            <w:pPr>
              <w:rPr>
                <w:rFonts w:ascii="Arial"/>
                <w:sz w:val="21"/>
              </w:rPr>
            </w:pPr>
          </w:p>
        </w:tc>
        <w:tc>
          <w:tcPr>
            <w:tcW w:w="2095" w:type="dxa"/>
            <w:vAlign w:val="top"/>
          </w:tcPr>
          <w:p w14:paraId="2BA7DA84">
            <w:pPr>
              <w:pStyle w:val="7"/>
              <w:spacing w:before="67" w:line="239" w:lineRule="auto"/>
              <w:ind w:left="917"/>
            </w:pPr>
            <w:r>
              <w:rPr>
                <w:spacing w:val="-3"/>
              </w:rPr>
              <w:t>6.2</w:t>
            </w:r>
          </w:p>
        </w:tc>
      </w:tr>
      <w:tr w14:paraId="71ABB3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684" w:type="dxa"/>
            <w:vAlign w:val="top"/>
          </w:tcPr>
          <w:p w14:paraId="2D10BECE">
            <w:pPr>
              <w:pStyle w:val="7"/>
              <w:spacing w:before="69"/>
              <w:ind w:left="301"/>
            </w:pPr>
            <w:r>
              <w:t>8</w:t>
            </w:r>
          </w:p>
        </w:tc>
        <w:tc>
          <w:tcPr>
            <w:tcW w:w="985" w:type="dxa"/>
            <w:vMerge w:val="continue"/>
            <w:tcBorders>
              <w:top w:val="nil"/>
              <w:bottom w:val="nil"/>
            </w:tcBorders>
            <w:vAlign w:val="top"/>
          </w:tcPr>
          <w:p w14:paraId="4B40406E">
            <w:pPr>
              <w:rPr>
                <w:rFonts w:ascii="Arial"/>
                <w:sz w:val="21"/>
              </w:rPr>
            </w:pPr>
          </w:p>
        </w:tc>
        <w:tc>
          <w:tcPr>
            <w:tcW w:w="2021" w:type="dxa"/>
            <w:vAlign w:val="top"/>
          </w:tcPr>
          <w:p w14:paraId="70341A17">
            <w:pPr>
              <w:pStyle w:val="7"/>
              <w:spacing w:before="70" w:line="220" w:lineRule="auto"/>
              <w:ind w:left="476"/>
            </w:pPr>
            <w:r>
              <w:rPr>
                <w:spacing w:val="-2"/>
              </w:rPr>
              <w:t>盐酸不沉淀物</w:t>
            </w:r>
          </w:p>
        </w:tc>
        <w:tc>
          <w:tcPr>
            <w:tcW w:w="1665" w:type="dxa"/>
            <w:vMerge w:val="continue"/>
            <w:tcBorders>
              <w:top w:val="nil"/>
              <w:bottom w:val="nil"/>
            </w:tcBorders>
            <w:vAlign w:val="top"/>
          </w:tcPr>
          <w:p w14:paraId="3F6C45B1">
            <w:pPr>
              <w:rPr>
                <w:rFonts w:ascii="Arial"/>
                <w:sz w:val="21"/>
              </w:rPr>
            </w:pPr>
          </w:p>
        </w:tc>
        <w:tc>
          <w:tcPr>
            <w:tcW w:w="2125" w:type="dxa"/>
            <w:vMerge w:val="continue"/>
            <w:tcBorders>
              <w:top w:val="nil"/>
              <w:bottom w:val="nil"/>
            </w:tcBorders>
            <w:vAlign w:val="top"/>
          </w:tcPr>
          <w:p w14:paraId="3C4418B6">
            <w:pPr>
              <w:rPr>
                <w:rFonts w:ascii="Arial"/>
                <w:sz w:val="21"/>
              </w:rPr>
            </w:pPr>
          </w:p>
        </w:tc>
        <w:tc>
          <w:tcPr>
            <w:tcW w:w="2095" w:type="dxa"/>
            <w:vAlign w:val="top"/>
          </w:tcPr>
          <w:p w14:paraId="34FA6C08">
            <w:pPr>
              <w:pStyle w:val="7"/>
              <w:spacing w:before="70" w:line="239" w:lineRule="auto"/>
              <w:ind w:left="917"/>
            </w:pPr>
            <w:r>
              <w:rPr>
                <w:spacing w:val="-3"/>
              </w:rPr>
              <w:t>6.2</w:t>
            </w:r>
          </w:p>
        </w:tc>
      </w:tr>
      <w:tr w14:paraId="7DA63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684" w:type="dxa"/>
            <w:vAlign w:val="top"/>
          </w:tcPr>
          <w:p w14:paraId="2699E7D9">
            <w:pPr>
              <w:pStyle w:val="7"/>
              <w:spacing w:before="68"/>
              <w:ind w:left="301"/>
            </w:pPr>
            <w:r>
              <w:t>9</w:t>
            </w:r>
          </w:p>
        </w:tc>
        <w:tc>
          <w:tcPr>
            <w:tcW w:w="985" w:type="dxa"/>
            <w:vMerge w:val="continue"/>
            <w:tcBorders>
              <w:top w:val="nil"/>
            </w:tcBorders>
            <w:vAlign w:val="top"/>
          </w:tcPr>
          <w:p w14:paraId="598D5D18">
            <w:pPr>
              <w:rPr>
                <w:rFonts w:ascii="Arial"/>
                <w:sz w:val="21"/>
              </w:rPr>
            </w:pPr>
          </w:p>
        </w:tc>
        <w:tc>
          <w:tcPr>
            <w:tcW w:w="2021" w:type="dxa"/>
            <w:vAlign w:val="top"/>
          </w:tcPr>
          <w:p w14:paraId="2803A6B4">
            <w:pPr>
              <w:pStyle w:val="7"/>
              <w:spacing w:before="69" w:line="220" w:lineRule="auto"/>
              <w:ind w:left="743"/>
            </w:pPr>
            <w:r>
              <w:rPr>
                <w:spacing w:val="-3"/>
              </w:rPr>
              <w:t>澄清度</w:t>
            </w:r>
          </w:p>
        </w:tc>
        <w:tc>
          <w:tcPr>
            <w:tcW w:w="1665" w:type="dxa"/>
            <w:vMerge w:val="continue"/>
            <w:tcBorders>
              <w:top w:val="nil"/>
            </w:tcBorders>
            <w:vAlign w:val="top"/>
          </w:tcPr>
          <w:p w14:paraId="68313A6A">
            <w:pPr>
              <w:rPr>
                <w:rFonts w:ascii="Arial"/>
                <w:sz w:val="21"/>
              </w:rPr>
            </w:pPr>
          </w:p>
        </w:tc>
        <w:tc>
          <w:tcPr>
            <w:tcW w:w="2125" w:type="dxa"/>
            <w:vMerge w:val="continue"/>
            <w:tcBorders>
              <w:top w:val="nil"/>
              <w:bottom w:val="nil"/>
            </w:tcBorders>
            <w:vAlign w:val="top"/>
          </w:tcPr>
          <w:p w14:paraId="6C4747CF">
            <w:pPr>
              <w:rPr>
                <w:rFonts w:ascii="Arial"/>
                <w:sz w:val="21"/>
              </w:rPr>
            </w:pPr>
          </w:p>
        </w:tc>
        <w:tc>
          <w:tcPr>
            <w:tcW w:w="2095" w:type="dxa"/>
            <w:vAlign w:val="top"/>
          </w:tcPr>
          <w:p w14:paraId="65B1101E">
            <w:pPr>
              <w:pStyle w:val="7"/>
              <w:spacing w:before="68" w:line="239" w:lineRule="auto"/>
              <w:ind w:left="917"/>
            </w:pPr>
            <w:r>
              <w:rPr>
                <w:spacing w:val="-3"/>
              </w:rPr>
              <w:t>6.2</w:t>
            </w:r>
          </w:p>
        </w:tc>
      </w:tr>
      <w:tr w14:paraId="7E4EDA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684" w:type="dxa"/>
            <w:vAlign w:val="top"/>
          </w:tcPr>
          <w:p w14:paraId="5C743BF1">
            <w:pPr>
              <w:pStyle w:val="7"/>
              <w:spacing w:before="69"/>
              <w:ind w:left="271"/>
            </w:pPr>
            <w:r>
              <w:rPr>
                <w:spacing w:val="-10"/>
              </w:rPr>
              <w:t>10</w:t>
            </w:r>
          </w:p>
        </w:tc>
        <w:tc>
          <w:tcPr>
            <w:tcW w:w="3006" w:type="dxa"/>
            <w:gridSpan w:val="2"/>
            <w:vAlign w:val="top"/>
          </w:tcPr>
          <w:p w14:paraId="74DD0621">
            <w:pPr>
              <w:pStyle w:val="7"/>
              <w:spacing w:before="70" w:line="220" w:lineRule="auto"/>
              <w:ind w:left="1149"/>
            </w:pPr>
            <w:r>
              <w:rPr>
                <w:spacing w:val="-3"/>
              </w:rPr>
              <w:t>外观质量</w:t>
            </w:r>
          </w:p>
        </w:tc>
        <w:tc>
          <w:tcPr>
            <w:tcW w:w="1665" w:type="dxa"/>
            <w:vAlign w:val="top"/>
          </w:tcPr>
          <w:p w14:paraId="388E94B9">
            <w:pPr>
              <w:pStyle w:val="7"/>
              <w:spacing w:before="70" w:line="221" w:lineRule="auto"/>
              <w:ind w:left="542"/>
            </w:pPr>
            <w:r>
              <w:rPr>
                <w:spacing w:val="-2"/>
              </w:rPr>
              <w:t>逐袋</w:t>
            </w:r>
            <w:r>
              <w:rPr>
                <w:rFonts w:ascii="Times New Roman" w:hAnsi="Times New Roman" w:eastAsia="Times New Roman" w:cs="Times New Roman"/>
                <w:spacing w:val="-2"/>
              </w:rPr>
              <w:t>/</w:t>
            </w:r>
            <w:r>
              <w:rPr>
                <w:spacing w:val="-2"/>
              </w:rPr>
              <w:t>瓶</w:t>
            </w:r>
          </w:p>
        </w:tc>
        <w:tc>
          <w:tcPr>
            <w:tcW w:w="2125" w:type="dxa"/>
            <w:vMerge w:val="continue"/>
            <w:tcBorders>
              <w:top w:val="nil"/>
            </w:tcBorders>
            <w:vAlign w:val="top"/>
          </w:tcPr>
          <w:p w14:paraId="63377305">
            <w:pPr>
              <w:rPr>
                <w:rFonts w:ascii="Arial"/>
                <w:sz w:val="21"/>
              </w:rPr>
            </w:pPr>
          </w:p>
        </w:tc>
        <w:tc>
          <w:tcPr>
            <w:tcW w:w="2095" w:type="dxa"/>
            <w:vAlign w:val="top"/>
          </w:tcPr>
          <w:p w14:paraId="355273A6">
            <w:pPr>
              <w:pStyle w:val="7"/>
              <w:spacing w:before="70" w:line="239" w:lineRule="auto"/>
              <w:ind w:left="917"/>
            </w:pPr>
            <w:r>
              <w:rPr>
                <w:spacing w:val="-3"/>
              </w:rPr>
              <w:t>6.3</w:t>
            </w:r>
          </w:p>
        </w:tc>
      </w:tr>
    </w:tbl>
    <w:p w14:paraId="17A244F2">
      <w:pPr>
        <w:spacing w:line="302" w:lineRule="auto"/>
        <w:rPr>
          <w:rFonts w:ascii="Arial"/>
          <w:sz w:val="21"/>
        </w:rPr>
      </w:pPr>
    </w:p>
    <w:p w14:paraId="444BB325">
      <w:pPr>
        <w:spacing w:line="303" w:lineRule="auto"/>
        <w:rPr>
          <w:rFonts w:ascii="Arial"/>
          <w:sz w:val="21"/>
        </w:rPr>
      </w:pPr>
    </w:p>
    <w:p w14:paraId="6E7B3297">
      <w:pPr>
        <w:pStyle w:val="2"/>
        <w:spacing w:before="65" w:line="230" w:lineRule="auto"/>
        <w:ind w:left="120"/>
        <w:outlineLvl w:val="2"/>
        <w:rPr>
          <w:sz w:val="20"/>
          <w:szCs w:val="20"/>
        </w:rPr>
      </w:pPr>
      <w:r>
        <w:rPr>
          <w:spacing w:val="7"/>
          <w:sz w:val="20"/>
          <w:szCs w:val="20"/>
        </w:rPr>
        <w:t>7.4  检验结果的判定</w:t>
      </w:r>
    </w:p>
    <w:p w14:paraId="14EF1FFB">
      <w:pPr>
        <w:pStyle w:val="2"/>
        <w:spacing w:before="63" w:line="230" w:lineRule="auto"/>
        <w:ind w:left="120"/>
        <w:outlineLvl w:val="3"/>
        <w:rPr>
          <w:rFonts w:ascii="宋体" w:hAnsi="宋体" w:eastAsia="宋体" w:cs="宋体"/>
          <w:sz w:val="20"/>
          <w:szCs w:val="20"/>
        </w:rPr>
      </w:pPr>
      <w:r>
        <w:rPr>
          <w:spacing w:val="7"/>
          <w:sz w:val="20"/>
          <w:szCs w:val="20"/>
        </w:rPr>
        <w:t xml:space="preserve">7.4.1  </w:t>
      </w:r>
      <w:r>
        <w:rPr>
          <w:rFonts w:ascii="宋体" w:hAnsi="宋体" w:eastAsia="宋体" w:cs="宋体"/>
          <w:spacing w:val="7"/>
          <w:sz w:val="20"/>
          <w:szCs w:val="20"/>
        </w:rPr>
        <w:t>产品的化学成分、溶解试验中有任意一项检验结果不符合本文件规定时，从该批</w:t>
      </w:r>
      <w:r>
        <w:rPr>
          <w:rFonts w:ascii="宋体" w:hAnsi="宋体" w:eastAsia="宋体" w:cs="宋体"/>
          <w:spacing w:val="6"/>
          <w:sz w:val="20"/>
          <w:szCs w:val="20"/>
        </w:rPr>
        <w:t>产品中取双倍</w:t>
      </w:r>
    </w:p>
    <w:p w14:paraId="5C3093F6">
      <w:pPr>
        <w:spacing w:before="63" w:line="227" w:lineRule="auto"/>
        <w:ind w:left="119"/>
        <w:rPr>
          <w:rFonts w:ascii="宋体" w:hAnsi="宋体" w:eastAsia="宋体" w:cs="宋体"/>
          <w:sz w:val="20"/>
          <w:szCs w:val="20"/>
        </w:rPr>
      </w:pPr>
      <w:r>
        <w:rPr>
          <w:rFonts w:ascii="宋体" w:hAnsi="宋体" w:eastAsia="宋体" w:cs="宋体"/>
          <w:spacing w:val="9"/>
          <w:sz w:val="20"/>
          <w:szCs w:val="20"/>
        </w:rPr>
        <w:t>样对不合格项目进行重复试验，若仍不符合本文件规定，则判该批产品不合格。</w:t>
      </w:r>
    </w:p>
    <w:p w14:paraId="396852B8">
      <w:pPr>
        <w:pStyle w:val="2"/>
        <w:spacing w:before="66" w:line="231" w:lineRule="auto"/>
        <w:ind w:left="120"/>
        <w:rPr>
          <w:rFonts w:ascii="宋体" w:hAnsi="宋体" w:eastAsia="宋体" w:cs="宋体"/>
          <w:sz w:val="20"/>
          <w:szCs w:val="20"/>
        </w:rPr>
      </w:pPr>
      <w:r>
        <w:rPr>
          <w:spacing w:val="8"/>
          <w:sz w:val="20"/>
          <w:szCs w:val="20"/>
        </w:rPr>
        <w:t xml:space="preserve">7.4.2  </w:t>
      </w:r>
      <w:r>
        <w:rPr>
          <w:rFonts w:ascii="宋体" w:hAnsi="宋体" w:eastAsia="宋体" w:cs="宋体"/>
          <w:spacing w:val="8"/>
          <w:sz w:val="20"/>
          <w:szCs w:val="20"/>
        </w:rPr>
        <w:t>产品的外观质量检验不合格时，判该瓶</w:t>
      </w:r>
      <w:r>
        <w:rPr>
          <w:rFonts w:ascii="Times New Roman" w:hAnsi="Times New Roman" w:eastAsia="Times New Roman" w:cs="Times New Roman"/>
          <w:spacing w:val="8"/>
          <w:sz w:val="20"/>
          <w:szCs w:val="20"/>
        </w:rPr>
        <w:t>/</w:t>
      </w:r>
      <w:r>
        <w:rPr>
          <w:rFonts w:ascii="宋体" w:hAnsi="宋体" w:eastAsia="宋体" w:cs="宋体"/>
          <w:spacing w:val="8"/>
          <w:sz w:val="20"/>
          <w:szCs w:val="20"/>
        </w:rPr>
        <w:t>袋产品不合格。</w:t>
      </w:r>
    </w:p>
    <w:p w14:paraId="3D9B8A0E">
      <w:pPr>
        <w:spacing w:line="307" w:lineRule="auto"/>
        <w:rPr>
          <w:rFonts w:ascii="Arial"/>
          <w:sz w:val="21"/>
        </w:rPr>
      </w:pPr>
    </w:p>
    <w:p w14:paraId="656CB4FD">
      <w:pPr>
        <w:pStyle w:val="2"/>
        <w:spacing w:before="65" w:line="229" w:lineRule="auto"/>
        <w:ind w:left="117"/>
        <w:outlineLvl w:val="1"/>
        <w:rPr>
          <w:sz w:val="20"/>
          <w:szCs w:val="20"/>
        </w:rPr>
      </w:pPr>
      <w:r>
        <w:rPr>
          <w:spacing w:val="8"/>
          <w:sz w:val="20"/>
          <w:szCs w:val="20"/>
        </w:rPr>
        <w:t>8  标志、包装、运输、贮存及随行文件</w:t>
      </w:r>
    </w:p>
    <w:p w14:paraId="2850346B">
      <w:pPr>
        <w:spacing w:line="308" w:lineRule="auto"/>
        <w:rPr>
          <w:rFonts w:ascii="Arial"/>
          <w:sz w:val="21"/>
        </w:rPr>
      </w:pPr>
    </w:p>
    <w:p w14:paraId="7106FBC7">
      <w:pPr>
        <w:pStyle w:val="2"/>
        <w:spacing w:before="66" w:line="233" w:lineRule="auto"/>
        <w:ind w:left="117"/>
        <w:outlineLvl w:val="2"/>
        <w:rPr>
          <w:sz w:val="20"/>
          <w:szCs w:val="20"/>
        </w:rPr>
      </w:pPr>
      <w:r>
        <w:rPr>
          <w:spacing w:val="5"/>
          <w:sz w:val="20"/>
          <w:szCs w:val="20"/>
        </w:rPr>
        <w:t>8.1  标志</w:t>
      </w:r>
    </w:p>
    <w:p w14:paraId="636BDBB4">
      <w:pPr>
        <w:spacing w:before="59" w:line="228" w:lineRule="auto"/>
        <w:ind w:left="551"/>
        <w:outlineLvl w:val="3"/>
        <w:rPr>
          <w:rFonts w:ascii="宋体" w:hAnsi="宋体" w:eastAsia="宋体" w:cs="宋体"/>
          <w:sz w:val="20"/>
          <w:szCs w:val="20"/>
        </w:rPr>
      </w:pPr>
      <w:r>
        <w:rPr>
          <w:rFonts w:ascii="宋体" w:hAnsi="宋体" w:eastAsia="宋体" w:cs="宋体"/>
          <w:spacing w:val="11"/>
          <w:sz w:val="20"/>
          <w:szCs w:val="20"/>
        </w:rPr>
        <w:t>产品应包装成瓶</w:t>
      </w:r>
      <w:r>
        <w:rPr>
          <w:rFonts w:ascii="Times New Roman" w:hAnsi="Times New Roman" w:eastAsia="Times New Roman" w:cs="Times New Roman"/>
          <w:spacing w:val="11"/>
          <w:sz w:val="20"/>
          <w:szCs w:val="20"/>
        </w:rPr>
        <w:t>/</w:t>
      </w:r>
      <w:r>
        <w:rPr>
          <w:rFonts w:ascii="宋体" w:hAnsi="宋体" w:eastAsia="宋体" w:cs="宋体"/>
          <w:spacing w:val="11"/>
          <w:sz w:val="20"/>
          <w:szCs w:val="20"/>
        </w:rPr>
        <w:t>箱</w:t>
      </w:r>
      <w:r>
        <w:rPr>
          <w:rFonts w:ascii="Times New Roman" w:hAnsi="Times New Roman" w:eastAsia="Times New Roman" w:cs="Times New Roman"/>
          <w:spacing w:val="11"/>
          <w:sz w:val="20"/>
          <w:szCs w:val="20"/>
        </w:rPr>
        <w:t>/</w:t>
      </w:r>
      <w:r>
        <w:rPr>
          <w:rFonts w:ascii="宋体" w:hAnsi="宋体" w:eastAsia="宋体" w:cs="宋体"/>
          <w:spacing w:val="11"/>
          <w:sz w:val="20"/>
          <w:szCs w:val="20"/>
        </w:rPr>
        <w:t>桶，每瓶</w:t>
      </w:r>
      <w:r>
        <w:rPr>
          <w:rFonts w:ascii="Times New Roman" w:hAnsi="Times New Roman" w:eastAsia="Times New Roman" w:cs="Times New Roman"/>
          <w:spacing w:val="11"/>
          <w:sz w:val="20"/>
          <w:szCs w:val="20"/>
        </w:rPr>
        <w:t>/</w:t>
      </w:r>
      <w:r>
        <w:rPr>
          <w:rFonts w:ascii="宋体" w:hAnsi="宋体" w:eastAsia="宋体" w:cs="宋体"/>
          <w:spacing w:val="11"/>
          <w:sz w:val="20"/>
          <w:szCs w:val="20"/>
        </w:rPr>
        <w:t>箱</w:t>
      </w:r>
      <w:r>
        <w:rPr>
          <w:rFonts w:ascii="Times New Roman" w:hAnsi="Times New Roman" w:eastAsia="Times New Roman" w:cs="Times New Roman"/>
          <w:spacing w:val="11"/>
          <w:sz w:val="20"/>
          <w:szCs w:val="20"/>
        </w:rPr>
        <w:t>/</w:t>
      </w:r>
      <w:r>
        <w:rPr>
          <w:rFonts w:ascii="宋体" w:hAnsi="宋体" w:eastAsia="宋体" w:cs="宋体"/>
          <w:spacing w:val="11"/>
          <w:sz w:val="20"/>
          <w:szCs w:val="20"/>
        </w:rPr>
        <w:t>桶应</w:t>
      </w:r>
      <w:r>
        <w:rPr>
          <w:rFonts w:ascii="宋体" w:hAnsi="宋体" w:eastAsia="宋体" w:cs="宋体"/>
          <w:spacing w:val="10"/>
          <w:sz w:val="20"/>
          <w:szCs w:val="20"/>
        </w:rPr>
        <w:t>注明：</w:t>
      </w:r>
    </w:p>
    <w:p w14:paraId="73BD54C6">
      <w:pPr>
        <w:spacing w:before="66" w:line="221" w:lineRule="auto"/>
        <w:ind w:left="539"/>
        <w:rPr>
          <w:rFonts w:ascii="宋体" w:hAnsi="宋体" w:eastAsia="宋体" w:cs="宋体"/>
          <w:sz w:val="20"/>
          <w:szCs w:val="20"/>
        </w:rPr>
      </w:pPr>
      <w:r>
        <w:rPr>
          <w:rFonts w:ascii="Times New Roman" w:hAnsi="Times New Roman" w:eastAsia="Times New Roman" w:cs="Times New Roman"/>
          <w:spacing w:val="6"/>
          <w:sz w:val="20"/>
          <w:szCs w:val="20"/>
        </w:rPr>
        <w:t>a)</w:t>
      </w:r>
      <w:r>
        <w:rPr>
          <w:rFonts w:ascii="Times New Roman" w:hAnsi="Times New Roman" w:eastAsia="Times New Roman" w:cs="Times New Roman"/>
          <w:spacing w:val="3"/>
          <w:sz w:val="20"/>
          <w:szCs w:val="20"/>
        </w:rPr>
        <w:t xml:space="preserve">    </w:t>
      </w:r>
      <w:r>
        <w:rPr>
          <w:rFonts w:ascii="宋体" w:hAnsi="宋体" w:eastAsia="宋体" w:cs="宋体"/>
          <w:spacing w:val="6"/>
          <w:sz w:val="20"/>
          <w:szCs w:val="20"/>
        </w:rPr>
        <w:t>供方名称、联系方式；</w:t>
      </w:r>
    </w:p>
    <w:p w14:paraId="4A35FAD0">
      <w:pPr>
        <w:spacing w:before="72" w:line="221" w:lineRule="auto"/>
        <w:ind w:left="531"/>
        <w:rPr>
          <w:rFonts w:ascii="宋体" w:hAnsi="宋体" w:eastAsia="宋体" w:cs="宋体"/>
          <w:sz w:val="20"/>
          <w:szCs w:val="20"/>
        </w:rPr>
      </w:pPr>
      <w:r>
        <w:rPr>
          <w:rFonts w:ascii="Times New Roman" w:hAnsi="Times New Roman" w:eastAsia="Times New Roman" w:cs="Times New Roman"/>
          <w:spacing w:val="5"/>
          <w:sz w:val="20"/>
          <w:szCs w:val="20"/>
        </w:rPr>
        <w:t>b)</w:t>
      </w:r>
      <w:r>
        <w:rPr>
          <w:rFonts w:ascii="Times New Roman" w:hAnsi="Times New Roman" w:eastAsia="Times New Roman" w:cs="Times New Roman"/>
          <w:spacing w:val="15"/>
          <w:sz w:val="20"/>
          <w:szCs w:val="20"/>
        </w:rPr>
        <w:t xml:space="preserve">   </w:t>
      </w:r>
      <w:r>
        <w:rPr>
          <w:rFonts w:ascii="宋体" w:hAnsi="宋体" w:eastAsia="宋体" w:cs="宋体"/>
          <w:spacing w:val="5"/>
          <w:sz w:val="20"/>
          <w:szCs w:val="20"/>
        </w:rPr>
        <w:t>产品名称；</w:t>
      </w:r>
    </w:p>
    <w:p w14:paraId="6917F2D0">
      <w:pPr>
        <w:spacing w:before="73" w:line="221" w:lineRule="auto"/>
        <w:ind w:left="538"/>
        <w:rPr>
          <w:rFonts w:ascii="宋体" w:hAnsi="宋体" w:eastAsia="宋体" w:cs="宋体"/>
          <w:sz w:val="20"/>
          <w:szCs w:val="20"/>
        </w:rPr>
      </w:pPr>
      <w:r>
        <w:rPr>
          <w:rFonts w:ascii="Times New Roman" w:hAnsi="Times New Roman" w:eastAsia="Times New Roman" w:cs="Times New Roman"/>
          <w:spacing w:val="4"/>
          <w:sz w:val="20"/>
          <w:szCs w:val="20"/>
        </w:rPr>
        <w:t>c)</w:t>
      </w:r>
      <w:r>
        <w:rPr>
          <w:rFonts w:ascii="Times New Roman" w:hAnsi="Times New Roman" w:eastAsia="Times New Roman" w:cs="Times New Roman"/>
          <w:spacing w:val="1"/>
          <w:sz w:val="20"/>
          <w:szCs w:val="20"/>
        </w:rPr>
        <w:t xml:space="preserve">    </w:t>
      </w:r>
      <w:r>
        <w:rPr>
          <w:rFonts w:ascii="宋体" w:hAnsi="宋体" w:eastAsia="宋体" w:cs="宋体"/>
          <w:spacing w:val="4"/>
          <w:sz w:val="20"/>
          <w:szCs w:val="20"/>
        </w:rPr>
        <w:t>产品批号；</w:t>
      </w:r>
    </w:p>
    <w:p w14:paraId="4BD08942">
      <w:pPr>
        <w:spacing w:before="72" w:line="221" w:lineRule="auto"/>
        <w:ind w:left="538"/>
        <w:rPr>
          <w:rFonts w:ascii="宋体" w:hAnsi="宋体" w:eastAsia="宋体" w:cs="宋体"/>
          <w:sz w:val="20"/>
          <w:szCs w:val="20"/>
        </w:rPr>
      </w:pPr>
      <w:r>
        <w:rPr>
          <w:rFonts w:ascii="Times New Roman" w:hAnsi="Times New Roman" w:eastAsia="Times New Roman" w:cs="Times New Roman"/>
          <w:spacing w:val="4"/>
          <w:sz w:val="20"/>
          <w:szCs w:val="20"/>
        </w:rPr>
        <w:t>d)</w:t>
      </w:r>
      <w:r>
        <w:rPr>
          <w:rFonts w:ascii="Times New Roman" w:hAnsi="Times New Roman" w:eastAsia="Times New Roman" w:cs="Times New Roman"/>
          <w:spacing w:val="15"/>
          <w:sz w:val="20"/>
          <w:szCs w:val="20"/>
        </w:rPr>
        <w:t xml:space="preserve">   </w:t>
      </w:r>
      <w:r>
        <w:rPr>
          <w:rFonts w:ascii="宋体" w:hAnsi="宋体" w:eastAsia="宋体" w:cs="宋体"/>
          <w:spacing w:val="4"/>
          <w:sz w:val="20"/>
          <w:szCs w:val="20"/>
        </w:rPr>
        <w:t>批次重量；</w:t>
      </w:r>
    </w:p>
    <w:p w14:paraId="00417E1F">
      <w:pPr>
        <w:spacing w:before="73" w:line="221" w:lineRule="auto"/>
        <w:ind w:left="539"/>
        <w:rPr>
          <w:rFonts w:ascii="宋体" w:hAnsi="宋体" w:eastAsia="宋体" w:cs="宋体"/>
          <w:sz w:val="20"/>
          <w:szCs w:val="20"/>
        </w:rPr>
      </w:pPr>
      <w:r>
        <w:rPr>
          <w:rFonts w:ascii="Times New Roman" w:hAnsi="Times New Roman" w:eastAsia="Times New Roman" w:cs="Times New Roman"/>
          <w:spacing w:val="4"/>
          <w:sz w:val="20"/>
          <w:szCs w:val="20"/>
        </w:rPr>
        <w:t>e)</w:t>
      </w:r>
      <w:r>
        <w:rPr>
          <w:rFonts w:ascii="Times New Roman" w:hAnsi="Times New Roman" w:eastAsia="Times New Roman" w:cs="Times New Roman"/>
          <w:spacing w:val="1"/>
          <w:sz w:val="20"/>
          <w:szCs w:val="20"/>
        </w:rPr>
        <w:t xml:space="preserve">    </w:t>
      </w:r>
      <w:r>
        <w:rPr>
          <w:rFonts w:ascii="宋体" w:hAnsi="宋体" w:eastAsia="宋体" w:cs="宋体"/>
          <w:spacing w:val="4"/>
          <w:sz w:val="20"/>
          <w:szCs w:val="20"/>
        </w:rPr>
        <w:t>包装日期；</w:t>
      </w:r>
    </w:p>
    <w:p w14:paraId="359F8347">
      <w:pPr>
        <w:spacing w:line="221" w:lineRule="auto"/>
        <w:rPr>
          <w:rFonts w:ascii="宋体" w:hAnsi="宋体" w:eastAsia="宋体" w:cs="宋体"/>
          <w:sz w:val="20"/>
          <w:szCs w:val="20"/>
        </w:rPr>
        <w:sectPr>
          <w:headerReference r:id="rId11" w:type="default"/>
          <w:footerReference r:id="rId12" w:type="default"/>
          <w:pgSz w:w="11906" w:h="16839"/>
          <w:pgMar w:top="1451" w:right="1021" w:bottom="1504" w:left="1304" w:header="1129" w:footer="1342" w:gutter="0"/>
          <w:cols w:space="720" w:num="1"/>
        </w:sectPr>
      </w:pPr>
    </w:p>
    <w:p w14:paraId="78B5DDFC">
      <w:pPr>
        <w:spacing w:line="264" w:lineRule="auto"/>
        <w:rPr>
          <w:rFonts w:ascii="Arial"/>
          <w:sz w:val="21"/>
        </w:rPr>
      </w:pPr>
    </w:p>
    <w:p w14:paraId="5660AE7C">
      <w:pPr>
        <w:spacing w:before="65" w:line="221" w:lineRule="auto"/>
        <w:ind w:left="425"/>
        <w:rPr>
          <w:rFonts w:ascii="宋体" w:hAnsi="宋体" w:eastAsia="宋体" w:cs="宋体"/>
          <w:sz w:val="20"/>
          <w:szCs w:val="20"/>
        </w:rPr>
      </w:pPr>
      <w:r>
        <w:rPr>
          <w:rFonts w:ascii="Times New Roman" w:hAnsi="Times New Roman" w:eastAsia="Times New Roman" w:cs="Times New Roman"/>
          <w:spacing w:val="6"/>
          <w:sz w:val="20"/>
          <w:szCs w:val="20"/>
        </w:rPr>
        <w:t xml:space="preserve">f)    </w:t>
      </w:r>
      <w:r>
        <w:rPr>
          <w:rFonts w:ascii="宋体" w:hAnsi="宋体" w:eastAsia="宋体" w:cs="宋体"/>
          <w:spacing w:val="6"/>
          <w:sz w:val="20"/>
          <w:szCs w:val="20"/>
        </w:rPr>
        <w:t>包装上应有明显的“避光</w:t>
      </w:r>
      <w:r>
        <w:rPr>
          <w:rFonts w:ascii="宋体" w:hAnsi="宋体" w:eastAsia="宋体" w:cs="宋体"/>
          <w:spacing w:val="-58"/>
          <w:sz w:val="20"/>
          <w:szCs w:val="20"/>
        </w:rPr>
        <w:t xml:space="preserve"> </w:t>
      </w:r>
      <w:r>
        <w:rPr>
          <w:rFonts w:ascii="宋体" w:hAnsi="宋体" w:eastAsia="宋体" w:cs="宋体"/>
          <w:spacing w:val="6"/>
          <w:sz w:val="20"/>
          <w:szCs w:val="20"/>
        </w:rPr>
        <w:t>”标志或字样。</w:t>
      </w:r>
    </w:p>
    <w:p w14:paraId="05AD401D">
      <w:pPr>
        <w:pStyle w:val="2"/>
        <w:spacing w:before="228" w:line="229" w:lineRule="auto"/>
        <w:ind w:left="3"/>
        <w:outlineLvl w:val="2"/>
        <w:rPr>
          <w:sz w:val="20"/>
          <w:szCs w:val="20"/>
        </w:rPr>
      </w:pPr>
      <w:r>
        <w:rPr>
          <w:spacing w:val="7"/>
          <w:sz w:val="20"/>
          <w:szCs w:val="20"/>
        </w:rPr>
        <w:t>8.2  包装、运输、贮存</w:t>
      </w:r>
    </w:p>
    <w:p w14:paraId="66D4BEB9">
      <w:pPr>
        <w:pStyle w:val="2"/>
        <w:spacing w:before="142" w:line="231" w:lineRule="auto"/>
        <w:ind w:left="3"/>
        <w:outlineLvl w:val="3"/>
        <w:rPr>
          <w:rFonts w:ascii="宋体" w:hAnsi="宋体" w:eastAsia="宋体" w:cs="宋体"/>
          <w:sz w:val="20"/>
          <w:szCs w:val="20"/>
        </w:rPr>
      </w:pPr>
      <w:r>
        <w:rPr>
          <w:spacing w:val="7"/>
          <w:sz w:val="20"/>
          <w:szCs w:val="20"/>
        </w:rPr>
        <w:t xml:space="preserve">8.2.1  </w:t>
      </w:r>
      <w:r>
        <w:rPr>
          <w:rFonts w:ascii="宋体" w:hAnsi="宋体" w:eastAsia="宋体" w:cs="宋体"/>
          <w:spacing w:val="7"/>
          <w:sz w:val="20"/>
          <w:szCs w:val="20"/>
        </w:rPr>
        <w:t>黑色塑料瓶或黑色塑料袋包装，外包装以硬纸箱或硬质塑料桶封装。若需方对包装形式</w:t>
      </w:r>
      <w:r>
        <w:rPr>
          <w:rFonts w:ascii="宋体" w:hAnsi="宋体" w:eastAsia="宋体" w:cs="宋体"/>
          <w:spacing w:val="6"/>
          <w:sz w:val="20"/>
          <w:szCs w:val="20"/>
        </w:rPr>
        <w:t>另有要</w:t>
      </w:r>
    </w:p>
    <w:p w14:paraId="60BD9713">
      <w:pPr>
        <w:spacing w:before="61" w:line="227" w:lineRule="auto"/>
        <w:ind w:left="7"/>
        <w:rPr>
          <w:rFonts w:ascii="宋体" w:hAnsi="宋体" w:eastAsia="宋体" w:cs="宋体"/>
          <w:sz w:val="20"/>
          <w:szCs w:val="20"/>
        </w:rPr>
      </w:pPr>
      <w:r>
        <w:rPr>
          <w:rFonts w:ascii="宋体" w:hAnsi="宋体" w:eastAsia="宋体" w:cs="宋体"/>
          <w:spacing w:val="4"/>
          <w:sz w:val="20"/>
          <w:szCs w:val="20"/>
        </w:rPr>
        <w:t>求，</w:t>
      </w:r>
      <w:r>
        <w:rPr>
          <w:rFonts w:ascii="宋体" w:hAnsi="宋体" w:eastAsia="宋体" w:cs="宋体"/>
          <w:spacing w:val="-50"/>
          <w:sz w:val="20"/>
          <w:szCs w:val="20"/>
        </w:rPr>
        <w:t xml:space="preserve"> </w:t>
      </w:r>
      <w:r>
        <w:rPr>
          <w:rFonts w:ascii="宋体" w:hAnsi="宋体" w:eastAsia="宋体" w:cs="宋体"/>
          <w:spacing w:val="4"/>
          <w:sz w:val="20"/>
          <w:szCs w:val="20"/>
        </w:rPr>
        <w:t>由供需双方协商进行。</w:t>
      </w:r>
    </w:p>
    <w:p w14:paraId="75DDDC3A">
      <w:pPr>
        <w:pStyle w:val="2"/>
        <w:spacing w:before="66" w:line="230" w:lineRule="auto"/>
        <w:ind w:left="3"/>
        <w:outlineLvl w:val="3"/>
        <w:rPr>
          <w:rFonts w:ascii="宋体" w:hAnsi="宋体" w:eastAsia="宋体" w:cs="宋体"/>
          <w:sz w:val="20"/>
          <w:szCs w:val="20"/>
        </w:rPr>
      </w:pPr>
      <w:r>
        <w:rPr>
          <w:spacing w:val="9"/>
          <w:sz w:val="20"/>
          <w:szCs w:val="20"/>
        </w:rPr>
        <w:t xml:space="preserve">8.2.2  </w:t>
      </w:r>
      <w:r>
        <w:rPr>
          <w:rFonts w:ascii="宋体" w:hAnsi="宋体" w:eastAsia="宋体" w:cs="宋体"/>
          <w:spacing w:val="9"/>
          <w:sz w:val="20"/>
          <w:szCs w:val="20"/>
        </w:rPr>
        <w:t>产品可以用铁路、公路、水运、空运方式运输，运输</w:t>
      </w:r>
      <w:r>
        <w:rPr>
          <w:rFonts w:ascii="宋体" w:hAnsi="宋体" w:eastAsia="宋体" w:cs="宋体"/>
          <w:spacing w:val="8"/>
          <w:sz w:val="20"/>
          <w:szCs w:val="20"/>
        </w:rPr>
        <w:t>应避免机械破损及污染。</w:t>
      </w:r>
    </w:p>
    <w:p w14:paraId="4B4A1438">
      <w:pPr>
        <w:pStyle w:val="2"/>
        <w:spacing w:before="63" w:line="230" w:lineRule="auto"/>
        <w:ind w:left="3"/>
        <w:outlineLvl w:val="3"/>
        <w:rPr>
          <w:rFonts w:ascii="宋体" w:hAnsi="宋体" w:eastAsia="宋体" w:cs="宋体"/>
          <w:sz w:val="20"/>
          <w:szCs w:val="20"/>
        </w:rPr>
      </w:pPr>
      <w:r>
        <w:rPr>
          <w:spacing w:val="7"/>
          <w:sz w:val="20"/>
          <w:szCs w:val="20"/>
        </w:rPr>
        <w:t xml:space="preserve">8.2.3  </w:t>
      </w:r>
      <w:r>
        <w:rPr>
          <w:rFonts w:hint="eastAsia" w:ascii="宋体" w:hAnsi="宋体" w:eastAsia="宋体" w:cs="宋体"/>
          <w:spacing w:val="7"/>
          <w:sz w:val="20"/>
          <w:szCs w:val="20"/>
          <w:lang w:val="en-US" w:eastAsia="zh-CN"/>
        </w:rPr>
        <w:t>乙酸</w:t>
      </w:r>
      <w:r>
        <w:rPr>
          <w:rFonts w:ascii="宋体" w:hAnsi="宋体" w:eastAsia="宋体" w:cs="宋体"/>
          <w:spacing w:val="7"/>
          <w:sz w:val="20"/>
          <w:szCs w:val="20"/>
        </w:rPr>
        <w:t>银储存在避光、阴凉干燥的库房内，以免光解和潮解；不应与腐蚀性化学品和潮湿</w:t>
      </w:r>
      <w:r>
        <w:rPr>
          <w:rFonts w:ascii="宋体" w:hAnsi="宋体" w:eastAsia="宋体" w:cs="宋体"/>
          <w:spacing w:val="6"/>
          <w:sz w:val="20"/>
          <w:szCs w:val="20"/>
        </w:rPr>
        <w:t>性材料</w:t>
      </w:r>
    </w:p>
    <w:p w14:paraId="5307F879">
      <w:pPr>
        <w:spacing w:before="62" w:line="228" w:lineRule="auto"/>
        <w:ind w:left="4"/>
        <w:rPr>
          <w:rFonts w:ascii="宋体" w:hAnsi="宋体" w:eastAsia="宋体" w:cs="宋体"/>
          <w:sz w:val="20"/>
          <w:szCs w:val="20"/>
        </w:rPr>
      </w:pPr>
      <w:r>
        <w:rPr>
          <w:rFonts w:ascii="宋体" w:hAnsi="宋体" w:eastAsia="宋体" w:cs="宋体"/>
          <w:spacing w:val="8"/>
          <w:sz w:val="20"/>
          <w:szCs w:val="20"/>
        </w:rPr>
        <w:t>共储存，开封后应立即使用。</w:t>
      </w:r>
    </w:p>
    <w:p w14:paraId="10245274">
      <w:pPr>
        <w:pStyle w:val="2"/>
        <w:spacing w:before="143" w:line="230" w:lineRule="auto"/>
        <w:ind w:left="3"/>
        <w:outlineLvl w:val="2"/>
        <w:rPr>
          <w:sz w:val="20"/>
          <w:szCs w:val="20"/>
        </w:rPr>
      </w:pPr>
      <w:r>
        <w:rPr>
          <w:spacing w:val="4"/>
          <w:sz w:val="20"/>
          <w:szCs w:val="20"/>
        </w:rPr>
        <w:t>8.3</w:t>
      </w:r>
      <w:r>
        <w:rPr>
          <w:spacing w:val="14"/>
          <w:sz w:val="20"/>
          <w:szCs w:val="20"/>
        </w:rPr>
        <w:t xml:space="preserve">  </w:t>
      </w:r>
      <w:r>
        <w:rPr>
          <w:spacing w:val="4"/>
          <w:sz w:val="20"/>
          <w:szCs w:val="20"/>
        </w:rPr>
        <w:t>随行文件</w:t>
      </w:r>
    </w:p>
    <w:p w14:paraId="6F9CB27D">
      <w:pPr>
        <w:spacing w:before="142" w:line="288" w:lineRule="auto"/>
        <w:ind w:left="5" w:right="115" w:firstLine="405"/>
        <w:rPr>
          <w:rFonts w:ascii="宋体" w:hAnsi="宋体" w:eastAsia="宋体" w:cs="宋体"/>
          <w:sz w:val="20"/>
          <w:szCs w:val="20"/>
        </w:rPr>
      </w:pPr>
      <w:r>
        <w:rPr>
          <w:rFonts w:ascii="宋体" w:hAnsi="宋体" w:eastAsia="宋体" w:cs="宋体"/>
          <w:spacing w:val="10"/>
          <w:sz w:val="20"/>
          <w:szCs w:val="20"/>
        </w:rPr>
        <w:t>每批产品应附有随行文件，其中，除应包括的供方信息、产品信息、本文件编号、出厂日期或包</w:t>
      </w:r>
      <w:r>
        <w:rPr>
          <w:rFonts w:ascii="宋体" w:hAnsi="宋体" w:eastAsia="宋体" w:cs="宋体"/>
          <w:spacing w:val="8"/>
          <w:sz w:val="20"/>
          <w:szCs w:val="20"/>
        </w:rPr>
        <w:t>装日期外，还宜包括：</w:t>
      </w:r>
    </w:p>
    <w:p w14:paraId="05EFF700">
      <w:pPr>
        <w:spacing w:before="1" w:line="220" w:lineRule="auto"/>
        <w:ind w:left="410"/>
        <w:rPr>
          <w:rFonts w:ascii="宋体" w:hAnsi="宋体" w:eastAsia="宋体" w:cs="宋体"/>
          <w:sz w:val="20"/>
          <w:szCs w:val="20"/>
        </w:rPr>
      </w:pPr>
      <w:r>
        <w:rPr>
          <w:rFonts w:ascii="Times New Roman" w:hAnsi="Times New Roman" w:eastAsia="Times New Roman" w:cs="Times New Roman"/>
          <w:spacing w:val="7"/>
          <w:sz w:val="20"/>
          <w:szCs w:val="20"/>
        </w:rPr>
        <w:t>a)</w:t>
      </w:r>
      <w:r>
        <w:rPr>
          <w:rFonts w:ascii="Times New Roman" w:hAnsi="Times New Roman" w:eastAsia="Times New Roman" w:cs="Times New Roman"/>
          <w:spacing w:val="2"/>
          <w:sz w:val="20"/>
          <w:szCs w:val="20"/>
        </w:rPr>
        <w:t xml:space="preserve">    </w:t>
      </w:r>
      <w:r>
        <w:rPr>
          <w:rFonts w:ascii="宋体" w:hAnsi="宋体" w:eastAsia="宋体" w:cs="宋体"/>
          <w:spacing w:val="7"/>
          <w:sz w:val="20"/>
          <w:szCs w:val="20"/>
        </w:rPr>
        <w:t>产品质量保证书，内容如下：</w:t>
      </w:r>
    </w:p>
    <w:p w14:paraId="62DE563E">
      <w:pPr>
        <w:spacing w:before="50" w:line="228" w:lineRule="auto"/>
        <w:ind w:left="426"/>
        <w:rPr>
          <w:rFonts w:ascii="宋体" w:hAnsi="宋体" w:eastAsia="宋体" w:cs="宋体"/>
          <w:sz w:val="20"/>
          <w:szCs w:val="20"/>
        </w:rPr>
      </w:pPr>
      <w:r>
        <w:rPr>
          <w:rFonts w:ascii="Wingdings" w:hAnsi="Wingdings" w:eastAsia="Wingdings" w:cs="Wingdings"/>
          <w:spacing w:val="7"/>
          <w:sz w:val="10"/>
          <w:szCs w:val="10"/>
        </w:rPr>
        <w:t>l</w:t>
      </w:r>
      <w:r>
        <w:rPr>
          <w:rFonts w:ascii="Wingdings" w:hAnsi="Wingdings" w:eastAsia="Wingdings" w:cs="Wingdings"/>
          <w:spacing w:val="16"/>
          <w:sz w:val="10"/>
          <w:szCs w:val="10"/>
        </w:rPr>
        <w:t xml:space="preserve">   </w:t>
      </w:r>
      <w:r>
        <w:rPr>
          <w:rFonts w:ascii="宋体" w:hAnsi="宋体" w:eastAsia="宋体" w:cs="宋体"/>
          <w:spacing w:val="7"/>
          <w:sz w:val="20"/>
          <w:szCs w:val="20"/>
        </w:rPr>
        <w:t>产品名称、规格和状态；</w:t>
      </w:r>
    </w:p>
    <w:p w14:paraId="552DE1F9">
      <w:pPr>
        <w:spacing w:before="27" w:line="228" w:lineRule="auto"/>
        <w:ind w:left="426"/>
        <w:rPr>
          <w:rFonts w:ascii="宋体" w:hAnsi="宋体" w:eastAsia="宋体" w:cs="宋体"/>
          <w:sz w:val="20"/>
          <w:szCs w:val="20"/>
        </w:rPr>
      </w:pPr>
      <w:r>
        <w:rPr>
          <w:rFonts w:ascii="Wingdings" w:hAnsi="Wingdings" w:eastAsia="Wingdings" w:cs="Wingdings"/>
          <w:spacing w:val="7"/>
          <w:sz w:val="10"/>
          <w:szCs w:val="10"/>
        </w:rPr>
        <w:t>l</w:t>
      </w:r>
      <w:r>
        <w:rPr>
          <w:rFonts w:ascii="Wingdings" w:hAnsi="Wingdings" w:eastAsia="Wingdings" w:cs="Wingdings"/>
          <w:spacing w:val="16"/>
          <w:sz w:val="10"/>
          <w:szCs w:val="10"/>
        </w:rPr>
        <w:t xml:space="preserve">   </w:t>
      </w:r>
      <w:r>
        <w:rPr>
          <w:rFonts w:ascii="宋体" w:hAnsi="宋体" w:eastAsia="宋体" w:cs="宋体"/>
          <w:spacing w:val="7"/>
          <w:sz w:val="20"/>
          <w:szCs w:val="20"/>
        </w:rPr>
        <w:t>产品批号、批重和数量；</w:t>
      </w:r>
    </w:p>
    <w:p w14:paraId="13B203A5">
      <w:pPr>
        <w:spacing w:before="24" w:line="228" w:lineRule="auto"/>
        <w:ind w:left="426"/>
        <w:rPr>
          <w:rFonts w:ascii="宋体" w:hAnsi="宋体" w:eastAsia="宋体" w:cs="宋体"/>
          <w:sz w:val="20"/>
          <w:szCs w:val="20"/>
        </w:rPr>
      </w:pPr>
      <w:r>
        <w:rPr>
          <w:rFonts w:ascii="Wingdings" w:hAnsi="Wingdings" w:eastAsia="Wingdings" w:cs="Wingdings"/>
          <w:spacing w:val="6"/>
          <w:sz w:val="10"/>
          <w:szCs w:val="10"/>
        </w:rPr>
        <w:t>l</w:t>
      </w:r>
      <w:r>
        <w:rPr>
          <w:rFonts w:ascii="Wingdings" w:hAnsi="Wingdings" w:eastAsia="Wingdings" w:cs="Wingdings"/>
          <w:spacing w:val="16"/>
          <w:sz w:val="10"/>
          <w:szCs w:val="10"/>
        </w:rPr>
        <w:t xml:space="preserve">   </w:t>
      </w:r>
      <w:r>
        <w:rPr>
          <w:rFonts w:ascii="宋体" w:hAnsi="宋体" w:eastAsia="宋体" w:cs="宋体"/>
          <w:spacing w:val="6"/>
          <w:sz w:val="20"/>
          <w:szCs w:val="20"/>
        </w:rPr>
        <w:t>产品的技术参数；</w:t>
      </w:r>
    </w:p>
    <w:p w14:paraId="1AC6B89F">
      <w:pPr>
        <w:spacing w:before="27" w:line="227" w:lineRule="auto"/>
        <w:ind w:left="426"/>
        <w:rPr>
          <w:rFonts w:ascii="宋体" w:hAnsi="宋体" w:eastAsia="宋体" w:cs="宋体"/>
          <w:sz w:val="20"/>
          <w:szCs w:val="20"/>
        </w:rPr>
      </w:pPr>
      <w:r>
        <w:rPr>
          <w:rFonts w:ascii="Wingdings" w:hAnsi="Wingdings" w:eastAsia="Wingdings" w:cs="Wingdings"/>
          <w:spacing w:val="9"/>
          <w:sz w:val="10"/>
          <w:szCs w:val="10"/>
        </w:rPr>
        <w:t xml:space="preserve">l   </w:t>
      </w:r>
      <w:r>
        <w:rPr>
          <w:rFonts w:ascii="宋体" w:hAnsi="宋体" w:eastAsia="宋体" w:cs="宋体"/>
          <w:spacing w:val="9"/>
          <w:sz w:val="20"/>
          <w:szCs w:val="20"/>
        </w:rPr>
        <w:t>各项分析检验结果及供方质量检验部门印记；</w:t>
      </w:r>
    </w:p>
    <w:p w14:paraId="1D575739">
      <w:pPr>
        <w:spacing w:before="26" w:line="228" w:lineRule="auto"/>
        <w:ind w:left="426"/>
        <w:rPr>
          <w:rFonts w:ascii="宋体" w:hAnsi="宋体" w:eastAsia="宋体" w:cs="宋体"/>
          <w:sz w:val="20"/>
          <w:szCs w:val="20"/>
        </w:rPr>
      </w:pPr>
      <w:r>
        <w:rPr>
          <w:rFonts w:ascii="Wingdings" w:hAnsi="Wingdings" w:eastAsia="Wingdings" w:cs="Wingdings"/>
          <w:spacing w:val="1"/>
          <w:sz w:val="10"/>
          <w:szCs w:val="10"/>
        </w:rPr>
        <w:t>l</w:t>
      </w:r>
      <w:r>
        <w:rPr>
          <w:rFonts w:ascii="Wingdings" w:hAnsi="Wingdings" w:eastAsia="Wingdings" w:cs="Wingdings"/>
          <w:spacing w:val="16"/>
          <w:sz w:val="10"/>
          <w:szCs w:val="10"/>
        </w:rPr>
        <w:t xml:space="preserve">   </w:t>
      </w:r>
      <w:r>
        <w:rPr>
          <w:rFonts w:ascii="宋体" w:hAnsi="宋体" w:eastAsia="宋体" w:cs="宋体"/>
          <w:spacing w:val="1"/>
          <w:sz w:val="20"/>
          <w:szCs w:val="20"/>
        </w:rPr>
        <w:t>其他。</w:t>
      </w:r>
    </w:p>
    <w:p w14:paraId="6F57DC51">
      <w:pPr>
        <w:spacing w:before="45" w:line="221" w:lineRule="auto"/>
        <w:ind w:left="402"/>
        <w:rPr>
          <w:rFonts w:ascii="宋体" w:hAnsi="宋体" w:eastAsia="宋体" w:cs="宋体"/>
          <w:sz w:val="20"/>
          <w:szCs w:val="20"/>
        </w:rPr>
      </w:pPr>
      <w:r>
        <w:rPr>
          <w:rFonts w:ascii="Times New Roman" w:hAnsi="Times New Roman" w:eastAsia="Times New Roman" w:cs="Times New Roman"/>
          <w:spacing w:val="9"/>
          <w:sz w:val="20"/>
          <w:szCs w:val="20"/>
        </w:rPr>
        <w:t>b)</w:t>
      </w:r>
      <w:r>
        <w:rPr>
          <w:rFonts w:ascii="Times New Roman" w:hAnsi="Times New Roman" w:eastAsia="Times New Roman" w:cs="Times New Roman"/>
          <w:spacing w:val="15"/>
          <w:sz w:val="20"/>
          <w:szCs w:val="20"/>
        </w:rPr>
        <w:t xml:space="preserve">   </w:t>
      </w:r>
      <w:r>
        <w:rPr>
          <w:rFonts w:ascii="宋体" w:hAnsi="宋体" w:eastAsia="宋体" w:cs="宋体"/>
          <w:spacing w:val="9"/>
          <w:sz w:val="20"/>
          <w:szCs w:val="20"/>
        </w:rPr>
        <w:t>化学品安全技术说明书（</w:t>
      </w:r>
      <w:r>
        <w:rPr>
          <w:rFonts w:ascii="宋体" w:hAnsi="宋体" w:eastAsia="宋体" w:cs="宋体"/>
          <w:sz w:val="20"/>
          <w:szCs w:val="20"/>
        </w:rPr>
        <w:t>MSDS</w:t>
      </w:r>
      <w:r>
        <w:rPr>
          <w:rFonts w:ascii="宋体" w:hAnsi="宋体" w:eastAsia="宋体" w:cs="宋体"/>
          <w:spacing w:val="5"/>
          <w:sz w:val="20"/>
          <w:szCs w:val="20"/>
        </w:rPr>
        <w:t>）；</w:t>
      </w:r>
    </w:p>
    <w:p w14:paraId="3272B01B">
      <w:pPr>
        <w:spacing w:before="73" w:line="221" w:lineRule="auto"/>
        <w:ind w:left="410"/>
        <w:rPr>
          <w:rFonts w:ascii="宋体" w:hAnsi="宋体" w:eastAsia="宋体" w:cs="宋体"/>
          <w:sz w:val="20"/>
          <w:szCs w:val="20"/>
        </w:rPr>
      </w:pPr>
      <w:r>
        <w:rPr>
          <w:rFonts w:ascii="Times New Roman" w:hAnsi="Times New Roman" w:eastAsia="Times New Roman" w:cs="Times New Roman"/>
          <w:spacing w:val="1"/>
          <w:sz w:val="20"/>
          <w:szCs w:val="20"/>
        </w:rPr>
        <w:t xml:space="preserve">c)    </w:t>
      </w:r>
      <w:r>
        <w:rPr>
          <w:rFonts w:ascii="宋体" w:hAnsi="宋体" w:eastAsia="宋体" w:cs="宋体"/>
          <w:spacing w:val="1"/>
          <w:sz w:val="20"/>
          <w:szCs w:val="20"/>
        </w:rPr>
        <w:t>其他</w:t>
      </w:r>
    </w:p>
    <w:p w14:paraId="37E61711">
      <w:pPr>
        <w:spacing w:line="317" w:lineRule="auto"/>
        <w:rPr>
          <w:rFonts w:ascii="Arial"/>
          <w:sz w:val="21"/>
        </w:rPr>
      </w:pPr>
    </w:p>
    <w:p w14:paraId="4944B789">
      <w:pPr>
        <w:pStyle w:val="2"/>
        <w:spacing w:before="65" w:line="230" w:lineRule="auto"/>
        <w:outlineLvl w:val="1"/>
        <w:rPr>
          <w:sz w:val="20"/>
          <w:szCs w:val="20"/>
        </w:rPr>
      </w:pPr>
      <w:r>
        <w:rPr>
          <w:spacing w:val="6"/>
          <w:sz w:val="20"/>
          <w:szCs w:val="20"/>
        </w:rPr>
        <w:t>9</w:t>
      </w:r>
      <w:r>
        <w:rPr>
          <w:spacing w:val="13"/>
          <w:sz w:val="20"/>
          <w:szCs w:val="20"/>
        </w:rPr>
        <w:t xml:space="preserve">  </w:t>
      </w:r>
      <w:r>
        <w:rPr>
          <w:spacing w:val="6"/>
          <w:sz w:val="20"/>
          <w:szCs w:val="20"/>
        </w:rPr>
        <w:t>订货单内容</w:t>
      </w:r>
    </w:p>
    <w:p w14:paraId="4E38B5D5">
      <w:pPr>
        <w:spacing w:line="307" w:lineRule="auto"/>
        <w:rPr>
          <w:rFonts w:ascii="Arial"/>
          <w:sz w:val="21"/>
        </w:rPr>
      </w:pPr>
    </w:p>
    <w:p w14:paraId="1266F5B0">
      <w:pPr>
        <w:spacing w:before="66" w:line="227" w:lineRule="auto"/>
        <w:ind w:left="437"/>
        <w:rPr>
          <w:rFonts w:ascii="宋体" w:hAnsi="宋体" w:eastAsia="宋体" w:cs="宋体"/>
          <w:sz w:val="20"/>
          <w:szCs w:val="20"/>
        </w:rPr>
      </w:pPr>
      <w:r>
        <w:rPr>
          <w:rFonts w:ascii="宋体" w:hAnsi="宋体" w:eastAsia="宋体" w:cs="宋体"/>
          <w:spacing w:val="9"/>
          <w:sz w:val="20"/>
          <w:szCs w:val="20"/>
        </w:rPr>
        <w:t>需方可根据自身需要，在订购本文件所列的产品的订货单内，列出如下内容：</w:t>
      </w:r>
    </w:p>
    <w:p w14:paraId="0DB1529C">
      <w:pPr>
        <w:spacing w:before="66" w:line="221" w:lineRule="auto"/>
        <w:ind w:left="410"/>
        <w:rPr>
          <w:rFonts w:ascii="宋体" w:hAnsi="宋体" w:eastAsia="宋体" w:cs="宋体"/>
          <w:sz w:val="20"/>
          <w:szCs w:val="20"/>
        </w:rPr>
      </w:pPr>
      <w:r>
        <w:rPr>
          <w:rFonts w:ascii="Times New Roman" w:hAnsi="Times New Roman" w:eastAsia="Times New Roman" w:cs="Times New Roman"/>
          <w:spacing w:val="4"/>
          <w:sz w:val="20"/>
          <w:szCs w:val="20"/>
        </w:rPr>
        <w:t>a)</w:t>
      </w:r>
      <w:r>
        <w:rPr>
          <w:rFonts w:ascii="Times New Roman" w:hAnsi="Times New Roman" w:eastAsia="Times New Roman" w:cs="Times New Roman"/>
          <w:spacing w:val="1"/>
          <w:sz w:val="20"/>
          <w:szCs w:val="20"/>
        </w:rPr>
        <w:t xml:space="preserve">    </w:t>
      </w:r>
      <w:r>
        <w:rPr>
          <w:rFonts w:ascii="宋体" w:hAnsi="宋体" w:eastAsia="宋体" w:cs="宋体"/>
          <w:spacing w:val="4"/>
          <w:sz w:val="20"/>
          <w:szCs w:val="20"/>
        </w:rPr>
        <w:t>产品名称；</w:t>
      </w:r>
    </w:p>
    <w:p w14:paraId="458ED3AA">
      <w:pPr>
        <w:spacing w:before="73" w:line="221" w:lineRule="auto"/>
        <w:ind w:left="402"/>
        <w:rPr>
          <w:rFonts w:ascii="宋体" w:hAnsi="宋体" w:eastAsia="宋体" w:cs="宋体"/>
          <w:sz w:val="20"/>
          <w:szCs w:val="20"/>
        </w:rPr>
      </w:pPr>
      <w:r>
        <w:rPr>
          <w:rFonts w:ascii="Times New Roman" w:hAnsi="Times New Roman" w:eastAsia="Times New Roman" w:cs="Times New Roman"/>
          <w:spacing w:val="3"/>
          <w:sz w:val="20"/>
          <w:szCs w:val="20"/>
        </w:rPr>
        <w:t>b)</w:t>
      </w:r>
      <w:r>
        <w:rPr>
          <w:rFonts w:ascii="Times New Roman" w:hAnsi="Times New Roman" w:eastAsia="Times New Roman" w:cs="Times New Roman"/>
          <w:spacing w:val="15"/>
          <w:sz w:val="20"/>
          <w:szCs w:val="20"/>
        </w:rPr>
        <w:t xml:space="preserve">   </w:t>
      </w:r>
      <w:r>
        <w:rPr>
          <w:rFonts w:ascii="宋体" w:hAnsi="宋体" w:eastAsia="宋体" w:cs="宋体"/>
          <w:spacing w:val="3"/>
          <w:sz w:val="20"/>
          <w:szCs w:val="20"/>
        </w:rPr>
        <w:t>规格；</w:t>
      </w:r>
    </w:p>
    <w:p w14:paraId="154DFF8A">
      <w:pPr>
        <w:spacing w:before="73" w:line="221" w:lineRule="auto"/>
        <w:ind w:left="410"/>
        <w:rPr>
          <w:rFonts w:ascii="宋体" w:hAnsi="宋体" w:eastAsia="宋体" w:cs="宋体"/>
          <w:sz w:val="20"/>
          <w:szCs w:val="20"/>
        </w:rPr>
      </w:pPr>
      <w:r>
        <w:rPr>
          <w:rFonts w:ascii="Times New Roman" w:hAnsi="Times New Roman" w:eastAsia="Times New Roman" w:cs="Times New Roman"/>
          <w:spacing w:val="1"/>
          <w:sz w:val="20"/>
          <w:szCs w:val="20"/>
        </w:rPr>
        <w:t xml:space="preserve">c)    </w:t>
      </w:r>
      <w:r>
        <w:rPr>
          <w:rFonts w:ascii="宋体" w:hAnsi="宋体" w:eastAsia="宋体" w:cs="宋体"/>
          <w:spacing w:val="1"/>
          <w:sz w:val="20"/>
          <w:szCs w:val="20"/>
        </w:rPr>
        <w:t>数量；</w:t>
      </w:r>
    </w:p>
    <w:p w14:paraId="0AA18B32">
      <w:pPr>
        <w:spacing w:before="72" w:line="221" w:lineRule="auto"/>
        <w:ind w:left="409"/>
        <w:rPr>
          <w:rFonts w:ascii="宋体" w:hAnsi="宋体" w:eastAsia="宋体" w:cs="宋体"/>
          <w:sz w:val="20"/>
          <w:szCs w:val="20"/>
        </w:rPr>
      </w:pPr>
      <w:r>
        <w:rPr>
          <w:rFonts w:ascii="Times New Roman" w:hAnsi="Times New Roman" w:eastAsia="Times New Roman" w:cs="Times New Roman"/>
          <w:spacing w:val="5"/>
          <w:sz w:val="20"/>
          <w:szCs w:val="20"/>
        </w:rPr>
        <w:t>d)</w:t>
      </w:r>
      <w:r>
        <w:rPr>
          <w:rFonts w:ascii="Times New Roman" w:hAnsi="Times New Roman" w:eastAsia="Times New Roman" w:cs="Times New Roman"/>
          <w:spacing w:val="14"/>
          <w:w w:val="101"/>
          <w:sz w:val="20"/>
          <w:szCs w:val="20"/>
        </w:rPr>
        <w:t xml:space="preserve">   </w:t>
      </w:r>
      <w:r>
        <w:rPr>
          <w:rFonts w:ascii="宋体" w:hAnsi="宋体" w:eastAsia="宋体" w:cs="宋体"/>
          <w:spacing w:val="5"/>
          <w:sz w:val="20"/>
          <w:szCs w:val="20"/>
        </w:rPr>
        <w:t>本文件编号；</w:t>
      </w:r>
    </w:p>
    <w:p w14:paraId="590AD693">
      <w:pPr>
        <w:spacing w:before="73" w:line="221" w:lineRule="auto"/>
        <w:ind w:left="410"/>
        <w:rPr>
          <w:rFonts w:ascii="宋体" w:hAnsi="宋体" w:eastAsia="宋体" w:cs="宋体"/>
          <w:sz w:val="20"/>
          <w:szCs w:val="20"/>
        </w:rPr>
      </w:pPr>
      <w:r>
        <w:rPr>
          <w:rFonts w:ascii="Times New Roman" w:hAnsi="Times New Roman" w:eastAsia="Times New Roman" w:cs="Times New Roman"/>
          <w:spacing w:val="4"/>
          <w:sz w:val="20"/>
          <w:szCs w:val="20"/>
        </w:rPr>
        <w:t>e)</w:t>
      </w:r>
      <w:r>
        <w:rPr>
          <w:rFonts w:ascii="Times New Roman" w:hAnsi="Times New Roman" w:eastAsia="Times New Roman" w:cs="Times New Roman"/>
          <w:spacing w:val="2"/>
          <w:sz w:val="20"/>
          <w:szCs w:val="20"/>
        </w:rPr>
        <w:t xml:space="preserve">    </w:t>
      </w:r>
      <w:r>
        <w:rPr>
          <w:rFonts w:ascii="宋体" w:hAnsi="宋体" w:eastAsia="宋体" w:cs="宋体"/>
          <w:spacing w:val="4"/>
          <w:sz w:val="20"/>
          <w:szCs w:val="20"/>
        </w:rPr>
        <w:t>协商内容</w:t>
      </w:r>
    </w:p>
    <w:p w14:paraId="535E8102">
      <w:pPr>
        <w:spacing w:before="72" w:line="221" w:lineRule="auto"/>
        <w:ind w:left="411"/>
        <w:rPr>
          <w:rFonts w:ascii="宋体" w:hAnsi="宋体" w:eastAsia="宋体" w:cs="宋体"/>
          <w:sz w:val="20"/>
          <w:szCs w:val="20"/>
        </w:rPr>
      </w:pPr>
      <w:r>
        <w:drawing>
          <wp:anchor distT="0" distB="0" distL="0" distR="0" simplePos="0" relativeHeight="251661312" behindDoc="0" locked="0" layoutInCell="1" allowOverlap="1">
            <wp:simplePos x="0" y="0"/>
            <wp:positionH relativeFrom="column">
              <wp:posOffset>1866900</wp:posOffset>
            </wp:positionH>
            <wp:positionV relativeFrom="paragraph">
              <wp:posOffset>956945</wp:posOffset>
            </wp:positionV>
            <wp:extent cx="2202180" cy="635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3"/>
                    <a:stretch>
                      <a:fillRect/>
                    </a:stretch>
                  </pic:blipFill>
                  <pic:spPr>
                    <a:xfrm>
                      <a:off x="0" y="0"/>
                      <a:ext cx="2201928" cy="6350"/>
                    </a:xfrm>
                    <a:prstGeom prst="rect">
                      <a:avLst/>
                    </a:prstGeom>
                  </pic:spPr>
                </pic:pic>
              </a:graphicData>
            </a:graphic>
          </wp:anchor>
        </w:drawing>
      </w:r>
      <w:r>
        <w:rPr>
          <w:rFonts w:ascii="Times New Roman" w:hAnsi="Times New Roman" w:eastAsia="Times New Roman" w:cs="Times New Roman"/>
          <w:spacing w:val="1"/>
          <w:sz w:val="20"/>
          <w:szCs w:val="20"/>
        </w:rPr>
        <w:t>f)</w:t>
      </w:r>
      <w:r>
        <w:rPr>
          <w:rFonts w:ascii="Times New Roman" w:hAnsi="Times New Roman" w:eastAsia="Times New Roman" w:cs="Times New Roman"/>
          <w:spacing w:val="7"/>
          <w:sz w:val="20"/>
          <w:szCs w:val="20"/>
        </w:rPr>
        <w:t xml:space="preserve">    </w:t>
      </w:r>
      <w:r>
        <w:rPr>
          <w:rFonts w:ascii="宋体" w:hAnsi="宋体" w:eastAsia="宋体" w:cs="宋体"/>
          <w:spacing w:val="1"/>
          <w:sz w:val="20"/>
          <w:szCs w:val="20"/>
        </w:rPr>
        <w:t>其他。</w:t>
      </w:r>
    </w:p>
    <w:sectPr>
      <w:headerReference r:id="rId13" w:type="default"/>
      <w:footerReference r:id="rId14" w:type="default"/>
      <w:pgSz w:w="11906" w:h="16839"/>
      <w:pgMar w:top="1451" w:right="1134" w:bottom="1501" w:left="1418" w:header="1129" w:footer="134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650F3">
    <w:pPr>
      <w:spacing w:line="176" w:lineRule="auto"/>
      <w:ind w:left="4769"/>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C2A2D">
    <w:pPr>
      <w:spacing w:line="176" w:lineRule="auto"/>
      <w:ind w:left="4752"/>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21E48">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AD413">
    <w:pPr>
      <w:spacing w:line="176" w:lineRule="auto"/>
      <w:ind w:left="4746"/>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AF604">
    <w:pPr>
      <w:spacing w:line="173" w:lineRule="auto"/>
      <w:ind w:left="4638"/>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58EEA">
    <w:pPr>
      <w:pStyle w:val="2"/>
      <w:spacing w:before="51" w:line="237" w:lineRule="auto"/>
      <w:ind w:left="7428"/>
      <w:rPr>
        <w:sz w:val="20"/>
        <w:szCs w:val="20"/>
      </w:rPr>
    </w:pPr>
    <w:r>
      <w:rPr>
        <w:spacing w:val="-8"/>
        <w:sz w:val="20"/>
        <w:szCs w:val="20"/>
      </w:rPr>
      <w:t>YS/T</w:t>
    </w:r>
    <w:r>
      <w:rPr>
        <w:spacing w:val="49"/>
        <w:sz w:val="20"/>
        <w:szCs w:val="20"/>
      </w:rPr>
      <w:t xml:space="preserve"> </w:t>
    </w:r>
    <w:r>
      <w:rPr>
        <w:spacing w:val="-8"/>
        <w:sz w:val="20"/>
        <w:szCs w:val="20"/>
      </w:rPr>
      <w:t>×</w:t>
    </w:r>
    <w:r>
      <w:rPr>
        <w:spacing w:val="-60"/>
        <w:sz w:val="20"/>
        <w:szCs w:val="20"/>
      </w:rPr>
      <w:t xml:space="preserve"> </w:t>
    </w:r>
    <w:r>
      <w:rPr>
        <w:spacing w:val="-8"/>
        <w:sz w:val="20"/>
        <w:szCs w:val="20"/>
      </w:rPr>
      <w:t>×</w:t>
    </w:r>
    <w:r>
      <w:rPr>
        <w:spacing w:val="-59"/>
        <w:sz w:val="20"/>
        <w:szCs w:val="20"/>
      </w:rPr>
      <w:t xml:space="preserve"> </w:t>
    </w:r>
    <w:r>
      <w:rPr>
        <w:spacing w:val="-8"/>
        <w:sz w:val="20"/>
        <w:szCs w:val="20"/>
      </w:rPr>
      <w:t>×</w:t>
    </w:r>
    <w:r>
      <w:rPr>
        <w:spacing w:val="-61"/>
        <w:sz w:val="20"/>
        <w:szCs w:val="20"/>
      </w:rPr>
      <w:t xml:space="preserve"> </w:t>
    </w:r>
    <w:r>
      <w:rPr>
        <w:spacing w:val="-8"/>
        <w:sz w:val="20"/>
        <w:szCs w:val="20"/>
      </w:rPr>
      <w:t>×</w:t>
    </w:r>
    <w:r>
      <w:rPr>
        <w:spacing w:val="-58"/>
        <w:sz w:val="20"/>
        <w:szCs w:val="20"/>
      </w:rPr>
      <w:t xml:space="preserve"> </w:t>
    </w:r>
    <w:r>
      <w:rPr>
        <w:spacing w:val="-8"/>
        <w:sz w:val="20"/>
        <w:szCs w:val="20"/>
      </w:rPr>
      <w:t>×-202×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0BED6">
    <w:pPr>
      <w:pStyle w:val="2"/>
      <w:spacing w:before="54" w:line="237" w:lineRule="auto"/>
      <w:ind w:left="7271"/>
      <w:rPr>
        <w:sz w:val="20"/>
        <w:szCs w:val="20"/>
      </w:rPr>
    </w:pPr>
    <w:r>
      <w:rPr>
        <w:spacing w:val="-8"/>
        <w:sz w:val="20"/>
        <w:szCs w:val="20"/>
      </w:rPr>
      <w:t>YS/T</w:t>
    </w:r>
    <w:r>
      <w:rPr>
        <w:spacing w:val="49"/>
        <w:sz w:val="20"/>
        <w:szCs w:val="20"/>
      </w:rPr>
      <w:t xml:space="preserve"> </w:t>
    </w:r>
    <w:r>
      <w:rPr>
        <w:spacing w:val="-8"/>
        <w:sz w:val="20"/>
        <w:szCs w:val="20"/>
      </w:rPr>
      <w:t>×</w:t>
    </w:r>
    <w:r>
      <w:rPr>
        <w:spacing w:val="-60"/>
        <w:sz w:val="20"/>
        <w:szCs w:val="20"/>
      </w:rPr>
      <w:t xml:space="preserve"> </w:t>
    </w:r>
    <w:r>
      <w:rPr>
        <w:spacing w:val="-8"/>
        <w:sz w:val="20"/>
        <w:szCs w:val="20"/>
      </w:rPr>
      <w:t>×</w:t>
    </w:r>
    <w:r>
      <w:rPr>
        <w:spacing w:val="-59"/>
        <w:sz w:val="20"/>
        <w:szCs w:val="20"/>
      </w:rPr>
      <w:t xml:space="preserve"> </w:t>
    </w:r>
    <w:r>
      <w:rPr>
        <w:spacing w:val="-8"/>
        <w:sz w:val="20"/>
        <w:szCs w:val="20"/>
      </w:rPr>
      <w:t>×</w:t>
    </w:r>
    <w:r>
      <w:rPr>
        <w:spacing w:val="-61"/>
        <w:sz w:val="20"/>
        <w:szCs w:val="20"/>
      </w:rPr>
      <w:t xml:space="preserve"> </w:t>
    </w:r>
    <w:r>
      <w:rPr>
        <w:spacing w:val="-8"/>
        <w:sz w:val="20"/>
        <w:szCs w:val="20"/>
      </w:rPr>
      <w:t>×</w:t>
    </w:r>
    <w:r>
      <w:rPr>
        <w:spacing w:val="-58"/>
        <w:sz w:val="20"/>
        <w:szCs w:val="20"/>
      </w:rPr>
      <w:t xml:space="preserve"> </w:t>
    </w:r>
    <w:r>
      <w:rPr>
        <w:spacing w:val="-8"/>
        <w:sz w:val="20"/>
        <w:szCs w:val="20"/>
      </w:rPr>
      <w:t>×-202×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86F41">
    <w:pPr>
      <w:pStyle w:val="2"/>
      <w:spacing w:before="54" w:line="237" w:lineRule="auto"/>
      <w:jc w:val="right"/>
      <w:rPr>
        <w:sz w:val="20"/>
        <w:szCs w:val="20"/>
      </w:rPr>
    </w:pPr>
    <w:r>
      <w:rPr>
        <w:spacing w:val="-8"/>
        <w:sz w:val="20"/>
        <w:szCs w:val="20"/>
      </w:rPr>
      <w:t>YS/T</w:t>
    </w:r>
    <w:r>
      <w:rPr>
        <w:spacing w:val="49"/>
        <w:sz w:val="20"/>
        <w:szCs w:val="20"/>
      </w:rPr>
      <w:t xml:space="preserve"> </w:t>
    </w:r>
    <w:r>
      <w:rPr>
        <w:spacing w:val="-8"/>
        <w:sz w:val="20"/>
        <w:szCs w:val="20"/>
      </w:rPr>
      <w:t>×</w:t>
    </w:r>
    <w:r>
      <w:rPr>
        <w:spacing w:val="-60"/>
        <w:sz w:val="20"/>
        <w:szCs w:val="20"/>
      </w:rPr>
      <w:t xml:space="preserve"> </w:t>
    </w:r>
    <w:r>
      <w:rPr>
        <w:spacing w:val="-8"/>
        <w:sz w:val="20"/>
        <w:szCs w:val="20"/>
      </w:rPr>
      <w:t>×</w:t>
    </w:r>
    <w:r>
      <w:rPr>
        <w:spacing w:val="-59"/>
        <w:sz w:val="20"/>
        <w:szCs w:val="20"/>
      </w:rPr>
      <w:t xml:space="preserve"> </w:t>
    </w:r>
    <w:r>
      <w:rPr>
        <w:spacing w:val="-8"/>
        <w:sz w:val="20"/>
        <w:szCs w:val="20"/>
      </w:rPr>
      <w:t>×</w:t>
    </w:r>
    <w:r>
      <w:rPr>
        <w:spacing w:val="-61"/>
        <w:sz w:val="20"/>
        <w:szCs w:val="20"/>
      </w:rPr>
      <w:t xml:space="preserve"> </w:t>
    </w:r>
    <w:r>
      <w:rPr>
        <w:spacing w:val="-8"/>
        <w:sz w:val="20"/>
        <w:szCs w:val="20"/>
      </w:rPr>
      <w:t>×</w:t>
    </w:r>
    <w:r>
      <w:rPr>
        <w:spacing w:val="-58"/>
        <w:sz w:val="20"/>
        <w:szCs w:val="20"/>
      </w:rPr>
      <w:t xml:space="preserve"> </w:t>
    </w:r>
    <w:r>
      <w:rPr>
        <w:spacing w:val="-8"/>
        <w:sz w:val="20"/>
        <w:szCs w:val="20"/>
      </w:rPr>
      <w:t>×-202×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7B1CD">
    <w:pPr>
      <w:pStyle w:val="2"/>
      <w:spacing w:before="54" w:line="237" w:lineRule="auto"/>
      <w:ind w:left="7267"/>
      <w:rPr>
        <w:sz w:val="20"/>
        <w:szCs w:val="20"/>
      </w:rPr>
    </w:pPr>
    <w:r>
      <w:rPr>
        <w:spacing w:val="-8"/>
        <w:sz w:val="20"/>
        <w:szCs w:val="20"/>
      </w:rPr>
      <w:t>YS/T</w:t>
    </w:r>
    <w:r>
      <w:rPr>
        <w:spacing w:val="49"/>
        <w:sz w:val="20"/>
        <w:szCs w:val="20"/>
      </w:rPr>
      <w:t xml:space="preserve"> </w:t>
    </w:r>
    <w:r>
      <w:rPr>
        <w:spacing w:val="-8"/>
        <w:sz w:val="20"/>
        <w:szCs w:val="20"/>
      </w:rPr>
      <w:t>×</w:t>
    </w:r>
    <w:r>
      <w:rPr>
        <w:spacing w:val="-60"/>
        <w:sz w:val="20"/>
        <w:szCs w:val="20"/>
      </w:rPr>
      <w:t xml:space="preserve"> </w:t>
    </w:r>
    <w:r>
      <w:rPr>
        <w:spacing w:val="-8"/>
        <w:sz w:val="20"/>
        <w:szCs w:val="20"/>
      </w:rPr>
      <w:t>×</w:t>
    </w:r>
    <w:r>
      <w:rPr>
        <w:spacing w:val="-59"/>
        <w:sz w:val="20"/>
        <w:szCs w:val="20"/>
      </w:rPr>
      <w:t xml:space="preserve"> </w:t>
    </w:r>
    <w:r>
      <w:rPr>
        <w:spacing w:val="-8"/>
        <w:sz w:val="20"/>
        <w:szCs w:val="20"/>
      </w:rPr>
      <w:t>×</w:t>
    </w:r>
    <w:r>
      <w:rPr>
        <w:spacing w:val="-61"/>
        <w:sz w:val="20"/>
        <w:szCs w:val="20"/>
      </w:rPr>
      <w:t xml:space="preserve"> </w:t>
    </w:r>
    <w:r>
      <w:rPr>
        <w:spacing w:val="-8"/>
        <w:sz w:val="20"/>
        <w:szCs w:val="20"/>
      </w:rPr>
      <w:t>×</w:t>
    </w:r>
    <w:r>
      <w:rPr>
        <w:spacing w:val="-58"/>
        <w:sz w:val="20"/>
        <w:szCs w:val="20"/>
      </w:rPr>
      <w:t xml:space="preserve"> </w:t>
    </w:r>
    <w:r>
      <w:rPr>
        <w:spacing w:val="-8"/>
        <w:sz w:val="20"/>
        <w:szCs w:val="20"/>
      </w:rPr>
      <w:t>×-202×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506A6">
    <w:pPr>
      <w:pStyle w:val="2"/>
      <w:spacing w:before="54" w:line="237" w:lineRule="auto"/>
      <w:jc w:val="right"/>
      <w:rPr>
        <w:sz w:val="20"/>
        <w:szCs w:val="20"/>
      </w:rPr>
    </w:pPr>
    <w:r>
      <w:rPr>
        <w:spacing w:val="-8"/>
        <w:sz w:val="20"/>
        <w:szCs w:val="20"/>
      </w:rPr>
      <w:t>YS/T</w:t>
    </w:r>
    <w:r>
      <w:rPr>
        <w:spacing w:val="49"/>
        <w:sz w:val="20"/>
        <w:szCs w:val="20"/>
      </w:rPr>
      <w:t xml:space="preserve"> </w:t>
    </w:r>
    <w:r>
      <w:rPr>
        <w:spacing w:val="-8"/>
        <w:sz w:val="20"/>
        <w:szCs w:val="20"/>
      </w:rPr>
      <w:t>×</w:t>
    </w:r>
    <w:r>
      <w:rPr>
        <w:spacing w:val="-60"/>
        <w:sz w:val="20"/>
        <w:szCs w:val="20"/>
      </w:rPr>
      <w:t xml:space="preserve"> </w:t>
    </w:r>
    <w:r>
      <w:rPr>
        <w:spacing w:val="-8"/>
        <w:sz w:val="20"/>
        <w:szCs w:val="20"/>
      </w:rPr>
      <w:t>×</w:t>
    </w:r>
    <w:r>
      <w:rPr>
        <w:spacing w:val="-59"/>
        <w:sz w:val="20"/>
        <w:szCs w:val="20"/>
      </w:rPr>
      <w:t xml:space="preserve"> </w:t>
    </w:r>
    <w:r>
      <w:rPr>
        <w:spacing w:val="-8"/>
        <w:sz w:val="20"/>
        <w:szCs w:val="20"/>
      </w:rPr>
      <w:t>×</w:t>
    </w:r>
    <w:r>
      <w:rPr>
        <w:spacing w:val="-61"/>
        <w:sz w:val="20"/>
        <w:szCs w:val="20"/>
      </w:rPr>
      <w:t xml:space="preserve"> </w:t>
    </w:r>
    <w:r>
      <w:rPr>
        <w:spacing w:val="-8"/>
        <w:sz w:val="20"/>
        <w:szCs w:val="20"/>
      </w:rPr>
      <w:t>×</w:t>
    </w:r>
    <w:r>
      <w:rPr>
        <w:spacing w:val="-58"/>
        <w:sz w:val="20"/>
        <w:szCs w:val="20"/>
      </w:rPr>
      <w:t xml:space="preserve"> </w:t>
    </w:r>
    <w:r>
      <w:rPr>
        <w:spacing w:val="-8"/>
        <w:sz w:val="20"/>
        <w:szCs w:val="20"/>
      </w:rPr>
      <w:t>×-202×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1"/>
      <w:suff w:val="nothing"/>
      <w:lvlText w:val="%1.%2　"/>
      <w:lvlJc w:val="left"/>
      <w:pPr>
        <w:ind w:left="71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10"/>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E7F7725"/>
    <w:rsid w:val="16807DDA"/>
    <w:rsid w:val="21BB777C"/>
    <w:rsid w:val="2FA567D7"/>
    <w:rsid w:val="46092AAE"/>
    <w:rsid w:val="527807B8"/>
    <w:rsid w:val="67A9324B"/>
    <w:rsid w:val="69B97B02"/>
    <w:rsid w:val="75AA26F2"/>
    <w:rsid w:val="764F0F3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28"/>
      <w:szCs w:val="28"/>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18"/>
      <w:szCs w:val="18"/>
      <w:lang w:val="en-US" w:eastAsia="en-US" w:bidi="ar-SA"/>
    </w:rPr>
  </w:style>
  <w:style w:type="paragraph" w:customStyle="1" w:styleId="8">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0">
    <w:name w:val="二级条标题"/>
    <w:basedOn w:val="11"/>
    <w:next w:val="9"/>
    <w:qFormat/>
    <w:uiPriority w:val="0"/>
    <w:pPr>
      <w:numPr>
        <w:ilvl w:val="2"/>
        <w:numId w:val="1"/>
      </w:numPr>
      <w:spacing w:before="50" w:after="50"/>
      <w:outlineLvl w:val="3"/>
    </w:pPr>
  </w:style>
  <w:style w:type="paragraph" w:customStyle="1" w:styleId="11">
    <w:name w:val="一级条标题"/>
    <w:next w:val="9"/>
    <w:qFormat/>
    <w:uiPriority w:val="0"/>
    <w:pPr>
      <w:numPr>
        <w:ilvl w:val="1"/>
        <w:numId w:val="1"/>
      </w:numPr>
      <w:spacing w:before="156" w:beforeLines="50" w:after="156" w:afterLines="50"/>
      <w:outlineLvl w:val="2"/>
    </w:pPr>
    <w:rPr>
      <w:rFonts w:ascii="黑体" w:hAnsi="Times New Roman" w:eastAsia="黑体" w:cs="Times New Roman"/>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wmf"/><Relationship Id="rId17" Type="http://schemas.openxmlformats.org/officeDocument/2006/relationships/oleObject" Target="embeddings/oleObject1.bin"/><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2de9af1b-395d-4544-9064-0b5a8c59f8cf</errorID>
      <errorWord>w/</errorWord>
      <group>L1_Format</group>
      <groupName>格式问题</groupName>
      <ability>L2_Ordinal</ability>
      <abilityName>序号格式</abilityName>
      <candidateList>
        <item>w.</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7A4A6938</paraID>
      <start>0</start>
      <end>2</end>
      <status>unmodified</status>
      <modifiedWord/>
      <trackRevisions>false</trackRevisions>
    </reviewItem>
    <reviewItem>
      <errorID>c7ad63cc-1a03-4655-a7cd-782e9f85ca1b</errorID>
      <errorWord>其它杂质</errorWord>
      <group>L1_Word</group>
      <groupName>字词问题</groupName>
      <ability>L2_Alias</ability>
      <abilityName>也作/曾用词</abilityName>
      <candidateList>
        <item>其他杂质</item>
      </candidateList>
      <explain>词汇[其它杂质]为不规范表述或旧称，其规范书面表述为[其他杂质]。</explain>
      <paraID>534CFB54</paraID>
      <start>7</start>
      <end>11</end>
      <status>unmodified</status>
      <modifiedWord/>
      <trackRevisions>false</trackRevisions>
    </reviewItem>
    <reviewItem>
      <errorID>ecbe74aa-6c3f-4217-b2bc-35b1d524d210</errorID>
      <errorWord>)</errorWord>
      <group>L1_Format</group>
      <groupName>格式问题</groupName>
      <ability>L2_HalfPunc_CN</ability>
      <abilityName>全半角问题</abilityName>
      <candidateList>
        <item>）</item>
      </candidateList>
      <explain>文本全半角错误。</explain>
      <paraID>428155B8</paraID>
      <start>177</start>
      <end>178</end>
      <status>unmodified</status>
      <modifiedWord/>
      <trackRevisions>false</trackRevisions>
    </reviewItem>
    <reviewItem>
      <errorID>c883a7f2-9dfe-434a-86c0-faa09918e85a</errorID>
      <errorWord>(</errorWord>
      <group>L1_Format</group>
      <groupName>格式问题</groupName>
      <ability>L2_HalfPunc_CN</ability>
      <abilityName>全半角问题</abilityName>
      <candidateList>
        <item>（</item>
      </candidateList>
      <explain>文本全半角错误。</explain>
      <paraID>34391BCE</paraID>
      <start>10</start>
      <end>11</end>
      <status>unmodified</status>
      <modifiedWord/>
      <trackRevisions>false</trackRevisions>
    </reviewItem>
    <reviewItem>
      <errorID>2734efa7-bff3-456a-aba5-ccac72cb2c37</errorID>
      <errorWord>)</errorWord>
      <group>L1_Format</group>
      <groupName>格式问题</groupName>
      <ability>L2_HalfPunc_CN</ability>
      <abilityName>全半角问题</abilityName>
      <candidateList>
        <item>）</item>
      </candidateList>
      <explain>文本全半角错误。</explain>
      <paraID>34391BCE</paraID>
      <start>18</start>
      <end>19</end>
      <status>unmodified</status>
      <modifiedWord/>
      <trackRevisions>false</trackRevisions>
    </reviewItem>
    <reviewItem>
      <errorID>b82b1b3b-8857-401c-90e1-3a5c2fe06eb6</errorID>
      <errorWord>)</errorWord>
      <group>L1_Format</group>
      <groupName>格式问题</groupName>
      <ability>L2_HalfPunc_CN</ability>
      <abilityName>全半角问题</abilityName>
      <candidateList>
        <item>）</item>
      </candidateList>
      <explain>文本全半角错误。</explain>
      <paraID>43DE7C62</paraID>
      <start>53</start>
      <end>54</end>
      <status>unmodified</status>
      <modifiedWord/>
      <trackRevisions>false</trackRevisions>
    </reviewItem>
    <reviewItem>
      <errorID>c9ceb76b-dbaf-45f0-b086-9220f25210da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43DE7C62</paraID>
      <start>169</start>
      <end>170</end>
      <status>unmodified</status>
      <modifiedWord/>
      <trackRevisions>false</trackRevisions>
    </reviewItem>
    <reviewItem>
      <errorID>d716c88c-0f99-44a7-afc9-4d5d7c032cf8</errorID>
      <errorWord>;</errorWord>
      <group>L1_Format</group>
      <groupName>格式问题</groupName>
      <ability>L2_HalfPunc_CN</ability>
      <abilityName>全半角问题</abilityName>
      <candidateList>
        <item>；</item>
      </candidateList>
      <explain>文本全半角错误。</explain>
      <paraID>54592F34</paraID>
      <start>22</start>
      <end>23</end>
      <status>unmodified</status>
      <modifiedWord/>
      <trackRevisions>false</trackRevisions>
    </reviewItem>
    <reviewItem>
      <errorID>762554ef-953e-4d68-bf69-78b766634939</errorID>
      <errorWord>;</errorWord>
      <group>L1_Format</group>
      <groupName>格式问题</groupName>
      <ability>L2_HalfPunc_CN</ability>
      <abilityName>全半角问题</abilityName>
      <candidateList>
        <item>；</item>
      </candidateList>
      <explain>文本全半角错误。</explain>
      <paraID>1B2E90A5</paraID>
      <start>19</start>
      <end>20</end>
      <status>unmodified</status>
      <modifiedWord/>
      <trackRevisions>false</trackRevisions>
    </reviewItem>
    <reviewItem>
      <errorID>ae0d6659-6979-4178-8a36-45e9df02c8ae</errorID>
      <errorWord>(</errorWord>
      <group>L1_Format</group>
      <groupName>格式问题</groupName>
      <ability>L2_HalfPunc_CN</ability>
      <abilityName>全半角问题</abilityName>
      <candidateList>
        <item>（</item>
      </candidateList>
      <explain>文本全半角错误。</explain>
      <paraID>105286EE</paraID>
      <start>118</start>
      <end>119</end>
      <status>unmodified</status>
      <modifiedWord/>
      <trackRevisions>false</trackRevisions>
    </reviewItem>
    <reviewItem>
      <errorID>790e46af-086b-49e6-888c-ea29bcc60e11</errorID>
      <errorWord>其它</errorWord>
      <group>L1_Word</group>
      <groupName>字词问题</groupName>
      <ability>L2_Alias</ability>
      <abilityName>也作/曾用词</abilityName>
      <candidateList>
        <item>其他</item>
      </candidateList>
      <explain>词汇[其它]为不规范表述或旧称，其规范书面表述为[其他]。</explain>
      <paraID>344D9E63</paraID>
      <start>50</start>
      <end>52</end>
      <status>unmodified</status>
      <modifiedWord/>
      <trackRevisions>false</trackRevisions>
    </reviewItem>
    <reviewItem>
      <errorID>a4c10acb-c731-4348-81c7-05e691093627</errorID>
      <errorWord>。</errorWord>
      <group>L1_Grammar</group>
      <groupName>语法问题</groupName>
      <ability>L2_Missing</ability>
      <abilityName>成分残缺</abilityName>
      <candidateList>
        <item>仲裁机构。</item>
      </candidateList>
      <explain>句子中可能存在主谓宾、修饰语或者必要的词语残缺。</explain>
      <paraID>344D9E63</paraID>
      <start>99</start>
      <end>100</end>
      <status>unmodified</status>
      <modifiedWord/>
      <trackRevisions>false</trackRevisions>
    </reviewItem>
    <reviewItem>
      <errorID>25b85418-1c55-437b-94d4-41bd116a454d</errorID>
      <errorWord>,</errorWord>
      <group>L1_Format</group>
      <groupName>格式问题</groupName>
      <ability>L2_HalfPunc_CN</ability>
      <abilityName>全半角问题</abilityName>
      <candidateList>
        <item>，</item>
      </candidateList>
      <explain>文本全半角错误。</explain>
      <paraID>3BE83C63</paraID>
      <start>9</start>
      <end>10</end>
      <status>unmodified</status>
      <modifiedWord/>
      <trackRevisions>false</trackRevisions>
    </reviewItem>
    <reviewItem>
      <errorID>1ff550b2-c7c0-4c11-b131-521aa562a861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4434619</paraID>
      <start>3</start>
      <end>4</end>
      <status>unmodified</status>
      <modifiedWord/>
      <trackRevisions>false</trackRevisions>
    </reviewItem>
    <reviewItem>
      <errorID>f53bbae8-05c6-42c0-a717-28d831d8a9a9</errorID>
      <errorWord>(</errorWord>
      <group>L1_Format</group>
      <groupName>格式问题</groupName>
      <ability>L2_HalfPunc_CN</ability>
      <abilityName>全半角问题</abilityName>
      <candidateList>
        <item>（</item>
      </candidateList>
      <explain>文本全半角错误。</explain>
      <paraID> 4434619</paraID>
      <start>4</start>
      <end>5</end>
      <status>unmodified</status>
      <modifiedWord/>
      <trackRevisions>false</trackRevisions>
    </reviewItem>
    <reviewItem>
      <errorID>d45b5631-a530-4cc7-b8f2-8bd0a0b42d6c</errorID>
      <errorWord>样对</errorWord>
      <group>L1_Grammar</group>
      <groupName>语法问题</groupName>
      <ability>L2_Order</ability>
      <abilityName>语序不当</abilityName>
      <candidateList>
        <item>对</item>
      </candidateList>
      <explain>句子可能没有遵循时空、逻辑顺序，或者介词、关联词等位置不当。</explain>
      <paraID>5C3093F6</paraID>
      <start>0</start>
      <end>2</end>
      <status>unmodified</status>
      <modifiedWord/>
      <trackRevisions>false</trackRevisions>
    </reviewItem>
    <reviewItem>
      <errorID>bc5c3bc1-e997-4ade-bfa7-2d780290a64c</errorID>
      <errorWord>判</errorWord>
      <group>L1_Word</group>
      <groupName>字词问题</groupName>
      <ability>L2_Typo</ability>
      <abilityName>字词错误</abilityName>
      <candidateList>
        <item>判定</item>
      </candidateList>
      <explain/>
      <paraID>396852B8</paraID>
      <start>21</start>
      <end>22</end>
      <status>unmodified</status>
      <modifiedWord/>
      <trackRevisions>false</trackRevisions>
    </reviewItem>
    <reviewItem>
      <errorID>3bcd6a29-d746-4ae9-b93c-ba2952718598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73BD54C6</paraID>
      <start>0</start>
      <end>2</end>
      <status>unmodified</status>
      <modifiedWord/>
      <trackRevisions>false</trackRevisions>
    </reviewItem>
    <reviewItem>
      <errorID>c5406583-84a0-49fe-9082-f5344ac575dd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4A35FAD0</paraID>
      <start>0</start>
      <end>2</end>
      <status>unmodified</status>
      <modifiedWord/>
      <trackRevisions>false</trackRevisions>
    </reviewItem>
    <reviewItem>
      <errorID>83596636-3b2f-4fee-b21d-24bcb7f8f1b7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6917F2D0</paraID>
      <start>0</start>
      <end>2</end>
      <status>unmodified</status>
      <modifiedWord/>
      <trackRevisions>false</trackRevisions>
    </reviewItem>
    <reviewItem>
      <errorID>491ae93a-f123-49c2-b46a-76276d004f9d</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4BD08942</paraID>
      <start>0</start>
      <end>2</end>
      <status>unmodified</status>
      <modifiedWord/>
      <trackRevisions>false</trackRevisions>
    </reviewItem>
    <reviewItem>
      <errorID>68b0b86d-cae6-48f0-91b5-3fb80cc4f85b</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417E1F</paraID>
      <start>0</start>
      <end>2</end>
      <status>unmodified</status>
      <modifiedWord/>
      <trackRevisions>false</trackRevisions>
    </reviewItem>
    <reviewItem>
      <errorID>81b7354b-7245-4a53-95b6-952fdff34127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5660AE7C</paraID>
      <start>0</start>
      <end>2</end>
      <status>unmodified</status>
      <modifiedWord/>
      <trackRevisions>false</trackRevisions>
    </reviewItem>
    <reviewItem>
      <errorID>ae0525f9-b4a1-4001-80c3-3c44a213503f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5EFF700</paraID>
      <start>0</start>
      <end>2</end>
      <status>unmodified</status>
      <modifiedWord/>
      <trackRevisions>false</trackRevisions>
    </reviewItem>
    <reviewItem>
      <errorID>3bd47c2f-51d1-49ad-8126-17a4c454644e</errorID>
      <errorWord>印记</errorWord>
      <group>L1_Word</group>
      <groupName>字词问题</groupName>
      <ability>L2_Typo</ability>
      <abilityName>字词错误</abilityName>
      <candidateList>
        <item>印鉴</item>
      </candidateList>
      <explain/>
      <paraID>1AC6B89F</paraID>
      <start>21</start>
      <end>23</end>
      <status>unmodified</status>
      <modifiedWord/>
      <trackRevisions>false</trackRevisions>
    </reviewItem>
    <reviewItem>
      <errorID>cc7a0245-f7f6-4a9d-846e-ae7fe819bcde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6F57DC51</paraID>
      <start>0</start>
      <end>2</end>
      <status>unmodified</status>
      <modifiedWord/>
      <trackRevisions>false</trackRevisions>
    </reviewItem>
    <reviewItem>
      <errorID>f1ca5a92-816d-48b8-9b78-a4794dc6f47a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3272B01B</paraID>
      <start>0</start>
      <end>2</end>
      <status>unmodified</status>
      <modifiedWord/>
      <trackRevisions>false</trackRevisions>
    </reviewItem>
    <reviewItem>
      <errorID>158bb4de-bab2-454e-a736-5375fc989dae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DB1529C</paraID>
      <start>0</start>
      <end>2</end>
      <status>unmodified</status>
      <modifiedWord/>
      <trackRevisions>false</trackRevisions>
    </reviewItem>
    <reviewItem>
      <errorID>39bc241b-2630-4107-9d44-59cdb79a73fe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458ED3AA</paraID>
      <start>0</start>
      <end>2</end>
      <status>unmodified</status>
      <modifiedWord/>
      <trackRevisions>false</trackRevisions>
    </reviewItem>
    <reviewItem>
      <errorID>4169bfd8-33c5-4789-af22-77ae515d4599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AA18B32</paraID>
      <start>0</start>
      <end>2</end>
      <status>unmodified</status>
      <modifiedWord/>
      <trackRevisions>false</trackRevisions>
    </reviewItem>
    <reviewItem>
      <errorID>571a8ce2-01d4-49bf-8b94-de88ffa60790</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590AD693</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21e67b-d779-47ac-bfe0-2237c3fb5555}">
  <ds:schemaRefs/>
</ds:datastoreItem>
</file>

<file path=docProps/app.xml><?xml version="1.0" encoding="utf-8"?>
<Properties xmlns="http://schemas.openxmlformats.org/officeDocument/2006/extended-properties" xmlns:vt="http://schemas.openxmlformats.org/officeDocument/2006/docPropsVTypes">
  <Pages>7</Pages>
  <Words>2975</Words>
  <Characters>3631</Characters>
  <TotalTime>0</TotalTime>
  <ScaleCrop>false</ScaleCrop>
  <LinksUpToDate>false</LinksUpToDate>
  <CharactersWithSpaces>3964</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2026-05-18T21:05:00Z</dcterms:created>
  <dc:creator>yufen</dc:creator>
  <cp:lastModifiedBy>郁丰善</cp:lastModifiedBy>
  <dcterms:modified xsi:type="dcterms:W3CDTF">2026-08-04T05:31:00Z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2026-07-25T14:42:59Z</vt:filetime>
  </property>
  <property fmtid="{D5CDD505-2E9C-101B-9397-08002B2CF9AE}" pid="4" name="KSOTemplateDocerSaveRecord">
    <vt:lpwstr>eyJoZGlkIjoiODVjZjNkZjc2NWZhYWY3Y2MyMjQxYjU0YWIwZTQ5YTQiLCJ1c2VySWQiOiI0MTE0MjExMTAifQ==</vt:lpwstr>
  </property>
  <property fmtid="{D5CDD505-2E9C-101B-9397-08002B2CF9AE}" pid="5" name="KSOProductBuildVer">
    <vt:lpwstr>2052-12.1.0.28043</vt:lpwstr>
  </property>
  <property fmtid="{D5CDD505-2E9C-101B-9397-08002B2CF9AE}" pid="6" name="ICV">
    <vt:lpwstr>E9B78DF303064F8681E24E102A7CA1ED_13</vt:lpwstr>
  </property>
</Properties>
</file>