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2089D2">
      <w:pPr>
        <w:ind w:firstLine="420"/>
        <w:jc w:val="center"/>
        <w:rPr>
          <w:rFonts w:hint="default" w:ascii="Times New Roman" w:hAnsi="Times New Roman" w:eastAsia="黑体" w:cs="Times New Roman"/>
          <w:bCs/>
          <w:sz w:val="32"/>
          <w:szCs w:val="32"/>
        </w:rPr>
      </w:pPr>
      <w:bookmarkStart w:id="0" w:name="_Toc28381"/>
      <w:bookmarkStart w:id="1" w:name="_Toc14793"/>
    </w:p>
    <w:p w14:paraId="00C5C041">
      <w:pPr>
        <w:ind w:firstLine="420"/>
        <w:jc w:val="center"/>
        <w:rPr>
          <w:rFonts w:hint="default" w:ascii="Times New Roman" w:hAnsi="Times New Roman" w:eastAsia="黑体" w:cs="Times New Roman"/>
          <w:bCs/>
          <w:sz w:val="32"/>
          <w:szCs w:val="32"/>
        </w:rPr>
      </w:pPr>
      <w:r>
        <w:rPr>
          <w:rFonts w:hint="default" w:ascii="Times New Roman" w:hAnsi="Times New Roman" w:cs="Times New Roman"/>
        </w:rPr>
        <mc:AlternateContent>
          <mc:Choice Requires="wps">
            <w:drawing>
              <wp:anchor distT="0" distB="0" distL="114300" distR="114300" simplePos="0" relativeHeight="251660288" behindDoc="0" locked="1" layoutInCell="1" allowOverlap="1">
                <wp:simplePos x="0" y="0"/>
                <wp:positionH relativeFrom="margin">
                  <wp:posOffset>-21590</wp:posOffset>
                </wp:positionH>
                <wp:positionV relativeFrom="margin">
                  <wp:posOffset>-262890</wp:posOffset>
                </wp:positionV>
                <wp:extent cx="2540000" cy="657860"/>
                <wp:effectExtent l="0" t="0" r="0" b="0"/>
                <wp:wrapNone/>
                <wp:docPr id="55" name="文本框 55"/>
                <wp:cNvGraphicFramePr/>
                <a:graphic xmlns:a="http://schemas.openxmlformats.org/drawingml/2006/main">
                  <a:graphicData uri="http://schemas.microsoft.com/office/word/2010/wordprocessingShape">
                    <wps:wsp>
                      <wps:cNvSpPr txBox="1">
                        <a:spLocks noChangeArrowheads="1"/>
                      </wps:cNvSpPr>
                      <wps:spPr bwMode="auto">
                        <a:xfrm>
                          <a:off x="0" y="0"/>
                          <a:ext cx="2540000" cy="657860"/>
                        </a:xfrm>
                        <a:prstGeom prst="rect">
                          <a:avLst/>
                        </a:prstGeom>
                        <a:noFill/>
                        <a:ln>
                          <a:noFill/>
                        </a:ln>
                        <a:effectLst/>
                      </wps:spPr>
                      <wps:txbx>
                        <w:txbxContent>
                          <w:p w14:paraId="4EB93E38">
                            <w:pPr>
                              <w:pStyle w:val="168"/>
                              <w:rPr>
                                <w:rFonts w:hint="eastAsia" w:ascii="黑体" w:hAnsi="黑体" w:eastAsia="黑体" w:cs="黑体"/>
                                <w:lang w:val="en-US" w:eastAsia="zh-CN"/>
                              </w:rPr>
                            </w:pPr>
                            <w:r>
                              <w:rPr>
                                <w:rFonts w:hint="eastAsia" w:ascii="黑体" w:hAnsi="黑体" w:eastAsia="黑体" w:cs="黑体"/>
                              </w:rPr>
                              <w:t>ICS</w:t>
                            </w:r>
                            <w:r>
                              <w:rPr>
                                <w:rFonts w:hint="eastAsia" w:ascii="黑体" w:hAnsi="黑体" w:eastAsia="黑体" w:cs="黑体"/>
                                <w:lang w:val="en-US" w:eastAsia="zh-CN"/>
                              </w:rPr>
                              <w:t xml:space="preserve"> 13.020.10</w:t>
                            </w:r>
                          </w:p>
                          <w:p w14:paraId="2F8EB64A">
                            <w:pPr>
                              <w:pStyle w:val="168"/>
                              <w:rPr>
                                <w:rFonts w:hint="eastAsia" w:ascii="黑体" w:hAnsi="黑体" w:eastAsia="黑体" w:cs="黑体"/>
                              </w:rPr>
                            </w:pPr>
                            <w:bookmarkStart w:id="73" w:name="WXFLH"/>
                            <w:r>
                              <w:rPr>
                                <w:rFonts w:hint="eastAsia" w:ascii="黑体" w:hAnsi="黑体" w:cs="黑体"/>
                                <w:szCs w:val="20"/>
                                <w:lang w:val="en-US" w:eastAsia="zh-CN"/>
                              </w:rPr>
                              <w:t>CCS</w:t>
                            </w:r>
                            <w:r>
                              <w:rPr>
                                <w:rFonts w:hint="eastAsia" w:hAnsi="黑体" w:cs="黑体"/>
                                <w:szCs w:val="20"/>
                                <w:lang w:val="en-US" w:eastAsia="zh-CN"/>
                              </w:rPr>
                              <w:t xml:space="preserve"> </w:t>
                            </w:r>
                            <w:r>
                              <w:rPr>
                                <w:rFonts w:hint="eastAsia" w:ascii="黑体" w:hAnsi="黑体" w:eastAsia="黑体" w:cs="黑体"/>
                                <w:szCs w:val="20"/>
                                <w:lang w:val="en-US" w:eastAsia="zh-CN"/>
                              </w:rPr>
                              <w:t>Z</w:t>
                            </w:r>
                            <w:r>
                              <w:rPr>
                                <w:rFonts w:hint="eastAsia" w:ascii="黑体" w:hAnsi="黑体" w:eastAsia="黑体" w:cs="黑体"/>
                              </w:rPr>
                              <w:t xml:space="preserve"> 04</w:t>
                            </w:r>
                            <w:bookmarkEnd w:id="73"/>
                          </w:p>
                          <w:p w14:paraId="65B56601">
                            <w:pPr>
                              <w:pStyle w:val="168"/>
                              <w:rPr>
                                <w:rFonts w:hint="eastAsia" w:ascii="黑体" w:hAnsi="黑体"/>
                              </w:rPr>
                            </w:pPr>
                          </w:p>
                        </w:txbxContent>
                      </wps:txbx>
                      <wps:bodyPr rot="0" vert="horz" wrap="square" lIns="0" tIns="0" rIns="0" bIns="0" anchor="t" anchorCtr="0" upright="1">
                        <a:noAutofit/>
                      </wps:bodyPr>
                    </wps:wsp>
                  </a:graphicData>
                </a:graphic>
              </wp:anchor>
            </w:drawing>
          </mc:Choice>
          <mc:Fallback>
            <w:pict>
              <v:shape id="_x0000_s1026" o:spid="_x0000_s1026" o:spt="202" type="#_x0000_t202" style="position:absolute;left:0pt;margin-left:-1.7pt;margin-top:-20.7pt;height:51.8pt;width:200pt;mso-position-horizontal-relative:margin;mso-position-vertical-relative:margin;z-index:251660288;mso-width-relative:page;mso-height-relative:page;" filled="f" stroked="f" coordsize="21600,21600" o:gfxdata="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4P5W6tgAAAAJAQAADwAAAAAA&#10;AAABACAAAAAiAAAAZHJzL2Rvd25yZXYueG1sUEsBAhQAFAAAAAgAh07iQGcC1dETAgAAFQQAAA4A&#10;AAAAAAAAAQAgAAAAJwEAAGRycy9lMm9Eb2MueG1sUEsFBgAAAAAGAAYAWQEAAKwFAAAAAA==&#10;">
                <v:fill on="f" focussize="0,0"/>
                <v:stroke on="f"/>
                <v:imagedata o:title=""/>
                <o:lock v:ext="edit" aspectratio="f"/>
                <v:textbox inset="0mm,0mm,0mm,0mm">
                  <w:txbxContent>
                    <w:p w14:paraId="4EB93E38">
                      <w:pPr>
                        <w:pStyle w:val="168"/>
                        <w:rPr>
                          <w:rFonts w:hint="eastAsia" w:ascii="黑体" w:hAnsi="黑体" w:eastAsia="黑体" w:cs="黑体"/>
                          <w:lang w:val="en-US" w:eastAsia="zh-CN"/>
                        </w:rPr>
                      </w:pPr>
                      <w:r>
                        <w:rPr>
                          <w:rFonts w:hint="eastAsia" w:ascii="黑体" w:hAnsi="黑体" w:eastAsia="黑体" w:cs="黑体"/>
                        </w:rPr>
                        <w:t>ICS</w:t>
                      </w:r>
                      <w:r>
                        <w:rPr>
                          <w:rFonts w:hint="eastAsia" w:ascii="黑体" w:hAnsi="黑体" w:eastAsia="黑体" w:cs="黑体"/>
                          <w:lang w:val="en-US" w:eastAsia="zh-CN"/>
                        </w:rPr>
                        <w:t xml:space="preserve"> 13.020.10</w:t>
                      </w:r>
                    </w:p>
                    <w:p w14:paraId="2F8EB64A">
                      <w:pPr>
                        <w:pStyle w:val="168"/>
                        <w:rPr>
                          <w:rFonts w:hint="eastAsia" w:ascii="黑体" w:hAnsi="黑体" w:eastAsia="黑体" w:cs="黑体"/>
                        </w:rPr>
                      </w:pPr>
                      <w:bookmarkStart w:id="73" w:name="WXFLH"/>
                      <w:r>
                        <w:rPr>
                          <w:rFonts w:hint="eastAsia" w:ascii="黑体" w:hAnsi="黑体" w:cs="黑体"/>
                          <w:szCs w:val="20"/>
                          <w:lang w:val="en-US" w:eastAsia="zh-CN"/>
                        </w:rPr>
                        <w:t>CCS</w:t>
                      </w:r>
                      <w:r>
                        <w:rPr>
                          <w:rFonts w:hint="eastAsia" w:hAnsi="黑体" w:cs="黑体"/>
                          <w:szCs w:val="20"/>
                          <w:lang w:val="en-US" w:eastAsia="zh-CN"/>
                        </w:rPr>
                        <w:t xml:space="preserve"> </w:t>
                      </w:r>
                      <w:r>
                        <w:rPr>
                          <w:rFonts w:hint="eastAsia" w:ascii="黑体" w:hAnsi="黑体" w:eastAsia="黑体" w:cs="黑体"/>
                          <w:szCs w:val="20"/>
                          <w:lang w:val="en-US" w:eastAsia="zh-CN"/>
                        </w:rPr>
                        <w:t>Z</w:t>
                      </w:r>
                      <w:r>
                        <w:rPr>
                          <w:rFonts w:hint="eastAsia" w:ascii="黑体" w:hAnsi="黑体" w:eastAsia="黑体" w:cs="黑体"/>
                        </w:rPr>
                        <w:t xml:space="preserve"> 04</w:t>
                      </w:r>
                      <w:bookmarkEnd w:id="73"/>
                    </w:p>
                    <w:p w14:paraId="65B56601">
                      <w:pPr>
                        <w:pStyle w:val="168"/>
                        <w:rPr>
                          <w:rFonts w:hint="eastAsia" w:ascii="黑体" w:hAnsi="黑体"/>
                        </w:rPr>
                      </w:pPr>
                    </w:p>
                  </w:txbxContent>
                </v:textbox>
                <w10:anchorlock/>
              </v:shape>
            </w:pict>
          </mc:Fallback>
        </mc:AlternateContent>
      </w:r>
    </w:p>
    <w:p w14:paraId="5B26CCCA">
      <w:pPr>
        <w:rPr>
          <w:rFonts w:hint="default" w:ascii="Times New Roman" w:hAnsi="Times New Roman" w:eastAsia="黑体" w:cs="Times New Roman"/>
          <w:bCs/>
          <w:sz w:val="32"/>
          <w:szCs w:val="32"/>
        </w:rPr>
      </w:pPr>
    </w:p>
    <w:p w14:paraId="2CC02E22">
      <w:pPr>
        <w:pStyle w:val="274"/>
        <w:spacing w:before="0" w:after="120" w:afterLines="50" w:line="360" w:lineRule="auto"/>
        <w:ind w:left="-239" w:leftChars="-114"/>
        <w:rPr>
          <w:rFonts w:hint="default" w:ascii="Times New Roman" w:hAnsi="Times New Roman" w:cs="Times New Roman"/>
          <w:spacing w:val="78"/>
          <w:w w:val="149"/>
          <w:sz w:val="44"/>
        </w:rPr>
      </w:pPr>
      <w:r>
        <w:rPr>
          <w:rFonts w:hint="default" w:ascii="Times New Roman" w:hAnsi="Times New Roman" w:cs="Times New Roman"/>
        </w:rPr>
        <mc:AlternateContent>
          <mc:Choice Requires="wps">
            <w:drawing>
              <wp:anchor distT="0" distB="0" distL="114300" distR="114300" simplePos="0" relativeHeight="251663360" behindDoc="0" locked="1" layoutInCell="0" allowOverlap="1">
                <wp:simplePos x="0" y="0"/>
                <wp:positionH relativeFrom="margin">
                  <wp:posOffset>394335</wp:posOffset>
                </wp:positionH>
                <wp:positionV relativeFrom="margin">
                  <wp:posOffset>565785</wp:posOffset>
                </wp:positionV>
                <wp:extent cx="4941570" cy="914400"/>
                <wp:effectExtent l="0" t="0" r="11430" b="0"/>
                <wp:wrapNone/>
                <wp:docPr id="6" name="文本框 6"/>
                <wp:cNvGraphicFramePr/>
                <a:graphic xmlns:a="http://schemas.openxmlformats.org/drawingml/2006/main">
                  <a:graphicData uri="http://schemas.microsoft.com/office/word/2010/wordprocessingShape">
                    <wps:wsp>
                      <wps:cNvSpPr txBox="1"/>
                      <wps:spPr>
                        <a:xfrm>
                          <a:off x="0" y="0"/>
                          <a:ext cx="4941570" cy="391160"/>
                        </a:xfrm>
                        <a:prstGeom prst="rect">
                          <a:avLst/>
                        </a:prstGeom>
                        <a:solidFill>
                          <a:srgbClr val="FFFFFF"/>
                        </a:solidFill>
                        <a:ln>
                          <a:noFill/>
                        </a:ln>
                        <a:effectLst/>
                      </wps:spPr>
                      <wps:txbx>
                        <w:txbxContent>
                          <w:p w14:paraId="19730C42">
                            <w:pPr>
                              <w:pStyle w:val="62"/>
                              <w:rPr>
                                <w:rFonts w:hint="eastAsia" w:ascii="黑体" w:hAnsi="黑体" w:eastAsia="黑体" w:cs="黑体"/>
                                <w:b w:val="0"/>
                                <w:bCs w:val="0"/>
                                <w:spacing w:val="0"/>
                                <w:w w:val="100"/>
                                <w:kern w:val="2"/>
                                <w:sz w:val="80"/>
                                <w:szCs w:val="80"/>
                                <w:lang w:val="en-US" w:eastAsia="zh-CN" w:bidi="ar-SA"/>
                              </w:rPr>
                            </w:pPr>
                            <w:r>
                              <w:rPr>
                                <w:rFonts w:hint="eastAsia" w:ascii="黑体" w:hAnsi="黑体" w:eastAsia="黑体" w:cs="黑体"/>
                                <w:b w:val="0"/>
                                <w:bCs w:val="0"/>
                                <w:spacing w:val="0"/>
                                <w:w w:val="100"/>
                                <w:kern w:val="2"/>
                                <w:sz w:val="80"/>
                                <w:szCs w:val="80"/>
                                <w:lang w:val="en-US" w:eastAsia="zh-CN" w:bidi="ar-SA"/>
                              </w:rPr>
                              <w:t>团体标准</w:t>
                            </w:r>
                          </w:p>
                        </w:txbxContent>
                      </wps:txbx>
                      <wps:bodyPr lIns="0" tIns="0" rIns="0" bIns="0" upright="1"/>
                    </wps:wsp>
                  </a:graphicData>
                </a:graphic>
              </wp:anchor>
            </w:drawing>
          </mc:Choice>
          <mc:Fallback>
            <w:pict>
              <v:shape id="_x0000_s1026" o:spid="_x0000_s1026" o:spt="202" type="#_x0000_t202" style="position:absolute;left:0pt;margin-left:31.05pt;margin-top:44.55pt;height:72pt;width:389.1pt;mso-position-horizontal-relative:margin;mso-position-vertical-relative:margin;z-index:251663360;mso-width-relative:page;mso-height-relative:page;" fillcolor="#FFFFFF" filled="t" stroked="f" coordsize="21600,21600" o:allowincell="f" o:gfxdata="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AbnByk2AAAAAkBAAAPAAAAAAAAAAEA&#10;IAAAACIAAABkcnMvZG93bnJldi54bWxQSwECFAAUAAAACACHTuJA9CdneNYBAACpAwAADgAAAAAA&#10;AAABACAAAAAnAQAAZHJzL2Uyb0RvYy54bWxQSwUGAAAAAAYABgBZAQAAbwUAAAAA&#10;">
                <v:fill on="t" focussize="0,0"/>
                <v:stroke on="f"/>
                <v:imagedata o:title=""/>
                <o:lock v:ext="edit" aspectratio="f"/>
                <v:textbox inset="0mm,0mm,0mm,0mm">
                  <w:txbxContent>
                    <w:p w14:paraId="19730C42">
                      <w:pPr>
                        <w:pStyle w:val="62"/>
                        <w:rPr>
                          <w:rFonts w:hint="eastAsia" w:ascii="黑体" w:hAnsi="黑体" w:eastAsia="黑体" w:cs="黑体"/>
                          <w:b w:val="0"/>
                          <w:bCs w:val="0"/>
                          <w:spacing w:val="0"/>
                          <w:w w:val="100"/>
                          <w:kern w:val="2"/>
                          <w:sz w:val="80"/>
                          <w:szCs w:val="80"/>
                          <w:lang w:val="en-US" w:eastAsia="zh-CN" w:bidi="ar-SA"/>
                        </w:rPr>
                      </w:pPr>
                      <w:r>
                        <w:rPr>
                          <w:rFonts w:hint="eastAsia" w:ascii="黑体" w:hAnsi="黑体" w:eastAsia="黑体" w:cs="黑体"/>
                          <w:b w:val="0"/>
                          <w:bCs w:val="0"/>
                          <w:spacing w:val="0"/>
                          <w:w w:val="100"/>
                          <w:kern w:val="2"/>
                          <w:sz w:val="80"/>
                          <w:szCs w:val="80"/>
                          <w:lang w:val="en-US" w:eastAsia="zh-CN" w:bidi="ar-SA"/>
                        </w:rPr>
                        <w:t>团体标准</w:t>
                      </w:r>
                    </w:p>
                  </w:txbxContent>
                </v:textbox>
                <w10:anchorlock/>
              </v:shape>
            </w:pict>
          </mc:Fallback>
        </mc:AlternateContent>
      </w:r>
    </w:p>
    <w:p w14:paraId="13577132">
      <w:pPr>
        <w:pStyle w:val="275"/>
        <w:tabs>
          <w:tab w:val="left" w:pos="1980"/>
        </w:tabs>
        <w:ind w:right="74"/>
        <w:jc w:val="center"/>
        <w:rPr>
          <w:rFonts w:hint="default" w:ascii="Times New Roman" w:hAnsi="Times New Roman" w:eastAsia="宋体" w:cs="Times New Roman"/>
          <w:lang w:val="fr-FR"/>
        </w:rPr>
      </w:pPr>
      <w:r>
        <w:rPr>
          <w:rFonts w:hint="default" w:ascii="Times New Roman" w:hAnsi="Times New Roman" w:cs="Times New Roman"/>
        </w:rPr>
        <mc:AlternateContent>
          <mc:Choice Requires="wps">
            <w:drawing>
              <wp:anchor distT="0" distB="0" distL="114300" distR="114300" simplePos="0" relativeHeight="251665408" behindDoc="0" locked="0" layoutInCell="1" allowOverlap="1">
                <wp:simplePos x="0" y="0"/>
                <wp:positionH relativeFrom="column">
                  <wp:posOffset>-15875</wp:posOffset>
                </wp:positionH>
                <wp:positionV relativeFrom="paragraph">
                  <wp:posOffset>394970</wp:posOffset>
                </wp:positionV>
                <wp:extent cx="6057900" cy="0"/>
                <wp:effectExtent l="0" t="6350" r="0" b="6350"/>
                <wp:wrapNone/>
                <wp:docPr id="1" name="直接箭头连接符 1"/>
                <wp:cNvGraphicFramePr/>
                <a:graphic xmlns:a="http://schemas.openxmlformats.org/drawingml/2006/main">
                  <a:graphicData uri="http://schemas.microsoft.com/office/word/2010/wordprocessingShape">
                    <wps:wsp>
                      <wps:cNvCnPr/>
                      <wps:spPr>
                        <a:xfrm>
                          <a:off x="0" y="0"/>
                          <a:ext cx="6057900" cy="0"/>
                        </a:xfrm>
                        <a:prstGeom prst="straightConnector1">
                          <a:avLst/>
                        </a:prstGeom>
                        <a:ln w="12700" cap="flat" cmpd="sng">
                          <a:solidFill>
                            <a:srgbClr val="000000"/>
                          </a:solidFill>
                          <a:prstDash val="solid"/>
                          <a:miter/>
                          <a:headEnd type="none" w="med" len="med"/>
                          <a:tailEnd type="none" w="med" len="med"/>
                        </a:ln>
                      </wps:spPr>
                      <wps:bodyPr/>
                    </wps:wsp>
                  </a:graphicData>
                </a:graphic>
              </wp:anchor>
            </w:drawing>
          </mc:Choice>
          <mc:Fallback>
            <w:pict>
              <v:shape id="_x0000_s1026" o:spid="_x0000_s1026" o:spt="32" type="#_x0000_t32" style="position:absolute;left:0pt;margin-left:-1.25pt;margin-top:31.1pt;height:0pt;width:477pt;z-index:251665408;mso-width-relative:page;mso-height-relative:page;" filled="f" stroked="t" coordsize="21600,21600" o:gfxdata="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OK54THXAAAACAEAAA8AAAAAAAAAAQAgAAAAIgAAAGRycy9kb3du&#10;cmV2LnhtbFBLAQIUABQAAAAIAIdO4kCFzW5eAAIAAPcDAAAOAAAAAAAAAAEAIAAAACYBAABkcnMv&#10;ZTJvRG9jLnhtbFBLBQYAAAAABgAGAFkBAACYBQAAAAA=&#10;">
                <v:fill on="f" focussize="0,0"/>
                <v:stroke weight="1pt" color="#000000" joinstyle="miter"/>
                <v:imagedata o:title=""/>
                <o:lock v:ext="edit" aspectratio="f"/>
              </v:shape>
            </w:pict>
          </mc:Fallback>
        </mc:AlternateContent>
      </w:r>
      <w:r>
        <w:rPr>
          <w:rFonts w:hint="default" w:ascii="Times New Roman" w:hAnsi="Times New Roman" w:eastAsia="宋体" w:cs="Times New Roman"/>
          <w:lang w:val="fr-FR"/>
        </w:rPr>
        <w:t xml:space="preserve">                       </w:t>
      </w:r>
    </w:p>
    <w:p w14:paraId="379160D1">
      <w:pPr>
        <w:pStyle w:val="275"/>
        <w:tabs>
          <w:tab w:val="left" w:pos="1980"/>
        </w:tabs>
        <w:spacing w:after="120" w:afterLines="50" w:line="360" w:lineRule="auto"/>
        <w:ind w:right="71"/>
        <w:jc w:val="center"/>
        <w:rPr>
          <w:rFonts w:hint="default" w:ascii="Times New Roman" w:hAnsi="Times New Roman" w:eastAsia="宋体" w:cs="Times New Roman"/>
          <w:sz w:val="21"/>
          <w:szCs w:val="21"/>
          <w:lang w:val="fr-FR"/>
        </w:rPr>
      </w:pPr>
      <w:r>
        <w:rPr>
          <w:rFonts w:hint="default" w:ascii="Times New Roman" w:hAnsi="Times New Roman" w:cs="Times New Roman"/>
        </w:rPr>
        <mc:AlternateContent>
          <mc:Choice Requires="wps">
            <w:drawing>
              <wp:anchor distT="0" distB="0" distL="114300" distR="114300" simplePos="0" relativeHeight="251664384" behindDoc="0" locked="1" layoutInCell="1" allowOverlap="1">
                <wp:simplePos x="0" y="0"/>
                <wp:positionH relativeFrom="margin">
                  <wp:posOffset>-7620</wp:posOffset>
                </wp:positionH>
                <wp:positionV relativeFrom="margin">
                  <wp:posOffset>1392555</wp:posOffset>
                </wp:positionV>
                <wp:extent cx="6057900" cy="499110"/>
                <wp:effectExtent l="0" t="0" r="0" b="15240"/>
                <wp:wrapNone/>
                <wp:docPr id="9" name="文本框 9"/>
                <wp:cNvGraphicFramePr/>
                <a:graphic xmlns:a="http://schemas.openxmlformats.org/drawingml/2006/main">
                  <a:graphicData uri="http://schemas.microsoft.com/office/word/2010/wordprocessingShape">
                    <wps:wsp>
                      <wps:cNvSpPr txBox="1"/>
                      <wps:spPr>
                        <a:xfrm>
                          <a:off x="0" y="0"/>
                          <a:ext cx="6057900" cy="860425"/>
                        </a:xfrm>
                        <a:prstGeom prst="rect">
                          <a:avLst/>
                        </a:prstGeom>
                        <a:solidFill>
                          <a:srgbClr val="FFFFFF"/>
                        </a:solidFill>
                        <a:ln>
                          <a:noFill/>
                        </a:ln>
                        <a:effectLst/>
                      </wps:spPr>
                      <wps:txbx>
                        <w:txbxContent>
                          <w:p w14:paraId="29D468C0">
                            <w:pPr>
                              <w:pStyle w:val="278"/>
                              <w:spacing w:before="0" w:line="280" w:lineRule="exact"/>
                              <w:rPr>
                                <w:rFonts w:hint="eastAsia" w:ascii="黑体" w:hAnsi="黑体" w:eastAsia="黑体" w:cs="黑体"/>
                                <w:sz w:val="28"/>
                                <w:szCs w:val="28"/>
                                <w:lang w:val="en-US" w:eastAsia="zh-CN" w:bidi="ar-SA"/>
                              </w:rPr>
                            </w:pPr>
                            <w:r>
                              <w:rPr>
                                <w:rFonts w:hint="eastAsia" w:ascii="黑体" w:hAnsi="黑体" w:eastAsia="黑体" w:cs="黑体"/>
                                <w:sz w:val="28"/>
                                <w:szCs w:val="28"/>
                                <w:lang w:val="en-US" w:eastAsia="zh-CN" w:bidi="ar-SA"/>
                              </w:rPr>
                              <w:t>T/CNIA XXXX-XXXX</w:t>
                            </w:r>
                          </w:p>
                          <w:p w14:paraId="03EBB24A">
                            <w:pPr>
                              <w:pStyle w:val="278"/>
                            </w:pPr>
                          </w:p>
                          <w:p w14:paraId="5B78D65F">
                            <w:pPr>
                              <w:pStyle w:val="278"/>
                            </w:pPr>
                          </w:p>
                          <w:p w14:paraId="246A3B87">
                            <w:pPr>
                              <w:pStyle w:val="278"/>
                            </w:pPr>
                          </w:p>
                          <w:p w14:paraId="2A787E5B">
                            <w:pPr>
                              <w:pStyle w:val="278"/>
                            </w:pPr>
                          </w:p>
                          <w:p w14:paraId="68BF86EB">
                            <w:pPr>
                              <w:pStyle w:val="278"/>
                            </w:pPr>
                          </w:p>
                          <w:p w14:paraId="627ACA76">
                            <w:pPr>
                              <w:pStyle w:val="278"/>
                            </w:pPr>
                          </w:p>
                        </w:txbxContent>
                      </wps:txbx>
                      <wps:bodyPr lIns="0" tIns="0" rIns="0" bIns="0" upright="1"/>
                    </wps:wsp>
                  </a:graphicData>
                </a:graphic>
              </wp:anchor>
            </w:drawing>
          </mc:Choice>
          <mc:Fallback>
            <w:pict>
              <v:shape id="_x0000_s1026" o:spid="_x0000_s1026" o:spt="202" type="#_x0000_t202" style="position:absolute;left:0pt;margin-left:-0.6pt;margin-top:109.65pt;height:39.3pt;width:477pt;mso-position-horizontal-relative:margin;mso-position-vertical-relative:margin;z-index:251664384;mso-width-relative:page;mso-height-relative:page;" fillcolor="#FFFFFF" filled="t" stroked="f" coordsize="21600,21600" o:gfxdata="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C3xDGZ2QAAAAoBAAAPAAAAAAAAAAEAIAAA&#10;ACIAAABkcnMvZG93bnJldi54bWxQSwECFAAUAAAACACHTuJADNOfP9IBAACpAwAADgAAAAAAAAAB&#10;ACAAAAAoAQAAZHJzL2Uyb0RvYy54bWxQSwUGAAAAAAYABgBZAQAAbAUAAAAA&#10;">
                <v:fill on="t" focussize="0,0"/>
                <v:stroke on="f"/>
                <v:imagedata o:title=""/>
                <o:lock v:ext="edit" aspectratio="f"/>
                <v:textbox inset="0mm,0mm,0mm,0mm">
                  <w:txbxContent>
                    <w:p w14:paraId="29D468C0">
                      <w:pPr>
                        <w:pStyle w:val="278"/>
                        <w:spacing w:before="0" w:line="280" w:lineRule="exact"/>
                        <w:rPr>
                          <w:rFonts w:hint="eastAsia" w:ascii="黑体" w:hAnsi="黑体" w:eastAsia="黑体" w:cs="黑体"/>
                          <w:sz w:val="28"/>
                          <w:szCs w:val="28"/>
                          <w:lang w:val="en-US" w:eastAsia="zh-CN" w:bidi="ar-SA"/>
                        </w:rPr>
                      </w:pPr>
                      <w:r>
                        <w:rPr>
                          <w:rFonts w:hint="eastAsia" w:ascii="黑体" w:hAnsi="黑体" w:eastAsia="黑体" w:cs="黑体"/>
                          <w:sz w:val="28"/>
                          <w:szCs w:val="28"/>
                          <w:lang w:val="en-US" w:eastAsia="zh-CN" w:bidi="ar-SA"/>
                        </w:rPr>
                        <w:t>T/CNIA XXXX-XXXX</w:t>
                      </w:r>
                    </w:p>
                    <w:p w14:paraId="03EBB24A">
                      <w:pPr>
                        <w:pStyle w:val="278"/>
                      </w:pPr>
                    </w:p>
                    <w:p w14:paraId="5B78D65F">
                      <w:pPr>
                        <w:pStyle w:val="278"/>
                      </w:pPr>
                    </w:p>
                    <w:p w14:paraId="246A3B87">
                      <w:pPr>
                        <w:pStyle w:val="278"/>
                      </w:pPr>
                    </w:p>
                    <w:p w14:paraId="2A787E5B">
                      <w:pPr>
                        <w:pStyle w:val="278"/>
                      </w:pPr>
                    </w:p>
                    <w:p w14:paraId="68BF86EB">
                      <w:pPr>
                        <w:pStyle w:val="278"/>
                      </w:pPr>
                    </w:p>
                    <w:p w14:paraId="627ACA76">
                      <w:pPr>
                        <w:pStyle w:val="278"/>
                      </w:pPr>
                    </w:p>
                  </w:txbxContent>
                </v:textbox>
                <w10:anchorlock/>
              </v:shape>
            </w:pict>
          </mc:Fallback>
        </mc:AlternateContent>
      </w:r>
      <w:r>
        <w:rPr>
          <w:rFonts w:hint="default" w:ascii="Times New Roman" w:hAnsi="Times New Roman" w:eastAsia="宋体" w:cs="Times New Roman"/>
          <w:lang w:val="fr-FR"/>
        </w:rPr>
        <w:t xml:space="preserve">     </w:t>
      </w:r>
    </w:p>
    <w:p w14:paraId="20147BA2">
      <w:pPr>
        <w:pStyle w:val="275"/>
        <w:tabs>
          <w:tab w:val="left" w:pos="7499"/>
        </w:tabs>
        <w:spacing w:line="360" w:lineRule="auto"/>
        <w:ind w:right="512"/>
        <w:jc w:val="both"/>
        <w:rPr>
          <w:rFonts w:hint="default" w:ascii="Times New Roman" w:hAnsi="Times New Roman" w:eastAsia="宋体" w:cs="Times New Roman"/>
          <w:lang w:val="fr-FR"/>
        </w:rPr>
      </w:pPr>
      <w:r>
        <w:rPr>
          <w:rFonts w:hint="default" w:ascii="Times New Roman" w:hAnsi="Times New Roman" w:eastAsia="宋体" w:cs="Times New Roman"/>
          <w:lang w:val="fr-FR"/>
        </w:rPr>
        <w:tab/>
      </w:r>
    </w:p>
    <w:p w14:paraId="3C5B8E11">
      <w:pPr>
        <w:pStyle w:val="275"/>
        <w:spacing w:line="360" w:lineRule="auto"/>
        <w:ind w:right="0"/>
        <w:jc w:val="center"/>
        <w:outlineLvl w:val="0"/>
        <w:rPr>
          <w:rFonts w:hint="eastAsia" w:ascii="Times New Roman" w:hAnsi="Times New Roman" w:cs="Times New Roman"/>
          <w:sz w:val="52"/>
          <w:szCs w:val="52"/>
          <w:lang w:val="en-US" w:eastAsia="zh-CN"/>
        </w:rPr>
      </w:pPr>
      <w:bookmarkStart w:id="2" w:name="_Toc18690"/>
      <w:bookmarkStart w:id="3" w:name="_Toc10440"/>
      <w:bookmarkStart w:id="4" w:name="_Toc21984"/>
      <w:bookmarkStart w:id="5" w:name="_Toc6234"/>
      <w:bookmarkStart w:id="6" w:name="_Toc17251"/>
      <w:bookmarkStart w:id="7" w:name="_Toc5050"/>
      <w:bookmarkStart w:id="8" w:name="_Toc19994"/>
      <w:bookmarkStart w:id="9" w:name="_Toc19791"/>
      <w:bookmarkStart w:id="10" w:name="_Toc3827"/>
      <w:r>
        <w:rPr>
          <w:rFonts w:hint="default" w:ascii="Times New Roman" w:hAnsi="Times New Roman" w:cs="Times New Roman"/>
          <w:sz w:val="52"/>
          <w:szCs w:val="52"/>
        </w:rPr>
        <w:t>温室气体 产品碳足迹量化</w:t>
      </w:r>
      <w:r>
        <w:rPr>
          <w:rFonts w:hint="eastAsia" w:cs="Times New Roman"/>
          <w:sz w:val="52"/>
          <w:szCs w:val="52"/>
          <w:lang w:eastAsia="zh-CN"/>
        </w:rPr>
        <w:t>方法与</w:t>
      </w:r>
      <w:r>
        <w:rPr>
          <w:rFonts w:hint="default" w:ascii="Times New Roman" w:hAnsi="Times New Roman" w:cs="Times New Roman"/>
          <w:sz w:val="52"/>
          <w:szCs w:val="52"/>
        </w:rPr>
        <w:t>要求</w:t>
      </w:r>
      <w:bookmarkEnd w:id="2"/>
      <w:bookmarkEnd w:id="3"/>
      <w:bookmarkEnd w:id="4"/>
      <w:bookmarkEnd w:id="5"/>
      <w:bookmarkEnd w:id="6"/>
      <w:bookmarkEnd w:id="7"/>
      <w:bookmarkEnd w:id="8"/>
      <w:bookmarkEnd w:id="9"/>
      <w:bookmarkEnd w:id="10"/>
      <w:r>
        <w:rPr>
          <w:rFonts w:hint="eastAsia" w:ascii="Times New Roman" w:hAnsi="Times New Roman" w:cs="Times New Roman"/>
          <w:sz w:val="52"/>
          <w:szCs w:val="52"/>
          <w:lang w:val="en-US" w:eastAsia="zh-CN"/>
        </w:rPr>
        <w:t xml:space="preserve"> 银锭</w:t>
      </w:r>
    </w:p>
    <w:p w14:paraId="0F6809B1">
      <w:pPr>
        <w:pStyle w:val="281"/>
        <w:keepNext w:val="0"/>
        <w:keepLines w:val="0"/>
        <w:pageBreakBefore w:val="0"/>
        <w:kinsoku/>
        <w:overflowPunct/>
        <w:topLinePunct w:val="0"/>
        <w:bidi w:val="0"/>
        <w:snapToGrid/>
        <w:spacing w:line="360" w:lineRule="auto"/>
        <w:jc w:val="both"/>
        <w:rPr>
          <w:rFonts w:hint="eastAsia" w:ascii="宋体" w:hAnsi="宋体" w:eastAsia="宋体" w:cs="宋体"/>
          <w:bCs/>
          <w:sz w:val="21"/>
          <w:szCs w:val="21"/>
          <w:lang w:val="en-US" w:eastAsia="zh-CN"/>
        </w:rPr>
      </w:pPr>
    </w:p>
    <w:p w14:paraId="53AD4617">
      <w:pPr>
        <w:pStyle w:val="281"/>
        <w:keepNext w:val="0"/>
        <w:keepLines w:val="0"/>
        <w:pageBreakBefore w:val="0"/>
        <w:framePr w:w="9453" w:hSpace="181" w:wrap="around" w:vAnchor="page" w:hAnchor="page" w:x="1432" w:y="3536" w:anchorLock="1"/>
        <w:kinsoku/>
        <w:overflowPunct/>
        <w:topLinePunct w:val="0"/>
        <w:bidi w:val="0"/>
        <w:snapToGrid/>
        <w:spacing w:line="360" w:lineRule="auto"/>
        <w:rPr>
          <w:rFonts w:hint="eastAsia" w:ascii="宋体" w:hAnsi="宋体" w:eastAsia="宋体" w:cs="宋体"/>
          <w:bCs/>
          <w:sz w:val="21"/>
          <w:szCs w:val="21"/>
          <w:lang w:val="en-US" w:eastAsia="zh-CN"/>
        </w:rPr>
      </w:pPr>
    </w:p>
    <w:p w14:paraId="74A41F46">
      <w:pPr>
        <w:pStyle w:val="275"/>
        <w:tabs>
          <w:tab w:val="left" w:pos="8400"/>
        </w:tabs>
        <w:spacing w:before="0" w:beforeLines="0"/>
        <w:ind w:right="0"/>
        <w:jc w:val="center"/>
        <w:rPr>
          <w:rFonts w:hint="default" w:ascii="Times New Roman" w:hAnsi="Times New Roman" w:cs="Times New Roman"/>
          <w:szCs w:val="28"/>
        </w:rPr>
      </w:pPr>
      <w:r>
        <w:rPr>
          <w:rFonts w:hint="default" w:ascii="Times New Roman" w:hAnsi="Times New Roman" w:cs="Times New Roman"/>
          <w:szCs w:val="28"/>
        </w:rPr>
        <w:t>Greenhouse</w:t>
      </w:r>
      <w:r>
        <w:rPr>
          <w:rFonts w:hint="default" w:ascii="Times New Roman" w:hAnsi="Times New Roman" w:cs="Times New Roman"/>
          <w:szCs w:val="28"/>
          <w:lang w:val="en-US" w:eastAsia="zh-CN"/>
        </w:rPr>
        <w:t xml:space="preserve"> </w:t>
      </w:r>
      <w:r>
        <w:rPr>
          <w:rFonts w:hint="default" w:ascii="Times New Roman" w:hAnsi="Times New Roman" w:cs="Times New Roman"/>
          <w:szCs w:val="28"/>
        </w:rPr>
        <w:t>gases</w:t>
      </w:r>
      <w:r>
        <w:rPr>
          <w:rFonts w:hint="eastAsia" w:ascii="Times New Roman" w:hAnsi="Times New Roman" w:cs="Times New Roman"/>
          <w:szCs w:val="28"/>
          <w:lang w:eastAsia="zh-CN"/>
        </w:rPr>
        <w:t>-</w:t>
      </w:r>
      <w:r>
        <w:rPr>
          <w:rFonts w:hint="default" w:ascii="Times New Roman" w:hAnsi="Times New Roman" w:cs="Times New Roman"/>
          <w:szCs w:val="28"/>
          <w:lang w:val="en-US"/>
        </w:rPr>
        <w:t>Q</w:t>
      </w:r>
      <w:r>
        <w:rPr>
          <w:rFonts w:hint="default" w:ascii="Times New Roman" w:hAnsi="Times New Roman" w:cs="Times New Roman"/>
          <w:szCs w:val="28"/>
        </w:rPr>
        <w:t>uantification requirement and method of product carbon footprint</w:t>
      </w:r>
      <w:r>
        <w:rPr>
          <w:rFonts w:hint="default" w:ascii="Times New Roman" w:hAnsi="Times New Roman" w:cs="Times New Roman"/>
          <w:szCs w:val="28"/>
          <w:lang w:val="en-US"/>
        </w:rPr>
        <w:t>-</w:t>
      </w:r>
      <w:r>
        <w:rPr>
          <w:rFonts w:hint="default" w:ascii="Times New Roman" w:hAnsi="Times New Roman" w:cs="Times New Roman"/>
          <w:szCs w:val="28"/>
          <w:lang w:val="en-US" w:eastAsia="zh-CN"/>
        </w:rPr>
        <w:t>Silver ingots</w:t>
      </w:r>
    </w:p>
    <w:p w14:paraId="29482B10">
      <w:pPr>
        <w:pStyle w:val="275"/>
        <w:spacing w:before="120" w:beforeLines="50"/>
        <w:ind w:right="510"/>
        <w:jc w:val="center"/>
        <w:rPr>
          <w:rFonts w:hint="eastAsia" w:ascii="黑体" w:hAnsi="黑体" w:cs="黑体"/>
          <w:szCs w:val="28"/>
        </w:rPr>
      </w:pPr>
      <w:r>
        <w:rPr>
          <w:rFonts w:hint="eastAsia" w:ascii="黑体" w:hAnsi="黑体" w:cs="黑体"/>
          <w:szCs w:val="28"/>
        </w:rPr>
        <w:t xml:space="preserve">  </w:t>
      </w:r>
    </w:p>
    <w:p w14:paraId="280795E7">
      <w:pPr>
        <w:pStyle w:val="276"/>
        <w:spacing w:after="120" w:line="360" w:lineRule="auto"/>
        <w:ind w:firstLine="0"/>
        <w:jc w:val="center"/>
        <w:rPr>
          <w:rFonts w:hint="default" w:ascii="Times New Roman" w:hAnsi="Times New Roman" w:eastAsia="黑体" w:cs="Times New Roman"/>
          <w:sz w:val="28"/>
          <w:szCs w:val="21"/>
          <w:lang w:val="fr-FR"/>
        </w:rPr>
      </w:pPr>
      <w:r>
        <w:rPr>
          <w:rFonts w:hint="default" w:ascii="Times New Roman" w:hAnsi="Times New Roman" w:eastAsia="黑体" w:cs="Times New Roman"/>
          <w:sz w:val="28"/>
          <w:szCs w:val="21"/>
          <w:lang w:val="fr-FR"/>
        </w:rPr>
        <w:t>（</w:t>
      </w:r>
      <w:r>
        <w:rPr>
          <w:rFonts w:hint="eastAsia" w:ascii="Times New Roman" w:hAnsi="Times New Roman" w:eastAsia="黑体" w:cs="Times New Roman"/>
          <w:sz w:val="28"/>
          <w:szCs w:val="21"/>
          <w:lang w:val="en-US" w:eastAsia="zh-CN"/>
        </w:rPr>
        <w:t>讨论稿</w:t>
      </w:r>
      <w:r>
        <w:rPr>
          <w:rFonts w:hint="default" w:ascii="Times New Roman" w:hAnsi="Times New Roman" w:eastAsia="黑体" w:cs="Times New Roman"/>
          <w:sz w:val="28"/>
          <w:szCs w:val="21"/>
          <w:lang w:val="fr-FR"/>
        </w:rPr>
        <w:t>）</w:t>
      </w:r>
    </w:p>
    <w:p w14:paraId="6C28CC08">
      <w:pPr>
        <w:pStyle w:val="276"/>
        <w:spacing w:after="120" w:line="360" w:lineRule="auto"/>
        <w:ind w:firstLine="0"/>
        <w:rPr>
          <w:rFonts w:hint="default" w:ascii="Times New Roman" w:hAnsi="Times New Roman" w:cs="Times New Roman"/>
          <w:lang w:val="fr-FR"/>
        </w:rPr>
      </w:pPr>
    </w:p>
    <w:p w14:paraId="22106585">
      <w:pPr>
        <w:pStyle w:val="276"/>
        <w:spacing w:after="120" w:line="360" w:lineRule="auto"/>
        <w:rPr>
          <w:rFonts w:hint="default" w:ascii="Times New Roman" w:hAnsi="Times New Roman" w:cs="Times New Roman"/>
          <w:lang w:val="fr-FR"/>
        </w:rPr>
      </w:pPr>
    </w:p>
    <w:p w14:paraId="71D6282D">
      <w:pPr>
        <w:pStyle w:val="276"/>
        <w:spacing w:after="120" w:line="360" w:lineRule="auto"/>
        <w:rPr>
          <w:rFonts w:hint="default" w:ascii="Times New Roman" w:hAnsi="Times New Roman" w:cs="Times New Roman"/>
          <w:lang w:val="fr-FR"/>
        </w:rPr>
      </w:pPr>
    </w:p>
    <w:p w14:paraId="6105BF0A">
      <w:pPr>
        <w:pStyle w:val="276"/>
        <w:spacing w:after="120" w:line="360" w:lineRule="auto"/>
        <w:rPr>
          <w:rFonts w:hint="default" w:ascii="Times New Roman" w:hAnsi="Times New Roman" w:cs="Times New Roman"/>
          <w:lang w:val="fr-FR"/>
        </w:rPr>
      </w:pPr>
    </w:p>
    <w:p w14:paraId="5A4B20AB">
      <w:pPr>
        <w:pStyle w:val="277"/>
        <w:spacing w:line="360" w:lineRule="auto"/>
        <w:jc w:val="both"/>
        <w:rPr>
          <w:rFonts w:hint="eastAsia" w:ascii="黑体" w:hAnsi="黑体" w:cs="黑体"/>
          <w:lang w:val="fr-FR"/>
        </w:rPr>
      </w:pPr>
      <w:r>
        <w:rPr>
          <w:rFonts w:hint="eastAsia" w:ascii="黑体" w:hAnsi="黑体" w:cs="黑体"/>
        </w:rPr>
        <mc:AlternateContent>
          <mc:Choice Requires="wps">
            <w:drawing>
              <wp:anchor distT="0" distB="0" distL="114300" distR="114300" simplePos="0" relativeHeight="251661312" behindDoc="0" locked="0" layoutInCell="1" allowOverlap="1">
                <wp:simplePos x="0" y="0"/>
                <wp:positionH relativeFrom="column">
                  <wp:posOffset>-74295</wp:posOffset>
                </wp:positionH>
                <wp:positionV relativeFrom="paragraph">
                  <wp:posOffset>374015</wp:posOffset>
                </wp:positionV>
                <wp:extent cx="6000750" cy="0"/>
                <wp:effectExtent l="0" t="6350" r="0" b="6350"/>
                <wp:wrapNone/>
                <wp:docPr id="62" name="直接连接符 62"/>
                <wp:cNvGraphicFramePr/>
                <a:graphic xmlns:a="http://schemas.openxmlformats.org/drawingml/2006/main">
                  <a:graphicData uri="http://schemas.microsoft.com/office/word/2010/wordprocessingShape">
                    <wps:wsp>
                      <wps:cNvCnPr>
                        <a:cxnSpLocks noChangeShapeType="1"/>
                      </wps:cNvCnPr>
                      <wps:spPr bwMode="auto">
                        <a:xfrm>
                          <a:off x="0" y="0"/>
                          <a:ext cx="6000750" cy="0"/>
                        </a:xfrm>
                        <a:prstGeom prst="line">
                          <a:avLst/>
                        </a:prstGeom>
                        <a:noFill/>
                        <a:ln w="12700">
                          <a:solidFill>
                            <a:srgbClr val="000000"/>
                          </a:solidFill>
                          <a:round/>
                        </a:ln>
                        <a:effectLst/>
                      </wps:spPr>
                      <wps:bodyPr/>
                    </wps:wsp>
                  </a:graphicData>
                </a:graphic>
              </wp:anchor>
            </w:drawing>
          </mc:Choice>
          <mc:Fallback>
            <w:pict>
              <v:line id="_x0000_s1026" o:spid="_x0000_s1026" o:spt="20" style="position:absolute;left:0pt;margin-left:-5.85pt;margin-top:29.45pt;height:0pt;width:472.5pt;z-index:251661312;mso-width-relative:page;mso-height-relative:page;" filled="f" stroked="t" coordsize="21600,21600" o:gfxdata="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BI&#10;j2zp2QAAAAkBAAAPAAAAAAAAAAEAIAAAACIAAABkcnMvZG93bnJldi54bWxQSwECFAAUAAAACACH&#10;TuJAN4oAP+oBAAC7AwAADgAAAAAAAAABACAAAAAoAQAAZHJzL2Uyb0RvYy54bWxQSwUGAAAAAAYA&#10;BgBZAQAAhAUAAAAA&#10;">
                <v:fill on="f" focussize="0,0"/>
                <v:stroke weight="1pt" color="#000000" joinstyle="round"/>
                <v:imagedata o:title=""/>
                <o:lock v:ext="edit" aspectratio="f"/>
              </v:line>
            </w:pict>
          </mc:Fallback>
        </mc:AlternateContent>
      </w:r>
      <w:r>
        <w:rPr>
          <w:rFonts w:hint="eastAsia" w:ascii="黑体" w:hAnsi="黑体" w:cs="黑体"/>
          <w:lang w:val="fr-FR"/>
        </w:rPr>
        <w:t xml:space="preserve">20XX-XX-XX </w:t>
      </w:r>
      <w:r>
        <w:rPr>
          <w:rFonts w:hint="eastAsia" w:ascii="黑体" w:hAnsi="黑体" w:cs="黑体"/>
        </w:rPr>
        <w:t>发布</w:t>
      </w:r>
      <w:r>
        <w:rPr>
          <w:rFonts w:hint="eastAsia" w:ascii="黑体" w:hAnsi="黑体" w:cs="黑体"/>
          <w:lang w:val="fr-FR"/>
        </w:rPr>
        <w:t xml:space="preserve">             </w:t>
      </w:r>
      <w:r>
        <w:rPr>
          <w:rFonts w:hint="eastAsia" w:ascii="黑体" w:hAnsi="黑体" w:cs="黑体"/>
        </w:rPr>
        <mc:AlternateContent>
          <mc:Choice Requires="wps">
            <w:drawing>
              <wp:anchor distT="0" distB="0" distL="114300" distR="114300" simplePos="0" relativeHeight="251666432" behindDoc="0" locked="1" layoutInCell="1" allowOverlap="1">
                <wp:simplePos x="0" y="0"/>
                <wp:positionH relativeFrom="margin">
                  <wp:posOffset>755650</wp:posOffset>
                </wp:positionH>
                <wp:positionV relativeFrom="margin">
                  <wp:posOffset>8254365</wp:posOffset>
                </wp:positionV>
                <wp:extent cx="3467100" cy="638810"/>
                <wp:effectExtent l="0" t="0" r="0" b="8890"/>
                <wp:wrapNone/>
                <wp:docPr id="12" name="文本框 12"/>
                <wp:cNvGraphicFramePr/>
                <a:graphic xmlns:a="http://schemas.openxmlformats.org/drawingml/2006/main">
                  <a:graphicData uri="http://schemas.microsoft.com/office/word/2010/wordprocessingShape">
                    <wps:wsp>
                      <wps:cNvSpPr txBox="1"/>
                      <wps:spPr>
                        <a:xfrm>
                          <a:off x="0" y="0"/>
                          <a:ext cx="3467100" cy="638810"/>
                        </a:xfrm>
                        <a:prstGeom prst="rect">
                          <a:avLst/>
                        </a:prstGeom>
                        <a:solidFill>
                          <a:srgbClr val="FFFFFF"/>
                        </a:solidFill>
                        <a:ln>
                          <a:noFill/>
                        </a:ln>
                        <a:effectLst/>
                      </wps:spPr>
                      <wps:txbx>
                        <w:txbxContent>
                          <w:p w14:paraId="57D9756F">
                            <w:pPr>
                              <w:pStyle w:val="130"/>
                              <w:pBdr>
                                <w:top w:val="none" w:color="auto" w:sz="0" w:space="0"/>
                                <w:left w:val="none" w:color="auto" w:sz="0" w:space="0"/>
                                <w:bottom w:val="none" w:color="auto" w:sz="0" w:space="0"/>
                                <w:right w:val="none" w:color="auto" w:sz="0" w:space="0"/>
                              </w:pBdr>
                              <w:spacing w:line="340" w:lineRule="exact"/>
                              <w:rPr>
                                <w:rFonts w:ascii="Times New Roman"/>
                                <w:bCs/>
                                <w:sz w:val="30"/>
                                <w:szCs w:val="30"/>
                              </w:rPr>
                            </w:pPr>
                            <w:r>
                              <w:rPr>
                                <w:rFonts w:hint="eastAsia" w:ascii="黑体" w:eastAsia="黑体"/>
                                <w:bCs/>
                                <w:sz w:val="28"/>
                                <w:szCs w:val="28"/>
                              </w:rPr>
                              <w:t>中国有色金属工业协会</w:t>
                            </w:r>
                          </w:p>
                        </w:txbxContent>
                      </wps:txbx>
                      <wps:bodyPr lIns="0" tIns="0" rIns="36000" bIns="0" upright="1"/>
                    </wps:wsp>
                  </a:graphicData>
                </a:graphic>
              </wp:anchor>
            </w:drawing>
          </mc:Choice>
          <mc:Fallback>
            <w:pict>
              <v:shape id="_x0000_s1026" o:spid="_x0000_s1026" o:spt="202" type="#_x0000_t202" style="position:absolute;left:0pt;margin-left:59.5pt;margin-top:649.95pt;height:50.3pt;width:273pt;mso-position-horizontal-relative:margin;mso-position-vertical-relative:margin;z-index:251666432;mso-width-relative:page;mso-height-relative:page;" fillcolor="#FFFFFF" filled="t" stroked="f" coordsize="21600,21600" o:gfxdata="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N27FnLWAAAADQEAAA8AAAAAAAAA&#10;AQAgAAAAIgAAAGRycy9kb3ducmV2LnhtbFBLAQIUABQAAAAIAIdO4kCZrgRa2gEAAK8DAAAOAAAA&#10;AAAAAAEAIAAAACUBAABkcnMvZTJvRG9jLnhtbFBLBQYAAAAABgAGAFkBAABxBQAAAAA=&#10;">
                <v:fill on="t" focussize="0,0"/>
                <v:stroke on="f"/>
                <v:imagedata o:title=""/>
                <o:lock v:ext="edit" aspectratio="f"/>
                <v:textbox inset="0mm,0mm,1mm,0mm">
                  <w:txbxContent>
                    <w:p w14:paraId="57D9756F">
                      <w:pPr>
                        <w:pStyle w:val="130"/>
                        <w:pBdr>
                          <w:top w:val="none" w:color="auto" w:sz="0" w:space="0"/>
                          <w:left w:val="none" w:color="auto" w:sz="0" w:space="0"/>
                          <w:bottom w:val="none" w:color="auto" w:sz="0" w:space="0"/>
                          <w:right w:val="none" w:color="auto" w:sz="0" w:space="0"/>
                        </w:pBdr>
                        <w:spacing w:line="340" w:lineRule="exact"/>
                        <w:rPr>
                          <w:rFonts w:ascii="Times New Roman"/>
                          <w:bCs/>
                          <w:sz w:val="30"/>
                          <w:szCs w:val="30"/>
                        </w:rPr>
                      </w:pPr>
                      <w:r>
                        <w:rPr>
                          <w:rFonts w:hint="eastAsia" w:ascii="黑体" w:eastAsia="黑体"/>
                          <w:bCs/>
                          <w:sz w:val="28"/>
                          <w:szCs w:val="28"/>
                        </w:rPr>
                        <w:t>中国有色金属工业协会</w:t>
                      </w:r>
                    </w:p>
                  </w:txbxContent>
                </v:textbox>
                <w10:anchorlock/>
              </v:shape>
            </w:pict>
          </mc:Fallback>
        </mc:AlternateContent>
      </w:r>
      <w:r>
        <w:rPr>
          <w:rFonts w:hint="eastAsia" w:ascii="黑体" w:hAnsi="黑体" w:cs="黑体"/>
          <w:lang w:val="fr-FR"/>
        </w:rPr>
        <w:t xml:space="preserve">             20XX-XX-XX</w:t>
      </w:r>
      <w:r>
        <w:rPr>
          <w:rFonts w:hint="eastAsia" w:ascii="黑体" w:hAnsi="黑体" w:cs="黑体"/>
        </w:rPr>
        <w:t>实施</w:t>
      </w:r>
    </w:p>
    <w:p w14:paraId="352D8906">
      <w:pPr>
        <w:pStyle w:val="277"/>
        <w:spacing w:line="360" w:lineRule="auto"/>
        <w:jc w:val="both"/>
        <w:rPr>
          <w:rFonts w:hint="default" w:ascii="Times New Roman" w:hAnsi="Times New Roman" w:cs="Times New Roman"/>
          <w:sz w:val="21"/>
          <w:szCs w:val="21"/>
          <w:lang w:val="fr-FR"/>
        </w:rPr>
      </w:pPr>
      <w:r>
        <w:rPr>
          <w:rFonts w:hint="default" w:ascii="Times New Roman" w:hAnsi="Times New Roman" w:cs="Times New Roman"/>
        </w:rPr>
        <mc:AlternateContent>
          <mc:Choice Requires="wps">
            <w:drawing>
              <wp:anchor distT="0" distB="0" distL="114300" distR="114300" simplePos="0" relativeHeight="251662336" behindDoc="0" locked="0" layoutInCell="1" allowOverlap="1">
                <wp:simplePos x="0" y="0"/>
                <wp:positionH relativeFrom="column">
                  <wp:posOffset>4260850</wp:posOffset>
                </wp:positionH>
                <wp:positionV relativeFrom="paragraph">
                  <wp:posOffset>185420</wp:posOffset>
                </wp:positionV>
                <wp:extent cx="733425" cy="396240"/>
                <wp:effectExtent l="4445" t="5080" r="5080" b="17780"/>
                <wp:wrapNone/>
                <wp:docPr id="60" name="文本框 60"/>
                <wp:cNvGraphicFramePr/>
                <a:graphic xmlns:a="http://schemas.openxmlformats.org/drawingml/2006/main">
                  <a:graphicData uri="http://schemas.microsoft.com/office/word/2010/wordprocessingShape">
                    <wps:wsp>
                      <wps:cNvSpPr txBox="1">
                        <a:spLocks noChangeArrowheads="1"/>
                      </wps:cNvSpPr>
                      <wps:spPr bwMode="auto">
                        <a:xfrm>
                          <a:off x="0" y="0"/>
                          <a:ext cx="733425" cy="396240"/>
                        </a:xfrm>
                        <a:prstGeom prst="rect">
                          <a:avLst/>
                        </a:prstGeom>
                        <a:solidFill>
                          <a:srgbClr val="FFFFFF"/>
                        </a:solidFill>
                        <a:ln w="0" cap="rnd">
                          <a:solidFill>
                            <a:srgbClr val="FFFFFF"/>
                          </a:solidFill>
                          <a:prstDash val="sysDot"/>
                          <a:miter lim="800000"/>
                        </a:ln>
                        <a:effectLst/>
                      </wps:spPr>
                      <wps:txbx>
                        <w:txbxContent>
                          <w:p w14:paraId="113EC6AF">
                            <w:pPr>
                              <w:rPr>
                                <w:rFonts w:ascii="黑体" w:eastAsia="黑体"/>
                                <w:sz w:val="28"/>
                                <w:szCs w:val="28"/>
                              </w:rPr>
                            </w:pPr>
                            <w:r>
                              <w:rPr>
                                <w:rFonts w:hint="eastAsia"/>
                                <w:b/>
                                <w:color w:val="000000"/>
                                <w:sz w:val="28"/>
                                <w:szCs w:val="28"/>
                                <w:lang w:val="en-US" w:eastAsia="zh-CN"/>
                              </w:rPr>
                              <w:t>发布</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335.5pt;margin-top:14.6pt;height:31.2pt;width:57.75pt;z-index:251662336;mso-width-relative:page;mso-height-relative:page;" fillcolor="#FFFFFF" filled="t" stroked="t" coordsize="21600,21600" o:gfxdata="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GggkULXAAAACQEA&#10;AA8AAAAAAAAAAQAgAAAAIgAAAGRycy9kb3ducmV2LnhtbFBLAQIUABQAAAAIAIdO4kBKsjI5VAIA&#10;ALcEAAAOAAAAAAAAAAEAIAAAACYBAABkcnMvZTJvRG9jLnhtbFBLBQYAAAAABgAGAFkBAADsBQAA&#10;AAA=&#10;">
                <v:fill on="t" focussize="0,0"/>
                <v:stroke weight="0pt" color="#FFFFFF" miterlimit="8" joinstyle="miter" dashstyle="1 1" endcap="round"/>
                <v:imagedata o:title=""/>
                <o:lock v:ext="edit" aspectratio="f"/>
                <v:textbox>
                  <w:txbxContent>
                    <w:p w14:paraId="113EC6AF">
                      <w:pPr>
                        <w:rPr>
                          <w:rFonts w:ascii="黑体" w:eastAsia="黑体"/>
                          <w:sz w:val="28"/>
                          <w:szCs w:val="28"/>
                        </w:rPr>
                      </w:pPr>
                      <w:r>
                        <w:rPr>
                          <w:rFonts w:hint="eastAsia"/>
                          <w:b/>
                          <w:color w:val="000000"/>
                          <w:sz w:val="28"/>
                          <w:szCs w:val="28"/>
                          <w:lang w:val="en-US" w:eastAsia="zh-CN"/>
                        </w:rPr>
                        <w:t>发布</w:t>
                      </w:r>
                    </w:p>
                  </w:txbxContent>
                </v:textbox>
              </v:shape>
            </w:pict>
          </mc:Fallback>
        </mc:AlternateContent>
      </w:r>
    </w:p>
    <w:p w14:paraId="07EAA0D1">
      <w:pPr>
        <w:pStyle w:val="277"/>
        <w:spacing w:line="360" w:lineRule="auto"/>
        <w:jc w:val="both"/>
        <w:rPr>
          <w:rFonts w:hint="default" w:ascii="Times New Roman" w:hAnsi="Times New Roman" w:cs="Times New Roman"/>
          <w:sz w:val="21"/>
          <w:szCs w:val="21"/>
          <w:lang w:val="fr-FR"/>
        </w:rPr>
      </w:pPr>
      <w:bookmarkStart w:id="74" w:name="_GoBack"/>
      <w:bookmarkEnd w:id="74"/>
    </w:p>
    <w:bookmarkEnd w:id="0"/>
    <w:bookmarkEnd w:id="1"/>
    <w:p w14:paraId="20736DC6">
      <w:pPr>
        <w:widowControl/>
        <w:kinsoku w:val="0"/>
        <w:autoSpaceDE w:val="0"/>
        <w:autoSpaceDN w:val="0"/>
        <w:adjustRightInd w:val="0"/>
        <w:snapToGrid w:val="0"/>
        <w:spacing w:before="95" w:line="222" w:lineRule="auto"/>
        <w:ind w:firstLine="3438" w:firstLineChars="900"/>
        <w:jc w:val="left"/>
        <w:textAlignment w:val="baseline"/>
        <w:outlineLvl w:val="0"/>
        <w:rPr>
          <w:rFonts w:hint="eastAsia" w:ascii="黑体" w:hAnsi="黑体" w:eastAsia="黑体" w:cs="黑体"/>
          <w:b w:val="0"/>
          <w:bCs w:val="0"/>
          <w:snapToGrid w:val="0"/>
          <w:color w:val="000000"/>
          <w:spacing w:val="-9"/>
          <w:kern w:val="0"/>
          <w:sz w:val="40"/>
          <w:szCs w:val="40"/>
          <w:lang w:eastAsia="zh-CN"/>
        </w:rPr>
      </w:pPr>
      <w:bookmarkStart w:id="11" w:name="_Toc26007"/>
      <w:r>
        <w:rPr>
          <w:rFonts w:hint="eastAsia" w:ascii="黑体" w:hAnsi="黑体" w:eastAsia="黑体" w:cs="黑体"/>
          <w:b w:val="0"/>
          <w:bCs w:val="0"/>
          <w:snapToGrid w:val="0"/>
          <w:color w:val="000000"/>
          <w:spacing w:val="-9"/>
          <w:kern w:val="0"/>
          <w:sz w:val="40"/>
          <w:szCs w:val="40"/>
          <w:lang w:eastAsia="zh-CN"/>
        </w:rPr>
        <w:t>前</w:t>
      </w:r>
      <w:r>
        <w:rPr>
          <w:rFonts w:hint="eastAsia" w:ascii="黑体" w:hAnsi="黑体" w:eastAsia="黑体" w:cs="黑体"/>
          <w:b w:val="0"/>
          <w:bCs w:val="0"/>
          <w:snapToGrid w:val="0"/>
          <w:color w:val="000000"/>
          <w:spacing w:val="-9"/>
          <w:kern w:val="0"/>
          <w:sz w:val="40"/>
          <w:szCs w:val="40"/>
          <w:lang w:val="en-US" w:eastAsia="zh-CN"/>
        </w:rPr>
        <w:t xml:space="preserve">  </w:t>
      </w:r>
      <w:r>
        <w:rPr>
          <w:rFonts w:hint="eastAsia" w:ascii="黑体" w:hAnsi="黑体" w:eastAsia="黑体" w:cs="黑体"/>
          <w:b w:val="0"/>
          <w:bCs w:val="0"/>
          <w:snapToGrid w:val="0"/>
          <w:color w:val="000000"/>
          <w:spacing w:val="-9"/>
          <w:kern w:val="0"/>
          <w:sz w:val="40"/>
          <w:szCs w:val="40"/>
          <w:lang w:eastAsia="zh-CN"/>
        </w:rPr>
        <w:t>言</w:t>
      </w:r>
      <w:bookmarkEnd w:id="11"/>
    </w:p>
    <w:p w14:paraId="4F00611C">
      <w:pPr>
        <w:ind w:firstLine="420" w:firstLineChars="200"/>
        <w:rPr>
          <w:rFonts w:hint="eastAsia"/>
          <w:szCs w:val="21"/>
        </w:rPr>
      </w:pPr>
    </w:p>
    <w:p w14:paraId="30BE7CCC">
      <w:pPr>
        <w:ind w:firstLine="420" w:firstLineChars="200"/>
        <w:rPr>
          <w:rFonts w:hint="eastAsia"/>
          <w:szCs w:val="21"/>
        </w:rPr>
      </w:pPr>
      <w:r>
        <w:rPr>
          <w:rFonts w:hint="eastAsia"/>
          <w:szCs w:val="21"/>
        </w:rPr>
        <w:t>本文件按照GB/T 1.1—2020《标准化工作导则 第1部分：标准化文件的结构和起草规则》的规定起草。</w:t>
      </w:r>
    </w:p>
    <w:p w14:paraId="115FFB23">
      <w:pPr>
        <w:ind w:firstLine="420" w:firstLineChars="200"/>
        <w:rPr>
          <w:rFonts w:hint="eastAsia"/>
          <w:szCs w:val="21"/>
        </w:rPr>
      </w:pPr>
      <w:r>
        <w:rPr>
          <w:rFonts w:hint="eastAsia"/>
          <w:szCs w:val="21"/>
        </w:rPr>
        <w:t>请注意本文件的某些内容可能涉及专利。本文件的发布机构不承担识别专利的责任。</w:t>
      </w:r>
    </w:p>
    <w:p w14:paraId="6E757555">
      <w:pPr>
        <w:ind w:firstLine="420" w:firstLineChars="200"/>
        <w:rPr>
          <w:rFonts w:hint="eastAsia"/>
          <w:szCs w:val="21"/>
        </w:rPr>
      </w:pPr>
      <w:r>
        <w:rPr>
          <w:rFonts w:hint="eastAsia"/>
          <w:szCs w:val="21"/>
        </w:rPr>
        <w:t>本文件由</w:t>
      </w:r>
      <w:r>
        <w:rPr>
          <w:rFonts w:hint="eastAsia"/>
          <w:szCs w:val="21"/>
          <w:lang w:val="en-US" w:eastAsia="zh-CN"/>
        </w:rPr>
        <w:t>全国有色金属标准化技术委员会（SAC/TC243）</w:t>
      </w:r>
      <w:r>
        <w:rPr>
          <w:rFonts w:hint="eastAsia"/>
          <w:szCs w:val="21"/>
        </w:rPr>
        <w:t>提出并归口。</w:t>
      </w:r>
    </w:p>
    <w:p w14:paraId="43592B53">
      <w:pPr>
        <w:ind w:firstLine="420" w:firstLineChars="200"/>
        <w:rPr>
          <w:rFonts w:hint="eastAsia"/>
          <w:szCs w:val="21"/>
        </w:rPr>
      </w:pPr>
      <w:r>
        <w:rPr>
          <w:rFonts w:hint="eastAsia"/>
          <w:szCs w:val="21"/>
        </w:rPr>
        <w:t>本文件起草单位：。</w:t>
      </w:r>
    </w:p>
    <w:p w14:paraId="1024189B">
      <w:pPr>
        <w:ind w:firstLine="420" w:firstLineChars="200"/>
        <w:rPr>
          <w:rFonts w:hint="eastAsia"/>
          <w:szCs w:val="21"/>
        </w:rPr>
      </w:pPr>
      <w:r>
        <w:rPr>
          <w:rFonts w:hint="eastAsia"/>
          <w:szCs w:val="21"/>
        </w:rPr>
        <w:t>本文件主要起草人：</w:t>
      </w:r>
    </w:p>
    <w:p w14:paraId="2721A6B6">
      <w:pPr>
        <w:keepNext w:val="0"/>
        <w:keepLines w:val="0"/>
        <w:pageBreakBefore w:val="0"/>
        <w:kinsoku/>
        <w:overflowPunct/>
        <w:topLinePunct w:val="0"/>
        <w:bidi w:val="0"/>
        <w:snapToGrid/>
        <w:spacing w:line="360" w:lineRule="auto"/>
        <w:rPr>
          <w:rFonts w:hint="eastAsia" w:ascii="宋体" w:hAnsi="宋体" w:eastAsia="宋体" w:cs="宋体"/>
          <w:sz w:val="21"/>
          <w:szCs w:val="21"/>
        </w:rPr>
      </w:pPr>
    </w:p>
    <w:p w14:paraId="4C2F3FDB">
      <w:pPr>
        <w:keepNext w:val="0"/>
        <w:keepLines w:val="0"/>
        <w:pageBreakBefore w:val="0"/>
        <w:kinsoku/>
        <w:overflowPunct/>
        <w:topLinePunct w:val="0"/>
        <w:bidi w:val="0"/>
        <w:snapToGrid/>
        <w:spacing w:line="360" w:lineRule="auto"/>
        <w:rPr>
          <w:rFonts w:hint="eastAsia" w:ascii="宋体" w:hAnsi="宋体" w:eastAsia="宋体" w:cs="宋体"/>
          <w:sz w:val="21"/>
          <w:szCs w:val="21"/>
        </w:rPr>
      </w:pPr>
    </w:p>
    <w:p w14:paraId="662397D0">
      <w:pPr>
        <w:keepNext w:val="0"/>
        <w:keepLines w:val="0"/>
        <w:pageBreakBefore w:val="0"/>
        <w:kinsoku/>
        <w:overflowPunct/>
        <w:topLinePunct w:val="0"/>
        <w:bidi w:val="0"/>
        <w:snapToGrid/>
        <w:spacing w:line="360" w:lineRule="auto"/>
        <w:rPr>
          <w:rFonts w:hint="eastAsia" w:ascii="宋体" w:hAnsi="宋体" w:eastAsia="宋体" w:cs="宋体"/>
          <w:sz w:val="21"/>
          <w:szCs w:val="21"/>
        </w:rPr>
      </w:pPr>
    </w:p>
    <w:p w14:paraId="15542C7D">
      <w:pPr>
        <w:keepNext w:val="0"/>
        <w:keepLines w:val="0"/>
        <w:pageBreakBefore w:val="0"/>
        <w:kinsoku/>
        <w:overflowPunct/>
        <w:topLinePunct w:val="0"/>
        <w:bidi w:val="0"/>
        <w:snapToGrid/>
        <w:spacing w:line="360" w:lineRule="auto"/>
        <w:rPr>
          <w:rFonts w:hint="eastAsia" w:ascii="宋体" w:hAnsi="宋体" w:eastAsia="宋体" w:cs="宋体"/>
          <w:sz w:val="21"/>
          <w:szCs w:val="21"/>
        </w:rPr>
      </w:pPr>
    </w:p>
    <w:p w14:paraId="6822D95F">
      <w:pPr>
        <w:keepNext w:val="0"/>
        <w:keepLines w:val="0"/>
        <w:pageBreakBefore w:val="0"/>
        <w:kinsoku/>
        <w:overflowPunct/>
        <w:topLinePunct w:val="0"/>
        <w:bidi w:val="0"/>
        <w:snapToGrid/>
        <w:spacing w:line="360" w:lineRule="auto"/>
        <w:rPr>
          <w:rFonts w:hint="eastAsia" w:ascii="宋体" w:hAnsi="宋体" w:eastAsia="宋体" w:cs="宋体"/>
          <w:sz w:val="21"/>
          <w:szCs w:val="21"/>
        </w:rPr>
      </w:pPr>
    </w:p>
    <w:p w14:paraId="0A54183D">
      <w:pPr>
        <w:keepNext w:val="0"/>
        <w:keepLines w:val="0"/>
        <w:pageBreakBefore w:val="0"/>
        <w:tabs>
          <w:tab w:val="center" w:pos="4156"/>
        </w:tabs>
        <w:kinsoku/>
        <w:overflowPunct/>
        <w:topLinePunct w:val="0"/>
        <w:bidi w:val="0"/>
        <w:snapToGrid/>
        <w:spacing w:line="360" w:lineRule="auto"/>
        <w:jc w:val="left"/>
        <w:rPr>
          <w:rFonts w:hint="eastAsia" w:ascii="宋体" w:hAnsi="宋体" w:eastAsia="宋体" w:cs="宋体"/>
          <w:sz w:val="21"/>
          <w:szCs w:val="21"/>
        </w:rPr>
        <w:sectPr>
          <w:headerReference r:id="rId5" w:type="default"/>
          <w:footerReference r:id="rId6" w:type="default"/>
          <w:footerReference r:id="rId7" w:type="even"/>
          <w:pgSz w:w="11906" w:h="16838"/>
          <w:pgMar w:top="1440" w:right="1797" w:bottom="1440" w:left="1797" w:header="851" w:footer="992" w:gutter="0"/>
          <w:pgNumType w:fmt="upperRoman"/>
          <w:cols w:space="720" w:num="1"/>
          <w:docGrid w:type="linesAndChars" w:linePitch="312" w:charSpace="0"/>
        </w:sectPr>
      </w:pPr>
      <w:r>
        <w:rPr>
          <w:rFonts w:hint="eastAsia" w:ascii="宋体" w:hAnsi="宋体" w:eastAsia="宋体" w:cs="宋体"/>
          <w:sz w:val="21"/>
          <w:szCs w:val="21"/>
        </w:rPr>
        <w:tab/>
      </w:r>
    </w:p>
    <w:p w14:paraId="49A3FBCB">
      <w:pPr>
        <w:keepNext w:val="0"/>
        <w:keepLines w:val="0"/>
        <w:pageBreakBefore w:val="0"/>
        <w:widowControl w:val="0"/>
        <w:kinsoku/>
        <w:wordWrap/>
        <w:overflowPunct/>
        <w:topLinePunct w:val="0"/>
        <w:autoSpaceDE/>
        <w:autoSpaceDN/>
        <w:bidi w:val="0"/>
        <w:adjustRightInd/>
        <w:snapToGrid/>
        <w:spacing w:before="469" w:beforeLines="150" w:after="469" w:afterLines="150"/>
        <w:jc w:val="center"/>
        <w:textAlignment w:val="auto"/>
        <w:rPr>
          <w:rFonts w:hint="eastAsia" w:ascii="黑体" w:eastAsia="黑体"/>
          <w:sz w:val="30"/>
          <w:szCs w:val="30"/>
          <w:lang w:eastAsia="zh-CN"/>
        </w:rPr>
      </w:pPr>
      <w:r>
        <w:rPr>
          <w:rFonts w:hint="eastAsia" w:ascii="黑体" w:eastAsia="黑体"/>
          <w:sz w:val="30"/>
          <w:szCs w:val="30"/>
          <w:lang w:eastAsia="zh-CN"/>
        </w:rPr>
        <w:t>温室气体 产品碳足迹量化方法与要求 银锭</w:t>
      </w:r>
    </w:p>
    <w:p w14:paraId="5E832658">
      <w:pPr>
        <w:keepNext w:val="0"/>
        <w:keepLines w:val="0"/>
        <w:pageBreakBefore w:val="0"/>
        <w:widowControl w:val="0"/>
        <w:kinsoku/>
        <w:wordWrap/>
        <w:overflowPunct/>
        <w:topLinePunct w:val="0"/>
        <w:autoSpaceDE/>
        <w:autoSpaceDN/>
        <w:bidi w:val="0"/>
        <w:adjustRightInd/>
        <w:snapToGrid/>
        <w:spacing w:before="313" w:beforeLines="100" w:after="313" w:afterLines="100" w:line="240" w:lineRule="auto"/>
        <w:textAlignment w:val="auto"/>
        <w:outlineLvl w:val="0"/>
        <w:rPr>
          <w:rFonts w:hint="eastAsia" w:ascii="黑体" w:hAnsi="宋体" w:eastAsia="黑体"/>
          <w:szCs w:val="21"/>
        </w:rPr>
      </w:pPr>
      <w:bookmarkStart w:id="12" w:name="_Toc29765"/>
      <w:r>
        <w:rPr>
          <w:rFonts w:hint="eastAsia" w:ascii="黑体" w:hAnsi="宋体" w:eastAsia="黑体"/>
          <w:szCs w:val="21"/>
        </w:rPr>
        <w:t>1　范围</w:t>
      </w:r>
      <w:bookmarkEnd w:id="12"/>
    </w:p>
    <w:p w14:paraId="6EE96F0F">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outlineLvl w:val="0"/>
        <w:rPr>
          <w:rFonts w:hint="default" w:ascii="宋体" w:hAnsi="宋体" w:eastAsia="宋体" w:cs="宋体"/>
          <w:kern w:val="0"/>
          <w:sz w:val="21"/>
          <w:szCs w:val="21"/>
          <w:lang w:val="en-US" w:eastAsia="zh-CN" w:bidi="ar-SA"/>
        </w:rPr>
      </w:pPr>
      <w:bookmarkStart w:id="13" w:name="_Toc6024"/>
      <w:r>
        <w:rPr>
          <w:rFonts w:hint="default" w:ascii="宋体" w:hAnsi="宋体" w:eastAsia="宋体" w:cs="宋体"/>
          <w:kern w:val="0"/>
          <w:sz w:val="21"/>
          <w:szCs w:val="21"/>
          <w:lang w:val="en-US" w:eastAsia="zh-CN" w:bidi="ar-SA"/>
        </w:rPr>
        <w:t>本文件规定了银锭产品碳足迹的量化方法与要求，包括量化目的、量化范围、清单分析、影响评价、结果解释、报告和声明等内容。</w:t>
      </w:r>
    </w:p>
    <w:p w14:paraId="6B44097D">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outlineLvl w:val="0"/>
        <w:rPr>
          <w:rFonts w:hint="default" w:ascii="宋体" w:hAnsi="宋体" w:eastAsia="宋体" w:cs="宋体"/>
          <w:kern w:val="0"/>
          <w:sz w:val="21"/>
          <w:szCs w:val="21"/>
          <w:lang w:val="en-US" w:eastAsia="zh-CN" w:bidi="ar-SA"/>
        </w:rPr>
      </w:pPr>
      <w:r>
        <w:rPr>
          <w:rFonts w:hint="default" w:ascii="宋体" w:hAnsi="宋体" w:eastAsia="宋体" w:cs="宋体"/>
          <w:kern w:val="0"/>
          <w:sz w:val="21"/>
          <w:szCs w:val="21"/>
          <w:lang w:val="en-US" w:eastAsia="zh-CN" w:bidi="ar-SA"/>
        </w:rPr>
        <w:t>本文件适用于采用独立银矿、伴生银（铜、铅、锌伴生）或再生银为原料生产的银锭产品</w:t>
      </w:r>
      <w:r>
        <w:rPr>
          <w:rFonts w:hint="eastAsia" w:ascii="宋体" w:hAnsi="宋体" w:cs="宋体"/>
          <w:kern w:val="0"/>
          <w:sz w:val="21"/>
          <w:szCs w:val="21"/>
          <w:lang w:val="en-US" w:eastAsia="zh-CN" w:bidi="ar-SA"/>
        </w:rPr>
        <w:t>和</w:t>
      </w:r>
      <w:r>
        <w:rPr>
          <w:rFonts w:hint="default" w:ascii="宋体" w:hAnsi="宋体" w:eastAsia="宋体" w:cs="宋体"/>
          <w:kern w:val="0"/>
          <w:sz w:val="21"/>
          <w:szCs w:val="21"/>
          <w:lang w:val="en-US" w:eastAsia="zh-CN" w:bidi="ar-SA"/>
        </w:rPr>
        <w:t>银锭前序产品碳足迹的量化</w:t>
      </w:r>
      <w:r>
        <w:rPr>
          <w:rFonts w:hint="eastAsia" w:ascii="宋体" w:hAnsi="宋体" w:cs="宋体"/>
          <w:kern w:val="0"/>
          <w:sz w:val="21"/>
          <w:szCs w:val="21"/>
          <w:lang w:val="en-US" w:eastAsia="zh-CN" w:bidi="ar-SA"/>
        </w:rPr>
        <w:t>，以及</w:t>
      </w:r>
      <w:r>
        <w:rPr>
          <w:rFonts w:hint="default" w:ascii="宋体" w:hAnsi="宋体" w:eastAsia="宋体" w:cs="宋体"/>
          <w:kern w:val="0"/>
          <w:sz w:val="21"/>
          <w:szCs w:val="21"/>
          <w:lang w:val="en-US" w:eastAsia="zh-CN" w:bidi="ar-SA"/>
        </w:rPr>
        <w:t>第三方机构对银锭产品碳足迹的核查认证。</w:t>
      </w:r>
    </w:p>
    <w:p w14:paraId="21B823D8">
      <w:pPr>
        <w:keepNext w:val="0"/>
        <w:keepLines w:val="0"/>
        <w:pageBreakBefore w:val="0"/>
        <w:widowControl w:val="0"/>
        <w:kinsoku/>
        <w:wordWrap/>
        <w:overflowPunct/>
        <w:topLinePunct w:val="0"/>
        <w:autoSpaceDE/>
        <w:autoSpaceDN/>
        <w:bidi w:val="0"/>
        <w:adjustRightInd/>
        <w:snapToGrid/>
        <w:spacing w:before="313" w:beforeLines="100" w:after="313" w:afterLines="100" w:line="240" w:lineRule="auto"/>
        <w:textAlignment w:val="auto"/>
        <w:outlineLvl w:val="0"/>
        <w:rPr>
          <w:rFonts w:hint="eastAsia" w:ascii="黑体" w:hAnsi="宋体" w:eastAsia="黑体" w:cs="Times New Roman"/>
          <w:szCs w:val="21"/>
        </w:rPr>
      </w:pPr>
      <w:r>
        <w:rPr>
          <w:rFonts w:hint="eastAsia" w:ascii="黑体" w:hAnsi="宋体" w:eastAsia="黑体" w:cs="Times New Roman"/>
          <w:szCs w:val="21"/>
        </w:rPr>
        <w:t>2　规范性引用文件</w:t>
      </w:r>
      <w:bookmarkEnd w:id="13"/>
    </w:p>
    <w:p w14:paraId="4E386B23">
      <w:pPr>
        <w:pStyle w:val="131"/>
        <w:keepNext w:val="0"/>
        <w:keepLines w:val="0"/>
        <w:pageBreakBefore w:val="0"/>
        <w:widowControl/>
        <w:kinsoku/>
        <w:wordWrap/>
        <w:overflowPunct/>
        <w:topLinePunct w:val="0"/>
        <w:autoSpaceDE w:val="0"/>
        <w:autoSpaceDN w:val="0"/>
        <w:bidi w:val="0"/>
        <w:adjustRightInd/>
        <w:snapToGrid/>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下列文件中的内容通过文中的规范性引用而构成本文件必不可少的条款。其中，注日期的引用文件，仅该日期对应的版本适用于本文件；不注日期的引用文件，其最新版本（包括所有的修改单）适用于本文件。</w:t>
      </w:r>
    </w:p>
    <w:p w14:paraId="62FF6B7D">
      <w:pPr>
        <w:pStyle w:val="131"/>
        <w:keepNext w:val="0"/>
        <w:keepLines w:val="0"/>
        <w:pageBreakBefore w:val="0"/>
        <w:widowControl/>
        <w:kinsoku/>
        <w:wordWrap/>
        <w:overflowPunct/>
        <w:topLinePunct w:val="0"/>
        <w:autoSpaceDE w:val="0"/>
        <w:autoSpaceDN w:val="0"/>
        <w:bidi w:val="0"/>
        <w:adjustRightInd/>
        <w:snapToGrid/>
        <w:ind w:left="420" w:leftChars="200" w:firstLine="0" w:firstLineChars="0"/>
        <w:textAlignment w:val="auto"/>
        <w:rPr>
          <w:rFonts w:hint="eastAsia" w:ascii="宋体" w:hAnsi="宋体" w:eastAsia="宋体" w:cs="宋体"/>
          <w:sz w:val="21"/>
          <w:szCs w:val="21"/>
        </w:rPr>
      </w:pPr>
      <w:bookmarkStart w:id="14" w:name="_Toc22603"/>
      <w:r>
        <w:rPr>
          <w:rFonts w:hint="eastAsia" w:ascii="宋体" w:hAnsi="宋体" w:eastAsia="宋体" w:cs="宋体"/>
          <w:sz w:val="21"/>
          <w:szCs w:val="21"/>
        </w:rPr>
        <w:t>GB/T 2589 综合能耗计算通则</w:t>
      </w:r>
    </w:p>
    <w:p w14:paraId="51A1EC2B">
      <w:pPr>
        <w:pStyle w:val="131"/>
        <w:keepNext w:val="0"/>
        <w:keepLines w:val="0"/>
        <w:pageBreakBefore w:val="0"/>
        <w:widowControl/>
        <w:kinsoku/>
        <w:wordWrap/>
        <w:overflowPunct/>
        <w:topLinePunct w:val="0"/>
        <w:autoSpaceDE w:val="0"/>
        <w:autoSpaceDN w:val="0"/>
        <w:bidi w:val="0"/>
        <w:adjustRightInd/>
        <w:snapToGrid/>
        <w:ind w:left="420" w:leftChars="20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GB/T 24067</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温室气体 产品碳足迹</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量化要求和指南</w:t>
      </w:r>
      <w:r>
        <w:rPr>
          <w:rFonts w:hint="eastAsia" w:ascii="宋体" w:hAnsi="宋体" w:eastAsia="宋体" w:cs="宋体"/>
          <w:sz w:val="21"/>
          <w:szCs w:val="21"/>
        </w:rPr>
        <w:br w:type="textWrapping"/>
      </w:r>
      <w:r>
        <w:rPr>
          <w:rFonts w:hint="eastAsia" w:ascii="宋体" w:hAnsi="宋体" w:eastAsia="宋体" w:cs="宋体"/>
          <w:sz w:val="21"/>
          <w:szCs w:val="21"/>
        </w:rPr>
        <w:t>GB/T 32150 工业企业温室气体排放核算和报告通则</w:t>
      </w:r>
    </w:p>
    <w:p w14:paraId="5B61779C">
      <w:pPr>
        <w:pStyle w:val="131"/>
        <w:keepNext w:val="0"/>
        <w:keepLines w:val="0"/>
        <w:pageBreakBefore w:val="0"/>
        <w:widowControl/>
        <w:kinsoku/>
        <w:wordWrap/>
        <w:overflowPunct/>
        <w:topLinePunct w:val="0"/>
        <w:autoSpaceDE w:val="0"/>
        <w:autoSpaceDN w:val="0"/>
        <w:bidi w:val="0"/>
        <w:adjustRightInd/>
        <w:snapToGrid/>
        <w:ind w:left="420" w:leftChars="20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YS/T 1805 温室气体 产品碳足迹量化方法与要求 铅锭</w:t>
      </w:r>
    </w:p>
    <w:p w14:paraId="79597B80">
      <w:pPr>
        <w:pStyle w:val="131"/>
        <w:keepNext w:val="0"/>
        <w:keepLines w:val="0"/>
        <w:pageBreakBefore w:val="0"/>
        <w:widowControl/>
        <w:kinsoku/>
        <w:wordWrap/>
        <w:overflowPunct/>
        <w:topLinePunct w:val="0"/>
        <w:autoSpaceDE w:val="0"/>
        <w:autoSpaceDN w:val="0"/>
        <w:bidi w:val="0"/>
        <w:adjustRightInd/>
        <w:snapToGrid/>
        <w:ind w:left="420" w:leftChars="20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YS/T 1806 温室气体 产品碳足迹量化方法与要求 锌锭</w:t>
      </w:r>
    </w:p>
    <w:p w14:paraId="4AF59623">
      <w:pPr>
        <w:pStyle w:val="131"/>
        <w:keepNext w:val="0"/>
        <w:keepLines w:val="0"/>
        <w:pageBreakBefore w:val="0"/>
        <w:widowControl/>
        <w:kinsoku/>
        <w:wordWrap/>
        <w:overflowPunct/>
        <w:topLinePunct w:val="0"/>
        <w:autoSpaceDE w:val="0"/>
        <w:autoSpaceDN w:val="0"/>
        <w:bidi w:val="0"/>
        <w:adjustRightInd/>
        <w:snapToGrid/>
        <w:ind w:left="420" w:leftChars="20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YS/T 1807 温室气体 产品碳足迹量化方法与要求 阴极铜</w:t>
      </w:r>
    </w:p>
    <w:p w14:paraId="3ED83434">
      <w:pPr>
        <w:keepNext w:val="0"/>
        <w:keepLines w:val="0"/>
        <w:pageBreakBefore w:val="0"/>
        <w:widowControl w:val="0"/>
        <w:kinsoku/>
        <w:wordWrap/>
        <w:overflowPunct/>
        <w:topLinePunct w:val="0"/>
        <w:autoSpaceDE/>
        <w:autoSpaceDN/>
        <w:bidi w:val="0"/>
        <w:adjustRightInd/>
        <w:snapToGrid/>
        <w:spacing w:before="313" w:beforeLines="100" w:after="313" w:afterLines="100" w:line="240" w:lineRule="auto"/>
        <w:textAlignment w:val="auto"/>
        <w:outlineLvl w:val="0"/>
        <w:rPr>
          <w:rFonts w:hint="eastAsia" w:ascii="黑体" w:hAnsi="宋体" w:eastAsia="黑体" w:cs="Times New Roman"/>
          <w:szCs w:val="21"/>
        </w:rPr>
      </w:pPr>
      <w:r>
        <w:rPr>
          <w:rFonts w:hint="eastAsia" w:ascii="黑体" w:hAnsi="宋体" w:eastAsia="黑体" w:cs="Times New Roman"/>
          <w:szCs w:val="21"/>
        </w:rPr>
        <w:t>3　术语和定义</w:t>
      </w:r>
      <w:bookmarkEnd w:id="14"/>
    </w:p>
    <w:p w14:paraId="3D203333">
      <w:pPr>
        <w:pStyle w:val="131"/>
        <w:keepNext w:val="0"/>
        <w:keepLines w:val="0"/>
        <w:pageBreakBefore w:val="0"/>
        <w:widowControl/>
        <w:kinsoku/>
        <w:wordWrap/>
        <w:overflowPunct/>
        <w:topLinePunct w:val="0"/>
        <w:autoSpaceDE w:val="0"/>
        <w:autoSpaceDN w:val="0"/>
        <w:bidi w:val="0"/>
        <w:adjustRightInd/>
        <w:snapToGrid/>
        <w:spacing w:line="240" w:lineRule="auto"/>
        <w:ind w:firstLine="420" w:firstLineChars="200"/>
        <w:jc w:val="both"/>
        <w:textAlignment w:val="auto"/>
        <w:rPr>
          <w:rFonts w:hint="eastAsia" w:ascii="宋体" w:hAnsi="Times New Roman" w:eastAsia="宋体" w:cs="Times New Roman"/>
          <w:szCs w:val="21"/>
        </w:rPr>
      </w:pPr>
      <w:r>
        <w:rPr>
          <w:rFonts w:hint="eastAsia" w:ascii="宋体" w:hAnsi="Times New Roman" w:eastAsia="宋体" w:cs="Times New Roman"/>
          <w:szCs w:val="21"/>
        </w:rPr>
        <w:t>GB/T 24067和GB/T 32150界定的以及下列术语和定义适用于本文件。</w:t>
      </w:r>
    </w:p>
    <w:p w14:paraId="5651DEAD">
      <w:pPr>
        <w:keepNext w:val="0"/>
        <w:keepLines w:val="0"/>
        <w:pageBreakBefore w:val="0"/>
        <w:widowControl w:val="0"/>
        <w:kinsoku/>
        <w:wordWrap/>
        <w:overflowPunct/>
        <w:topLinePunct w:val="0"/>
        <w:autoSpaceDE/>
        <w:autoSpaceDN/>
        <w:bidi w:val="0"/>
        <w:adjustRightInd/>
        <w:snapToGrid/>
        <w:spacing w:beforeLines="50" w:afterLines="50" w:line="240" w:lineRule="auto"/>
        <w:textAlignment w:val="auto"/>
        <w:outlineLvl w:val="1"/>
        <w:rPr>
          <w:rFonts w:hint="eastAsia" w:ascii="黑体" w:hAnsi="宋体" w:eastAsia="黑体"/>
          <w:szCs w:val="21"/>
        </w:rPr>
      </w:pPr>
      <w:bookmarkStart w:id="15" w:name="_Toc3336"/>
      <w:bookmarkStart w:id="16" w:name="_Toc7686"/>
      <w:r>
        <w:rPr>
          <w:rFonts w:hint="eastAsia" w:ascii="黑体" w:hAnsi="宋体" w:eastAsia="黑体"/>
          <w:szCs w:val="21"/>
        </w:rPr>
        <w:t>3.1</w:t>
      </w:r>
      <w:bookmarkEnd w:id="15"/>
      <w:bookmarkEnd w:id="16"/>
    </w:p>
    <w:p w14:paraId="6C00FA5B">
      <w:pPr>
        <w:keepNext w:val="0"/>
        <w:keepLines w:val="0"/>
        <w:pageBreakBefore w:val="0"/>
        <w:widowControl w:val="0"/>
        <w:kinsoku/>
        <w:wordWrap/>
        <w:overflowPunct/>
        <w:topLinePunct w:val="0"/>
        <w:autoSpaceDE/>
        <w:autoSpaceDN/>
        <w:bidi w:val="0"/>
        <w:adjustRightInd/>
        <w:snapToGrid/>
        <w:spacing w:beforeLines="50" w:afterLines="50" w:line="240" w:lineRule="auto"/>
        <w:ind w:firstLine="420" w:firstLineChars="200"/>
        <w:textAlignment w:val="auto"/>
        <w:rPr>
          <w:rFonts w:hint="eastAsia" w:ascii="黑体" w:hAnsi="宋体" w:eastAsia="黑体"/>
          <w:szCs w:val="21"/>
        </w:rPr>
      </w:pPr>
      <w:r>
        <w:rPr>
          <w:rFonts w:hint="eastAsia" w:ascii="黑体" w:hAnsi="宋体" w:eastAsia="黑体"/>
          <w:szCs w:val="21"/>
          <w:lang w:eastAsia="zh-CN"/>
        </w:rPr>
        <w:t>银</w:t>
      </w:r>
      <w:r>
        <w:rPr>
          <w:rFonts w:hint="eastAsia" w:ascii="黑体" w:hAnsi="宋体" w:eastAsia="黑体"/>
          <w:szCs w:val="21"/>
        </w:rPr>
        <w:t>锭</w:t>
      </w:r>
      <w:r>
        <w:rPr>
          <w:rFonts w:hint="eastAsia" w:ascii="黑体" w:hAnsi="宋体" w:eastAsia="黑体"/>
          <w:szCs w:val="21"/>
          <w:lang w:val="en-US" w:eastAsia="zh-CN"/>
        </w:rPr>
        <w:t xml:space="preserve"> </w:t>
      </w:r>
      <w:r>
        <w:rPr>
          <w:rFonts w:hint="default" w:ascii="Times New Roman" w:hAnsi="Times New Roman" w:eastAsia="黑体" w:cs="Times New Roman"/>
          <w:szCs w:val="21"/>
        </w:rPr>
        <w:t>silver bullion</w:t>
      </w:r>
    </w:p>
    <w:p w14:paraId="4534CD26">
      <w:pPr>
        <w:pStyle w:val="131"/>
        <w:keepNext w:val="0"/>
        <w:keepLines w:val="0"/>
        <w:pageBreakBefore w:val="0"/>
        <w:widowControl/>
        <w:kinsoku/>
        <w:wordWrap/>
        <w:overflowPunct/>
        <w:topLinePunct w:val="0"/>
        <w:autoSpaceDE w:val="0"/>
        <w:autoSpaceDN w:val="0"/>
        <w:bidi w:val="0"/>
        <w:adjustRightInd/>
        <w:snapToGrid/>
        <w:ind w:firstLine="420" w:firstLineChars="200"/>
        <w:textAlignment w:val="auto"/>
        <w:rPr>
          <w:rFonts w:hint="eastAsia" w:ascii="宋体" w:hAnsi="Times New Roman" w:eastAsia="宋体" w:cs="Times New Roman"/>
          <w:szCs w:val="21"/>
          <w:lang w:val="en-US" w:eastAsia="zh-CN"/>
        </w:rPr>
      </w:pPr>
      <w:r>
        <w:rPr>
          <w:rFonts w:hint="eastAsia" w:ascii="宋体" w:hAnsi="Times New Roman" w:eastAsia="宋体" w:cs="Times New Roman"/>
          <w:szCs w:val="21"/>
          <w:lang w:val="en-US" w:eastAsia="zh-CN"/>
        </w:rPr>
        <w:t>经冶炼和精炼得到的，主成分</w:t>
      </w:r>
      <w:r>
        <w:rPr>
          <w:rFonts w:hint="eastAsia" w:cs="Times New Roman"/>
          <w:szCs w:val="21"/>
          <w:lang w:val="en-US" w:eastAsia="zh-CN"/>
        </w:rPr>
        <w:t>银</w:t>
      </w:r>
      <w:r>
        <w:rPr>
          <w:rFonts w:hint="eastAsia" w:ascii="宋体" w:hAnsi="Times New Roman" w:eastAsia="宋体" w:cs="Times New Roman"/>
          <w:szCs w:val="21"/>
          <w:lang w:val="en-US" w:eastAsia="zh-CN"/>
        </w:rPr>
        <w:t>含量不低于99.95%的矩形锭状产品，包括A</w:t>
      </w:r>
      <w:r>
        <w:rPr>
          <w:rFonts w:hint="eastAsia" w:cs="Times New Roman"/>
          <w:szCs w:val="21"/>
          <w:lang w:val="en-US" w:eastAsia="zh-CN"/>
        </w:rPr>
        <w:t>g</w:t>
      </w:r>
      <w:r>
        <w:rPr>
          <w:rFonts w:hint="eastAsia" w:ascii="宋体" w:hAnsi="Times New Roman" w:eastAsia="宋体" w:cs="Times New Roman"/>
          <w:szCs w:val="21"/>
          <w:lang w:val="en-US" w:eastAsia="zh-CN"/>
        </w:rPr>
        <w:t>9995、A</w:t>
      </w:r>
      <w:r>
        <w:rPr>
          <w:rFonts w:hint="eastAsia" w:cs="Times New Roman"/>
          <w:szCs w:val="21"/>
          <w:lang w:val="en-US" w:eastAsia="zh-CN"/>
        </w:rPr>
        <w:t>g</w:t>
      </w:r>
      <w:r>
        <w:rPr>
          <w:rFonts w:hint="eastAsia" w:ascii="宋体" w:hAnsi="Times New Roman" w:eastAsia="宋体" w:cs="Times New Roman"/>
          <w:szCs w:val="21"/>
          <w:lang w:val="en-US" w:eastAsia="zh-CN"/>
        </w:rPr>
        <w:t>9999等牌号。</w:t>
      </w:r>
    </w:p>
    <w:p w14:paraId="2FBF860D">
      <w:pPr>
        <w:keepNext w:val="0"/>
        <w:keepLines w:val="0"/>
        <w:pageBreakBefore w:val="0"/>
        <w:widowControl w:val="0"/>
        <w:kinsoku/>
        <w:wordWrap/>
        <w:overflowPunct/>
        <w:topLinePunct w:val="0"/>
        <w:autoSpaceDE/>
        <w:autoSpaceDN/>
        <w:bidi w:val="0"/>
        <w:adjustRightInd/>
        <w:snapToGrid/>
        <w:spacing w:beforeLines="50" w:afterLines="50" w:line="240" w:lineRule="auto"/>
        <w:textAlignment w:val="auto"/>
        <w:rPr>
          <w:rFonts w:hint="default" w:ascii="黑体" w:hAnsi="宋体" w:eastAsia="黑体" w:cs="Times New Roman"/>
          <w:szCs w:val="21"/>
          <w:lang w:val="en-US" w:eastAsia="zh-CN"/>
        </w:rPr>
      </w:pPr>
      <w:r>
        <w:rPr>
          <w:rFonts w:hint="eastAsia" w:ascii="黑体" w:hAnsi="宋体" w:eastAsia="黑体" w:cs="Times New Roman"/>
          <w:szCs w:val="21"/>
          <w:lang w:val="en-US" w:eastAsia="zh-CN"/>
        </w:rPr>
        <w:t>3.2</w:t>
      </w:r>
    </w:p>
    <w:p w14:paraId="7077ADD2">
      <w:pPr>
        <w:keepNext w:val="0"/>
        <w:keepLines w:val="0"/>
        <w:pageBreakBefore w:val="0"/>
        <w:widowControl w:val="0"/>
        <w:kinsoku/>
        <w:wordWrap/>
        <w:overflowPunct/>
        <w:topLinePunct w:val="0"/>
        <w:autoSpaceDE/>
        <w:autoSpaceDN/>
        <w:bidi w:val="0"/>
        <w:adjustRightInd/>
        <w:snapToGrid/>
        <w:spacing w:beforeLines="50" w:afterLines="50" w:line="240" w:lineRule="auto"/>
        <w:ind w:firstLine="420" w:firstLineChars="200"/>
        <w:textAlignment w:val="auto"/>
        <w:rPr>
          <w:rFonts w:hint="eastAsia" w:ascii="黑体" w:hAnsi="宋体" w:eastAsia="黑体" w:cs="Times New Roman"/>
          <w:szCs w:val="21"/>
          <w:lang w:val="en-US" w:eastAsia="zh-CN"/>
        </w:rPr>
      </w:pPr>
      <w:r>
        <w:rPr>
          <w:rFonts w:hint="eastAsia" w:ascii="黑体" w:hAnsi="宋体" w:eastAsia="黑体" w:cs="Times New Roman"/>
          <w:szCs w:val="21"/>
          <w:lang w:val="en-US" w:eastAsia="zh-CN"/>
        </w:rPr>
        <w:t xml:space="preserve">生命周期 </w:t>
      </w:r>
      <w:r>
        <w:rPr>
          <w:rFonts w:hint="default" w:ascii="Times New Roman" w:hAnsi="Times New Roman" w:eastAsia="黑体" w:cs="Times New Roman"/>
          <w:szCs w:val="21"/>
          <w:lang w:val="en-US" w:eastAsia="zh-CN"/>
        </w:rPr>
        <w:t>life cycle</w:t>
      </w:r>
    </w:p>
    <w:p w14:paraId="539AB9E6">
      <w:pPr>
        <w:pStyle w:val="131"/>
        <w:keepNext w:val="0"/>
        <w:keepLines w:val="0"/>
        <w:pageBreakBefore w:val="0"/>
        <w:widowControl/>
        <w:kinsoku/>
        <w:wordWrap/>
        <w:overflowPunct/>
        <w:topLinePunct w:val="0"/>
        <w:autoSpaceDE w:val="0"/>
        <w:autoSpaceDN w:val="0"/>
        <w:bidi w:val="0"/>
        <w:adjustRightInd/>
        <w:snapToGrid/>
        <w:ind w:firstLine="420" w:firstLineChars="200"/>
        <w:textAlignment w:val="auto"/>
        <w:rPr>
          <w:rFonts w:hint="eastAsia" w:ascii="宋体" w:hAnsi="Times New Roman" w:eastAsia="宋体" w:cs="Times New Roman"/>
          <w:szCs w:val="21"/>
          <w:lang w:val="en-US" w:eastAsia="zh-CN"/>
        </w:rPr>
      </w:pPr>
      <w:r>
        <w:rPr>
          <w:rFonts w:hint="eastAsia" w:ascii="宋体" w:hAnsi="Times New Roman" w:eastAsia="宋体" w:cs="Times New Roman"/>
          <w:szCs w:val="21"/>
          <w:lang w:val="en-US" w:eastAsia="zh-CN"/>
        </w:rPr>
        <w:t>产品系统中前后衔接的一系列阶段，从自然界或从自然资源中获取原材料，直至最终处置。</w:t>
      </w:r>
    </w:p>
    <w:p w14:paraId="70159ADC">
      <w:pPr>
        <w:keepNext w:val="0"/>
        <w:keepLines w:val="0"/>
        <w:pageBreakBefore w:val="0"/>
        <w:widowControl w:val="0"/>
        <w:kinsoku/>
        <w:wordWrap/>
        <w:overflowPunct/>
        <w:topLinePunct w:val="0"/>
        <w:autoSpaceDE/>
        <w:autoSpaceDN/>
        <w:bidi w:val="0"/>
        <w:adjustRightInd/>
        <w:snapToGrid/>
        <w:spacing w:beforeLines="50" w:afterLines="50" w:line="240" w:lineRule="auto"/>
        <w:textAlignment w:val="auto"/>
        <w:rPr>
          <w:rFonts w:hint="default" w:ascii="黑体" w:hAnsi="宋体" w:eastAsia="黑体" w:cs="Times New Roman"/>
          <w:szCs w:val="21"/>
          <w:lang w:val="en-US" w:eastAsia="zh-CN"/>
        </w:rPr>
      </w:pPr>
      <w:r>
        <w:rPr>
          <w:rFonts w:hint="eastAsia" w:ascii="黑体" w:hAnsi="宋体" w:eastAsia="黑体" w:cs="Times New Roman"/>
          <w:szCs w:val="21"/>
          <w:lang w:val="en-US" w:eastAsia="zh-CN"/>
        </w:rPr>
        <w:t>3.3</w:t>
      </w:r>
    </w:p>
    <w:p w14:paraId="08189AF7">
      <w:pPr>
        <w:keepNext w:val="0"/>
        <w:keepLines w:val="0"/>
        <w:pageBreakBefore w:val="0"/>
        <w:widowControl w:val="0"/>
        <w:kinsoku/>
        <w:wordWrap/>
        <w:overflowPunct/>
        <w:topLinePunct w:val="0"/>
        <w:autoSpaceDE/>
        <w:autoSpaceDN/>
        <w:bidi w:val="0"/>
        <w:adjustRightInd/>
        <w:snapToGrid/>
        <w:spacing w:beforeLines="50" w:afterLines="50" w:line="240" w:lineRule="auto"/>
        <w:ind w:firstLine="420" w:firstLineChars="200"/>
        <w:textAlignment w:val="auto"/>
        <w:rPr>
          <w:rFonts w:hint="eastAsia" w:ascii="黑体" w:hAnsi="宋体" w:eastAsia="黑体" w:cs="Times New Roman"/>
          <w:szCs w:val="21"/>
          <w:lang w:val="en-US" w:eastAsia="zh-CN"/>
        </w:rPr>
      </w:pPr>
      <w:r>
        <w:rPr>
          <w:rFonts w:hint="eastAsia" w:ascii="黑体" w:hAnsi="宋体" w:eastAsia="黑体" w:cs="Times New Roman"/>
          <w:szCs w:val="21"/>
          <w:lang w:val="en-US" w:eastAsia="zh-CN"/>
        </w:rPr>
        <w:t xml:space="preserve">产品碳足迹 </w:t>
      </w:r>
      <w:r>
        <w:rPr>
          <w:rFonts w:hint="default" w:ascii="Times New Roman" w:hAnsi="Times New Roman" w:eastAsia="黑体" w:cs="Times New Roman"/>
          <w:szCs w:val="21"/>
          <w:lang w:val="en-US" w:eastAsia="zh-CN"/>
        </w:rPr>
        <w:t xml:space="preserve">carbon footprint </w:t>
      </w:r>
    </w:p>
    <w:p w14:paraId="0F671B4B">
      <w:pPr>
        <w:pStyle w:val="131"/>
        <w:keepNext w:val="0"/>
        <w:keepLines w:val="0"/>
        <w:pageBreakBefore w:val="0"/>
        <w:widowControl/>
        <w:kinsoku/>
        <w:wordWrap/>
        <w:overflowPunct/>
        <w:topLinePunct w:val="0"/>
        <w:autoSpaceDE w:val="0"/>
        <w:autoSpaceDN w:val="0"/>
        <w:bidi w:val="0"/>
        <w:adjustRightInd/>
        <w:snapToGrid/>
        <w:spacing w:line="240" w:lineRule="auto"/>
        <w:ind w:firstLine="420" w:firstLineChars="200"/>
        <w:jc w:val="both"/>
        <w:textAlignment w:val="auto"/>
        <w:rPr>
          <w:rFonts w:hint="eastAsia" w:ascii="宋体" w:hAnsi="Times New Roman" w:eastAsia="宋体" w:cs="Times New Roman"/>
          <w:szCs w:val="21"/>
          <w:lang w:val="en-US" w:eastAsia="zh-CN"/>
        </w:rPr>
      </w:pPr>
      <w:r>
        <w:rPr>
          <w:rFonts w:hint="eastAsia" w:ascii="宋体" w:hAnsi="Times New Roman" w:eastAsia="宋体" w:cs="Times New Roman"/>
          <w:szCs w:val="21"/>
          <w:lang w:val="en-US" w:eastAsia="zh-CN"/>
        </w:rPr>
        <w:t>产品系统中的温室气体(GHG)排放量和GHG清除量之和，以二氧化碳当量表示，并基于气候变化这一单一环境影响类型进行生命周期评价。</w:t>
      </w:r>
    </w:p>
    <w:p w14:paraId="0DF46CE5">
      <w:pPr>
        <w:pStyle w:val="131"/>
        <w:keepNext w:val="0"/>
        <w:keepLines w:val="0"/>
        <w:pageBreakBefore w:val="0"/>
        <w:widowControl/>
        <w:kinsoku/>
        <w:wordWrap/>
        <w:overflowPunct/>
        <w:topLinePunct w:val="0"/>
        <w:autoSpaceDE w:val="0"/>
        <w:autoSpaceDN w:val="0"/>
        <w:bidi w:val="0"/>
        <w:adjustRightInd/>
        <w:snapToGrid/>
        <w:spacing w:line="240" w:lineRule="auto"/>
        <w:ind w:firstLine="420" w:firstLineChars="200"/>
        <w:jc w:val="both"/>
        <w:textAlignment w:val="auto"/>
        <w:rPr>
          <w:rFonts w:hint="eastAsia" w:ascii="宋体" w:hAnsi="Times New Roman" w:eastAsia="宋体" w:cs="Times New Roman"/>
          <w:szCs w:val="21"/>
          <w:lang w:val="en-US" w:eastAsia="zh-CN"/>
        </w:rPr>
      </w:pPr>
      <w:r>
        <w:rPr>
          <w:rFonts w:hint="eastAsia" w:ascii="宋体" w:hAnsi="Times New Roman" w:eastAsia="宋体" w:cs="Times New Roman"/>
          <w:szCs w:val="21"/>
          <w:lang w:val="en-US" w:eastAsia="zh-CN"/>
        </w:rPr>
        <w:t>注1:产品碳足迹可用不同的图例区分和标示具体的GHG排放量和清除量，产品碳足迹也可被分解到其生命周期的各个阶段。</w:t>
      </w:r>
    </w:p>
    <w:p w14:paraId="520491A7">
      <w:pPr>
        <w:pStyle w:val="131"/>
        <w:keepNext w:val="0"/>
        <w:keepLines w:val="0"/>
        <w:pageBreakBefore w:val="0"/>
        <w:widowControl/>
        <w:kinsoku/>
        <w:wordWrap/>
        <w:overflowPunct/>
        <w:topLinePunct w:val="0"/>
        <w:autoSpaceDE w:val="0"/>
        <w:autoSpaceDN w:val="0"/>
        <w:bidi w:val="0"/>
        <w:adjustRightInd/>
        <w:snapToGrid/>
        <w:spacing w:line="240" w:lineRule="auto"/>
        <w:ind w:firstLine="420" w:firstLineChars="200"/>
        <w:jc w:val="both"/>
        <w:textAlignment w:val="auto"/>
        <w:rPr>
          <w:rFonts w:hint="eastAsia" w:ascii="宋体" w:hAnsi="Times New Roman" w:eastAsia="宋体" w:cs="Times New Roman"/>
          <w:szCs w:val="21"/>
          <w:lang w:val="en-US" w:eastAsia="zh-CN"/>
        </w:rPr>
      </w:pPr>
      <w:r>
        <w:rPr>
          <w:rFonts w:hint="eastAsia" w:ascii="宋体" w:hAnsi="Times New Roman" w:eastAsia="宋体" w:cs="Times New Roman"/>
          <w:szCs w:val="21"/>
          <w:lang w:val="en-US" w:eastAsia="zh-CN"/>
        </w:rPr>
        <w:t>注2:产品碳足迹研究报告中记录了产品碳足迹的量化结果，以每个声明单位的二氧化碳当量表示。</w:t>
      </w:r>
    </w:p>
    <w:p w14:paraId="79DA0DAF">
      <w:pPr>
        <w:pStyle w:val="131"/>
        <w:keepNext w:val="0"/>
        <w:keepLines w:val="0"/>
        <w:pageBreakBefore w:val="0"/>
        <w:widowControl/>
        <w:kinsoku/>
        <w:wordWrap/>
        <w:overflowPunct/>
        <w:topLinePunct w:val="0"/>
        <w:autoSpaceDE w:val="0"/>
        <w:autoSpaceDN w:val="0"/>
        <w:bidi w:val="0"/>
        <w:adjustRightInd/>
        <w:snapToGrid/>
        <w:spacing w:line="240" w:lineRule="auto"/>
        <w:ind w:firstLine="420" w:firstLineChars="200"/>
        <w:jc w:val="both"/>
        <w:textAlignment w:val="auto"/>
        <w:rPr>
          <w:rFonts w:hint="eastAsia" w:ascii="宋体" w:hAnsi="Times New Roman" w:eastAsia="宋体" w:cs="Times New Roman"/>
          <w:szCs w:val="21"/>
          <w:lang w:val="en-US" w:eastAsia="zh-CN"/>
        </w:rPr>
      </w:pPr>
      <w:r>
        <w:rPr>
          <w:rFonts w:hint="eastAsia" w:ascii="宋体" w:hAnsi="Times New Roman" w:eastAsia="宋体" w:cs="Times New Roman"/>
          <w:szCs w:val="21"/>
          <w:lang w:val="en-US" w:eastAsia="zh-CN"/>
        </w:rPr>
        <w:t>注3:本文件</w:t>
      </w:r>
      <w:r>
        <w:rPr>
          <w:rFonts w:hint="eastAsia" w:cs="Times New Roman"/>
          <w:szCs w:val="21"/>
          <w:lang w:val="en-US" w:eastAsia="zh-CN"/>
        </w:rPr>
        <w:t>银锭</w:t>
      </w:r>
      <w:r>
        <w:rPr>
          <w:rFonts w:hint="eastAsia" w:ascii="宋体" w:hAnsi="Times New Roman" w:eastAsia="宋体" w:cs="Times New Roman"/>
          <w:szCs w:val="21"/>
          <w:lang w:val="en-US" w:eastAsia="zh-CN"/>
        </w:rPr>
        <w:t>及其前序产品的碳足迹量化范围为从原材料获取到产品离开生产企业大门为止。</w:t>
      </w:r>
    </w:p>
    <w:p w14:paraId="439F7677">
      <w:pPr>
        <w:keepNext w:val="0"/>
        <w:keepLines w:val="0"/>
        <w:pageBreakBefore w:val="0"/>
        <w:widowControl w:val="0"/>
        <w:kinsoku/>
        <w:wordWrap/>
        <w:overflowPunct/>
        <w:topLinePunct w:val="0"/>
        <w:autoSpaceDE/>
        <w:autoSpaceDN/>
        <w:bidi w:val="0"/>
        <w:adjustRightInd/>
        <w:snapToGrid/>
        <w:spacing w:beforeLines="50" w:afterLines="50" w:line="240" w:lineRule="auto"/>
        <w:textAlignment w:val="auto"/>
        <w:rPr>
          <w:rFonts w:hint="default" w:ascii="黑体" w:hAnsi="宋体" w:eastAsia="黑体" w:cs="Times New Roman"/>
          <w:szCs w:val="21"/>
          <w:lang w:val="en-US" w:eastAsia="zh-CN"/>
        </w:rPr>
      </w:pPr>
      <w:r>
        <w:rPr>
          <w:rFonts w:hint="eastAsia" w:ascii="黑体" w:hAnsi="宋体" w:eastAsia="黑体" w:cs="Times New Roman"/>
          <w:szCs w:val="21"/>
          <w:lang w:val="en-US" w:eastAsia="zh-CN"/>
        </w:rPr>
        <w:t>3.4</w:t>
      </w:r>
    </w:p>
    <w:p w14:paraId="17531D4B">
      <w:pPr>
        <w:keepNext w:val="0"/>
        <w:keepLines w:val="0"/>
        <w:pageBreakBefore w:val="0"/>
        <w:widowControl w:val="0"/>
        <w:kinsoku/>
        <w:wordWrap/>
        <w:overflowPunct/>
        <w:topLinePunct w:val="0"/>
        <w:autoSpaceDE/>
        <w:autoSpaceDN/>
        <w:bidi w:val="0"/>
        <w:adjustRightInd/>
        <w:snapToGrid/>
        <w:spacing w:beforeLines="50" w:afterLines="50" w:line="240" w:lineRule="auto"/>
        <w:ind w:firstLine="420" w:firstLineChars="200"/>
        <w:textAlignment w:val="auto"/>
        <w:rPr>
          <w:rFonts w:hint="eastAsia" w:ascii="黑体" w:hAnsi="宋体" w:eastAsia="黑体" w:cs="Times New Roman"/>
          <w:szCs w:val="21"/>
          <w:lang w:val="en-US" w:eastAsia="zh-CN"/>
        </w:rPr>
      </w:pPr>
      <w:r>
        <w:rPr>
          <w:rFonts w:hint="eastAsia" w:ascii="黑体" w:hAnsi="宋体" w:eastAsia="黑体" w:cs="Times New Roman"/>
          <w:szCs w:val="21"/>
          <w:lang w:val="en-US" w:eastAsia="zh-CN"/>
        </w:rPr>
        <w:t xml:space="preserve">单元过程  </w:t>
      </w:r>
      <w:r>
        <w:rPr>
          <w:rFonts w:hint="default" w:ascii="Times New Roman" w:hAnsi="Times New Roman" w:eastAsia="黑体" w:cs="Times New Roman"/>
          <w:szCs w:val="21"/>
          <w:lang w:val="en-US" w:eastAsia="zh-CN"/>
        </w:rPr>
        <w:t>unit process</w:t>
      </w:r>
    </w:p>
    <w:p w14:paraId="2225BD81">
      <w:pPr>
        <w:pStyle w:val="131"/>
        <w:keepNext w:val="0"/>
        <w:keepLines w:val="0"/>
        <w:pageBreakBefore w:val="0"/>
        <w:widowControl/>
        <w:kinsoku/>
        <w:wordWrap/>
        <w:overflowPunct/>
        <w:topLinePunct w:val="0"/>
        <w:autoSpaceDE w:val="0"/>
        <w:autoSpaceDN w:val="0"/>
        <w:bidi w:val="0"/>
        <w:adjustRightInd/>
        <w:snapToGrid/>
        <w:spacing w:line="240" w:lineRule="auto"/>
        <w:ind w:firstLine="420" w:firstLineChars="200"/>
        <w:jc w:val="both"/>
        <w:textAlignment w:val="auto"/>
        <w:rPr>
          <w:rFonts w:hint="eastAsia" w:ascii="宋体" w:hAnsi="Times New Roman" w:eastAsia="宋体" w:cs="Times New Roman"/>
          <w:szCs w:val="21"/>
          <w:lang w:val="en-US" w:eastAsia="zh-CN"/>
        </w:rPr>
      </w:pPr>
      <w:r>
        <w:rPr>
          <w:rFonts w:hint="eastAsia" w:ascii="宋体" w:hAnsi="Times New Roman" w:eastAsia="宋体" w:cs="Times New Roman"/>
          <w:szCs w:val="21"/>
          <w:lang w:val="en-US" w:eastAsia="zh-CN"/>
        </w:rPr>
        <w:t>进行生命周期清单分析时为量化输入和输出数据而确定的最基本部分。</w:t>
      </w:r>
    </w:p>
    <w:p w14:paraId="5184BA79">
      <w:pPr>
        <w:keepNext w:val="0"/>
        <w:keepLines w:val="0"/>
        <w:pageBreakBefore w:val="0"/>
        <w:widowControl w:val="0"/>
        <w:kinsoku/>
        <w:wordWrap/>
        <w:overflowPunct/>
        <w:topLinePunct w:val="0"/>
        <w:autoSpaceDE/>
        <w:autoSpaceDN/>
        <w:bidi w:val="0"/>
        <w:adjustRightInd/>
        <w:snapToGrid/>
        <w:spacing w:beforeLines="50" w:afterLines="50" w:line="240" w:lineRule="auto"/>
        <w:textAlignment w:val="auto"/>
        <w:rPr>
          <w:rFonts w:hint="default" w:ascii="黑体" w:hAnsi="宋体" w:eastAsia="黑体" w:cs="Times New Roman"/>
          <w:szCs w:val="21"/>
          <w:lang w:val="en-US" w:eastAsia="zh-CN"/>
        </w:rPr>
      </w:pPr>
      <w:r>
        <w:rPr>
          <w:rFonts w:hint="eastAsia" w:ascii="黑体" w:hAnsi="宋体" w:eastAsia="黑体" w:cs="Times New Roman"/>
          <w:szCs w:val="21"/>
          <w:lang w:val="en-US" w:eastAsia="zh-CN"/>
        </w:rPr>
        <w:t>3.5</w:t>
      </w:r>
    </w:p>
    <w:p w14:paraId="4D3CA518">
      <w:pPr>
        <w:keepNext w:val="0"/>
        <w:keepLines w:val="0"/>
        <w:pageBreakBefore w:val="0"/>
        <w:widowControl w:val="0"/>
        <w:kinsoku/>
        <w:wordWrap/>
        <w:overflowPunct/>
        <w:topLinePunct w:val="0"/>
        <w:autoSpaceDE/>
        <w:autoSpaceDN/>
        <w:bidi w:val="0"/>
        <w:adjustRightInd/>
        <w:snapToGrid/>
        <w:spacing w:beforeLines="50" w:afterLines="50" w:line="240" w:lineRule="auto"/>
        <w:ind w:firstLine="420" w:firstLineChars="200"/>
        <w:textAlignment w:val="auto"/>
        <w:rPr>
          <w:rFonts w:hint="eastAsia" w:ascii="黑体" w:hAnsi="宋体" w:eastAsia="黑体" w:cs="Times New Roman"/>
          <w:szCs w:val="21"/>
          <w:lang w:val="en-US" w:eastAsia="zh-CN"/>
        </w:rPr>
      </w:pPr>
      <w:r>
        <w:rPr>
          <w:rFonts w:hint="eastAsia" w:ascii="黑体" w:hAnsi="宋体" w:eastAsia="黑体" w:cs="Times New Roman"/>
          <w:szCs w:val="21"/>
          <w:lang w:val="en-US" w:eastAsia="zh-CN"/>
        </w:rPr>
        <w:t xml:space="preserve">系统边界 </w:t>
      </w:r>
      <w:r>
        <w:rPr>
          <w:rFonts w:hint="default" w:ascii="Times New Roman" w:hAnsi="Times New Roman" w:eastAsia="黑体" w:cs="Times New Roman"/>
          <w:szCs w:val="21"/>
          <w:lang w:val="en-US" w:eastAsia="zh-CN"/>
        </w:rPr>
        <w:t>system boundary</w:t>
      </w:r>
    </w:p>
    <w:p w14:paraId="23BBEF37">
      <w:pPr>
        <w:pStyle w:val="131"/>
        <w:keepNext w:val="0"/>
        <w:keepLines w:val="0"/>
        <w:pageBreakBefore w:val="0"/>
        <w:widowControl/>
        <w:kinsoku/>
        <w:wordWrap/>
        <w:overflowPunct/>
        <w:topLinePunct w:val="0"/>
        <w:autoSpaceDE w:val="0"/>
        <w:autoSpaceDN w:val="0"/>
        <w:bidi w:val="0"/>
        <w:adjustRightInd/>
        <w:snapToGrid/>
        <w:spacing w:line="240" w:lineRule="auto"/>
        <w:ind w:firstLine="420" w:firstLineChars="200"/>
        <w:jc w:val="both"/>
        <w:textAlignment w:val="auto"/>
        <w:rPr>
          <w:rFonts w:hint="eastAsia" w:ascii="宋体" w:hAnsi="Times New Roman" w:eastAsia="宋体" w:cs="Times New Roman"/>
          <w:szCs w:val="21"/>
          <w:lang w:val="en-US" w:eastAsia="zh-CN"/>
        </w:rPr>
      </w:pPr>
      <w:r>
        <w:rPr>
          <w:rFonts w:hint="eastAsia" w:ascii="宋体" w:hAnsi="Times New Roman" w:eastAsia="宋体" w:cs="Times New Roman"/>
          <w:szCs w:val="21"/>
          <w:lang w:val="en-US" w:eastAsia="zh-CN"/>
        </w:rPr>
        <w:t>通过一组准则确定哪些单元过程属于产品系统的一部分。</w:t>
      </w:r>
    </w:p>
    <w:p w14:paraId="07BC7CB3">
      <w:pPr>
        <w:keepNext w:val="0"/>
        <w:keepLines w:val="0"/>
        <w:pageBreakBefore w:val="0"/>
        <w:widowControl w:val="0"/>
        <w:kinsoku/>
        <w:wordWrap/>
        <w:overflowPunct/>
        <w:topLinePunct w:val="0"/>
        <w:autoSpaceDE/>
        <w:autoSpaceDN/>
        <w:bidi w:val="0"/>
        <w:adjustRightInd/>
        <w:snapToGrid/>
        <w:spacing w:beforeLines="50" w:afterLines="50" w:line="240" w:lineRule="auto"/>
        <w:textAlignment w:val="auto"/>
        <w:rPr>
          <w:rFonts w:hint="default" w:ascii="黑体" w:hAnsi="宋体" w:eastAsia="黑体" w:cs="Times New Roman"/>
          <w:szCs w:val="21"/>
          <w:lang w:val="en-US" w:eastAsia="zh-CN"/>
        </w:rPr>
      </w:pPr>
      <w:bookmarkStart w:id="17" w:name="_Toc21035"/>
      <w:bookmarkStart w:id="18" w:name="_Toc30132"/>
      <w:r>
        <w:rPr>
          <w:rFonts w:hint="eastAsia" w:ascii="黑体" w:hAnsi="宋体" w:eastAsia="黑体" w:cs="Times New Roman"/>
          <w:szCs w:val="21"/>
          <w:lang w:val="en-US" w:eastAsia="zh-CN"/>
        </w:rPr>
        <w:t>3.</w:t>
      </w:r>
      <w:bookmarkEnd w:id="17"/>
      <w:bookmarkEnd w:id="18"/>
      <w:r>
        <w:rPr>
          <w:rFonts w:hint="eastAsia" w:ascii="黑体" w:hAnsi="宋体" w:eastAsia="黑体" w:cs="Times New Roman"/>
          <w:szCs w:val="21"/>
          <w:lang w:val="en-US" w:eastAsia="zh-CN"/>
        </w:rPr>
        <w:t>6</w:t>
      </w:r>
    </w:p>
    <w:p w14:paraId="66AFE303">
      <w:pPr>
        <w:keepNext w:val="0"/>
        <w:keepLines w:val="0"/>
        <w:pageBreakBefore w:val="0"/>
        <w:widowControl w:val="0"/>
        <w:kinsoku/>
        <w:wordWrap/>
        <w:overflowPunct/>
        <w:topLinePunct w:val="0"/>
        <w:autoSpaceDE/>
        <w:autoSpaceDN/>
        <w:bidi w:val="0"/>
        <w:adjustRightInd/>
        <w:snapToGrid/>
        <w:spacing w:beforeLines="50" w:afterLines="50" w:line="240" w:lineRule="auto"/>
        <w:ind w:firstLine="420" w:firstLineChars="200"/>
        <w:textAlignment w:val="auto"/>
        <w:rPr>
          <w:rFonts w:hint="eastAsia" w:ascii="黑体" w:hAnsi="宋体" w:eastAsia="黑体" w:cs="Times New Roman"/>
          <w:szCs w:val="21"/>
          <w:lang w:val="en-US" w:eastAsia="zh-CN"/>
        </w:rPr>
      </w:pPr>
      <w:r>
        <w:rPr>
          <w:rFonts w:hint="eastAsia" w:ascii="黑体" w:hAnsi="宋体" w:eastAsia="黑体" w:cs="Times New Roman"/>
          <w:szCs w:val="21"/>
          <w:lang w:val="en-US" w:eastAsia="zh-CN"/>
        </w:rPr>
        <w:t xml:space="preserve">共伴生矿产 </w:t>
      </w:r>
      <w:r>
        <w:rPr>
          <w:rFonts w:hint="default" w:ascii="Times New Roman" w:hAnsi="Times New Roman" w:eastAsia="黑体" w:cs="Times New Roman"/>
          <w:szCs w:val="21"/>
          <w:lang w:val="en-US" w:eastAsia="zh-CN"/>
        </w:rPr>
        <w:t>associated mineral</w:t>
      </w:r>
    </w:p>
    <w:p w14:paraId="015A1BC0">
      <w:pPr>
        <w:pStyle w:val="131"/>
        <w:keepNext w:val="0"/>
        <w:keepLines w:val="0"/>
        <w:pageBreakBefore w:val="0"/>
        <w:widowControl/>
        <w:kinsoku/>
        <w:wordWrap/>
        <w:overflowPunct/>
        <w:topLinePunct w:val="0"/>
        <w:autoSpaceDE w:val="0"/>
        <w:autoSpaceDN w:val="0"/>
        <w:bidi w:val="0"/>
        <w:adjustRightInd/>
        <w:snapToGrid/>
        <w:spacing w:line="240" w:lineRule="auto"/>
        <w:ind w:firstLine="420" w:firstLineChars="200"/>
        <w:jc w:val="both"/>
        <w:textAlignment w:val="auto"/>
        <w:rPr>
          <w:rFonts w:hint="eastAsia" w:ascii="宋体" w:hAnsi="Times New Roman" w:eastAsia="宋体" w:cs="Times New Roman"/>
          <w:szCs w:val="21"/>
          <w:lang w:val="en-US" w:eastAsia="zh-CN"/>
        </w:rPr>
      </w:pPr>
      <w:r>
        <w:rPr>
          <w:rFonts w:hint="eastAsia" w:ascii="宋体" w:hAnsi="Times New Roman" w:eastAsia="宋体" w:cs="Times New Roman"/>
          <w:szCs w:val="21"/>
          <w:lang w:val="en-US" w:eastAsia="zh-CN"/>
        </w:rPr>
        <w:t>在同一矿床中，与主矿产（如铜、铅、锌）共生或伴生，具有独立工业价值的矿产资源（如银）。</w:t>
      </w:r>
    </w:p>
    <w:p w14:paraId="52A166C9">
      <w:pPr>
        <w:keepNext w:val="0"/>
        <w:keepLines w:val="0"/>
        <w:pageBreakBefore w:val="0"/>
        <w:widowControl w:val="0"/>
        <w:kinsoku/>
        <w:wordWrap/>
        <w:overflowPunct/>
        <w:topLinePunct w:val="0"/>
        <w:autoSpaceDE/>
        <w:autoSpaceDN/>
        <w:bidi w:val="0"/>
        <w:adjustRightInd/>
        <w:snapToGrid/>
        <w:spacing w:beforeLines="50" w:afterLines="50" w:line="240" w:lineRule="auto"/>
        <w:textAlignment w:val="auto"/>
        <w:rPr>
          <w:rFonts w:hint="default" w:ascii="黑体" w:hAnsi="宋体" w:eastAsia="黑体" w:cs="Times New Roman"/>
          <w:szCs w:val="21"/>
          <w:lang w:val="en-US" w:eastAsia="zh-CN"/>
        </w:rPr>
      </w:pPr>
      <w:bookmarkStart w:id="19" w:name="_Toc24483"/>
      <w:bookmarkStart w:id="20" w:name="_Toc12707"/>
      <w:r>
        <w:rPr>
          <w:rFonts w:hint="eastAsia" w:ascii="黑体" w:hAnsi="宋体" w:eastAsia="黑体" w:cs="Times New Roman"/>
          <w:szCs w:val="21"/>
          <w:lang w:val="en-US" w:eastAsia="zh-CN"/>
        </w:rPr>
        <w:t>3.</w:t>
      </w:r>
      <w:bookmarkEnd w:id="19"/>
      <w:bookmarkEnd w:id="20"/>
      <w:r>
        <w:rPr>
          <w:rFonts w:hint="eastAsia" w:ascii="黑体" w:hAnsi="宋体" w:eastAsia="黑体" w:cs="Times New Roman"/>
          <w:szCs w:val="21"/>
          <w:lang w:val="en-US" w:eastAsia="zh-CN"/>
        </w:rPr>
        <w:t>7</w:t>
      </w:r>
    </w:p>
    <w:p w14:paraId="0A535ACD">
      <w:pPr>
        <w:spacing w:beforeLines="50" w:afterLines="50" w:line="360" w:lineRule="exact"/>
        <w:ind w:firstLine="420" w:firstLineChars="200"/>
        <w:rPr>
          <w:rFonts w:hint="eastAsia" w:ascii="黑体" w:hAnsi="宋体" w:eastAsia="黑体"/>
          <w:szCs w:val="21"/>
          <w:lang w:val="en-US" w:eastAsia="zh-CN"/>
        </w:rPr>
      </w:pPr>
      <w:r>
        <w:rPr>
          <w:rFonts w:hint="eastAsia" w:ascii="黑体" w:hAnsi="宋体" w:eastAsia="黑体" w:cs="Times New Roman"/>
          <w:szCs w:val="21"/>
          <w:lang w:val="en-US" w:eastAsia="zh-CN"/>
        </w:rPr>
        <w:t xml:space="preserve">再生银 </w:t>
      </w:r>
      <w:r>
        <w:rPr>
          <w:rFonts w:hint="default" w:ascii="Times New Roman" w:hAnsi="Times New Roman" w:eastAsia="黑体" w:cs="Times New Roman"/>
          <w:szCs w:val="21"/>
          <w:lang w:val="en-US" w:eastAsia="zh-CN"/>
        </w:rPr>
        <w:t>recycled silver</w:t>
      </w:r>
    </w:p>
    <w:p w14:paraId="3ACEB973">
      <w:pPr>
        <w:pStyle w:val="131"/>
        <w:keepNext w:val="0"/>
        <w:keepLines w:val="0"/>
        <w:pageBreakBefore w:val="0"/>
        <w:widowControl/>
        <w:kinsoku/>
        <w:wordWrap/>
        <w:overflowPunct/>
        <w:topLinePunct w:val="0"/>
        <w:autoSpaceDE w:val="0"/>
        <w:autoSpaceDN w:val="0"/>
        <w:bidi w:val="0"/>
        <w:adjustRightInd/>
        <w:snapToGrid/>
        <w:spacing w:line="240" w:lineRule="auto"/>
        <w:ind w:firstLine="420" w:firstLineChars="200"/>
        <w:jc w:val="both"/>
        <w:textAlignment w:val="auto"/>
        <w:rPr>
          <w:rFonts w:hint="eastAsia" w:ascii="宋体" w:hAnsi="Times New Roman" w:eastAsia="宋体" w:cs="Times New Roman"/>
          <w:szCs w:val="21"/>
          <w:lang w:val="en-US" w:eastAsia="zh-CN"/>
        </w:rPr>
      </w:pPr>
      <w:r>
        <w:rPr>
          <w:rFonts w:hint="eastAsia" w:ascii="宋体" w:hAnsi="Times New Roman" w:eastAsia="宋体" w:cs="Times New Roman"/>
          <w:szCs w:val="21"/>
          <w:lang w:val="en-US" w:eastAsia="zh-CN"/>
        </w:rPr>
        <w:t>从废旧电子产品、废旧珠宝、工业</w:t>
      </w:r>
      <w:r>
        <w:rPr>
          <w:rFonts w:hint="eastAsia" w:cs="Times New Roman"/>
          <w:color w:val="0000FF"/>
          <w:szCs w:val="21"/>
          <w:lang w:val="en-US" w:eastAsia="zh-CN"/>
        </w:rPr>
        <w:t>物</w:t>
      </w:r>
      <w:r>
        <w:rPr>
          <w:rFonts w:hint="eastAsia" w:ascii="宋体" w:hAnsi="Times New Roman" w:eastAsia="宋体" w:cs="Times New Roman"/>
          <w:szCs w:val="21"/>
          <w:lang w:val="en-US" w:eastAsia="zh-CN"/>
        </w:rPr>
        <w:t>料等含</w:t>
      </w:r>
      <w:r>
        <w:rPr>
          <w:rFonts w:hint="eastAsia" w:cs="Times New Roman"/>
          <w:szCs w:val="21"/>
          <w:lang w:val="en-US" w:eastAsia="zh-CN"/>
        </w:rPr>
        <w:t>银</w:t>
      </w:r>
      <w:r>
        <w:rPr>
          <w:rFonts w:hint="eastAsia" w:cs="Times New Roman"/>
          <w:color w:val="0000FF"/>
          <w:szCs w:val="21"/>
          <w:lang w:val="en-US" w:eastAsia="zh-CN"/>
        </w:rPr>
        <w:t>物</w:t>
      </w:r>
      <w:r>
        <w:rPr>
          <w:rFonts w:hint="eastAsia" w:ascii="宋体" w:hAnsi="Times New Roman" w:eastAsia="宋体" w:cs="Times New Roman"/>
          <w:szCs w:val="21"/>
          <w:lang w:val="en-US" w:eastAsia="zh-CN"/>
        </w:rPr>
        <w:t>料中回收提炼得到的</w:t>
      </w:r>
      <w:r>
        <w:rPr>
          <w:rFonts w:hint="eastAsia" w:cs="Times New Roman"/>
          <w:szCs w:val="21"/>
          <w:lang w:val="en-US" w:eastAsia="zh-CN"/>
        </w:rPr>
        <w:t>白银</w:t>
      </w:r>
      <w:r>
        <w:rPr>
          <w:rFonts w:hint="eastAsia" w:ascii="宋体" w:hAnsi="Times New Roman" w:eastAsia="宋体" w:cs="Times New Roman"/>
          <w:szCs w:val="21"/>
          <w:lang w:val="en-US" w:eastAsia="zh-CN"/>
        </w:rPr>
        <w:t>。</w:t>
      </w:r>
    </w:p>
    <w:p w14:paraId="228D0D14">
      <w:pPr>
        <w:keepNext w:val="0"/>
        <w:keepLines w:val="0"/>
        <w:pageBreakBefore w:val="0"/>
        <w:widowControl w:val="0"/>
        <w:kinsoku/>
        <w:wordWrap/>
        <w:overflowPunct/>
        <w:topLinePunct w:val="0"/>
        <w:autoSpaceDE/>
        <w:autoSpaceDN/>
        <w:bidi w:val="0"/>
        <w:adjustRightInd/>
        <w:snapToGrid/>
        <w:spacing w:beforeLines="50" w:afterLines="50" w:line="240" w:lineRule="auto"/>
        <w:textAlignment w:val="auto"/>
        <w:rPr>
          <w:rFonts w:hint="default" w:ascii="黑体" w:hAnsi="宋体" w:eastAsia="黑体" w:cs="Times New Roman"/>
          <w:szCs w:val="21"/>
          <w:lang w:val="en-US" w:eastAsia="zh-CN"/>
        </w:rPr>
      </w:pPr>
      <w:bookmarkStart w:id="21" w:name="_Toc3200"/>
      <w:bookmarkStart w:id="22" w:name="_Toc13056"/>
      <w:r>
        <w:rPr>
          <w:rFonts w:hint="eastAsia" w:ascii="黑体" w:hAnsi="宋体" w:eastAsia="黑体" w:cs="Times New Roman"/>
          <w:szCs w:val="21"/>
          <w:lang w:val="en-US" w:eastAsia="zh-CN"/>
        </w:rPr>
        <w:t>3.</w:t>
      </w:r>
      <w:bookmarkEnd w:id="21"/>
      <w:bookmarkEnd w:id="22"/>
      <w:r>
        <w:rPr>
          <w:rFonts w:hint="eastAsia" w:ascii="黑体" w:hAnsi="宋体" w:eastAsia="黑体" w:cs="Times New Roman"/>
          <w:szCs w:val="21"/>
          <w:lang w:val="en-US" w:eastAsia="zh-CN"/>
        </w:rPr>
        <w:t>8</w:t>
      </w:r>
    </w:p>
    <w:p w14:paraId="0434A820">
      <w:pPr>
        <w:keepNext w:val="0"/>
        <w:keepLines w:val="0"/>
        <w:pageBreakBefore w:val="0"/>
        <w:widowControl w:val="0"/>
        <w:kinsoku/>
        <w:wordWrap/>
        <w:overflowPunct/>
        <w:topLinePunct w:val="0"/>
        <w:autoSpaceDE/>
        <w:autoSpaceDN/>
        <w:bidi w:val="0"/>
        <w:adjustRightInd/>
        <w:snapToGrid/>
        <w:spacing w:beforeLines="50" w:afterLines="50" w:line="240" w:lineRule="auto"/>
        <w:ind w:firstLine="420" w:firstLineChars="200"/>
        <w:textAlignment w:val="auto"/>
        <w:rPr>
          <w:rFonts w:hint="eastAsia" w:ascii="黑体" w:hAnsi="宋体" w:eastAsia="黑体" w:cs="Times New Roman"/>
          <w:szCs w:val="21"/>
          <w:lang w:val="en-US" w:eastAsia="zh-CN"/>
        </w:rPr>
      </w:pPr>
      <w:r>
        <w:rPr>
          <w:rFonts w:hint="eastAsia" w:ascii="黑体" w:hAnsi="宋体" w:eastAsia="黑体" w:cs="Times New Roman"/>
          <w:szCs w:val="21"/>
          <w:lang w:val="en-US" w:eastAsia="zh-CN"/>
        </w:rPr>
        <w:t xml:space="preserve">分配 </w:t>
      </w:r>
      <w:r>
        <w:rPr>
          <w:rFonts w:hint="default" w:ascii="Times New Roman" w:hAnsi="Times New Roman" w:eastAsia="黑体" w:cs="Times New Roman"/>
          <w:szCs w:val="21"/>
          <w:lang w:val="en-US" w:eastAsia="zh-CN"/>
        </w:rPr>
        <w:t>allocation</w:t>
      </w:r>
    </w:p>
    <w:p w14:paraId="64502B91">
      <w:pPr>
        <w:pStyle w:val="131"/>
        <w:keepNext w:val="0"/>
        <w:keepLines w:val="0"/>
        <w:pageBreakBefore w:val="0"/>
        <w:widowControl/>
        <w:kinsoku/>
        <w:wordWrap/>
        <w:overflowPunct/>
        <w:topLinePunct w:val="0"/>
        <w:autoSpaceDE w:val="0"/>
        <w:autoSpaceDN w:val="0"/>
        <w:bidi w:val="0"/>
        <w:adjustRightInd/>
        <w:snapToGrid/>
        <w:spacing w:line="240" w:lineRule="auto"/>
        <w:ind w:firstLine="420" w:firstLineChars="200"/>
        <w:jc w:val="both"/>
        <w:textAlignment w:val="auto"/>
        <w:rPr>
          <w:rFonts w:hint="eastAsia" w:ascii="宋体" w:hAnsi="Times New Roman" w:eastAsia="宋体" w:cs="Times New Roman"/>
          <w:szCs w:val="21"/>
          <w:lang w:val="en-US" w:eastAsia="zh-CN"/>
        </w:rPr>
      </w:pPr>
      <w:r>
        <w:rPr>
          <w:rFonts w:hint="eastAsia" w:ascii="宋体" w:hAnsi="Times New Roman" w:eastAsia="宋体" w:cs="Times New Roman"/>
          <w:szCs w:val="21"/>
          <w:lang w:val="en-US" w:eastAsia="zh-CN"/>
        </w:rPr>
        <w:t xml:space="preserve">将过程的输入或输出流量划分到所研究的产品系统以及一个或多个其他产品系统中的方法。 </w:t>
      </w:r>
    </w:p>
    <w:p w14:paraId="2088C36D">
      <w:pPr>
        <w:keepNext w:val="0"/>
        <w:keepLines w:val="0"/>
        <w:pageBreakBefore w:val="0"/>
        <w:widowControl w:val="0"/>
        <w:kinsoku/>
        <w:wordWrap/>
        <w:overflowPunct/>
        <w:topLinePunct w:val="0"/>
        <w:autoSpaceDE/>
        <w:autoSpaceDN/>
        <w:bidi w:val="0"/>
        <w:adjustRightInd/>
        <w:snapToGrid/>
        <w:spacing w:beforeLines="50" w:afterLines="50" w:line="240" w:lineRule="auto"/>
        <w:textAlignment w:val="auto"/>
        <w:rPr>
          <w:rFonts w:hint="default" w:ascii="黑体" w:hAnsi="宋体" w:eastAsia="黑体" w:cs="Times New Roman"/>
          <w:szCs w:val="21"/>
          <w:lang w:val="en-US" w:eastAsia="zh-CN"/>
        </w:rPr>
      </w:pPr>
      <w:r>
        <w:rPr>
          <w:rFonts w:hint="eastAsia" w:ascii="黑体" w:hAnsi="宋体" w:eastAsia="黑体" w:cs="Times New Roman"/>
          <w:szCs w:val="21"/>
          <w:lang w:val="en-US" w:eastAsia="zh-CN"/>
        </w:rPr>
        <w:t>3.9</w:t>
      </w:r>
    </w:p>
    <w:p w14:paraId="1D2D7ABC">
      <w:pPr>
        <w:keepNext w:val="0"/>
        <w:keepLines w:val="0"/>
        <w:pageBreakBefore w:val="0"/>
        <w:widowControl w:val="0"/>
        <w:kinsoku/>
        <w:wordWrap/>
        <w:overflowPunct/>
        <w:topLinePunct w:val="0"/>
        <w:autoSpaceDE/>
        <w:autoSpaceDN/>
        <w:bidi w:val="0"/>
        <w:adjustRightInd/>
        <w:snapToGrid/>
        <w:spacing w:beforeLines="50" w:afterLines="50" w:line="240" w:lineRule="auto"/>
        <w:ind w:firstLine="420" w:firstLineChars="200"/>
        <w:textAlignment w:val="auto"/>
        <w:rPr>
          <w:rFonts w:hint="eastAsia" w:ascii="黑体" w:hAnsi="宋体" w:eastAsia="黑体" w:cs="Times New Roman"/>
          <w:szCs w:val="21"/>
          <w:lang w:val="en-US" w:eastAsia="zh-CN"/>
        </w:rPr>
      </w:pPr>
      <w:r>
        <w:rPr>
          <w:rFonts w:hint="eastAsia" w:ascii="黑体" w:hAnsi="宋体" w:eastAsia="黑体" w:cs="Times New Roman"/>
          <w:szCs w:val="21"/>
          <w:lang w:val="en-US" w:eastAsia="zh-CN"/>
        </w:rPr>
        <w:t xml:space="preserve">中间产品  </w:t>
      </w:r>
      <w:r>
        <w:rPr>
          <w:rFonts w:hint="default" w:ascii="Times New Roman" w:hAnsi="Times New Roman" w:eastAsia="黑体" w:cs="Times New Roman"/>
          <w:szCs w:val="21"/>
          <w:lang w:val="en-US" w:eastAsia="zh-CN"/>
        </w:rPr>
        <w:t>intermediate product</w:t>
      </w:r>
    </w:p>
    <w:p w14:paraId="2C48540A">
      <w:pPr>
        <w:keepNext w:val="0"/>
        <w:keepLines w:val="0"/>
        <w:pageBreakBefore w:val="0"/>
        <w:widowControl w:val="0"/>
        <w:kinsoku/>
        <w:wordWrap/>
        <w:overflowPunct/>
        <w:topLinePunct w:val="0"/>
        <w:autoSpaceDE/>
        <w:autoSpaceDN/>
        <w:bidi w:val="0"/>
        <w:adjustRightInd/>
        <w:snapToGrid/>
        <w:spacing w:beforeLines="50" w:afterLines="50" w:line="240" w:lineRule="auto"/>
        <w:ind w:firstLine="420" w:firstLineChars="200"/>
        <w:textAlignment w:val="auto"/>
        <w:rPr>
          <w:rFonts w:hint="eastAsia" w:ascii="宋体" w:hAnsi="Times New Roman" w:eastAsia="宋体" w:cs="Times New Roman"/>
          <w:kern w:val="0"/>
          <w:sz w:val="21"/>
          <w:szCs w:val="21"/>
          <w:lang w:val="en-US" w:eastAsia="zh-CN" w:bidi="ar-SA"/>
        </w:rPr>
      </w:pPr>
      <w:r>
        <w:rPr>
          <w:rFonts w:hint="eastAsia" w:ascii="宋体" w:hAnsi="Times New Roman" w:eastAsia="宋体" w:cs="Times New Roman"/>
          <w:kern w:val="0"/>
          <w:sz w:val="21"/>
          <w:szCs w:val="21"/>
          <w:lang w:val="en-US" w:eastAsia="zh-CN" w:bidi="ar-SA"/>
        </w:rPr>
        <w:t>在系统中还需要作为其他过程单元的输入而发生继续转化的某个过程单元的产出。</w:t>
      </w:r>
    </w:p>
    <w:p w14:paraId="4FB7057E">
      <w:pPr>
        <w:keepNext w:val="0"/>
        <w:keepLines w:val="0"/>
        <w:pageBreakBefore w:val="0"/>
        <w:widowControl w:val="0"/>
        <w:kinsoku/>
        <w:wordWrap/>
        <w:overflowPunct/>
        <w:topLinePunct w:val="0"/>
        <w:autoSpaceDE/>
        <w:autoSpaceDN/>
        <w:bidi w:val="0"/>
        <w:adjustRightInd/>
        <w:snapToGrid/>
        <w:spacing w:beforeLines="50" w:afterLines="50" w:line="240" w:lineRule="auto"/>
        <w:textAlignment w:val="auto"/>
        <w:rPr>
          <w:rFonts w:hint="default" w:ascii="黑体" w:hAnsi="宋体" w:eastAsia="黑体" w:cs="Times New Roman"/>
          <w:szCs w:val="21"/>
          <w:lang w:val="en-US" w:eastAsia="zh-CN"/>
        </w:rPr>
      </w:pPr>
      <w:r>
        <w:rPr>
          <w:rFonts w:hint="eastAsia" w:ascii="黑体" w:hAnsi="宋体" w:eastAsia="黑体" w:cs="Times New Roman"/>
          <w:szCs w:val="21"/>
          <w:lang w:val="en-US" w:eastAsia="zh-CN"/>
        </w:rPr>
        <w:t>3.10</w:t>
      </w:r>
    </w:p>
    <w:p w14:paraId="27390C53">
      <w:pPr>
        <w:keepNext w:val="0"/>
        <w:keepLines w:val="0"/>
        <w:pageBreakBefore w:val="0"/>
        <w:widowControl w:val="0"/>
        <w:kinsoku/>
        <w:wordWrap/>
        <w:overflowPunct/>
        <w:topLinePunct w:val="0"/>
        <w:autoSpaceDE/>
        <w:autoSpaceDN/>
        <w:bidi w:val="0"/>
        <w:adjustRightInd/>
        <w:snapToGrid/>
        <w:spacing w:beforeLines="50" w:afterLines="50" w:line="240" w:lineRule="auto"/>
        <w:ind w:firstLine="420" w:firstLineChars="200"/>
        <w:textAlignment w:val="auto"/>
        <w:rPr>
          <w:rFonts w:hint="eastAsia" w:ascii="黑体" w:hAnsi="宋体" w:eastAsia="黑体" w:cs="Times New Roman"/>
          <w:szCs w:val="21"/>
          <w:lang w:val="en-US" w:eastAsia="zh-CN"/>
        </w:rPr>
      </w:pPr>
      <w:r>
        <w:rPr>
          <w:rFonts w:hint="eastAsia" w:ascii="黑体" w:hAnsi="宋体" w:eastAsia="黑体" w:cs="Times New Roman"/>
          <w:szCs w:val="21"/>
          <w:lang w:val="en-US" w:eastAsia="zh-CN"/>
        </w:rPr>
        <w:t xml:space="preserve">温室气体  </w:t>
      </w:r>
      <w:r>
        <w:rPr>
          <w:rFonts w:hint="default" w:ascii="Times New Roman" w:hAnsi="Times New Roman" w:eastAsia="黑体" w:cs="Times New Roman"/>
          <w:szCs w:val="21"/>
          <w:lang w:val="en-US" w:eastAsia="zh-CN"/>
        </w:rPr>
        <w:t>greenhouse  gas;GHG</w:t>
      </w:r>
    </w:p>
    <w:p w14:paraId="50822020">
      <w:pPr>
        <w:pStyle w:val="131"/>
        <w:keepNext w:val="0"/>
        <w:keepLines w:val="0"/>
        <w:pageBreakBefore w:val="0"/>
        <w:widowControl/>
        <w:kinsoku/>
        <w:wordWrap/>
        <w:overflowPunct/>
        <w:topLinePunct w:val="0"/>
        <w:autoSpaceDE w:val="0"/>
        <w:autoSpaceDN w:val="0"/>
        <w:bidi w:val="0"/>
        <w:adjustRightInd/>
        <w:snapToGrid/>
        <w:spacing w:line="240" w:lineRule="auto"/>
        <w:ind w:firstLine="420" w:firstLineChars="200"/>
        <w:jc w:val="both"/>
        <w:textAlignment w:val="auto"/>
        <w:rPr>
          <w:rFonts w:hint="eastAsia" w:ascii="宋体" w:hAnsi="Times New Roman" w:eastAsia="宋体" w:cs="Times New Roman"/>
          <w:szCs w:val="21"/>
          <w:lang w:val="en-US" w:eastAsia="zh-CN"/>
        </w:rPr>
      </w:pPr>
      <w:r>
        <w:rPr>
          <w:rFonts w:hint="eastAsia" w:ascii="宋体" w:hAnsi="Times New Roman" w:eastAsia="宋体" w:cs="Times New Roman"/>
          <w:szCs w:val="21"/>
          <w:lang w:val="en-US" w:eastAsia="zh-CN"/>
        </w:rPr>
        <w:t>大气层中自然存在的和由于人类活动产生的能够吸收和散发由地球表面、大气层和云层所产生的、 波长在红外光谱内的辐射的气态成分。</w:t>
      </w:r>
    </w:p>
    <w:p w14:paraId="0D1B4353">
      <w:pPr>
        <w:keepNext w:val="0"/>
        <w:keepLines w:val="0"/>
        <w:pageBreakBefore w:val="0"/>
        <w:widowControl w:val="0"/>
        <w:kinsoku/>
        <w:wordWrap/>
        <w:overflowPunct/>
        <w:topLinePunct w:val="0"/>
        <w:autoSpaceDE/>
        <w:autoSpaceDN/>
        <w:bidi w:val="0"/>
        <w:adjustRightInd/>
        <w:snapToGrid/>
        <w:spacing w:beforeLines="50" w:afterLines="50" w:line="240" w:lineRule="auto"/>
        <w:textAlignment w:val="auto"/>
        <w:rPr>
          <w:rFonts w:hint="default" w:ascii="黑体" w:hAnsi="宋体" w:eastAsia="黑体" w:cs="Times New Roman"/>
          <w:szCs w:val="21"/>
          <w:lang w:val="en-US" w:eastAsia="zh-CN"/>
        </w:rPr>
      </w:pPr>
      <w:r>
        <w:rPr>
          <w:rFonts w:hint="eastAsia" w:ascii="黑体" w:hAnsi="宋体" w:eastAsia="黑体" w:cs="Times New Roman"/>
          <w:szCs w:val="21"/>
          <w:lang w:val="en-US" w:eastAsia="zh-CN"/>
        </w:rPr>
        <w:t>3.11</w:t>
      </w:r>
    </w:p>
    <w:p w14:paraId="79F2A418">
      <w:pPr>
        <w:keepNext w:val="0"/>
        <w:keepLines w:val="0"/>
        <w:pageBreakBefore w:val="0"/>
        <w:widowControl w:val="0"/>
        <w:kinsoku/>
        <w:wordWrap/>
        <w:overflowPunct/>
        <w:topLinePunct w:val="0"/>
        <w:autoSpaceDE/>
        <w:autoSpaceDN/>
        <w:bidi w:val="0"/>
        <w:adjustRightInd/>
        <w:snapToGrid/>
        <w:spacing w:beforeLines="50" w:afterLines="50" w:line="240" w:lineRule="auto"/>
        <w:ind w:firstLine="420" w:firstLineChars="200"/>
        <w:textAlignment w:val="auto"/>
        <w:rPr>
          <w:rFonts w:hint="eastAsia" w:ascii="黑体" w:hAnsi="宋体" w:eastAsia="黑体" w:cs="Times New Roman"/>
          <w:szCs w:val="21"/>
          <w:lang w:val="en-US" w:eastAsia="zh-CN"/>
        </w:rPr>
      </w:pPr>
      <w:r>
        <w:rPr>
          <w:rFonts w:hint="eastAsia" w:ascii="黑体" w:hAnsi="宋体" w:eastAsia="黑体" w:cs="Times New Roman"/>
          <w:szCs w:val="21"/>
          <w:lang w:val="en-US" w:eastAsia="zh-CN"/>
        </w:rPr>
        <w:t xml:space="preserve">二氧化碳当量  </w:t>
      </w:r>
      <w:r>
        <w:rPr>
          <w:rFonts w:hint="default" w:ascii="Times New Roman" w:hAnsi="Times New Roman" w:eastAsia="黑体" w:cs="Times New Roman"/>
          <w:szCs w:val="21"/>
          <w:lang w:val="en-US" w:eastAsia="zh-CN"/>
        </w:rPr>
        <w:t>carbon dioxide equivalent;CO</w:t>
      </w:r>
      <w:r>
        <w:rPr>
          <w:rFonts w:hint="default" w:ascii="Times New Roman" w:hAnsi="Times New Roman" w:eastAsia="黑体" w:cs="Times New Roman"/>
          <w:szCs w:val="21"/>
          <w:vertAlign w:val="baseline"/>
          <w:lang w:val="en-US" w:eastAsia="zh-CN"/>
        </w:rPr>
        <w:t>2</w:t>
      </w:r>
      <w:r>
        <w:rPr>
          <w:rFonts w:hint="default" w:ascii="Times New Roman" w:hAnsi="Times New Roman" w:eastAsia="黑体" w:cs="Times New Roman"/>
          <w:szCs w:val="21"/>
          <w:lang w:val="en-US" w:eastAsia="zh-CN"/>
        </w:rPr>
        <w:t>e</w:t>
      </w:r>
    </w:p>
    <w:p w14:paraId="67888214">
      <w:pPr>
        <w:pStyle w:val="131"/>
        <w:keepNext w:val="0"/>
        <w:keepLines w:val="0"/>
        <w:pageBreakBefore w:val="0"/>
        <w:widowControl/>
        <w:kinsoku/>
        <w:wordWrap/>
        <w:overflowPunct/>
        <w:topLinePunct w:val="0"/>
        <w:autoSpaceDE w:val="0"/>
        <w:autoSpaceDN w:val="0"/>
        <w:bidi w:val="0"/>
        <w:adjustRightInd/>
        <w:snapToGrid/>
        <w:spacing w:line="240" w:lineRule="auto"/>
        <w:ind w:firstLine="420" w:firstLineChars="200"/>
        <w:jc w:val="both"/>
        <w:textAlignment w:val="auto"/>
        <w:rPr>
          <w:rFonts w:hint="eastAsia" w:ascii="宋体" w:hAnsi="Times New Roman" w:eastAsia="宋体" w:cs="Times New Roman"/>
          <w:szCs w:val="21"/>
          <w:lang w:val="en-US" w:eastAsia="zh-CN"/>
        </w:rPr>
      </w:pPr>
      <w:r>
        <w:rPr>
          <w:rFonts w:hint="eastAsia" w:ascii="宋体" w:hAnsi="Times New Roman" w:eastAsia="宋体" w:cs="Times New Roman"/>
          <w:szCs w:val="21"/>
          <w:lang w:val="en-US" w:eastAsia="zh-CN"/>
        </w:rPr>
        <w:t>比较某种温室气体与二氧化碳的辐射强迫的</w:t>
      </w:r>
      <w:r>
        <w:rPr>
          <w:rFonts w:hint="eastAsia" w:cs="Times New Roman"/>
          <w:szCs w:val="21"/>
          <w:lang w:val="en-US" w:eastAsia="zh-CN"/>
        </w:rPr>
        <w:t>度量</w:t>
      </w:r>
      <w:r>
        <w:rPr>
          <w:rFonts w:hint="eastAsia" w:ascii="宋体" w:hAnsi="Times New Roman" w:eastAsia="宋体" w:cs="Times New Roman"/>
          <w:szCs w:val="21"/>
          <w:lang w:val="en-US" w:eastAsia="zh-CN"/>
        </w:rPr>
        <w:t>单位。</w:t>
      </w:r>
    </w:p>
    <w:p w14:paraId="40708EB0">
      <w:pPr>
        <w:pStyle w:val="131"/>
        <w:keepNext w:val="0"/>
        <w:keepLines w:val="0"/>
        <w:pageBreakBefore w:val="0"/>
        <w:widowControl/>
        <w:kinsoku/>
        <w:wordWrap/>
        <w:overflowPunct/>
        <w:topLinePunct w:val="0"/>
        <w:autoSpaceDE w:val="0"/>
        <w:autoSpaceDN w:val="0"/>
        <w:bidi w:val="0"/>
        <w:adjustRightInd/>
        <w:snapToGrid/>
        <w:spacing w:line="240" w:lineRule="auto"/>
        <w:ind w:firstLine="360" w:firstLineChars="200"/>
        <w:jc w:val="both"/>
        <w:textAlignment w:val="auto"/>
        <w:rPr>
          <w:rFonts w:hint="eastAsia" w:ascii="宋体" w:hAnsi="Times New Roman" w:eastAsia="宋体" w:cs="Times New Roman"/>
          <w:szCs w:val="21"/>
          <w:lang w:val="en-US" w:eastAsia="zh-CN"/>
        </w:rPr>
      </w:pPr>
      <w:r>
        <w:rPr>
          <w:rFonts w:hint="eastAsia" w:ascii="黑体" w:hAnsi="黑体" w:eastAsia="黑体" w:cs="黑体"/>
          <w:sz w:val="18"/>
          <w:szCs w:val="18"/>
          <w:lang w:val="en-US" w:eastAsia="zh-CN"/>
        </w:rPr>
        <w:t>注：</w:t>
      </w:r>
      <w:r>
        <w:rPr>
          <w:rFonts w:hint="eastAsia" w:ascii="宋体" w:hAnsi="宋体" w:eastAsia="宋体" w:cs="宋体"/>
          <w:sz w:val="18"/>
          <w:szCs w:val="18"/>
          <w:lang w:val="en-US" w:eastAsia="zh-CN"/>
        </w:rPr>
        <w:t>给定温室气体的二氧化碳当量等于该温室气体质量乘以它的全球变暖潜势值。</w:t>
      </w:r>
      <w:r>
        <w:rPr>
          <w:rFonts w:hint="eastAsia" w:ascii="黑体" w:hAnsi="黑体" w:eastAsia="黑体" w:cs="黑体"/>
          <w:sz w:val="18"/>
          <w:szCs w:val="18"/>
          <w:lang w:val="en-US" w:eastAsia="zh-CN"/>
        </w:rPr>
        <w:t xml:space="preserve"> </w:t>
      </w:r>
      <w:r>
        <w:rPr>
          <w:rFonts w:hint="eastAsia" w:ascii="宋体" w:hAnsi="Times New Roman" w:eastAsia="宋体" w:cs="Times New Roman"/>
          <w:szCs w:val="21"/>
          <w:lang w:val="en-US" w:eastAsia="zh-CN"/>
        </w:rPr>
        <w:t xml:space="preserve"> </w:t>
      </w:r>
    </w:p>
    <w:p w14:paraId="4D49C79F">
      <w:pPr>
        <w:keepNext w:val="0"/>
        <w:keepLines w:val="0"/>
        <w:pageBreakBefore w:val="0"/>
        <w:widowControl w:val="0"/>
        <w:kinsoku/>
        <w:wordWrap/>
        <w:overflowPunct/>
        <w:topLinePunct w:val="0"/>
        <w:autoSpaceDE/>
        <w:autoSpaceDN/>
        <w:bidi w:val="0"/>
        <w:adjustRightInd/>
        <w:snapToGrid/>
        <w:spacing w:beforeLines="50" w:afterLines="50" w:line="240" w:lineRule="auto"/>
        <w:textAlignment w:val="auto"/>
        <w:rPr>
          <w:rFonts w:hint="eastAsia" w:ascii="宋体" w:hAnsi="宋体" w:eastAsia="宋体" w:cs="宋体"/>
          <w:sz w:val="21"/>
          <w:szCs w:val="21"/>
        </w:rPr>
      </w:pPr>
      <w:r>
        <w:rPr>
          <w:rFonts w:hint="eastAsia" w:ascii="黑体" w:hAnsi="宋体" w:eastAsia="黑体" w:cs="Times New Roman"/>
          <w:szCs w:val="21"/>
          <w:lang w:val="en-US" w:eastAsia="zh-CN"/>
        </w:rPr>
        <w:t>3.12</w:t>
      </w:r>
      <w:r>
        <w:rPr>
          <w:rFonts w:hint="eastAsia" w:ascii="宋体" w:hAnsi="宋体" w:eastAsia="宋体" w:cs="宋体"/>
          <w:sz w:val="21"/>
          <w:szCs w:val="21"/>
        </w:rPr>
        <w:t xml:space="preserve"> </w:t>
      </w:r>
    </w:p>
    <w:p w14:paraId="7F78865B">
      <w:pPr>
        <w:keepNext w:val="0"/>
        <w:keepLines w:val="0"/>
        <w:pageBreakBefore w:val="0"/>
        <w:widowControl w:val="0"/>
        <w:kinsoku/>
        <w:wordWrap/>
        <w:overflowPunct/>
        <w:topLinePunct w:val="0"/>
        <w:autoSpaceDE/>
        <w:autoSpaceDN/>
        <w:bidi w:val="0"/>
        <w:adjustRightInd/>
        <w:snapToGrid/>
        <w:spacing w:beforeLines="50" w:afterLines="50" w:line="240" w:lineRule="auto"/>
        <w:textAlignment w:val="auto"/>
        <w:rPr>
          <w:rFonts w:hint="eastAsia" w:ascii="宋体" w:hAnsi="宋体" w:eastAsia="宋体" w:cs="宋体"/>
          <w:sz w:val="21"/>
          <w:szCs w:val="21"/>
        </w:rPr>
      </w:pPr>
      <w:r>
        <w:rPr>
          <w:rFonts w:hint="eastAsia" w:ascii="黑体" w:hAnsi="宋体" w:eastAsia="黑体" w:cs="Times New Roman"/>
          <w:szCs w:val="21"/>
          <w:lang w:val="en-US" w:eastAsia="zh-CN"/>
        </w:rPr>
        <w:t xml:space="preserve">     碳足迹标识认证  </w:t>
      </w:r>
      <w:r>
        <w:rPr>
          <w:rFonts w:hint="eastAsia" w:ascii="Times New Roman" w:hAnsi="Times New Roman" w:eastAsia="黑体" w:cs="Times New Roman"/>
          <w:szCs w:val="21"/>
          <w:lang w:val="en-US" w:eastAsia="zh-CN"/>
        </w:rPr>
        <w:t>·</w:t>
      </w:r>
      <w:r>
        <w:rPr>
          <w:rFonts w:hint="eastAsia" w:ascii="黑体" w:hAnsi="宋体" w:eastAsia="黑体" w:cs="Times New Roman"/>
          <w:szCs w:val="21"/>
          <w:lang w:val="en-US" w:eastAsia="zh-CN"/>
        </w:rPr>
        <w:t xml:space="preserve">   </w:t>
      </w:r>
      <w:r>
        <w:rPr>
          <w:rFonts w:hint="eastAsia" w:ascii="宋体" w:hAnsi="宋体" w:eastAsia="宋体" w:cs="宋体"/>
          <w:sz w:val="21"/>
          <w:szCs w:val="21"/>
        </w:rPr>
        <w:t xml:space="preserve"> </w:t>
      </w:r>
    </w:p>
    <w:p w14:paraId="7833722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Times New Roman" w:eastAsia="宋体" w:cs="Times New Roman"/>
          <w:kern w:val="0"/>
          <w:sz w:val="21"/>
          <w:szCs w:val="21"/>
          <w:lang w:val="en-US" w:eastAsia="zh-CN" w:bidi="ar-SA"/>
        </w:rPr>
        <w:t>通过现场检查、产品碳足迹核查等方式，对产品生命周期内温室气体排放和清除进行科学量化与评估，并对产品碳足迹量化结果及其一致性开展的认证活动</w:t>
      </w:r>
      <w:r>
        <w:rPr>
          <w:rFonts w:hint="default" w:ascii="宋体" w:hAnsi="Times New Roman" w:eastAsia="宋体" w:cs="Times New Roman"/>
          <w:kern w:val="0"/>
          <w:sz w:val="21"/>
          <w:szCs w:val="21"/>
          <w:lang w:val="en-US" w:eastAsia="zh-CN" w:bidi="ar-SA"/>
        </w:rPr>
        <w:t>。</w:t>
      </w:r>
      <w:r>
        <w:rPr>
          <w:rFonts w:hint="eastAsia" w:ascii="宋体" w:hAnsi="宋体" w:eastAsia="宋体" w:cs="宋体"/>
          <w:sz w:val="21"/>
          <w:szCs w:val="21"/>
        </w:rPr>
        <w:t xml:space="preserve">  </w:t>
      </w:r>
    </w:p>
    <w:p w14:paraId="253023EB">
      <w:pPr>
        <w:keepNext w:val="0"/>
        <w:keepLines w:val="0"/>
        <w:pageBreakBefore w:val="0"/>
        <w:widowControl w:val="0"/>
        <w:kinsoku/>
        <w:wordWrap/>
        <w:overflowPunct/>
        <w:topLinePunct w:val="0"/>
        <w:autoSpaceDE/>
        <w:autoSpaceDN/>
        <w:bidi w:val="0"/>
        <w:adjustRightInd/>
        <w:snapToGrid/>
        <w:spacing w:line="240" w:lineRule="auto"/>
        <w:ind w:firstLine="180" w:firstLineChars="100"/>
        <w:textAlignment w:val="auto"/>
        <w:rPr>
          <w:rFonts w:hint="eastAsia" w:ascii="宋体" w:hAnsi="宋体" w:eastAsia="宋体" w:cs="宋体"/>
          <w:sz w:val="21"/>
          <w:szCs w:val="21"/>
        </w:rPr>
      </w:pPr>
      <w:r>
        <w:rPr>
          <w:rFonts w:hint="eastAsia" w:ascii="黑体" w:hAnsi="黑体" w:eastAsia="黑体" w:cs="黑体"/>
          <w:i w:val="0"/>
          <w:iCs w:val="0"/>
          <w:caps w:val="0"/>
          <w:color w:val="0F1115"/>
          <w:spacing w:val="0"/>
          <w:sz w:val="18"/>
          <w:szCs w:val="18"/>
          <w:shd w:val="clear" w:fill="FFFFFF"/>
        </w:rPr>
        <w:t>注：</w:t>
      </w:r>
      <w:r>
        <w:rPr>
          <w:rFonts w:hint="eastAsia" w:ascii="宋体" w:hAnsi="宋体" w:eastAsia="宋体" w:cs="宋体"/>
          <w:i w:val="0"/>
          <w:iCs w:val="0"/>
          <w:caps w:val="0"/>
          <w:color w:val="0F1115"/>
          <w:spacing w:val="0"/>
          <w:sz w:val="18"/>
          <w:szCs w:val="18"/>
          <w:shd w:val="clear" w:fill="FFFFFF"/>
        </w:rPr>
        <w:t>经认证的产品可将碳足迹信息以标识形式展示于产品或其包装上。</w:t>
      </w:r>
      <w:r>
        <w:rPr>
          <w:rFonts w:hint="eastAsia" w:ascii="宋体" w:hAnsi="宋体" w:eastAsia="宋体" w:cs="宋体"/>
          <w:sz w:val="18"/>
          <w:szCs w:val="18"/>
        </w:rPr>
        <w:t xml:space="preserve"> </w:t>
      </w:r>
      <w:r>
        <w:rPr>
          <w:rFonts w:hint="eastAsia" w:ascii="宋体" w:hAnsi="宋体" w:eastAsia="宋体" w:cs="宋体"/>
          <w:sz w:val="21"/>
          <w:szCs w:val="21"/>
        </w:rPr>
        <w:t xml:space="preserve">                                      </w:t>
      </w:r>
      <w:bookmarkStart w:id="23" w:name="_Toc26032"/>
    </w:p>
    <w:p w14:paraId="7BE2F205">
      <w:pPr>
        <w:keepNext w:val="0"/>
        <w:keepLines w:val="0"/>
        <w:pageBreakBefore w:val="0"/>
        <w:widowControl w:val="0"/>
        <w:kinsoku/>
        <w:wordWrap/>
        <w:overflowPunct/>
        <w:topLinePunct w:val="0"/>
        <w:autoSpaceDE/>
        <w:autoSpaceDN/>
        <w:bidi w:val="0"/>
        <w:adjustRightInd/>
        <w:snapToGrid/>
        <w:spacing w:before="313" w:beforeLines="100" w:after="313" w:afterLines="100" w:line="240" w:lineRule="auto"/>
        <w:textAlignment w:val="auto"/>
        <w:outlineLvl w:val="0"/>
        <w:rPr>
          <w:rFonts w:hint="eastAsia" w:ascii="黑体" w:hAnsi="宋体" w:eastAsia="黑体" w:cs="Times New Roman"/>
          <w:szCs w:val="21"/>
          <w:lang w:eastAsia="zh-CN"/>
        </w:rPr>
      </w:pPr>
      <w:r>
        <w:rPr>
          <w:rFonts w:hint="eastAsia" w:ascii="黑体" w:hAnsi="宋体" w:eastAsia="黑体" w:cs="Times New Roman"/>
          <w:szCs w:val="21"/>
        </w:rPr>
        <w:t>4　</w:t>
      </w:r>
      <w:r>
        <w:rPr>
          <w:rFonts w:hint="eastAsia" w:ascii="黑体" w:hAnsi="宋体" w:eastAsia="黑体" w:cs="Times New Roman"/>
          <w:szCs w:val="21"/>
          <w:lang w:eastAsia="zh-CN"/>
        </w:rPr>
        <w:t>量化目的和范围界定</w:t>
      </w:r>
      <w:bookmarkEnd w:id="23"/>
    </w:p>
    <w:p w14:paraId="720724A7">
      <w:pPr>
        <w:keepNext w:val="0"/>
        <w:keepLines w:val="0"/>
        <w:pageBreakBefore w:val="0"/>
        <w:widowControl w:val="0"/>
        <w:kinsoku/>
        <w:wordWrap/>
        <w:overflowPunct/>
        <w:topLinePunct w:val="0"/>
        <w:autoSpaceDE/>
        <w:autoSpaceDN/>
        <w:bidi w:val="0"/>
        <w:adjustRightInd/>
        <w:snapToGrid/>
        <w:spacing w:beforeLines="50" w:afterLines="50" w:line="240" w:lineRule="auto"/>
        <w:textAlignment w:val="auto"/>
        <w:outlineLvl w:val="1"/>
        <w:rPr>
          <w:rFonts w:hint="eastAsia" w:ascii="黑体" w:hAnsi="宋体" w:eastAsia="黑体" w:cs="Times New Roman"/>
          <w:szCs w:val="21"/>
          <w:lang w:val="en-US" w:eastAsia="zh-CN"/>
        </w:rPr>
      </w:pPr>
      <w:bookmarkStart w:id="24" w:name="_Toc9041"/>
      <w:r>
        <w:rPr>
          <w:rFonts w:hint="eastAsia" w:ascii="黑体" w:hAnsi="宋体" w:eastAsia="黑体" w:cs="Times New Roman"/>
          <w:szCs w:val="21"/>
          <w:lang w:val="en-US" w:eastAsia="zh-CN"/>
        </w:rPr>
        <w:t>4.1　总则</w:t>
      </w:r>
      <w:bookmarkEnd w:id="24"/>
    </w:p>
    <w:p w14:paraId="1706B76A">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宋体" w:hAnsi="Times New Roman" w:eastAsia="宋体" w:cs="Times New Roman"/>
          <w:kern w:val="0"/>
          <w:sz w:val="21"/>
          <w:szCs w:val="21"/>
          <w:highlight w:val="none"/>
          <w:lang w:val="en-US" w:eastAsia="zh-CN" w:bidi="ar-SA"/>
        </w:rPr>
      </w:pPr>
      <w:r>
        <w:rPr>
          <w:rFonts w:hint="eastAsia" w:ascii="宋体" w:cs="Times New Roman"/>
          <w:kern w:val="0"/>
          <w:sz w:val="21"/>
          <w:szCs w:val="21"/>
          <w:highlight w:val="none"/>
          <w:lang w:val="en-US" w:eastAsia="zh-CN" w:bidi="ar-SA"/>
        </w:rPr>
        <w:t>银</w:t>
      </w:r>
      <w:r>
        <w:rPr>
          <w:rFonts w:hint="eastAsia" w:ascii="宋体" w:hAnsi="Times New Roman" w:eastAsia="宋体" w:cs="Times New Roman"/>
          <w:kern w:val="0"/>
          <w:sz w:val="21"/>
          <w:szCs w:val="21"/>
          <w:highlight w:val="none"/>
          <w:lang w:val="en-US" w:eastAsia="zh-CN" w:bidi="ar-SA"/>
        </w:rPr>
        <w:t>锭碳足迹的量化应遵循GB/T 24067规定的原则，包括相关性、完整性、一致性、准确性、透明性和避免重复计算。</w:t>
      </w:r>
    </w:p>
    <w:p w14:paraId="08F6285B">
      <w:pPr>
        <w:keepNext w:val="0"/>
        <w:keepLines w:val="0"/>
        <w:pageBreakBefore w:val="0"/>
        <w:widowControl w:val="0"/>
        <w:kinsoku/>
        <w:wordWrap/>
        <w:overflowPunct/>
        <w:topLinePunct w:val="0"/>
        <w:autoSpaceDE/>
        <w:autoSpaceDN/>
        <w:bidi w:val="0"/>
        <w:adjustRightInd/>
        <w:snapToGrid/>
        <w:spacing w:beforeLines="50" w:afterLines="50" w:line="240" w:lineRule="auto"/>
        <w:textAlignment w:val="auto"/>
        <w:outlineLvl w:val="1"/>
        <w:rPr>
          <w:rFonts w:hint="eastAsia" w:ascii="黑体" w:hAnsi="宋体" w:eastAsia="黑体" w:cs="Times New Roman"/>
          <w:szCs w:val="21"/>
          <w:lang w:val="en-US" w:eastAsia="zh-CN"/>
        </w:rPr>
      </w:pPr>
      <w:bookmarkStart w:id="25" w:name="_Toc20244"/>
      <w:r>
        <w:rPr>
          <w:rFonts w:hint="eastAsia" w:ascii="黑体" w:hAnsi="宋体" w:eastAsia="黑体" w:cs="Times New Roman"/>
          <w:szCs w:val="21"/>
          <w:lang w:val="en-US" w:eastAsia="zh-CN"/>
        </w:rPr>
        <w:t>4.2 功能单位</w:t>
      </w:r>
      <w:bookmarkEnd w:id="25"/>
    </w:p>
    <w:p w14:paraId="129B04BF">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宋体" w:hAnsi="Times New Roman" w:eastAsia="宋体" w:cs="Times New Roman"/>
          <w:kern w:val="0"/>
          <w:sz w:val="21"/>
          <w:szCs w:val="21"/>
          <w:highlight w:val="none"/>
          <w:lang w:val="en-US" w:eastAsia="zh-CN" w:bidi="ar-SA"/>
        </w:rPr>
      </w:pPr>
      <w:r>
        <w:rPr>
          <w:rFonts w:hint="eastAsia" w:ascii="宋体" w:hAnsi="Times New Roman" w:eastAsia="宋体" w:cs="Times New Roman"/>
          <w:kern w:val="0"/>
          <w:sz w:val="21"/>
          <w:szCs w:val="21"/>
          <w:highlight w:val="none"/>
          <w:lang w:val="en-US" w:eastAsia="zh-CN" w:bidi="ar-SA"/>
        </w:rPr>
        <w:t>功能单位</w:t>
      </w:r>
      <w:r>
        <w:rPr>
          <w:rFonts w:hint="eastAsia" w:ascii="宋体" w:hAnsi="Times New Roman" w:cs="Times New Roman"/>
          <w:kern w:val="0"/>
          <w:sz w:val="21"/>
          <w:szCs w:val="21"/>
          <w:highlight w:val="none"/>
          <w:lang w:val="en-US" w:eastAsia="zh-CN" w:bidi="ar-SA"/>
        </w:rPr>
        <w:t>宜</w:t>
      </w:r>
      <w:r>
        <w:rPr>
          <w:rFonts w:hint="eastAsia" w:ascii="宋体" w:hAnsi="Times New Roman" w:eastAsia="宋体" w:cs="Times New Roman"/>
          <w:kern w:val="0"/>
          <w:sz w:val="21"/>
          <w:szCs w:val="21"/>
          <w:highlight w:val="none"/>
          <w:lang w:val="en-US" w:eastAsia="zh-CN" w:bidi="ar-SA"/>
        </w:rPr>
        <w:t>规定为“生产1千克标准</w:t>
      </w:r>
      <w:r>
        <w:rPr>
          <w:rFonts w:hint="eastAsia" w:ascii="宋体" w:cs="Times New Roman"/>
          <w:kern w:val="0"/>
          <w:sz w:val="21"/>
          <w:szCs w:val="21"/>
          <w:highlight w:val="none"/>
          <w:lang w:val="en-US" w:eastAsia="zh-CN" w:bidi="ar-SA"/>
        </w:rPr>
        <w:t>银</w:t>
      </w:r>
      <w:r>
        <w:rPr>
          <w:rFonts w:hint="eastAsia" w:ascii="宋体" w:hAnsi="Times New Roman" w:eastAsia="宋体" w:cs="Times New Roman"/>
          <w:kern w:val="0"/>
          <w:sz w:val="21"/>
          <w:szCs w:val="21"/>
          <w:highlight w:val="none"/>
          <w:lang w:val="en-US" w:eastAsia="zh-CN" w:bidi="ar-SA"/>
        </w:rPr>
        <w:t>锭（A</w:t>
      </w:r>
      <w:r>
        <w:rPr>
          <w:rFonts w:hint="eastAsia" w:ascii="宋体" w:hAnsi="Times New Roman" w:cs="Times New Roman"/>
          <w:kern w:val="0"/>
          <w:sz w:val="21"/>
          <w:szCs w:val="21"/>
          <w:highlight w:val="none"/>
          <w:lang w:val="en-US" w:eastAsia="zh-CN" w:bidi="ar-SA"/>
        </w:rPr>
        <w:t>g</w:t>
      </w:r>
      <w:r>
        <w:rPr>
          <w:rFonts w:hint="eastAsia" w:ascii="宋体" w:hAnsi="Times New Roman" w:eastAsia="宋体" w:cs="Times New Roman"/>
          <w:kern w:val="0"/>
          <w:sz w:val="21"/>
          <w:szCs w:val="21"/>
          <w:highlight w:val="none"/>
          <w:lang w:val="en-US" w:eastAsia="zh-CN" w:bidi="ar-SA"/>
        </w:rPr>
        <w:t>≥99.95%）”。为满足国际贸易需求，可在报告中同时提供“生产1盎司标准</w:t>
      </w:r>
      <w:r>
        <w:rPr>
          <w:rFonts w:hint="eastAsia" w:ascii="宋体" w:cs="Times New Roman"/>
          <w:kern w:val="0"/>
          <w:sz w:val="21"/>
          <w:szCs w:val="21"/>
          <w:highlight w:val="none"/>
          <w:lang w:val="en-US" w:eastAsia="zh-CN" w:bidi="ar-SA"/>
        </w:rPr>
        <w:t>银</w:t>
      </w:r>
      <w:r>
        <w:rPr>
          <w:rFonts w:hint="eastAsia" w:ascii="宋体" w:hAnsi="Times New Roman" w:eastAsia="宋体" w:cs="Times New Roman"/>
          <w:kern w:val="0"/>
          <w:sz w:val="21"/>
          <w:szCs w:val="21"/>
          <w:highlight w:val="none"/>
          <w:lang w:val="en-US" w:eastAsia="zh-CN" w:bidi="ar-SA"/>
        </w:rPr>
        <w:t>锭（1oz=31.1035 g）”对应的碳足迹数据。</w:t>
      </w:r>
    </w:p>
    <w:p w14:paraId="598E6F11">
      <w:pPr>
        <w:keepNext w:val="0"/>
        <w:keepLines w:val="0"/>
        <w:pageBreakBefore w:val="0"/>
        <w:widowControl w:val="0"/>
        <w:kinsoku/>
        <w:wordWrap/>
        <w:overflowPunct/>
        <w:topLinePunct w:val="0"/>
        <w:autoSpaceDE/>
        <w:autoSpaceDN/>
        <w:bidi w:val="0"/>
        <w:adjustRightInd/>
        <w:snapToGrid/>
        <w:spacing w:beforeLines="50" w:afterLines="50" w:line="240" w:lineRule="auto"/>
        <w:textAlignment w:val="auto"/>
        <w:outlineLvl w:val="1"/>
        <w:rPr>
          <w:rFonts w:hint="eastAsia" w:ascii="黑体" w:hAnsi="宋体" w:eastAsia="黑体" w:cs="Times New Roman"/>
          <w:szCs w:val="21"/>
          <w:lang w:val="en-US" w:eastAsia="zh-CN"/>
        </w:rPr>
      </w:pPr>
      <w:bookmarkStart w:id="26" w:name="_Toc11142"/>
      <w:r>
        <w:rPr>
          <w:rFonts w:hint="eastAsia" w:ascii="黑体" w:hAnsi="宋体" w:eastAsia="黑体" w:cs="Times New Roman"/>
          <w:szCs w:val="21"/>
          <w:lang w:val="en-US" w:eastAsia="zh-CN"/>
        </w:rPr>
        <w:t>4.3 系统边界</w:t>
      </w:r>
      <w:bookmarkEnd w:id="26"/>
    </w:p>
    <w:p w14:paraId="2CBAD751">
      <w:pPr>
        <w:keepNext w:val="0"/>
        <w:keepLines w:val="0"/>
        <w:pageBreakBefore w:val="0"/>
        <w:widowControl w:val="0"/>
        <w:kinsoku/>
        <w:wordWrap/>
        <w:overflowPunct/>
        <w:topLinePunct w:val="0"/>
        <w:autoSpaceDE/>
        <w:autoSpaceDN/>
        <w:bidi w:val="0"/>
        <w:adjustRightInd/>
        <w:snapToGrid/>
        <w:spacing w:beforeLines="50" w:afterLines="50" w:line="240" w:lineRule="auto"/>
        <w:textAlignment w:val="auto"/>
        <w:rPr>
          <w:rFonts w:hint="default" w:ascii="黑体" w:hAnsi="宋体" w:eastAsia="黑体" w:cs="Times New Roman"/>
          <w:szCs w:val="21"/>
          <w:lang w:val="en-US" w:eastAsia="zh-CN"/>
        </w:rPr>
      </w:pPr>
      <w:bookmarkStart w:id="27" w:name="_Toc3572"/>
      <w:r>
        <w:rPr>
          <w:rFonts w:hint="eastAsia" w:ascii="黑体" w:hAnsi="宋体" w:eastAsia="黑体" w:cs="Times New Roman"/>
          <w:szCs w:val="21"/>
          <w:lang w:val="en-US" w:eastAsia="zh-CN"/>
        </w:rPr>
        <w:t>4.3.1边界界定原则</w:t>
      </w:r>
    </w:p>
    <w:p w14:paraId="673D2504">
      <w:pPr>
        <w:keepNext w:val="0"/>
        <w:keepLines w:val="0"/>
        <w:pageBreakBefore w:val="0"/>
        <w:widowControl w:val="0"/>
        <w:kinsoku/>
        <w:wordWrap/>
        <w:overflowPunct/>
        <w:topLinePunct w:val="0"/>
        <w:autoSpaceDE/>
        <w:autoSpaceDN/>
        <w:bidi w:val="0"/>
        <w:adjustRightInd/>
        <w:snapToGrid/>
        <w:spacing w:after="0" w:line="0" w:lineRule="atLeast"/>
        <w:ind w:firstLine="420" w:firstLineChars="200"/>
        <w:jc w:val="left"/>
        <w:textAlignment w:val="auto"/>
        <w:rPr>
          <w:rFonts w:hint="eastAsia" w:ascii="Times New Roman" w:hAnsi="Times New Roman" w:eastAsia="宋体" w:cs="Times New Roman"/>
          <w:b w:val="0"/>
          <w:bCs w:val="0"/>
          <w:sz w:val="21"/>
          <w:szCs w:val="21"/>
          <w:lang w:val="en-US" w:eastAsia="zh-CN"/>
        </w:rPr>
      </w:pPr>
      <w:r>
        <w:rPr>
          <w:rFonts w:hint="eastAsia" w:ascii="Times New Roman" w:hAnsi="Times New Roman" w:eastAsia="宋体" w:cs="Times New Roman"/>
          <w:b w:val="0"/>
          <w:bCs w:val="0"/>
          <w:sz w:val="21"/>
          <w:szCs w:val="21"/>
          <w:lang w:val="en-US" w:eastAsia="zh-CN"/>
        </w:rPr>
        <w:t>明确采用“从原材料提取到产品离开工厂大门的全过程”模式，包括原料获取阶段（采矿、选矿、外购合质金）</w:t>
      </w:r>
      <w:r>
        <w:rPr>
          <w:rFonts w:hint="default" w:ascii="Times New Roman" w:hAnsi="Times New Roman" w:eastAsia="宋体" w:cs="Times New Roman"/>
          <w:b w:val="0"/>
          <w:bCs w:val="0"/>
          <w:sz w:val="21"/>
          <w:szCs w:val="21"/>
          <w:lang w:val="en-US" w:eastAsia="zh-CN"/>
        </w:rPr>
        <w:t>能源与辅助材料生产阶段</w:t>
      </w:r>
      <w:r>
        <w:rPr>
          <w:rFonts w:hint="eastAsia" w:ascii="Times New Roman" w:hAnsi="Times New Roman" w:eastAsia="宋体" w:cs="Times New Roman"/>
          <w:b w:val="0"/>
          <w:bCs w:val="0"/>
          <w:sz w:val="21"/>
          <w:szCs w:val="21"/>
          <w:lang w:val="en-US" w:eastAsia="zh-CN"/>
        </w:rPr>
        <w:t>、运输阶段、</w:t>
      </w:r>
      <w:r>
        <w:rPr>
          <w:rFonts w:hint="default" w:ascii="Times New Roman" w:hAnsi="Times New Roman" w:eastAsia="宋体" w:cs="Times New Roman"/>
          <w:b w:val="0"/>
          <w:bCs w:val="0"/>
          <w:sz w:val="21"/>
          <w:szCs w:val="21"/>
          <w:lang w:val="en-US" w:eastAsia="zh-CN"/>
        </w:rPr>
        <w:t>冶炼与精炼阶段</w:t>
      </w:r>
      <w:r>
        <w:rPr>
          <w:rFonts w:hint="eastAsia" w:ascii="Times New Roman" w:hAnsi="Times New Roman" w:eastAsia="宋体" w:cs="Times New Roman"/>
          <w:b w:val="0"/>
          <w:bCs w:val="0"/>
          <w:sz w:val="21"/>
          <w:szCs w:val="21"/>
          <w:lang w:val="en-US" w:eastAsia="zh-CN"/>
        </w:rPr>
        <w:t>、</w:t>
      </w:r>
      <w:r>
        <w:rPr>
          <w:rFonts w:hint="default" w:ascii="Times New Roman" w:hAnsi="Times New Roman" w:eastAsia="宋体" w:cs="Times New Roman"/>
          <w:b w:val="0"/>
          <w:bCs w:val="0"/>
          <w:sz w:val="21"/>
          <w:szCs w:val="21"/>
          <w:lang w:val="en-US" w:eastAsia="zh-CN"/>
        </w:rPr>
        <w:t>内部运输与厂内处置阶段</w:t>
      </w:r>
      <w:r>
        <w:rPr>
          <w:rFonts w:hint="eastAsia" w:ascii="Times New Roman" w:hAnsi="Times New Roman" w:eastAsia="宋体" w:cs="Times New Roman"/>
          <w:b w:val="0"/>
          <w:bCs w:val="0"/>
          <w:sz w:val="21"/>
          <w:szCs w:val="21"/>
          <w:lang w:val="en-US" w:eastAsia="zh-CN"/>
        </w:rPr>
        <w:t>到成品银锭出厂的全过程，并明确是否包含矿山剥离、尾矿库、选矿药剂生产等上游环节；</w:t>
      </w:r>
      <w:r>
        <w:rPr>
          <w:rFonts w:hint="default" w:ascii="Times New Roman" w:hAnsi="Times New Roman" w:eastAsia="宋体" w:cs="Times New Roman"/>
          <w:b w:val="0"/>
          <w:bCs w:val="0"/>
          <w:sz w:val="21"/>
          <w:szCs w:val="21"/>
          <w:lang w:val="en-US" w:eastAsia="zh-CN"/>
        </w:rPr>
        <w:t>当银与铜、铅、锌等共伴生时，系统边界的设定应与YS/T 180</w:t>
      </w:r>
      <w:r>
        <w:rPr>
          <w:rFonts w:hint="eastAsia" w:ascii="Times New Roman" w:hAnsi="Times New Roman" w:cs="Times New Roman"/>
          <w:b w:val="0"/>
          <w:bCs w:val="0"/>
          <w:sz w:val="21"/>
          <w:szCs w:val="21"/>
          <w:lang w:val="en-US" w:eastAsia="zh-CN"/>
        </w:rPr>
        <w:t>5</w:t>
      </w:r>
      <w:r>
        <w:rPr>
          <w:rFonts w:hint="default" w:ascii="Times New Roman" w:hAnsi="Times New Roman" w:eastAsia="宋体" w:cs="Times New Roman"/>
          <w:b w:val="0"/>
          <w:bCs w:val="0"/>
          <w:sz w:val="21"/>
          <w:szCs w:val="21"/>
          <w:lang w:val="en-US" w:eastAsia="zh-CN"/>
        </w:rPr>
        <w:t>、YS/T 180</w:t>
      </w:r>
      <w:r>
        <w:rPr>
          <w:rFonts w:hint="eastAsia" w:ascii="Times New Roman" w:hAnsi="Times New Roman" w:cs="Times New Roman"/>
          <w:b w:val="0"/>
          <w:bCs w:val="0"/>
          <w:sz w:val="21"/>
          <w:szCs w:val="21"/>
          <w:lang w:val="en-US" w:eastAsia="zh-CN"/>
        </w:rPr>
        <w:t>6</w:t>
      </w:r>
      <w:r>
        <w:rPr>
          <w:rFonts w:hint="default" w:ascii="Times New Roman" w:hAnsi="Times New Roman" w:eastAsia="宋体" w:cs="Times New Roman"/>
          <w:b w:val="0"/>
          <w:bCs w:val="0"/>
          <w:sz w:val="21"/>
          <w:szCs w:val="21"/>
          <w:lang w:val="en-US" w:eastAsia="zh-CN"/>
        </w:rPr>
        <w:t>、YS/T 180</w:t>
      </w:r>
      <w:r>
        <w:rPr>
          <w:rFonts w:hint="eastAsia" w:ascii="Times New Roman" w:hAnsi="Times New Roman" w:cs="Times New Roman"/>
          <w:b w:val="0"/>
          <w:bCs w:val="0"/>
          <w:sz w:val="21"/>
          <w:szCs w:val="21"/>
          <w:lang w:val="en-US" w:eastAsia="zh-CN"/>
        </w:rPr>
        <w:t>7</w:t>
      </w:r>
      <w:r>
        <w:rPr>
          <w:rFonts w:hint="default" w:ascii="Times New Roman" w:hAnsi="Times New Roman" w:eastAsia="宋体" w:cs="Times New Roman"/>
          <w:b w:val="0"/>
          <w:bCs w:val="0"/>
          <w:sz w:val="21"/>
          <w:szCs w:val="21"/>
          <w:lang w:val="en-US" w:eastAsia="zh-CN"/>
        </w:rPr>
        <w:t>等相关标准保持协调，以确保同一矿区或同一冶炼流程中不同产品碳足迹核算结果的可比性。</w:t>
      </w:r>
    </w:p>
    <w:p w14:paraId="4989C879">
      <w:pPr>
        <w:keepNext w:val="0"/>
        <w:keepLines w:val="0"/>
        <w:pageBreakBefore w:val="0"/>
        <w:widowControl w:val="0"/>
        <w:kinsoku/>
        <w:wordWrap/>
        <w:overflowPunct/>
        <w:topLinePunct w:val="0"/>
        <w:autoSpaceDE/>
        <w:autoSpaceDN/>
        <w:bidi w:val="0"/>
        <w:adjustRightInd/>
        <w:snapToGrid/>
        <w:spacing w:after="0" w:line="0" w:lineRule="atLeast"/>
        <w:ind w:firstLine="420" w:firstLineChars="200"/>
        <w:jc w:val="left"/>
        <w:textAlignment w:val="auto"/>
        <w:rPr>
          <w:rFonts w:hint="eastAsia"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系统边界的设定应遵循以下原则：</w:t>
      </w:r>
    </w:p>
    <w:p w14:paraId="2157CFF3">
      <w:pPr>
        <w:keepNext w:val="0"/>
        <w:keepLines w:val="0"/>
        <w:pageBreakBefore w:val="0"/>
        <w:widowControl w:val="0"/>
        <w:kinsoku/>
        <w:wordWrap/>
        <w:overflowPunct/>
        <w:topLinePunct w:val="0"/>
        <w:autoSpaceDE/>
        <w:autoSpaceDN/>
        <w:bidi w:val="0"/>
        <w:adjustRightInd/>
        <w:snapToGrid/>
        <w:spacing w:after="0" w:line="0" w:lineRule="atLeast"/>
        <w:ind w:firstLine="420" w:firstLineChars="200"/>
        <w:jc w:val="left"/>
        <w:textAlignment w:val="auto"/>
        <w:rPr>
          <w:rFonts w:hint="eastAsia"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完整性：纳入对产品碳足迹有实质性贡献的所有单元过程；</w:t>
      </w:r>
    </w:p>
    <w:p w14:paraId="3229168E">
      <w:pPr>
        <w:keepNext w:val="0"/>
        <w:keepLines w:val="0"/>
        <w:pageBreakBefore w:val="0"/>
        <w:widowControl w:val="0"/>
        <w:kinsoku/>
        <w:wordWrap/>
        <w:overflowPunct/>
        <w:topLinePunct w:val="0"/>
        <w:autoSpaceDE/>
        <w:autoSpaceDN/>
        <w:bidi w:val="0"/>
        <w:adjustRightInd/>
        <w:snapToGrid/>
        <w:spacing w:after="0" w:line="0" w:lineRule="atLeast"/>
        <w:ind w:firstLine="420" w:firstLineChars="200"/>
        <w:jc w:val="left"/>
        <w:textAlignment w:val="auto"/>
        <w:rPr>
          <w:rFonts w:hint="eastAsia"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一致性：同一类型产品采用统一的边界界定规则，确保结果可比；</w:t>
      </w:r>
    </w:p>
    <w:p w14:paraId="22356D79">
      <w:pPr>
        <w:keepNext w:val="0"/>
        <w:keepLines w:val="0"/>
        <w:pageBreakBefore w:val="0"/>
        <w:widowControl w:val="0"/>
        <w:kinsoku/>
        <w:wordWrap/>
        <w:overflowPunct/>
        <w:topLinePunct w:val="0"/>
        <w:autoSpaceDE/>
        <w:autoSpaceDN/>
        <w:bidi w:val="0"/>
        <w:adjustRightInd/>
        <w:snapToGrid/>
        <w:spacing w:after="0" w:line="0" w:lineRule="atLeast"/>
        <w:ind w:firstLine="420" w:firstLineChars="200"/>
        <w:jc w:val="left"/>
        <w:textAlignment w:val="auto"/>
        <w:rPr>
          <w:rFonts w:hint="eastAsia"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透明性：对边界内的包含项和排除项作出明确说明，并在报告中披露。</w:t>
      </w:r>
    </w:p>
    <w:p w14:paraId="79BB06A8">
      <w:pPr>
        <w:keepNext w:val="0"/>
        <w:keepLines w:val="0"/>
        <w:pageBreakBefore w:val="0"/>
        <w:widowControl w:val="0"/>
        <w:kinsoku/>
        <w:wordWrap/>
        <w:overflowPunct/>
        <w:topLinePunct w:val="0"/>
        <w:autoSpaceDE/>
        <w:autoSpaceDN/>
        <w:bidi w:val="0"/>
        <w:adjustRightInd/>
        <w:snapToGrid/>
        <w:spacing w:beforeLines="50" w:afterLines="50" w:line="240" w:lineRule="auto"/>
        <w:textAlignment w:val="auto"/>
        <w:rPr>
          <w:rFonts w:hint="eastAsia" w:ascii="黑体" w:hAnsi="宋体" w:eastAsia="黑体" w:cs="Times New Roman"/>
          <w:szCs w:val="21"/>
          <w:lang w:val="en-US" w:eastAsia="zh-CN"/>
        </w:rPr>
      </w:pPr>
      <w:r>
        <w:rPr>
          <w:rFonts w:hint="eastAsia" w:ascii="黑体" w:hAnsi="宋体" w:eastAsia="黑体" w:cs="Times New Roman"/>
          <w:szCs w:val="21"/>
          <w:lang w:val="en-US" w:eastAsia="zh-CN"/>
        </w:rPr>
        <w:t>4.3.2系统边界构成</w:t>
      </w:r>
    </w:p>
    <w:p w14:paraId="6A3C85B7">
      <w:pPr>
        <w:keepNext w:val="0"/>
        <w:keepLines w:val="0"/>
        <w:pageBreakBefore w:val="0"/>
        <w:widowControl w:val="0"/>
        <w:kinsoku/>
        <w:wordWrap/>
        <w:overflowPunct/>
        <w:topLinePunct w:val="0"/>
        <w:autoSpaceDE/>
        <w:autoSpaceDN/>
        <w:bidi w:val="0"/>
        <w:adjustRightInd/>
        <w:snapToGrid/>
        <w:spacing w:beforeLines="50" w:afterLines="50" w:line="240" w:lineRule="auto"/>
        <w:textAlignment w:val="auto"/>
        <w:rPr>
          <w:rFonts w:hint="default" w:ascii="黑体" w:hAnsi="宋体" w:eastAsia="黑体" w:cs="Times New Roman"/>
          <w:szCs w:val="21"/>
          <w:lang w:val="en-US" w:eastAsia="zh-CN"/>
        </w:rPr>
      </w:pPr>
      <w:r>
        <w:rPr>
          <w:rFonts w:hint="eastAsia" w:ascii="黑体" w:hAnsi="宋体" w:eastAsia="黑体" w:cs="Times New Roman"/>
          <w:szCs w:val="21"/>
          <w:lang w:val="en-US" w:eastAsia="zh-CN"/>
        </w:rPr>
        <w:t>4.3.2.1原料获取阶段</w:t>
      </w:r>
    </w:p>
    <w:p w14:paraId="272F43D4">
      <w:pPr>
        <w:keepNext w:val="0"/>
        <w:keepLines w:val="0"/>
        <w:pageBreakBefore w:val="0"/>
        <w:widowControl w:val="0"/>
        <w:kinsoku/>
        <w:wordWrap/>
        <w:overflowPunct/>
        <w:topLinePunct w:val="0"/>
        <w:autoSpaceDE/>
        <w:autoSpaceDN/>
        <w:bidi w:val="0"/>
        <w:adjustRightInd/>
        <w:snapToGrid/>
        <w:spacing w:after="0" w:line="0" w:lineRule="atLeast"/>
        <w:ind w:firstLine="420" w:firstLineChars="200"/>
        <w:jc w:val="both"/>
        <w:textAlignment w:val="auto"/>
        <w:rPr>
          <w:rFonts w:hint="eastAsia" w:ascii="Times New Roman" w:hAnsi="Times New Roman" w:eastAsia="宋体" w:cs="Times New Roman"/>
          <w:b w:val="0"/>
          <w:bCs w:val="0"/>
          <w:sz w:val="21"/>
          <w:szCs w:val="21"/>
          <w:lang w:val="en-US" w:eastAsia="zh-CN"/>
        </w:rPr>
      </w:pPr>
      <w:r>
        <w:rPr>
          <w:rFonts w:hint="eastAsia" w:ascii="Times New Roman" w:hAnsi="Times New Roman" w:cs="Times New Roman"/>
          <w:b w:val="0"/>
          <w:bCs w:val="0"/>
          <w:sz w:val="21"/>
          <w:szCs w:val="21"/>
          <w:lang w:val="en-US" w:eastAsia="zh-CN"/>
        </w:rPr>
        <w:t>1）</w:t>
      </w:r>
      <w:r>
        <w:rPr>
          <w:rFonts w:hint="eastAsia" w:ascii="Times New Roman" w:hAnsi="Times New Roman" w:eastAsia="宋体" w:cs="Times New Roman"/>
          <w:b w:val="0"/>
          <w:bCs w:val="0"/>
          <w:sz w:val="21"/>
          <w:szCs w:val="21"/>
          <w:lang w:val="en-US" w:eastAsia="zh-CN"/>
        </w:rPr>
        <w:t>独立银矿</w:t>
      </w:r>
      <w:r>
        <w:rPr>
          <w:rFonts w:hint="default" w:ascii="Times New Roman" w:hAnsi="Times New Roman" w:eastAsia="宋体" w:cs="Times New Roman"/>
          <w:b w:val="0"/>
          <w:bCs w:val="0"/>
          <w:sz w:val="21"/>
          <w:szCs w:val="21"/>
          <w:lang w:val="en-US" w:eastAsia="zh-CN"/>
        </w:rPr>
        <w:t>：包括露天开采或井下开采（含穿孔、爆破、铲装、运输、通风、排水、提升、充填等）、选矿（破碎、磨矿、浮选、氰化浸出、炭浆吸附、解吸电解、精矿脱水等）。明确纳入矿山剥离和尾矿库建设与运行，若因数据不可得可作简化处理，但需在报告中说明并评估其对结果的影响。炸药制造和运输的隐含排放应尽可能纳入核算，若因数据不可得可作简化处理，但需在报告中说明。</w:t>
      </w:r>
    </w:p>
    <w:p w14:paraId="5C8C2CE8">
      <w:pPr>
        <w:keepNext w:val="0"/>
        <w:keepLines w:val="0"/>
        <w:pageBreakBefore w:val="0"/>
        <w:widowControl w:val="0"/>
        <w:kinsoku/>
        <w:wordWrap/>
        <w:overflowPunct/>
        <w:topLinePunct w:val="0"/>
        <w:autoSpaceDE/>
        <w:autoSpaceDN/>
        <w:bidi w:val="0"/>
        <w:adjustRightInd/>
        <w:snapToGrid/>
        <w:spacing w:after="0" w:line="0" w:lineRule="atLeast"/>
        <w:ind w:firstLine="420" w:firstLineChars="200"/>
        <w:jc w:val="both"/>
        <w:textAlignment w:val="auto"/>
        <w:rPr>
          <w:rFonts w:hint="eastAsia" w:ascii="Times New Roman" w:hAnsi="Times New Roman" w:eastAsia="宋体" w:cs="Times New Roman"/>
          <w:b w:val="0"/>
          <w:bCs w:val="0"/>
          <w:sz w:val="21"/>
          <w:szCs w:val="21"/>
          <w:lang w:val="en-US" w:eastAsia="zh-CN"/>
        </w:rPr>
      </w:pPr>
      <w:r>
        <w:rPr>
          <w:rFonts w:hint="eastAsia" w:ascii="Times New Roman" w:hAnsi="Times New Roman" w:cs="Times New Roman"/>
          <w:b w:val="0"/>
          <w:bCs w:val="0"/>
          <w:sz w:val="21"/>
          <w:szCs w:val="21"/>
          <w:lang w:val="en-US" w:eastAsia="zh-CN"/>
        </w:rPr>
        <w:t>2）</w:t>
      </w:r>
      <w:r>
        <w:rPr>
          <w:rFonts w:hint="eastAsia" w:ascii="Times New Roman" w:hAnsi="Times New Roman" w:eastAsia="宋体" w:cs="Times New Roman"/>
          <w:b w:val="0"/>
          <w:bCs w:val="0"/>
          <w:sz w:val="21"/>
          <w:szCs w:val="21"/>
          <w:lang w:val="en-US" w:eastAsia="zh-CN"/>
        </w:rPr>
        <w:t>伴生银</w:t>
      </w:r>
      <w:r>
        <w:rPr>
          <w:rFonts w:hint="default" w:ascii="Times New Roman" w:hAnsi="Times New Roman" w:eastAsia="宋体" w:cs="Times New Roman"/>
          <w:b w:val="0"/>
          <w:bCs w:val="0"/>
          <w:sz w:val="21"/>
          <w:szCs w:val="21"/>
          <w:lang w:val="en-US" w:eastAsia="zh-CN"/>
        </w:rPr>
        <w:t>：</w:t>
      </w:r>
      <w:r>
        <w:rPr>
          <w:rFonts w:hint="eastAsia" w:ascii="Times New Roman" w:hAnsi="Times New Roman" w:eastAsia="宋体" w:cs="Times New Roman"/>
          <w:b w:val="0"/>
          <w:bCs w:val="0"/>
          <w:sz w:val="21"/>
          <w:szCs w:val="21"/>
          <w:lang w:val="en-US" w:eastAsia="zh-CN"/>
        </w:rPr>
        <w:t>包括铜、铅、锌等有色金属采矿、选矿、冶炼过程中含银物料的获取过程，含银物料从供应商到冶炼厂的运输。需通过分配方法将主产品碳排放分摊至银产品。</w:t>
      </w:r>
    </w:p>
    <w:p w14:paraId="6AB5ADD0">
      <w:pPr>
        <w:keepNext w:val="0"/>
        <w:keepLines w:val="0"/>
        <w:pageBreakBefore w:val="0"/>
        <w:widowControl w:val="0"/>
        <w:kinsoku/>
        <w:wordWrap/>
        <w:overflowPunct/>
        <w:topLinePunct w:val="0"/>
        <w:autoSpaceDE/>
        <w:autoSpaceDN/>
        <w:bidi w:val="0"/>
        <w:adjustRightInd/>
        <w:snapToGrid/>
        <w:spacing w:after="0" w:line="0" w:lineRule="atLeast"/>
        <w:ind w:firstLine="420" w:firstLineChars="200"/>
        <w:jc w:val="both"/>
        <w:textAlignment w:val="auto"/>
        <w:rPr>
          <w:rFonts w:hint="eastAsia" w:ascii="Times New Roman" w:hAnsi="Times New Roman" w:eastAsia="宋体" w:cs="Times New Roman"/>
          <w:b w:val="0"/>
          <w:bCs w:val="0"/>
          <w:sz w:val="21"/>
          <w:szCs w:val="21"/>
          <w:lang w:val="en-US" w:eastAsia="zh-CN"/>
        </w:rPr>
      </w:pPr>
      <w:r>
        <w:rPr>
          <w:rFonts w:hint="eastAsia" w:ascii="Times New Roman" w:hAnsi="Times New Roman" w:cs="Times New Roman"/>
          <w:b w:val="0"/>
          <w:bCs w:val="0"/>
          <w:sz w:val="21"/>
          <w:szCs w:val="21"/>
          <w:lang w:val="en-US" w:eastAsia="zh-CN"/>
        </w:rPr>
        <w:t>3）</w:t>
      </w:r>
      <w:r>
        <w:rPr>
          <w:rFonts w:hint="eastAsia" w:ascii="Times New Roman" w:hAnsi="Times New Roman" w:eastAsia="宋体" w:cs="Times New Roman"/>
          <w:b w:val="0"/>
          <w:bCs w:val="0"/>
          <w:sz w:val="21"/>
          <w:szCs w:val="21"/>
          <w:lang w:val="en-US" w:eastAsia="zh-CN"/>
        </w:rPr>
        <w:t>含银物料</w:t>
      </w:r>
      <w:r>
        <w:rPr>
          <w:rFonts w:hint="default" w:ascii="Times New Roman" w:hAnsi="Times New Roman" w:eastAsia="宋体" w:cs="Times New Roman"/>
          <w:b w:val="0"/>
          <w:bCs w:val="0"/>
          <w:sz w:val="21"/>
          <w:szCs w:val="21"/>
          <w:lang w:val="en-US" w:eastAsia="zh-CN"/>
        </w:rPr>
        <w:t>：</w:t>
      </w:r>
      <w:r>
        <w:rPr>
          <w:rFonts w:hint="eastAsia" w:ascii="Times New Roman" w:hAnsi="Times New Roman" w:eastAsia="宋体" w:cs="Times New Roman"/>
          <w:b w:val="0"/>
          <w:bCs w:val="0"/>
          <w:sz w:val="21"/>
          <w:szCs w:val="21"/>
          <w:lang w:val="en-US" w:eastAsia="zh-CN"/>
        </w:rPr>
        <w:t>包括外购银精矿、粗银、阳极泥等含银中间产品的获取过程，含银物料从供应商到冶炼厂的运输。</w:t>
      </w:r>
    </w:p>
    <w:p w14:paraId="3E026D88">
      <w:pPr>
        <w:keepNext w:val="0"/>
        <w:keepLines w:val="0"/>
        <w:pageBreakBefore w:val="0"/>
        <w:widowControl w:val="0"/>
        <w:kinsoku/>
        <w:wordWrap/>
        <w:overflowPunct/>
        <w:topLinePunct w:val="0"/>
        <w:autoSpaceDE/>
        <w:autoSpaceDN/>
        <w:bidi w:val="0"/>
        <w:adjustRightInd/>
        <w:snapToGrid/>
        <w:spacing w:after="0" w:line="0" w:lineRule="atLeast"/>
        <w:ind w:firstLine="420" w:firstLineChars="200"/>
        <w:jc w:val="both"/>
        <w:textAlignment w:val="auto"/>
        <w:rPr>
          <w:rFonts w:hint="eastAsia" w:ascii="Times New Roman" w:hAnsi="Times New Roman" w:eastAsia="宋体" w:cs="Times New Roman"/>
          <w:b w:val="0"/>
          <w:bCs w:val="0"/>
          <w:sz w:val="21"/>
          <w:szCs w:val="21"/>
          <w:lang w:val="en-US" w:eastAsia="zh-CN"/>
        </w:rPr>
      </w:pPr>
      <w:r>
        <w:rPr>
          <w:rFonts w:hint="eastAsia" w:ascii="Times New Roman" w:hAnsi="Times New Roman" w:cs="Times New Roman"/>
          <w:b w:val="0"/>
          <w:bCs w:val="0"/>
          <w:sz w:val="21"/>
          <w:szCs w:val="21"/>
          <w:lang w:val="en-US" w:eastAsia="zh-CN"/>
        </w:rPr>
        <w:t>4）</w:t>
      </w:r>
      <w:r>
        <w:rPr>
          <w:rFonts w:hint="eastAsia" w:ascii="Times New Roman" w:hAnsi="Times New Roman" w:eastAsia="宋体" w:cs="Times New Roman"/>
          <w:b w:val="0"/>
          <w:bCs w:val="0"/>
          <w:sz w:val="21"/>
          <w:szCs w:val="21"/>
          <w:lang w:val="en-US" w:eastAsia="zh-CN"/>
        </w:rPr>
        <w:t>再生银：包括消费前废银（加工边角料、含银电子废料等）和消费后废银（废旧电子电器、回收银饰、废旧光伏组件等）的收集、分类、拆解、破碎、预处理过程。</w:t>
      </w:r>
    </w:p>
    <w:p w14:paraId="040E197A">
      <w:pPr>
        <w:keepNext w:val="0"/>
        <w:keepLines w:val="0"/>
        <w:pageBreakBefore w:val="0"/>
        <w:widowControl w:val="0"/>
        <w:kinsoku/>
        <w:wordWrap/>
        <w:overflowPunct/>
        <w:topLinePunct w:val="0"/>
        <w:autoSpaceDE/>
        <w:autoSpaceDN/>
        <w:bidi w:val="0"/>
        <w:adjustRightInd/>
        <w:snapToGrid/>
        <w:spacing w:beforeLines="50" w:afterLines="50" w:line="240" w:lineRule="auto"/>
        <w:textAlignment w:val="auto"/>
        <w:rPr>
          <w:rFonts w:hint="eastAsia" w:ascii="黑体" w:hAnsi="宋体" w:eastAsia="黑体" w:cs="Times New Roman"/>
          <w:szCs w:val="21"/>
          <w:lang w:val="en-US" w:eastAsia="zh-CN"/>
        </w:rPr>
      </w:pPr>
      <w:r>
        <w:rPr>
          <w:rFonts w:hint="eastAsia" w:ascii="黑体" w:hAnsi="宋体" w:eastAsia="黑体" w:cs="Times New Roman"/>
          <w:szCs w:val="21"/>
          <w:lang w:val="en-US" w:eastAsia="zh-CN"/>
        </w:rPr>
        <w:t>4.3.2.2</w:t>
      </w:r>
      <w:r>
        <w:rPr>
          <w:rFonts w:hint="default" w:ascii="黑体" w:hAnsi="宋体" w:eastAsia="黑体" w:cs="Times New Roman"/>
          <w:szCs w:val="21"/>
          <w:lang w:val="en-US" w:eastAsia="zh-CN"/>
        </w:rPr>
        <w:t>能源与辅助材料生产阶段</w:t>
      </w:r>
    </w:p>
    <w:p w14:paraId="1E00E428">
      <w:pPr>
        <w:keepNext w:val="0"/>
        <w:keepLines w:val="0"/>
        <w:pageBreakBefore w:val="0"/>
        <w:widowControl w:val="0"/>
        <w:kinsoku/>
        <w:wordWrap/>
        <w:overflowPunct/>
        <w:topLinePunct w:val="0"/>
        <w:autoSpaceDE/>
        <w:autoSpaceDN/>
        <w:bidi w:val="0"/>
        <w:adjustRightInd/>
        <w:snapToGrid/>
        <w:spacing w:after="0" w:line="0" w:lineRule="atLeast"/>
        <w:ind w:firstLine="420" w:firstLineChars="200"/>
        <w:jc w:val="both"/>
        <w:textAlignment w:val="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包括煤炭、天然气、柴油、电力等能源的开采、生产及输配过程；包括氰化钠、石灰、钢球、衬板、熔剂、还原剂等辅助材料的生产过程。明确纳入选矿药剂生产（如氰化钠、浮选药剂等）的上游排放，若因数据不可得可作简化处理，但需在报告中说明。</w:t>
      </w:r>
    </w:p>
    <w:p w14:paraId="337170A1">
      <w:pPr>
        <w:keepNext w:val="0"/>
        <w:keepLines w:val="0"/>
        <w:pageBreakBefore w:val="0"/>
        <w:widowControl w:val="0"/>
        <w:kinsoku/>
        <w:wordWrap/>
        <w:overflowPunct/>
        <w:topLinePunct w:val="0"/>
        <w:autoSpaceDE/>
        <w:autoSpaceDN/>
        <w:bidi w:val="0"/>
        <w:adjustRightInd/>
        <w:snapToGrid/>
        <w:spacing w:beforeLines="50" w:afterLines="50" w:line="240" w:lineRule="auto"/>
        <w:textAlignment w:val="auto"/>
        <w:rPr>
          <w:rFonts w:hint="eastAsia" w:ascii="黑体" w:hAnsi="宋体" w:eastAsia="黑体" w:cs="Times New Roman"/>
          <w:szCs w:val="21"/>
          <w:lang w:val="en-US" w:eastAsia="zh-CN"/>
        </w:rPr>
      </w:pPr>
      <w:r>
        <w:rPr>
          <w:rFonts w:hint="eastAsia" w:ascii="黑体" w:hAnsi="宋体" w:eastAsia="黑体" w:cs="Times New Roman"/>
          <w:szCs w:val="21"/>
          <w:lang w:val="en-US" w:eastAsia="zh-CN"/>
        </w:rPr>
        <w:t>4.3.2.3</w:t>
      </w:r>
      <w:r>
        <w:rPr>
          <w:rFonts w:hint="default" w:ascii="黑体" w:hAnsi="宋体" w:eastAsia="黑体" w:cs="Times New Roman"/>
          <w:szCs w:val="21"/>
          <w:lang w:val="en-US" w:eastAsia="zh-CN"/>
        </w:rPr>
        <w:t>运输阶段</w:t>
      </w:r>
    </w:p>
    <w:p w14:paraId="70B5E50E">
      <w:pPr>
        <w:keepNext w:val="0"/>
        <w:keepLines w:val="0"/>
        <w:pageBreakBefore w:val="0"/>
        <w:widowControl w:val="0"/>
        <w:kinsoku/>
        <w:wordWrap/>
        <w:overflowPunct/>
        <w:topLinePunct w:val="0"/>
        <w:autoSpaceDE/>
        <w:autoSpaceDN/>
        <w:bidi w:val="0"/>
        <w:adjustRightInd/>
        <w:snapToGrid/>
        <w:spacing w:after="0" w:line="0" w:lineRule="atLeast"/>
        <w:ind w:firstLine="420" w:firstLineChars="200"/>
        <w:jc w:val="both"/>
        <w:textAlignment w:val="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包括原矿、精矿、含</w:t>
      </w:r>
      <w:r>
        <w:rPr>
          <w:rFonts w:hint="eastAsia" w:ascii="Times New Roman" w:hAnsi="Times New Roman" w:cs="Times New Roman"/>
          <w:b w:val="0"/>
          <w:bCs w:val="0"/>
          <w:color w:val="0000FF"/>
          <w:sz w:val="21"/>
          <w:szCs w:val="21"/>
          <w:lang w:val="en-US" w:eastAsia="zh-CN"/>
        </w:rPr>
        <w:t>银</w:t>
      </w:r>
      <w:r>
        <w:rPr>
          <w:rFonts w:hint="default" w:ascii="Times New Roman" w:hAnsi="Times New Roman" w:eastAsia="宋体" w:cs="Times New Roman"/>
          <w:b w:val="0"/>
          <w:bCs w:val="0"/>
          <w:sz w:val="21"/>
          <w:szCs w:val="21"/>
          <w:lang w:val="en-US" w:eastAsia="zh-CN"/>
        </w:rPr>
        <w:t>物料、再生</w:t>
      </w:r>
      <w:r>
        <w:rPr>
          <w:rFonts w:hint="eastAsia" w:ascii="Times New Roman" w:hAnsi="Times New Roman" w:cs="Times New Roman"/>
          <w:b w:val="0"/>
          <w:bCs w:val="0"/>
          <w:color w:val="0000FF"/>
          <w:sz w:val="21"/>
          <w:szCs w:val="21"/>
          <w:lang w:val="en-US" w:eastAsia="zh-CN"/>
        </w:rPr>
        <w:t>银</w:t>
      </w:r>
      <w:r>
        <w:rPr>
          <w:rFonts w:hint="default" w:ascii="Times New Roman" w:hAnsi="Times New Roman" w:eastAsia="宋体" w:cs="Times New Roman"/>
          <w:b w:val="0"/>
          <w:bCs w:val="0"/>
          <w:sz w:val="21"/>
          <w:szCs w:val="21"/>
          <w:lang w:val="en-US" w:eastAsia="zh-CN"/>
        </w:rPr>
        <w:t>原料、辅材、药剂、燃料等从供应商到生产现场的运输过程。运输方式包括公路、铁路、水路、管道等，应尽可能收集实际运输距离和运输方式。</w:t>
      </w:r>
    </w:p>
    <w:p w14:paraId="17B95572">
      <w:pPr>
        <w:keepNext w:val="0"/>
        <w:keepLines w:val="0"/>
        <w:pageBreakBefore w:val="0"/>
        <w:widowControl w:val="0"/>
        <w:kinsoku/>
        <w:wordWrap/>
        <w:overflowPunct/>
        <w:topLinePunct w:val="0"/>
        <w:autoSpaceDE/>
        <w:autoSpaceDN/>
        <w:bidi w:val="0"/>
        <w:adjustRightInd/>
        <w:snapToGrid/>
        <w:spacing w:beforeLines="50" w:afterLines="50" w:line="240" w:lineRule="auto"/>
        <w:textAlignment w:val="auto"/>
        <w:rPr>
          <w:rFonts w:hint="default" w:ascii="黑体" w:hAnsi="宋体" w:eastAsia="黑体" w:cs="Times New Roman"/>
          <w:szCs w:val="21"/>
          <w:lang w:val="en-US" w:eastAsia="zh-CN"/>
        </w:rPr>
      </w:pPr>
      <w:r>
        <w:rPr>
          <w:rFonts w:hint="eastAsia" w:ascii="黑体" w:hAnsi="宋体" w:eastAsia="黑体" w:cs="Times New Roman"/>
          <w:szCs w:val="21"/>
          <w:lang w:val="en-US" w:eastAsia="zh-CN"/>
        </w:rPr>
        <w:t>4.3.2.4</w:t>
      </w:r>
      <w:r>
        <w:rPr>
          <w:rFonts w:hint="default" w:ascii="黑体" w:hAnsi="宋体" w:eastAsia="黑体" w:cs="Times New Roman"/>
          <w:szCs w:val="21"/>
          <w:lang w:val="en-US" w:eastAsia="zh-CN"/>
        </w:rPr>
        <w:t>冶炼与精炼阶段</w:t>
      </w:r>
    </w:p>
    <w:p w14:paraId="7C1C30F9">
      <w:pPr>
        <w:keepNext w:val="0"/>
        <w:keepLines w:val="0"/>
        <w:pageBreakBefore w:val="0"/>
        <w:widowControl w:val="0"/>
        <w:kinsoku/>
        <w:wordWrap/>
        <w:overflowPunct/>
        <w:topLinePunct w:val="0"/>
        <w:autoSpaceDE/>
        <w:autoSpaceDN/>
        <w:bidi w:val="0"/>
        <w:adjustRightInd/>
        <w:snapToGrid/>
        <w:spacing w:after="0" w:line="0" w:lineRule="atLeast"/>
        <w:ind w:firstLine="420" w:firstLineChars="200"/>
        <w:jc w:val="both"/>
        <w:textAlignment w:val="auto"/>
        <w:rPr>
          <w:rFonts w:hint="eastAsia" w:ascii="Times New Roman" w:hAnsi="Times New Roman" w:eastAsia="宋体" w:cs="Times New Roman"/>
          <w:b w:val="0"/>
          <w:bCs w:val="0"/>
          <w:sz w:val="21"/>
          <w:szCs w:val="21"/>
          <w:lang w:val="en-US" w:eastAsia="zh-CN"/>
        </w:rPr>
      </w:pPr>
      <w:r>
        <w:rPr>
          <w:rFonts w:hint="eastAsia" w:ascii="Times New Roman" w:hAnsi="Times New Roman" w:cs="Times New Roman"/>
          <w:b w:val="0"/>
          <w:bCs w:val="0"/>
          <w:sz w:val="21"/>
          <w:szCs w:val="21"/>
          <w:lang w:val="en-US" w:eastAsia="zh-CN"/>
        </w:rPr>
        <w:t>1）</w:t>
      </w:r>
      <w:r>
        <w:rPr>
          <w:rFonts w:hint="default" w:ascii="Times New Roman" w:hAnsi="Times New Roman" w:eastAsia="宋体" w:cs="Times New Roman"/>
          <w:b w:val="0"/>
          <w:bCs w:val="0"/>
          <w:sz w:val="21"/>
          <w:szCs w:val="21"/>
          <w:lang w:val="en-US" w:eastAsia="zh-CN"/>
        </w:rPr>
        <w:t>火法工艺：包括精矿干燥、熔炼、吹炼、精炼、铸锭等工序，涵盖燃料燃烧、电力消耗、辅助材料消耗等直接与间接排放。</w:t>
      </w:r>
    </w:p>
    <w:p w14:paraId="56016FDE">
      <w:pPr>
        <w:keepNext w:val="0"/>
        <w:keepLines w:val="0"/>
        <w:pageBreakBefore w:val="0"/>
        <w:widowControl w:val="0"/>
        <w:kinsoku/>
        <w:wordWrap/>
        <w:overflowPunct/>
        <w:topLinePunct w:val="0"/>
        <w:autoSpaceDE/>
        <w:autoSpaceDN/>
        <w:bidi w:val="0"/>
        <w:adjustRightInd/>
        <w:snapToGrid/>
        <w:spacing w:after="0" w:line="0" w:lineRule="atLeast"/>
        <w:ind w:firstLine="420" w:firstLineChars="200"/>
        <w:jc w:val="both"/>
        <w:textAlignment w:val="auto"/>
        <w:rPr>
          <w:rFonts w:hint="eastAsia" w:ascii="Times New Roman" w:hAnsi="Times New Roman" w:eastAsia="宋体" w:cs="Times New Roman"/>
          <w:b w:val="0"/>
          <w:bCs w:val="0"/>
          <w:sz w:val="21"/>
          <w:szCs w:val="21"/>
          <w:lang w:val="en-US" w:eastAsia="zh-CN"/>
        </w:rPr>
      </w:pPr>
      <w:r>
        <w:rPr>
          <w:rFonts w:hint="eastAsia" w:ascii="Times New Roman" w:hAnsi="Times New Roman" w:cs="Times New Roman"/>
          <w:b w:val="0"/>
          <w:bCs w:val="0"/>
          <w:sz w:val="21"/>
          <w:szCs w:val="21"/>
          <w:lang w:val="en-US" w:eastAsia="zh-CN"/>
        </w:rPr>
        <w:t>2）</w:t>
      </w:r>
      <w:r>
        <w:rPr>
          <w:rFonts w:hint="default" w:ascii="Times New Roman" w:hAnsi="Times New Roman" w:eastAsia="宋体" w:cs="Times New Roman"/>
          <w:b w:val="0"/>
          <w:bCs w:val="0"/>
          <w:sz w:val="21"/>
          <w:szCs w:val="21"/>
          <w:lang w:val="en-US" w:eastAsia="zh-CN"/>
        </w:rPr>
        <w:t>湿法工艺：包括堆浸或搅拌浸出、炭浆吸附、解吸电解、熔炼铸锭等工序，涵盖电力消耗、药剂消耗等直接与间接排放。</w:t>
      </w:r>
    </w:p>
    <w:p w14:paraId="3E3676D3">
      <w:pPr>
        <w:keepNext w:val="0"/>
        <w:keepLines w:val="0"/>
        <w:pageBreakBefore w:val="0"/>
        <w:widowControl w:val="0"/>
        <w:kinsoku/>
        <w:wordWrap/>
        <w:overflowPunct/>
        <w:topLinePunct w:val="0"/>
        <w:autoSpaceDE/>
        <w:autoSpaceDN/>
        <w:bidi w:val="0"/>
        <w:adjustRightInd/>
        <w:snapToGrid/>
        <w:spacing w:after="0" w:line="0" w:lineRule="atLeast"/>
        <w:ind w:firstLine="420" w:firstLineChars="200"/>
        <w:jc w:val="both"/>
        <w:textAlignment w:val="auto"/>
        <w:rPr>
          <w:rFonts w:hint="eastAsia" w:ascii="Times New Roman" w:hAnsi="Times New Roman" w:eastAsia="宋体" w:cs="Times New Roman"/>
          <w:b w:val="0"/>
          <w:bCs w:val="0"/>
          <w:sz w:val="21"/>
          <w:szCs w:val="21"/>
          <w:lang w:val="en-US" w:eastAsia="zh-CN"/>
        </w:rPr>
      </w:pPr>
      <w:r>
        <w:rPr>
          <w:rFonts w:hint="eastAsia" w:ascii="Times New Roman" w:hAnsi="Times New Roman" w:cs="Times New Roman"/>
          <w:b w:val="0"/>
          <w:bCs w:val="0"/>
          <w:sz w:val="21"/>
          <w:szCs w:val="21"/>
          <w:lang w:val="en-US" w:eastAsia="zh-CN"/>
        </w:rPr>
        <w:t>3）</w:t>
      </w:r>
      <w:r>
        <w:rPr>
          <w:rFonts w:hint="default" w:ascii="Times New Roman" w:hAnsi="Times New Roman" w:eastAsia="宋体" w:cs="Times New Roman"/>
          <w:b w:val="0"/>
          <w:bCs w:val="0"/>
          <w:sz w:val="21"/>
          <w:szCs w:val="21"/>
          <w:lang w:val="en-US" w:eastAsia="zh-CN"/>
        </w:rPr>
        <w:t>伴生</w:t>
      </w:r>
      <w:r>
        <w:rPr>
          <w:rFonts w:hint="eastAsia" w:ascii="Times New Roman" w:hAnsi="Times New Roman" w:eastAsia="宋体" w:cs="Times New Roman"/>
          <w:b w:val="0"/>
          <w:bCs w:val="0"/>
          <w:sz w:val="21"/>
          <w:szCs w:val="21"/>
          <w:lang w:val="en-US" w:eastAsia="zh-CN"/>
        </w:rPr>
        <w:t>银</w:t>
      </w:r>
      <w:r>
        <w:rPr>
          <w:rFonts w:hint="default" w:ascii="Times New Roman" w:hAnsi="Times New Roman" w:eastAsia="宋体" w:cs="Times New Roman"/>
          <w:b w:val="0"/>
          <w:bCs w:val="0"/>
          <w:sz w:val="21"/>
          <w:szCs w:val="21"/>
          <w:lang w:val="en-US" w:eastAsia="zh-CN"/>
        </w:rPr>
        <w:t>处理：对于铜阳极泥</w:t>
      </w:r>
      <w:r>
        <w:rPr>
          <w:rFonts w:hint="eastAsia" w:ascii="Times New Roman" w:hAnsi="Times New Roman" w:eastAsia="宋体" w:cs="Times New Roman"/>
          <w:b w:val="0"/>
          <w:bCs w:val="0"/>
          <w:sz w:val="21"/>
          <w:szCs w:val="21"/>
          <w:lang w:val="en-US" w:eastAsia="zh-CN"/>
        </w:rPr>
        <w:t>、铅阳极泥</w:t>
      </w:r>
      <w:r>
        <w:rPr>
          <w:rFonts w:hint="default" w:ascii="Times New Roman" w:hAnsi="Times New Roman" w:eastAsia="宋体" w:cs="Times New Roman"/>
          <w:b w:val="0"/>
          <w:bCs w:val="0"/>
          <w:sz w:val="21"/>
          <w:szCs w:val="21"/>
          <w:lang w:val="en-US" w:eastAsia="zh-CN"/>
        </w:rPr>
        <w:t>等伴生资源，包括阳极泥处理、贵金属分离、精炼等工序，排放数据需通过分配方法从</w:t>
      </w:r>
      <w:r>
        <w:rPr>
          <w:rFonts w:hint="eastAsia" w:ascii="Times New Roman" w:hAnsi="Times New Roman" w:eastAsia="宋体" w:cs="Times New Roman"/>
          <w:b w:val="0"/>
          <w:bCs w:val="0"/>
          <w:sz w:val="21"/>
          <w:szCs w:val="21"/>
          <w:lang w:val="en-US" w:eastAsia="zh-CN"/>
        </w:rPr>
        <w:t>有色金属</w:t>
      </w:r>
      <w:r>
        <w:rPr>
          <w:rFonts w:hint="default" w:ascii="Times New Roman" w:hAnsi="Times New Roman" w:eastAsia="宋体" w:cs="Times New Roman"/>
          <w:b w:val="0"/>
          <w:bCs w:val="0"/>
          <w:sz w:val="21"/>
          <w:szCs w:val="21"/>
          <w:lang w:val="en-US" w:eastAsia="zh-CN"/>
        </w:rPr>
        <w:t>冶炼流程中分摊获得。</w:t>
      </w:r>
    </w:p>
    <w:p w14:paraId="31E8AD97">
      <w:pPr>
        <w:keepNext w:val="0"/>
        <w:keepLines w:val="0"/>
        <w:pageBreakBefore w:val="0"/>
        <w:widowControl w:val="0"/>
        <w:kinsoku/>
        <w:wordWrap/>
        <w:overflowPunct/>
        <w:topLinePunct w:val="0"/>
        <w:autoSpaceDE/>
        <w:autoSpaceDN/>
        <w:bidi w:val="0"/>
        <w:adjustRightInd/>
        <w:snapToGrid/>
        <w:spacing w:beforeLines="50" w:afterLines="50" w:line="240" w:lineRule="auto"/>
        <w:textAlignment w:val="auto"/>
        <w:rPr>
          <w:rFonts w:hint="default" w:ascii="黑体" w:hAnsi="宋体" w:eastAsia="黑体" w:cs="Times New Roman"/>
          <w:szCs w:val="21"/>
          <w:lang w:val="en-US" w:eastAsia="zh-CN"/>
        </w:rPr>
      </w:pPr>
      <w:r>
        <w:rPr>
          <w:rFonts w:hint="eastAsia" w:ascii="黑体" w:hAnsi="宋体" w:eastAsia="黑体" w:cs="Times New Roman"/>
          <w:szCs w:val="21"/>
          <w:lang w:val="en-US" w:eastAsia="zh-CN"/>
        </w:rPr>
        <w:t>4.3.2.5</w:t>
      </w:r>
      <w:r>
        <w:rPr>
          <w:rFonts w:hint="default" w:ascii="黑体" w:hAnsi="宋体" w:eastAsia="黑体" w:cs="Times New Roman"/>
          <w:szCs w:val="21"/>
          <w:lang w:val="en-US" w:eastAsia="zh-CN"/>
        </w:rPr>
        <w:t>内部运输与厂内处置阶段</w:t>
      </w:r>
    </w:p>
    <w:p w14:paraId="45568200">
      <w:pPr>
        <w:keepNext w:val="0"/>
        <w:keepLines w:val="0"/>
        <w:pageBreakBefore w:val="0"/>
        <w:widowControl w:val="0"/>
        <w:kinsoku/>
        <w:wordWrap/>
        <w:overflowPunct/>
        <w:topLinePunct w:val="0"/>
        <w:autoSpaceDE/>
        <w:autoSpaceDN/>
        <w:bidi w:val="0"/>
        <w:adjustRightInd/>
        <w:snapToGrid/>
        <w:spacing w:after="0" w:line="0" w:lineRule="atLeast"/>
        <w:ind w:firstLine="420" w:firstLineChars="200"/>
        <w:jc w:val="left"/>
        <w:textAlignment w:val="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包括原料、中间品、产品在厂区内的运输，厂内废弃物（尾渣、废水处理污泥、烟气处理副产物等）的暂存、处理与处置过程。</w:t>
      </w:r>
    </w:p>
    <w:p w14:paraId="5FA81F9E">
      <w:pPr>
        <w:keepNext w:val="0"/>
        <w:keepLines w:val="0"/>
        <w:pageBreakBefore w:val="0"/>
        <w:widowControl w:val="0"/>
        <w:kinsoku/>
        <w:wordWrap/>
        <w:overflowPunct/>
        <w:topLinePunct w:val="0"/>
        <w:autoSpaceDE/>
        <w:autoSpaceDN/>
        <w:bidi w:val="0"/>
        <w:adjustRightInd/>
        <w:snapToGrid/>
        <w:spacing w:beforeLines="50" w:afterLines="50" w:line="240" w:lineRule="auto"/>
        <w:textAlignment w:val="auto"/>
        <w:rPr>
          <w:rFonts w:hint="default" w:ascii="黑体" w:hAnsi="宋体" w:eastAsia="黑体" w:cs="Times New Roman"/>
          <w:szCs w:val="21"/>
          <w:lang w:val="en-US" w:eastAsia="zh-CN"/>
        </w:rPr>
      </w:pPr>
      <w:r>
        <w:rPr>
          <w:rFonts w:hint="eastAsia" w:ascii="黑体" w:hAnsi="宋体" w:eastAsia="黑体" w:cs="Times New Roman"/>
          <w:szCs w:val="21"/>
          <w:lang w:val="en-US" w:eastAsia="zh-CN"/>
        </w:rPr>
        <w:t>4</w:t>
      </w:r>
      <w:r>
        <w:rPr>
          <w:rFonts w:hint="default" w:ascii="黑体" w:hAnsi="宋体" w:eastAsia="黑体" w:cs="Times New Roman"/>
          <w:szCs w:val="21"/>
          <w:lang w:val="en-US" w:eastAsia="zh-CN"/>
        </w:rPr>
        <w:t>.3.3 特殊情形的边界处理</w:t>
      </w:r>
    </w:p>
    <w:p w14:paraId="40FB4989">
      <w:pPr>
        <w:keepNext w:val="0"/>
        <w:keepLines w:val="0"/>
        <w:pageBreakBefore w:val="0"/>
        <w:widowControl w:val="0"/>
        <w:kinsoku/>
        <w:wordWrap/>
        <w:overflowPunct/>
        <w:topLinePunct w:val="0"/>
        <w:autoSpaceDE/>
        <w:autoSpaceDN/>
        <w:bidi w:val="0"/>
        <w:adjustRightInd/>
        <w:snapToGrid/>
        <w:spacing w:after="0" w:line="0" w:lineRule="atLeast"/>
        <w:ind w:firstLine="420" w:firstLineChars="200"/>
        <w:jc w:val="left"/>
        <w:textAlignment w:val="auto"/>
        <w:rPr>
          <w:rFonts w:hint="eastAsia"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针对</w:t>
      </w:r>
      <w:r>
        <w:rPr>
          <w:rFonts w:hint="eastAsia" w:ascii="Times New Roman" w:hAnsi="Times New Roman" w:eastAsia="宋体" w:cs="Times New Roman"/>
          <w:b w:val="0"/>
          <w:bCs w:val="0"/>
          <w:sz w:val="21"/>
          <w:szCs w:val="21"/>
          <w:lang w:val="en-US" w:eastAsia="zh-CN"/>
        </w:rPr>
        <w:t>白银</w:t>
      </w:r>
      <w:r>
        <w:rPr>
          <w:rFonts w:hint="default" w:ascii="Times New Roman" w:hAnsi="Times New Roman" w:eastAsia="宋体" w:cs="Times New Roman"/>
          <w:b w:val="0"/>
          <w:bCs w:val="0"/>
          <w:sz w:val="21"/>
          <w:szCs w:val="21"/>
          <w:lang w:val="en-US" w:eastAsia="zh-CN"/>
        </w:rPr>
        <w:t>行业的特点，明确以下特殊情形的边界处理规则：</w:t>
      </w:r>
    </w:p>
    <w:p w14:paraId="39B24040">
      <w:pPr>
        <w:keepNext w:val="0"/>
        <w:keepLines w:val="0"/>
        <w:pageBreakBefore w:val="0"/>
        <w:widowControl w:val="0"/>
        <w:kinsoku/>
        <w:wordWrap/>
        <w:overflowPunct/>
        <w:topLinePunct w:val="0"/>
        <w:autoSpaceDE/>
        <w:autoSpaceDN/>
        <w:bidi w:val="0"/>
        <w:adjustRightInd/>
        <w:snapToGrid/>
        <w:spacing w:after="0" w:line="0" w:lineRule="atLeast"/>
        <w:ind w:firstLine="420" w:firstLineChars="200"/>
        <w:jc w:val="left"/>
        <w:textAlignment w:val="auto"/>
        <w:rPr>
          <w:rFonts w:hint="eastAsia" w:ascii="Times New Roman" w:hAnsi="Times New Roman" w:eastAsia="宋体" w:cs="Times New Roman"/>
          <w:b w:val="0"/>
          <w:bCs w:val="0"/>
          <w:sz w:val="21"/>
          <w:szCs w:val="21"/>
          <w:lang w:val="en-US" w:eastAsia="zh-CN"/>
        </w:rPr>
      </w:pPr>
      <w:r>
        <w:rPr>
          <w:rFonts w:hint="eastAsia" w:ascii="Times New Roman" w:hAnsi="Times New Roman" w:cs="Times New Roman"/>
          <w:b w:val="0"/>
          <w:bCs w:val="0"/>
          <w:sz w:val="21"/>
          <w:szCs w:val="21"/>
          <w:lang w:val="en-US" w:eastAsia="zh-CN"/>
        </w:rPr>
        <w:t>1）</w:t>
      </w:r>
      <w:r>
        <w:rPr>
          <w:rFonts w:hint="default" w:ascii="Times New Roman" w:hAnsi="Times New Roman" w:eastAsia="宋体" w:cs="Times New Roman"/>
          <w:b w:val="0"/>
          <w:bCs w:val="0"/>
          <w:sz w:val="21"/>
          <w:szCs w:val="21"/>
          <w:lang w:val="en-US" w:eastAsia="zh-CN"/>
        </w:rPr>
        <w:t>共伴生矿产：当</w:t>
      </w:r>
      <w:r>
        <w:rPr>
          <w:rFonts w:hint="eastAsia" w:ascii="Times New Roman" w:hAnsi="Times New Roman" w:eastAsia="宋体" w:cs="Times New Roman"/>
          <w:b w:val="0"/>
          <w:bCs w:val="0"/>
          <w:sz w:val="21"/>
          <w:szCs w:val="21"/>
          <w:lang w:val="en-US" w:eastAsia="zh-CN"/>
        </w:rPr>
        <w:t>银</w:t>
      </w:r>
      <w:r>
        <w:rPr>
          <w:rFonts w:hint="default" w:ascii="Times New Roman" w:hAnsi="Times New Roman" w:eastAsia="宋体" w:cs="Times New Roman"/>
          <w:b w:val="0"/>
          <w:bCs w:val="0"/>
          <w:sz w:val="21"/>
          <w:szCs w:val="21"/>
          <w:lang w:val="en-US" w:eastAsia="zh-CN"/>
        </w:rPr>
        <w:t>与铜、铅、锌、</w:t>
      </w:r>
      <w:r>
        <w:rPr>
          <w:rFonts w:hint="eastAsia" w:ascii="Times New Roman" w:hAnsi="Times New Roman" w:eastAsia="宋体" w:cs="Times New Roman"/>
          <w:b w:val="0"/>
          <w:bCs w:val="0"/>
          <w:sz w:val="21"/>
          <w:szCs w:val="21"/>
          <w:lang w:val="en-US" w:eastAsia="zh-CN"/>
        </w:rPr>
        <w:t>金</w:t>
      </w:r>
      <w:r>
        <w:rPr>
          <w:rFonts w:hint="default" w:ascii="Times New Roman" w:hAnsi="Times New Roman" w:eastAsia="宋体" w:cs="Times New Roman"/>
          <w:b w:val="0"/>
          <w:bCs w:val="0"/>
          <w:sz w:val="21"/>
          <w:szCs w:val="21"/>
          <w:lang w:val="en-US" w:eastAsia="zh-CN"/>
        </w:rPr>
        <w:t>等共伴生时，系统边界内明确</w:t>
      </w:r>
      <w:r>
        <w:rPr>
          <w:rFonts w:hint="eastAsia" w:ascii="Times New Roman" w:hAnsi="Times New Roman" w:eastAsia="宋体" w:cs="Times New Roman"/>
          <w:b w:val="0"/>
          <w:bCs w:val="0"/>
          <w:sz w:val="21"/>
          <w:szCs w:val="21"/>
          <w:lang w:val="en-US" w:eastAsia="zh-CN"/>
        </w:rPr>
        <w:t>“</w:t>
      </w:r>
      <w:r>
        <w:rPr>
          <w:rFonts w:hint="default" w:ascii="Times New Roman" w:hAnsi="Times New Roman" w:eastAsia="宋体" w:cs="Times New Roman"/>
          <w:b w:val="0"/>
          <w:bCs w:val="0"/>
          <w:sz w:val="21"/>
          <w:szCs w:val="21"/>
          <w:lang w:val="en-US" w:eastAsia="zh-CN"/>
        </w:rPr>
        <w:t>分摊节点</w:t>
      </w:r>
      <w:r>
        <w:rPr>
          <w:rFonts w:hint="eastAsia" w:ascii="Times New Roman" w:hAnsi="Times New Roman" w:eastAsia="宋体" w:cs="Times New Roman"/>
          <w:b w:val="0"/>
          <w:bCs w:val="0"/>
          <w:sz w:val="21"/>
          <w:szCs w:val="21"/>
          <w:lang w:val="en-US" w:eastAsia="zh-CN"/>
        </w:rPr>
        <w:t>”</w:t>
      </w:r>
      <w:r>
        <w:rPr>
          <w:rFonts w:hint="default" w:ascii="Times New Roman" w:hAnsi="Times New Roman" w:eastAsia="宋体" w:cs="Times New Roman"/>
          <w:b w:val="0"/>
          <w:bCs w:val="0"/>
          <w:sz w:val="21"/>
          <w:szCs w:val="21"/>
          <w:lang w:val="en-US" w:eastAsia="zh-CN"/>
        </w:rPr>
        <w:t>。从采矿到冶炼分离前的所有排放按分配规则在主产品与伴生金之间分摊；分离后的金精炼过程排放全额计入</w:t>
      </w:r>
      <w:r>
        <w:rPr>
          <w:rFonts w:hint="eastAsia" w:ascii="Times New Roman" w:hAnsi="Times New Roman" w:eastAsia="宋体" w:cs="Times New Roman"/>
          <w:b w:val="0"/>
          <w:bCs w:val="0"/>
          <w:sz w:val="21"/>
          <w:szCs w:val="21"/>
          <w:lang w:val="en-US" w:eastAsia="zh-CN"/>
        </w:rPr>
        <w:t>银锭</w:t>
      </w:r>
      <w:r>
        <w:rPr>
          <w:rFonts w:hint="default" w:ascii="Times New Roman" w:hAnsi="Times New Roman" w:eastAsia="宋体" w:cs="Times New Roman"/>
          <w:b w:val="0"/>
          <w:bCs w:val="0"/>
          <w:sz w:val="21"/>
          <w:szCs w:val="21"/>
          <w:lang w:val="en-US" w:eastAsia="zh-CN"/>
        </w:rPr>
        <w:t>产品系统边界。</w:t>
      </w:r>
    </w:p>
    <w:p w14:paraId="0A390B97">
      <w:pPr>
        <w:keepNext w:val="0"/>
        <w:keepLines w:val="0"/>
        <w:pageBreakBefore w:val="0"/>
        <w:widowControl w:val="0"/>
        <w:kinsoku/>
        <w:wordWrap/>
        <w:overflowPunct/>
        <w:topLinePunct w:val="0"/>
        <w:autoSpaceDE/>
        <w:autoSpaceDN/>
        <w:bidi w:val="0"/>
        <w:adjustRightInd/>
        <w:snapToGrid/>
        <w:spacing w:after="0" w:line="0" w:lineRule="atLeast"/>
        <w:ind w:firstLine="420" w:firstLineChars="200"/>
        <w:jc w:val="left"/>
        <w:textAlignment w:val="auto"/>
        <w:rPr>
          <w:rFonts w:hint="eastAsia" w:ascii="Times New Roman" w:hAnsi="Times New Roman" w:eastAsia="宋体" w:cs="Times New Roman"/>
          <w:b w:val="0"/>
          <w:bCs w:val="0"/>
          <w:sz w:val="21"/>
          <w:szCs w:val="21"/>
          <w:lang w:val="en-US" w:eastAsia="zh-CN"/>
        </w:rPr>
      </w:pPr>
      <w:r>
        <w:rPr>
          <w:rFonts w:hint="eastAsia" w:ascii="Times New Roman" w:hAnsi="Times New Roman" w:cs="Times New Roman"/>
          <w:b w:val="0"/>
          <w:bCs w:val="0"/>
          <w:sz w:val="21"/>
          <w:szCs w:val="21"/>
          <w:lang w:val="en-US" w:eastAsia="zh-CN"/>
        </w:rPr>
        <w:t>2）</w:t>
      </w:r>
      <w:r>
        <w:rPr>
          <w:rFonts w:hint="default" w:ascii="Times New Roman" w:hAnsi="Times New Roman" w:eastAsia="宋体" w:cs="Times New Roman"/>
          <w:b w:val="0"/>
          <w:bCs w:val="0"/>
          <w:sz w:val="21"/>
          <w:szCs w:val="21"/>
          <w:lang w:val="en-US" w:eastAsia="zh-CN"/>
        </w:rPr>
        <w:t>多产品联产：冶炼过程中同时产出</w:t>
      </w:r>
      <w:r>
        <w:rPr>
          <w:rFonts w:hint="eastAsia" w:ascii="Times New Roman" w:hAnsi="Times New Roman" w:eastAsia="宋体" w:cs="Times New Roman"/>
          <w:b w:val="0"/>
          <w:bCs w:val="0"/>
          <w:sz w:val="21"/>
          <w:szCs w:val="21"/>
          <w:lang w:val="en-US" w:eastAsia="zh-CN"/>
        </w:rPr>
        <w:t>银、</w:t>
      </w:r>
      <w:r>
        <w:rPr>
          <w:rFonts w:hint="default" w:ascii="Times New Roman" w:hAnsi="Times New Roman" w:eastAsia="宋体" w:cs="Times New Roman"/>
          <w:b w:val="0"/>
          <w:bCs w:val="0"/>
          <w:sz w:val="21"/>
          <w:szCs w:val="21"/>
          <w:lang w:val="en-US" w:eastAsia="zh-CN"/>
        </w:rPr>
        <w:t>金、</w:t>
      </w:r>
      <w:r>
        <w:rPr>
          <w:rFonts w:hint="eastAsia" w:ascii="Times New Roman" w:hAnsi="Times New Roman" w:eastAsia="宋体" w:cs="Times New Roman"/>
          <w:b w:val="0"/>
          <w:bCs w:val="0"/>
          <w:sz w:val="21"/>
          <w:szCs w:val="21"/>
          <w:lang w:val="en-US" w:eastAsia="zh-CN"/>
        </w:rPr>
        <w:t>铅</w:t>
      </w:r>
      <w:r>
        <w:rPr>
          <w:rFonts w:hint="default" w:ascii="Times New Roman" w:hAnsi="Times New Roman" w:eastAsia="宋体" w:cs="Times New Roman"/>
          <w:b w:val="0"/>
          <w:bCs w:val="0"/>
          <w:sz w:val="21"/>
          <w:szCs w:val="21"/>
          <w:lang w:val="en-US" w:eastAsia="zh-CN"/>
        </w:rPr>
        <w:t>、</w:t>
      </w:r>
      <w:r>
        <w:rPr>
          <w:rFonts w:hint="eastAsia" w:ascii="Times New Roman" w:hAnsi="Times New Roman" w:eastAsia="宋体" w:cs="Times New Roman"/>
          <w:b w:val="0"/>
          <w:bCs w:val="0"/>
          <w:sz w:val="21"/>
          <w:szCs w:val="21"/>
          <w:lang w:val="en-US" w:eastAsia="zh-CN"/>
        </w:rPr>
        <w:t>锌、</w:t>
      </w:r>
      <w:r>
        <w:rPr>
          <w:rFonts w:hint="default" w:ascii="Times New Roman" w:hAnsi="Times New Roman" w:eastAsia="宋体" w:cs="Times New Roman"/>
          <w:b w:val="0"/>
          <w:bCs w:val="0"/>
          <w:sz w:val="21"/>
          <w:szCs w:val="21"/>
          <w:lang w:val="en-US" w:eastAsia="zh-CN"/>
        </w:rPr>
        <w:t>硫酸等多种产品时，系统边界内明确</w:t>
      </w:r>
      <w:r>
        <w:rPr>
          <w:rFonts w:hint="eastAsia" w:ascii="Times New Roman" w:hAnsi="Times New Roman" w:eastAsia="宋体" w:cs="Times New Roman"/>
          <w:b w:val="0"/>
          <w:bCs w:val="0"/>
          <w:sz w:val="21"/>
          <w:szCs w:val="21"/>
          <w:lang w:val="en-US" w:eastAsia="zh-CN"/>
        </w:rPr>
        <w:t>“</w:t>
      </w:r>
      <w:r>
        <w:rPr>
          <w:rFonts w:hint="default" w:ascii="Times New Roman" w:hAnsi="Times New Roman" w:eastAsia="宋体" w:cs="Times New Roman"/>
          <w:b w:val="0"/>
          <w:bCs w:val="0"/>
          <w:sz w:val="21"/>
          <w:szCs w:val="21"/>
          <w:lang w:val="en-US" w:eastAsia="zh-CN"/>
        </w:rPr>
        <w:t>分配起始点</w:t>
      </w:r>
      <w:r>
        <w:rPr>
          <w:rFonts w:hint="eastAsia" w:ascii="Times New Roman" w:hAnsi="Times New Roman" w:eastAsia="宋体" w:cs="Times New Roman"/>
          <w:b w:val="0"/>
          <w:bCs w:val="0"/>
          <w:sz w:val="21"/>
          <w:szCs w:val="21"/>
          <w:lang w:val="en-US" w:eastAsia="zh-CN"/>
        </w:rPr>
        <w:t>”</w:t>
      </w:r>
      <w:r>
        <w:rPr>
          <w:rFonts w:hint="default" w:ascii="Times New Roman" w:hAnsi="Times New Roman" w:eastAsia="宋体" w:cs="Times New Roman"/>
          <w:b w:val="0"/>
          <w:bCs w:val="0"/>
          <w:sz w:val="21"/>
          <w:szCs w:val="21"/>
          <w:lang w:val="en-US" w:eastAsia="zh-CN"/>
        </w:rPr>
        <w:t>，即在哪个工序开始将排放分摊至不同产品，并规定优先采用经济分配法。</w:t>
      </w:r>
    </w:p>
    <w:p w14:paraId="7410142F">
      <w:pPr>
        <w:keepNext w:val="0"/>
        <w:keepLines w:val="0"/>
        <w:pageBreakBefore w:val="0"/>
        <w:widowControl w:val="0"/>
        <w:kinsoku/>
        <w:wordWrap/>
        <w:overflowPunct/>
        <w:topLinePunct w:val="0"/>
        <w:autoSpaceDE/>
        <w:autoSpaceDN/>
        <w:bidi w:val="0"/>
        <w:adjustRightInd/>
        <w:snapToGrid/>
        <w:spacing w:after="0" w:line="0" w:lineRule="atLeast"/>
        <w:ind w:firstLine="420" w:firstLineChars="200"/>
        <w:jc w:val="left"/>
        <w:textAlignment w:val="auto"/>
        <w:rPr>
          <w:rFonts w:hint="eastAsia" w:ascii="Times New Roman" w:hAnsi="Times New Roman" w:eastAsia="宋体" w:cs="Times New Roman"/>
          <w:b w:val="0"/>
          <w:bCs w:val="0"/>
          <w:sz w:val="21"/>
          <w:szCs w:val="21"/>
          <w:lang w:val="en-US" w:eastAsia="zh-CN"/>
        </w:rPr>
      </w:pPr>
      <w:r>
        <w:rPr>
          <w:rFonts w:hint="eastAsia" w:ascii="Times New Roman" w:hAnsi="Times New Roman" w:cs="Times New Roman"/>
          <w:b w:val="0"/>
          <w:bCs w:val="0"/>
          <w:sz w:val="21"/>
          <w:szCs w:val="21"/>
          <w:lang w:val="en-US" w:eastAsia="zh-CN"/>
        </w:rPr>
        <w:t>3）</w:t>
      </w:r>
      <w:r>
        <w:rPr>
          <w:rFonts w:hint="default" w:ascii="Times New Roman" w:hAnsi="Times New Roman" w:eastAsia="宋体" w:cs="Times New Roman"/>
          <w:b w:val="0"/>
          <w:bCs w:val="0"/>
          <w:sz w:val="21"/>
          <w:szCs w:val="21"/>
          <w:lang w:val="en-US" w:eastAsia="zh-CN"/>
        </w:rPr>
        <w:t>再生</w:t>
      </w:r>
      <w:r>
        <w:rPr>
          <w:rFonts w:hint="eastAsia" w:ascii="Times New Roman" w:hAnsi="Times New Roman" w:eastAsia="宋体" w:cs="Times New Roman"/>
          <w:b w:val="0"/>
          <w:bCs w:val="0"/>
          <w:sz w:val="21"/>
          <w:szCs w:val="21"/>
          <w:lang w:val="en-US" w:eastAsia="zh-CN"/>
        </w:rPr>
        <w:t>银</w:t>
      </w:r>
      <w:r>
        <w:rPr>
          <w:rFonts w:hint="default" w:ascii="Times New Roman" w:hAnsi="Times New Roman" w:eastAsia="宋体" w:cs="Times New Roman"/>
          <w:b w:val="0"/>
          <w:bCs w:val="0"/>
          <w:sz w:val="21"/>
          <w:szCs w:val="21"/>
          <w:lang w:val="en-US" w:eastAsia="zh-CN"/>
        </w:rPr>
        <w:t>原料：仅计入再生</w:t>
      </w:r>
      <w:r>
        <w:rPr>
          <w:rFonts w:hint="eastAsia" w:ascii="Times New Roman" w:hAnsi="Times New Roman" w:eastAsia="宋体" w:cs="Times New Roman"/>
          <w:b w:val="0"/>
          <w:bCs w:val="0"/>
          <w:sz w:val="21"/>
          <w:szCs w:val="21"/>
          <w:lang w:val="en-US" w:eastAsia="zh-CN"/>
        </w:rPr>
        <w:t>银</w:t>
      </w:r>
      <w:r>
        <w:rPr>
          <w:rFonts w:hint="default" w:ascii="Times New Roman" w:hAnsi="Times New Roman" w:eastAsia="宋体" w:cs="Times New Roman"/>
          <w:b w:val="0"/>
          <w:bCs w:val="0"/>
          <w:sz w:val="21"/>
          <w:szCs w:val="21"/>
          <w:lang w:val="en-US" w:eastAsia="zh-CN"/>
        </w:rPr>
        <w:t>的收集、预处理、运输及冶炼环节的排放。再生金原料本身所含的</w:t>
      </w:r>
      <w:r>
        <w:rPr>
          <w:rFonts w:hint="eastAsia" w:ascii="Times New Roman" w:hAnsi="Times New Roman" w:eastAsia="宋体" w:cs="Times New Roman"/>
          <w:b w:val="0"/>
          <w:bCs w:val="0"/>
          <w:sz w:val="21"/>
          <w:szCs w:val="21"/>
          <w:lang w:val="en-US" w:eastAsia="zh-CN"/>
        </w:rPr>
        <w:t>“</w:t>
      </w:r>
      <w:r>
        <w:rPr>
          <w:rFonts w:hint="default" w:ascii="Times New Roman" w:hAnsi="Times New Roman" w:eastAsia="宋体" w:cs="Times New Roman"/>
          <w:b w:val="0"/>
          <w:bCs w:val="0"/>
          <w:sz w:val="21"/>
          <w:szCs w:val="21"/>
          <w:lang w:val="en-US" w:eastAsia="zh-CN"/>
        </w:rPr>
        <w:t>历史碳排放</w:t>
      </w:r>
      <w:r>
        <w:rPr>
          <w:rFonts w:hint="eastAsia" w:ascii="Times New Roman" w:hAnsi="Times New Roman" w:eastAsia="宋体" w:cs="Times New Roman"/>
          <w:b w:val="0"/>
          <w:bCs w:val="0"/>
          <w:sz w:val="21"/>
          <w:szCs w:val="21"/>
          <w:lang w:val="en-US" w:eastAsia="zh-CN"/>
        </w:rPr>
        <w:t>”</w:t>
      </w:r>
      <w:r>
        <w:rPr>
          <w:rFonts w:hint="default" w:ascii="Times New Roman" w:hAnsi="Times New Roman" w:eastAsia="宋体" w:cs="Times New Roman"/>
          <w:b w:val="0"/>
          <w:bCs w:val="0"/>
          <w:sz w:val="21"/>
          <w:szCs w:val="21"/>
          <w:lang w:val="en-US" w:eastAsia="zh-CN"/>
        </w:rPr>
        <w:t>（即其在前一个生命周期中产生的排放）不计入本系统边界，避免重复计算。</w:t>
      </w:r>
    </w:p>
    <w:p w14:paraId="300BA38C">
      <w:pPr>
        <w:keepNext w:val="0"/>
        <w:keepLines w:val="0"/>
        <w:pageBreakBefore w:val="0"/>
        <w:widowControl w:val="0"/>
        <w:kinsoku/>
        <w:wordWrap/>
        <w:overflowPunct/>
        <w:topLinePunct w:val="0"/>
        <w:autoSpaceDE/>
        <w:autoSpaceDN/>
        <w:bidi w:val="0"/>
        <w:adjustRightInd/>
        <w:snapToGrid/>
        <w:spacing w:beforeLines="50" w:afterLines="50" w:line="240" w:lineRule="auto"/>
        <w:textAlignment w:val="auto"/>
        <w:rPr>
          <w:rFonts w:hint="default" w:ascii="黑体" w:hAnsi="宋体" w:eastAsia="黑体" w:cs="Times New Roman"/>
          <w:szCs w:val="21"/>
          <w:lang w:val="en-US" w:eastAsia="zh-CN"/>
        </w:rPr>
      </w:pPr>
      <w:r>
        <w:rPr>
          <w:rFonts w:hint="eastAsia" w:ascii="黑体" w:hAnsi="宋体" w:eastAsia="黑体" w:cs="Times New Roman"/>
          <w:szCs w:val="21"/>
          <w:lang w:val="en-US" w:eastAsia="zh-CN"/>
        </w:rPr>
        <w:t>4</w:t>
      </w:r>
      <w:r>
        <w:rPr>
          <w:rFonts w:hint="default" w:ascii="黑体" w:hAnsi="宋体" w:eastAsia="黑体" w:cs="Times New Roman"/>
          <w:szCs w:val="21"/>
          <w:lang w:val="en-US" w:eastAsia="zh-CN"/>
        </w:rPr>
        <w:t>.3.4 系统边界排除项</w:t>
      </w:r>
    </w:p>
    <w:p w14:paraId="4C9945B4">
      <w:pPr>
        <w:keepNext w:val="0"/>
        <w:keepLines w:val="0"/>
        <w:pageBreakBefore w:val="0"/>
        <w:widowControl w:val="0"/>
        <w:kinsoku/>
        <w:wordWrap/>
        <w:overflowPunct/>
        <w:topLinePunct w:val="0"/>
        <w:autoSpaceDE/>
        <w:autoSpaceDN/>
        <w:bidi w:val="0"/>
        <w:adjustRightInd/>
        <w:snapToGrid/>
        <w:spacing w:after="0" w:line="0" w:lineRule="atLeast"/>
        <w:ind w:firstLine="420" w:firstLineChars="200"/>
        <w:jc w:val="left"/>
        <w:textAlignment w:val="auto"/>
        <w:rPr>
          <w:rFonts w:hint="eastAsia"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以下内容可不纳入系统边界，但需在报告中明确列出并说明排除理由：</w:t>
      </w:r>
    </w:p>
    <w:p w14:paraId="3E20F134">
      <w:pPr>
        <w:keepNext w:val="0"/>
        <w:keepLines w:val="0"/>
        <w:pageBreakBefore w:val="0"/>
        <w:widowControl w:val="0"/>
        <w:kinsoku/>
        <w:wordWrap/>
        <w:overflowPunct/>
        <w:topLinePunct w:val="0"/>
        <w:autoSpaceDE/>
        <w:autoSpaceDN/>
        <w:bidi w:val="0"/>
        <w:adjustRightInd/>
        <w:snapToGrid/>
        <w:spacing w:after="0" w:line="0" w:lineRule="atLeast"/>
        <w:ind w:firstLine="420" w:firstLineChars="200"/>
        <w:jc w:val="left"/>
        <w:textAlignment w:val="auto"/>
        <w:rPr>
          <w:rFonts w:hint="eastAsia" w:ascii="Times New Roman" w:hAnsi="Times New Roman" w:eastAsia="宋体" w:cs="Times New Roman"/>
          <w:b w:val="0"/>
          <w:bCs w:val="0"/>
          <w:sz w:val="21"/>
          <w:szCs w:val="21"/>
          <w:lang w:val="en-US" w:eastAsia="zh-CN"/>
        </w:rPr>
      </w:pPr>
      <w:r>
        <w:rPr>
          <w:rFonts w:hint="eastAsia" w:ascii="Times New Roman" w:hAnsi="Times New Roman" w:cs="Times New Roman"/>
          <w:b w:val="0"/>
          <w:bCs w:val="0"/>
          <w:sz w:val="21"/>
          <w:szCs w:val="21"/>
          <w:lang w:val="en-US" w:eastAsia="zh-CN"/>
        </w:rPr>
        <w:t>1）</w:t>
      </w:r>
      <w:r>
        <w:rPr>
          <w:rFonts w:hint="default" w:ascii="Times New Roman" w:hAnsi="Times New Roman" w:eastAsia="宋体" w:cs="Times New Roman"/>
          <w:b w:val="0"/>
          <w:bCs w:val="0"/>
          <w:sz w:val="21"/>
          <w:szCs w:val="21"/>
          <w:lang w:val="en-US" w:eastAsia="zh-CN"/>
        </w:rPr>
        <w:t>基础设施建设（厂房、设备、矿井开拓等）的建造过程；</w:t>
      </w:r>
    </w:p>
    <w:p w14:paraId="517F5D03">
      <w:pPr>
        <w:keepNext w:val="0"/>
        <w:keepLines w:val="0"/>
        <w:pageBreakBefore w:val="0"/>
        <w:widowControl w:val="0"/>
        <w:kinsoku/>
        <w:wordWrap/>
        <w:overflowPunct/>
        <w:topLinePunct w:val="0"/>
        <w:autoSpaceDE/>
        <w:autoSpaceDN/>
        <w:bidi w:val="0"/>
        <w:adjustRightInd/>
        <w:snapToGrid/>
        <w:spacing w:after="0" w:line="0" w:lineRule="atLeast"/>
        <w:ind w:firstLine="420" w:firstLineChars="200"/>
        <w:jc w:val="left"/>
        <w:textAlignment w:val="auto"/>
        <w:rPr>
          <w:rFonts w:hint="eastAsia" w:ascii="Times New Roman" w:hAnsi="Times New Roman" w:eastAsia="宋体" w:cs="Times New Roman"/>
          <w:b w:val="0"/>
          <w:bCs w:val="0"/>
          <w:sz w:val="21"/>
          <w:szCs w:val="21"/>
          <w:lang w:val="en-US" w:eastAsia="zh-CN"/>
        </w:rPr>
      </w:pPr>
      <w:r>
        <w:rPr>
          <w:rFonts w:hint="eastAsia" w:ascii="Times New Roman" w:hAnsi="Times New Roman" w:cs="Times New Roman"/>
          <w:b w:val="0"/>
          <w:bCs w:val="0"/>
          <w:sz w:val="21"/>
          <w:szCs w:val="21"/>
          <w:lang w:val="en-US" w:eastAsia="zh-CN"/>
        </w:rPr>
        <w:t>2）</w:t>
      </w:r>
      <w:r>
        <w:rPr>
          <w:rFonts w:hint="default" w:ascii="Times New Roman" w:hAnsi="Times New Roman" w:eastAsia="宋体" w:cs="Times New Roman"/>
          <w:b w:val="0"/>
          <w:bCs w:val="0"/>
          <w:sz w:val="21"/>
          <w:szCs w:val="21"/>
          <w:lang w:val="en-US" w:eastAsia="zh-CN"/>
        </w:rPr>
        <w:t>人力、办公、员工通勤、商务旅行等非生产性活动；</w:t>
      </w:r>
    </w:p>
    <w:p w14:paraId="6943F908">
      <w:pPr>
        <w:keepNext w:val="0"/>
        <w:keepLines w:val="0"/>
        <w:pageBreakBefore w:val="0"/>
        <w:widowControl w:val="0"/>
        <w:kinsoku/>
        <w:wordWrap/>
        <w:overflowPunct/>
        <w:topLinePunct w:val="0"/>
        <w:autoSpaceDE/>
        <w:autoSpaceDN/>
        <w:bidi w:val="0"/>
        <w:adjustRightInd/>
        <w:snapToGrid/>
        <w:spacing w:after="0" w:line="0" w:lineRule="atLeast"/>
        <w:ind w:firstLine="420" w:firstLineChars="200"/>
        <w:jc w:val="left"/>
        <w:textAlignment w:val="auto"/>
        <w:rPr>
          <w:rFonts w:hint="eastAsia" w:ascii="Times New Roman" w:hAnsi="Times New Roman" w:eastAsia="宋体" w:cs="Times New Roman"/>
          <w:b w:val="0"/>
          <w:bCs w:val="0"/>
          <w:sz w:val="21"/>
          <w:szCs w:val="21"/>
          <w:lang w:val="en-US" w:eastAsia="zh-CN"/>
        </w:rPr>
      </w:pPr>
      <w:r>
        <w:rPr>
          <w:rFonts w:hint="eastAsia" w:ascii="Times New Roman" w:hAnsi="Times New Roman" w:cs="Times New Roman"/>
          <w:b w:val="0"/>
          <w:bCs w:val="0"/>
          <w:sz w:val="21"/>
          <w:szCs w:val="21"/>
          <w:lang w:val="en-US" w:eastAsia="zh-CN"/>
        </w:rPr>
        <w:t>3）</w:t>
      </w:r>
      <w:r>
        <w:rPr>
          <w:rFonts w:hint="default" w:ascii="Times New Roman" w:hAnsi="Times New Roman" w:eastAsia="宋体" w:cs="Times New Roman"/>
          <w:b w:val="0"/>
          <w:bCs w:val="0"/>
          <w:sz w:val="21"/>
          <w:szCs w:val="21"/>
          <w:lang w:val="en-US" w:eastAsia="zh-CN"/>
        </w:rPr>
        <w:t>产品出厂后的运输、仓储、使用、废弃及回收阶段；</w:t>
      </w:r>
    </w:p>
    <w:p w14:paraId="3001CC52">
      <w:pPr>
        <w:keepNext w:val="0"/>
        <w:keepLines w:val="0"/>
        <w:pageBreakBefore w:val="0"/>
        <w:widowControl w:val="0"/>
        <w:kinsoku/>
        <w:wordWrap/>
        <w:overflowPunct/>
        <w:topLinePunct w:val="0"/>
        <w:autoSpaceDE/>
        <w:autoSpaceDN/>
        <w:bidi w:val="0"/>
        <w:adjustRightInd/>
        <w:snapToGrid/>
        <w:spacing w:after="0" w:line="0" w:lineRule="atLeast"/>
        <w:ind w:firstLine="420" w:firstLineChars="200"/>
        <w:jc w:val="left"/>
        <w:textAlignment w:val="auto"/>
        <w:rPr>
          <w:rFonts w:hint="eastAsia" w:ascii="Times New Roman" w:hAnsi="Times New Roman" w:eastAsia="宋体" w:cs="Times New Roman"/>
          <w:b w:val="0"/>
          <w:bCs w:val="0"/>
          <w:sz w:val="21"/>
          <w:szCs w:val="21"/>
          <w:lang w:val="en-US" w:eastAsia="zh-CN"/>
        </w:rPr>
      </w:pPr>
      <w:r>
        <w:rPr>
          <w:rFonts w:hint="eastAsia" w:ascii="Times New Roman" w:hAnsi="Times New Roman" w:cs="Times New Roman"/>
          <w:b w:val="0"/>
          <w:bCs w:val="0"/>
          <w:sz w:val="21"/>
          <w:szCs w:val="21"/>
          <w:lang w:val="en-US" w:eastAsia="zh-CN"/>
        </w:rPr>
        <w:t>4）</w:t>
      </w:r>
      <w:r>
        <w:rPr>
          <w:rFonts w:hint="default" w:ascii="Times New Roman" w:hAnsi="Times New Roman" w:eastAsia="宋体" w:cs="Times New Roman"/>
          <w:b w:val="0"/>
          <w:bCs w:val="0"/>
          <w:sz w:val="21"/>
          <w:szCs w:val="21"/>
          <w:lang w:val="en-US" w:eastAsia="zh-CN"/>
        </w:rPr>
        <w:t>资产性商品（如生产设备、运输车辆）的生产过程。</w:t>
      </w:r>
    </w:p>
    <w:p w14:paraId="3B946F07">
      <w:pPr>
        <w:keepNext w:val="0"/>
        <w:keepLines w:val="0"/>
        <w:pageBreakBefore w:val="0"/>
        <w:widowControl w:val="0"/>
        <w:kinsoku/>
        <w:wordWrap/>
        <w:overflowPunct/>
        <w:topLinePunct w:val="0"/>
        <w:autoSpaceDE/>
        <w:autoSpaceDN/>
        <w:bidi w:val="0"/>
        <w:adjustRightInd/>
        <w:snapToGrid/>
        <w:spacing w:beforeLines="50" w:afterLines="50" w:line="240" w:lineRule="auto"/>
        <w:textAlignment w:val="auto"/>
        <w:rPr>
          <w:rFonts w:hint="eastAsia" w:ascii="黑体" w:hAnsi="宋体" w:eastAsia="黑体" w:cs="Times New Roman"/>
          <w:szCs w:val="21"/>
          <w:lang w:val="en-US" w:eastAsia="zh-CN"/>
        </w:rPr>
      </w:pPr>
      <w:r>
        <w:rPr>
          <w:rFonts w:hint="eastAsia" w:ascii="黑体" w:hAnsi="宋体" w:eastAsia="黑体" w:cs="Times New Roman"/>
          <w:szCs w:val="21"/>
          <w:lang w:val="en-US" w:eastAsia="zh-CN"/>
        </w:rPr>
        <w:t>4.3.5时间边界</w:t>
      </w:r>
    </w:p>
    <w:p w14:paraId="10E9EFD0">
      <w:pPr>
        <w:keepNext w:val="0"/>
        <w:keepLines w:val="0"/>
        <w:pageBreakBefore w:val="0"/>
        <w:widowControl w:val="0"/>
        <w:kinsoku/>
        <w:wordWrap/>
        <w:overflowPunct/>
        <w:topLinePunct w:val="0"/>
        <w:autoSpaceDE/>
        <w:autoSpaceDN/>
        <w:bidi w:val="0"/>
        <w:adjustRightInd w:val="0"/>
        <w:snapToGrid/>
        <w:spacing w:line="240" w:lineRule="auto"/>
        <w:ind w:firstLine="420" w:firstLineChars="200"/>
        <w:textAlignment w:val="auto"/>
        <w:rPr>
          <w:rFonts w:hint="eastAsia" w:ascii="宋体" w:hAnsi="宋体" w:eastAsia="宋体" w:cs="宋体"/>
          <w:b w:val="0"/>
          <w:bCs w:val="0"/>
          <w:szCs w:val="21"/>
        </w:rPr>
      </w:pPr>
      <w:r>
        <w:rPr>
          <w:rFonts w:hint="eastAsia" w:ascii="宋体" w:hAnsi="宋体" w:eastAsia="宋体" w:cs="宋体"/>
          <w:b w:val="0"/>
          <w:bCs w:val="0"/>
          <w:szCs w:val="21"/>
        </w:rPr>
        <w:t>规定数据收集的时间范围原则上不少于连续12个月的生产数据，以覆盖季节性波动、设备维护周期、生产负荷变化等因素对排放的影响。若产品生产周期不足12个月，应收集从生产开始至结束的完整生产周期数据，并在报告中说明。</w:t>
      </w:r>
    </w:p>
    <w:p w14:paraId="1BB2B936">
      <w:pPr>
        <w:keepNext w:val="0"/>
        <w:keepLines w:val="0"/>
        <w:pageBreakBefore w:val="0"/>
        <w:widowControl w:val="0"/>
        <w:kinsoku/>
        <w:wordWrap/>
        <w:overflowPunct/>
        <w:topLinePunct w:val="0"/>
        <w:autoSpaceDE/>
        <w:autoSpaceDN/>
        <w:bidi w:val="0"/>
        <w:adjustRightInd/>
        <w:snapToGrid/>
        <w:spacing w:beforeLines="50" w:afterLines="50" w:line="240" w:lineRule="auto"/>
        <w:textAlignment w:val="auto"/>
        <w:rPr>
          <w:rFonts w:hint="default" w:ascii="黑体" w:hAnsi="宋体" w:eastAsia="黑体" w:cs="Times New Roman"/>
          <w:szCs w:val="21"/>
          <w:lang w:val="en-US" w:eastAsia="zh-CN"/>
        </w:rPr>
      </w:pPr>
      <w:r>
        <w:rPr>
          <w:rFonts w:hint="eastAsia" w:ascii="黑体" w:hAnsi="宋体" w:eastAsia="黑体" w:cs="Times New Roman"/>
          <w:szCs w:val="21"/>
          <w:lang w:val="en-US" w:eastAsia="zh-CN"/>
        </w:rPr>
        <w:t>4.3.6取舍准则</w:t>
      </w:r>
    </w:p>
    <w:p w14:paraId="597E7435">
      <w:pPr>
        <w:keepNext w:val="0"/>
        <w:keepLines w:val="0"/>
        <w:pageBreakBefore w:val="0"/>
        <w:widowControl w:val="0"/>
        <w:kinsoku/>
        <w:wordWrap/>
        <w:overflowPunct/>
        <w:topLinePunct w:val="0"/>
        <w:autoSpaceDE/>
        <w:autoSpaceDN/>
        <w:bidi w:val="0"/>
        <w:adjustRightInd w:val="0"/>
        <w:snapToGrid/>
        <w:spacing w:line="240" w:lineRule="auto"/>
        <w:ind w:firstLine="420" w:firstLineChars="200"/>
        <w:textAlignment w:val="auto"/>
        <w:rPr>
          <w:rFonts w:hint="default" w:ascii="宋体" w:hAnsi="宋体" w:eastAsia="宋体" w:cs="宋体"/>
          <w:b w:val="0"/>
          <w:bCs w:val="0"/>
          <w:szCs w:val="21"/>
          <w:lang w:val="en-US" w:eastAsia="zh-CN"/>
        </w:rPr>
      </w:pPr>
      <w:r>
        <w:rPr>
          <w:rFonts w:hint="default" w:ascii="宋体" w:hAnsi="宋体" w:eastAsia="宋体" w:cs="宋体"/>
          <w:b w:val="0"/>
          <w:bCs w:val="0"/>
          <w:szCs w:val="21"/>
        </w:rPr>
        <w:t>为</w:t>
      </w:r>
      <w:r>
        <w:rPr>
          <w:rFonts w:hint="default" w:ascii="宋体" w:hAnsi="宋体" w:eastAsia="宋体" w:cs="宋体"/>
          <w:b w:val="0"/>
          <w:bCs w:val="0"/>
          <w:szCs w:val="21"/>
          <w:lang w:val="en-US" w:eastAsia="zh-CN"/>
        </w:rPr>
        <w:t>平衡核算精度与数据可得性，明确以下取舍规则：单项排放源占产品碳足迹总量比例小于1%的可忽略；所有被忽略的排放源排放量之和不应超过产品碳足迹总量的5%</w:t>
      </w:r>
      <w:r>
        <w:rPr>
          <w:rFonts w:hint="eastAsia" w:ascii="宋体" w:hAnsi="宋体" w:eastAsia="宋体" w:cs="宋体"/>
          <w:b w:val="0"/>
          <w:bCs w:val="0"/>
          <w:szCs w:val="21"/>
          <w:lang w:val="en-US" w:eastAsia="zh-CN"/>
        </w:rPr>
        <w:t>；</w:t>
      </w:r>
      <w:r>
        <w:rPr>
          <w:rFonts w:hint="default" w:ascii="宋体" w:hAnsi="宋体" w:eastAsia="宋体" w:cs="宋体"/>
          <w:b w:val="0"/>
          <w:bCs w:val="0"/>
          <w:szCs w:val="21"/>
          <w:lang w:val="en-US" w:eastAsia="zh-CN"/>
        </w:rPr>
        <w:t>忽略的排放源需在报告中明确列出，并说明忽略理由及对结果的潜在影响。</w:t>
      </w:r>
    </w:p>
    <w:p w14:paraId="19D8DDD6">
      <w:pPr>
        <w:keepNext w:val="0"/>
        <w:keepLines w:val="0"/>
        <w:pageBreakBefore w:val="0"/>
        <w:widowControl w:val="0"/>
        <w:kinsoku/>
        <w:wordWrap/>
        <w:overflowPunct/>
        <w:topLinePunct w:val="0"/>
        <w:autoSpaceDE/>
        <w:autoSpaceDN/>
        <w:bidi w:val="0"/>
        <w:adjustRightInd/>
        <w:snapToGrid/>
        <w:spacing w:before="313" w:beforeLines="100" w:after="313" w:afterLines="100" w:line="240" w:lineRule="auto"/>
        <w:textAlignment w:val="auto"/>
        <w:outlineLvl w:val="0"/>
        <w:rPr>
          <w:rFonts w:hint="eastAsia" w:ascii="黑体" w:hAnsi="宋体" w:eastAsia="黑体" w:cs="Times New Roman"/>
          <w:szCs w:val="21"/>
          <w:lang w:val="en-US" w:eastAsia="zh-CN"/>
        </w:rPr>
      </w:pPr>
      <w:r>
        <w:rPr>
          <w:rFonts w:hint="eastAsia" w:ascii="黑体" w:hAnsi="宋体" w:eastAsia="黑体" w:cs="Times New Roman"/>
          <w:szCs w:val="21"/>
          <w:lang w:val="en-US" w:eastAsia="zh-CN"/>
        </w:rPr>
        <w:t>5 清单分析</w:t>
      </w:r>
      <w:bookmarkEnd w:id="27"/>
    </w:p>
    <w:p w14:paraId="2325D126">
      <w:pPr>
        <w:keepNext w:val="0"/>
        <w:keepLines w:val="0"/>
        <w:pageBreakBefore w:val="0"/>
        <w:widowControl w:val="0"/>
        <w:kinsoku/>
        <w:wordWrap/>
        <w:overflowPunct/>
        <w:topLinePunct w:val="0"/>
        <w:autoSpaceDE/>
        <w:autoSpaceDN/>
        <w:bidi w:val="0"/>
        <w:adjustRightInd/>
        <w:snapToGrid/>
        <w:spacing w:beforeLines="50" w:afterLines="50" w:line="240" w:lineRule="auto"/>
        <w:textAlignment w:val="auto"/>
        <w:outlineLvl w:val="1"/>
        <w:rPr>
          <w:rFonts w:hint="eastAsia" w:ascii="黑体" w:hAnsi="宋体" w:eastAsia="黑体" w:cs="Times New Roman"/>
          <w:szCs w:val="21"/>
          <w:lang w:val="en-US" w:eastAsia="zh-CN"/>
        </w:rPr>
      </w:pPr>
      <w:bookmarkStart w:id="28" w:name="_Toc31370"/>
      <w:r>
        <w:rPr>
          <w:rFonts w:hint="eastAsia" w:ascii="黑体" w:hAnsi="宋体" w:eastAsia="黑体" w:cs="Times New Roman"/>
          <w:szCs w:val="21"/>
          <w:lang w:val="en-US" w:eastAsia="zh-CN"/>
        </w:rPr>
        <w:t>5.1 数据采集</w:t>
      </w:r>
      <w:bookmarkEnd w:id="28"/>
    </w:p>
    <w:p w14:paraId="0EB51087">
      <w:pPr>
        <w:keepNext w:val="0"/>
        <w:keepLines w:val="0"/>
        <w:pageBreakBefore w:val="0"/>
        <w:widowControl w:val="0"/>
        <w:kinsoku/>
        <w:wordWrap/>
        <w:overflowPunct/>
        <w:topLinePunct w:val="0"/>
        <w:autoSpaceDE/>
        <w:autoSpaceDN/>
        <w:bidi w:val="0"/>
        <w:adjustRightInd/>
        <w:snapToGrid/>
        <w:spacing w:beforeLines="50" w:afterLines="50" w:line="240" w:lineRule="auto"/>
        <w:textAlignment w:val="auto"/>
        <w:rPr>
          <w:rFonts w:hint="eastAsia" w:ascii="黑体" w:hAnsi="宋体" w:eastAsia="黑体" w:cs="Times New Roman"/>
          <w:szCs w:val="21"/>
          <w:lang w:val="en-US" w:eastAsia="zh-CN"/>
        </w:rPr>
      </w:pPr>
      <w:r>
        <w:rPr>
          <w:rFonts w:hint="eastAsia" w:ascii="黑体" w:hAnsi="宋体" w:eastAsia="黑体" w:cs="Times New Roman"/>
          <w:szCs w:val="21"/>
          <w:lang w:val="en-US" w:eastAsia="zh-CN"/>
        </w:rPr>
        <w:t>5.1.1数据分类</w:t>
      </w:r>
    </w:p>
    <w:p w14:paraId="5F453B87">
      <w:pPr>
        <w:keepNext w:val="0"/>
        <w:keepLines w:val="0"/>
        <w:pageBreakBefore w:val="0"/>
        <w:widowControl w:val="0"/>
        <w:kinsoku/>
        <w:wordWrap/>
        <w:overflowPunct/>
        <w:topLinePunct w:val="0"/>
        <w:autoSpaceDE/>
        <w:autoSpaceDN/>
        <w:bidi w:val="0"/>
        <w:adjustRightInd/>
        <w:snapToGrid/>
        <w:spacing w:line="240" w:lineRule="auto"/>
        <w:ind w:left="420" w:leftChars="200" w:firstLine="0" w:firstLineChars="0"/>
        <w:textAlignment w:val="auto"/>
        <w:rPr>
          <w:rFonts w:hint="eastAsia" w:ascii="宋体" w:hAnsi="Times New Roman" w:eastAsia="宋体" w:cs="Times New Roman"/>
          <w:kern w:val="0"/>
          <w:sz w:val="21"/>
          <w:szCs w:val="21"/>
          <w:highlight w:val="none"/>
          <w:lang w:val="en-US" w:eastAsia="zh-CN" w:bidi="ar-SA"/>
        </w:rPr>
      </w:pPr>
      <w:r>
        <w:rPr>
          <w:rFonts w:hint="eastAsia" w:ascii="宋体" w:hAnsi="Times New Roman" w:eastAsia="宋体" w:cs="Times New Roman"/>
          <w:kern w:val="0"/>
          <w:sz w:val="21"/>
          <w:szCs w:val="21"/>
          <w:highlight w:val="none"/>
          <w:lang w:val="en-US" w:eastAsia="zh-CN" w:bidi="ar-SA"/>
        </w:rPr>
        <w:t>数据分为</w:t>
      </w:r>
      <w:r>
        <w:rPr>
          <w:rFonts w:hint="eastAsia" w:ascii="宋体" w:hAnsi="Times New Roman" w:cs="Times New Roman"/>
          <w:kern w:val="0"/>
          <w:sz w:val="21"/>
          <w:szCs w:val="21"/>
          <w:highlight w:val="none"/>
          <w:lang w:val="en-US" w:eastAsia="zh-CN" w:bidi="ar-SA"/>
        </w:rPr>
        <w:t>初级</w:t>
      </w:r>
      <w:r>
        <w:rPr>
          <w:rFonts w:hint="eastAsia" w:ascii="宋体" w:hAnsi="Times New Roman" w:eastAsia="宋体" w:cs="Times New Roman"/>
          <w:kern w:val="0"/>
          <w:sz w:val="21"/>
          <w:szCs w:val="21"/>
          <w:highlight w:val="none"/>
          <w:lang w:val="en-US" w:eastAsia="zh-CN" w:bidi="ar-SA"/>
        </w:rPr>
        <w:t>数据和</w:t>
      </w:r>
      <w:r>
        <w:rPr>
          <w:rFonts w:hint="eastAsia" w:ascii="宋体" w:hAnsi="Times New Roman" w:cs="Times New Roman"/>
          <w:kern w:val="0"/>
          <w:sz w:val="21"/>
          <w:szCs w:val="21"/>
          <w:highlight w:val="none"/>
          <w:lang w:val="en-US" w:eastAsia="zh-CN" w:bidi="ar-SA"/>
        </w:rPr>
        <w:t>次级</w:t>
      </w:r>
      <w:r>
        <w:rPr>
          <w:rFonts w:hint="eastAsia" w:ascii="宋体" w:hAnsi="Times New Roman" w:eastAsia="宋体" w:cs="Times New Roman"/>
          <w:kern w:val="0"/>
          <w:sz w:val="21"/>
          <w:szCs w:val="21"/>
          <w:highlight w:val="none"/>
          <w:lang w:val="en-US" w:eastAsia="zh-CN" w:bidi="ar-SA"/>
        </w:rPr>
        <w:t>数据：</w:t>
      </w:r>
    </w:p>
    <w:p w14:paraId="087777E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20" w:firstLineChars="200"/>
        <w:textAlignment w:val="auto"/>
        <w:rPr>
          <w:rFonts w:hint="eastAsia" w:ascii="宋体" w:hAnsi="Times New Roman" w:eastAsia="宋体" w:cs="Times New Roman"/>
          <w:kern w:val="0"/>
          <w:sz w:val="21"/>
          <w:szCs w:val="21"/>
          <w:highlight w:val="none"/>
          <w:lang w:val="en-US" w:eastAsia="zh-CN" w:bidi="ar-SA"/>
        </w:rPr>
      </w:pPr>
      <w:r>
        <w:rPr>
          <w:rFonts w:hint="eastAsia" w:ascii="宋体" w:hAnsi="Times New Roman" w:cs="Times New Roman"/>
          <w:kern w:val="0"/>
          <w:sz w:val="21"/>
          <w:szCs w:val="21"/>
          <w:highlight w:val="none"/>
          <w:lang w:val="en-US" w:eastAsia="zh-CN" w:bidi="ar-SA"/>
        </w:rPr>
        <w:t>1）</w:t>
      </w:r>
      <w:r>
        <w:rPr>
          <w:rFonts w:hint="eastAsia" w:ascii="宋体" w:hAnsi="Times New Roman" w:eastAsia="宋体" w:cs="Times New Roman"/>
          <w:kern w:val="0"/>
          <w:sz w:val="21"/>
          <w:szCs w:val="21"/>
          <w:highlight w:val="none"/>
          <w:lang w:val="en-US" w:eastAsia="zh-CN" w:bidi="ar-SA"/>
        </w:rPr>
        <w:t>现场数据：来自企业实际生产过程的数据，包括能源消耗（电力、燃料等）、物料消耗（熔剂、还原剂、氰化物等）、辅助材料、产品产量、运输距离等；</w:t>
      </w:r>
    </w:p>
    <w:p w14:paraId="7C1F0ED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20" w:firstLineChars="200"/>
        <w:textAlignment w:val="auto"/>
        <w:rPr>
          <w:rFonts w:hint="eastAsia" w:ascii="宋体" w:hAnsi="Times New Roman" w:eastAsia="宋体" w:cs="Times New Roman"/>
          <w:kern w:val="0"/>
          <w:sz w:val="21"/>
          <w:szCs w:val="21"/>
          <w:highlight w:val="none"/>
          <w:lang w:val="en-US" w:eastAsia="zh-CN" w:bidi="ar-SA"/>
        </w:rPr>
      </w:pPr>
      <w:r>
        <w:rPr>
          <w:rFonts w:hint="eastAsia" w:ascii="宋体" w:hAnsi="Times New Roman" w:cs="Times New Roman"/>
          <w:kern w:val="0"/>
          <w:sz w:val="21"/>
          <w:szCs w:val="21"/>
          <w:highlight w:val="none"/>
          <w:lang w:val="en-US" w:eastAsia="zh-CN" w:bidi="ar-SA"/>
        </w:rPr>
        <w:t>2）</w:t>
      </w:r>
      <w:r>
        <w:rPr>
          <w:rFonts w:hint="eastAsia" w:ascii="宋体" w:hAnsi="Times New Roman" w:eastAsia="宋体" w:cs="Times New Roman"/>
          <w:kern w:val="0"/>
          <w:sz w:val="21"/>
          <w:szCs w:val="21"/>
          <w:highlight w:val="none"/>
          <w:lang w:val="en-US" w:eastAsia="zh-CN" w:bidi="ar-SA"/>
        </w:rPr>
        <w:t>背景数据：来自公开数据库、文献或统计资料的排放因子数据，如电力排放因子、燃料排放因子、运输排放因子等。</w:t>
      </w:r>
    </w:p>
    <w:p w14:paraId="2A830615">
      <w:pPr>
        <w:keepNext w:val="0"/>
        <w:keepLines w:val="0"/>
        <w:pageBreakBefore w:val="0"/>
        <w:widowControl w:val="0"/>
        <w:kinsoku/>
        <w:wordWrap/>
        <w:overflowPunct/>
        <w:topLinePunct w:val="0"/>
        <w:autoSpaceDE/>
        <w:autoSpaceDN/>
        <w:bidi w:val="0"/>
        <w:adjustRightInd/>
        <w:snapToGrid/>
        <w:spacing w:beforeLines="50" w:afterLines="50" w:line="240" w:lineRule="auto"/>
        <w:textAlignment w:val="auto"/>
        <w:rPr>
          <w:rFonts w:hint="eastAsia" w:ascii="黑体" w:hAnsi="宋体" w:eastAsia="黑体" w:cs="Times New Roman"/>
          <w:szCs w:val="21"/>
          <w:lang w:val="en-US" w:eastAsia="zh-CN"/>
        </w:rPr>
      </w:pPr>
      <w:r>
        <w:rPr>
          <w:rFonts w:hint="eastAsia" w:ascii="黑体" w:hAnsi="宋体" w:eastAsia="黑体" w:cs="Times New Roman"/>
          <w:szCs w:val="21"/>
          <w:lang w:val="en-US" w:eastAsia="zh-CN"/>
        </w:rPr>
        <w:t>5.1.2数据收集要求</w:t>
      </w:r>
    </w:p>
    <w:p w14:paraId="41F1563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200"/>
        <w:textAlignment w:val="auto"/>
        <w:rPr>
          <w:rFonts w:hint="eastAsia" w:ascii="宋体" w:hAnsi="Times New Roman" w:eastAsia="宋体" w:cs="Times New Roman"/>
          <w:kern w:val="0"/>
          <w:sz w:val="21"/>
          <w:szCs w:val="21"/>
          <w:highlight w:val="none"/>
          <w:lang w:val="en-US" w:eastAsia="zh-CN" w:bidi="ar-SA"/>
        </w:rPr>
      </w:pPr>
      <w:r>
        <w:rPr>
          <w:rFonts w:hint="eastAsia" w:ascii="宋体" w:hAnsi="Times New Roman" w:cs="Times New Roman"/>
          <w:kern w:val="0"/>
          <w:sz w:val="21"/>
          <w:szCs w:val="21"/>
          <w:highlight w:val="none"/>
          <w:lang w:val="en-US" w:eastAsia="zh-CN" w:bidi="ar-SA"/>
        </w:rPr>
        <w:t>1）</w:t>
      </w:r>
      <w:r>
        <w:rPr>
          <w:rFonts w:hint="eastAsia" w:ascii="宋体" w:hAnsi="Times New Roman" w:eastAsia="宋体" w:cs="Times New Roman"/>
          <w:kern w:val="0"/>
          <w:sz w:val="21"/>
          <w:szCs w:val="21"/>
          <w:highlight w:val="none"/>
          <w:lang w:val="en-US" w:eastAsia="zh-CN" w:bidi="ar-SA"/>
        </w:rPr>
        <w:t>现场数据应优先采用连续计量或实测数据，确保准确性</w:t>
      </w:r>
      <w:r>
        <w:rPr>
          <w:rFonts w:hint="eastAsia" w:ascii="宋体" w:cs="Times New Roman"/>
          <w:kern w:val="0"/>
          <w:sz w:val="21"/>
          <w:szCs w:val="21"/>
          <w:highlight w:val="none"/>
          <w:lang w:val="en-US" w:eastAsia="zh-CN" w:bidi="ar-SA"/>
        </w:rPr>
        <w:t>；</w:t>
      </w:r>
    </w:p>
    <w:p w14:paraId="0B13E50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20" w:firstLineChars="200"/>
        <w:textAlignment w:val="auto"/>
        <w:rPr>
          <w:rFonts w:hint="eastAsia" w:ascii="宋体" w:hAnsi="Times New Roman" w:eastAsia="宋体" w:cs="Times New Roman"/>
          <w:kern w:val="0"/>
          <w:sz w:val="21"/>
          <w:szCs w:val="21"/>
          <w:highlight w:val="none"/>
          <w:lang w:val="en-US" w:eastAsia="zh-CN" w:bidi="ar-SA"/>
        </w:rPr>
      </w:pPr>
      <w:r>
        <w:rPr>
          <w:rFonts w:hint="eastAsia" w:ascii="宋体" w:hAnsi="Times New Roman" w:cs="Times New Roman"/>
          <w:kern w:val="0"/>
          <w:sz w:val="21"/>
          <w:szCs w:val="21"/>
          <w:highlight w:val="none"/>
          <w:lang w:val="en-US" w:eastAsia="zh-CN" w:bidi="ar-SA"/>
        </w:rPr>
        <w:t>2）</w:t>
      </w:r>
      <w:r>
        <w:rPr>
          <w:rFonts w:hint="eastAsia" w:ascii="宋体" w:hAnsi="Times New Roman" w:eastAsia="宋体" w:cs="Times New Roman"/>
          <w:kern w:val="0"/>
          <w:sz w:val="21"/>
          <w:szCs w:val="21"/>
          <w:highlight w:val="none"/>
          <w:lang w:val="en-US" w:eastAsia="zh-CN" w:bidi="ar-SA"/>
        </w:rPr>
        <w:t>能源消耗数据应按照能源品种分别收集，燃料应提供低位发热量、碳含量等实测数据，如无法实测可</w:t>
      </w:r>
      <w:r>
        <w:rPr>
          <w:rFonts w:hint="default" w:ascii="宋体" w:hAnsi="Times New Roman" w:eastAsia="宋体" w:cs="Times New Roman"/>
          <w:kern w:val="0"/>
          <w:sz w:val="21"/>
          <w:szCs w:val="21"/>
          <w:highlight w:val="none"/>
          <w:lang w:val="en-US" w:eastAsia="zh-CN" w:bidi="ar-SA"/>
        </w:rPr>
        <w:t>采用IPCC等权威数据库提供的缺省值</w:t>
      </w:r>
      <w:r>
        <w:rPr>
          <w:rFonts w:hint="eastAsia" w:ascii="宋体" w:hAnsi="Times New Roman" w:eastAsia="宋体" w:cs="Times New Roman"/>
          <w:kern w:val="0"/>
          <w:sz w:val="21"/>
          <w:szCs w:val="21"/>
          <w:highlight w:val="none"/>
          <w:lang w:val="en-US" w:eastAsia="zh-CN" w:bidi="ar-SA"/>
        </w:rPr>
        <w:t>；</w:t>
      </w:r>
    </w:p>
    <w:p w14:paraId="4136451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420" w:leftChars="200" w:firstLine="0" w:firstLineChars="0"/>
        <w:textAlignment w:val="auto"/>
        <w:rPr>
          <w:rFonts w:hint="eastAsia" w:ascii="宋体" w:cs="Times New Roman"/>
          <w:kern w:val="0"/>
          <w:sz w:val="21"/>
          <w:szCs w:val="21"/>
          <w:highlight w:val="none"/>
          <w:lang w:val="en-US" w:eastAsia="zh-CN" w:bidi="ar-SA"/>
        </w:rPr>
      </w:pPr>
      <w:r>
        <w:rPr>
          <w:rFonts w:hint="eastAsia" w:ascii="宋体" w:hAnsi="Times New Roman" w:cs="Times New Roman"/>
          <w:kern w:val="0"/>
          <w:sz w:val="21"/>
          <w:szCs w:val="21"/>
          <w:highlight w:val="none"/>
          <w:lang w:val="en-US" w:eastAsia="zh-CN" w:bidi="ar-SA"/>
        </w:rPr>
        <w:t>3）</w:t>
      </w:r>
      <w:r>
        <w:rPr>
          <w:rFonts w:hint="eastAsia" w:ascii="宋体" w:hAnsi="Times New Roman" w:eastAsia="宋体" w:cs="Times New Roman"/>
          <w:kern w:val="0"/>
          <w:sz w:val="21"/>
          <w:szCs w:val="21"/>
          <w:highlight w:val="none"/>
          <w:lang w:val="en-US" w:eastAsia="zh-CN" w:bidi="ar-SA"/>
        </w:rPr>
        <w:t>物料消耗数据应收集主要原辅材料种类、消耗量，并注意区分用于不同工序的物</w:t>
      </w:r>
      <w:r>
        <w:rPr>
          <w:rFonts w:hint="eastAsia" w:ascii="宋体" w:cs="Times New Roman"/>
          <w:kern w:val="0"/>
          <w:sz w:val="21"/>
          <w:szCs w:val="21"/>
          <w:highlight w:val="none"/>
          <w:lang w:val="en-US" w:eastAsia="zh-CN" w:bidi="ar-SA"/>
        </w:rPr>
        <w:t>料；</w:t>
      </w:r>
    </w:p>
    <w:p w14:paraId="6B60D0D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20" w:firstLineChars="200"/>
        <w:textAlignment w:val="auto"/>
        <w:rPr>
          <w:rFonts w:hint="eastAsia" w:ascii="宋体" w:hAnsi="Times New Roman" w:eastAsia="宋体" w:cs="Times New Roman"/>
          <w:kern w:val="0"/>
          <w:sz w:val="21"/>
          <w:szCs w:val="21"/>
          <w:highlight w:val="none"/>
          <w:lang w:val="en-US" w:eastAsia="zh-CN" w:bidi="ar-SA"/>
        </w:rPr>
      </w:pPr>
      <w:r>
        <w:rPr>
          <w:rFonts w:hint="eastAsia" w:ascii="宋体" w:hAnsi="Times New Roman" w:cs="Times New Roman"/>
          <w:kern w:val="0"/>
          <w:sz w:val="21"/>
          <w:szCs w:val="21"/>
          <w:highlight w:val="none"/>
          <w:lang w:val="en-US" w:eastAsia="zh-CN" w:bidi="ar-SA"/>
        </w:rPr>
        <w:t>4）</w:t>
      </w:r>
      <w:r>
        <w:rPr>
          <w:rFonts w:hint="eastAsia" w:ascii="宋体" w:hAnsi="Times New Roman" w:eastAsia="宋体" w:cs="Times New Roman"/>
          <w:kern w:val="0"/>
          <w:sz w:val="21"/>
          <w:szCs w:val="21"/>
          <w:highlight w:val="none"/>
          <w:lang w:val="en-US" w:eastAsia="zh-CN" w:bidi="ar-SA"/>
        </w:rPr>
        <w:t>运输数据应包括运输方式、运输距离、载重量，如无法获取实际距离可采用典型距离估算。</w:t>
      </w:r>
    </w:p>
    <w:p w14:paraId="03634851">
      <w:pPr>
        <w:keepNext w:val="0"/>
        <w:keepLines w:val="0"/>
        <w:pageBreakBefore w:val="0"/>
        <w:widowControl w:val="0"/>
        <w:kinsoku/>
        <w:wordWrap/>
        <w:overflowPunct/>
        <w:topLinePunct w:val="0"/>
        <w:autoSpaceDE/>
        <w:autoSpaceDN/>
        <w:bidi w:val="0"/>
        <w:adjustRightInd/>
        <w:snapToGrid/>
        <w:spacing w:beforeLines="50" w:afterLines="50" w:line="240" w:lineRule="auto"/>
        <w:textAlignment w:val="auto"/>
        <w:outlineLvl w:val="1"/>
        <w:rPr>
          <w:rFonts w:hint="eastAsia" w:ascii="黑体" w:hAnsi="宋体" w:eastAsia="黑体" w:cs="Times New Roman"/>
          <w:szCs w:val="21"/>
          <w:lang w:val="en-US" w:eastAsia="zh-CN"/>
        </w:rPr>
      </w:pPr>
      <w:bookmarkStart w:id="29" w:name="_Toc18326"/>
      <w:r>
        <w:rPr>
          <w:rFonts w:hint="eastAsia" w:ascii="黑体" w:hAnsi="宋体" w:eastAsia="黑体" w:cs="Times New Roman"/>
          <w:szCs w:val="21"/>
          <w:lang w:val="en-US" w:eastAsia="zh-CN"/>
        </w:rPr>
        <w:t>5.2 分配原则</w:t>
      </w:r>
      <w:bookmarkEnd w:id="29"/>
    </w:p>
    <w:p w14:paraId="01524008">
      <w:pPr>
        <w:spacing w:beforeLines="50" w:afterLines="50" w:line="360" w:lineRule="exact"/>
        <w:rPr>
          <w:rFonts w:hint="eastAsia" w:ascii="黑体" w:hAnsi="宋体" w:eastAsia="黑体" w:cs="Times New Roman"/>
          <w:szCs w:val="21"/>
          <w:lang w:val="en-US" w:eastAsia="zh-CN"/>
        </w:rPr>
      </w:pPr>
      <w:r>
        <w:rPr>
          <w:rFonts w:hint="eastAsia" w:ascii="黑体" w:hAnsi="宋体" w:eastAsia="黑体" w:cs="Times New Roman"/>
          <w:szCs w:val="21"/>
          <w:lang w:val="en-US" w:eastAsia="zh-CN"/>
        </w:rPr>
        <w:t>5.2.1总则</w:t>
      </w:r>
    </w:p>
    <w:p w14:paraId="5AB53194">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宋体" w:hAnsi="Times New Roman" w:eastAsia="宋体" w:cs="Times New Roman"/>
          <w:kern w:val="0"/>
          <w:sz w:val="21"/>
          <w:szCs w:val="21"/>
          <w:highlight w:val="none"/>
          <w:lang w:val="en-US" w:eastAsia="zh-CN" w:bidi="ar-SA"/>
        </w:rPr>
      </w:pPr>
      <w:r>
        <w:rPr>
          <w:rFonts w:hint="eastAsia" w:ascii="宋体" w:hAnsi="Times New Roman" w:eastAsia="宋体" w:cs="Times New Roman"/>
          <w:kern w:val="0"/>
          <w:sz w:val="21"/>
          <w:szCs w:val="21"/>
          <w:highlight w:val="none"/>
          <w:lang w:val="en-US" w:eastAsia="zh-CN" w:bidi="ar-SA"/>
        </w:rPr>
        <w:t>当生产过程涉及多产品（如银、金、铜、铅、锌、硫酸等）联产，或涉及共伴生矿产的综合回收时，应根据具体情况采用合适的分配方法，并在报告中明确说明分配依据。</w:t>
      </w:r>
    </w:p>
    <w:p w14:paraId="4C633521">
      <w:pPr>
        <w:spacing w:beforeLines="50" w:afterLines="50" w:line="360" w:lineRule="exact"/>
        <w:rPr>
          <w:rFonts w:hint="eastAsia" w:ascii="黑体" w:hAnsi="宋体" w:eastAsia="黑体" w:cs="Times New Roman"/>
          <w:szCs w:val="21"/>
          <w:lang w:val="en-US" w:eastAsia="zh-CN"/>
        </w:rPr>
      </w:pPr>
      <w:r>
        <w:rPr>
          <w:rFonts w:hint="eastAsia" w:ascii="黑体" w:hAnsi="宋体" w:eastAsia="黑体" w:cs="Times New Roman"/>
          <w:szCs w:val="21"/>
          <w:lang w:val="en-US" w:eastAsia="zh-CN"/>
        </w:rPr>
        <w:t>5.2.2共伴生矿产分配</w:t>
      </w:r>
    </w:p>
    <w:p w14:paraId="759E277F">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宋体" w:hAnsi="Times New Roman" w:eastAsia="宋体" w:cs="Times New Roman"/>
          <w:kern w:val="0"/>
          <w:sz w:val="21"/>
          <w:szCs w:val="21"/>
          <w:highlight w:val="none"/>
          <w:lang w:val="en-US" w:eastAsia="zh-CN" w:bidi="ar-SA"/>
        </w:rPr>
      </w:pPr>
      <w:r>
        <w:rPr>
          <w:rFonts w:hint="eastAsia" w:ascii="宋体" w:hAnsi="Times New Roman" w:eastAsia="宋体" w:cs="Times New Roman"/>
          <w:kern w:val="0"/>
          <w:sz w:val="21"/>
          <w:szCs w:val="21"/>
          <w:highlight w:val="none"/>
          <w:lang w:val="en-US" w:eastAsia="zh-CN" w:bidi="ar-SA"/>
        </w:rPr>
        <w:t>对于铜、铅、锌等伴生银矿，应优先采用物理分配法（如按质量分配）。当物理关系不适用或无法体现产品价值差异时，可采用经济分配法，即按照各伴生金属的价值比例分摊上游采矿、选矿过程的碳排放。金属价值按核算年度市场平均价格计算，并注明价格数据来源。</w:t>
      </w:r>
    </w:p>
    <w:p w14:paraId="34B5DE87">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宋体" w:hAnsi="Times New Roman" w:eastAsia="宋体" w:cs="Times New Roman"/>
          <w:kern w:val="0"/>
          <w:sz w:val="21"/>
          <w:szCs w:val="21"/>
          <w:highlight w:val="none"/>
          <w:lang w:val="en-US" w:eastAsia="zh-CN" w:bidi="ar-SA"/>
        </w:rPr>
      </w:pPr>
      <w:r>
        <w:rPr>
          <w:rFonts w:hint="eastAsia" w:ascii="宋体" w:hAnsi="Times New Roman" w:eastAsia="宋体" w:cs="Times New Roman"/>
          <w:kern w:val="0"/>
          <w:sz w:val="21"/>
          <w:szCs w:val="21"/>
          <w:highlight w:val="none"/>
          <w:lang w:val="en-US" w:eastAsia="zh-CN" w:bidi="ar-SA"/>
        </w:rPr>
        <w:t>经济分配法按公式（1）计算：</w:t>
      </w:r>
    </w:p>
    <w:p w14:paraId="7B11D998">
      <w:pPr>
        <w:keepNext w:val="0"/>
        <w:keepLines w:val="0"/>
        <w:pageBreakBefore w:val="0"/>
        <w:widowControl w:val="0"/>
        <w:kinsoku/>
        <w:wordWrap/>
        <w:overflowPunct/>
        <w:topLinePunct w:val="0"/>
        <w:autoSpaceDE/>
        <w:autoSpaceDN/>
        <w:bidi w:val="0"/>
        <w:adjustRightInd/>
        <w:snapToGrid/>
        <w:spacing w:line="240" w:lineRule="auto"/>
        <w:ind w:firstLine="2520" w:firstLineChars="1200"/>
        <w:textAlignment w:val="auto"/>
        <w:rPr>
          <w:rFonts w:hint="eastAsia" w:ascii="宋体" w:hAnsi="Times New Roman" w:eastAsia="宋体" w:cs="Times New Roman"/>
          <w:kern w:val="0"/>
          <w:sz w:val="21"/>
          <w:szCs w:val="21"/>
          <w:highlight w:val="none"/>
          <w:lang w:val="en-US" w:eastAsia="zh-CN" w:bidi="ar-SA"/>
        </w:rPr>
      </w:pPr>
      <w:r>
        <w:rPr>
          <w:rFonts w:hint="eastAsia" w:ascii="宋体" w:hAnsi="Times New Roman" w:eastAsia="宋体" w:cs="Times New Roman"/>
          <w:kern w:val="0"/>
          <w:sz w:val="21"/>
          <w:szCs w:val="21"/>
          <w:highlight w:val="none"/>
          <w:lang w:val="en-US" w:eastAsia="zh-CN" w:bidi="ar-SA"/>
        </w:rPr>
        <w:t>Ri</w:t>
      </w:r>
      <m:oMath>
        <m:r>
          <m:rPr>
            <m:sty m:val="p"/>
          </m:rPr>
          <w:rPr>
            <w:rFonts w:hint="eastAsia" w:ascii="Cambria Math" w:hAnsi="Cambria Math" w:eastAsia="宋体" w:cs="Times New Roman"/>
            <w:kern w:val="0"/>
            <w:sz w:val="21"/>
            <w:szCs w:val="21"/>
            <w:highlight w:val="none"/>
            <w:lang w:val="en-US" w:eastAsia="zh-CN" w:bidi="ar-SA"/>
          </w:rPr>
          <m:t>=</m:t>
        </m:r>
        <m:f>
          <m:fPr>
            <m:ctrlPr>
              <w:rPr>
                <w:rFonts w:hint="eastAsia" w:ascii="Cambria Math" w:hAnsi="Cambria Math" w:eastAsia="宋体" w:cs="Times New Roman"/>
                <w:kern w:val="0"/>
                <w:sz w:val="21"/>
                <w:szCs w:val="21"/>
                <w:highlight w:val="none"/>
                <w:lang w:val="en-US" w:eastAsia="zh-CN" w:bidi="ar-SA"/>
              </w:rPr>
            </m:ctrlPr>
          </m:fPr>
          <m:num>
            <m:r>
              <m:rPr>
                <m:sty m:val="p"/>
              </m:rPr>
              <w:rPr>
                <w:rFonts w:hint="eastAsia" w:ascii="Cambria Math" w:hAnsi="Cambria Math" w:eastAsia="宋体" w:cs="Times New Roman"/>
                <w:kern w:val="0"/>
                <w:sz w:val="21"/>
                <w:szCs w:val="21"/>
                <w:highlight w:val="none"/>
                <w:lang w:val="en-US" w:eastAsia="zh-CN" w:bidi="ar-SA"/>
              </w:rPr>
              <m:t>mi×pi​</m:t>
            </m:r>
            <m:ctrlPr>
              <w:rPr>
                <w:rFonts w:hint="eastAsia" w:ascii="Cambria Math" w:hAnsi="Cambria Math" w:eastAsia="宋体" w:cs="Times New Roman"/>
                <w:kern w:val="0"/>
                <w:sz w:val="21"/>
                <w:szCs w:val="21"/>
                <w:highlight w:val="none"/>
                <w:lang w:val="en-US" w:eastAsia="zh-CN" w:bidi="ar-SA"/>
              </w:rPr>
            </m:ctrlPr>
          </m:num>
          <m:den>
            <m:r>
              <m:rPr>
                <m:sty m:val="p"/>
              </m:rPr>
              <w:rPr>
                <w:rFonts w:hint="eastAsia" w:ascii="Cambria Math" w:hAnsi="Cambria Math" w:eastAsia="宋体" w:cs="Times New Roman"/>
                <w:kern w:val="0"/>
                <w:sz w:val="21"/>
                <w:szCs w:val="21"/>
                <w:highlight w:val="none"/>
                <w:lang w:val="en-US" w:eastAsia="zh-CN" w:bidi="ar-SA"/>
              </w:rPr>
              <m:t>∑j=1n​(mj​×pj​)​​</m:t>
            </m:r>
            <m:ctrlPr>
              <w:rPr>
                <w:rFonts w:hint="eastAsia" w:ascii="Cambria Math" w:hAnsi="Cambria Math" w:eastAsia="宋体" w:cs="Times New Roman"/>
                <w:kern w:val="0"/>
                <w:sz w:val="21"/>
                <w:szCs w:val="21"/>
                <w:highlight w:val="none"/>
                <w:lang w:val="en-US" w:eastAsia="zh-CN" w:bidi="ar-SA"/>
              </w:rPr>
            </m:ctrlPr>
          </m:den>
        </m:f>
      </m:oMath>
      <w:r>
        <w:rPr>
          <w:rFonts w:hint="eastAsia" w:ascii="宋体" w:hAnsi="Times New Roman" w:eastAsia="宋体" w:cs="Times New Roman"/>
          <w:kern w:val="0"/>
          <w:sz w:val="21"/>
          <w:szCs w:val="21"/>
          <w:highlight w:val="none"/>
          <w:lang w:val="en-US" w:eastAsia="zh-CN" w:bidi="ar-SA"/>
        </w:rPr>
        <w:t>×100%</w:t>
      </w:r>
    </w:p>
    <w:p w14:paraId="2CD8CD9C">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宋体" w:hAnsi="Times New Roman" w:eastAsia="宋体" w:cs="Times New Roman"/>
          <w:kern w:val="0"/>
          <w:sz w:val="21"/>
          <w:szCs w:val="21"/>
          <w:highlight w:val="none"/>
          <w:lang w:val="en-US" w:eastAsia="zh-CN" w:bidi="ar-SA"/>
        </w:rPr>
      </w:pPr>
      <w:r>
        <w:rPr>
          <w:rFonts w:hint="eastAsia" w:ascii="宋体" w:hAnsi="Times New Roman" w:eastAsia="宋体" w:cs="Times New Roman"/>
          <w:kern w:val="0"/>
          <w:sz w:val="21"/>
          <w:szCs w:val="21"/>
          <w:highlight w:val="none"/>
          <w:lang w:val="en-US" w:eastAsia="zh-CN" w:bidi="ar-SA"/>
        </w:rPr>
        <w:t>式中：</w:t>
      </w:r>
      <w:r>
        <w:rPr>
          <w:rFonts w:hint="eastAsia" w:ascii="宋体" w:hAnsi="Times New Roman" w:eastAsia="宋体" w:cs="Times New Roman"/>
          <w:kern w:val="0"/>
          <w:sz w:val="21"/>
          <w:szCs w:val="21"/>
          <w:highlight w:val="none"/>
          <w:lang w:val="en-US" w:eastAsia="zh-CN" w:bidi="ar-SA"/>
        </w:rPr>
        <w:br w:type="textWrapping"/>
      </w:r>
      <w:r>
        <w:rPr>
          <w:rFonts w:hint="eastAsia" w:ascii="宋体" w:hAnsi="Times New Roman" w:eastAsia="宋体" w:cs="Times New Roman"/>
          <w:kern w:val="0"/>
          <w:sz w:val="21"/>
          <w:szCs w:val="21"/>
          <w:highlight w:val="none"/>
          <w:lang w:val="en-US" w:eastAsia="zh-CN" w:bidi="ar-SA"/>
        </w:rPr>
        <w:t>Ri— 第i种金属的分配系数；</w:t>
      </w:r>
      <w:r>
        <w:rPr>
          <w:rFonts w:hint="eastAsia" w:ascii="宋体" w:hAnsi="Times New Roman" w:eastAsia="宋体" w:cs="Times New Roman"/>
          <w:kern w:val="0"/>
          <w:sz w:val="21"/>
          <w:szCs w:val="21"/>
          <w:highlight w:val="none"/>
          <w:lang w:val="en-US" w:eastAsia="zh-CN" w:bidi="ar-SA"/>
        </w:rPr>
        <w:br w:type="textWrapping"/>
      </w:r>
      <w:r>
        <w:rPr>
          <w:rFonts w:hint="eastAsia" w:ascii="宋体" w:hAnsi="Times New Roman" w:eastAsia="宋体" w:cs="Times New Roman"/>
          <w:kern w:val="0"/>
          <w:sz w:val="21"/>
          <w:szCs w:val="21"/>
          <w:highlight w:val="none"/>
          <w:lang w:val="en-US" w:eastAsia="zh-CN" w:bidi="ar-SA"/>
        </w:rPr>
        <w:t>mi— 第i种金属的年产量，单位为千克（kg）；</w:t>
      </w:r>
      <w:r>
        <w:rPr>
          <w:rFonts w:hint="eastAsia" w:ascii="宋体" w:hAnsi="Times New Roman" w:eastAsia="宋体" w:cs="Times New Roman"/>
          <w:kern w:val="0"/>
          <w:sz w:val="21"/>
          <w:szCs w:val="21"/>
          <w:highlight w:val="none"/>
          <w:lang w:val="en-US" w:eastAsia="zh-CN" w:bidi="ar-SA"/>
        </w:rPr>
        <w:br w:type="textWrapping"/>
      </w:r>
      <w:r>
        <w:rPr>
          <w:rFonts w:hint="eastAsia" w:ascii="宋体" w:hAnsi="Times New Roman" w:eastAsia="宋体" w:cs="Times New Roman"/>
          <w:kern w:val="0"/>
          <w:sz w:val="21"/>
          <w:szCs w:val="21"/>
          <w:highlight w:val="none"/>
          <w:lang w:val="en-US" w:eastAsia="zh-CN" w:bidi="ar-SA"/>
        </w:rPr>
        <w:t>pi— 第i种金属的年平均市场价格，单位为元每千克（元/kg）。</w:t>
      </w:r>
    </w:p>
    <w:p w14:paraId="4BBE4B5B">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宋体" w:hAnsi="Times New Roman" w:eastAsia="宋体" w:cs="Times New Roman"/>
          <w:kern w:val="0"/>
          <w:sz w:val="21"/>
          <w:szCs w:val="21"/>
          <w:highlight w:val="none"/>
          <w:lang w:val="en-US" w:eastAsia="zh-CN" w:bidi="ar-SA"/>
        </w:rPr>
      </w:pPr>
      <w:r>
        <w:rPr>
          <w:rFonts w:hint="eastAsia" w:ascii="宋体" w:hAnsi="Times New Roman" w:eastAsia="宋体" w:cs="Times New Roman"/>
          <w:kern w:val="0"/>
          <w:sz w:val="21"/>
          <w:szCs w:val="21"/>
          <w:highlight w:val="none"/>
          <w:lang w:val="en-US" w:eastAsia="zh-CN" w:bidi="ar-SA"/>
        </w:rPr>
        <w:t>当伴生金属价格之比小于或等于5时，宜优先采用物理分配法（如按质量分配）；当价格之比大于5时，可采用经济分配法。</w:t>
      </w:r>
    </w:p>
    <w:p w14:paraId="2D63CE1E">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宋体" w:hAnsi="Times New Roman" w:eastAsia="宋体" w:cs="Times New Roman"/>
          <w:kern w:val="0"/>
          <w:sz w:val="21"/>
          <w:szCs w:val="21"/>
          <w:highlight w:val="none"/>
          <w:lang w:val="en-US" w:eastAsia="zh-CN" w:bidi="ar-SA"/>
        </w:rPr>
      </w:pPr>
      <w:r>
        <w:rPr>
          <w:rFonts w:hint="eastAsia" w:ascii="宋体" w:hAnsi="Times New Roman" w:eastAsia="宋体" w:cs="Times New Roman"/>
          <w:kern w:val="0"/>
          <w:sz w:val="21"/>
          <w:szCs w:val="21"/>
          <w:highlight w:val="none"/>
          <w:lang w:val="en-US" w:eastAsia="zh-CN" w:bidi="ar-SA"/>
        </w:rPr>
        <w:t>当采用经济分配法时，需论证物理分配法不适用的理由。</w:t>
      </w:r>
      <w:r>
        <w:rPr>
          <w:rFonts w:hint="default" w:ascii="宋体" w:hAnsi="Times New Roman" w:eastAsia="宋体" w:cs="Times New Roman"/>
          <w:kern w:val="0"/>
          <w:sz w:val="21"/>
          <w:szCs w:val="21"/>
          <w:highlight w:val="none"/>
          <w:lang w:val="en-US" w:eastAsia="zh-CN" w:bidi="ar-SA"/>
        </w:rPr>
        <w:t> </w:t>
      </w:r>
    </w:p>
    <w:p w14:paraId="57341BF7">
      <w:pPr>
        <w:spacing w:beforeLines="50" w:afterLines="50" w:line="360" w:lineRule="exact"/>
        <w:rPr>
          <w:rFonts w:hint="eastAsia" w:ascii="黑体" w:hAnsi="宋体" w:eastAsia="黑体" w:cs="Times New Roman"/>
          <w:szCs w:val="21"/>
          <w:lang w:val="en-US" w:eastAsia="zh-CN"/>
        </w:rPr>
      </w:pPr>
      <w:r>
        <w:rPr>
          <w:rFonts w:hint="eastAsia" w:ascii="黑体" w:hAnsi="宋体" w:eastAsia="黑体" w:cs="Times New Roman"/>
          <w:szCs w:val="21"/>
          <w:lang w:val="en-US" w:eastAsia="zh-CN"/>
        </w:rPr>
        <w:t>5.2.3 再生银分配</w:t>
      </w:r>
    </w:p>
    <w:p w14:paraId="5A8E5EC1">
      <w:pPr>
        <w:keepNext w:val="0"/>
        <w:keepLines w:val="0"/>
        <w:pageBreakBefore w:val="0"/>
        <w:widowControl w:val="0"/>
        <w:kinsoku/>
        <w:wordWrap/>
        <w:overflowPunct/>
        <w:topLinePunct w:val="0"/>
        <w:autoSpaceDE/>
        <w:autoSpaceDN/>
        <w:bidi w:val="0"/>
        <w:adjustRightInd/>
        <w:snapToGrid/>
        <w:spacing w:line="240" w:lineRule="auto"/>
        <w:ind w:left="420" w:leftChars="200" w:firstLine="0" w:firstLineChars="0"/>
        <w:textAlignment w:val="auto"/>
        <w:rPr>
          <w:rFonts w:hint="eastAsia" w:ascii="宋体" w:cs="Times New Roman"/>
          <w:kern w:val="0"/>
          <w:sz w:val="21"/>
          <w:szCs w:val="21"/>
          <w:highlight w:val="none"/>
          <w:lang w:val="en-US" w:eastAsia="zh-CN" w:bidi="ar-SA"/>
        </w:rPr>
      </w:pPr>
      <w:r>
        <w:rPr>
          <w:rFonts w:hint="eastAsia" w:ascii="宋体" w:hAnsi="Times New Roman" w:eastAsia="宋体" w:cs="Times New Roman"/>
          <w:kern w:val="0"/>
          <w:sz w:val="21"/>
          <w:szCs w:val="21"/>
          <w:highlight w:val="none"/>
          <w:lang w:val="en-US" w:eastAsia="zh-CN" w:bidi="ar-SA"/>
        </w:rPr>
        <w:t>对于以废旧含</w:t>
      </w:r>
      <w:r>
        <w:rPr>
          <w:rFonts w:hint="eastAsia" w:ascii="宋体" w:cs="Times New Roman"/>
          <w:kern w:val="0"/>
          <w:sz w:val="21"/>
          <w:szCs w:val="21"/>
          <w:highlight w:val="none"/>
          <w:lang w:val="en-US" w:eastAsia="zh-CN" w:bidi="ar-SA"/>
        </w:rPr>
        <w:t>银</w:t>
      </w:r>
      <w:r>
        <w:rPr>
          <w:rFonts w:hint="eastAsia" w:ascii="宋体" w:hAnsi="Times New Roman" w:eastAsia="宋体" w:cs="Times New Roman"/>
          <w:kern w:val="0"/>
          <w:sz w:val="21"/>
          <w:szCs w:val="21"/>
          <w:highlight w:val="none"/>
          <w:lang w:val="en-US" w:eastAsia="zh-CN" w:bidi="ar-SA"/>
        </w:rPr>
        <w:t>物料为原料的再生</w:t>
      </w:r>
      <w:r>
        <w:rPr>
          <w:rFonts w:hint="eastAsia" w:ascii="宋体" w:cs="Times New Roman"/>
          <w:kern w:val="0"/>
          <w:sz w:val="21"/>
          <w:szCs w:val="21"/>
          <w:highlight w:val="none"/>
          <w:lang w:val="en-US" w:eastAsia="zh-CN" w:bidi="ar-SA"/>
        </w:rPr>
        <w:t>银</w:t>
      </w:r>
      <w:r>
        <w:rPr>
          <w:rFonts w:hint="eastAsia" w:ascii="宋体" w:hAnsi="Times New Roman" w:eastAsia="宋体" w:cs="Times New Roman"/>
          <w:kern w:val="0"/>
          <w:sz w:val="21"/>
          <w:szCs w:val="21"/>
          <w:highlight w:val="none"/>
          <w:lang w:val="en-US" w:eastAsia="zh-CN" w:bidi="ar-SA"/>
        </w:rPr>
        <w:t>生产，应遵循以下规则</w:t>
      </w:r>
      <w:r>
        <w:rPr>
          <w:rFonts w:hint="eastAsia" w:ascii="宋体" w:cs="Times New Roman"/>
          <w:kern w:val="0"/>
          <w:sz w:val="21"/>
          <w:szCs w:val="21"/>
          <w:highlight w:val="none"/>
          <w:lang w:val="en-US" w:eastAsia="zh-CN" w:bidi="ar-SA"/>
        </w:rPr>
        <w:t>：</w:t>
      </w:r>
    </w:p>
    <w:p w14:paraId="42FB341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20" w:firstLineChars="200"/>
        <w:textAlignment w:val="auto"/>
        <w:rPr>
          <w:rFonts w:hint="eastAsia" w:ascii="宋体" w:hAnsi="Times New Roman" w:eastAsia="宋体" w:cs="Times New Roman"/>
          <w:kern w:val="0"/>
          <w:sz w:val="21"/>
          <w:szCs w:val="21"/>
          <w:highlight w:val="none"/>
          <w:lang w:val="en-US" w:eastAsia="zh-CN" w:bidi="ar-SA"/>
        </w:rPr>
      </w:pPr>
      <w:r>
        <w:rPr>
          <w:rFonts w:hint="eastAsia" w:ascii="宋体" w:hAnsi="Times New Roman" w:cs="Times New Roman"/>
          <w:kern w:val="0"/>
          <w:sz w:val="21"/>
          <w:szCs w:val="21"/>
          <w:highlight w:val="none"/>
          <w:lang w:val="en-US" w:eastAsia="zh-CN" w:bidi="ar-SA"/>
        </w:rPr>
        <w:t>1）</w:t>
      </w:r>
      <w:r>
        <w:rPr>
          <w:rFonts w:hint="eastAsia" w:ascii="宋体" w:hAnsi="Times New Roman" w:eastAsia="宋体" w:cs="Times New Roman"/>
          <w:kern w:val="0"/>
          <w:sz w:val="21"/>
          <w:szCs w:val="21"/>
          <w:highlight w:val="none"/>
          <w:lang w:val="en-US" w:eastAsia="zh-CN" w:bidi="ar-SA"/>
        </w:rPr>
        <w:t>废旧原料（如废旧电子元件、废旧首饰）的碳排放仅核算其收集、分选、运输等过程的排放，不再追溯其原生生产过程的排放；</w:t>
      </w:r>
    </w:p>
    <w:p w14:paraId="7CE5EDA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20" w:firstLineChars="200"/>
        <w:textAlignment w:val="auto"/>
        <w:rPr>
          <w:rFonts w:hint="eastAsia" w:ascii="宋体" w:hAnsi="Times New Roman" w:eastAsia="宋体" w:cs="Times New Roman"/>
          <w:kern w:val="0"/>
          <w:sz w:val="21"/>
          <w:szCs w:val="21"/>
          <w:highlight w:val="none"/>
          <w:lang w:val="en-US" w:eastAsia="zh-CN" w:bidi="ar-SA"/>
        </w:rPr>
      </w:pPr>
      <w:r>
        <w:rPr>
          <w:rFonts w:hint="eastAsia" w:ascii="宋体" w:hAnsi="Times New Roman" w:cs="Times New Roman"/>
          <w:kern w:val="0"/>
          <w:sz w:val="21"/>
          <w:szCs w:val="21"/>
          <w:highlight w:val="none"/>
          <w:lang w:val="en-US" w:eastAsia="zh-CN" w:bidi="ar-SA"/>
        </w:rPr>
        <w:t>2</w:t>
      </w:r>
      <w:r>
        <w:rPr>
          <w:rFonts w:hint="eastAsia" w:ascii="宋体" w:hAnsi="Times New Roman" w:eastAsia="宋体" w:cs="Times New Roman"/>
          <w:kern w:val="0"/>
          <w:sz w:val="21"/>
          <w:szCs w:val="21"/>
          <w:highlight w:val="none"/>
          <w:lang w:val="en-US" w:eastAsia="zh-CN" w:bidi="ar-SA"/>
        </w:rPr>
        <w:t>) 若再生</w:t>
      </w:r>
      <w:r>
        <w:rPr>
          <w:rFonts w:hint="eastAsia" w:ascii="宋体" w:cs="Times New Roman"/>
          <w:kern w:val="0"/>
          <w:sz w:val="21"/>
          <w:szCs w:val="21"/>
          <w:highlight w:val="none"/>
          <w:lang w:val="en-US" w:eastAsia="zh-CN" w:bidi="ar-SA"/>
        </w:rPr>
        <w:t>银</w:t>
      </w:r>
      <w:r>
        <w:rPr>
          <w:rFonts w:hint="eastAsia" w:ascii="宋体" w:hAnsi="Times New Roman" w:eastAsia="宋体" w:cs="Times New Roman"/>
          <w:kern w:val="0"/>
          <w:sz w:val="21"/>
          <w:szCs w:val="21"/>
          <w:highlight w:val="none"/>
          <w:lang w:val="en-US" w:eastAsia="zh-CN" w:bidi="ar-SA"/>
        </w:rPr>
        <w:t>与原生</w:t>
      </w:r>
      <w:r>
        <w:rPr>
          <w:rFonts w:hint="eastAsia" w:ascii="宋体" w:cs="Times New Roman"/>
          <w:kern w:val="0"/>
          <w:sz w:val="21"/>
          <w:szCs w:val="21"/>
          <w:highlight w:val="none"/>
          <w:lang w:val="en-US" w:eastAsia="zh-CN" w:bidi="ar-SA"/>
        </w:rPr>
        <w:t>银</w:t>
      </w:r>
      <w:r>
        <w:rPr>
          <w:rFonts w:hint="eastAsia" w:ascii="宋体" w:hAnsi="Times New Roman" w:eastAsia="宋体" w:cs="Times New Roman"/>
          <w:kern w:val="0"/>
          <w:sz w:val="21"/>
          <w:szCs w:val="21"/>
          <w:highlight w:val="none"/>
          <w:lang w:val="en-US" w:eastAsia="zh-CN" w:bidi="ar-SA"/>
        </w:rPr>
        <w:t>在同一生产系统内混合处理，应按投入原料的比例（质量或价值）分摊后续工序的碳排放。</w:t>
      </w:r>
    </w:p>
    <w:p w14:paraId="3030E3AF">
      <w:pPr>
        <w:spacing w:beforeLines="50" w:afterLines="50" w:line="360" w:lineRule="exact"/>
        <w:rPr>
          <w:rFonts w:hint="eastAsia" w:ascii="黑体" w:hAnsi="宋体" w:eastAsia="黑体" w:cs="Times New Roman"/>
          <w:szCs w:val="21"/>
          <w:lang w:val="en-US" w:eastAsia="zh-CN"/>
        </w:rPr>
      </w:pPr>
      <w:r>
        <w:rPr>
          <w:rFonts w:hint="eastAsia" w:ascii="黑体" w:hAnsi="宋体" w:eastAsia="黑体" w:cs="Times New Roman"/>
          <w:szCs w:val="21"/>
          <w:lang w:val="en-US" w:eastAsia="zh-CN"/>
        </w:rPr>
        <w:t>5.2.4 多产品联产分配</w:t>
      </w:r>
    </w:p>
    <w:p w14:paraId="61128F46">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宋体" w:hAnsi="Times New Roman" w:eastAsia="宋体" w:cs="Times New Roman"/>
          <w:kern w:val="0"/>
          <w:sz w:val="21"/>
          <w:szCs w:val="21"/>
          <w:highlight w:val="none"/>
          <w:lang w:val="en-US" w:eastAsia="zh-CN" w:bidi="ar-SA"/>
        </w:rPr>
      </w:pPr>
      <w:r>
        <w:rPr>
          <w:rFonts w:hint="eastAsia" w:ascii="宋体" w:hAnsi="Times New Roman" w:eastAsia="宋体" w:cs="Times New Roman"/>
          <w:kern w:val="0"/>
          <w:sz w:val="21"/>
          <w:szCs w:val="21"/>
          <w:highlight w:val="none"/>
          <w:lang w:val="en-US" w:eastAsia="zh-CN" w:bidi="ar-SA"/>
        </w:rPr>
        <w:t>对于在同一工艺过程中同时产出多种产品（如银、金、硫酸）的情况，应优先采用物理分配法（如按质量、能量含量）或</w:t>
      </w:r>
      <w:r>
        <w:rPr>
          <w:rFonts w:ascii="Segoe UI" w:hAnsi="Segoe UI" w:eastAsia="Segoe UI" w:cs="Segoe UI"/>
          <w:b/>
          <w:bCs/>
          <w:i w:val="0"/>
          <w:iCs w:val="0"/>
          <w:caps w:val="0"/>
          <w:color w:val="0F1115"/>
          <w:spacing w:val="0"/>
          <w:sz w:val="24"/>
          <w:szCs w:val="24"/>
          <w:shd w:val="clear" w:fill="FFFFFF"/>
        </w:rPr>
        <w:t>）</w:t>
      </w:r>
      <w:r>
        <w:rPr>
          <w:rFonts w:hint="eastAsia" w:ascii="宋体" w:hAnsi="Times New Roman" w:eastAsia="宋体" w:cs="Times New Roman"/>
          <w:kern w:val="0"/>
          <w:sz w:val="21"/>
          <w:szCs w:val="21"/>
          <w:highlight w:val="none"/>
          <w:lang w:val="en-US" w:eastAsia="zh-CN" w:bidi="ar-SA"/>
        </w:rPr>
        <w:t>，物理关系不适用时采用经济分配法</w:t>
      </w:r>
      <w:r>
        <w:rPr>
          <w:rFonts w:hint="default" w:ascii="宋体" w:hAnsi="Times New Roman" w:eastAsia="宋体" w:cs="Times New Roman"/>
          <w:kern w:val="0"/>
          <w:sz w:val="21"/>
          <w:szCs w:val="21"/>
          <w:highlight w:val="none"/>
          <w:lang w:val="en-US" w:eastAsia="zh-CN" w:bidi="ar-SA"/>
        </w:rPr>
        <w:t> </w:t>
      </w:r>
      <w:r>
        <w:rPr>
          <w:rFonts w:hint="eastAsia" w:ascii="宋体" w:hAnsi="Times New Roman" w:eastAsia="宋体" w:cs="Times New Roman"/>
          <w:kern w:val="0"/>
          <w:sz w:val="21"/>
          <w:szCs w:val="21"/>
          <w:highlight w:val="none"/>
          <w:lang w:val="en-US" w:eastAsia="zh-CN" w:bidi="ar-SA"/>
        </w:rPr>
        <w:t>。分配方法应一致且合理。</w:t>
      </w:r>
    </w:p>
    <w:p w14:paraId="37A1FC7A">
      <w:pPr>
        <w:keepNext w:val="0"/>
        <w:keepLines w:val="0"/>
        <w:pageBreakBefore w:val="0"/>
        <w:widowControl w:val="0"/>
        <w:kinsoku/>
        <w:wordWrap/>
        <w:overflowPunct/>
        <w:topLinePunct w:val="0"/>
        <w:autoSpaceDE/>
        <w:autoSpaceDN/>
        <w:bidi w:val="0"/>
        <w:adjustRightInd/>
        <w:snapToGrid/>
        <w:spacing w:beforeLines="50" w:afterLines="50" w:line="240" w:lineRule="auto"/>
        <w:textAlignment w:val="auto"/>
        <w:outlineLvl w:val="1"/>
        <w:rPr>
          <w:rFonts w:hint="eastAsia" w:ascii="黑体" w:hAnsi="宋体" w:eastAsia="黑体" w:cs="Times New Roman"/>
          <w:szCs w:val="21"/>
          <w:lang w:val="en-US" w:eastAsia="zh-CN"/>
        </w:rPr>
      </w:pPr>
      <w:bookmarkStart w:id="30" w:name="_Toc31928"/>
      <w:r>
        <w:rPr>
          <w:rFonts w:hint="eastAsia" w:ascii="黑体" w:hAnsi="宋体" w:eastAsia="黑体" w:cs="Times New Roman"/>
          <w:szCs w:val="21"/>
          <w:lang w:val="en-US" w:eastAsia="zh-CN"/>
        </w:rPr>
        <w:t>5.3取舍规则</w:t>
      </w:r>
      <w:bookmarkEnd w:id="30"/>
    </w:p>
    <w:p w14:paraId="69DBCDED">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宋体" w:hAnsi="Times New Roman" w:eastAsia="宋体" w:cs="Times New Roman"/>
          <w:kern w:val="0"/>
          <w:sz w:val="21"/>
          <w:szCs w:val="21"/>
          <w:highlight w:val="none"/>
          <w:lang w:val="en-US" w:eastAsia="zh-CN" w:bidi="ar-SA"/>
        </w:rPr>
      </w:pPr>
      <w:r>
        <w:rPr>
          <w:rFonts w:hint="eastAsia" w:ascii="宋体" w:hAnsi="Times New Roman" w:eastAsia="宋体" w:cs="Times New Roman"/>
          <w:kern w:val="0"/>
          <w:sz w:val="21"/>
          <w:szCs w:val="21"/>
          <w:highlight w:val="none"/>
          <w:lang w:val="en-US" w:eastAsia="zh-CN" w:bidi="ar-SA"/>
        </w:rPr>
        <w:t>当某一排放源的温室气体排放量预估不超过总排放量的1%时，可将其忽略，但所有忽略的排放源合计不应超过总排放量的5%。应在报告中列出被忽略的排放源及其估算依据。</w:t>
      </w:r>
    </w:p>
    <w:p w14:paraId="73B0C0F6">
      <w:pPr>
        <w:keepNext w:val="0"/>
        <w:keepLines w:val="0"/>
        <w:pageBreakBefore w:val="0"/>
        <w:widowControl w:val="0"/>
        <w:kinsoku/>
        <w:wordWrap/>
        <w:overflowPunct/>
        <w:topLinePunct w:val="0"/>
        <w:autoSpaceDE/>
        <w:autoSpaceDN/>
        <w:bidi w:val="0"/>
        <w:adjustRightInd/>
        <w:snapToGrid/>
        <w:spacing w:beforeLines="50" w:afterLines="50" w:line="240" w:lineRule="auto"/>
        <w:textAlignment w:val="auto"/>
        <w:outlineLvl w:val="1"/>
        <w:rPr>
          <w:rFonts w:hint="eastAsia" w:ascii="黑体" w:hAnsi="宋体" w:eastAsia="黑体" w:cs="Times New Roman"/>
          <w:szCs w:val="21"/>
          <w:lang w:val="en-US" w:eastAsia="zh-CN"/>
        </w:rPr>
      </w:pPr>
      <w:bookmarkStart w:id="31" w:name="_Toc19051"/>
      <w:r>
        <w:rPr>
          <w:rFonts w:hint="eastAsia" w:ascii="黑体" w:hAnsi="宋体" w:eastAsia="黑体" w:cs="Times New Roman"/>
          <w:szCs w:val="21"/>
          <w:lang w:val="en-US" w:eastAsia="zh-CN"/>
        </w:rPr>
        <w:t>5.4数据质量评价</w:t>
      </w:r>
      <w:bookmarkEnd w:id="31"/>
    </w:p>
    <w:p w14:paraId="51123595">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宋体" w:hAnsi="Times New Roman" w:eastAsia="宋体" w:cs="Times New Roman"/>
          <w:kern w:val="0"/>
          <w:sz w:val="21"/>
          <w:szCs w:val="21"/>
          <w:highlight w:val="none"/>
          <w:lang w:val="en-US" w:eastAsia="zh-CN" w:bidi="ar-SA"/>
        </w:rPr>
      </w:pPr>
      <w:r>
        <w:rPr>
          <w:rFonts w:hint="eastAsia" w:ascii="宋体" w:hAnsi="Times New Roman" w:eastAsia="宋体" w:cs="Times New Roman"/>
          <w:kern w:val="0"/>
          <w:sz w:val="21"/>
          <w:szCs w:val="21"/>
          <w:highlight w:val="none"/>
          <w:lang w:val="en-US" w:eastAsia="zh-CN" w:bidi="ar-SA"/>
        </w:rPr>
        <w:t>应采用半定量方法对现场数据和背景数据进行质量评价，评价指标包括：可靠性、完整性、时间代表性、地理代表性、技术代表性。每个指标可按高、中、低三档评分，并计算总体数据质量评分。数据质量评价结果应在报告中说明。</w:t>
      </w:r>
    </w:p>
    <w:p w14:paraId="57BB77AD">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宋体" w:hAnsi="Times New Roman" w:eastAsia="宋体" w:cs="Times New Roman"/>
          <w:kern w:val="0"/>
          <w:sz w:val="21"/>
          <w:szCs w:val="21"/>
          <w:highlight w:val="none"/>
          <w:lang w:val="en-US" w:eastAsia="zh-CN" w:bidi="ar-SA"/>
        </w:rPr>
      </w:pPr>
      <w:r>
        <w:rPr>
          <w:rFonts w:hint="eastAsia" w:ascii="宋体" w:hAnsi="Times New Roman" w:eastAsia="宋体" w:cs="Times New Roman"/>
          <w:kern w:val="0"/>
          <w:sz w:val="21"/>
          <w:szCs w:val="21"/>
          <w:highlight w:val="none"/>
          <w:lang w:val="en-US" w:eastAsia="zh-CN" w:bidi="ar-SA"/>
        </w:rPr>
        <w:t>背景数据应优先采用国家或行业发布的官方数据库。在无法获取官方数据时，可采用Ecoinvent、GaBi等国际生命周期数据库或经同行评审的文献数据。使用非官方数据库时，应在报告中说明数据来源及适用性评估。</w:t>
      </w:r>
      <w:r>
        <w:rPr>
          <w:rFonts w:hint="default" w:ascii="Segoe UI" w:hAnsi="Segoe UI" w:eastAsia="Segoe UI" w:cs="Segoe UI"/>
          <w:i w:val="0"/>
          <w:iCs w:val="0"/>
          <w:caps w:val="0"/>
          <w:color w:val="0F1115"/>
          <w:spacing w:val="0"/>
          <w:sz w:val="24"/>
          <w:szCs w:val="24"/>
          <w:shd w:val="clear" w:fill="FFFFFF"/>
        </w:rPr>
        <w:t> </w:t>
      </w:r>
      <w:r>
        <w:rPr>
          <w:rStyle w:val="40"/>
          <w:rFonts w:ascii="Consolas" w:hAnsi="Consolas" w:eastAsia="Consolas" w:cs="Consolas"/>
          <w:i w:val="0"/>
          <w:iCs w:val="0"/>
          <w:caps w:val="0"/>
          <w:color w:val="0F1115"/>
          <w:spacing w:val="0"/>
          <w:sz w:val="18"/>
          <w:szCs w:val="18"/>
          <w:shd w:val="clear" w:fill="EBEEF2"/>
        </w:rPr>
        <w:t>[注]</w:t>
      </w:r>
    </w:p>
    <w:p w14:paraId="03A1342C">
      <w:pPr>
        <w:keepNext w:val="0"/>
        <w:keepLines w:val="0"/>
        <w:pageBreakBefore w:val="0"/>
        <w:widowControl w:val="0"/>
        <w:kinsoku/>
        <w:wordWrap/>
        <w:overflowPunct/>
        <w:topLinePunct w:val="0"/>
        <w:autoSpaceDE/>
        <w:autoSpaceDN/>
        <w:bidi w:val="0"/>
        <w:adjustRightInd/>
        <w:snapToGrid/>
        <w:spacing w:beforeLines="50" w:afterLines="50" w:line="240" w:lineRule="auto"/>
        <w:textAlignment w:val="auto"/>
        <w:outlineLvl w:val="1"/>
        <w:rPr>
          <w:rFonts w:hint="eastAsia" w:ascii="黑体" w:hAnsi="宋体" w:eastAsia="黑体" w:cs="Times New Roman"/>
          <w:szCs w:val="21"/>
          <w:lang w:val="en-US" w:eastAsia="zh-CN"/>
        </w:rPr>
      </w:pPr>
      <w:bookmarkStart w:id="32" w:name="_Toc5176"/>
      <w:r>
        <w:rPr>
          <w:rFonts w:hint="eastAsia" w:ascii="黑体" w:hAnsi="宋体" w:eastAsia="黑体" w:cs="Times New Roman"/>
          <w:szCs w:val="21"/>
          <w:lang w:val="en-US" w:eastAsia="zh-CN"/>
        </w:rPr>
        <w:t>5.5数据汇总</w:t>
      </w:r>
      <w:bookmarkEnd w:id="32"/>
    </w:p>
    <w:p w14:paraId="66A9F9B9">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宋体" w:hAnsi="Times New Roman" w:eastAsia="宋体" w:cs="Times New Roman"/>
          <w:kern w:val="0"/>
          <w:sz w:val="21"/>
          <w:szCs w:val="21"/>
          <w:highlight w:val="none"/>
          <w:lang w:val="en-US" w:eastAsia="zh-CN" w:bidi="ar-SA"/>
        </w:rPr>
      </w:pPr>
      <w:r>
        <w:rPr>
          <w:rFonts w:hint="eastAsia" w:ascii="宋体" w:hAnsi="Times New Roman" w:eastAsia="宋体" w:cs="Times New Roman"/>
          <w:kern w:val="0"/>
          <w:sz w:val="21"/>
          <w:szCs w:val="21"/>
          <w:highlight w:val="none"/>
          <w:lang w:val="en-US" w:eastAsia="zh-CN" w:bidi="ar-SA"/>
        </w:rPr>
        <w:t>应按照附录C的格式汇总各类活动的输入输出数据，包括活动数据量和对应的排放因子。</w:t>
      </w:r>
    </w:p>
    <w:p w14:paraId="0B3BA55D">
      <w:pPr>
        <w:spacing w:beforeLines="50" w:afterLines="50" w:line="360" w:lineRule="exact"/>
        <w:outlineLvl w:val="0"/>
        <w:rPr>
          <w:rFonts w:hint="eastAsia" w:ascii="黑体" w:hAnsi="宋体" w:eastAsia="黑体" w:cs="Times New Roman"/>
          <w:szCs w:val="21"/>
          <w:lang w:val="en-US" w:eastAsia="zh-CN"/>
        </w:rPr>
      </w:pPr>
      <w:bookmarkStart w:id="33" w:name="_Toc28561"/>
      <w:r>
        <w:rPr>
          <w:rFonts w:hint="eastAsia" w:ascii="黑体" w:hAnsi="宋体" w:eastAsia="黑体" w:cs="Times New Roman"/>
          <w:szCs w:val="21"/>
          <w:lang w:val="en-US" w:eastAsia="zh-CN"/>
        </w:rPr>
        <w:t>6影响评价</w:t>
      </w:r>
      <w:bookmarkEnd w:id="33"/>
    </w:p>
    <w:p w14:paraId="2DCFC7CA">
      <w:pPr>
        <w:keepNext w:val="0"/>
        <w:keepLines w:val="0"/>
        <w:pageBreakBefore w:val="0"/>
        <w:widowControl w:val="0"/>
        <w:kinsoku/>
        <w:wordWrap/>
        <w:overflowPunct/>
        <w:topLinePunct w:val="0"/>
        <w:autoSpaceDE/>
        <w:autoSpaceDN/>
        <w:bidi w:val="0"/>
        <w:adjustRightInd/>
        <w:snapToGrid/>
        <w:spacing w:beforeLines="50" w:afterLines="50" w:line="240" w:lineRule="auto"/>
        <w:textAlignment w:val="auto"/>
        <w:outlineLvl w:val="1"/>
        <w:rPr>
          <w:rFonts w:hint="eastAsia" w:ascii="黑体" w:hAnsi="宋体" w:eastAsia="黑体" w:cs="Times New Roman"/>
          <w:szCs w:val="21"/>
          <w:lang w:val="en-US" w:eastAsia="zh-CN"/>
        </w:rPr>
      </w:pPr>
      <w:bookmarkStart w:id="34" w:name="_Toc32506"/>
      <w:r>
        <w:rPr>
          <w:rFonts w:hint="eastAsia" w:ascii="黑体" w:hAnsi="宋体" w:eastAsia="黑体" w:cs="Times New Roman"/>
          <w:szCs w:val="21"/>
          <w:lang w:val="en-US" w:eastAsia="zh-CN"/>
        </w:rPr>
        <w:t>6.1 温室气体种类</w:t>
      </w:r>
      <w:bookmarkEnd w:id="34"/>
    </w:p>
    <w:p w14:paraId="4BB644F1">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宋体" w:hAnsi="Times New Roman" w:eastAsia="宋体" w:cs="Times New Roman"/>
          <w:kern w:val="0"/>
          <w:sz w:val="21"/>
          <w:szCs w:val="21"/>
          <w:highlight w:val="none"/>
          <w:lang w:val="en-US" w:eastAsia="zh-CN" w:bidi="ar-SA"/>
        </w:rPr>
      </w:pPr>
      <w:r>
        <w:rPr>
          <w:rFonts w:hint="eastAsia" w:ascii="宋体" w:hAnsi="Times New Roman" w:eastAsia="宋体" w:cs="Times New Roman"/>
          <w:kern w:val="0"/>
          <w:sz w:val="21"/>
          <w:szCs w:val="21"/>
          <w:highlight w:val="none"/>
          <w:lang w:val="en-US" w:eastAsia="zh-CN" w:bidi="ar-SA"/>
        </w:rPr>
        <w:t>应核算的温室气体至少包括二氧化碳（CO</w:t>
      </w:r>
      <w:r>
        <w:rPr>
          <w:rFonts w:hint="eastAsia" w:ascii="宋体" w:hAnsi="Times New Roman" w:eastAsia="宋体" w:cs="Times New Roman"/>
          <w:kern w:val="0"/>
          <w:sz w:val="21"/>
          <w:szCs w:val="21"/>
          <w:highlight w:val="none"/>
          <w:vertAlign w:val="subscript"/>
          <w:lang w:val="en-US" w:eastAsia="zh-CN" w:bidi="ar-SA"/>
        </w:rPr>
        <w:t>2</w:t>
      </w:r>
      <w:r>
        <w:rPr>
          <w:rFonts w:hint="eastAsia" w:ascii="宋体" w:hAnsi="Times New Roman" w:eastAsia="宋体" w:cs="Times New Roman"/>
          <w:kern w:val="0"/>
          <w:sz w:val="21"/>
          <w:szCs w:val="21"/>
          <w:highlight w:val="none"/>
          <w:lang w:val="en-US" w:eastAsia="zh-CN" w:bidi="ar-SA"/>
        </w:rPr>
        <w:t>）、甲烷（CH</w:t>
      </w:r>
      <w:r>
        <w:rPr>
          <w:rFonts w:hint="eastAsia" w:ascii="宋体" w:hAnsi="Times New Roman" w:eastAsia="宋体" w:cs="Times New Roman"/>
          <w:kern w:val="0"/>
          <w:sz w:val="21"/>
          <w:szCs w:val="21"/>
          <w:highlight w:val="none"/>
          <w:vertAlign w:val="subscript"/>
          <w:lang w:val="en-US" w:eastAsia="zh-CN" w:bidi="ar-SA"/>
        </w:rPr>
        <w:t>4</w:t>
      </w:r>
      <w:r>
        <w:rPr>
          <w:rFonts w:hint="eastAsia" w:ascii="宋体" w:hAnsi="Times New Roman" w:eastAsia="宋体" w:cs="Times New Roman"/>
          <w:kern w:val="0"/>
          <w:sz w:val="21"/>
          <w:szCs w:val="21"/>
          <w:highlight w:val="none"/>
          <w:lang w:val="en-US" w:eastAsia="zh-CN" w:bidi="ar-SA"/>
        </w:rPr>
        <w:t>）、氧化亚氮（N</w:t>
      </w:r>
      <w:r>
        <w:rPr>
          <w:rFonts w:hint="eastAsia" w:ascii="宋体" w:hAnsi="Times New Roman" w:eastAsia="宋体" w:cs="Times New Roman"/>
          <w:kern w:val="0"/>
          <w:sz w:val="21"/>
          <w:szCs w:val="21"/>
          <w:highlight w:val="none"/>
          <w:vertAlign w:val="subscript"/>
          <w:lang w:val="en-US" w:eastAsia="zh-CN" w:bidi="ar-SA"/>
        </w:rPr>
        <w:t>2</w:t>
      </w:r>
      <w:r>
        <w:rPr>
          <w:rFonts w:hint="eastAsia" w:ascii="宋体" w:hAnsi="Times New Roman" w:eastAsia="宋体" w:cs="Times New Roman"/>
          <w:kern w:val="0"/>
          <w:sz w:val="21"/>
          <w:szCs w:val="21"/>
          <w:highlight w:val="none"/>
          <w:lang w:val="en-US" w:eastAsia="zh-CN" w:bidi="ar-SA"/>
        </w:rPr>
        <w:t>O）。若工艺过程中使用含氟气体或存在其他温室气体排放，也应纳入核算。</w:t>
      </w:r>
    </w:p>
    <w:p w14:paraId="4FCA66F6">
      <w:pPr>
        <w:keepNext w:val="0"/>
        <w:keepLines w:val="0"/>
        <w:pageBreakBefore w:val="0"/>
        <w:widowControl w:val="0"/>
        <w:kinsoku/>
        <w:wordWrap/>
        <w:overflowPunct/>
        <w:topLinePunct w:val="0"/>
        <w:autoSpaceDE/>
        <w:autoSpaceDN/>
        <w:bidi w:val="0"/>
        <w:adjustRightInd/>
        <w:snapToGrid/>
        <w:spacing w:beforeLines="50" w:afterLines="50" w:line="240" w:lineRule="auto"/>
        <w:textAlignment w:val="auto"/>
        <w:outlineLvl w:val="1"/>
        <w:rPr>
          <w:rFonts w:hint="eastAsia" w:ascii="黑体" w:hAnsi="宋体" w:eastAsia="黑体" w:cs="Times New Roman"/>
          <w:szCs w:val="21"/>
          <w:lang w:val="en-US" w:eastAsia="zh-CN"/>
        </w:rPr>
      </w:pPr>
      <w:bookmarkStart w:id="35" w:name="_Toc18774"/>
      <w:r>
        <w:rPr>
          <w:rFonts w:hint="eastAsia" w:ascii="黑体" w:hAnsi="宋体" w:eastAsia="黑体" w:cs="Times New Roman"/>
          <w:szCs w:val="21"/>
          <w:lang w:val="en-US" w:eastAsia="zh-CN"/>
        </w:rPr>
        <w:t>6.2 全球增温潜势</w:t>
      </w:r>
      <w:bookmarkEnd w:id="35"/>
    </w:p>
    <w:p w14:paraId="68D70D20">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宋体" w:hAnsi="Times New Roman" w:eastAsia="宋体" w:cs="Times New Roman"/>
          <w:kern w:val="0"/>
          <w:sz w:val="21"/>
          <w:szCs w:val="21"/>
          <w:highlight w:val="none"/>
          <w:lang w:val="en-US" w:eastAsia="zh-CN" w:bidi="ar-SA"/>
        </w:rPr>
      </w:pPr>
      <w:r>
        <w:rPr>
          <w:rFonts w:hint="eastAsia" w:ascii="宋体" w:hAnsi="Times New Roman" w:eastAsia="宋体" w:cs="Times New Roman"/>
          <w:kern w:val="0"/>
          <w:sz w:val="21"/>
          <w:szCs w:val="21"/>
          <w:highlight w:val="none"/>
          <w:lang w:val="en-US" w:eastAsia="zh-CN" w:bidi="ar-SA"/>
        </w:rPr>
        <w:t>应采用政府间气候变化专门委员会（IPCC）</w:t>
      </w:r>
      <w:r>
        <w:rPr>
          <w:rFonts w:hint="default" w:ascii="宋体" w:hAnsi="Times New Roman" w:eastAsia="宋体" w:cs="Times New Roman"/>
          <w:kern w:val="0"/>
          <w:sz w:val="21"/>
          <w:szCs w:val="21"/>
          <w:highlight w:val="none"/>
          <w:lang w:val="en-US" w:eastAsia="zh-CN" w:bidi="ar-SA"/>
        </w:rPr>
        <w:t>第六次评估报告（AR6） 提供的100年时间尺度全球增温潜势（GWP）值。常用GWP值参见附录D。如IPCC发布更新版本的评估报告，应采用最新版本。</w:t>
      </w:r>
    </w:p>
    <w:p w14:paraId="5DF1C60F">
      <w:pPr>
        <w:keepNext w:val="0"/>
        <w:keepLines w:val="0"/>
        <w:pageBreakBefore w:val="0"/>
        <w:widowControl w:val="0"/>
        <w:kinsoku/>
        <w:wordWrap/>
        <w:overflowPunct/>
        <w:topLinePunct w:val="0"/>
        <w:autoSpaceDE/>
        <w:autoSpaceDN/>
        <w:bidi w:val="0"/>
        <w:adjustRightInd/>
        <w:snapToGrid/>
        <w:spacing w:beforeLines="50" w:afterLines="50" w:line="240" w:lineRule="auto"/>
        <w:textAlignment w:val="auto"/>
        <w:outlineLvl w:val="1"/>
        <w:rPr>
          <w:rFonts w:hint="eastAsia" w:ascii="黑体" w:hAnsi="宋体" w:eastAsia="黑体" w:cs="Times New Roman"/>
          <w:szCs w:val="21"/>
          <w:lang w:val="en-US" w:eastAsia="zh-CN"/>
        </w:rPr>
      </w:pPr>
      <w:bookmarkStart w:id="36" w:name="_Toc10663"/>
      <w:r>
        <w:rPr>
          <w:rFonts w:hint="eastAsia" w:ascii="黑体" w:hAnsi="宋体" w:eastAsia="黑体" w:cs="Times New Roman"/>
          <w:szCs w:val="21"/>
          <w:lang w:val="en-US" w:eastAsia="zh-CN"/>
        </w:rPr>
        <w:t>6.3 计算方法</w:t>
      </w:r>
      <w:bookmarkEnd w:id="36"/>
    </w:p>
    <w:p w14:paraId="7A36817A">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宋体" w:hAnsi="Times New Roman" w:eastAsia="宋体" w:cs="Times New Roman"/>
          <w:kern w:val="0"/>
          <w:sz w:val="21"/>
          <w:szCs w:val="21"/>
          <w:highlight w:val="none"/>
          <w:lang w:val="en-US" w:eastAsia="zh-CN" w:bidi="ar-SA"/>
        </w:rPr>
      </w:pPr>
      <w:r>
        <w:rPr>
          <w:rFonts w:hint="eastAsia" w:ascii="宋体" w:hAnsi="Times New Roman" w:eastAsia="宋体" w:cs="Times New Roman"/>
          <w:kern w:val="0"/>
          <w:sz w:val="21"/>
          <w:szCs w:val="21"/>
          <w:highlight w:val="none"/>
          <w:lang w:val="en-US" w:eastAsia="zh-CN" w:bidi="ar-SA"/>
        </w:rPr>
        <w:t>产品碳足迹按式（2）计算：</w:t>
      </w:r>
    </w:p>
    <w:p w14:paraId="636CF25E">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宋体" w:hAnsi="Times New Roman" w:eastAsia="宋体" w:cs="Times New Roman"/>
          <w:kern w:val="0"/>
          <w:sz w:val="21"/>
          <w:szCs w:val="21"/>
          <w:highlight w:val="none"/>
          <w:lang w:val="en-US" w:eastAsia="zh-CN" w:bidi="ar-SA"/>
        </w:rPr>
      </w:pPr>
      <w:r>
        <w:rPr>
          <w:rFonts w:hint="eastAsia" w:ascii="宋体" w:hAnsi="Times New Roman" w:eastAsia="宋体" w:cs="Times New Roman"/>
          <w:kern w:val="0"/>
          <w:sz w:val="21"/>
          <w:szCs w:val="21"/>
          <w:highlight w:val="none"/>
          <w:lang w:val="en-US" w:eastAsia="zh-CN" w:bidi="ar-SA"/>
        </w:rPr>
        <w:t>CF=i∑(ADi×EFi)+j∑(ADj×EFj)+⋯(2)</w:t>
      </w:r>
    </w:p>
    <w:p w14:paraId="425C9E18">
      <w:pPr>
        <w:keepNext w:val="0"/>
        <w:keepLines w:val="0"/>
        <w:pageBreakBefore w:val="0"/>
        <w:widowControl w:val="0"/>
        <w:kinsoku/>
        <w:wordWrap/>
        <w:overflowPunct/>
        <w:topLinePunct w:val="0"/>
        <w:autoSpaceDE/>
        <w:autoSpaceDN/>
        <w:bidi w:val="0"/>
        <w:adjustRightInd/>
        <w:snapToGrid/>
        <w:spacing w:line="240" w:lineRule="auto"/>
        <w:ind w:left="420" w:leftChars="200" w:firstLine="0" w:firstLineChars="0"/>
        <w:textAlignment w:val="auto"/>
        <w:rPr>
          <w:rFonts w:hint="eastAsia" w:ascii="宋体" w:hAnsi="Times New Roman" w:eastAsia="宋体" w:cs="Times New Roman"/>
          <w:kern w:val="0"/>
          <w:sz w:val="21"/>
          <w:szCs w:val="21"/>
          <w:highlight w:val="none"/>
          <w:lang w:val="en-US" w:eastAsia="zh-CN" w:bidi="ar-SA"/>
        </w:rPr>
      </w:pPr>
      <w:r>
        <w:rPr>
          <w:rFonts w:hint="eastAsia" w:ascii="宋体" w:hAnsi="Times New Roman" w:eastAsia="宋体" w:cs="Times New Roman"/>
          <w:kern w:val="0"/>
          <w:sz w:val="21"/>
          <w:szCs w:val="21"/>
          <w:highlight w:val="none"/>
          <w:lang w:val="en-US" w:eastAsia="zh-CN" w:bidi="ar-SA"/>
        </w:rPr>
        <w:t>式中：</w:t>
      </w:r>
      <w:r>
        <w:rPr>
          <w:rFonts w:hint="eastAsia" w:ascii="宋体" w:hAnsi="Times New Roman" w:eastAsia="宋体" w:cs="Times New Roman"/>
          <w:kern w:val="0"/>
          <w:sz w:val="21"/>
          <w:szCs w:val="21"/>
          <w:highlight w:val="none"/>
          <w:lang w:val="en-US" w:eastAsia="zh-CN" w:bidi="ar-SA"/>
        </w:rPr>
        <w:br w:type="textWrapping"/>
      </w:r>
      <w:r>
        <w:rPr>
          <w:rFonts w:hint="eastAsia" w:ascii="宋体" w:hAnsi="Times New Roman" w:eastAsia="宋体" w:cs="Times New Roman"/>
          <w:kern w:val="0"/>
          <w:sz w:val="21"/>
          <w:szCs w:val="21"/>
          <w:highlight w:val="none"/>
          <w:lang w:val="en-US" w:eastAsia="zh-CN" w:bidi="ar-SA"/>
        </w:rPr>
        <w:t>CF—产品碳足迹，单位为千克二氧化碳当量每功能单位（kgCO2e/功能单位）；</w:t>
      </w:r>
      <w:r>
        <w:rPr>
          <w:rFonts w:hint="eastAsia" w:ascii="宋体" w:hAnsi="Times New Roman" w:eastAsia="宋体" w:cs="Times New Roman"/>
          <w:kern w:val="0"/>
          <w:sz w:val="21"/>
          <w:szCs w:val="21"/>
          <w:highlight w:val="none"/>
          <w:lang w:val="en-US" w:eastAsia="zh-CN" w:bidi="ar-SA"/>
        </w:rPr>
        <w:br w:type="textWrapping"/>
      </w:r>
      <w:r>
        <w:rPr>
          <w:rFonts w:hint="eastAsia" w:ascii="宋体" w:hAnsi="Times New Roman" w:eastAsia="宋体" w:cs="Times New Roman"/>
          <w:kern w:val="0"/>
          <w:sz w:val="21"/>
          <w:szCs w:val="21"/>
          <w:highlight w:val="none"/>
          <w:lang w:val="en-US" w:eastAsia="zh-CN" w:bidi="ar-SA"/>
        </w:rPr>
        <w:t>ADi—第i种活动的活动数据，如电力消耗量（kWh）、燃料消耗量（kg）；</w:t>
      </w:r>
      <w:r>
        <w:rPr>
          <w:rFonts w:hint="eastAsia" w:ascii="宋体" w:hAnsi="Times New Roman" w:eastAsia="宋体" w:cs="Times New Roman"/>
          <w:kern w:val="0"/>
          <w:sz w:val="21"/>
          <w:szCs w:val="21"/>
          <w:highlight w:val="none"/>
          <w:lang w:val="en-US" w:eastAsia="zh-CN" w:bidi="ar-SA"/>
        </w:rPr>
        <w:br w:type="textWrapping"/>
      </w:r>
      <w:r>
        <w:rPr>
          <w:rFonts w:hint="eastAsia" w:ascii="宋体" w:hAnsi="Times New Roman" w:eastAsia="宋体" w:cs="Times New Roman"/>
          <w:kern w:val="0"/>
          <w:sz w:val="21"/>
          <w:szCs w:val="21"/>
          <w:highlight w:val="none"/>
          <w:lang w:val="en-US" w:eastAsia="zh-CN" w:bidi="ar-SA"/>
        </w:rPr>
        <w:t>EFi—第i种活动对应的排放因子，单位为千克二氧化碳当量每单位活动数据。</w:t>
      </w:r>
    </w:p>
    <w:p w14:paraId="1E067DD3">
      <w:pPr>
        <w:keepNext w:val="0"/>
        <w:keepLines w:val="0"/>
        <w:pageBreakBefore w:val="0"/>
        <w:widowControl w:val="0"/>
        <w:kinsoku/>
        <w:wordWrap/>
        <w:overflowPunct/>
        <w:topLinePunct w:val="0"/>
        <w:autoSpaceDE/>
        <w:autoSpaceDN/>
        <w:bidi w:val="0"/>
        <w:adjustRightInd/>
        <w:snapToGrid/>
        <w:spacing w:beforeLines="50" w:afterLines="50" w:line="240" w:lineRule="auto"/>
        <w:textAlignment w:val="auto"/>
        <w:outlineLvl w:val="1"/>
        <w:rPr>
          <w:rFonts w:hint="eastAsia" w:ascii="黑体" w:hAnsi="宋体" w:eastAsia="黑体" w:cs="Times New Roman"/>
          <w:szCs w:val="21"/>
          <w:lang w:val="en-US" w:eastAsia="zh-CN"/>
        </w:rPr>
      </w:pPr>
      <w:bookmarkStart w:id="37" w:name="_Toc3826"/>
      <w:r>
        <w:rPr>
          <w:rFonts w:hint="eastAsia" w:ascii="黑体" w:hAnsi="宋体" w:eastAsia="黑体" w:cs="Times New Roman"/>
          <w:szCs w:val="21"/>
          <w:lang w:val="en-US" w:eastAsia="zh-CN"/>
        </w:rPr>
        <w:t>6.4结果汇总</w:t>
      </w:r>
      <w:bookmarkEnd w:id="37"/>
    </w:p>
    <w:p w14:paraId="5DEA119C">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宋体" w:hAnsi="Times New Roman" w:eastAsia="宋体" w:cs="Times New Roman"/>
          <w:kern w:val="0"/>
          <w:sz w:val="21"/>
          <w:szCs w:val="21"/>
          <w:highlight w:val="none"/>
          <w:lang w:val="en-US" w:eastAsia="zh-CN" w:bidi="ar-SA"/>
        </w:rPr>
      </w:pPr>
      <w:r>
        <w:rPr>
          <w:rFonts w:hint="eastAsia" w:ascii="宋体" w:hAnsi="Times New Roman" w:eastAsia="宋体" w:cs="Times New Roman"/>
          <w:kern w:val="0"/>
          <w:sz w:val="21"/>
          <w:szCs w:val="21"/>
          <w:highlight w:val="none"/>
          <w:lang w:val="en-US" w:eastAsia="zh-CN" w:bidi="ar-SA"/>
        </w:rPr>
        <w:t>应将各阶段、各活动的排放量汇总，并计算总碳足迹。可按生产工序（采矿、选矿、冶炼）分别汇总，以识别主要贡献环节。</w:t>
      </w:r>
    </w:p>
    <w:p w14:paraId="7BEA5FB9">
      <w:pPr>
        <w:spacing w:beforeLines="50" w:afterLines="50" w:line="360" w:lineRule="exact"/>
        <w:outlineLvl w:val="0"/>
        <w:rPr>
          <w:rFonts w:hint="eastAsia" w:ascii="黑体" w:hAnsi="宋体" w:eastAsia="黑体" w:cs="Times New Roman"/>
          <w:szCs w:val="21"/>
          <w:lang w:val="en-US" w:eastAsia="zh-CN"/>
        </w:rPr>
      </w:pPr>
      <w:bookmarkStart w:id="38" w:name="_Toc16139"/>
      <w:r>
        <w:rPr>
          <w:rFonts w:hint="eastAsia" w:ascii="黑体" w:hAnsi="宋体" w:eastAsia="黑体" w:cs="Times New Roman"/>
          <w:szCs w:val="21"/>
          <w:lang w:val="en-US" w:eastAsia="zh-CN"/>
        </w:rPr>
        <w:t>7结果解释</w:t>
      </w:r>
      <w:bookmarkEnd w:id="38"/>
    </w:p>
    <w:p w14:paraId="2C875C68">
      <w:pPr>
        <w:keepNext w:val="0"/>
        <w:keepLines w:val="0"/>
        <w:pageBreakBefore w:val="0"/>
        <w:widowControl w:val="0"/>
        <w:kinsoku/>
        <w:wordWrap/>
        <w:overflowPunct/>
        <w:topLinePunct w:val="0"/>
        <w:autoSpaceDE/>
        <w:autoSpaceDN/>
        <w:bidi w:val="0"/>
        <w:adjustRightInd/>
        <w:snapToGrid/>
        <w:spacing w:beforeLines="50" w:afterLines="50" w:line="240" w:lineRule="auto"/>
        <w:textAlignment w:val="auto"/>
        <w:outlineLvl w:val="1"/>
        <w:rPr>
          <w:rFonts w:hint="eastAsia" w:ascii="黑体" w:hAnsi="宋体" w:eastAsia="黑体" w:cs="Times New Roman"/>
          <w:szCs w:val="21"/>
          <w:lang w:val="en-US" w:eastAsia="zh-CN"/>
        </w:rPr>
      </w:pPr>
      <w:bookmarkStart w:id="39" w:name="_Toc30405"/>
      <w:r>
        <w:rPr>
          <w:rFonts w:hint="eastAsia" w:ascii="黑体" w:hAnsi="宋体" w:eastAsia="黑体" w:cs="Times New Roman"/>
          <w:szCs w:val="21"/>
          <w:lang w:val="en-US" w:eastAsia="zh-CN"/>
        </w:rPr>
        <w:t>7.1 贡献分析</w:t>
      </w:r>
      <w:bookmarkEnd w:id="39"/>
    </w:p>
    <w:p w14:paraId="7D92BE29">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宋体" w:hAnsi="Times New Roman" w:eastAsia="宋体" w:cs="Times New Roman"/>
          <w:kern w:val="0"/>
          <w:sz w:val="21"/>
          <w:szCs w:val="21"/>
          <w:highlight w:val="none"/>
          <w:lang w:val="en-US" w:eastAsia="zh-CN" w:bidi="ar-SA"/>
        </w:rPr>
      </w:pPr>
      <w:r>
        <w:rPr>
          <w:rFonts w:hint="eastAsia" w:ascii="宋体" w:hAnsi="Times New Roman" w:eastAsia="宋体" w:cs="Times New Roman"/>
          <w:kern w:val="0"/>
          <w:sz w:val="21"/>
          <w:szCs w:val="21"/>
          <w:highlight w:val="none"/>
          <w:lang w:val="en-US" w:eastAsia="zh-CN" w:bidi="ar-SA"/>
        </w:rPr>
        <w:t>应识别对总碳足迹贡献最大的关键环节和关键活动（如电力消耗、燃料燃烧、运输等），并分析其原因。贡献分析可采用饼图或柱状图表示。</w:t>
      </w:r>
    </w:p>
    <w:p w14:paraId="68A35F9E">
      <w:pPr>
        <w:keepNext w:val="0"/>
        <w:keepLines w:val="0"/>
        <w:pageBreakBefore w:val="0"/>
        <w:widowControl w:val="0"/>
        <w:kinsoku/>
        <w:wordWrap/>
        <w:overflowPunct/>
        <w:topLinePunct w:val="0"/>
        <w:autoSpaceDE/>
        <w:autoSpaceDN/>
        <w:bidi w:val="0"/>
        <w:adjustRightInd/>
        <w:snapToGrid/>
        <w:spacing w:beforeLines="50" w:afterLines="50" w:line="240" w:lineRule="auto"/>
        <w:textAlignment w:val="auto"/>
        <w:outlineLvl w:val="1"/>
        <w:rPr>
          <w:rFonts w:hint="eastAsia" w:ascii="黑体" w:hAnsi="宋体" w:eastAsia="黑体" w:cs="Times New Roman"/>
          <w:szCs w:val="21"/>
          <w:lang w:val="en-US" w:eastAsia="zh-CN"/>
        </w:rPr>
      </w:pPr>
      <w:bookmarkStart w:id="40" w:name="_Toc32698"/>
      <w:r>
        <w:rPr>
          <w:rFonts w:hint="eastAsia" w:ascii="黑体" w:hAnsi="宋体" w:eastAsia="黑体" w:cs="Times New Roman"/>
          <w:szCs w:val="21"/>
          <w:lang w:val="en-US" w:eastAsia="zh-CN"/>
        </w:rPr>
        <w:t>7.2 不确定性分析</w:t>
      </w:r>
      <w:bookmarkEnd w:id="40"/>
    </w:p>
    <w:p w14:paraId="64341C01">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宋体" w:hAnsi="Times New Roman" w:eastAsia="宋体" w:cs="Times New Roman"/>
          <w:kern w:val="0"/>
          <w:sz w:val="21"/>
          <w:szCs w:val="21"/>
          <w:highlight w:val="none"/>
          <w:lang w:val="en-US" w:eastAsia="zh-CN" w:bidi="ar-SA"/>
        </w:rPr>
      </w:pPr>
      <w:r>
        <w:rPr>
          <w:rFonts w:hint="eastAsia" w:ascii="宋体" w:hAnsi="Times New Roman" w:eastAsia="宋体" w:cs="Times New Roman"/>
          <w:kern w:val="0"/>
          <w:sz w:val="21"/>
          <w:szCs w:val="21"/>
          <w:highlight w:val="none"/>
          <w:lang w:val="en-US" w:eastAsia="zh-CN" w:bidi="ar-SA"/>
        </w:rPr>
        <w:t>应对数据质量、分配方法、取舍规则等引入的不确定性进行定性或定量分析。定量分析可采用蒙特卡洛模拟、误差传递法等，定性分析应描述主要不确定因素及其可能影响范围。不确定性分析结果应在报告中说明。</w:t>
      </w:r>
    </w:p>
    <w:p w14:paraId="4AC9C444">
      <w:pPr>
        <w:keepNext w:val="0"/>
        <w:keepLines w:val="0"/>
        <w:pageBreakBefore w:val="0"/>
        <w:widowControl w:val="0"/>
        <w:kinsoku/>
        <w:wordWrap/>
        <w:overflowPunct/>
        <w:topLinePunct w:val="0"/>
        <w:autoSpaceDE/>
        <w:autoSpaceDN/>
        <w:bidi w:val="0"/>
        <w:adjustRightInd/>
        <w:snapToGrid/>
        <w:spacing w:beforeLines="50" w:afterLines="50" w:line="240" w:lineRule="auto"/>
        <w:textAlignment w:val="auto"/>
        <w:outlineLvl w:val="1"/>
        <w:rPr>
          <w:rFonts w:hint="eastAsia" w:ascii="黑体" w:hAnsi="宋体" w:eastAsia="黑体" w:cs="Times New Roman"/>
          <w:szCs w:val="21"/>
          <w:lang w:val="en-US" w:eastAsia="zh-CN"/>
        </w:rPr>
      </w:pPr>
      <w:bookmarkStart w:id="41" w:name="_Toc31714"/>
      <w:r>
        <w:rPr>
          <w:rFonts w:hint="eastAsia" w:ascii="黑体" w:hAnsi="宋体" w:eastAsia="黑体" w:cs="Times New Roman"/>
          <w:szCs w:val="21"/>
          <w:lang w:val="en-US" w:eastAsia="zh-CN"/>
        </w:rPr>
        <w:t>7.3 改进建议</w:t>
      </w:r>
      <w:bookmarkEnd w:id="41"/>
    </w:p>
    <w:p w14:paraId="42774B88">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宋体" w:hAnsi="Times New Roman" w:eastAsia="宋体" w:cs="Times New Roman"/>
          <w:kern w:val="0"/>
          <w:sz w:val="21"/>
          <w:szCs w:val="21"/>
          <w:highlight w:val="none"/>
          <w:lang w:val="en-US" w:eastAsia="zh-CN" w:bidi="ar-SA"/>
        </w:rPr>
      </w:pPr>
      <w:r>
        <w:rPr>
          <w:rFonts w:hint="eastAsia" w:ascii="宋体" w:hAnsi="Times New Roman" w:eastAsia="宋体" w:cs="Times New Roman"/>
          <w:kern w:val="0"/>
          <w:sz w:val="21"/>
          <w:szCs w:val="21"/>
          <w:highlight w:val="none"/>
          <w:lang w:val="en-US" w:eastAsia="zh-CN" w:bidi="ar-SA"/>
        </w:rPr>
        <w:t>基于贡献分析和不确定性分析，提出降低产品碳足迹的可行措施，如</w:t>
      </w:r>
      <w:r>
        <w:rPr>
          <w:rFonts w:hint="default" w:ascii="宋体" w:hAnsi="Times New Roman" w:eastAsia="宋体" w:cs="Times New Roman"/>
          <w:kern w:val="0"/>
          <w:sz w:val="21"/>
          <w:szCs w:val="21"/>
          <w:highlight w:val="none"/>
          <w:lang w:val="en-US" w:eastAsia="zh-CN" w:bidi="ar-SA"/>
        </w:rPr>
        <w:t>优化采矿通风系统、推广高效磨矿设备、采用清洁能源替代传统燃料、提高湿法工艺应用比例、加强铜阳极泥等伴生资源综合回收、扩大再生</w:t>
      </w:r>
      <w:r>
        <w:rPr>
          <w:rFonts w:hint="eastAsia" w:ascii="宋体" w:hAnsi="Times New Roman" w:cs="Times New Roman"/>
          <w:kern w:val="0"/>
          <w:sz w:val="21"/>
          <w:szCs w:val="21"/>
          <w:highlight w:val="none"/>
          <w:lang w:val="en-US" w:eastAsia="zh-CN" w:bidi="ar-SA"/>
        </w:rPr>
        <w:t>银</w:t>
      </w:r>
      <w:r>
        <w:rPr>
          <w:rFonts w:hint="default" w:ascii="宋体" w:hAnsi="Times New Roman" w:eastAsia="宋体" w:cs="Times New Roman"/>
          <w:kern w:val="0"/>
          <w:sz w:val="21"/>
          <w:szCs w:val="21"/>
          <w:highlight w:val="none"/>
          <w:lang w:val="en-US" w:eastAsia="zh-CN" w:bidi="ar-SA"/>
        </w:rPr>
        <w:t>利用规模</w:t>
      </w:r>
      <w:r>
        <w:rPr>
          <w:rFonts w:hint="eastAsia" w:ascii="宋体" w:hAnsi="Times New Roman" w:eastAsia="宋体" w:cs="Times New Roman"/>
          <w:kern w:val="0"/>
          <w:sz w:val="21"/>
          <w:szCs w:val="21"/>
          <w:highlight w:val="none"/>
          <w:lang w:val="en-US" w:eastAsia="zh-CN" w:bidi="ar-SA"/>
        </w:rPr>
        <w:t>、推广余热回收利用、优化电解工艺参数、提高金属回收率</w:t>
      </w:r>
      <w:r>
        <w:rPr>
          <w:rFonts w:hint="default" w:ascii="宋体" w:hAnsi="Times New Roman" w:eastAsia="宋体" w:cs="Times New Roman"/>
          <w:kern w:val="0"/>
          <w:sz w:val="21"/>
          <w:szCs w:val="21"/>
          <w:highlight w:val="none"/>
          <w:lang w:val="en-US" w:eastAsia="zh-CN" w:bidi="ar-SA"/>
        </w:rPr>
        <w:t>等</w:t>
      </w:r>
      <w:r>
        <w:rPr>
          <w:rFonts w:ascii="Segoe UI" w:hAnsi="Segoe UI" w:eastAsia="Segoe UI" w:cs="Segoe UI"/>
          <w:i w:val="0"/>
          <w:iCs w:val="0"/>
          <w:caps w:val="0"/>
          <w:color w:val="0F1115"/>
          <w:spacing w:val="0"/>
          <w:sz w:val="22"/>
          <w:szCs w:val="22"/>
          <w:shd w:val="clear" w:fill="FFFFFF"/>
        </w:rPr>
        <w:t>措施</w:t>
      </w:r>
      <w:r>
        <w:rPr>
          <w:rFonts w:hint="default" w:ascii="宋体" w:hAnsi="Times New Roman" w:eastAsia="宋体" w:cs="Times New Roman"/>
          <w:kern w:val="0"/>
          <w:sz w:val="21"/>
          <w:szCs w:val="21"/>
          <w:highlight w:val="none"/>
          <w:lang w:val="en-US" w:eastAsia="zh-CN" w:bidi="ar-SA"/>
        </w:rPr>
        <w:t>。</w:t>
      </w:r>
    </w:p>
    <w:p w14:paraId="3988DD72">
      <w:pPr>
        <w:spacing w:beforeLines="50" w:afterLines="50" w:line="360" w:lineRule="exact"/>
        <w:outlineLvl w:val="0"/>
        <w:rPr>
          <w:rFonts w:hint="eastAsia" w:ascii="黑体" w:hAnsi="宋体" w:eastAsia="黑体" w:cs="Times New Roman"/>
          <w:szCs w:val="21"/>
          <w:lang w:val="en-US" w:eastAsia="zh-CN"/>
        </w:rPr>
      </w:pPr>
      <w:bookmarkStart w:id="42" w:name="_Toc3077"/>
      <w:r>
        <w:rPr>
          <w:rFonts w:hint="eastAsia" w:ascii="黑体" w:hAnsi="宋体" w:eastAsia="黑体" w:cs="Times New Roman"/>
          <w:szCs w:val="21"/>
          <w:lang w:val="en-US" w:eastAsia="zh-CN"/>
        </w:rPr>
        <w:t>8碳足迹报告</w:t>
      </w:r>
      <w:bookmarkEnd w:id="42"/>
    </w:p>
    <w:p w14:paraId="59E961B3">
      <w:pPr>
        <w:keepNext w:val="0"/>
        <w:keepLines w:val="0"/>
        <w:pageBreakBefore w:val="0"/>
        <w:widowControl w:val="0"/>
        <w:kinsoku/>
        <w:wordWrap/>
        <w:overflowPunct/>
        <w:topLinePunct w:val="0"/>
        <w:autoSpaceDE/>
        <w:autoSpaceDN/>
        <w:bidi w:val="0"/>
        <w:adjustRightInd/>
        <w:snapToGrid/>
        <w:spacing w:beforeLines="50" w:afterLines="50" w:line="240" w:lineRule="auto"/>
        <w:textAlignment w:val="auto"/>
        <w:outlineLvl w:val="1"/>
        <w:rPr>
          <w:rFonts w:hint="eastAsia" w:ascii="黑体" w:hAnsi="宋体" w:eastAsia="黑体" w:cs="Times New Roman"/>
          <w:szCs w:val="21"/>
          <w:lang w:val="en-US" w:eastAsia="zh-CN"/>
        </w:rPr>
      </w:pPr>
      <w:bookmarkStart w:id="43" w:name="_Toc12471"/>
      <w:r>
        <w:rPr>
          <w:rFonts w:hint="eastAsia" w:ascii="黑体" w:hAnsi="宋体" w:eastAsia="黑体" w:cs="Times New Roman"/>
          <w:szCs w:val="21"/>
          <w:lang w:val="en-US" w:eastAsia="zh-CN"/>
        </w:rPr>
        <w:t>8.1报告内容</w:t>
      </w:r>
      <w:bookmarkEnd w:id="43"/>
    </w:p>
    <w:p w14:paraId="01563DE3">
      <w:pPr>
        <w:keepNext w:val="0"/>
        <w:keepLines w:val="0"/>
        <w:pageBreakBefore w:val="0"/>
        <w:widowControl w:val="0"/>
        <w:kinsoku/>
        <w:wordWrap/>
        <w:overflowPunct/>
        <w:topLinePunct w:val="0"/>
        <w:autoSpaceDE/>
        <w:autoSpaceDN/>
        <w:bidi w:val="0"/>
        <w:adjustRightInd/>
        <w:snapToGrid/>
        <w:spacing w:line="240" w:lineRule="auto"/>
        <w:ind w:left="420" w:leftChars="200" w:firstLine="0" w:firstLineChars="0"/>
        <w:textAlignment w:val="auto"/>
        <w:rPr>
          <w:rFonts w:hint="eastAsia" w:ascii="宋体" w:hAnsi="Times New Roman" w:eastAsia="宋体" w:cs="Times New Roman"/>
          <w:kern w:val="0"/>
          <w:sz w:val="21"/>
          <w:szCs w:val="21"/>
          <w:highlight w:val="none"/>
          <w:lang w:val="en-US" w:eastAsia="zh-CN" w:bidi="ar-SA"/>
        </w:rPr>
      </w:pPr>
      <w:r>
        <w:rPr>
          <w:rFonts w:hint="eastAsia" w:ascii="宋体" w:hAnsi="Times New Roman" w:eastAsia="宋体" w:cs="Times New Roman"/>
          <w:kern w:val="0"/>
          <w:sz w:val="21"/>
          <w:szCs w:val="21"/>
          <w:highlight w:val="none"/>
          <w:lang w:val="en-US" w:eastAsia="zh-CN" w:bidi="ar-SA"/>
        </w:rPr>
        <w:t>碳足迹报告应至少包括以下内容：</w:t>
      </w:r>
      <w:r>
        <w:rPr>
          <w:rFonts w:hint="eastAsia" w:ascii="宋体" w:hAnsi="Times New Roman" w:eastAsia="宋体" w:cs="Times New Roman"/>
          <w:kern w:val="0"/>
          <w:sz w:val="21"/>
          <w:szCs w:val="21"/>
          <w:highlight w:val="none"/>
          <w:lang w:val="en-US" w:eastAsia="zh-CN" w:bidi="ar-SA"/>
        </w:rPr>
        <w:br w:type="textWrapping"/>
      </w:r>
      <w:r>
        <w:rPr>
          <w:rFonts w:hint="eastAsia" w:ascii="宋体" w:hAnsi="Times New Roman" w:cs="Times New Roman"/>
          <w:kern w:val="0"/>
          <w:sz w:val="21"/>
          <w:szCs w:val="21"/>
          <w:highlight w:val="none"/>
          <w:lang w:val="en-US" w:eastAsia="zh-CN" w:bidi="ar-SA"/>
        </w:rPr>
        <w:t>1</w:t>
      </w:r>
      <w:r>
        <w:rPr>
          <w:rFonts w:hint="eastAsia" w:ascii="宋体" w:hAnsi="Times New Roman" w:eastAsia="宋体" w:cs="Times New Roman"/>
          <w:kern w:val="0"/>
          <w:sz w:val="21"/>
          <w:szCs w:val="21"/>
          <w:highlight w:val="none"/>
          <w:lang w:val="en-US" w:eastAsia="zh-CN" w:bidi="ar-SA"/>
        </w:rPr>
        <w:t>) 企业基本信息：名称、地址、联系人、报告日期；</w:t>
      </w:r>
      <w:r>
        <w:rPr>
          <w:rFonts w:hint="eastAsia" w:ascii="宋体" w:hAnsi="Times New Roman" w:eastAsia="宋体" w:cs="Times New Roman"/>
          <w:kern w:val="0"/>
          <w:sz w:val="21"/>
          <w:szCs w:val="21"/>
          <w:highlight w:val="none"/>
          <w:lang w:val="en-US" w:eastAsia="zh-CN" w:bidi="ar-SA"/>
        </w:rPr>
        <w:br w:type="textWrapping"/>
      </w:r>
      <w:r>
        <w:rPr>
          <w:rFonts w:hint="eastAsia" w:ascii="宋体" w:hAnsi="Times New Roman" w:cs="Times New Roman"/>
          <w:kern w:val="0"/>
          <w:sz w:val="21"/>
          <w:szCs w:val="21"/>
          <w:highlight w:val="none"/>
          <w:lang w:val="en-US" w:eastAsia="zh-CN" w:bidi="ar-SA"/>
        </w:rPr>
        <w:t>2</w:t>
      </w:r>
      <w:r>
        <w:rPr>
          <w:rFonts w:hint="eastAsia" w:ascii="宋体" w:hAnsi="Times New Roman" w:eastAsia="宋体" w:cs="Times New Roman"/>
          <w:kern w:val="0"/>
          <w:sz w:val="21"/>
          <w:szCs w:val="21"/>
          <w:highlight w:val="none"/>
          <w:lang w:val="en-US" w:eastAsia="zh-CN" w:bidi="ar-SA"/>
        </w:rPr>
        <w:t>) 产品描述：产品名称、牌号、规格、原料来源（原生</w:t>
      </w:r>
      <w:r>
        <w:rPr>
          <w:rFonts w:hint="eastAsia" w:ascii="宋体" w:hAnsi="Times New Roman" w:cs="Times New Roman"/>
          <w:kern w:val="0"/>
          <w:sz w:val="21"/>
          <w:szCs w:val="21"/>
          <w:highlight w:val="none"/>
          <w:lang w:val="en-US" w:eastAsia="zh-CN" w:bidi="ar-SA"/>
        </w:rPr>
        <w:t>银</w:t>
      </w:r>
      <w:r>
        <w:rPr>
          <w:rFonts w:hint="eastAsia" w:ascii="宋体" w:hAnsi="Times New Roman" w:eastAsia="宋体" w:cs="Times New Roman"/>
          <w:kern w:val="0"/>
          <w:sz w:val="21"/>
          <w:szCs w:val="21"/>
          <w:highlight w:val="none"/>
          <w:lang w:val="en-US" w:eastAsia="zh-CN" w:bidi="ar-SA"/>
        </w:rPr>
        <w:t>矿/伴生</w:t>
      </w:r>
      <w:r>
        <w:rPr>
          <w:rFonts w:hint="eastAsia" w:ascii="宋体" w:hAnsi="Times New Roman" w:cs="Times New Roman"/>
          <w:kern w:val="0"/>
          <w:sz w:val="21"/>
          <w:szCs w:val="21"/>
          <w:highlight w:val="none"/>
          <w:lang w:val="en-US" w:eastAsia="zh-CN" w:bidi="ar-SA"/>
        </w:rPr>
        <w:t>银</w:t>
      </w:r>
      <w:r>
        <w:rPr>
          <w:rFonts w:hint="eastAsia" w:ascii="宋体" w:hAnsi="Times New Roman" w:eastAsia="宋体" w:cs="Times New Roman"/>
          <w:kern w:val="0"/>
          <w:sz w:val="21"/>
          <w:szCs w:val="21"/>
          <w:highlight w:val="none"/>
          <w:lang w:val="en-US" w:eastAsia="zh-CN" w:bidi="ar-SA"/>
        </w:rPr>
        <w:t>/再生</w:t>
      </w:r>
      <w:r>
        <w:rPr>
          <w:rFonts w:hint="eastAsia" w:ascii="宋体" w:hAnsi="Times New Roman" w:cs="Times New Roman"/>
          <w:kern w:val="0"/>
          <w:sz w:val="21"/>
          <w:szCs w:val="21"/>
          <w:highlight w:val="none"/>
          <w:lang w:val="en-US" w:eastAsia="zh-CN" w:bidi="ar-SA"/>
        </w:rPr>
        <w:t>银</w:t>
      </w:r>
      <w:r>
        <w:rPr>
          <w:rFonts w:hint="eastAsia" w:ascii="宋体" w:hAnsi="Times New Roman" w:eastAsia="宋体" w:cs="Times New Roman"/>
          <w:kern w:val="0"/>
          <w:sz w:val="21"/>
          <w:szCs w:val="21"/>
          <w:highlight w:val="none"/>
          <w:lang w:val="en-US" w:eastAsia="zh-CN" w:bidi="ar-SA"/>
        </w:rPr>
        <w:t>）</w:t>
      </w:r>
      <w:r>
        <w:rPr>
          <w:rFonts w:hint="default" w:ascii="宋体" w:hAnsi="Times New Roman" w:eastAsia="宋体" w:cs="Times New Roman"/>
          <w:kern w:val="0"/>
          <w:sz w:val="21"/>
          <w:szCs w:val="21"/>
          <w:highlight w:val="none"/>
          <w:lang w:val="en-US" w:eastAsia="zh-CN" w:bidi="ar-SA"/>
        </w:rPr>
        <w:t>、生产工艺（火法/湿法）、</w:t>
      </w:r>
      <w:r>
        <w:rPr>
          <w:rFonts w:hint="eastAsia" w:ascii="宋体" w:hAnsi="Times New Roman" w:eastAsia="宋体" w:cs="Times New Roman"/>
          <w:kern w:val="0"/>
          <w:sz w:val="21"/>
          <w:szCs w:val="21"/>
          <w:highlight w:val="none"/>
          <w:lang w:val="en-US" w:eastAsia="zh-CN" w:bidi="ar-SA"/>
        </w:rPr>
        <w:t>生产周期；</w:t>
      </w:r>
      <w:r>
        <w:rPr>
          <w:rFonts w:hint="eastAsia" w:ascii="宋体" w:hAnsi="Times New Roman" w:eastAsia="宋体" w:cs="Times New Roman"/>
          <w:kern w:val="0"/>
          <w:sz w:val="21"/>
          <w:szCs w:val="21"/>
          <w:highlight w:val="none"/>
          <w:lang w:val="en-US" w:eastAsia="zh-CN" w:bidi="ar-SA"/>
        </w:rPr>
        <w:br w:type="textWrapping"/>
      </w:r>
      <w:r>
        <w:rPr>
          <w:rFonts w:hint="eastAsia" w:ascii="宋体" w:hAnsi="Times New Roman" w:cs="Times New Roman"/>
          <w:kern w:val="0"/>
          <w:sz w:val="21"/>
          <w:szCs w:val="21"/>
          <w:highlight w:val="none"/>
          <w:lang w:val="en-US" w:eastAsia="zh-CN" w:bidi="ar-SA"/>
        </w:rPr>
        <w:t>3</w:t>
      </w:r>
      <w:r>
        <w:rPr>
          <w:rFonts w:hint="eastAsia" w:ascii="宋体" w:hAnsi="Times New Roman" w:eastAsia="宋体" w:cs="Times New Roman"/>
          <w:kern w:val="0"/>
          <w:sz w:val="21"/>
          <w:szCs w:val="21"/>
          <w:highlight w:val="none"/>
          <w:lang w:val="en-US" w:eastAsia="zh-CN" w:bidi="ar-SA"/>
        </w:rPr>
        <w:t>) 功能单位和系统边界：明确所选功能单位、系统边界及时间边界；</w:t>
      </w:r>
      <w:r>
        <w:rPr>
          <w:rFonts w:hint="eastAsia" w:ascii="宋体" w:hAnsi="Times New Roman" w:eastAsia="宋体" w:cs="Times New Roman"/>
          <w:kern w:val="0"/>
          <w:sz w:val="21"/>
          <w:szCs w:val="21"/>
          <w:highlight w:val="none"/>
          <w:lang w:val="en-US" w:eastAsia="zh-CN" w:bidi="ar-SA"/>
        </w:rPr>
        <w:br w:type="textWrapping"/>
      </w:r>
      <w:r>
        <w:rPr>
          <w:rFonts w:hint="eastAsia" w:ascii="宋体" w:hAnsi="Times New Roman" w:cs="Times New Roman"/>
          <w:kern w:val="0"/>
          <w:sz w:val="21"/>
          <w:szCs w:val="21"/>
          <w:highlight w:val="none"/>
          <w:lang w:val="en-US" w:eastAsia="zh-CN" w:bidi="ar-SA"/>
        </w:rPr>
        <w:t>4</w:t>
      </w:r>
      <w:r>
        <w:rPr>
          <w:rFonts w:hint="eastAsia" w:ascii="宋体" w:hAnsi="Times New Roman" w:eastAsia="宋体" w:cs="Times New Roman"/>
          <w:kern w:val="0"/>
          <w:sz w:val="21"/>
          <w:szCs w:val="21"/>
          <w:highlight w:val="none"/>
          <w:lang w:val="en-US" w:eastAsia="zh-CN" w:bidi="ar-SA"/>
        </w:rPr>
        <w:t>) 数据收集清单：列出主要活动数据及其来源、数据质量说明；</w:t>
      </w:r>
      <w:r>
        <w:rPr>
          <w:rFonts w:hint="eastAsia" w:ascii="宋体" w:hAnsi="Times New Roman" w:eastAsia="宋体" w:cs="Times New Roman"/>
          <w:kern w:val="0"/>
          <w:sz w:val="21"/>
          <w:szCs w:val="21"/>
          <w:highlight w:val="none"/>
          <w:lang w:val="en-US" w:eastAsia="zh-CN" w:bidi="ar-SA"/>
        </w:rPr>
        <w:br w:type="textWrapping"/>
      </w:r>
      <w:r>
        <w:rPr>
          <w:rFonts w:hint="eastAsia" w:ascii="宋体" w:hAnsi="Times New Roman" w:cs="Times New Roman"/>
          <w:kern w:val="0"/>
          <w:sz w:val="21"/>
          <w:szCs w:val="21"/>
          <w:highlight w:val="none"/>
          <w:lang w:val="en-US" w:eastAsia="zh-CN" w:bidi="ar-SA"/>
        </w:rPr>
        <w:t>5</w:t>
      </w:r>
      <w:r>
        <w:rPr>
          <w:rFonts w:hint="eastAsia" w:ascii="宋体" w:hAnsi="Times New Roman" w:eastAsia="宋体" w:cs="Times New Roman"/>
          <w:kern w:val="0"/>
          <w:sz w:val="21"/>
          <w:szCs w:val="21"/>
          <w:highlight w:val="none"/>
          <w:lang w:val="en-US" w:eastAsia="zh-CN" w:bidi="ar-SA"/>
        </w:rPr>
        <w:t>) 分配方法：说明采用的分配原则及依据，特别是共伴生矿产、再生</w:t>
      </w:r>
      <w:r>
        <w:rPr>
          <w:rFonts w:hint="eastAsia" w:ascii="宋体" w:hAnsi="Times New Roman" w:cs="Times New Roman"/>
          <w:color w:val="0000FF"/>
          <w:kern w:val="0"/>
          <w:sz w:val="21"/>
          <w:szCs w:val="21"/>
          <w:highlight w:val="none"/>
          <w:lang w:val="en-US" w:eastAsia="zh-CN" w:bidi="ar-SA"/>
        </w:rPr>
        <w:t>银</w:t>
      </w:r>
      <w:r>
        <w:rPr>
          <w:rFonts w:hint="eastAsia" w:ascii="宋体" w:hAnsi="Times New Roman" w:eastAsia="宋体" w:cs="Times New Roman"/>
          <w:kern w:val="0"/>
          <w:sz w:val="21"/>
          <w:szCs w:val="21"/>
          <w:highlight w:val="none"/>
          <w:lang w:val="en-US" w:eastAsia="zh-CN" w:bidi="ar-SA"/>
        </w:rPr>
        <w:t>、多产品联产的分配规则</w:t>
      </w:r>
      <w:r>
        <w:rPr>
          <w:rFonts w:hint="default" w:ascii="宋体" w:hAnsi="Times New Roman" w:eastAsia="宋体" w:cs="Times New Roman"/>
          <w:kern w:val="0"/>
          <w:sz w:val="21"/>
          <w:szCs w:val="21"/>
          <w:highlight w:val="none"/>
          <w:lang w:val="en-US" w:eastAsia="zh-CN" w:bidi="ar-SA"/>
        </w:rPr>
        <w:t>；</w:t>
      </w:r>
      <w:r>
        <w:rPr>
          <w:rFonts w:hint="eastAsia" w:ascii="宋体" w:hAnsi="Times New Roman" w:eastAsia="宋体" w:cs="Times New Roman"/>
          <w:kern w:val="0"/>
          <w:sz w:val="21"/>
          <w:szCs w:val="21"/>
          <w:highlight w:val="none"/>
          <w:lang w:val="en-US" w:eastAsia="zh-CN" w:bidi="ar-SA"/>
        </w:rPr>
        <w:br w:type="textWrapping"/>
      </w:r>
      <w:r>
        <w:rPr>
          <w:rFonts w:hint="eastAsia" w:ascii="宋体" w:hAnsi="Times New Roman" w:cs="Times New Roman"/>
          <w:kern w:val="0"/>
          <w:sz w:val="21"/>
          <w:szCs w:val="21"/>
          <w:highlight w:val="none"/>
          <w:lang w:val="en-US" w:eastAsia="zh-CN" w:bidi="ar-SA"/>
        </w:rPr>
        <w:t>6</w:t>
      </w:r>
      <w:r>
        <w:rPr>
          <w:rFonts w:hint="eastAsia" w:ascii="宋体" w:hAnsi="Times New Roman" w:eastAsia="宋体" w:cs="Times New Roman"/>
          <w:kern w:val="0"/>
          <w:sz w:val="21"/>
          <w:szCs w:val="21"/>
          <w:highlight w:val="none"/>
          <w:lang w:val="en-US" w:eastAsia="zh-CN" w:bidi="ar-SA"/>
        </w:rPr>
        <w:t>) 计算结果：列出各阶段、各活动的碳排放量及总碳足迹；</w:t>
      </w:r>
      <w:r>
        <w:rPr>
          <w:rFonts w:hint="eastAsia" w:ascii="宋体" w:hAnsi="Times New Roman" w:eastAsia="宋体" w:cs="Times New Roman"/>
          <w:kern w:val="0"/>
          <w:sz w:val="21"/>
          <w:szCs w:val="21"/>
          <w:highlight w:val="none"/>
          <w:lang w:val="en-US" w:eastAsia="zh-CN" w:bidi="ar-SA"/>
        </w:rPr>
        <w:br w:type="textWrapping"/>
      </w:r>
      <w:r>
        <w:rPr>
          <w:rFonts w:hint="eastAsia" w:ascii="宋体" w:hAnsi="Times New Roman" w:cs="Times New Roman"/>
          <w:kern w:val="0"/>
          <w:sz w:val="21"/>
          <w:szCs w:val="21"/>
          <w:highlight w:val="none"/>
          <w:lang w:val="en-US" w:eastAsia="zh-CN" w:bidi="ar-SA"/>
        </w:rPr>
        <w:t>7</w:t>
      </w:r>
      <w:r>
        <w:rPr>
          <w:rFonts w:hint="eastAsia" w:ascii="宋体" w:hAnsi="Times New Roman" w:eastAsia="宋体" w:cs="Times New Roman"/>
          <w:kern w:val="0"/>
          <w:sz w:val="21"/>
          <w:szCs w:val="21"/>
          <w:highlight w:val="none"/>
          <w:lang w:val="en-US" w:eastAsia="zh-CN" w:bidi="ar-SA"/>
        </w:rPr>
        <w:t>) 结果解释：贡献分析、不确定性分析、改进建议；</w:t>
      </w:r>
      <w:r>
        <w:rPr>
          <w:rFonts w:hint="eastAsia" w:ascii="宋体" w:hAnsi="Times New Roman" w:eastAsia="宋体" w:cs="Times New Roman"/>
          <w:kern w:val="0"/>
          <w:sz w:val="21"/>
          <w:szCs w:val="21"/>
          <w:highlight w:val="none"/>
          <w:lang w:val="en-US" w:eastAsia="zh-CN" w:bidi="ar-SA"/>
        </w:rPr>
        <w:br w:type="textWrapping"/>
      </w:r>
      <w:r>
        <w:rPr>
          <w:rFonts w:hint="eastAsia" w:ascii="宋体" w:hAnsi="Times New Roman" w:cs="Times New Roman"/>
          <w:kern w:val="0"/>
          <w:sz w:val="21"/>
          <w:szCs w:val="21"/>
          <w:highlight w:val="none"/>
          <w:lang w:val="en-US" w:eastAsia="zh-CN" w:bidi="ar-SA"/>
        </w:rPr>
        <w:t>8</w:t>
      </w:r>
      <w:r>
        <w:rPr>
          <w:rFonts w:hint="eastAsia" w:ascii="宋体" w:hAnsi="Times New Roman" w:eastAsia="宋体" w:cs="Times New Roman"/>
          <w:kern w:val="0"/>
          <w:sz w:val="21"/>
          <w:szCs w:val="21"/>
          <w:highlight w:val="none"/>
          <w:lang w:val="en-US" w:eastAsia="zh-CN" w:bidi="ar-SA"/>
        </w:rPr>
        <w:t>) 核查声明：如经第三方核查，应附核查机构名称、核查结论。</w:t>
      </w:r>
      <w:bookmarkStart w:id="44" w:name="_Toc23167"/>
    </w:p>
    <w:p w14:paraId="424B2BD8">
      <w:pPr>
        <w:keepNext w:val="0"/>
        <w:keepLines w:val="0"/>
        <w:pageBreakBefore w:val="0"/>
        <w:widowControl w:val="0"/>
        <w:kinsoku/>
        <w:wordWrap/>
        <w:overflowPunct/>
        <w:topLinePunct w:val="0"/>
        <w:autoSpaceDE/>
        <w:autoSpaceDN/>
        <w:bidi w:val="0"/>
        <w:adjustRightInd/>
        <w:snapToGrid/>
        <w:spacing w:line="240" w:lineRule="auto"/>
        <w:ind w:left="420" w:leftChars="200" w:firstLine="0" w:firstLineChars="0"/>
        <w:textAlignment w:val="auto"/>
        <w:rPr>
          <w:rFonts w:hint="eastAsia" w:ascii="黑体" w:hAnsi="宋体" w:eastAsia="黑体" w:cs="Times New Roman"/>
          <w:szCs w:val="21"/>
          <w:lang w:val="en-US" w:eastAsia="zh-CN"/>
        </w:rPr>
      </w:pPr>
      <w:r>
        <w:rPr>
          <w:rFonts w:hint="eastAsia" w:ascii="宋体" w:hAnsi="Times New Roman" w:eastAsia="宋体" w:cs="Times New Roman"/>
          <w:kern w:val="0"/>
          <w:sz w:val="21"/>
          <w:szCs w:val="21"/>
          <w:highlight w:val="none"/>
          <w:lang w:val="en-US" w:eastAsia="zh-CN" w:bidi="ar-SA"/>
        </w:rPr>
        <w:t>9）碳足迹标识认证信息（如适用）</w:t>
      </w:r>
      <w:r>
        <w:rPr>
          <w:rFonts w:hint="default" w:ascii="宋体" w:hAnsi="Times New Roman" w:eastAsia="宋体" w:cs="Times New Roman"/>
          <w:kern w:val="0"/>
          <w:sz w:val="21"/>
          <w:szCs w:val="21"/>
          <w:highlight w:val="none"/>
          <w:lang w:val="en-US" w:eastAsia="zh-CN" w:bidi="ar-SA"/>
        </w:rPr>
        <w:t> ：</w:t>
      </w:r>
      <w:r>
        <w:rPr>
          <w:rFonts w:hint="default" w:ascii="Segoe UI" w:hAnsi="Segoe UI" w:eastAsia="Segoe UI" w:cs="Segoe UI"/>
          <w:i w:val="0"/>
          <w:iCs w:val="0"/>
          <w:caps w:val="0"/>
          <w:color w:val="0F1115"/>
          <w:spacing w:val="0"/>
          <w:sz w:val="24"/>
          <w:szCs w:val="24"/>
          <w:shd w:val="clear" w:fill="FFFFFF"/>
        </w:rPr>
        <w:t>如产品已获得碳足迹标识认证，应注明认证机构名称、认证编号、认证有效期及认证标识类型。</w:t>
      </w:r>
    </w:p>
    <w:p w14:paraId="7FA62B91">
      <w:pPr>
        <w:keepNext w:val="0"/>
        <w:keepLines w:val="0"/>
        <w:pageBreakBefore w:val="0"/>
        <w:widowControl w:val="0"/>
        <w:kinsoku/>
        <w:wordWrap/>
        <w:overflowPunct/>
        <w:topLinePunct w:val="0"/>
        <w:autoSpaceDE/>
        <w:autoSpaceDN/>
        <w:bidi w:val="0"/>
        <w:adjustRightInd/>
        <w:snapToGrid/>
        <w:spacing w:beforeLines="50" w:afterLines="50" w:line="240" w:lineRule="auto"/>
        <w:textAlignment w:val="auto"/>
        <w:outlineLvl w:val="1"/>
        <w:rPr>
          <w:rFonts w:hint="eastAsia" w:ascii="黑体" w:hAnsi="宋体" w:eastAsia="黑体" w:cs="Times New Roman"/>
          <w:szCs w:val="21"/>
          <w:lang w:val="en-US" w:eastAsia="zh-CN"/>
        </w:rPr>
      </w:pPr>
      <w:r>
        <w:rPr>
          <w:rFonts w:hint="eastAsia" w:ascii="黑体" w:hAnsi="宋体" w:eastAsia="黑体" w:cs="Times New Roman"/>
          <w:szCs w:val="21"/>
          <w:lang w:val="en-US" w:eastAsia="zh-CN"/>
        </w:rPr>
        <w:t>8.2报告格式</w:t>
      </w:r>
      <w:bookmarkEnd w:id="44"/>
    </w:p>
    <w:p w14:paraId="638C3D6F">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宋体" w:hAnsi="Times New Roman" w:eastAsia="宋体" w:cs="Times New Roman"/>
          <w:kern w:val="0"/>
          <w:sz w:val="21"/>
          <w:szCs w:val="21"/>
          <w:highlight w:val="none"/>
          <w:lang w:val="en-US" w:eastAsia="zh-CN" w:bidi="ar-SA"/>
        </w:rPr>
      </w:pPr>
      <w:r>
        <w:rPr>
          <w:rFonts w:hint="eastAsia" w:ascii="宋体" w:hAnsi="Times New Roman" w:eastAsia="宋体" w:cs="Times New Roman"/>
          <w:kern w:val="0"/>
          <w:sz w:val="21"/>
          <w:szCs w:val="21"/>
          <w:highlight w:val="none"/>
          <w:lang w:val="en-US" w:eastAsia="zh-CN" w:bidi="ar-SA"/>
        </w:rPr>
        <w:t>报告应清晰、完整，可采用文字、表格、图表相结合的形式。报告封面应注明报告编号、编制单位、编制日期。推荐采用附录E的模板。</w:t>
      </w:r>
    </w:p>
    <w:p w14:paraId="340C7408">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宋体" w:hAnsi="Times New Roman" w:eastAsia="宋体" w:cs="Times New Roman"/>
          <w:kern w:val="0"/>
          <w:sz w:val="21"/>
          <w:szCs w:val="21"/>
          <w:highlight w:val="none"/>
          <w:lang w:val="en-US" w:eastAsia="zh-CN" w:bidi="ar-SA"/>
        </w:rPr>
        <w:sectPr>
          <w:headerReference r:id="rId8" w:type="default"/>
          <w:footerReference r:id="rId9" w:type="default"/>
          <w:pgSz w:w="11906" w:h="16838"/>
          <w:pgMar w:top="1928" w:right="1134" w:bottom="1134" w:left="1134" w:header="1418" w:footer="1134" w:gutter="284"/>
          <w:pgBorders>
            <w:top w:val="none" w:sz="0" w:space="0"/>
            <w:left w:val="none" w:sz="0" w:space="0"/>
            <w:bottom w:val="none" w:sz="0" w:space="0"/>
            <w:right w:val="none" w:sz="0" w:space="0"/>
          </w:pgBorders>
          <w:pgNumType w:fmt="decimal"/>
          <w:cols w:space="425" w:num="1"/>
          <w:formProt w:val="0"/>
          <w:docGrid w:type="lines" w:linePitch="312" w:charSpace="0"/>
        </w:sectPr>
      </w:pPr>
    </w:p>
    <w:p w14:paraId="52D6035B">
      <w:pPr>
        <w:spacing w:beforeLines="0" w:afterLines="0" w:line="240" w:lineRule="auto"/>
        <w:jc w:val="center"/>
        <w:outlineLvl w:val="0"/>
        <w:rPr>
          <w:rFonts w:hint="eastAsia" w:ascii="黑体" w:hAnsi="宋体" w:eastAsia="黑体" w:cs="Times New Roman"/>
          <w:szCs w:val="21"/>
          <w:lang w:val="en-US" w:eastAsia="zh-CN"/>
        </w:rPr>
      </w:pPr>
      <w:bookmarkStart w:id="45" w:name="_Toc4098"/>
      <w:r>
        <w:rPr>
          <w:rFonts w:hint="eastAsia" w:ascii="黑体" w:hAnsi="宋体" w:eastAsia="黑体" w:cs="Times New Roman"/>
          <w:szCs w:val="21"/>
          <w:lang w:val="en-US" w:eastAsia="zh-CN"/>
        </w:rPr>
        <w:t>附录A</w:t>
      </w:r>
      <w:bookmarkEnd w:id="45"/>
    </w:p>
    <w:p w14:paraId="6F9BA72A">
      <w:pPr>
        <w:spacing w:beforeLines="0" w:afterLines="0" w:line="240" w:lineRule="auto"/>
        <w:jc w:val="center"/>
        <w:outlineLvl w:val="0"/>
        <w:rPr>
          <w:rFonts w:hint="eastAsia" w:ascii="黑体" w:hAnsi="宋体" w:eastAsia="黑体" w:cs="Times New Roman"/>
          <w:szCs w:val="21"/>
          <w:lang w:val="en-US" w:eastAsia="zh-CN"/>
        </w:rPr>
      </w:pPr>
      <w:bookmarkStart w:id="46" w:name="_Toc10131"/>
      <w:r>
        <w:rPr>
          <w:rFonts w:hint="eastAsia" w:ascii="黑体" w:hAnsi="宋体" w:eastAsia="黑体" w:cs="Times New Roman"/>
          <w:szCs w:val="21"/>
          <w:lang w:val="en-US" w:eastAsia="zh-CN"/>
        </w:rPr>
        <w:t>（规范性附录）</w:t>
      </w:r>
      <w:bookmarkEnd w:id="46"/>
    </w:p>
    <w:p w14:paraId="18B4A320">
      <w:pPr>
        <w:pStyle w:val="279"/>
        <w:spacing w:beforeLines="0" w:afterLines="0" w:line="240" w:lineRule="auto"/>
        <w:ind w:firstLine="0" w:firstLineChars="0"/>
        <w:jc w:val="center"/>
        <w:rPr>
          <w:rFonts w:hint="eastAsia" w:ascii="黑体" w:hAnsi="黑体" w:eastAsia="黑体" w:cs="黑体"/>
          <w:bCs/>
          <w:lang w:val="en-US" w:eastAsia="zh-CN"/>
        </w:rPr>
      </w:pPr>
      <w:bookmarkStart w:id="47" w:name="_Toc1665"/>
      <w:r>
        <w:rPr>
          <w:rFonts w:hint="eastAsia" w:ascii="黑体" w:hAnsi="黑体" w:eastAsia="黑体" w:cs="黑体"/>
          <w:bCs/>
          <w:lang w:val="en-US" w:eastAsia="zh-CN"/>
        </w:rPr>
        <w:t>银锭生产工艺流程及排放源识别</w:t>
      </w:r>
      <w:bookmarkEnd w:id="47"/>
    </w:p>
    <w:p w14:paraId="55BB2BD6">
      <w:pPr>
        <w:pStyle w:val="279"/>
        <w:keepNext w:val="0"/>
        <w:keepLines w:val="0"/>
        <w:pageBreakBefore w:val="0"/>
        <w:widowControl w:val="0"/>
        <w:kinsoku/>
        <w:wordWrap/>
        <w:overflowPunct/>
        <w:topLinePunct w:val="0"/>
        <w:autoSpaceDE/>
        <w:autoSpaceDN/>
        <w:bidi w:val="0"/>
        <w:adjustRightInd w:val="0"/>
        <w:snapToGrid/>
        <w:spacing w:beforeLines="100" w:afterLines="100" w:line="240" w:lineRule="auto"/>
        <w:ind w:firstLine="0" w:firstLineChars="0"/>
        <w:textAlignment w:val="auto"/>
        <w:rPr>
          <w:rFonts w:hint="eastAsia" w:ascii="黑体" w:hAnsi="黑体" w:eastAsia="黑体" w:cs="黑体"/>
          <w:bCs/>
          <w:lang w:val="en-US" w:eastAsia="zh-CN"/>
        </w:rPr>
      </w:pPr>
      <w:r>
        <w:rPr>
          <w:rFonts w:hint="eastAsia" w:ascii="黑体" w:hAnsi="黑体" w:eastAsia="黑体" w:cs="黑体"/>
          <w:bCs/>
          <w:lang w:val="en-US" w:eastAsia="zh-CN"/>
        </w:rPr>
        <w:t>A.1 典型工艺流程</w:t>
      </w:r>
    </w:p>
    <w:p w14:paraId="38D4D9F4">
      <w:pPr>
        <w:ind w:firstLine="420" w:firstLineChars="200"/>
        <w:rPr>
          <w:rFonts w:hint="eastAsia"/>
          <w:szCs w:val="21"/>
          <w:lang w:val="en-US" w:eastAsia="zh-CN"/>
        </w:rPr>
      </w:pPr>
      <w:r>
        <w:rPr>
          <w:rFonts w:hint="eastAsia"/>
          <w:szCs w:val="21"/>
          <w:lang w:val="en-US" w:eastAsia="zh-CN"/>
        </w:rPr>
        <w:t>银锭生产主要分为三类工艺路线：原生银矿采选冶一体化流程、伴生银提取流程、再生银回收精炼流程。</w:t>
      </w:r>
    </w:p>
    <w:p w14:paraId="61E63A89">
      <w:pPr>
        <w:keepNext w:val="0"/>
        <w:keepLines w:val="0"/>
        <w:pageBreakBefore w:val="0"/>
        <w:widowControl w:val="0"/>
        <w:kinsoku/>
        <w:wordWrap/>
        <w:overflowPunct/>
        <w:topLinePunct w:val="0"/>
        <w:autoSpaceDE/>
        <w:autoSpaceDN/>
        <w:bidi w:val="0"/>
        <w:adjustRightInd w:val="0"/>
        <w:snapToGrid/>
        <w:spacing w:line="240" w:lineRule="auto"/>
        <w:ind w:firstLine="420" w:firstLineChars="200"/>
        <w:textAlignment w:val="auto"/>
        <w:rPr>
          <w:rFonts w:hint="eastAsia"/>
          <w:szCs w:val="21"/>
          <w:lang w:val="en-US" w:eastAsia="zh-CN"/>
        </w:rPr>
      </w:pPr>
      <w:r>
        <w:rPr>
          <w:rFonts w:hint="eastAsia"/>
          <w:szCs w:val="21"/>
          <w:lang w:val="en-US" w:eastAsia="zh-CN"/>
        </w:rPr>
        <w:drawing>
          <wp:inline distT="0" distB="0" distL="114300" distR="114300">
            <wp:extent cx="5273040" cy="4636135"/>
            <wp:effectExtent l="0" t="0" r="3810" b="12065"/>
            <wp:docPr id="3" name="图片 3" descr="ScreenShot_2026-03-27_114801_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ScreenShot_2026-03-27_114801_578"/>
                    <pic:cNvPicPr>
                      <a:picLocks noChangeAspect="1"/>
                    </pic:cNvPicPr>
                  </pic:nvPicPr>
                  <pic:blipFill>
                    <a:blip r:embed="rId11"/>
                    <a:stretch>
                      <a:fillRect/>
                    </a:stretch>
                  </pic:blipFill>
                  <pic:spPr>
                    <a:xfrm>
                      <a:off x="0" y="0"/>
                      <a:ext cx="5273040" cy="4636135"/>
                    </a:xfrm>
                    <a:prstGeom prst="rect">
                      <a:avLst/>
                    </a:prstGeom>
                  </pic:spPr>
                </pic:pic>
              </a:graphicData>
            </a:graphic>
          </wp:inline>
        </w:drawing>
      </w:r>
    </w:p>
    <w:p w14:paraId="36C0B46D">
      <w:pPr>
        <w:spacing w:before="156" w:beforeLines="50" w:after="156" w:afterLines="50"/>
        <w:jc w:val="center"/>
        <w:rPr>
          <w:rFonts w:hint="default" w:ascii="黑体" w:hAnsi="黑体" w:eastAsia="黑体" w:cs="黑体"/>
          <w:color w:val="auto"/>
          <w:spacing w:val="-13"/>
          <w:lang w:val="en-US" w:eastAsia="zh-CN"/>
        </w:rPr>
      </w:pPr>
      <w:r>
        <w:rPr>
          <w:rFonts w:hint="eastAsia" w:ascii="黑体" w:hAnsi="黑体" w:eastAsia="黑体" w:cs="黑体"/>
          <w:color w:val="auto"/>
          <w:spacing w:val="-13"/>
          <w:lang w:val="en-US" w:eastAsia="zh-CN"/>
        </w:rPr>
        <w:t>A.1 银锭生产三类主要工艺路线图</w:t>
      </w:r>
    </w:p>
    <w:p w14:paraId="399ABDAA">
      <w:pPr>
        <w:pStyle w:val="279"/>
        <w:keepNext w:val="0"/>
        <w:keepLines w:val="0"/>
        <w:pageBreakBefore w:val="0"/>
        <w:widowControl w:val="0"/>
        <w:kinsoku/>
        <w:wordWrap/>
        <w:overflowPunct/>
        <w:topLinePunct w:val="0"/>
        <w:autoSpaceDE/>
        <w:autoSpaceDN/>
        <w:bidi w:val="0"/>
        <w:adjustRightInd w:val="0"/>
        <w:snapToGrid/>
        <w:spacing w:before="157" w:beforeLines="50" w:after="157" w:afterLines="50" w:line="240" w:lineRule="auto"/>
        <w:ind w:firstLine="0" w:firstLineChars="0"/>
        <w:textAlignment w:val="auto"/>
        <w:rPr>
          <w:rFonts w:hint="eastAsia" w:ascii="黑体" w:hAnsi="黑体" w:eastAsia="黑体" w:cs="黑体"/>
          <w:bCs/>
          <w:lang w:val="en-US" w:eastAsia="zh-CN"/>
        </w:rPr>
      </w:pPr>
      <w:r>
        <w:rPr>
          <w:rFonts w:hint="default" w:ascii="黑体" w:hAnsi="黑体" w:eastAsia="黑体" w:cs="黑体"/>
          <w:bCs/>
          <w:lang w:val="en-US" w:eastAsia="zh-CN"/>
        </w:rPr>
        <w:t>A.1.1 原生银矿采选冶一体化流程</w:t>
      </w:r>
    </w:p>
    <w:p w14:paraId="3DA0B35A">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宋体" w:hAnsi="Times New Roman" w:eastAsia="宋体" w:cs="Times New Roman"/>
          <w:kern w:val="0"/>
          <w:sz w:val="21"/>
          <w:szCs w:val="21"/>
          <w:highlight w:val="none"/>
          <w:lang w:val="en-US" w:eastAsia="zh-CN" w:bidi="ar-SA"/>
        </w:rPr>
      </w:pPr>
      <w:r>
        <w:rPr>
          <w:rFonts w:hint="default" w:ascii="宋体" w:hAnsi="Times New Roman" w:eastAsia="宋体" w:cs="Times New Roman"/>
          <w:kern w:val="0"/>
          <w:sz w:val="21"/>
          <w:szCs w:val="21"/>
          <w:highlight w:val="none"/>
          <w:lang w:val="en-US" w:eastAsia="zh-CN" w:bidi="ar-SA"/>
        </w:rPr>
        <w:t>该流程以独立银矿为原料，涵盖采矿（露天或井下）、选矿（破碎、磨矿、浮选、氰化浸出等）、冶炼（熔炼、吹炼）、精炼（电解、铸锭）等完整工序。该流程碳排放主要来源于采矿设备能耗、选矿电力消耗、冶炼燃料燃烧及药剂生产隐含排放。</w:t>
      </w:r>
    </w:p>
    <w:p w14:paraId="2C28C20B">
      <w:pPr>
        <w:pStyle w:val="279"/>
        <w:keepNext w:val="0"/>
        <w:keepLines w:val="0"/>
        <w:pageBreakBefore w:val="0"/>
        <w:widowControl w:val="0"/>
        <w:kinsoku/>
        <w:wordWrap/>
        <w:overflowPunct/>
        <w:topLinePunct w:val="0"/>
        <w:autoSpaceDE/>
        <w:autoSpaceDN/>
        <w:bidi w:val="0"/>
        <w:adjustRightInd w:val="0"/>
        <w:snapToGrid/>
        <w:spacing w:before="157" w:beforeLines="50" w:after="157" w:afterLines="50" w:line="240" w:lineRule="auto"/>
        <w:ind w:firstLine="0" w:firstLineChars="0"/>
        <w:textAlignment w:val="auto"/>
        <w:rPr>
          <w:rFonts w:hint="default" w:ascii="黑体" w:hAnsi="黑体" w:eastAsia="黑体" w:cs="黑体"/>
          <w:bCs/>
          <w:lang w:val="en-US" w:eastAsia="zh-CN"/>
        </w:rPr>
      </w:pPr>
      <w:r>
        <w:rPr>
          <w:rFonts w:hint="default" w:ascii="黑体" w:hAnsi="黑体" w:eastAsia="黑体" w:cs="黑体"/>
          <w:bCs/>
          <w:lang w:val="en-US" w:eastAsia="zh-CN"/>
        </w:rPr>
        <w:t>A.1.2 伴生银提取流程</w:t>
      </w:r>
    </w:p>
    <w:p w14:paraId="0D0276FD">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default" w:ascii="宋体" w:hAnsi="Times New Roman" w:eastAsia="宋体" w:cs="Times New Roman"/>
          <w:kern w:val="0"/>
          <w:sz w:val="21"/>
          <w:szCs w:val="21"/>
          <w:highlight w:val="none"/>
          <w:lang w:val="en-US" w:eastAsia="zh-CN" w:bidi="ar-SA"/>
        </w:rPr>
      </w:pPr>
      <w:r>
        <w:rPr>
          <w:rFonts w:hint="default" w:ascii="宋体" w:hAnsi="Times New Roman" w:eastAsia="宋体" w:cs="Times New Roman"/>
          <w:kern w:val="0"/>
          <w:sz w:val="21"/>
          <w:szCs w:val="21"/>
          <w:highlight w:val="none"/>
          <w:lang w:val="en-US" w:eastAsia="zh-CN" w:bidi="ar-SA"/>
        </w:rPr>
        <w:t>该流程以铜、铅、锌等主矿产中的伴生银为来源，银作为共生产品在冶炼过程中被回收。系统边界从主矿产采矿开始，至冶炼分离出含银中间产品（如阳极泥）为止，后续精炼过程单独核算。碳排放需通过分配方法在主产品与伴生银之间分摊。</w:t>
      </w:r>
    </w:p>
    <w:p w14:paraId="6E7FDA3B">
      <w:pPr>
        <w:pStyle w:val="279"/>
        <w:keepNext w:val="0"/>
        <w:keepLines w:val="0"/>
        <w:pageBreakBefore w:val="0"/>
        <w:widowControl w:val="0"/>
        <w:kinsoku/>
        <w:wordWrap/>
        <w:overflowPunct/>
        <w:topLinePunct w:val="0"/>
        <w:autoSpaceDE/>
        <w:autoSpaceDN/>
        <w:bidi w:val="0"/>
        <w:adjustRightInd w:val="0"/>
        <w:snapToGrid/>
        <w:spacing w:before="157" w:beforeLines="50" w:after="157" w:afterLines="50" w:line="240" w:lineRule="auto"/>
        <w:ind w:firstLine="0" w:firstLineChars="0"/>
        <w:textAlignment w:val="auto"/>
        <w:rPr>
          <w:rFonts w:hint="default" w:ascii="黑体" w:hAnsi="黑体" w:eastAsia="黑体" w:cs="黑体"/>
          <w:bCs/>
          <w:lang w:val="en-US" w:eastAsia="zh-CN"/>
        </w:rPr>
      </w:pPr>
      <w:r>
        <w:rPr>
          <w:rFonts w:hint="default" w:ascii="黑体" w:hAnsi="黑体" w:eastAsia="黑体" w:cs="黑体"/>
          <w:bCs/>
          <w:lang w:val="en-US" w:eastAsia="zh-CN"/>
        </w:rPr>
        <w:t>A.1.3 再生银回收精炼流程</w:t>
      </w:r>
    </w:p>
    <w:p w14:paraId="14E2895F">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default" w:ascii="宋体" w:hAnsi="Times New Roman" w:eastAsia="宋体" w:cs="Times New Roman"/>
          <w:kern w:val="0"/>
          <w:sz w:val="21"/>
          <w:szCs w:val="21"/>
          <w:highlight w:val="none"/>
          <w:lang w:val="en-US" w:eastAsia="zh-CN" w:bidi="ar-SA"/>
        </w:rPr>
      </w:pPr>
      <w:r>
        <w:rPr>
          <w:rFonts w:hint="default" w:ascii="宋体" w:hAnsi="Times New Roman" w:eastAsia="宋体" w:cs="Times New Roman"/>
          <w:kern w:val="0"/>
          <w:sz w:val="21"/>
          <w:szCs w:val="21"/>
          <w:highlight w:val="none"/>
          <w:lang w:val="en-US" w:eastAsia="zh-CN" w:bidi="ar-SA"/>
        </w:rPr>
        <w:t>该流程以消费前或消费后含银废料为原料，经收集、分类、预处理、熔炼、精炼等工序产出银锭。碳排放仅核算再生银回收、预处理、运输及精炼环节，不追溯废料原生生产过程的排放。</w:t>
      </w:r>
    </w:p>
    <w:p w14:paraId="5190D4C7">
      <w:pPr>
        <w:pStyle w:val="279"/>
        <w:spacing w:beforeLines="100" w:afterLines="100" w:line="240" w:lineRule="auto"/>
        <w:ind w:firstLine="0" w:firstLineChars="0"/>
        <w:rPr>
          <w:rFonts w:hint="eastAsia" w:ascii="黑体" w:hAnsi="黑体" w:eastAsia="黑体" w:cs="黑体"/>
          <w:bCs/>
          <w:lang w:val="en-US" w:eastAsia="zh-CN"/>
        </w:rPr>
      </w:pPr>
      <w:r>
        <w:rPr>
          <w:rFonts w:hint="eastAsia" w:ascii="黑体" w:hAnsi="黑体" w:eastAsia="黑体" w:cs="黑体"/>
          <w:bCs/>
          <w:lang w:val="en-US" w:eastAsia="zh-CN"/>
        </w:rPr>
        <w:t>A.2 主要排放源识别表</w:t>
      </w:r>
    </w:p>
    <w:p w14:paraId="1919A098">
      <w:pPr>
        <w:ind w:firstLine="420" w:firstLineChars="200"/>
        <w:rPr>
          <w:rFonts w:hint="default"/>
          <w:szCs w:val="21"/>
          <w:lang w:val="en-US" w:eastAsia="zh-CN"/>
        </w:rPr>
      </w:pPr>
      <w:r>
        <w:rPr>
          <w:rFonts w:hint="eastAsia"/>
          <w:szCs w:val="21"/>
          <w:lang w:val="en-US" w:eastAsia="zh-CN"/>
        </w:rPr>
        <w:t>各工序的主要温室气体排放源见表A.1。</w:t>
      </w:r>
    </w:p>
    <w:p w14:paraId="4F7E6CFC">
      <w:pPr>
        <w:spacing w:before="156" w:beforeLines="50" w:after="156" w:afterLines="50"/>
        <w:jc w:val="center"/>
        <w:rPr>
          <w:rFonts w:hint="eastAsia" w:ascii="黑体" w:hAnsi="黑体" w:eastAsia="黑体" w:cs="黑体"/>
          <w:color w:val="auto"/>
          <w:spacing w:val="-13"/>
          <w:lang w:val="en-US" w:eastAsia="zh-CN"/>
        </w:rPr>
      </w:pPr>
      <w:r>
        <w:rPr>
          <w:rFonts w:hint="eastAsia" w:ascii="黑体" w:hAnsi="黑体" w:eastAsia="黑体" w:cs="黑体"/>
          <w:color w:val="auto"/>
          <w:spacing w:val="-13"/>
          <w:lang w:val="en-US" w:eastAsia="zh-CN"/>
        </w:rPr>
        <w:t>A.1 银锭生产主要排放源</w:t>
      </w:r>
    </w:p>
    <w:tbl>
      <w:tblPr>
        <w:tblStyle w:val="3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14"/>
        <w:gridCol w:w="3732"/>
        <w:gridCol w:w="1682"/>
        <w:gridCol w:w="2138"/>
      </w:tblGrid>
      <w:tr w14:paraId="44A31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2" w:type="pct"/>
            <w:vAlign w:val="center"/>
          </w:tcPr>
          <w:p w14:paraId="341E1356">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工序</w:t>
            </w:r>
          </w:p>
        </w:tc>
        <w:tc>
          <w:tcPr>
            <w:tcW w:w="1950" w:type="pct"/>
            <w:vAlign w:val="center"/>
          </w:tcPr>
          <w:p w14:paraId="478614C4">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排放源类型</w:t>
            </w:r>
          </w:p>
        </w:tc>
        <w:tc>
          <w:tcPr>
            <w:tcW w:w="879" w:type="pct"/>
            <w:vAlign w:val="center"/>
          </w:tcPr>
          <w:p w14:paraId="003F7883">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排放气体</w:t>
            </w:r>
          </w:p>
        </w:tc>
        <w:tc>
          <w:tcPr>
            <w:tcW w:w="1117" w:type="pct"/>
            <w:vAlign w:val="center"/>
          </w:tcPr>
          <w:p w14:paraId="5BEB4ADC">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备注</w:t>
            </w:r>
          </w:p>
        </w:tc>
      </w:tr>
      <w:tr w14:paraId="16456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2" w:type="pct"/>
            <w:vAlign w:val="center"/>
          </w:tcPr>
          <w:p w14:paraId="53D21341">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rPr>
              <w:t>露天采矿</w:t>
            </w:r>
          </w:p>
        </w:tc>
        <w:tc>
          <w:tcPr>
            <w:tcW w:w="1950" w:type="pct"/>
            <w:vAlign w:val="center"/>
          </w:tcPr>
          <w:p w14:paraId="7B2CAB32">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rPr>
              <w:t>柴油设备燃烧、炸药使用</w:t>
            </w:r>
          </w:p>
        </w:tc>
        <w:tc>
          <w:tcPr>
            <w:tcW w:w="879" w:type="pct"/>
            <w:vAlign w:val="center"/>
          </w:tcPr>
          <w:p w14:paraId="5AF1F963">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CO</w:t>
            </w:r>
            <w:r>
              <w:rPr>
                <w:rFonts w:hint="eastAsia" w:ascii="Times New Roman" w:hAnsi="宋体" w:cs="Times New Roman"/>
                <w:color w:val="auto"/>
                <w:sz w:val="18"/>
                <w:szCs w:val="18"/>
                <w:vertAlign w:val="subscript"/>
                <w:lang w:val="en-US" w:eastAsia="zh-CN"/>
              </w:rPr>
              <w:t>2</w:t>
            </w:r>
            <w:r>
              <w:rPr>
                <w:rFonts w:hint="eastAsia" w:ascii="Times New Roman" w:hAnsi="宋体" w:cs="Times New Roman"/>
                <w:color w:val="auto"/>
                <w:sz w:val="18"/>
                <w:szCs w:val="18"/>
                <w:lang w:val="en-US" w:eastAsia="zh-CN"/>
              </w:rPr>
              <w:t>、CH</w:t>
            </w:r>
            <w:r>
              <w:rPr>
                <w:rFonts w:hint="eastAsia" w:ascii="Times New Roman" w:hAnsi="宋体" w:cs="Times New Roman"/>
                <w:color w:val="auto"/>
                <w:sz w:val="18"/>
                <w:szCs w:val="18"/>
                <w:vertAlign w:val="subscript"/>
                <w:lang w:val="en-US" w:eastAsia="zh-CN"/>
              </w:rPr>
              <w:t>4</w:t>
            </w:r>
            <w:r>
              <w:rPr>
                <w:rFonts w:hint="eastAsia" w:ascii="Times New Roman" w:hAnsi="宋体" w:cs="Times New Roman"/>
                <w:color w:val="auto"/>
                <w:sz w:val="18"/>
                <w:szCs w:val="18"/>
                <w:lang w:val="en-US" w:eastAsia="zh-CN"/>
              </w:rPr>
              <w:t>、N</w:t>
            </w:r>
            <w:r>
              <w:rPr>
                <w:rFonts w:hint="eastAsia" w:ascii="Times New Roman" w:hAnsi="宋体" w:cs="Times New Roman"/>
                <w:color w:val="auto"/>
                <w:sz w:val="18"/>
                <w:szCs w:val="18"/>
                <w:vertAlign w:val="subscript"/>
                <w:lang w:val="en-US" w:eastAsia="zh-CN"/>
              </w:rPr>
              <w:t>2</w:t>
            </w:r>
            <w:r>
              <w:rPr>
                <w:rFonts w:hint="eastAsia" w:ascii="Times New Roman" w:hAnsi="宋体" w:cs="Times New Roman"/>
                <w:color w:val="auto"/>
                <w:sz w:val="18"/>
                <w:szCs w:val="18"/>
                <w:lang w:val="en-US" w:eastAsia="zh-CN"/>
              </w:rPr>
              <w:t>O</w:t>
            </w:r>
          </w:p>
        </w:tc>
        <w:tc>
          <w:tcPr>
            <w:tcW w:w="1117" w:type="pct"/>
            <w:vAlign w:val="center"/>
          </w:tcPr>
          <w:p w14:paraId="08079D28">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p>
        </w:tc>
      </w:tr>
      <w:tr w14:paraId="22699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2" w:type="pct"/>
            <w:vAlign w:val="center"/>
          </w:tcPr>
          <w:p w14:paraId="4266C0F1">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center"/>
              <w:textAlignment w:val="auto"/>
              <w:rPr>
                <w:rFonts w:hint="eastAsia" w:ascii="Times New Roman" w:hAnsi="宋体" w:eastAsia="宋体" w:cs="Times New Roman"/>
                <w:b w:val="0"/>
                <w:bCs w:val="0"/>
                <w:color w:val="auto"/>
                <w:kern w:val="2"/>
                <w:sz w:val="18"/>
                <w:szCs w:val="18"/>
                <w:lang w:val="en-US" w:eastAsia="zh-CN" w:bidi="ar-SA"/>
              </w:rPr>
            </w:pPr>
            <w:r>
              <w:rPr>
                <w:rFonts w:hint="eastAsia" w:ascii="Times New Roman" w:hAnsi="宋体" w:eastAsia="宋体" w:cs="Times New Roman"/>
                <w:b w:val="0"/>
                <w:bCs w:val="0"/>
                <w:color w:val="auto"/>
                <w:kern w:val="2"/>
                <w:sz w:val="18"/>
                <w:szCs w:val="18"/>
                <w:lang w:val="en-US" w:eastAsia="zh-CN" w:bidi="ar-SA"/>
              </w:rPr>
              <w:t>井下采矿</w:t>
            </w:r>
          </w:p>
        </w:tc>
        <w:tc>
          <w:tcPr>
            <w:tcW w:w="1950" w:type="pct"/>
            <w:vAlign w:val="center"/>
          </w:tcPr>
          <w:p w14:paraId="16219546">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center"/>
              <w:textAlignment w:val="auto"/>
              <w:rPr>
                <w:rFonts w:hint="eastAsia" w:ascii="Times New Roman" w:hAnsi="宋体" w:eastAsia="宋体" w:cs="Times New Roman"/>
                <w:b w:val="0"/>
                <w:bCs w:val="0"/>
                <w:color w:val="auto"/>
                <w:kern w:val="2"/>
                <w:sz w:val="18"/>
                <w:szCs w:val="18"/>
                <w:lang w:val="en-US" w:eastAsia="zh-CN" w:bidi="ar-SA"/>
              </w:rPr>
            </w:pPr>
            <w:r>
              <w:rPr>
                <w:rFonts w:hint="eastAsia" w:ascii="Times New Roman" w:hAnsi="宋体" w:eastAsia="宋体" w:cs="Times New Roman"/>
                <w:b w:val="0"/>
                <w:bCs w:val="0"/>
                <w:color w:val="auto"/>
                <w:kern w:val="2"/>
                <w:sz w:val="18"/>
                <w:szCs w:val="18"/>
                <w:lang w:val="en-US" w:eastAsia="zh-CN" w:bidi="ar-SA"/>
              </w:rPr>
              <w:t>电力消耗、柴油设备燃烧、通风能耗</w:t>
            </w:r>
          </w:p>
        </w:tc>
        <w:tc>
          <w:tcPr>
            <w:tcW w:w="879" w:type="pct"/>
            <w:vAlign w:val="center"/>
          </w:tcPr>
          <w:p w14:paraId="2A76BA90">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center"/>
              <w:textAlignment w:val="auto"/>
              <w:rPr>
                <w:rFonts w:hint="eastAsia" w:ascii="Times New Roman" w:hAnsi="宋体" w:eastAsia="宋体" w:cs="Times New Roman"/>
                <w:b w:val="0"/>
                <w:bCs w:val="0"/>
                <w:color w:val="auto"/>
                <w:kern w:val="2"/>
                <w:sz w:val="18"/>
                <w:szCs w:val="18"/>
                <w:lang w:val="en-US" w:eastAsia="zh-CN" w:bidi="ar-SA"/>
              </w:rPr>
            </w:pPr>
            <w:r>
              <w:rPr>
                <w:rFonts w:hint="eastAsia" w:ascii="Times New Roman" w:hAnsi="宋体" w:eastAsia="宋体" w:cs="Times New Roman"/>
                <w:b w:val="0"/>
                <w:bCs w:val="0"/>
                <w:color w:val="auto"/>
                <w:kern w:val="2"/>
                <w:sz w:val="18"/>
                <w:szCs w:val="18"/>
                <w:lang w:val="en-US" w:eastAsia="zh-CN" w:bidi="ar-SA"/>
              </w:rPr>
              <w:t>CO</w:t>
            </w:r>
            <w:r>
              <w:rPr>
                <w:rFonts w:hint="eastAsia" w:ascii="Times New Roman" w:hAnsi="宋体" w:eastAsia="宋体" w:cs="Times New Roman"/>
                <w:b w:val="0"/>
                <w:bCs w:val="0"/>
                <w:color w:val="auto"/>
                <w:kern w:val="2"/>
                <w:sz w:val="18"/>
                <w:szCs w:val="18"/>
                <w:vertAlign w:val="subscript"/>
                <w:lang w:val="en-US" w:eastAsia="zh-CN" w:bidi="ar-SA"/>
              </w:rPr>
              <w:t>2</w:t>
            </w:r>
          </w:p>
        </w:tc>
        <w:tc>
          <w:tcPr>
            <w:tcW w:w="1117" w:type="pct"/>
            <w:vAlign w:val="center"/>
          </w:tcPr>
          <w:p w14:paraId="71B28FDF">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center"/>
              <w:textAlignment w:val="auto"/>
              <w:outlineLvl w:val="9"/>
              <w:rPr>
                <w:rFonts w:hint="eastAsia" w:ascii="Times New Roman" w:hAnsi="宋体" w:eastAsia="宋体" w:cs="Times New Roman"/>
                <w:b w:val="0"/>
                <w:bCs w:val="0"/>
                <w:color w:val="auto"/>
                <w:kern w:val="2"/>
                <w:sz w:val="18"/>
                <w:szCs w:val="18"/>
                <w:lang w:val="en-US" w:eastAsia="zh-CN" w:bidi="ar-SA"/>
              </w:rPr>
            </w:pPr>
          </w:p>
        </w:tc>
      </w:tr>
      <w:tr w14:paraId="4D520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2" w:type="pct"/>
            <w:vAlign w:val="center"/>
          </w:tcPr>
          <w:p w14:paraId="3723F6C2">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center"/>
              <w:textAlignment w:val="auto"/>
              <w:rPr>
                <w:rFonts w:hint="eastAsia" w:ascii="Times New Roman" w:hAnsi="宋体" w:eastAsia="宋体" w:cs="Times New Roman"/>
                <w:b w:val="0"/>
                <w:bCs w:val="0"/>
                <w:color w:val="auto"/>
                <w:kern w:val="2"/>
                <w:sz w:val="18"/>
                <w:szCs w:val="18"/>
                <w:lang w:val="en-US" w:eastAsia="zh-CN" w:bidi="ar-SA"/>
              </w:rPr>
            </w:pPr>
            <w:r>
              <w:rPr>
                <w:rFonts w:hint="eastAsia" w:ascii="Times New Roman" w:hAnsi="宋体" w:eastAsia="宋体" w:cs="Times New Roman"/>
                <w:b w:val="0"/>
                <w:bCs w:val="0"/>
                <w:color w:val="auto"/>
                <w:kern w:val="2"/>
                <w:sz w:val="18"/>
                <w:szCs w:val="18"/>
                <w:lang w:val="en-US" w:eastAsia="zh-CN" w:bidi="ar-SA"/>
              </w:rPr>
              <w:t>选矿（破碎、磨矿）</w:t>
            </w:r>
          </w:p>
        </w:tc>
        <w:tc>
          <w:tcPr>
            <w:tcW w:w="1950" w:type="pct"/>
            <w:vAlign w:val="center"/>
          </w:tcPr>
          <w:p w14:paraId="08A9098A">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center"/>
              <w:textAlignment w:val="auto"/>
              <w:rPr>
                <w:rFonts w:hint="eastAsia" w:ascii="Times New Roman" w:hAnsi="宋体" w:eastAsia="宋体" w:cs="Times New Roman"/>
                <w:b w:val="0"/>
                <w:bCs w:val="0"/>
                <w:color w:val="auto"/>
                <w:kern w:val="2"/>
                <w:sz w:val="18"/>
                <w:szCs w:val="18"/>
                <w:lang w:val="en-US" w:eastAsia="zh-CN" w:bidi="ar-SA"/>
              </w:rPr>
            </w:pPr>
            <w:r>
              <w:rPr>
                <w:rFonts w:hint="eastAsia" w:ascii="Times New Roman" w:hAnsi="宋体" w:eastAsia="宋体" w:cs="Times New Roman"/>
                <w:b w:val="0"/>
                <w:bCs w:val="0"/>
                <w:color w:val="auto"/>
                <w:kern w:val="2"/>
                <w:sz w:val="18"/>
                <w:szCs w:val="18"/>
                <w:lang w:val="en-US" w:eastAsia="zh-CN" w:bidi="ar-SA"/>
              </w:rPr>
              <w:t>电力消耗</w:t>
            </w:r>
          </w:p>
        </w:tc>
        <w:tc>
          <w:tcPr>
            <w:tcW w:w="879" w:type="pct"/>
            <w:vAlign w:val="center"/>
          </w:tcPr>
          <w:p w14:paraId="5592989C">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center"/>
              <w:textAlignment w:val="auto"/>
              <w:rPr>
                <w:rFonts w:hint="eastAsia" w:ascii="Times New Roman" w:hAnsi="宋体" w:eastAsia="宋体" w:cs="Times New Roman"/>
                <w:b w:val="0"/>
                <w:bCs w:val="0"/>
                <w:color w:val="auto"/>
                <w:kern w:val="2"/>
                <w:sz w:val="18"/>
                <w:szCs w:val="18"/>
                <w:lang w:val="en-US" w:eastAsia="zh-CN" w:bidi="ar-SA"/>
              </w:rPr>
            </w:pPr>
            <w:r>
              <w:rPr>
                <w:rFonts w:hint="eastAsia" w:ascii="Times New Roman" w:hAnsi="宋体" w:eastAsia="宋体" w:cs="Times New Roman"/>
                <w:b w:val="0"/>
                <w:bCs w:val="0"/>
                <w:color w:val="auto"/>
                <w:kern w:val="2"/>
                <w:sz w:val="18"/>
                <w:szCs w:val="18"/>
                <w:lang w:val="en-US" w:eastAsia="zh-CN" w:bidi="ar-SA"/>
              </w:rPr>
              <w:t>CO</w:t>
            </w:r>
            <w:r>
              <w:rPr>
                <w:rFonts w:hint="eastAsia" w:ascii="Times New Roman" w:hAnsi="宋体" w:eastAsia="宋体" w:cs="Times New Roman"/>
                <w:b w:val="0"/>
                <w:bCs w:val="0"/>
                <w:color w:val="auto"/>
                <w:kern w:val="2"/>
                <w:sz w:val="18"/>
                <w:szCs w:val="18"/>
                <w:vertAlign w:val="subscript"/>
                <w:lang w:val="en-US" w:eastAsia="zh-CN" w:bidi="ar-SA"/>
              </w:rPr>
              <w:t>2</w:t>
            </w:r>
          </w:p>
        </w:tc>
        <w:tc>
          <w:tcPr>
            <w:tcW w:w="1117" w:type="pct"/>
            <w:vAlign w:val="center"/>
          </w:tcPr>
          <w:p w14:paraId="577990FC">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center"/>
              <w:textAlignment w:val="auto"/>
              <w:outlineLvl w:val="9"/>
              <w:rPr>
                <w:rFonts w:hint="eastAsia" w:ascii="Times New Roman" w:hAnsi="宋体" w:eastAsia="宋体" w:cs="Times New Roman"/>
                <w:b w:val="0"/>
                <w:bCs w:val="0"/>
                <w:color w:val="auto"/>
                <w:kern w:val="2"/>
                <w:sz w:val="18"/>
                <w:szCs w:val="18"/>
                <w:lang w:val="en-US" w:eastAsia="zh-CN" w:bidi="ar-SA"/>
              </w:rPr>
            </w:pPr>
          </w:p>
        </w:tc>
      </w:tr>
      <w:tr w14:paraId="33B4F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2" w:type="pct"/>
            <w:vAlign w:val="center"/>
          </w:tcPr>
          <w:p w14:paraId="03E35B7D">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center"/>
              <w:textAlignment w:val="auto"/>
              <w:rPr>
                <w:rFonts w:hint="eastAsia" w:ascii="Times New Roman" w:hAnsi="宋体" w:eastAsia="宋体" w:cs="Times New Roman"/>
                <w:b w:val="0"/>
                <w:bCs w:val="0"/>
                <w:color w:val="auto"/>
                <w:kern w:val="2"/>
                <w:sz w:val="18"/>
                <w:szCs w:val="18"/>
                <w:lang w:val="en-US" w:eastAsia="zh-CN" w:bidi="ar-SA"/>
              </w:rPr>
            </w:pPr>
            <w:r>
              <w:rPr>
                <w:rFonts w:hint="eastAsia" w:ascii="Times New Roman" w:hAnsi="宋体" w:eastAsia="宋体" w:cs="Times New Roman"/>
                <w:b w:val="0"/>
                <w:bCs w:val="0"/>
                <w:color w:val="auto"/>
                <w:kern w:val="2"/>
                <w:sz w:val="18"/>
                <w:szCs w:val="18"/>
                <w:lang w:val="en-US" w:eastAsia="zh-CN" w:bidi="ar-SA"/>
              </w:rPr>
              <w:t>选矿（浮选、氰化）</w:t>
            </w:r>
          </w:p>
        </w:tc>
        <w:tc>
          <w:tcPr>
            <w:tcW w:w="1950" w:type="pct"/>
            <w:vAlign w:val="center"/>
          </w:tcPr>
          <w:p w14:paraId="0C092791">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center"/>
              <w:textAlignment w:val="auto"/>
              <w:rPr>
                <w:rFonts w:hint="eastAsia" w:ascii="Times New Roman" w:hAnsi="宋体" w:eastAsia="宋体" w:cs="Times New Roman"/>
                <w:b w:val="0"/>
                <w:bCs w:val="0"/>
                <w:color w:val="auto"/>
                <w:kern w:val="2"/>
                <w:sz w:val="18"/>
                <w:szCs w:val="18"/>
                <w:lang w:val="en-US" w:eastAsia="zh-CN" w:bidi="ar-SA"/>
              </w:rPr>
            </w:pPr>
            <w:r>
              <w:rPr>
                <w:rFonts w:hint="eastAsia" w:ascii="Times New Roman" w:hAnsi="宋体" w:eastAsia="宋体" w:cs="Times New Roman"/>
                <w:b w:val="0"/>
                <w:bCs w:val="0"/>
                <w:color w:val="auto"/>
                <w:kern w:val="2"/>
                <w:sz w:val="18"/>
                <w:szCs w:val="18"/>
                <w:lang w:val="en-US" w:eastAsia="zh-CN" w:bidi="ar-SA"/>
              </w:rPr>
              <w:t>电力消耗、药剂生产隐含排放</w:t>
            </w:r>
          </w:p>
        </w:tc>
        <w:tc>
          <w:tcPr>
            <w:tcW w:w="879" w:type="pct"/>
            <w:vAlign w:val="center"/>
          </w:tcPr>
          <w:p w14:paraId="6CDFC7CC">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center"/>
              <w:textAlignment w:val="auto"/>
              <w:rPr>
                <w:rFonts w:hint="eastAsia" w:ascii="Times New Roman" w:hAnsi="宋体" w:eastAsia="宋体" w:cs="Times New Roman"/>
                <w:b w:val="0"/>
                <w:bCs w:val="0"/>
                <w:color w:val="auto"/>
                <w:kern w:val="2"/>
                <w:sz w:val="18"/>
                <w:szCs w:val="18"/>
                <w:lang w:val="en-US" w:eastAsia="zh-CN" w:bidi="ar-SA"/>
              </w:rPr>
            </w:pPr>
            <w:r>
              <w:rPr>
                <w:rFonts w:hint="eastAsia" w:ascii="Times New Roman" w:hAnsi="宋体" w:eastAsia="宋体" w:cs="Times New Roman"/>
                <w:b w:val="0"/>
                <w:bCs w:val="0"/>
                <w:color w:val="auto"/>
                <w:kern w:val="2"/>
                <w:sz w:val="18"/>
                <w:szCs w:val="18"/>
                <w:lang w:val="en-US" w:eastAsia="zh-CN" w:bidi="ar-SA"/>
              </w:rPr>
              <w:t>CO</w:t>
            </w:r>
            <w:r>
              <w:rPr>
                <w:rFonts w:hint="eastAsia" w:ascii="Times New Roman" w:hAnsi="宋体" w:eastAsia="宋体" w:cs="Times New Roman"/>
                <w:b w:val="0"/>
                <w:bCs w:val="0"/>
                <w:color w:val="auto"/>
                <w:kern w:val="2"/>
                <w:sz w:val="18"/>
                <w:szCs w:val="18"/>
                <w:vertAlign w:val="subscript"/>
                <w:lang w:val="en-US" w:eastAsia="zh-CN" w:bidi="ar-SA"/>
              </w:rPr>
              <w:t>2</w:t>
            </w:r>
          </w:p>
        </w:tc>
        <w:tc>
          <w:tcPr>
            <w:tcW w:w="1117" w:type="pct"/>
            <w:vAlign w:val="center"/>
          </w:tcPr>
          <w:p w14:paraId="0448FC28">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center"/>
              <w:textAlignment w:val="auto"/>
              <w:rPr>
                <w:rFonts w:hint="eastAsia" w:ascii="Times New Roman" w:hAnsi="宋体" w:eastAsia="宋体" w:cs="Times New Roman"/>
                <w:b w:val="0"/>
                <w:bCs w:val="0"/>
                <w:color w:val="auto"/>
                <w:kern w:val="2"/>
                <w:sz w:val="18"/>
                <w:szCs w:val="18"/>
                <w:lang w:val="en-US" w:eastAsia="zh-CN" w:bidi="ar-SA"/>
              </w:rPr>
            </w:pPr>
            <w:r>
              <w:rPr>
                <w:rFonts w:hint="eastAsia" w:ascii="Times New Roman" w:hAnsi="宋体" w:eastAsia="宋体" w:cs="Times New Roman"/>
                <w:b w:val="0"/>
                <w:bCs w:val="0"/>
                <w:color w:val="auto"/>
                <w:kern w:val="2"/>
                <w:sz w:val="18"/>
                <w:szCs w:val="18"/>
                <w:lang w:val="en-US" w:eastAsia="zh-CN" w:bidi="ar-SA"/>
              </w:rPr>
              <w:t>药剂生产为上游排放</w:t>
            </w:r>
          </w:p>
        </w:tc>
      </w:tr>
      <w:tr w14:paraId="3BA74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2" w:type="pct"/>
            <w:vAlign w:val="center"/>
          </w:tcPr>
          <w:p w14:paraId="76545FC0">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center"/>
              <w:textAlignment w:val="auto"/>
              <w:rPr>
                <w:rFonts w:hint="eastAsia" w:ascii="Times New Roman" w:hAnsi="宋体" w:eastAsia="宋体" w:cs="Times New Roman"/>
                <w:b w:val="0"/>
                <w:bCs w:val="0"/>
                <w:color w:val="auto"/>
                <w:kern w:val="2"/>
                <w:sz w:val="18"/>
                <w:szCs w:val="18"/>
                <w:lang w:val="en-US" w:eastAsia="zh-CN" w:bidi="ar-SA"/>
              </w:rPr>
            </w:pPr>
            <w:r>
              <w:rPr>
                <w:rFonts w:hint="eastAsia" w:ascii="Times New Roman" w:hAnsi="宋体" w:eastAsia="宋体" w:cs="Times New Roman"/>
                <w:b w:val="0"/>
                <w:bCs w:val="0"/>
                <w:color w:val="auto"/>
                <w:kern w:val="2"/>
                <w:sz w:val="18"/>
                <w:szCs w:val="18"/>
                <w:lang w:val="en-US" w:eastAsia="zh-CN" w:bidi="ar-SA"/>
              </w:rPr>
              <w:t>熔炼（卡尔多炉等）</w:t>
            </w:r>
          </w:p>
        </w:tc>
        <w:tc>
          <w:tcPr>
            <w:tcW w:w="1950" w:type="pct"/>
            <w:vAlign w:val="center"/>
          </w:tcPr>
          <w:p w14:paraId="49FF5CD8">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center"/>
              <w:textAlignment w:val="auto"/>
              <w:rPr>
                <w:rFonts w:hint="eastAsia" w:ascii="Times New Roman" w:hAnsi="宋体" w:eastAsia="宋体" w:cs="Times New Roman"/>
                <w:b w:val="0"/>
                <w:bCs w:val="0"/>
                <w:color w:val="auto"/>
                <w:kern w:val="2"/>
                <w:sz w:val="18"/>
                <w:szCs w:val="18"/>
                <w:lang w:val="en-US" w:eastAsia="zh-CN" w:bidi="ar-SA"/>
              </w:rPr>
            </w:pPr>
            <w:r>
              <w:rPr>
                <w:rFonts w:hint="eastAsia" w:ascii="Times New Roman" w:hAnsi="宋体" w:eastAsia="宋体" w:cs="Times New Roman"/>
                <w:b w:val="0"/>
                <w:bCs w:val="0"/>
                <w:color w:val="auto"/>
                <w:kern w:val="2"/>
                <w:sz w:val="18"/>
                <w:szCs w:val="18"/>
                <w:lang w:val="en-US" w:eastAsia="zh-CN" w:bidi="ar-SA"/>
              </w:rPr>
              <w:t>燃料燃烧（天然气/柴油/煤）、电极消耗</w:t>
            </w:r>
          </w:p>
        </w:tc>
        <w:tc>
          <w:tcPr>
            <w:tcW w:w="879" w:type="pct"/>
            <w:vAlign w:val="center"/>
          </w:tcPr>
          <w:p w14:paraId="41FAA25E">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center"/>
              <w:textAlignment w:val="auto"/>
              <w:rPr>
                <w:rFonts w:hint="eastAsia" w:ascii="Times New Roman" w:hAnsi="宋体" w:eastAsia="宋体" w:cs="Times New Roman"/>
                <w:b w:val="0"/>
                <w:bCs w:val="0"/>
                <w:color w:val="auto"/>
                <w:kern w:val="2"/>
                <w:sz w:val="18"/>
                <w:szCs w:val="18"/>
                <w:lang w:val="en-US" w:eastAsia="zh-CN" w:bidi="ar-SA"/>
              </w:rPr>
            </w:pPr>
            <w:r>
              <w:rPr>
                <w:rFonts w:hint="eastAsia" w:ascii="Times New Roman" w:hAnsi="宋体" w:eastAsia="宋体" w:cs="Times New Roman"/>
                <w:b w:val="0"/>
                <w:bCs w:val="0"/>
                <w:color w:val="auto"/>
                <w:kern w:val="2"/>
                <w:sz w:val="18"/>
                <w:szCs w:val="18"/>
                <w:lang w:val="en-US" w:eastAsia="zh-CN" w:bidi="ar-SA"/>
              </w:rPr>
              <w:t>CO</w:t>
            </w:r>
            <w:r>
              <w:rPr>
                <w:rFonts w:hint="eastAsia" w:ascii="Times New Roman" w:hAnsi="宋体" w:eastAsia="宋体" w:cs="Times New Roman"/>
                <w:b w:val="0"/>
                <w:bCs w:val="0"/>
                <w:color w:val="auto"/>
                <w:kern w:val="2"/>
                <w:sz w:val="18"/>
                <w:szCs w:val="18"/>
                <w:vertAlign w:val="subscript"/>
                <w:lang w:val="en-US" w:eastAsia="zh-CN" w:bidi="ar-SA"/>
              </w:rPr>
              <w:t>2</w:t>
            </w:r>
            <w:r>
              <w:rPr>
                <w:rFonts w:hint="eastAsia" w:ascii="Times New Roman" w:hAnsi="宋体" w:eastAsia="宋体" w:cs="Times New Roman"/>
                <w:b w:val="0"/>
                <w:bCs w:val="0"/>
                <w:color w:val="auto"/>
                <w:kern w:val="2"/>
                <w:sz w:val="18"/>
                <w:szCs w:val="18"/>
                <w:lang w:val="en-US" w:eastAsia="zh-CN" w:bidi="ar-SA"/>
              </w:rPr>
              <w:t>、CH</w:t>
            </w:r>
            <w:r>
              <w:rPr>
                <w:rFonts w:hint="eastAsia" w:ascii="Times New Roman" w:hAnsi="宋体" w:eastAsia="宋体" w:cs="Times New Roman"/>
                <w:b w:val="0"/>
                <w:bCs w:val="0"/>
                <w:color w:val="auto"/>
                <w:kern w:val="2"/>
                <w:sz w:val="18"/>
                <w:szCs w:val="18"/>
                <w:vertAlign w:val="subscript"/>
                <w:lang w:val="en-US" w:eastAsia="zh-CN" w:bidi="ar-SA"/>
              </w:rPr>
              <w:t>4</w:t>
            </w:r>
            <w:r>
              <w:rPr>
                <w:rFonts w:hint="eastAsia" w:ascii="Times New Roman" w:hAnsi="宋体" w:eastAsia="宋体" w:cs="Times New Roman"/>
                <w:b w:val="0"/>
                <w:bCs w:val="0"/>
                <w:color w:val="auto"/>
                <w:kern w:val="2"/>
                <w:sz w:val="18"/>
                <w:szCs w:val="18"/>
                <w:lang w:val="en-US" w:eastAsia="zh-CN" w:bidi="ar-SA"/>
              </w:rPr>
              <w:t>、N</w:t>
            </w:r>
            <w:r>
              <w:rPr>
                <w:rFonts w:hint="eastAsia" w:ascii="Times New Roman" w:hAnsi="宋体" w:eastAsia="宋体" w:cs="Times New Roman"/>
                <w:b w:val="0"/>
                <w:bCs w:val="0"/>
                <w:color w:val="auto"/>
                <w:kern w:val="2"/>
                <w:sz w:val="18"/>
                <w:szCs w:val="18"/>
                <w:vertAlign w:val="subscript"/>
                <w:lang w:val="en-US" w:eastAsia="zh-CN" w:bidi="ar-SA"/>
              </w:rPr>
              <w:t>2</w:t>
            </w:r>
            <w:r>
              <w:rPr>
                <w:rFonts w:hint="eastAsia" w:ascii="Times New Roman" w:hAnsi="宋体" w:eastAsia="宋体" w:cs="Times New Roman"/>
                <w:b w:val="0"/>
                <w:bCs w:val="0"/>
                <w:color w:val="auto"/>
                <w:kern w:val="2"/>
                <w:sz w:val="18"/>
                <w:szCs w:val="18"/>
                <w:lang w:val="en-US" w:eastAsia="zh-CN" w:bidi="ar-SA"/>
              </w:rPr>
              <w:t>O</w:t>
            </w:r>
          </w:p>
        </w:tc>
        <w:tc>
          <w:tcPr>
            <w:tcW w:w="1117" w:type="pct"/>
            <w:vAlign w:val="center"/>
          </w:tcPr>
          <w:p w14:paraId="4CA8BE7C">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center"/>
              <w:textAlignment w:val="auto"/>
              <w:outlineLvl w:val="9"/>
              <w:rPr>
                <w:rFonts w:hint="eastAsia" w:ascii="Times New Roman" w:hAnsi="宋体" w:eastAsia="宋体" w:cs="Times New Roman"/>
                <w:b w:val="0"/>
                <w:bCs w:val="0"/>
                <w:color w:val="auto"/>
                <w:kern w:val="2"/>
                <w:sz w:val="18"/>
                <w:szCs w:val="18"/>
                <w:lang w:val="en-US" w:eastAsia="zh-CN" w:bidi="ar-SA"/>
              </w:rPr>
            </w:pPr>
          </w:p>
        </w:tc>
      </w:tr>
      <w:tr w14:paraId="3D404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2" w:type="pct"/>
            <w:vAlign w:val="center"/>
          </w:tcPr>
          <w:p w14:paraId="5EA78A84">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center"/>
              <w:textAlignment w:val="auto"/>
              <w:rPr>
                <w:rFonts w:hint="eastAsia" w:ascii="Times New Roman" w:hAnsi="宋体" w:eastAsia="宋体" w:cs="Times New Roman"/>
                <w:b w:val="0"/>
                <w:bCs w:val="0"/>
                <w:color w:val="auto"/>
                <w:kern w:val="2"/>
                <w:sz w:val="18"/>
                <w:szCs w:val="18"/>
                <w:lang w:val="en-US" w:eastAsia="zh-CN" w:bidi="ar-SA"/>
              </w:rPr>
            </w:pPr>
            <w:r>
              <w:rPr>
                <w:rFonts w:hint="eastAsia" w:ascii="Times New Roman" w:hAnsi="宋体" w:eastAsia="宋体" w:cs="Times New Roman"/>
                <w:b w:val="0"/>
                <w:bCs w:val="0"/>
                <w:color w:val="auto"/>
                <w:kern w:val="2"/>
                <w:sz w:val="18"/>
                <w:szCs w:val="18"/>
                <w:lang w:val="en-US" w:eastAsia="zh-CN" w:bidi="ar-SA"/>
              </w:rPr>
              <w:t>精炼（电解）</w:t>
            </w:r>
          </w:p>
        </w:tc>
        <w:tc>
          <w:tcPr>
            <w:tcW w:w="1950" w:type="pct"/>
            <w:vAlign w:val="center"/>
          </w:tcPr>
          <w:p w14:paraId="387A4C11">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center"/>
              <w:textAlignment w:val="auto"/>
              <w:rPr>
                <w:rFonts w:hint="eastAsia" w:ascii="Times New Roman" w:hAnsi="宋体" w:eastAsia="宋体" w:cs="Times New Roman"/>
                <w:b w:val="0"/>
                <w:bCs w:val="0"/>
                <w:color w:val="auto"/>
                <w:kern w:val="2"/>
                <w:sz w:val="18"/>
                <w:szCs w:val="18"/>
                <w:lang w:val="en-US" w:eastAsia="zh-CN" w:bidi="ar-SA"/>
              </w:rPr>
            </w:pPr>
            <w:r>
              <w:rPr>
                <w:rFonts w:hint="eastAsia" w:ascii="Times New Roman" w:hAnsi="宋体" w:eastAsia="宋体" w:cs="Times New Roman"/>
                <w:b w:val="0"/>
                <w:bCs w:val="0"/>
                <w:color w:val="auto"/>
                <w:kern w:val="2"/>
                <w:sz w:val="18"/>
                <w:szCs w:val="18"/>
                <w:lang w:val="en-US" w:eastAsia="zh-CN" w:bidi="ar-SA"/>
              </w:rPr>
              <w:t>电力消耗</w:t>
            </w:r>
          </w:p>
        </w:tc>
        <w:tc>
          <w:tcPr>
            <w:tcW w:w="879" w:type="pct"/>
            <w:vAlign w:val="center"/>
          </w:tcPr>
          <w:p w14:paraId="6F9617CB">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center"/>
              <w:textAlignment w:val="auto"/>
              <w:rPr>
                <w:rFonts w:hint="eastAsia" w:ascii="Times New Roman" w:hAnsi="宋体" w:eastAsia="宋体" w:cs="Times New Roman"/>
                <w:b w:val="0"/>
                <w:bCs w:val="0"/>
                <w:color w:val="auto"/>
                <w:kern w:val="2"/>
                <w:sz w:val="18"/>
                <w:szCs w:val="18"/>
                <w:lang w:val="en-US" w:eastAsia="zh-CN" w:bidi="ar-SA"/>
              </w:rPr>
            </w:pPr>
            <w:r>
              <w:rPr>
                <w:rFonts w:hint="eastAsia" w:ascii="Times New Roman" w:hAnsi="宋体" w:eastAsia="宋体" w:cs="Times New Roman"/>
                <w:b w:val="0"/>
                <w:bCs w:val="0"/>
                <w:color w:val="auto"/>
                <w:kern w:val="2"/>
                <w:sz w:val="18"/>
                <w:szCs w:val="18"/>
                <w:lang w:val="en-US" w:eastAsia="zh-CN" w:bidi="ar-SA"/>
              </w:rPr>
              <w:t>CO</w:t>
            </w:r>
            <w:r>
              <w:rPr>
                <w:rFonts w:hint="eastAsia" w:ascii="Times New Roman" w:hAnsi="宋体" w:eastAsia="宋体" w:cs="Times New Roman"/>
                <w:b w:val="0"/>
                <w:bCs w:val="0"/>
                <w:color w:val="auto"/>
                <w:kern w:val="2"/>
                <w:sz w:val="18"/>
                <w:szCs w:val="18"/>
                <w:vertAlign w:val="subscript"/>
                <w:lang w:val="en-US" w:eastAsia="zh-CN" w:bidi="ar-SA"/>
              </w:rPr>
              <w:t>2</w:t>
            </w:r>
          </w:p>
        </w:tc>
        <w:tc>
          <w:tcPr>
            <w:tcW w:w="1117" w:type="pct"/>
            <w:vAlign w:val="center"/>
          </w:tcPr>
          <w:p w14:paraId="6D963878">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center"/>
              <w:textAlignment w:val="auto"/>
              <w:outlineLvl w:val="9"/>
              <w:rPr>
                <w:rFonts w:hint="eastAsia" w:ascii="Times New Roman" w:hAnsi="宋体" w:eastAsia="宋体" w:cs="Times New Roman"/>
                <w:b w:val="0"/>
                <w:bCs w:val="0"/>
                <w:color w:val="auto"/>
                <w:kern w:val="2"/>
                <w:sz w:val="18"/>
                <w:szCs w:val="18"/>
                <w:lang w:val="en-US" w:eastAsia="zh-CN" w:bidi="ar-SA"/>
              </w:rPr>
            </w:pPr>
          </w:p>
        </w:tc>
      </w:tr>
      <w:tr w14:paraId="45A0B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2" w:type="pct"/>
            <w:vAlign w:val="center"/>
          </w:tcPr>
          <w:p w14:paraId="661358E5">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center"/>
              <w:textAlignment w:val="auto"/>
              <w:rPr>
                <w:rFonts w:hint="eastAsia" w:ascii="Times New Roman" w:hAnsi="宋体" w:eastAsia="宋体" w:cs="Times New Roman"/>
                <w:b w:val="0"/>
                <w:bCs w:val="0"/>
                <w:color w:val="auto"/>
                <w:kern w:val="2"/>
                <w:sz w:val="18"/>
                <w:szCs w:val="18"/>
                <w:lang w:val="en-US" w:eastAsia="zh-CN" w:bidi="ar-SA"/>
              </w:rPr>
            </w:pPr>
            <w:r>
              <w:rPr>
                <w:rFonts w:hint="eastAsia" w:ascii="Times New Roman" w:hAnsi="宋体" w:eastAsia="宋体" w:cs="Times New Roman"/>
                <w:b w:val="0"/>
                <w:bCs w:val="0"/>
                <w:color w:val="auto"/>
                <w:kern w:val="2"/>
                <w:sz w:val="18"/>
                <w:szCs w:val="18"/>
                <w:lang w:val="en-US" w:eastAsia="zh-CN" w:bidi="ar-SA"/>
              </w:rPr>
              <w:t>尾矿库</w:t>
            </w:r>
          </w:p>
        </w:tc>
        <w:tc>
          <w:tcPr>
            <w:tcW w:w="1950" w:type="pct"/>
            <w:vAlign w:val="center"/>
          </w:tcPr>
          <w:p w14:paraId="7E27C2FD">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center"/>
              <w:textAlignment w:val="auto"/>
              <w:rPr>
                <w:rFonts w:hint="eastAsia" w:ascii="Times New Roman" w:hAnsi="宋体" w:eastAsia="宋体" w:cs="Times New Roman"/>
                <w:b w:val="0"/>
                <w:bCs w:val="0"/>
                <w:color w:val="auto"/>
                <w:kern w:val="2"/>
                <w:sz w:val="18"/>
                <w:szCs w:val="18"/>
                <w:lang w:val="en-US" w:eastAsia="zh-CN" w:bidi="ar-SA"/>
              </w:rPr>
            </w:pPr>
            <w:r>
              <w:rPr>
                <w:rFonts w:hint="eastAsia" w:ascii="Times New Roman" w:hAnsi="宋体" w:eastAsia="宋体" w:cs="Times New Roman"/>
                <w:b w:val="0"/>
                <w:bCs w:val="0"/>
                <w:color w:val="auto"/>
                <w:kern w:val="2"/>
                <w:sz w:val="18"/>
                <w:szCs w:val="18"/>
                <w:lang w:val="en-US" w:eastAsia="zh-CN" w:bidi="ar-SA"/>
              </w:rPr>
              <w:t>甲烷逸散（若存在厌氧条件）</w:t>
            </w:r>
          </w:p>
        </w:tc>
        <w:tc>
          <w:tcPr>
            <w:tcW w:w="879" w:type="pct"/>
            <w:vAlign w:val="center"/>
          </w:tcPr>
          <w:p w14:paraId="2684B03B">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center"/>
              <w:textAlignment w:val="auto"/>
              <w:rPr>
                <w:rFonts w:hint="eastAsia" w:ascii="Times New Roman" w:hAnsi="宋体" w:eastAsia="宋体" w:cs="Times New Roman"/>
                <w:b w:val="0"/>
                <w:bCs w:val="0"/>
                <w:color w:val="auto"/>
                <w:kern w:val="2"/>
                <w:sz w:val="18"/>
                <w:szCs w:val="18"/>
                <w:lang w:val="en-US" w:eastAsia="zh-CN" w:bidi="ar-SA"/>
              </w:rPr>
            </w:pPr>
            <w:r>
              <w:rPr>
                <w:rFonts w:hint="eastAsia" w:ascii="Times New Roman" w:hAnsi="宋体" w:eastAsia="宋体" w:cs="Times New Roman"/>
                <w:b w:val="0"/>
                <w:bCs w:val="0"/>
                <w:color w:val="auto"/>
                <w:kern w:val="2"/>
                <w:sz w:val="18"/>
                <w:szCs w:val="18"/>
                <w:lang w:val="en-US" w:eastAsia="zh-CN" w:bidi="ar-SA"/>
              </w:rPr>
              <w:t>CH₄</w:t>
            </w:r>
          </w:p>
        </w:tc>
        <w:tc>
          <w:tcPr>
            <w:tcW w:w="1117" w:type="pct"/>
            <w:vAlign w:val="center"/>
          </w:tcPr>
          <w:p w14:paraId="7CCAA4CD">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center"/>
              <w:textAlignment w:val="auto"/>
              <w:rPr>
                <w:rFonts w:hint="eastAsia" w:ascii="Times New Roman" w:hAnsi="宋体" w:eastAsia="宋体" w:cs="Times New Roman"/>
                <w:b w:val="0"/>
                <w:bCs w:val="0"/>
                <w:color w:val="auto"/>
                <w:kern w:val="2"/>
                <w:sz w:val="18"/>
                <w:szCs w:val="18"/>
                <w:lang w:val="en-US" w:eastAsia="zh-CN" w:bidi="ar-SA"/>
              </w:rPr>
            </w:pPr>
            <w:r>
              <w:rPr>
                <w:rFonts w:hint="eastAsia" w:ascii="Times New Roman" w:hAnsi="宋体" w:eastAsia="宋体" w:cs="Times New Roman"/>
                <w:b w:val="0"/>
                <w:bCs w:val="0"/>
                <w:color w:val="auto"/>
                <w:kern w:val="2"/>
                <w:sz w:val="18"/>
                <w:szCs w:val="18"/>
                <w:lang w:val="en-US" w:eastAsia="zh-CN" w:bidi="ar-SA"/>
              </w:rPr>
              <w:t>视情况而定</w:t>
            </w:r>
          </w:p>
        </w:tc>
      </w:tr>
      <w:tr w14:paraId="4B25C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2" w:type="pct"/>
            <w:vAlign w:val="center"/>
          </w:tcPr>
          <w:p w14:paraId="02BF7D81">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center"/>
              <w:textAlignment w:val="auto"/>
              <w:rPr>
                <w:rFonts w:hint="eastAsia" w:ascii="Times New Roman" w:hAnsi="宋体" w:eastAsia="宋体" w:cs="Times New Roman"/>
                <w:b w:val="0"/>
                <w:bCs w:val="0"/>
                <w:color w:val="auto"/>
                <w:kern w:val="2"/>
                <w:sz w:val="18"/>
                <w:szCs w:val="18"/>
                <w:lang w:val="en-US" w:eastAsia="zh-CN" w:bidi="ar-SA"/>
              </w:rPr>
            </w:pPr>
            <w:r>
              <w:rPr>
                <w:rFonts w:hint="eastAsia" w:ascii="Times New Roman" w:hAnsi="宋体" w:eastAsia="宋体" w:cs="Times New Roman"/>
                <w:b w:val="0"/>
                <w:bCs w:val="0"/>
                <w:color w:val="auto"/>
                <w:kern w:val="2"/>
                <w:sz w:val="18"/>
                <w:szCs w:val="18"/>
                <w:lang w:val="en-US" w:eastAsia="zh-CN" w:bidi="ar-SA"/>
              </w:rPr>
              <w:t>运输</w:t>
            </w:r>
          </w:p>
        </w:tc>
        <w:tc>
          <w:tcPr>
            <w:tcW w:w="1950" w:type="pct"/>
            <w:vAlign w:val="center"/>
          </w:tcPr>
          <w:p w14:paraId="0CD11A65">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center"/>
              <w:textAlignment w:val="auto"/>
              <w:rPr>
                <w:rFonts w:hint="eastAsia" w:ascii="Times New Roman" w:hAnsi="宋体" w:eastAsia="宋体" w:cs="Times New Roman"/>
                <w:b w:val="0"/>
                <w:bCs w:val="0"/>
                <w:color w:val="auto"/>
                <w:kern w:val="2"/>
                <w:sz w:val="18"/>
                <w:szCs w:val="18"/>
                <w:lang w:val="en-US" w:eastAsia="zh-CN" w:bidi="ar-SA"/>
              </w:rPr>
            </w:pPr>
            <w:r>
              <w:rPr>
                <w:rFonts w:hint="eastAsia" w:ascii="Times New Roman" w:hAnsi="宋体" w:eastAsia="宋体" w:cs="Times New Roman"/>
                <w:b w:val="0"/>
                <w:bCs w:val="0"/>
                <w:color w:val="auto"/>
                <w:kern w:val="2"/>
                <w:sz w:val="18"/>
                <w:szCs w:val="18"/>
                <w:lang w:val="en-US" w:eastAsia="zh-CN" w:bidi="ar-SA"/>
              </w:rPr>
              <w:t>车辆燃料燃烧</w:t>
            </w:r>
          </w:p>
        </w:tc>
        <w:tc>
          <w:tcPr>
            <w:tcW w:w="879" w:type="pct"/>
            <w:vAlign w:val="center"/>
          </w:tcPr>
          <w:p w14:paraId="3D815042">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center"/>
              <w:textAlignment w:val="auto"/>
              <w:rPr>
                <w:rFonts w:hint="eastAsia" w:ascii="Times New Roman" w:hAnsi="宋体" w:eastAsia="宋体" w:cs="Times New Roman"/>
                <w:b w:val="0"/>
                <w:bCs w:val="0"/>
                <w:color w:val="auto"/>
                <w:kern w:val="2"/>
                <w:sz w:val="18"/>
                <w:szCs w:val="18"/>
                <w:lang w:val="en-US" w:eastAsia="zh-CN" w:bidi="ar-SA"/>
              </w:rPr>
            </w:pPr>
            <w:r>
              <w:rPr>
                <w:rFonts w:hint="eastAsia" w:ascii="Times New Roman" w:hAnsi="宋体" w:eastAsia="宋体" w:cs="Times New Roman"/>
                <w:b w:val="0"/>
                <w:bCs w:val="0"/>
                <w:color w:val="auto"/>
                <w:kern w:val="2"/>
                <w:sz w:val="18"/>
                <w:szCs w:val="18"/>
                <w:lang w:val="en-US" w:eastAsia="zh-CN" w:bidi="ar-SA"/>
              </w:rPr>
              <w:t>CO</w:t>
            </w:r>
            <w:r>
              <w:rPr>
                <w:rFonts w:hint="eastAsia" w:ascii="Times New Roman" w:hAnsi="宋体" w:eastAsia="宋体" w:cs="Times New Roman"/>
                <w:b w:val="0"/>
                <w:bCs w:val="0"/>
                <w:color w:val="auto"/>
                <w:kern w:val="2"/>
                <w:sz w:val="18"/>
                <w:szCs w:val="18"/>
                <w:vertAlign w:val="subscript"/>
                <w:lang w:val="en-US" w:eastAsia="zh-CN" w:bidi="ar-SA"/>
              </w:rPr>
              <w:t>2</w:t>
            </w:r>
            <w:r>
              <w:rPr>
                <w:rFonts w:hint="eastAsia" w:ascii="Times New Roman" w:hAnsi="宋体" w:eastAsia="宋体" w:cs="Times New Roman"/>
                <w:b w:val="0"/>
                <w:bCs w:val="0"/>
                <w:color w:val="auto"/>
                <w:kern w:val="2"/>
                <w:sz w:val="18"/>
                <w:szCs w:val="18"/>
                <w:lang w:val="en-US" w:eastAsia="zh-CN" w:bidi="ar-SA"/>
              </w:rPr>
              <w:t>、CH₄、N</w:t>
            </w:r>
            <w:r>
              <w:rPr>
                <w:rFonts w:hint="eastAsia" w:ascii="Times New Roman" w:hAnsi="宋体" w:eastAsia="宋体" w:cs="Times New Roman"/>
                <w:b w:val="0"/>
                <w:bCs w:val="0"/>
                <w:color w:val="auto"/>
                <w:kern w:val="2"/>
                <w:sz w:val="18"/>
                <w:szCs w:val="18"/>
                <w:vertAlign w:val="subscript"/>
                <w:lang w:val="en-US" w:eastAsia="zh-CN" w:bidi="ar-SA"/>
              </w:rPr>
              <w:t>2</w:t>
            </w:r>
            <w:r>
              <w:rPr>
                <w:rFonts w:hint="eastAsia" w:ascii="Times New Roman" w:hAnsi="宋体" w:eastAsia="宋体" w:cs="Times New Roman"/>
                <w:b w:val="0"/>
                <w:bCs w:val="0"/>
                <w:color w:val="auto"/>
                <w:kern w:val="2"/>
                <w:sz w:val="18"/>
                <w:szCs w:val="18"/>
                <w:lang w:val="en-US" w:eastAsia="zh-CN" w:bidi="ar-SA"/>
              </w:rPr>
              <w:t>O</w:t>
            </w:r>
          </w:p>
        </w:tc>
        <w:tc>
          <w:tcPr>
            <w:tcW w:w="1117" w:type="pct"/>
            <w:vAlign w:val="center"/>
          </w:tcPr>
          <w:p w14:paraId="27CF8B42">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center"/>
              <w:textAlignment w:val="auto"/>
              <w:outlineLvl w:val="9"/>
              <w:rPr>
                <w:rFonts w:hint="eastAsia" w:ascii="Times New Roman" w:hAnsi="宋体" w:eastAsia="宋体" w:cs="Times New Roman"/>
                <w:b w:val="0"/>
                <w:bCs w:val="0"/>
                <w:color w:val="auto"/>
                <w:kern w:val="2"/>
                <w:sz w:val="18"/>
                <w:szCs w:val="18"/>
                <w:lang w:val="en-US" w:eastAsia="zh-CN" w:bidi="ar-SA"/>
              </w:rPr>
            </w:pPr>
          </w:p>
        </w:tc>
      </w:tr>
    </w:tbl>
    <w:p w14:paraId="753EDBD5">
      <w:pPr>
        <w:ind w:firstLine="420" w:firstLineChars="200"/>
        <w:rPr>
          <w:rFonts w:hint="eastAsia"/>
          <w:szCs w:val="21"/>
          <w:lang w:val="en-US" w:eastAsia="zh-CN"/>
        </w:rPr>
      </w:pPr>
      <w:bookmarkStart w:id="48" w:name="_Toc20230"/>
      <w:r>
        <w:rPr>
          <w:rFonts w:hint="eastAsia"/>
          <w:szCs w:val="21"/>
          <w:lang w:val="en-US" w:eastAsia="zh-CN"/>
        </w:rPr>
        <w:t>表A.2 各工序碳排放强度参考范围（单位：kg CO₂e/t 银锭）</w:t>
      </w:r>
      <w:r>
        <w:rPr>
          <w:rFonts w:hint="default"/>
          <w:szCs w:val="21"/>
          <w:lang w:val="en-US" w:eastAsia="zh-CN"/>
        </w:rPr>
        <w:t> （资料性）</w:t>
      </w:r>
    </w:p>
    <w:p w14:paraId="0D07BBC9">
      <w:pPr>
        <w:spacing w:before="156" w:beforeLines="50" w:after="156" w:afterLines="50"/>
        <w:jc w:val="center"/>
        <w:rPr>
          <w:rFonts w:hint="eastAsia" w:ascii="黑体" w:hAnsi="黑体" w:eastAsia="黑体" w:cs="黑体"/>
          <w:color w:val="auto"/>
          <w:spacing w:val="-13"/>
          <w:lang w:val="en-US" w:eastAsia="zh-CN"/>
        </w:rPr>
      </w:pPr>
      <w:r>
        <w:rPr>
          <w:rFonts w:hint="eastAsia" w:ascii="黑体" w:hAnsi="黑体" w:eastAsia="黑体" w:cs="黑体"/>
          <w:color w:val="auto"/>
          <w:spacing w:val="-13"/>
          <w:lang w:val="en-US" w:eastAsia="zh-CN"/>
        </w:rPr>
        <w:t>表A.2 各工序碳排放强度参考范围（单位：kg CO₂e/t 银锭）</w:t>
      </w:r>
    </w:p>
    <w:tbl>
      <w:tblPr>
        <w:tblStyle w:val="32"/>
        <w:tblpPr w:leftFromText="180" w:rightFromText="180" w:vertAnchor="text" w:horzAnchor="page" w:tblpX="1432" w:tblpY="82"/>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18"/>
        <w:gridCol w:w="2262"/>
        <w:gridCol w:w="3974"/>
      </w:tblGrid>
      <w:tr w14:paraId="29FBC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8" w:type="dxa"/>
            <w:vAlign w:val="center"/>
          </w:tcPr>
          <w:p w14:paraId="284F30A4">
            <w:pPr>
              <w:keepNext w:val="0"/>
              <w:keepLines w:val="0"/>
              <w:widowControl/>
              <w:suppressLineNumbers w:val="0"/>
              <w:spacing w:line="375" w:lineRule="atLeast"/>
              <w:jc w:val="center"/>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kern w:val="2"/>
                <w:sz w:val="18"/>
                <w:szCs w:val="18"/>
                <w:lang w:val="en-US" w:eastAsia="zh-CN" w:bidi="ar-SA"/>
              </w:rPr>
              <w:t>工序</w:t>
            </w:r>
          </w:p>
        </w:tc>
        <w:tc>
          <w:tcPr>
            <w:tcW w:w="2262" w:type="dxa"/>
            <w:vAlign w:val="center"/>
          </w:tcPr>
          <w:p w14:paraId="4358FB27">
            <w:pPr>
              <w:keepNext w:val="0"/>
              <w:keepLines w:val="0"/>
              <w:widowControl/>
              <w:suppressLineNumbers w:val="0"/>
              <w:spacing w:line="375" w:lineRule="atLeast"/>
              <w:jc w:val="center"/>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kern w:val="2"/>
                <w:sz w:val="18"/>
                <w:szCs w:val="18"/>
                <w:lang w:val="en-US" w:eastAsia="zh-CN" w:bidi="ar-SA"/>
              </w:rPr>
              <w:t>碳排放强度参考范围</w:t>
            </w:r>
          </w:p>
        </w:tc>
        <w:tc>
          <w:tcPr>
            <w:tcW w:w="3974" w:type="dxa"/>
            <w:vAlign w:val="center"/>
          </w:tcPr>
          <w:p w14:paraId="7001206B">
            <w:pPr>
              <w:keepNext w:val="0"/>
              <w:keepLines w:val="0"/>
              <w:widowControl/>
              <w:suppressLineNumbers w:val="0"/>
              <w:spacing w:line="375" w:lineRule="atLeast"/>
              <w:jc w:val="center"/>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kern w:val="2"/>
                <w:sz w:val="18"/>
                <w:szCs w:val="18"/>
                <w:lang w:val="en-US" w:eastAsia="zh-CN" w:bidi="ar-SA"/>
              </w:rPr>
              <w:t>说明</w:t>
            </w:r>
          </w:p>
        </w:tc>
      </w:tr>
      <w:tr w14:paraId="4965B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8" w:type="dxa"/>
            <w:vAlign w:val="center"/>
          </w:tcPr>
          <w:p w14:paraId="22EB3FA7">
            <w:pPr>
              <w:keepNext w:val="0"/>
              <w:keepLines w:val="0"/>
              <w:widowControl/>
              <w:suppressLineNumbers w:val="0"/>
              <w:spacing w:line="375" w:lineRule="atLeast"/>
              <w:jc w:val="center"/>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kern w:val="2"/>
                <w:sz w:val="18"/>
                <w:szCs w:val="18"/>
                <w:lang w:val="en-US" w:eastAsia="zh-CN" w:bidi="ar-SA"/>
              </w:rPr>
              <w:t>采矿（独立银矿）</w:t>
            </w:r>
          </w:p>
        </w:tc>
        <w:tc>
          <w:tcPr>
            <w:tcW w:w="2262" w:type="dxa"/>
            <w:vAlign w:val="center"/>
          </w:tcPr>
          <w:p w14:paraId="43F31F15">
            <w:pPr>
              <w:keepNext w:val="0"/>
              <w:keepLines w:val="0"/>
              <w:widowControl/>
              <w:suppressLineNumbers w:val="0"/>
              <w:spacing w:line="375" w:lineRule="atLeast"/>
              <w:jc w:val="center"/>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kern w:val="2"/>
                <w:sz w:val="18"/>
                <w:szCs w:val="18"/>
                <w:lang w:val="en-US" w:eastAsia="zh-CN" w:bidi="ar-SA"/>
              </w:rPr>
              <w:t>待定</w:t>
            </w:r>
          </w:p>
        </w:tc>
        <w:tc>
          <w:tcPr>
            <w:tcW w:w="3974" w:type="dxa"/>
            <w:vAlign w:val="center"/>
          </w:tcPr>
          <w:p w14:paraId="2AB25A55">
            <w:pPr>
              <w:keepNext w:val="0"/>
              <w:keepLines w:val="0"/>
              <w:widowControl/>
              <w:suppressLineNumbers w:val="0"/>
              <w:spacing w:line="375" w:lineRule="atLeast"/>
              <w:jc w:val="center"/>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kern w:val="2"/>
                <w:sz w:val="18"/>
                <w:szCs w:val="18"/>
                <w:lang w:val="en-US" w:eastAsia="zh-CN" w:bidi="ar-SA"/>
              </w:rPr>
              <w:t>取决于开采方式（露天/井下）及矿石品位</w:t>
            </w:r>
          </w:p>
        </w:tc>
      </w:tr>
      <w:tr w14:paraId="7CBBB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8" w:type="dxa"/>
            <w:vAlign w:val="center"/>
          </w:tcPr>
          <w:p w14:paraId="06D578F8">
            <w:pPr>
              <w:keepNext w:val="0"/>
              <w:keepLines w:val="0"/>
              <w:widowControl/>
              <w:suppressLineNumbers w:val="0"/>
              <w:spacing w:line="375" w:lineRule="atLeast"/>
              <w:jc w:val="center"/>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kern w:val="2"/>
                <w:sz w:val="18"/>
                <w:szCs w:val="18"/>
                <w:lang w:val="en-US" w:eastAsia="zh-CN" w:bidi="ar-SA"/>
              </w:rPr>
              <w:t>选矿</w:t>
            </w:r>
          </w:p>
        </w:tc>
        <w:tc>
          <w:tcPr>
            <w:tcW w:w="2262" w:type="dxa"/>
            <w:vAlign w:val="center"/>
          </w:tcPr>
          <w:p w14:paraId="609C8AEC">
            <w:pPr>
              <w:keepNext w:val="0"/>
              <w:keepLines w:val="0"/>
              <w:widowControl/>
              <w:suppressLineNumbers w:val="0"/>
              <w:spacing w:line="375" w:lineRule="atLeast"/>
              <w:jc w:val="center"/>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kern w:val="2"/>
                <w:sz w:val="18"/>
                <w:szCs w:val="18"/>
                <w:lang w:val="en-US" w:eastAsia="zh-CN" w:bidi="ar-SA"/>
              </w:rPr>
              <w:t>待定</w:t>
            </w:r>
          </w:p>
        </w:tc>
        <w:tc>
          <w:tcPr>
            <w:tcW w:w="3974" w:type="dxa"/>
            <w:vAlign w:val="center"/>
          </w:tcPr>
          <w:p w14:paraId="4F7ECB37">
            <w:pPr>
              <w:keepNext w:val="0"/>
              <w:keepLines w:val="0"/>
              <w:widowControl/>
              <w:suppressLineNumbers w:val="0"/>
              <w:spacing w:line="375" w:lineRule="atLeast"/>
              <w:jc w:val="center"/>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kern w:val="2"/>
                <w:sz w:val="18"/>
                <w:szCs w:val="18"/>
                <w:lang w:val="en-US" w:eastAsia="zh-CN" w:bidi="ar-SA"/>
              </w:rPr>
              <w:t>取决于磨矿细度、浮选流程等</w:t>
            </w:r>
          </w:p>
        </w:tc>
      </w:tr>
      <w:tr w14:paraId="3D4EC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8" w:type="dxa"/>
            <w:vAlign w:val="center"/>
          </w:tcPr>
          <w:p w14:paraId="07A31157">
            <w:pPr>
              <w:keepNext w:val="0"/>
              <w:keepLines w:val="0"/>
              <w:widowControl/>
              <w:suppressLineNumbers w:val="0"/>
              <w:spacing w:line="375" w:lineRule="atLeast"/>
              <w:jc w:val="center"/>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kern w:val="2"/>
                <w:sz w:val="18"/>
                <w:szCs w:val="18"/>
                <w:lang w:val="en-US" w:eastAsia="zh-CN" w:bidi="ar-SA"/>
              </w:rPr>
              <w:t>火法冶炼</w:t>
            </w:r>
          </w:p>
        </w:tc>
        <w:tc>
          <w:tcPr>
            <w:tcW w:w="2262" w:type="dxa"/>
            <w:vAlign w:val="center"/>
          </w:tcPr>
          <w:p w14:paraId="50590D1C">
            <w:pPr>
              <w:keepNext w:val="0"/>
              <w:keepLines w:val="0"/>
              <w:widowControl/>
              <w:suppressLineNumbers w:val="0"/>
              <w:spacing w:line="375" w:lineRule="atLeast"/>
              <w:jc w:val="center"/>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kern w:val="2"/>
                <w:sz w:val="18"/>
                <w:szCs w:val="18"/>
                <w:lang w:val="en-US" w:eastAsia="zh-CN" w:bidi="ar-SA"/>
              </w:rPr>
              <w:t>待定</w:t>
            </w:r>
          </w:p>
        </w:tc>
        <w:tc>
          <w:tcPr>
            <w:tcW w:w="3974" w:type="dxa"/>
            <w:vAlign w:val="center"/>
          </w:tcPr>
          <w:p w14:paraId="7DCBF6CA">
            <w:pPr>
              <w:keepNext w:val="0"/>
              <w:keepLines w:val="0"/>
              <w:widowControl/>
              <w:suppressLineNumbers w:val="0"/>
              <w:spacing w:line="375" w:lineRule="atLeast"/>
              <w:jc w:val="center"/>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kern w:val="2"/>
                <w:sz w:val="18"/>
                <w:szCs w:val="18"/>
                <w:lang w:val="en-US" w:eastAsia="zh-CN" w:bidi="ar-SA"/>
              </w:rPr>
              <w:t>取决于燃料种类及炉型</w:t>
            </w:r>
          </w:p>
        </w:tc>
      </w:tr>
      <w:tr w14:paraId="3F540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8" w:type="dxa"/>
            <w:vAlign w:val="center"/>
          </w:tcPr>
          <w:p w14:paraId="3EF428CE">
            <w:pPr>
              <w:keepNext w:val="0"/>
              <w:keepLines w:val="0"/>
              <w:widowControl/>
              <w:suppressLineNumbers w:val="0"/>
              <w:spacing w:line="375" w:lineRule="atLeast"/>
              <w:jc w:val="center"/>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kern w:val="2"/>
                <w:sz w:val="18"/>
                <w:szCs w:val="18"/>
                <w:lang w:val="en-US" w:eastAsia="zh-CN" w:bidi="ar-SA"/>
              </w:rPr>
              <w:t>湿法冶炼</w:t>
            </w:r>
          </w:p>
        </w:tc>
        <w:tc>
          <w:tcPr>
            <w:tcW w:w="2262" w:type="dxa"/>
            <w:vAlign w:val="center"/>
          </w:tcPr>
          <w:p w14:paraId="2B6FE5CC">
            <w:pPr>
              <w:keepNext w:val="0"/>
              <w:keepLines w:val="0"/>
              <w:widowControl/>
              <w:suppressLineNumbers w:val="0"/>
              <w:spacing w:line="375" w:lineRule="atLeast"/>
              <w:jc w:val="center"/>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kern w:val="2"/>
                <w:sz w:val="18"/>
                <w:szCs w:val="18"/>
                <w:lang w:val="en-US" w:eastAsia="zh-CN" w:bidi="ar-SA"/>
              </w:rPr>
              <w:t>待定</w:t>
            </w:r>
          </w:p>
        </w:tc>
        <w:tc>
          <w:tcPr>
            <w:tcW w:w="3974" w:type="dxa"/>
            <w:vAlign w:val="center"/>
          </w:tcPr>
          <w:p w14:paraId="3849ADB7">
            <w:pPr>
              <w:keepNext w:val="0"/>
              <w:keepLines w:val="0"/>
              <w:widowControl/>
              <w:suppressLineNumbers w:val="0"/>
              <w:spacing w:line="375" w:lineRule="atLeast"/>
              <w:jc w:val="center"/>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kern w:val="2"/>
                <w:sz w:val="18"/>
                <w:szCs w:val="18"/>
                <w:lang w:val="en-US" w:eastAsia="zh-CN" w:bidi="ar-SA"/>
              </w:rPr>
              <w:t>取决于浸出方式及电力结构</w:t>
            </w:r>
          </w:p>
        </w:tc>
      </w:tr>
      <w:tr w14:paraId="65396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8" w:type="dxa"/>
            <w:vAlign w:val="center"/>
          </w:tcPr>
          <w:p w14:paraId="340938F1">
            <w:pPr>
              <w:keepNext w:val="0"/>
              <w:keepLines w:val="0"/>
              <w:widowControl/>
              <w:suppressLineNumbers w:val="0"/>
              <w:spacing w:line="375" w:lineRule="atLeast"/>
              <w:jc w:val="center"/>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kern w:val="2"/>
                <w:sz w:val="18"/>
                <w:szCs w:val="18"/>
                <w:lang w:val="en-US" w:eastAsia="zh-CN" w:bidi="ar-SA"/>
              </w:rPr>
              <w:t>精炼（电解）</w:t>
            </w:r>
          </w:p>
        </w:tc>
        <w:tc>
          <w:tcPr>
            <w:tcW w:w="2262" w:type="dxa"/>
            <w:vAlign w:val="center"/>
          </w:tcPr>
          <w:p w14:paraId="59F5CA0B">
            <w:pPr>
              <w:keepNext w:val="0"/>
              <w:keepLines w:val="0"/>
              <w:widowControl/>
              <w:suppressLineNumbers w:val="0"/>
              <w:spacing w:line="375" w:lineRule="atLeast"/>
              <w:jc w:val="center"/>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kern w:val="2"/>
                <w:sz w:val="18"/>
                <w:szCs w:val="18"/>
                <w:lang w:val="en-US" w:eastAsia="zh-CN" w:bidi="ar-SA"/>
              </w:rPr>
              <w:t>待定</w:t>
            </w:r>
          </w:p>
        </w:tc>
        <w:tc>
          <w:tcPr>
            <w:tcW w:w="3974" w:type="dxa"/>
            <w:vAlign w:val="center"/>
          </w:tcPr>
          <w:p w14:paraId="6E2FB7C9">
            <w:pPr>
              <w:keepNext w:val="0"/>
              <w:keepLines w:val="0"/>
              <w:widowControl/>
              <w:suppressLineNumbers w:val="0"/>
              <w:spacing w:line="375" w:lineRule="atLeast"/>
              <w:jc w:val="center"/>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kern w:val="2"/>
                <w:sz w:val="18"/>
                <w:szCs w:val="18"/>
                <w:lang w:val="en-US" w:eastAsia="zh-CN" w:bidi="ar-SA"/>
              </w:rPr>
              <w:t>取决于电力排放因子</w:t>
            </w:r>
          </w:p>
        </w:tc>
      </w:tr>
    </w:tbl>
    <w:p w14:paraId="659BB1EB">
      <w:pPr>
        <w:spacing w:beforeLines="50" w:afterLines="50" w:line="360" w:lineRule="exact"/>
        <w:jc w:val="center"/>
        <w:outlineLvl w:val="0"/>
        <w:rPr>
          <w:rFonts w:hint="eastAsia" w:ascii="黑体" w:hAnsi="宋体" w:eastAsia="黑体" w:cs="Times New Roman"/>
          <w:szCs w:val="21"/>
          <w:lang w:val="en-US" w:eastAsia="zh-CN"/>
        </w:rPr>
      </w:pPr>
    </w:p>
    <w:p w14:paraId="4158B088">
      <w:pPr>
        <w:spacing w:beforeLines="50" w:afterLines="50" w:line="360" w:lineRule="exact"/>
        <w:jc w:val="center"/>
        <w:outlineLvl w:val="0"/>
        <w:rPr>
          <w:rFonts w:hint="eastAsia" w:ascii="黑体" w:hAnsi="宋体" w:eastAsia="黑体" w:cs="Times New Roman"/>
          <w:szCs w:val="21"/>
          <w:lang w:val="en-US" w:eastAsia="zh-CN"/>
        </w:rPr>
      </w:pPr>
    </w:p>
    <w:p w14:paraId="7454985A">
      <w:pPr>
        <w:spacing w:beforeLines="50" w:afterLines="50" w:line="360" w:lineRule="exact"/>
        <w:jc w:val="center"/>
        <w:outlineLvl w:val="0"/>
        <w:rPr>
          <w:rFonts w:hint="eastAsia" w:ascii="黑体" w:hAnsi="宋体" w:eastAsia="黑体" w:cs="Times New Roman"/>
          <w:szCs w:val="21"/>
          <w:lang w:val="en-US" w:eastAsia="zh-CN"/>
        </w:rPr>
      </w:pPr>
    </w:p>
    <w:p w14:paraId="11081F9F">
      <w:pPr>
        <w:spacing w:beforeLines="50" w:afterLines="50" w:line="360" w:lineRule="exact"/>
        <w:jc w:val="center"/>
        <w:outlineLvl w:val="0"/>
        <w:rPr>
          <w:rFonts w:hint="eastAsia" w:ascii="黑体" w:hAnsi="宋体" w:eastAsia="黑体" w:cs="Times New Roman"/>
          <w:szCs w:val="21"/>
          <w:lang w:val="en-US" w:eastAsia="zh-CN"/>
        </w:rPr>
        <w:sectPr>
          <w:pgSz w:w="11906" w:h="16838"/>
          <w:pgMar w:top="1928" w:right="1134" w:bottom="1134" w:left="1134" w:header="1418" w:footer="1134" w:gutter="284"/>
          <w:pgBorders>
            <w:top w:val="none" w:sz="0" w:space="0"/>
            <w:left w:val="none" w:sz="0" w:space="0"/>
            <w:bottom w:val="none" w:sz="0" w:space="0"/>
            <w:right w:val="none" w:sz="0" w:space="0"/>
          </w:pgBorders>
          <w:pgNumType w:fmt="decimal"/>
          <w:cols w:space="425" w:num="1"/>
          <w:formProt w:val="0"/>
          <w:docGrid w:type="lines" w:linePitch="312" w:charSpace="0"/>
        </w:sectPr>
      </w:pPr>
    </w:p>
    <w:p w14:paraId="3504FB8E">
      <w:pPr>
        <w:spacing w:beforeLines="0" w:afterLines="0" w:line="240" w:lineRule="auto"/>
        <w:jc w:val="center"/>
        <w:outlineLvl w:val="0"/>
        <w:rPr>
          <w:rFonts w:hint="eastAsia" w:ascii="黑体" w:hAnsi="宋体" w:eastAsia="黑体" w:cs="Times New Roman"/>
          <w:szCs w:val="21"/>
          <w:lang w:val="en-US" w:eastAsia="zh-CN"/>
        </w:rPr>
      </w:pPr>
      <w:r>
        <w:rPr>
          <w:rFonts w:hint="eastAsia" w:ascii="黑体" w:hAnsi="宋体" w:eastAsia="黑体" w:cs="Times New Roman"/>
          <w:szCs w:val="21"/>
          <w:lang w:val="en-US" w:eastAsia="zh-CN"/>
        </w:rPr>
        <w:t>附录B</w:t>
      </w:r>
      <w:bookmarkEnd w:id="48"/>
    </w:p>
    <w:p w14:paraId="3C87CBA3">
      <w:pPr>
        <w:spacing w:beforeLines="0" w:afterLines="0" w:line="240" w:lineRule="auto"/>
        <w:jc w:val="center"/>
        <w:outlineLvl w:val="0"/>
        <w:rPr>
          <w:rFonts w:hint="eastAsia" w:ascii="黑体" w:hAnsi="宋体" w:eastAsia="黑体" w:cs="Times New Roman"/>
          <w:szCs w:val="21"/>
          <w:lang w:val="en-US" w:eastAsia="zh-CN"/>
        </w:rPr>
      </w:pPr>
      <w:bookmarkStart w:id="49" w:name="_Toc757"/>
      <w:r>
        <w:rPr>
          <w:rFonts w:hint="eastAsia" w:ascii="黑体" w:hAnsi="宋体" w:eastAsia="黑体" w:cs="Times New Roman"/>
          <w:szCs w:val="21"/>
          <w:lang w:val="en-US" w:eastAsia="zh-CN"/>
        </w:rPr>
        <w:t>（规范性）</w:t>
      </w:r>
      <w:bookmarkEnd w:id="49"/>
    </w:p>
    <w:p w14:paraId="3D82DACE">
      <w:pPr>
        <w:spacing w:beforeLines="0" w:afterLines="0" w:line="240" w:lineRule="auto"/>
        <w:jc w:val="center"/>
        <w:outlineLvl w:val="0"/>
        <w:rPr>
          <w:rFonts w:hint="default" w:ascii="黑体" w:hAnsi="宋体" w:eastAsia="黑体" w:cs="Times New Roman"/>
          <w:szCs w:val="21"/>
          <w:lang w:val="en-US" w:eastAsia="zh-CN"/>
        </w:rPr>
      </w:pPr>
      <w:bookmarkStart w:id="50" w:name="_Toc18014"/>
      <w:r>
        <w:rPr>
          <w:rFonts w:hint="eastAsia" w:ascii="黑体" w:hAnsi="宋体" w:eastAsia="黑体" w:cs="Times New Roman"/>
          <w:szCs w:val="21"/>
          <w:lang w:val="en-US" w:eastAsia="zh-CN"/>
        </w:rPr>
        <w:t>分配示例</w:t>
      </w:r>
      <w:bookmarkEnd w:id="50"/>
    </w:p>
    <w:p w14:paraId="6D16A29D">
      <w:pPr>
        <w:pStyle w:val="279"/>
        <w:spacing w:beforeLines="100" w:afterLines="100" w:line="240" w:lineRule="auto"/>
        <w:ind w:firstLine="0" w:firstLineChars="0"/>
        <w:rPr>
          <w:rFonts w:hint="eastAsia" w:ascii="黑体" w:hAnsi="黑体" w:eastAsia="黑体" w:cs="黑体"/>
          <w:bCs/>
          <w:lang w:val="en-US" w:eastAsia="zh-CN"/>
        </w:rPr>
      </w:pPr>
      <w:r>
        <w:rPr>
          <w:rFonts w:hint="eastAsia" w:ascii="黑体" w:hAnsi="黑体" w:eastAsia="黑体" w:cs="黑体"/>
          <w:bCs/>
          <w:lang w:val="en-US" w:eastAsia="zh-CN"/>
        </w:rPr>
        <w:t>B.1 经济分配法示例</w:t>
      </w:r>
    </w:p>
    <w:p w14:paraId="3710C963">
      <w:pPr>
        <w:ind w:firstLine="420" w:firstLineChars="200"/>
        <w:rPr>
          <w:rFonts w:hint="eastAsia" w:ascii="Times New Roman" w:hAnsi="Times New Roman" w:cs="Times New Roman"/>
          <w:szCs w:val="21"/>
          <w:lang w:val="en-US" w:eastAsia="zh-CN"/>
        </w:rPr>
      </w:pPr>
      <w:r>
        <w:rPr>
          <w:rFonts w:hint="eastAsia" w:ascii="Times New Roman" w:hAnsi="Times New Roman" w:cs="Times New Roman"/>
          <w:szCs w:val="21"/>
          <w:lang w:val="en-US" w:eastAsia="zh-CN"/>
        </w:rPr>
        <w:t>某铅银伴生矿，年产铅精矿含铅10000吨，含银500千克。铅价15000元/吨，银价5000元/千克。采矿选矿总碳排放为200000tCO</w:t>
      </w:r>
      <w:r>
        <w:rPr>
          <w:rFonts w:hint="eastAsia" w:ascii="Times New Roman" w:hAnsi="Times New Roman" w:cs="Times New Roman"/>
          <w:szCs w:val="21"/>
          <w:vertAlign w:val="subscript"/>
          <w:lang w:val="en-US" w:eastAsia="zh-CN"/>
        </w:rPr>
        <w:t>2</w:t>
      </w:r>
      <w:r>
        <w:rPr>
          <w:rFonts w:hint="eastAsia" w:ascii="Times New Roman" w:hAnsi="Times New Roman" w:cs="Times New Roman"/>
          <w:szCs w:val="21"/>
          <w:lang w:val="en-US" w:eastAsia="zh-CN"/>
        </w:rPr>
        <w:t>e。</w:t>
      </w:r>
    </w:p>
    <w:p w14:paraId="49DB95E7">
      <w:pPr>
        <w:ind w:firstLine="420" w:firstLineChars="200"/>
        <w:rPr>
          <w:rFonts w:hint="eastAsia" w:ascii="Times New Roman" w:hAnsi="Times New Roman" w:cs="Times New Roman"/>
          <w:szCs w:val="21"/>
          <w:lang w:val="en-US" w:eastAsia="zh-CN"/>
        </w:rPr>
      </w:pPr>
      <w:r>
        <w:rPr>
          <w:rFonts w:hint="eastAsia" w:ascii="Times New Roman" w:hAnsi="Times New Roman" w:cs="Times New Roman"/>
          <w:szCs w:val="21"/>
          <w:lang w:val="en-US" w:eastAsia="zh-CN"/>
        </w:rPr>
        <w:t>金属价值计算：</w:t>
      </w:r>
    </w:p>
    <w:p w14:paraId="21F8585D">
      <w:pPr>
        <w:ind w:firstLine="420" w:firstLineChars="200"/>
        <w:rPr>
          <w:rFonts w:hint="eastAsia" w:ascii="Times New Roman" w:hAnsi="Times New Roman" w:cs="Times New Roman"/>
          <w:szCs w:val="21"/>
          <w:lang w:val="en-US" w:eastAsia="zh-CN"/>
        </w:rPr>
      </w:pPr>
      <w:r>
        <w:rPr>
          <w:rFonts w:hint="eastAsia" w:ascii="Times New Roman" w:hAnsi="Times New Roman" w:cs="Times New Roman"/>
          <w:szCs w:val="21"/>
          <w:lang w:val="en-US" w:eastAsia="zh-CN"/>
        </w:rPr>
        <w:t>铅价值=10000t×15000元/t = 150000000元</w:t>
      </w:r>
    </w:p>
    <w:p w14:paraId="2347EFC1">
      <w:pPr>
        <w:ind w:firstLine="420" w:firstLineChars="200"/>
        <w:rPr>
          <w:rFonts w:hint="eastAsia" w:ascii="Times New Roman" w:hAnsi="Times New Roman" w:cs="Times New Roman"/>
          <w:szCs w:val="21"/>
          <w:lang w:val="en-US" w:eastAsia="zh-CN"/>
        </w:rPr>
      </w:pPr>
      <w:r>
        <w:rPr>
          <w:rFonts w:hint="eastAsia" w:ascii="Times New Roman" w:hAnsi="Times New Roman" w:cs="Times New Roman"/>
          <w:szCs w:val="21"/>
          <w:lang w:val="en-US" w:eastAsia="zh-CN"/>
        </w:rPr>
        <w:t>银价值=5000kg×5000元/kg = 25000000元</w:t>
      </w:r>
    </w:p>
    <w:p w14:paraId="3FE13773">
      <w:pPr>
        <w:ind w:firstLine="420" w:firstLineChars="200"/>
        <w:rPr>
          <w:rFonts w:hint="eastAsia" w:ascii="Times New Roman" w:hAnsi="Times New Roman" w:cs="Times New Roman"/>
          <w:szCs w:val="21"/>
          <w:lang w:val="en-US" w:eastAsia="zh-CN"/>
        </w:rPr>
      </w:pPr>
      <w:r>
        <w:rPr>
          <w:rFonts w:hint="eastAsia" w:ascii="Times New Roman" w:hAnsi="Times New Roman" w:cs="Times New Roman"/>
          <w:szCs w:val="21"/>
          <w:lang w:val="en-US" w:eastAsia="zh-CN"/>
        </w:rPr>
        <w:t>总价值=175000000元</w:t>
      </w:r>
    </w:p>
    <w:p w14:paraId="1B2AD122">
      <w:pPr>
        <w:ind w:firstLine="420" w:firstLineChars="200"/>
        <w:rPr>
          <w:rFonts w:hint="eastAsia" w:ascii="Times New Roman" w:hAnsi="Times New Roman" w:cs="Times New Roman"/>
          <w:szCs w:val="21"/>
          <w:lang w:val="en-US" w:eastAsia="zh-CN"/>
        </w:rPr>
      </w:pPr>
      <w:r>
        <w:rPr>
          <w:rFonts w:hint="eastAsia" w:ascii="Times New Roman" w:hAnsi="Times New Roman" w:cs="Times New Roman"/>
          <w:szCs w:val="21"/>
          <w:lang w:val="en-US" w:eastAsia="zh-CN"/>
        </w:rPr>
        <w:t>分配系数：</w:t>
      </w:r>
    </w:p>
    <w:p w14:paraId="519DC56A">
      <w:pPr>
        <w:ind w:firstLine="420" w:firstLineChars="200"/>
        <w:rPr>
          <w:rFonts w:hint="default" w:ascii="Times New Roman" w:hAnsi="Times New Roman" w:cs="Times New Roman"/>
          <w:szCs w:val="21"/>
          <w:lang w:val="en-US" w:eastAsia="zh-CN"/>
        </w:rPr>
      </w:pPr>
      <w:r>
        <w:rPr>
          <w:rFonts w:hint="eastAsia" w:ascii="Times New Roman" w:hAnsi="Times New Roman" w:cs="Times New Roman"/>
          <w:szCs w:val="21"/>
          <w:lang w:val="en-US" w:eastAsia="zh-CN"/>
        </w:rPr>
        <w:t>铅=150/175=0.857</w:t>
      </w:r>
    </w:p>
    <w:p w14:paraId="445493C0">
      <w:pPr>
        <w:ind w:firstLine="420" w:firstLineChars="200"/>
        <w:rPr>
          <w:rFonts w:hint="default" w:ascii="Times New Roman" w:hAnsi="Times New Roman" w:cs="Times New Roman"/>
          <w:szCs w:val="21"/>
          <w:lang w:val="en-US" w:eastAsia="zh-CN"/>
        </w:rPr>
      </w:pPr>
      <w:r>
        <w:rPr>
          <w:rFonts w:hint="eastAsia" w:ascii="Times New Roman" w:hAnsi="Times New Roman" w:cs="Times New Roman"/>
          <w:szCs w:val="21"/>
          <w:lang w:val="en-US" w:eastAsia="zh-CN"/>
        </w:rPr>
        <w:t>银=25/175 =0.143</w:t>
      </w:r>
    </w:p>
    <w:p w14:paraId="0F43B118">
      <w:pPr>
        <w:ind w:firstLine="420" w:firstLineChars="200"/>
        <w:rPr>
          <w:rFonts w:hint="eastAsia" w:ascii="Times New Roman" w:hAnsi="Times New Roman" w:cs="Times New Roman"/>
          <w:szCs w:val="21"/>
          <w:lang w:val="en-US" w:eastAsia="zh-CN"/>
        </w:rPr>
      </w:pPr>
      <w:r>
        <w:rPr>
          <w:rFonts w:hint="eastAsia" w:ascii="Times New Roman" w:hAnsi="Times New Roman" w:cs="Times New Roman"/>
          <w:szCs w:val="21"/>
          <w:lang w:val="en-US" w:eastAsia="zh-CN"/>
        </w:rPr>
        <w:t>银应分配的碳排放=200000tCO2e×0.143=28600tCO</w:t>
      </w:r>
      <w:r>
        <w:rPr>
          <w:rFonts w:hint="eastAsia" w:ascii="Times New Roman" w:hAnsi="Times New Roman" w:cs="Times New Roman"/>
          <w:szCs w:val="21"/>
          <w:vertAlign w:val="subscript"/>
          <w:lang w:val="en-US" w:eastAsia="zh-CN"/>
        </w:rPr>
        <w:t>2</w:t>
      </w:r>
      <w:r>
        <w:rPr>
          <w:rFonts w:hint="eastAsia" w:ascii="Times New Roman" w:hAnsi="Times New Roman" w:cs="Times New Roman"/>
          <w:szCs w:val="21"/>
          <w:lang w:val="en-US" w:eastAsia="zh-CN"/>
        </w:rPr>
        <w:t>e</w:t>
      </w:r>
    </w:p>
    <w:p w14:paraId="723A5CA2">
      <w:pPr>
        <w:pStyle w:val="279"/>
        <w:spacing w:beforeLines="100" w:afterLines="100" w:line="240" w:lineRule="auto"/>
        <w:ind w:firstLine="0" w:firstLineChars="0"/>
        <w:rPr>
          <w:rFonts w:hint="eastAsia" w:ascii="黑体" w:hAnsi="黑体" w:eastAsia="黑体" w:cs="黑体"/>
          <w:bCs/>
          <w:lang w:val="en-US" w:eastAsia="zh-CN"/>
        </w:rPr>
      </w:pPr>
      <w:r>
        <w:rPr>
          <w:rFonts w:hint="eastAsia" w:ascii="黑体" w:hAnsi="黑体" w:eastAsia="黑体" w:cs="黑体"/>
          <w:bCs/>
          <w:lang w:val="en-US" w:eastAsia="zh-CN"/>
        </w:rPr>
        <w:t>B.2 再生银分配示例</w:t>
      </w:r>
    </w:p>
    <w:p w14:paraId="59A1D0B4">
      <w:pPr>
        <w:ind w:firstLine="420" w:firstLineChars="200"/>
        <w:rPr>
          <w:rFonts w:hint="eastAsia" w:ascii="Times New Roman" w:hAnsi="Times New Roman" w:cs="Times New Roman"/>
          <w:szCs w:val="21"/>
          <w:lang w:val="en-US" w:eastAsia="zh-CN"/>
        </w:rPr>
      </w:pPr>
      <w:bookmarkStart w:id="51" w:name="_Toc1908"/>
      <w:r>
        <w:rPr>
          <w:rFonts w:hint="eastAsia" w:ascii="Times New Roman" w:hAnsi="Times New Roman" w:cs="Times New Roman"/>
          <w:szCs w:val="21"/>
          <w:lang w:val="en-US" w:eastAsia="zh-CN"/>
        </w:rPr>
        <w:t>某精炼厂年处理含银废料10000吨（含银量1%），产出再生银100千克；同时处理自产合质银（原生）900千克。总精炼过程碳排放为10000tCO</w:t>
      </w:r>
      <w:r>
        <w:rPr>
          <w:rFonts w:hint="eastAsia" w:ascii="Times New Roman" w:hAnsi="Times New Roman" w:cs="Times New Roman"/>
          <w:szCs w:val="21"/>
          <w:vertAlign w:val="subscript"/>
          <w:lang w:val="en-US" w:eastAsia="zh-CN"/>
        </w:rPr>
        <w:t>2</w:t>
      </w:r>
      <w:r>
        <w:rPr>
          <w:rFonts w:hint="eastAsia" w:ascii="Times New Roman" w:hAnsi="Times New Roman" w:cs="Times New Roman"/>
          <w:szCs w:val="21"/>
          <w:lang w:val="en-US" w:eastAsia="zh-CN"/>
        </w:rPr>
        <w:t>e。按质量比例分配：</w:t>
      </w:r>
    </w:p>
    <w:p w14:paraId="6957655A">
      <w:pPr>
        <w:ind w:firstLine="420" w:firstLineChars="200"/>
        <w:rPr>
          <w:rFonts w:hint="eastAsia" w:ascii="Times New Roman" w:hAnsi="Times New Roman" w:cs="Times New Roman"/>
          <w:szCs w:val="21"/>
          <w:lang w:val="en-US" w:eastAsia="zh-CN"/>
        </w:rPr>
      </w:pPr>
      <w:r>
        <w:rPr>
          <w:rFonts w:hint="eastAsia" w:ascii="Times New Roman" w:hAnsi="Times New Roman" w:cs="Times New Roman"/>
          <w:szCs w:val="21"/>
          <w:lang w:val="en-US" w:eastAsia="zh-CN"/>
        </w:rPr>
        <w:t>再生银质量比例=100/(100+900)=0.1</w:t>
      </w:r>
    </w:p>
    <w:p w14:paraId="1E29452A">
      <w:pPr>
        <w:ind w:firstLine="420" w:firstLineChars="200"/>
        <w:rPr>
          <w:rFonts w:hint="eastAsia" w:ascii="Times New Roman" w:hAnsi="Times New Roman" w:cs="Times New Roman"/>
          <w:szCs w:val="21"/>
          <w:lang w:val="en-US" w:eastAsia="zh-CN"/>
        </w:rPr>
      </w:pPr>
      <w:r>
        <w:rPr>
          <w:rFonts w:hint="eastAsia" w:ascii="Times New Roman" w:hAnsi="Times New Roman" w:cs="Times New Roman"/>
          <w:szCs w:val="21"/>
          <w:lang w:val="en-US" w:eastAsia="zh-CN"/>
        </w:rPr>
        <w:t>再生银分配碳排放=10000×0.1=1,000tCO</w:t>
      </w:r>
      <w:r>
        <w:rPr>
          <w:rFonts w:hint="eastAsia" w:ascii="Times New Roman" w:hAnsi="Times New Roman" w:cs="Times New Roman"/>
          <w:szCs w:val="21"/>
          <w:vertAlign w:val="subscript"/>
          <w:lang w:val="en-US" w:eastAsia="zh-CN"/>
        </w:rPr>
        <w:t>2</w:t>
      </w:r>
      <w:r>
        <w:rPr>
          <w:rFonts w:hint="eastAsia" w:ascii="Times New Roman" w:hAnsi="Times New Roman" w:cs="Times New Roman"/>
          <w:szCs w:val="21"/>
          <w:lang w:val="en-US" w:eastAsia="zh-CN"/>
        </w:rPr>
        <w:t>e</w:t>
      </w:r>
    </w:p>
    <w:p w14:paraId="43D5DF40">
      <w:pPr>
        <w:spacing w:beforeLines="50" w:afterLines="50" w:line="360" w:lineRule="exact"/>
        <w:jc w:val="center"/>
        <w:outlineLvl w:val="0"/>
        <w:rPr>
          <w:rFonts w:hint="eastAsia" w:ascii="黑体" w:hAnsi="宋体" w:eastAsia="黑体" w:cs="Times New Roman"/>
          <w:szCs w:val="21"/>
          <w:lang w:val="en-US" w:eastAsia="zh-CN"/>
        </w:rPr>
      </w:pPr>
    </w:p>
    <w:p w14:paraId="68815431">
      <w:pPr>
        <w:spacing w:beforeLines="50" w:afterLines="50" w:line="360" w:lineRule="exact"/>
        <w:jc w:val="center"/>
        <w:outlineLvl w:val="0"/>
        <w:rPr>
          <w:rFonts w:hint="eastAsia" w:ascii="黑体" w:hAnsi="宋体" w:eastAsia="黑体" w:cs="Times New Roman"/>
          <w:szCs w:val="21"/>
          <w:lang w:val="en-US" w:eastAsia="zh-CN"/>
        </w:rPr>
        <w:sectPr>
          <w:pgSz w:w="11906" w:h="16838"/>
          <w:pgMar w:top="1928" w:right="1134" w:bottom="1134" w:left="1134" w:header="1418" w:footer="1134" w:gutter="284"/>
          <w:pgBorders>
            <w:top w:val="none" w:sz="0" w:space="0"/>
            <w:left w:val="none" w:sz="0" w:space="0"/>
            <w:bottom w:val="none" w:sz="0" w:space="0"/>
            <w:right w:val="none" w:sz="0" w:space="0"/>
          </w:pgBorders>
          <w:pgNumType w:fmt="decimal"/>
          <w:cols w:space="425" w:num="1"/>
          <w:formProt w:val="0"/>
          <w:docGrid w:type="lines" w:linePitch="312" w:charSpace="0"/>
        </w:sectPr>
      </w:pPr>
    </w:p>
    <w:p w14:paraId="499EA580">
      <w:pPr>
        <w:spacing w:beforeLines="0" w:afterLines="0" w:line="240" w:lineRule="auto"/>
        <w:jc w:val="center"/>
        <w:outlineLvl w:val="0"/>
        <w:rPr>
          <w:rFonts w:hint="eastAsia" w:ascii="黑体" w:hAnsi="宋体" w:eastAsia="黑体" w:cs="Times New Roman"/>
          <w:szCs w:val="21"/>
          <w:lang w:val="en-US" w:eastAsia="zh-CN"/>
        </w:rPr>
      </w:pPr>
      <w:r>
        <w:rPr>
          <w:rFonts w:hint="eastAsia" w:ascii="黑体" w:hAnsi="宋体" w:eastAsia="黑体" w:cs="Times New Roman"/>
          <w:szCs w:val="21"/>
          <w:lang w:val="en-US" w:eastAsia="zh-CN"/>
        </w:rPr>
        <w:t>附录C</w:t>
      </w:r>
      <w:bookmarkEnd w:id="51"/>
    </w:p>
    <w:p w14:paraId="71B1C091">
      <w:pPr>
        <w:spacing w:beforeLines="0" w:afterLines="0" w:line="240" w:lineRule="auto"/>
        <w:jc w:val="center"/>
        <w:outlineLvl w:val="0"/>
        <w:rPr>
          <w:rFonts w:hint="eastAsia" w:ascii="黑体" w:hAnsi="宋体" w:eastAsia="黑体" w:cs="Times New Roman"/>
          <w:szCs w:val="21"/>
          <w:lang w:val="en-US" w:eastAsia="zh-CN"/>
        </w:rPr>
      </w:pPr>
      <w:bookmarkStart w:id="52" w:name="_Toc26484"/>
      <w:r>
        <w:rPr>
          <w:rFonts w:hint="eastAsia" w:ascii="黑体" w:hAnsi="宋体" w:eastAsia="黑体" w:cs="Times New Roman"/>
          <w:szCs w:val="21"/>
          <w:lang w:val="en-US" w:eastAsia="zh-CN"/>
        </w:rPr>
        <w:t>（资料性）</w:t>
      </w:r>
      <w:bookmarkEnd w:id="52"/>
    </w:p>
    <w:p w14:paraId="2E0CEF6B">
      <w:pPr>
        <w:spacing w:beforeLines="0" w:afterLines="0" w:line="240" w:lineRule="auto"/>
        <w:jc w:val="center"/>
        <w:outlineLvl w:val="0"/>
        <w:rPr>
          <w:rFonts w:hint="eastAsia" w:ascii="黑体" w:hAnsi="宋体" w:eastAsia="黑体" w:cs="Times New Roman"/>
          <w:szCs w:val="21"/>
          <w:lang w:val="en-US" w:eastAsia="zh-CN"/>
        </w:rPr>
      </w:pPr>
      <w:bookmarkStart w:id="53" w:name="_Toc20000"/>
      <w:r>
        <w:rPr>
          <w:rFonts w:hint="eastAsia" w:ascii="黑体" w:hAnsi="宋体" w:eastAsia="黑体" w:cs="Times New Roman"/>
          <w:szCs w:val="21"/>
          <w:lang w:val="en-US" w:eastAsia="zh-CN"/>
        </w:rPr>
        <w:t>数据收集表格模板</w:t>
      </w:r>
      <w:bookmarkEnd w:id="53"/>
    </w:p>
    <w:p w14:paraId="26813D8E">
      <w:pPr>
        <w:pStyle w:val="279"/>
        <w:spacing w:beforeLines="100" w:afterLines="100" w:line="240" w:lineRule="auto"/>
        <w:ind w:firstLine="0" w:firstLineChars="0"/>
        <w:rPr>
          <w:rFonts w:hint="eastAsia" w:ascii="黑体" w:hAnsi="黑体" w:eastAsia="黑体" w:cs="黑体"/>
          <w:bCs/>
          <w:lang w:val="en-US" w:eastAsia="zh-CN"/>
        </w:rPr>
      </w:pPr>
      <w:r>
        <w:rPr>
          <w:rFonts w:hint="eastAsia" w:ascii="黑体" w:hAnsi="黑体" w:eastAsia="黑体" w:cs="黑体"/>
          <w:bCs/>
          <w:lang w:val="en-US" w:eastAsia="zh-CN"/>
        </w:rPr>
        <w:t>C.1 能源消耗数据收集表</w:t>
      </w:r>
    </w:p>
    <w:tbl>
      <w:tblPr>
        <w:tblStyle w:val="32"/>
        <w:tblW w:w="499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9"/>
        <w:gridCol w:w="1379"/>
        <w:gridCol w:w="410"/>
        <w:gridCol w:w="610"/>
        <w:gridCol w:w="990"/>
        <w:gridCol w:w="1140"/>
        <w:gridCol w:w="486"/>
        <w:gridCol w:w="953"/>
        <w:gridCol w:w="611"/>
        <w:gridCol w:w="790"/>
        <w:gridCol w:w="1191"/>
      </w:tblGrid>
      <w:tr w14:paraId="4D0FA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522" w:type="pct"/>
            <w:vAlign w:val="center"/>
          </w:tcPr>
          <w:p w14:paraId="31DA4B71">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能源品种</w:t>
            </w:r>
          </w:p>
        </w:tc>
        <w:tc>
          <w:tcPr>
            <w:tcW w:w="721" w:type="pct"/>
            <w:vAlign w:val="center"/>
          </w:tcPr>
          <w:p w14:paraId="60D83EB3">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计量</w:t>
            </w:r>
          </w:p>
          <w:p w14:paraId="76B57ABD">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器 具</w:t>
            </w:r>
          </w:p>
        </w:tc>
        <w:tc>
          <w:tcPr>
            <w:tcW w:w="214" w:type="pct"/>
            <w:vAlign w:val="center"/>
          </w:tcPr>
          <w:p w14:paraId="729CE936">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消耗量</w:t>
            </w:r>
          </w:p>
        </w:tc>
        <w:tc>
          <w:tcPr>
            <w:tcW w:w="319" w:type="pct"/>
            <w:vAlign w:val="center"/>
          </w:tcPr>
          <w:p w14:paraId="0083850A">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单位</w:t>
            </w:r>
          </w:p>
        </w:tc>
        <w:tc>
          <w:tcPr>
            <w:tcW w:w="517" w:type="pct"/>
            <w:vAlign w:val="center"/>
          </w:tcPr>
          <w:p w14:paraId="235DFA6A">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数据周期</w:t>
            </w:r>
          </w:p>
        </w:tc>
        <w:tc>
          <w:tcPr>
            <w:tcW w:w="596" w:type="pct"/>
            <w:vAlign w:val="center"/>
          </w:tcPr>
          <w:p w14:paraId="6F8E277F">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低位发热量</w:t>
            </w:r>
          </w:p>
        </w:tc>
        <w:tc>
          <w:tcPr>
            <w:tcW w:w="254" w:type="pct"/>
            <w:vAlign w:val="center"/>
          </w:tcPr>
          <w:p w14:paraId="04557005">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单位</w:t>
            </w:r>
          </w:p>
        </w:tc>
        <w:tc>
          <w:tcPr>
            <w:tcW w:w="498" w:type="pct"/>
            <w:vAlign w:val="center"/>
          </w:tcPr>
          <w:p w14:paraId="0B273280">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碳含量</w:t>
            </w:r>
          </w:p>
        </w:tc>
        <w:tc>
          <w:tcPr>
            <w:tcW w:w="319" w:type="pct"/>
            <w:vAlign w:val="center"/>
          </w:tcPr>
          <w:p w14:paraId="343845E7">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单 位</w:t>
            </w:r>
          </w:p>
        </w:tc>
        <w:tc>
          <w:tcPr>
            <w:tcW w:w="413" w:type="pct"/>
            <w:vAlign w:val="center"/>
          </w:tcPr>
          <w:p w14:paraId="2F68D5CC">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氧化率</w:t>
            </w:r>
          </w:p>
        </w:tc>
        <w:tc>
          <w:tcPr>
            <w:tcW w:w="622" w:type="pct"/>
            <w:vAlign w:val="center"/>
          </w:tcPr>
          <w:p w14:paraId="195A93AE">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数据来源</w:t>
            </w:r>
          </w:p>
        </w:tc>
      </w:tr>
      <w:tr w14:paraId="5F19C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trPr>
        <w:tc>
          <w:tcPr>
            <w:tcW w:w="522" w:type="pct"/>
            <w:vAlign w:val="center"/>
          </w:tcPr>
          <w:p w14:paraId="4BA2E750">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电力</w:t>
            </w:r>
          </w:p>
        </w:tc>
        <w:tc>
          <w:tcPr>
            <w:tcW w:w="721" w:type="pct"/>
            <w:vAlign w:val="center"/>
          </w:tcPr>
          <w:p w14:paraId="510E013A">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电表</w:t>
            </w:r>
          </w:p>
        </w:tc>
        <w:tc>
          <w:tcPr>
            <w:tcW w:w="214" w:type="pct"/>
            <w:vAlign w:val="center"/>
          </w:tcPr>
          <w:p w14:paraId="11688209">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p>
        </w:tc>
        <w:tc>
          <w:tcPr>
            <w:tcW w:w="319" w:type="pct"/>
            <w:vAlign w:val="center"/>
          </w:tcPr>
          <w:p w14:paraId="1EBCAD46">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kWh</w:t>
            </w:r>
          </w:p>
        </w:tc>
        <w:tc>
          <w:tcPr>
            <w:tcW w:w="517" w:type="pct"/>
            <w:vAlign w:val="center"/>
          </w:tcPr>
          <w:p w14:paraId="16AC1218">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default"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202X年</w:t>
            </w:r>
          </w:p>
        </w:tc>
        <w:tc>
          <w:tcPr>
            <w:tcW w:w="596" w:type="pct"/>
            <w:vAlign w:val="center"/>
          </w:tcPr>
          <w:p w14:paraId="4EFD7555">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w:t>
            </w:r>
          </w:p>
        </w:tc>
        <w:tc>
          <w:tcPr>
            <w:tcW w:w="254" w:type="pct"/>
            <w:vAlign w:val="center"/>
          </w:tcPr>
          <w:p w14:paraId="04EB516F">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w:t>
            </w:r>
          </w:p>
        </w:tc>
        <w:tc>
          <w:tcPr>
            <w:tcW w:w="498" w:type="pct"/>
            <w:vAlign w:val="center"/>
          </w:tcPr>
          <w:p w14:paraId="76CEFCEF">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w:t>
            </w:r>
          </w:p>
        </w:tc>
        <w:tc>
          <w:tcPr>
            <w:tcW w:w="319" w:type="pct"/>
            <w:vAlign w:val="center"/>
          </w:tcPr>
          <w:p w14:paraId="38F34C3E">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w:t>
            </w:r>
          </w:p>
        </w:tc>
        <w:tc>
          <w:tcPr>
            <w:tcW w:w="413" w:type="pct"/>
            <w:vAlign w:val="center"/>
          </w:tcPr>
          <w:p w14:paraId="437CF3AB">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w:t>
            </w:r>
          </w:p>
        </w:tc>
        <w:tc>
          <w:tcPr>
            <w:tcW w:w="622" w:type="pct"/>
            <w:vAlign w:val="center"/>
          </w:tcPr>
          <w:p w14:paraId="3981B59C">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电费单</w:t>
            </w:r>
          </w:p>
        </w:tc>
      </w:tr>
      <w:tr w14:paraId="41BFD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522" w:type="pct"/>
            <w:vAlign w:val="center"/>
          </w:tcPr>
          <w:p w14:paraId="6D61BAAD">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天然气</w:t>
            </w:r>
          </w:p>
        </w:tc>
        <w:tc>
          <w:tcPr>
            <w:tcW w:w="721" w:type="pct"/>
            <w:vAlign w:val="center"/>
          </w:tcPr>
          <w:p w14:paraId="4CDA9901">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流量计</w:t>
            </w:r>
          </w:p>
        </w:tc>
        <w:tc>
          <w:tcPr>
            <w:tcW w:w="214" w:type="pct"/>
            <w:vAlign w:val="center"/>
          </w:tcPr>
          <w:p w14:paraId="00AC1C56">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p>
        </w:tc>
        <w:tc>
          <w:tcPr>
            <w:tcW w:w="319" w:type="pct"/>
            <w:vAlign w:val="center"/>
          </w:tcPr>
          <w:p w14:paraId="40001538">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m³</w:t>
            </w:r>
          </w:p>
        </w:tc>
        <w:tc>
          <w:tcPr>
            <w:tcW w:w="517" w:type="pct"/>
            <w:vAlign w:val="center"/>
          </w:tcPr>
          <w:p w14:paraId="6CA171A5">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202X年</w:t>
            </w:r>
          </w:p>
        </w:tc>
        <w:tc>
          <w:tcPr>
            <w:tcW w:w="596" w:type="pct"/>
            <w:vAlign w:val="center"/>
          </w:tcPr>
          <w:p w14:paraId="66C39E88">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MJ/m³</w:t>
            </w:r>
          </w:p>
        </w:tc>
        <w:tc>
          <w:tcPr>
            <w:tcW w:w="254" w:type="pct"/>
            <w:vAlign w:val="center"/>
          </w:tcPr>
          <w:p w14:paraId="4B6713E3">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p>
        </w:tc>
        <w:tc>
          <w:tcPr>
            <w:tcW w:w="498" w:type="pct"/>
            <w:vAlign w:val="center"/>
          </w:tcPr>
          <w:p w14:paraId="2CB78B2C">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kgC/GJ</w:t>
            </w:r>
          </w:p>
        </w:tc>
        <w:tc>
          <w:tcPr>
            <w:tcW w:w="319" w:type="pct"/>
            <w:vAlign w:val="center"/>
          </w:tcPr>
          <w:p w14:paraId="4451A6FD">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p>
        </w:tc>
        <w:tc>
          <w:tcPr>
            <w:tcW w:w="413" w:type="pct"/>
            <w:vAlign w:val="center"/>
          </w:tcPr>
          <w:p w14:paraId="4E1140C0">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w:t>
            </w:r>
          </w:p>
        </w:tc>
        <w:tc>
          <w:tcPr>
            <w:tcW w:w="622" w:type="pct"/>
            <w:vAlign w:val="center"/>
          </w:tcPr>
          <w:p w14:paraId="1A051CE6">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实测/供应商</w:t>
            </w:r>
          </w:p>
        </w:tc>
      </w:tr>
      <w:tr w14:paraId="697B0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522" w:type="pct"/>
            <w:vAlign w:val="center"/>
          </w:tcPr>
          <w:p w14:paraId="5ED2F853">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柴油</w:t>
            </w:r>
          </w:p>
        </w:tc>
        <w:tc>
          <w:tcPr>
            <w:tcW w:w="721" w:type="pct"/>
            <w:vAlign w:val="center"/>
          </w:tcPr>
          <w:p w14:paraId="67EA88E9">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流量计/采购单</w:t>
            </w:r>
          </w:p>
        </w:tc>
        <w:tc>
          <w:tcPr>
            <w:tcW w:w="214" w:type="pct"/>
            <w:vAlign w:val="center"/>
          </w:tcPr>
          <w:p w14:paraId="5E79BADA">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p>
        </w:tc>
        <w:tc>
          <w:tcPr>
            <w:tcW w:w="319" w:type="pct"/>
            <w:vAlign w:val="center"/>
          </w:tcPr>
          <w:p w14:paraId="09517C71">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t</w:t>
            </w:r>
          </w:p>
        </w:tc>
        <w:tc>
          <w:tcPr>
            <w:tcW w:w="517" w:type="pct"/>
            <w:vAlign w:val="center"/>
          </w:tcPr>
          <w:p w14:paraId="7D987150">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202X年</w:t>
            </w:r>
          </w:p>
        </w:tc>
        <w:tc>
          <w:tcPr>
            <w:tcW w:w="596" w:type="pct"/>
            <w:vAlign w:val="center"/>
          </w:tcPr>
          <w:p w14:paraId="007D9DE2">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MJ/kg</w:t>
            </w:r>
          </w:p>
        </w:tc>
        <w:tc>
          <w:tcPr>
            <w:tcW w:w="254" w:type="pct"/>
            <w:vAlign w:val="center"/>
          </w:tcPr>
          <w:p w14:paraId="42B1D255">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p>
        </w:tc>
        <w:tc>
          <w:tcPr>
            <w:tcW w:w="498" w:type="pct"/>
            <w:vAlign w:val="center"/>
          </w:tcPr>
          <w:p w14:paraId="0F276D3B">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kgC/GJ</w:t>
            </w:r>
          </w:p>
        </w:tc>
        <w:tc>
          <w:tcPr>
            <w:tcW w:w="319" w:type="pct"/>
            <w:vAlign w:val="center"/>
          </w:tcPr>
          <w:p w14:paraId="579CB008">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p>
        </w:tc>
        <w:tc>
          <w:tcPr>
            <w:tcW w:w="413" w:type="pct"/>
            <w:vAlign w:val="center"/>
          </w:tcPr>
          <w:p w14:paraId="2AD7B1D8">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w:t>
            </w:r>
          </w:p>
        </w:tc>
        <w:tc>
          <w:tcPr>
            <w:tcW w:w="622" w:type="pct"/>
            <w:vAlign w:val="center"/>
          </w:tcPr>
          <w:p w14:paraId="562A9FC7">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实测/缺省值</w:t>
            </w:r>
          </w:p>
        </w:tc>
      </w:tr>
      <w:tr w14:paraId="52EBE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522" w:type="pct"/>
            <w:shd w:val="clear" w:color="auto" w:fill="auto"/>
            <w:vAlign w:val="center"/>
          </w:tcPr>
          <w:p w14:paraId="48E7A888">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eastAsia="宋体" w:cs="Times New Roman"/>
                <w:color w:val="auto"/>
                <w:kern w:val="2"/>
                <w:sz w:val="18"/>
                <w:szCs w:val="18"/>
                <w:lang w:val="en-US" w:eastAsia="zh-CN" w:bidi="ar-SA"/>
              </w:rPr>
            </w:pPr>
            <w:r>
              <w:rPr>
                <w:rFonts w:hint="eastAsia" w:ascii="Times New Roman" w:hAnsi="宋体" w:cs="Times New Roman"/>
                <w:color w:val="auto"/>
                <w:sz w:val="18"/>
                <w:szCs w:val="18"/>
                <w:lang w:val="en-US" w:eastAsia="zh-CN"/>
              </w:rPr>
              <w:t>煤炭</w:t>
            </w:r>
          </w:p>
        </w:tc>
        <w:tc>
          <w:tcPr>
            <w:tcW w:w="721" w:type="pct"/>
            <w:shd w:val="clear" w:color="auto" w:fill="auto"/>
            <w:vAlign w:val="center"/>
          </w:tcPr>
          <w:p w14:paraId="021C6A02">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eastAsia="宋体" w:cs="Times New Roman"/>
                <w:color w:val="auto"/>
                <w:kern w:val="2"/>
                <w:sz w:val="18"/>
                <w:szCs w:val="18"/>
                <w:lang w:val="en-US" w:eastAsia="zh-CN" w:bidi="ar-SA"/>
              </w:rPr>
            </w:pPr>
            <w:r>
              <w:rPr>
                <w:rFonts w:hint="eastAsia" w:ascii="Times New Roman" w:hAnsi="宋体" w:cs="Times New Roman"/>
                <w:color w:val="auto"/>
                <w:sz w:val="18"/>
                <w:szCs w:val="18"/>
                <w:lang w:val="en-US" w:eastAsia="zh-CN"/>
              </w:rPr>
              <w:t>地磅</w:t>
            </w:r>
          </w:p>
        </w:tc>
        <w:tc>
          <w:tcPr>
            <w:tcW w:w="214" w:type="pct"/>
            <w:shd w:val="clear" w:color="auto" w:fill="auto"/>
            <w:vAlign w:val="center"/>
          </w:tcPr>
          <w:p w14:paraId="747AC1F6">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eastAsia="宋体" w:cs="Times New Roman"/>
                <w:color w:val="auto"/>
                <w:kern w:val="2"/>
                <w:sz w:val="18"/>
                <w:szCs w:val="18"/>
                <w:lang w:val="en-US" w:eastAsia="zh-CN" w:bidi="ar-SA"/>
              </w:rPr>
            </w:pPr>
          </w:p>
        </w:tc>
        <w:tc>
          <w:tcPr>
            <w:tcW w:w="319" w:type="pct"/>
            <w:shd w:val="clear" w:color="auto" w:fill="auto"/>
            <w:vAlign w:val="center"/>
          </w:tcPr>
          <w:p w14:paraId="60F1DA43">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eastAsia="宋体" w:cs="Times New Roman"/>
                <w:color w:val="auto"/>
                <w:kern w:val="2"/>
                <w:sz w:val="18"/>
                <w:szCs w:val="18"/>
                <w:lang w:val="en-US" w:eastAsia="zh-CN" w:bidi="ar-SA"/>
              </w:rPr>
            </w:pPr>
            <w:r>
              <w:rPr>
                <w:rFonts w:hint="eastAsia" w:ascii="Times New Roman" w:hAnsi="宋体" w:cs="Times New Roman"/>
                <w:color w:val="auto"/>
                <w:sz w:val="18"/>
                <w:szCs w:val="18"/>
                <w:lang w:val="en-US" w:eastAsia="zh-CN"/>
              </w:rPr>
              <w:t>t</w:t>
            </w:r>
          </w:p>
        </w:tc>
        <w:tc>
          <w:tcPr>
            <w:tcW w:w="517" w:type="pct"/>
            <w:shd w:val="clear" w:color="auto" w:fill="auto"/>
            <w:vAlign w:val="center"/>
          </w:tcPr>
          <w:p w14:paraId="19F17F6E">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eastAsia="宋体" w:cs="Times New Roman"/>
                <w:color w:val="auto"/>
                <w:kern w:val="2"/>
                <w:sz w:val="18"/>
                <w:szCs w:val="18"/>
                <w:lang w:val="en-US" w:eastAsia="zh-CN" w:bidi="ar-SA"/>
              </w:rPr>
            </w:pPr>
            <w:r>
              <w:rPr>
                <w:rFonts w:hint="eastAsia" w:ascii="Times New Roman" w:hAnsi="宋体" w:cs="Times New Roman"/>
                <w:color w:val="auto"/>
                <w:sz w:val="18"/>
                <w:szCs w:val="18"/>
                <w:lang w:val="en-US" w:eastAsia="zh-CN"/>
              </w:rPr>
              <w:t>202X年</w:t>
            </w:r>
          </w:p>
        </w:tc>
        <w:tc>
          <w:tcPr>
            <w:tcW w:w="596" w:type="pct"/>
            <w:vAlign w:val="center"/>
          </w:tcPr>
          <w:p w14:paraId="713C6BE5">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MJ/kg</w:t>
            </w:r>
          </w:p>
        </w:tc>
        <w:tc>
          <w:tcPr>
            <w:tcW w:w="254" w:type="pct"/>
            <w:vAlign w:val="center"/>
          </w:tcPr>
          <w:p w14:paraId="6355DCFA">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p>
        </w:tc>
        <w:tc>
          <w:tcPr>
            <w:tcW w:w="498" w:type="pct"/>
            <w:shd w:val="clear" w:color="auto" w:fill="auto"/>
            <w:vAlign w:val="center"/>
          </w:tcPr>
          <w:p w14:paraId="26693040">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eastAsia="宋体" w:cs="Times New Roman"/>
                <w:color w:val="auto"/>
                <w:kern w:val="2"/>
                <w:sz w:val="18"/>
                <w:szCs w:val="18"/>
                <w:lang w:val="en-US" w:eastAsia="zh-CN" w:bidi="ar-SA"/>
              </w:rPr>
            </w:pPr>
            <w:r>
              <w:rPr>
                <w:rFonts w:hint="eastAsia" w:ascii="Times New Roman" w:hAnsi="宋体" w:cs="Times New Roman"/>
                <w:color w:val="auto"/>
                <w:sz w:val="18"/>
                <w:szCs w:val="18"/>
                <w:lang w:val="en-US" w:eastAsia="zh-CN"/>
              </w:rPr>
              <w:t>kgC/GJ</w:t>
            </w:r>
          </w:p>
        </w:tc>
        <w:tc>
          <w:tcPr>
            <w:tcW w:w="319" w:type="pct"/>
            <w:shd w:val="clear" w:color="auto" w:fill="auto"/>
            <w:vAlign w:val="center"/>
          </w:tcPr>
          <w:p w14:paraId="47CC0CB2">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eastAsia="宋体" w:cs="Times New Roman"/>
                <w:color w:val="auto"/>
                <w:kern w:val="2"/>
                <w:sz w:val="18"/>
                <w:szCs w:val="18"/>
                <w:lang w:val="en-US" w:eastAsia="zh-CN" w:bidi="ar-SA"/>
              </w:rPr>
            </w:pPr>
          </w:p>
        </w:tc>
        <w:tc>
          <w:tcPr>
            <w:tcW w:w="413" w:type="pct"/>
            <w:shd w:val="clear" w:color="auto" w:fill="auto"/>
            <w:vAlign w:val="center"/>
          </w:tcPr>
          <w:p w14:paraId="7202AC43">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eastAsia="宋体" w:cs="Times New Roman"/>
                <w:color w:val="auto"/>
                <w:kern w:val="2"/>
                <w:sz w:val="18"/>
                <w:szCs w:val="18"/>
                <w:lang w:val="en-US" w:eastAsia="zh-CN" w:bidi="ar-SA"/>
              </w:rPr>
            </w:pPr>
            <w:r>
              <w:rPr>
                <w:rFonts w:hint="eastAsia" w:ascii="Times New Roman" w:hAnsi="宋体" w:cs="Times New Roman"/>
                <w:color w:val="auto"/>
                <w:sz w:val="18"/>
                <w:szCs w:val="18"/>
                <w:lang w:val="en-US" w:eastAsia="zh-CN"/>
              </w:rPr>
              <w:t>%</w:t>
            </w:r>
          </w:p>
        </w:tc>
        <w:tc>
          <w:tcPr>
            <w:tcW w:w="622" w:type="pct"/>
            <w:shd w:val="clear" w:color="auto" w:fill="auto"/>
            <w:vAlign w:val="center"/>
          </w:tcPr>
          <w:p w14:paraId="205156BC">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eastAsia="宋体" w:cs="Times New Roman"/>
                <w:color w:val="auto"/>
                <w:kern w:val="2"/>
                <w:sz w:val="18"/>
                <w:szCs w:val="18"/>
                <w:lang w:val="en-US" w:eastAsia="zh-CN" w:bidi="ar-SA"/>
              </w:rPr>
            </w:pPr>
            <w:r>
              <w:rPr>
                <w:rFonts w:hint="eastAsia" w:ascii="Times New Roman" w:hAnsi="宋体" w:cs="Times New Roman"/>
                <w:color w:val="auto"/>
                <w:sz w:val="18"/>
                <w:szCs w:val="18"/>
                <w:lang w:val="en-US" w:eastAsia="zh-CN"/>
              </w:rPr>
              <w:t>实测</w:t>
            </w:r>
          </w:p>
        </w:tc>
      </w:tr>
      <w:tr w14:paraId="3D855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522" w:type="pct"/>
            <w:shd w:val="clear" w:color="auto" w:fill="auto"/>
            <w:vAlign w:val="center"/>
          </w:tcPr>
          <w:p w14:paraId="16153CB4">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default" w:ascii="Times New Roman" w:hAnsi="宋体" w:cs="Times New Roman"/>
                <w:color w:val="auto"/>
                <w:sz w:val="18"/>
                <w:szCs w:val="18"/>
                <w:lang w:val="en-US" w:eastAsia="zh-CN"/>
              </w:rPr>
            </w:pPr>
            <w:r>
              <w:rPr>
                <w:rFonts w:hint="eastAsia" w:hAnsi="宋体" w:cs="Times New Roman"/>
                <w:color w:val="auto"/>
                <w:sz w:val="18"/>
                <w:szCs w:val="18"/>
                <w:lang w:val="en-US" w:eastAsia="zh-CN"/>
              </w:rPr>
              <w:t>......</w:t>
            </w:r>
          </w:p>
        </w:tc>
        <w:tc>
          <w:tcPr>
            <w:tcW w:w="721" w:type="pct"/>
            <w:shd w:val="clear" w:color="auto" w:fill="auto"/>
            <w:vAlign w:val="center"/>
          </w:tcPr>
          <w:p w14:paraId="460FB9B3">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default" w:ascii="Times New Roman" w:hAnsi="宋体" w:cs="Times New Roman"/>
                <w:color w:val="auto"/>
                <w:sz w:val="18"/>
                <w:szCs w:val="18"/>
                <w:lang w:val="en-US" w:eastAsia="zh-CN"/>
              </w:rPr>
            </w:pPr>
            <w:r>
              <w:rPr>
                <w:rFonts w:hint="eastAsia" w:hAnsi="宋体" w:cs="Times New Roman"/>
                <w:color w:val="auto"/>
                <w:sz w:val="18"/>
                <w:szCs w:val="18"/>
                <w:lang w:val="en-US" w:eastAsia="zh-CN"/>
              </w:rPr>
              <w:t>......</w:t>
            </w:r>
          </w:p>
        </w:tc>
        <w:tc>
          <w:tcPr>
            <w:tcW w:w="214" w:type="pct"/>
            <w:shd w:val="clear" w:color="auto" w:fill="auto"/>
            <w:vAlign w:val="center"/>
          </w:tcPr>
          <w:p w14:paraId="3B47B7E1">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eastAsia="宋体" w:cs="Times New Roman"/>
                <w:color w:val="auto"/>
                <w:kern w:val="2"/>
                <w:sz w:val="18"/>
                <w:szCs w:val="18"/>
                <w:lang w:val="en-US" w:eastAsia="zh-CN" w:bidi="ar-SA"/>
              </w:rPr>
            </w:pPr>
          </w:p>
        </w:tc>
        <w:tc>
          <w:tcPr>
            <w:tcW w:w="319" w:type="pct"/>
            <w:shd w:val="clear" w:color="auto" w:fill="auto"/>
            <w:vAlign w:val="center"/>
          </w:tcPr>
          <w:p w14:paraId="53AB7745">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p>
        </w:tc>
        <w:tc>
          <w:tcPr>
            <w:tcW w:w="517" w:type="pct"/>
            <w:shd w:val="clear" w:color="auto" w:fill="auto"/>
            <w:vAlign w:val="center"/>
          </w:tcPr>
          <w:p w14:paraId="6031492D">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p>
        </w:tc>
        <w:tc>
          <w:tcPr>
            <w:tcW w:w="596" w:type="pct"/>
            <w:vAlign w:val="center"/>
          </w:tcPr>
          <w:p w14:paraId="403676A7">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p>
        </w:tc>
        <w:tc>
          <w:tcPr>
            <w:tcW w:w="254" w:type="pct"/>
            <w:vAlign w:val="center"/>
          </w:tcPr>
          <w:p w14:paraId="3D4832A6">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p>
        </w:tc>
        <w:tc>
          <w:tcPr>
            <w:tcW w:w="498" w:type="pct"/>
            <w:shd w:val="clear" w:color="auto" w:fill="auto"/>
            <w:vAlign w:val="center"/>
          </w:tcPr>
          <w:p w14:paraId="553C3B30">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p>
        </w:tc>
        <w:tc>
          <w:tcPr>
            <w:tcW w:w="319" w:type="pct"/>
            <w:shd w:val="clear" w:color="auto" w:fill="auto"/>
            <w:vAlign w:val="center"/>
          </w:tcPr>
          <w:p w14:paraId="0DF466F2">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eastAsia="宋体" w:cs="Times New Roman"/>
                <w:color w:val="auto"/>
                <w:kern w:val="2"/>
                <w:sz w:val="18"/>
                <w:szCs w:val="18"/>
                <w:lang w:val="en-US" w:eastAsia="zh-CN" w:bidi="ar-SA"/>
              </w:rPr>
            </w:pPr>
          </w:p>
        </w:tc>
        <w:tc>
          <w:tcPr>
            <w:tcW w:w="413" w:type="pct"/>
            <w:shd w:val="clear" w:color="auto" w:fill="auto"/>
            <w:vAlign w:val="center"/>
          </w:tcPr>
          <w:p w14:paraId="550CEF36">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p>
        </w:tc>
        <w:tc>
          <w:tcPr>
            <w:tcW w:w="622" w:type="pct"/>
            <w:shd w:val="clear" w:color="auto" w:fill="auto"/>
            <w:vAlign w:val="center"/>
          </w:tcPr>
          <w:p w14:paraId="542FC531">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p>
        </w:tc>
      </w:tr>
    </w:tbl>
    <w:p w14:paraId="08B1B32A">
      <w:pPr>
        <w:pStyle w:val="279"/>
        <w:spacing w:beforeLines="100" w:afterLines="100" w:line="240" w:lineRule="auto"/>
        <w:ind w:firstLine="0" w:firstLineChars="0"/>
        <w:rPr>
          <w:rFonts w:hint="eastAsia" w:ascii="黑体" w:hAnsi="黑体" w:eastAsia="黑体" w:cs="黑体"/>
          <w:bCs/>
          <w:lang w:val="en-US" w:eastAsia="zh-CN"/>
        </w:rPr>
      </w:pPr>
      <w:r>
        <w:rPr>
          <w:rFonts w:hint="eastAsia" w:ascii="黑体" w:hAnsi="黑体" w:eastAsia="黑体" w:cs="黑体"/>
          <w:bCs/>
          <w:lang w:val="en-US" w:eastAsia="zh-CN"/>
        </w:rPr>
        <w:t>C.2 物料消耗数据收集表</w:t>
      </w:r>
    </w:p>
    <w:tbl>
      <w:tblPr>
        <w:tblStyle w:val="3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95"/>
        <w:gridCol w:w="1195"/>
        <w:gridCol w:w="1196"/>
        <w:gridCol w:w="1196"/>
        <w:gridCol w:w="1196"/>
        <w:gridCol w:w="1196"/>
        <w:gridCol w:w="1196"/>
        <w:gridCol w:w="1196"/>
      </w:tblGrid>
      <w:tr w14:paraId="03F2F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pct"/>
            <w:vAlign w:val="center"/>
          </w:tcPr>
          <w:p w14:paraId="07526F32">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物料名称</w:t>
            </w:r>
          </w:p>
        </w:tc>
        <w:tc>
          <w:tcPr>
            <w:tcW w:w="625" w:type="pct"/>
            <w:vAlign w:val="center"/>
          </w:tcPr>
          <w:p w14:paraId="6E5B7576">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用途</w:t>
            </w:r>
          </w:p>
        </w:tc>
        <w:tc>
          <w:tcPr>
            <w:tcW w:w="625" w:type="pct"/>
            <w:vAlign w:val="center"/>
          </w:tcPr>
          <w:p w14:paraId="66205184">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消耗量</w:t>
            </w:r>
          </w:p>
        </w:tc>
        <w:tc>
          <w:tcPr>
            <w:tcW w:w="625" w:type="pct"/>
            <w:vAlign w:val="center"/>
          </w:tcPr>
          <w:p w14:paraId="337A32A0">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单位</w:t>
            </w:r>
          </w:p>
        </w:tc>
        <w:tc>
          <w:tcPr>
            <w:tcW w:w="625" w:type="pct"/>
            <w:vAlign w:val="center"/>
          </w:tcPr>
          <w:p w14:paraId="3F1CB1CA">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数据周期</w:t>
            </w:r>
          </w:p>
        </w:tc>
        <w:tc>
          <w:tcPr>
            <w:tcW w:w="625" w:type="pct"/>
            <w:vAlign w:val="center"/>
          </w:tcPr>
          <w:p w14:paraId="56CD3F25">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含碳量</w:t>
            </w:r>
          </w:p>
        </w:tc>
        <w:tc>
          <w:tcPr>
            <w:tcW w:w="625" w:type="pct"/>
            <w:vAlign w:val="center"/>
          </w:tcPr>
          <w:p w14:paraId="69A9831D">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单位</w:t>
            </w:r>
          </w:p>
        </w:tc>
        <w:tc>
          <w:tcPr>
            <w:tcW w:w="625" w:type="pct"/>
            <w:vAlign w:val="center"/>
          </w:tcPr>
          <w:p w14:paraId="7159A59C">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备注</w:t>
            </w:r>
          </w:p>
        </w:tc>
      </w:tr>
      <w:tr w14:paraId="5833C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pct"/>
            <w:vAlign w:val="center"/>
          </w:tcPr>
          <w:p w14:paraId="1BFD3227">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氰化钠</w:t>
            </w:r>
          </w:p>
        </w:tc>
        <w:tc>
          <w:tcPr>
            <w:tcW w:w="625" w:type="pct"/>
            <w:vAlign w:val="center"/>
          </w:tcPr>
          <w:p w14:paraId="035465D5">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浸出</w:t>
            </w:r>
          </w:p>
        </w:tc>
        <w:tc>
          <w:tcPr>
            <w:tcW w:w="625" w:type="pct"/>
            <w:vAlign w:val="center"/>
          </w:tcPr>
          <w:p w14:paraId="03324F2F">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p>
        </w:tc>
        <w:tc>
          <w:tcPr>
            <w:tcW w:w="625" w:type="pct"/>
            <w:vAlign w:val="center"/>
          </w:tcPr>
          <w:p w14:paraId="304F309D">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kg</w:t>
            </w:r>
          </w:p>
        </w:tc>
        <w:tc>
          <w:tcPr>
            <w:tcW w:w="625" w:type="pct"/>
            <w:vAlign w:val="center"/>
          </w:tcPr>
          <w:p w14:paraId="77C34173">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202X年</w:t>
            </w:r>
          </w:p>
        </w:tc>
        <w:tc>
          <w:tcPr>
            <w:tcW w:w="625" w:type="pct"/>
            <w:vAlign w:val="center"/>
          </w:tcPr>
          <w:p w14:paraId="652AACBE">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w:t>
            </w:r>
          </w:p>
        </w:tc>
        <w:tc>
          <w:tcPr>
            <w:tcW w:w="625" w:type="pct"/>
            <w:vAlign w:val="center"/>
          </w:tcPr>
          <w:p w14:paraId="777119AB">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w:t>
            </w:r>
          </w:p>
        </w:tc>
        <w:tc>
          <w:tcPr>
            <w:tcW w:w="625" w:type="pct"/>
            <w:vAlign w:val="center"/>
          </w:tcPr>
          <w:p w14:paraId="16F81CD2">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上游排放</w:t>
            </w:r>
          </w:p>
        </w:tc>
      </w:tr>
      <w:tr w14:paraId="63825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pct"/>
            <w:vAlign w:val="center"/>
          </w:tcPr>
          <w:p w14:paraId="122DF08B">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石灰</w:t>
            </w:r>
          </w:p>
        </w:tc>
        <w:tc>
          <w:tcPr>
            <w:tcW w:w="625" w:type="pct"/>
            <w:vAlign w:val="center"/>
          </w:tcPr>
          <w:p w14:paraId="7515BB8B">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调整pH</w:t>
            </w:r>
          </w:p>
        </w:tc>
        <w:tc>
          <w:tcPr>
            <w:tcW w:w="625" w:type="pct"/>
            <w:vAlign w:val="center"/>
          </w:tcPr>
          <w:p w14:paraId="769AA5F2">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p>
        </w:tc>
        <w:tc>
          <w:tcPr>
            <w:tcW w:w="625" w:type="pct"/>
            <w:vAlign w:val="center"/>
          </w:tcPr>
          <w:p w14:paraId="64AD5F28">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kg</w:t>
            </w:r>
          </w:p>
        </w:tc>
        <w:tc>
          <w:tcPr>
            <w:tcW w:w="625" w:type="pct"/>
            <w:vAlign w:val="center"/>
          </w:tcPr>
          <w:p w14:paraId="07312FF0">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202X年</w:t>
            </w:r>
          </w:p>
        </w:tc>
        <w:tc>
          <w:tcPr>
            <w:tcW w:w="625" w:type="pct"/>
            <w:vAlign w:val="center"/>
          </w:tcPr>
          <w:p w14:paraId="0578A644">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w:t>
            </w:r>
          </w:p>
        </w:tc>
        <w:tc>
          <w:tcPr>
            <w:tcW w:w="625" w:type="pct"/>
            <w:vAlign w:val="center"/>
          </w:tcPr>
          <w:p w14:paraId="64F35079">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w:t>
            </w:r>
          </w:p>
        </w:tc>
        <w:tc>
          <w:tcPr>
            <w:tcW w:w="625" w:type="pct"/>
            <w:vAlign w:val="center"/>
          </w:tcPr>
          <w:p w14:paraId="1AD3243C">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上游排放</w:t>
            </w:r>
          </w:p>
        </w:tc>
      </w:tr>
      <w:tr w14:paraId="6EBE8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pct"/>
            <w:vAlign w:val="center"/>
          </w:tcPr>
          <w:p w14:paraId="69C59FE8">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硝酸</w:t>
            </w:r>
          </w:p>
        </w:tc>
        <w:tc>
          <w:tcPr>
            <w:tcW w:w="625" w:type="pct"/>
            <w:vAlign w:val="center"/>
          </w:tcPr>
          <w:p w14:paraId="12B7F54C">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精炼</w:t>
            </w:r>
          </w:p>
        </w:tc>
        <w:tc>
          <w:tcPr>
            <w:tcW w:w="625" w:type="pct"/>
            <w:vAlign w:val="center"/>
          </w:tcPr>
          <w:p w14:paraId="76F9A5FA">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p>
        </w:tc>
        <w:tc>
          <w:tcPr>
            <w:tcW w:w="625" w:type="pct"/>
            <w:vAlign w:val="center"/>
          </w:tcPr>
          <w:p w14:paraId="59AE5E4F">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kg</w:t>
            </w:r>
          </w:p>
        </w:tc>
        <w:tc>
          <w:tcPr>
            <w:tcW w:w="625" w:type="pct"/>
            <w:vAlign w:val="center"/>
          </w:tcPr>
          <w:p w14:paraId="4257D38A">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202X年</w:t>
            </w:r>
          </w:p>
        </w:tc>
        <w:tc>
          <w:tcPr>
            <w:tcW w:w="625" w:type="pct"/>
            <w:vAlign w:val="center"/>
          </w:tcPr>
          <w:p w14:paraId="32EA5DBC">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w:t>
            </w:r>
          </w:p>
        </w:tc>
        <w:tc>
          <w:tcPr>
            <w:tcW w:w="625" w:type="pct"/>
            <w:vAlign w:val="center"/>
          </w:tcPr>
          <w:p w14:paraId="3EC296E6">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w:t>
            </w:r>
          </w:p>
        </w:tc>
        <w:tc>
          <w:tcPr>
            <w:tcW w:w="625" w:type="pct"/>
            <w:vAlign w:val="center"/>
          </w:tcPr>
          <w:p w14:paraId="369D6295">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上游排放</w:t>
            </w:r>
          </w:p>
        </w:tc>
      </w:tr>
      <w:tr w14:paraId="64A84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pct"/>
            <w:vAlign w:val="center"/>
          </w:tcPr>
          <w:p w14:paraId="1488C28E">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硼砂</w:t>
            </w:r>
          </w:p>
        </w:tc>
        <w:tc>
          <w:tcPr>
            <w:tcW w:w="625" w:type="pct"/>
            <w:vAlign w:val="center"/>
          </w:tcPr>
          <w:p w14:paraId="52D90F12">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熔炼</w:t>
            </w:r>
          </w:p>
        </w:tc>
        <w:tc>
          <w:tcPr>
            <w:tcW w:w="625" w:type="pct"/>
            <w:vAlign w:val="center"/>
          </w:tcPr>
          <w:p w14:paraId="141796DE">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p>
        </w:tc>
        <w:tc>
          <w:tcPr>
            <w:tcW w:w="625" w:type="pct"/>
            <w:vAlign w:val="center"/>
          </w:tcPr>
          <w:p w14:paraId="4FEAFD75">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kg</w:t>
            </w:r>
          </w:p>
        </w:tc>
        <w:tc>
          <w:tcPr>
            <w:tcW w:w="625" w:type="pct"/>
            <w:vAlign w:val="center"/>
          </w:tcPr>
          <w:p w14:paraId="446616C0">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202X年</w:t>
            </w:r>
          </w:p>
        </w:tc>
        <w:tc>
          <w:tcPr>
            <w:tcW w:w="625" w:type="pct"/>
            <w:vAlign w:val="center"/>
          </w:tcPr>
          <w:p w14:paraId="2A6AA198">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w:t>
            </w:r>
          </w:p>
        </w:tc>
        <w:tc>
          <w:tcPr>
            <w:tcW w:w="625" w:type="pct"/>
            <w:vAlign w:val="center"/>
          </w:tcPr>
          <w:p w14:paraId="09E35B50">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w:t>
            </w:r>
          </w:p>
        </w:tc>
        <w:tc>
          <w:tcPr>
            <w:tcW w:w="625" w:type="pct"/>
            <w:vAlign w:val="center"/>
          </w:tcPr>
          <w:p w14:paraId="3A381A90">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上游排放</w:t>
            </w:r>
          </w:p>
        </w:tc>
      </w:tr>
      <w:tr w14:paraId="74354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pct"/>
            <w:vAlign w:val="center"/>
          </w:tcPr>
          <w:p w14:paraId="5A4CD082">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default" w:ascii="Times New Roman" w:hAnsi="宋体" w:cs="Times New Roman"/>
                <w:color w:val="auto"/>
                <w:sz w:val="18"/>
                <w:szCs w:val="18"/>
                <w:lang w:val="en-US" w:eastAsia="zh-CN"/>
              </w:rPr>
            </w:pPr>
            <w:r>
              <w:rPr>
                <w:rFonts w:hint="eastAsia" w:hAnsi="宋体" w:cs="Times New Roman"/>
                <w:color w:val="auto"/>
                <w:sz w:val="18"/>
                <w:szCs w:val="18"/>
                <w:lang w:val="en-US" w:eastAsia="zh-CN"/>
              </w:rPr>
              <w:t>......</w:t>
            </w:r>
          </w:p>
        </w:tc>
        <w:tc>
          <w:tcPr>
            <w:tcW w:w="625" w:type="pct"/>
            <w:vAlign w:val="center"/>
          </w:tcPr>
          <w:p w14:paraId="4640EF68">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default" w:ascii="Times New Roman" w:hAnsi="宋体" w:cs="Times New Roman"/>
                <w:color w:val="auto"/>
                <w:sz w:val="18"/>
                <w:szCs w:val="18"/>
                <w:lang w:val="en-US" w:eastAsia="zh-CN"/>
              </w:rPr>
            </w:pPr>
            <w:r>
              <w:rPr>
                <w:rFonts w:hint="eastAsia" w:hAnsi="宋体" w:cs="Times New Roman"/>
                <w:color w:val="auto"/>
                <w:sz w:val="18"/>
                <w:szCs w:val="18"/>
                <w:lang w:val="en-US" w:eastAsia="zh-CN"/>
              </w:rPr>
              <w:t>......</w:t>
            </w:r>
          </w:p>
        </w:tc>
        <w:tc>
          <w:tcPr>
            <w:tcW w:w="625" w:type="pct"/>
            <w:vAlign w:val="center"/>
          </w:tcPr>
          <w:p w14:paraId="5006EBF9">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p>
        </w:tc>
        <w:tc>
          <w:tcPr>
            <w:tcW w:w="625" w:type="pct"/>
            <w:vAlign w:val="center"/>
          </w:tcPr>
          <w:p w14:paraId="5777D6C7">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p>
        </w:tc>
        <w:tc>
          <w:tcPr>
            <w:tcW w:w="625" w:type="pct"/>
            <w:vAlign w:val="center"/>
          </w:tcPr>
          <w:p w14:paraId="33AB433A">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p>
        </w:tc>
        <w:tc>
          <w:tcPr>
            <w:tcW w:w="625" w:type="pct"/>
            <w:vAlign w:val="center"/>
          </w:tcPr>
          <w:p w14:paraId="0DEB63D0">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p>
        </w:tc>
        <w:tc>
          <w:tcPr>
            <w:tcW w:w="625" w:type="pct"/>
            <w:vAlign w:val="center"/>
          </w:tcPr>
          <w:p w14:paraId="4EC265B9">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p>
        </w:tc>
        <w:tc>
          <w:tcPr>
            <w:tcW w:w="625" w:type="pct"/>
            <w:vAlign w:val="center"/>
          </w:tcPr>
          <w:p w14:paraId="24601A78">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p>
        </w:tc>
      </w:tr>
    </w:tbl>
    <w:p w14:paraId="3CDFA31B">
      <w:pPr>
        <w:pStyle w:val="279"/>
        <w:spacing w:beforeLines="100" w:afterLines="100" w:line="240" w:lineRule="auto"/>
        <w:ind w:firstLine="0" w:firstLineChars="0"/>
        <w:rPr>
          <w:rFonts w:hint="eastAsia" w:ascii="黑体" w:hAnsi="黑体" w:eastAsia="黑体" w:cs="黑体"/>
          <w:bCs/>
          <w:lang w:val="en-US" w:eastAsia="zh-CN"/>
        </w:rPr>
      </w:pPr>
      <w:r>
        <w:rPr>
          <w:rFonts w:hint="eastAsia" w:ascii="黑体" w:hAnsi="黑体" w:eastAsia="黑体" w:cs="黑体"/>
          <w:bCs/>
          <w:lang w:val="en-US" w:eastAsia="zh-CN"/>
        </w:rPr>
        <w:t>C.3 运输数据收集表</w:t>
      </w:r>
    </w:p>
    <w:tbl>
      <w:tblPr>
        <w:tblStyle w:val="32"/>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94"/>
        <w:gridCol w:w="1594"/>
        <w:gridCol w:w="1594"/>
        <w:gridCol w:w="1594"/>
        <w:gridCol w:w="1594"/>
        <w:gridCol w:w="1594"/>
      </w:tblGrid>
      <w:tr w14:paraId="02125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3" w:type="pct"/>
            <w:vAlign w:val="center"/>
          </w:tcPr>
          <w:p w14:paraId="13B800B4">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运输物品</w:t>
            </w:r>
          </w:p>
        </w:tc>
        <w:tc>
          <w:tcPr>
            <w:tcW w:w="833" w:type="pct"/>
            <w:vAlign w:val="center"/>
          </w:tcPr>
          <w:p w14:paraId="3705D595">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运输方式</w:t>
            </w:r>
          </w:p>
        </w:tc>
        <w:tc>
          <w:tcPr>
            <w:tcW w:w="833" w:type="pct"/>
            <w:vAlign w:val="center"/>
          </w:tcPr>
          <w:p w14:paraId="124CB78A">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运输距离（km）</w:t>
            </w:r>
          </w:p>
        </w:tc>
        <w:tc>
          <w:tcPr>
            <w:tcW w:w="833" w:type="pct"/>
            <w:vAlign w:val="center"/>
          </w:tcPr>
          <w:p w14:paraId="1A2F1220">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运输量（t）</w:t>
            </w:r>
          </w:p>
        </w:tc>
        <w:tc>
          <w:tcPr>
            <w:tcW w:w="833" w:type="pct"/>
            <w:vAlign w:val="center"/>
          </w:tcPr>
          <w:p w14:paraId="7ACBE77F">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周转量（t·km）</w:t>
            </w:r>
          </w:p>
        </w:tc>
        <w:tc>
          <w:tcPr>
            <w:tcW w:w="833" w:type="pct"/>
            <w:vAlign w:val="center"/>
          </w:tcPr>
          <w:p w14:paraId="3AEE638D">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数据来源</w:t>
            </w:r>
          </w:p>
        </w:tc>
      </w:tr>
      <w:tr w14:paraId="4BB46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3" w:type="pct"/>
            <w:vAlign w:val="center"/>
          </w:tcPr>
          <w:p w14:paraId="16DB6D11">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矿石</w:t>
            </w:r>
          </w:p>
        </w:tc>
        <w:tc>
          <w:tcPr>
            <w:tcW w:w="833" w:type="pct"/>
            <w:vAlign w:val="center"/>
          </w:tcPr>
          <w:p w14:paraId="70A2C593">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公路</w:t>
            </w:r>
          </w:p>
        </w:tc>
        <w:tc>
          <w:tcPr>
            <w:tcW w:w="833" w:type="pct"/>
            <w:vAlign w:val="center"/>
          </w:tcPr>
          <w:p w14:paraId="494F3A1A">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p>
        </w:tc>
        <w:tc>
          <w:tcPr>
            <w:tcW w:w="833" w:type="pct"/>
            <w:vAlign w:val="center"/>
          </w:tcPr>
          <w:p w14:paraId="5A402E09">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p>
        </w:tc>
        <w:tc>
          <w:tcPr>
            <w:tcW w:w="833" w:type="pct"/>
            <w:vAlign w:val="center"/>
          </w:tcPr>
          <w:p w14:paraId="421EC72D">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p>
        </w:tc>
        <w:tc>
          <w:tcPr>
            <w:tcW w:w="833" w:type="pct"/>
            <w:vAlign w:val="center"/>
          </w:tcPr>
          <w:p w14:paraId="15B496C2">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采购记录</w:t>
            </w:r>
          </w:p>
        </w:tc>
      </w:tr>
      <w:tr w14:paraId="29182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3" w:type="pct"/>
            <w:vAlign w:val="center"/>
          </w:tcPr>
          <w:p w14:paraId="01A853F0">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煤炭</w:t>
            </w:r>
          </w:p>
        </w:tc>
        <w:tc>
          <w:tcPr>
            <w:tcW w:w="833" w:type="pct"/>
            <w:vAlign w:val="center"/>
          </w:tcPr>
          <w:p w14:paraId="7B8EB961">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铁路</w:t>
            </w:r>
          </w:p>
        </w:tc>
        <w:tc>
          <w:tcPr>
            <w:tcW w:w="833" w:type="pct"/>
            <w:vAlign w:val="center"/>
          </w:tcPr>
          <w:p w14:paraId="506EB5B2">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p>
        </w:tc>
        <w:tc>
          <w:tcPr>
            <w:tcW w:w="833" w:type="pct"/>
            <w:vAlign w:val="center"/>
          </w:tcPr>
          <w:p w14:paraId="704A7195">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p>
        </w:tc>
        <w:tc>
          <w:tcPr>
            <w:tcW w:w="833" w:type="pct"/>
            <w:vAlign w:val="center"/>
          </w:tcPr>
          <w:p w14:paraId="464CCD61">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p>
        </w:tc>
        <w:tc>
          <w:tcPr>
            <w:tcW w:w="833" w:type="pct"/>
            <w:vAlign w:val="center"/>
          </w:tcPr>
          <w:p w14:paraId="10F2C618">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物流单</w:t>
            </w:r>
          </w:p>
        </w:tc>
      </w:tr>
      <w:tr w14:paraId="6CDA6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3" w:type="pct"/>
            <w:vAlign w:val="center"/>
          </w:tcPr>
          <w:p w14:paraId="4720C97C">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产品</w:t>
            </w:r>
          </w:p>
        </w:tc>
        <w:tc>
          <w:tcPr>
            <w:tcW w:w="833" w:type="pct"/>
            <w:vAlign w:val="center"/>
          </w:tcPr>
          <w:p w14:paraId="34202CAD">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公路</w:t>
            </w:r>
          </w:p>
        </w:tc>
        <w:tc>
          <w:tcPr>
            <w:tcW w:w="833" w:type="pct"/>
            <w:vAlign w:val="center"/>
          </w:tcPr>
          <w:p w14:paraId="43BBDFB4">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p>
        </w:tc>
        <w:tc>
          <w:tcPr>
            <w:tcW w:w="833" w:type="pct"/>
            <w:vAlign w:val="center"/>
          </w:tcPr>
          <w:p w14:paraId="51F79B67">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p>
        </w:tc>
        <w:tc>
          <w:tcPr>
            <w:tcW w:w="833" w:type="pct"/>
            <w:vAlign w:val="center"/>
          </w:tcPr>
          <w:p w14:paraId="1EF1551A">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p>
        </w:tc>
        <w:tc>
          <w:tcPr>
            <w:tcW w:w="833" w:type="pct"/>
            <w:vAlign w:val="center"/>
          </w:tcPr>
          <w:p w14:paraId="0C87C76B">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销售记录</w:t>
            </w:r>
          </w:p>
        </w:tc>
      </w:tr>
    </w:tbl>
    <w:p w14:paraId="6B62D298">
      <w:pPr>
        <w:spacing w:beforeLines="50" w:afterLines="50" w:line="360" w:lineRule="exact"/>
        <w:jc w:val="center"/>
        <w:outlineLvl w:val="0"/>
        <w:rPr>
          <w:rFonts w:hint="eastAsia" w:ascii="黑体" w:hAnsi="宋体" w:eastAsia="黑体" w:cs="Times New Roman"/>
          <w:szCs w:val="21"/>
          <w:lang w:val="en-US" w:eastAsia="zh-CN"/>
        </w:rPr>
      </w:pPr>
      <w:bookmarkStart w:id="54" w:name="_Toc29896"/>
    </w:p>
    <w:p w14:paraId="604635B5">
      <w:pPr>
        <w:spacing w:beforeLines="50" w:afterLines="50" w:line="360" w:lineRule="exact"/>
        <w:jc w:val="center"/>
        <w:outlineLvl w:val="0"/>
        <w:rPr>
          <w:rFonts w:hint="eastAsia" w:ascii="黑体" w:hAnsi="宋体" w:eastAsia="黑体" w:cs="Times New Roman"/>
          <w:szCs w:val="21"/>
          <w:lang w:val="en-US" w:eastAsia="zh-CN"/>
        </w:rPr>
      </w:pPr>
    </w:p>
    <w:p w14:paraId="47465B62">
      <w:pPr>
        <w:spacing w:beforeLines="50" w:afterLines="50" w:line="360" w:lineRule="exact"/>
        <w:jc w:val="center"/>
        <w:outlineLvl w:val="0"/>
        <w:rPr>
          <w:rFonts w:hint="eastAsia" w:ascii="黑体" w:hAnsi="宋体" w:eastAsia="黑体" w:cs="Times New Roman"/>
          <w:szCs w:val="21"/>
          <w:lang w:val="en-US" w:eastAsia="zh-CN"/>
        </w:rPr>
      </w:pPr>
    </w:p>
    <w:p w14:paraId="28026AA5">
      <w:pPr>
        <w:spacing w:beforeLines="50" w:afterLines="50" w:line="360" w:lineRule="exact"/>
        <w:jc w:val="center"/>
        <w:outlineLvl w:val="0"/>
        <w:rPr>
          <w:rFonts w:hint="eastAsia" w:ascii="黑体" w:hAnsi="宋体" w:eastAsia="黑体" w:cs="Times New Roman"/>
          <w:szCs w:val="21"/>
          <w:lang w:val="en-US" w:eastAsia="zh-CN"/>
        </w:rPr>
      </w:pPr>
    </w:p>
    <w:p w14:paraId="72C522CD">
      <w:pPr>
        <w:pStyle w:val="279"/>
        <w:spacing w:beforeLines="100" w:afterLines="100" w:line="240" w:lineRule="auto"/>
        <w:ind w:firstLine="0" w:firstLineChars="0"/>
        <w:rPr>
          <w:rFonts w:hint="eastAsia" w:ascii="黑体" w:hAnsi="黑体" w:eastAsia="黑体" w:cs="黑体"/>
          <w:bCs/>
          <w:lang w:val="en-US" w:eastAsia="zh-CN"/>
        </w:rPr>
      </w:pPr>
      <w:r>
        <w:rPr>
          <w:rFonts w:hint="eastAsia" w:ascii="黑体" w:hAnsi="黑体" w:eastAsia="黑体" w:cs="黑体"/>
          <w:bCs/>
          <w:lang w:val="en-US" w:eastAsia="zh-CN"/>
        </w:rPr>
        <w:t>C.4 采矿单元过程数据收集表（独立银矿）</w:t>
      </w:r>
    </w:p>
    <w:tbl>
      <w:tblPr>
        <w:tblStyle w:val="3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8"/>
        <w:gridCol w:w="1495"/>
        <w:gridCol w:w="841"/>
        <w:gridCol w:w="1168"/>
        <w:gridCol w:w="1168"/>
        <w:gridCol w:w="1169"/>
        <w:gridCol w:w="1169"/>
        <w:gridCol w:w="1169"/>
      </w:tblGrid>
      <w:tr w14:paraId="4B10D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8" w:type="dxa"/>
            <w:vAlign w:val="center"/>
          </w:tcPr>
          <w:p w14:paraId="01743350">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数据类别</w:t>
            </w:r>
          </w:p>
        </w:tc>
        <w:tc>
          <w:tcPr>
            <w:tcW w:w="1495" w:type="dxa"/>
            <w:vAlign w:val="center"/>
          </w:tcPr>
          <w:p w14:paraId="65695104">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输入/输出项目</w:t>
            </w:r>
          </w:p>
        </w:tc>
        <w:tc>
          <w:tcPr>
            <w:tcW w:w="841" w:type="dxa"/>
            <w:vAlign w:val="center"/>
          </w:tcPr>
          <w:p w14:paraId="60EA1141">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数量</w:t>
            </w:r>
          </w:p>
        </w:tc>
        <w:tc>
          <w:tcPr>
            <w:tcW w:w="1168" w:type="dxa"/>
            <w:vAlign w:val="center"/>
          </w:tcPr>
          <w:p w14:paraId="64EBF850">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单位</w:t>
            </w:r>
          </w:p>
        </w:tc>
        <w:tc>
          <w:tcPr>
            <w:tcW w:w="1168" w:type="dxa"/>
            <w:vAlign w:val="center"/>
          </w:tcPr>
          <w:p w14:paraId="121960F4">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数据来源</w:t>
            </w:r>
          </w:p>
        </w:tc>
        <w:tc>
          <w:tcPr>
            <w:tcW w:w="1169" w:type="dxa"/>
            <w:vAlign w:val="center"/>
          </w:tcPr>
          <w:p w14:paraId="27998D7A">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监测方法</w:t>
            </w:r>
          </w:p>
        </w:tc>
        <w:tc>
          <w:tcPr>
            <w:tcW w:w="1169" w:type="dxa"/>
            <w:vAlign w:val="center"/>
          </w:tcPr>
          <w:p w14:paraId="19AF73CD">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数据周期</w:t>
            </w:r>
          </w:p>
        </w:tc>
        <w:tc>
          <w:tcPr>
            <w:tcW w:w="1169" w:type="dxa"/>
            <w:vAlign w:val="center"/>
          </w:tcPr>
          <w:p w14:paraId="691E82E8">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备注</w:t>
            </w:r>
          </w:p>
        </w:tc>
      </w:tr>
      <w:tr w14:paraId="01F93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8" w:type="dxa"/>
            <w:vAlign w:val="center"/>
          </w:tcPr>
          <w:p w14:paraId="514FFBEA">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输入</w:t>
            </w:r>
          </w:p>
        </w:tc>
        <w:tc>
          <w:tcPr>
            <w:tcW w:w="1495" w:type="dxa"/>
            <w:vAlign w:val="center"/>
          </w:tcPr>
          <w:p w14:paraId="34822566">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电力消耗</w:t>
            </w:r>
          </w:p>
        </w:tc>
        <w:tc>
          <w:tcPr>
            <w:tcW w:w="841" w:type="dxa"/>
            <w:vAlign w:val="center"/>
          </w:tcPr>
          <w:p w14:paraId="793930C5">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p>
        </w:tc>
        <w:tc>
          <w:tcPr>
            <w:tcW w:w="1168" w:type="dxa"/>
            <w:vAlign w:val="center"/>
          </w:tcPr>
          <w:p w14:paraId="69083441">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kWh</w:t>
            </w:r>
          </w:p>
        </w:tc>
        <w:tc>
          <w:tcPr>
            <w:tcW w:w="1168" w:type="dxa"/>
            <w:vAlign w:val="center"/>
          </w:tcPr>
          <w:p w14:paraId="49307183">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电表</w:t>
            </w:r>
          </w:p>
        </w:tc>
        <w:tc>
          <w:tcPr>
            <w:tcW w:w="1169" w:type="dxa"/>
            <w:vAlign w:val="center"/>
          </w:tcPr>
          <w:p w14:paraId="2C83DBCA">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连续计量</w:t>
            </w:r>
          </w:p>
        </w:tc>
        <w:tc>
          <w:tcPr>
            <w:tcW w:w="1169" w:type="dxa"/>
            <w:vAlign w:val="center"/>
          </w:tcPr>
          <w:p w14:paraId="6AF9E661">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202X年</w:t>
            </w:r>
          </w:p>
        </w:tc>
        <w:tc>
          <w:tcPr>
            <w:tcW w:w="1169" w:type="dxa"/>
            <w:vAlign w:val="center"/>
          </w:tcPr>
          <w:p w14:paraId="51162733">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p>
        </w:tc>
      </w:tr>
      <w:tr w14:paraId="53B40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8" w:type="dxa"/>
            <w:vAlign w:val="center"/>
          </w:tcPr>
          <w:p w14:paraId="44445E3A">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输入</w:t>
            </w:r>
          </w:p>
        </w:tc>
        <w:tc>
          <w:tcPr>
            <w:tcW w:w="1495" w:type="dxa"/>
            <w:vAlign w:val="center"/>
          </w:tcPr>
          <w:p w14:paraId="6163C514">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柴油消耗</w:t>
            </w:r>
          </w:p>
        </w:tc>
        <w:tc>
          <w:tcPr>
            <w:tcW w:w="841" w:type="dxa"/>
            <w:vAlign w:val="center"/>
          </w:tcPr>
          <w:p w14:paraId="6190597C">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p>
        </w:tc>
        <w:tc>
          <w:tcPr>
            <w:tcW w:w="1168" w:type="dxa"/>
            <w:vAlign w:val="center"/>
          </w:tcPr>
          <w:p w14:paraId="7146D6D9">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t</w:t>
            </w:r>
          </w:p>
        </w:tc>
        <w:tc>
          <w:tcPr>
            <w:tcW w:w="1168" w:type="dxa"/>
            <w:vAlign w:val="center"/>
          </w:tcPr>
          <w:p w14:paraId="22A11964">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采购/流量计</w:t>
            </w:r>
          </w:p>
        </w:tc>
        <w:tc>
          <w:tcPr>
            <w:tcW w:w="1169" w:type="dxa"/>
            <w:vAlign w:val="center"/>
          </w:tcPr>
          <w:p w14:paraId="5254D429">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连续计量</w:t>
            </w:r>
          </w:p>
        </w:tc>
        <w:tc>
          <w:tcPr>
            <w:tcW w:w="1169" w:type="dxa"/>
            <w:vAlign w:val="center"/>
          </w:tcPr>
          <w:p w14:paraId="2A48FB44">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202X年</w:t>
            </w:r>
          </w:p>
        </w:tc>
        <w:tc>
          <w:tcPr>
            <w:tcW w:w="1169" w:type="dxa"/>
            <w:vAlign w:val="center"/>
          </w:tcPr>
          <w:p w14:paraId="1BAFC941">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用于采掘设备</w:t>
            </w:r>
          </w:p>
        </w:tc>
      </w:tr>
      <w:tr w14:paraId="78651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8" w:type="dxa"/>
            <w:vAlign w:val="center"/>
          </w:tcPr>
          <w:p w14:paraId="42987698">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输入</w:t>
            </w:r>
          </w:p>
        </w:tc>
        <w:tc>
          <w:tcPr>
            <w:tcW w:w="1495" w:type="dxa"/>
            <w:vAlign w:val="center"/>
          </w:tcPr>
          <w:p w14:paraId="58AE24D2">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炸药消耗</w:t>
            </w:r>
          </w:p>
        </w:tc>
        <w:tc>
          <w:tcPr>
            <w:tcW w:w="841" w:type="dxa"/>
            <w:vAlign w:val="center"/>
          </w:tcPr>
          <w:p w14:paraId="2A176C0C">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p>
        </w:tc>
        <w:tc>
          <w:tcPr>
            <w:tcW w:w="1168" w:type="dxa"/>
            <w:vAlign w:val="center"/>
          </w:tcPr>
          <w:p w14:paraId="5689FEBF">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t</w:t>
            </w:r>
          </w:p>
        </w:tc>
        <w:tc>
          <w:tcPr>
            <w:tcW w:w="1168" w:type="dxa"/>
            <w:vAlign w:val="center"/>
          </w:tcPr>
          <w:p w14:paraId="712B556E">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采购记录</w:t>
            </w:r>
          </w:p>
        </w:tc>
        <w:tc>
          <w:tcPr>
            <w:tcW w:w="1169" w:type="dxa"/>
            <w:vAlign w:val="center"/>
          </w:tcPr>
          <w:p w14:paraId="28A61FFA">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批次统计</w:t>
            </w:r>
          </w:p>
        </w:tc>
        <w:tc>
          <w:tcPr>
            <w:tcW w:w="1169" w:type="dxa"/>
            <w:vAlign w:val="center"/>
          </w:tcPr>
          <w:p w14:paraId="62DDC8A9">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202X年</w:t>
            </w:r>
          </w:p>
        </w:tc>
        <w:tc>
          <w:tcPr>
            <w:tcW w:w="1169" w:type="dxa"/>
            <w:vAlign w:val="center"/>
          </w:tcPr>
          <w:p w14:paraId="1FFFE72D">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含制造隐含排放</w:t>
            </w:r>
          </w:p>
        </w:tc>
      </w:tr>
      <w:tr w14:paraId="7A01C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8" w:type="dxa"/>
            <w:vAlign w:val="center"/>
          </w:tcPr>
          <w:p w14:paraId="63A33B72">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输入</w:t>
            </w:r>
          </w:p>
        </w:tc>
        <w:tc>
          <w:tcPr>
            <w:tcW w:w="1495" w:type="dxa"/>
            <w:vAlign w:val="center"/>
          </w:tcPr>
          <w:p w14:paraId="3C791483">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通风用电</w:t>
            </w:r>
          </w:p>
        </w:tc>
        <w:tc>
          <w:tcPr>
            <w:tcW w:w="841" w:type="dxa"/>
            <w:vAlign w:val="center"/>
          </w:tcPr>
          <w:p w14:paraId="50D22B2B">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p>
        </w:tc>
        <w:tc>
          <w:tcPr>
            <w:tcW w:w="1168" w:type="dxa"/>
            <w:vAlign w:val="center"/>
          </w:tcPr>
          <w:p w14:paraId="2B1D66CB">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kWh</w:t>
            </w:r>
          </w:p>
        </w:tc>
        <w:tc>
          <w:tcPr>
            <w:tcW w:w="1168" w:type="dxa"/>
            <w:vAlign w:val="center"/>
          </w:tcPr>
          <w:p w14:paraId="38952456">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电表</w:t>
            </w:r>
          </w:p>
        </w:tc>
        <w:tc>
          <w:tcPr>
            <w:tcW w:w="1169" w:type="dxa"/>
            <w:vAlign w:val="center"/>
          </w:tcPr>
          <w:p w14:paraId="15657726">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连续计量</w:t>
            </w:r>
          </w:p>
        </w:tc>
        <w:tc>
          <w:tcPr>
            <w:tcW w:w="1169" w:type="dxa"/>
            <w:vAlign w:val="center"/>
          </w:tcPr>
          <w:p w14:paraId="1189BAB5">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202X年</w:t>
            </w:r>
          </w:p>
        </w:tc>
        <w:tc>
          <w:tcPr>
            <w:tcW w:w="1169" w:type="dxa"/>
            <w:vAlign w:val="center"/>
          </w:tcPr>
          <w:p w14:paraId="5530A6A1">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井下矿山</w:t>
            </w:r>
          </w:p>
        </w:tc>
      </w:tr>
      <w:tr w14:paraId="18A0B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8" w:type="dxa"/>
            <w:vAlign w:val="center"/>
          </w:tcPr>
          <w:p w14:paraId="78A866F1">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输入</w:t>
            </w:r>
          </w:p>
        </w:tc>
        <w:tc>
          <w:tcPr>
            <w:tcW w:w="1495" w:type="dxa"/>
            <w:vAlign w:val="center"/>
          </w:tcPr>
          <w:p w14:paraId="2DAF190D">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排水用电</w:t>
            </w:r>
          </w:p>
        </w:tc>
        <w:tc>
          <w:tcPr>
            <w:tcW w:w="841" w:type="dxa"/>
            <w:vAlign w:val="center"/>
          </w:tcPr>
          <w:p w14:paraId="07D5B46A">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p>
        </w:tc>
        <w:tc>
          <w:tcPr>
            <w:tcW w:w="1168" w:type="dxa"/>
            <w:vAlign w:val="center"/>
          </w:tcPr>
          <w:p w14:paraId="569FFD3D">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kWh</w:t>
            </w:r>
          </w:p>
        </w:tc>
        <w:tc>
          <w:tcPr>
            <w:tcW w:w="1168" w:type="dxa"/>
            <w:vAlign w:val="center"/>
          </w:tcPr>
          <w:p w14:paraId="7667E201">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电表</w:t>
            </w:r>
          </w:p>
        </w:tc>
        <w:tc>
          <w:tcPr>
            <w:tcW w:w="1169" w:type="dxa"/>
            <w:vAlign w:val="center"/>
          </w:tcPr>
          <w:p w14:paraId="522FA13B">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连续计量</w:t>
            </w:r>
          </w:p>
        </w:tc>
        <w:tc>
          <w:tcPr>
            <w:tcW w:w="1169" w:type="dxa"/>
            <w:vAlign w:val="center"/>
          </w:tcPr>
          <w:p w14:paraId="4EC85D97">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202X年</w:t>
            </w:r>
          </w:p>
        </w:tc>
        <w:tc>
          <w:tcPr>
            <w:tcW w:w="1169" w:type="dxa"/>
            <w:vAlign w:val="center"/>
          </w:tcPr>
          <w:p w14:paraId="469E8906">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p>
        </w:tc>
      </w:tr>
      <w:tr w14:paraId="54C23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8" w:type="dxa"/>
            <w:vAlign w:val="center"/>
          </w:tcPr>
          <w:p w14:paraId="71C598D9">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输入</w:t>
            </w:r>
          </w:p>
        </w:tc>
        <w:tc>
          <w:tcPr>
            <w:tcW w:w="1495" w:type="dxa"/>
            <w:vAlign w:val="center"/>
          </w:tcPr>
          <w:p w14:paraId="4BDF7209">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提升用电</w:t>
            </w:r>
          </w:p>
        </w:tc>
        <w:tc>
          <w:tcPr>
            <w:tcW w:w="841" w:type="dxa"/>
            <w:vAlign w:val="center"/>
          </w:tcPr>
          <w:p w14:paraId="09D7DE53">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p>
        </w:tc>
        <w:tc>
          <w:tcPr>
            <w:tcW w:w="1168" w:type="dxa"/>
            <w:vAlign w:val="center"/>
          </w:tcPr>
          <w:p w14:paraId="2E5ED31F">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kWh</w:t>
            </w:r>
          </w:p>
        </w:tc>
        <w:tc>
          <w:tcPr>
            <w:tcW w:w="1168" w:type="dxa"/>
            <w:vAlign w:val="center"/>
          </w:tcPr>
          <w:p w14:paraId="72D9D257">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电表</w:t>
            </w:r>
          </w:p>
        </w:tc>
        <w:tc>
          <w:tcPr>
            <w:tcW w:w="1169" w:type="dxa"/>
            <w:vAlign w:val="center"/>
          </w:tcPr>
          <w:p w14:paraId="6E9348C1">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连续计量</w:t>
            </w:r>
          </w:p>
        </w:tc>
        <w:tc>
          <w:tcPr>
            <w:tcW w:w="1169" w:type="dxa"/>
            <w:vAlign w:val="center"/>
          </w:tcPr>
          <w:p w14:paraId="43DCABB0">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202X年</w:t>
            </w:r>
          </w:p>
        </w:tc>
        <w:tc>
          <w:tcPr>
            <w:tcW w:w="1169" w:type="dxa"/>
            <w:vAlign w:val="center"/>
          </w:tcPr>
          <w:p w14:paraId="509C5BF1">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井下矿山</w:t>
            </w:r>
          </w:p>
        </w:tc>
      </w:tr>
      <w:tr w14:paraId="70505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8" w:type="dxa"/>
            <w:vAlign w:val="center"/>
          </w:tcPr>
          <w:p w14:paraId="5A47F194">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输入</w:t>
            </w:r>
          </w:p>
        </w:tc>
        <w:tc>
          <w:tcPr>
            <w:tcW w:w="1495" w:type="dxa"/>
            <w:vAlign w:val="center"/>
          </w:tcPr>
          <w:p w14:paraId="21B712F4">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充填材料</w:t>
            </w:r>
          </w:p>
        </w:tc>
        <w:tc>
          <w:tcPr>
            <w:tcW w:w="841" w:type="dxa"/>
            <w:vAlign w:val="center"/>
          </w:tcPr>
          <w:p w14:paraId="161CED7E">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p>
        </w:tc>
        <w:tc>
          <w:tcPr>
            <w:tcW w:w="1168" w:type="dxa"/>
            <w:vAlign w:val="center"/>
          </w:tcPr>
          <w:p w14:paraId="11FBFD7F">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t</w:t>
            </w:r>
          </w:p>
        </w:tc>
        <w:tc>
          <w:tcPr>
            <w:tcW w:w="1168" w:type="dxa"/>
            <w:vAlign w:val="center"/>
          </w:tcPr>
          <w:p w14:paraId="0357B272">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采购记录</w:t>
            </w:r>
          </w:p>
        </w:tc>
        <w:tc>
          <w:tcPr>
            <w:tcW w:w="1169" w:type="dxa"/>
            <w:vAlign w:val="center"/>
          </w:tcPr>
          <w:p w14:paraId="07BDBB40">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批次统计</w:t>
            </w:r>
          </w:p>
        </w:tc>
        <w:tc>
          <w:tcPr>
            <w:tcW w:w="1169" w:type="dxa"/>
            <w:vAlign w:val="center"/>
          </w:tcPr>
          <w:p w14:paraId="24FE0248">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202X年</w:t>
            </w:r>
          </w:p>
        </w:tc>
        <w:tc>
          <w:tcPr>
            <w:tcW w:w="1169" w:type="dxa"/>
            <w:vAlign w:val="center"/>
          </w:tcPr>
          <w:p w14:paraId="7A072554">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如适用</w:t>
            </w:r>
          </w:p>
        </w:tc>
      </w:tr>
      <w:tr w14:paraId="494CA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8" w:type="dxa"/>
            <w:vAlign w:val="center"/>
          </w:tcPr>
          <w:p w14:paraId="13F186F9">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输出</w:t>
            </w:r>
          </w:p>
        </w:tc>
        <w:tc>
          <w:tcPr>
            <w:tcW w:w="1495" w:type="dxa"/>
            <w:vAlign w:val="center"/>
          </w:tcPr>
          <w:p w14:paraId="1B9EA46A">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银矿石</w:t>
            </w:r>
          </w:p>
        </w:tc>
        <w:tc>
          <w:tcPr>
            <w:tcW w:w="841" w:type="dxa"/>
            <w:vAlign w:val="center"/>
          </w:tcPr>
          <w:p w14:paraId="1CD63719">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p>
        </w:tc>
        <w:tc>
          <w:tcPr>
            <w:tcW w:w="1168" w:type="dxa"/>
            <w:vAlign w:val="center"/>
          </w:tcPr>
          <w:p w14:paraId="3F8E09C0">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t</w:t>
            </w:r>
          </w:p>
        </w:tc>
        <w:tc>
          <w:tcPr>
            <w:tcW w:w="1168" w:type="dxa"/>
            <w:vAlign w:val="center"/>
          </w:tcPr>
          <w:p w14:paraId="061357C4">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地磅</w:t>
            </w:r>
          </w:p>
        </w:tc>
        <w:tc>
          <w:tcPr>
            <w:tcW w:w="1169" w:type="dxa"/>
            <w:vAlign w:val="center"/>
          </w:tcPr>
          <w:p w14:paraId="4A0B0B04">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批次计量</w:t>
            </w:r>
          </w:p>
        </w:tc>
        <w:tc>
          <w:tcPr>
            <w:tcW w:w="1169" w:type="dxa"/>
            <w:vAlign w:val="center"/>
          </w:tcPr>
          <w:p w14:paraId="0A8C77C1">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202X年</w:t>
            </w:r>
          </w:p>
        </w:tc>
        <w:tc>
          <w:tcPr>
            <w:tcW w:w="1169" w:type="dxa"/>
            <w:vAlign w:val="center"/>
          </w:tcPr>
          <w:p w14:paraId="49D9DC8E">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入选矿</w:t>
            </w:r>
          </w:p>
        </w:tc>
      </w:tr>
      <w:tr w14:paraId="15509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8" w:type="dxa"/>
            <w:vAlign w:val="center"/>
          </w:tcPr>
          <w:p w14:paraId="5ECE0190">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输出</w:t>
            </w:r>
          </w:p>
        </w:tc>
        <w:tc>
          <w:tcPr>
            <w:tcW w:w="1495" w:type="dxa"/>
            <w:vAlign w:val="center"/>
          </w:tcPr>
          <w:p w14:paraId="22280F83">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废石</w:t>
            </w:r>
          </w:p>
        </w:tc>
        <w:tc>
          <w:tcPr>
            <w:tcW w:w="841" w:type="dxa"/>
            <w:vAlign w:val="center"/>
          </w:tcPr>
          <w:p w14:paraId="5E726913">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p>
        </w:tc>
        <w:tc>
          <w:tcPr>
            <w:tcW w:w="1168" w:type="dxa"/>
            <w:vAlign w:val="center"/>
          </w:tcPr>
          <w:p w14:paraId="7096FBD8">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t</w:t>
            </w:r>
          </w:p>
        </w:tc>
        <w:tc>
          <w:tcPr>
            <w:tcW w:w="1168" w:type="dxa"/>
            <w:vAlign w:val="center"/>
          </w:tcPr>
          <w:p w14:paraId="4A13DEA0">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估算</w:t>
            </w:r>
          </w:p>
        </w:tc>
        <w:tc>
          <w:tcPr>
            <w:tcW w:w="1169" w:type="dxa"/>
            <w:vAlign w:val="center"/>
          </w:tcPr>
          <w:p w14:paraId="6D49D75E">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w:t>
            </w:r>
          </w:p>
        </w:tc>
        <w:tc>
          <w:tcPr>
            <w:tcW w:w="1169" w:type="dxa"/>
            <w:vAlign w:val="center"/>
          </w:tcPr>
          <w:p w14:paraId="4A2B42B5">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202X年</w:t>
            </w:r>
          </w:p>
        </w:tc>
        <w:tc>
          <w:tcPr>
            <w:tcW w:w="1169" w:type="dxa"/>
            <w:vAlign w:val="center"/>
          </w:tcPr>
          <w:p w14:paraId="4D1C8637">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排土场/充填</w:t>
            </w:r>
          </w:p>
        </w:tc>
      </w:tr>
    </w:tbl>
    <w:p w14:paraId="47F1D2F0">
      <w:pPr>
        <w:pStyle w:val="279"/>
        <w:spacing w:beforeLines="100" w:afterLines="100" w:line="240" w:lineRule="auto"/>
        <w:ind w:firstLine="0" w:firstLineChars="0"/>
        <w:rPr>
          <w:rFonts w:hint="eastAsia" w:ascii="黑体" w:hAnsi="黑体" w:eastAsia="黑体" w:cs="黑体"/>
          <w:bCs/>
          <w:lang w:val="en-US" w:eastAsia="zh-CN"/>
        </w:rPr>
      </w:pPr>
      <w:r>
        <w:rPr>
          <w:rFonts w:hint="eastAsia" w:ascii="黑体" w:hAnsi="黑体" w:eastAsia="黑体" w:cs="黑体"/>
          <w:bCs/>
          <w:lang w:val="en-US" w:eastAsia="zh-CN"/>
        </w:rPr>
        <w:t>C.5选矿单元过程数据收集表</w:t>
      </w:r>
    </w:p>
    <w:tbl>
      <w:tblPr>
        <w:tblStyle w:val="3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9"/>
        <w:gridCol w:w="1169"/>
        <w:gridCol w:w="1169"/>
        <w:gridCol w:w="1169"/>
        <w:gridCol w:w="1169"/>
        <w:gridCol w:w="1169"/>
        <w:gridCol w:w="1170"/>
        <w:gridCol w:w="1170"/>
      </w:tblGrid>
      <w:tr w14:paraId="36350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9" w:type="dxa"/>
            <w:vAlign w:val="center"/>
          </w:tcPr>
          <w:p w14:paraId="7807A02E">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数据类别</w:t>
            </w:r>
          </w:p>
        </w:tc>
        <w:tc>
          <w:tcPr>
            <w:tcW w:w="1169" w:type="dxa"/>
            <w:vAlign w:val="center"/>
          </w:tcPr>
          <w:p w14:paraId="7CFADFB6">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输入/输出项目</w:t>
            </w:r>
          </w:p>
        </w:tc>
        <w:tc>
          <w:tcPr>
            <w:tcW w:w="1169" w:type="dxa"/>
            <w:vAlign w:val="center"/>
          </w:tcPr>
          <w:p w14:paraId="238DA884">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数量</w:t>
            </w:r>
          </w:p>
        </w:tc>
        <w:tc>
          <w:tcPr>
            <w:tcW w:w="1169" w:type="dxa"/>
            <w:vAlign w:val="center"/>
          </w:tcPr>
          <w:p w14:paraId="494EA1BE">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单位</w:t>
            </w:r>
          </w:p>
        </w:tc>
        <w:tc>
          <w:tcPr>
            <w:tcW w:w="1169" w:type="dxa"/>
            <w:vAlign w:val="center"/>
          </w:tcPr>
          <w:p w14:paraId="7B1FCC54">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数据来源</w:t>
            </w:r>
          </w:p>
        </w:tc>
        <w:tc>
          <w:tcPr>
            <w:tcW w:w="1169" w:type="dxa"/>
            <w:vAlign w:val="center"/>
          </w:tcPr>
          <w:p w14:paraId="4C9F9D83">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监测方法</w:t>
            </w:r>
          </w:p>
        </w:tc>
        <w:tc>
          <w:tcPr>
            <w:tcW w:w="1170" w:type="dxa"/>
            <w:vAlign w:val="center"/>
          </w:tcPr>
          <w:p w14:paraId="2BF06697">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数据周期</w:t>
            </w:r>
          </w:p>
        </w:tc>
        <w:tc>
          <w:tcPr>
            <w:tcW w:w="1170" w:type="dxa"/>
            <w:vAlign w:val="center"/>
          </w:tcPr>
          <w:p w14:paraId="17733F5C">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备注</w:t>
            </w:r>
          </w:p>
        </w:tc>
      </w:tr>
      <w:tr w14:paraId="559A9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9" w:type="dxa"/>
            <w:vAlign w:val="center"/>
          </w:tcPr>
          <w:p w14:paraId="146D7A45">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输入</w:t>
            </w:r>
          </w:p>
        </w:tc>
        <w:tc>
          <w:tcPr>
            <w:tcW w:w="1169" w:type="dxa"/>
            <w:vAlign w:val="center"/>
          </w:tcPr>
          <w:p w14:paraId="4D60C22E">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电力消耗</w:t>
            </w:r>
          </w:p>
        </w:tc>
        <w:tc>
          <w:tcPr>
            <w:tcW w:w="1169" w:type="dxa"/>
            <w:vAlign w:val="center"/>
          </w:tcPr>
          <w:p w14:paraId="72666814">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p>
        </w:tc>
        <w:tc>
          <w:tcPr>
            <w:tcW w:w="1169" w:type="dxa"/>
            <w:vAlign w:val="center"/>
          </w:tcPr>
          <w:p w14:paraId="0B09A075">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kWh</w:t>
            </w:r>
          </w:p>
        </w:tc>
        <w:tc>
          <w:tcPr>
            <w:tcW w:w="1169" w:type="dxa"/>
            <w:vAlign w:val="center"/>
          </w:tcPr>
          <w:p w14:paraId="61EFBA79">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电表</w:t>
            </w:r>
          </w:p>
        </w:tc>
        <w:tc>
          <w:tcPr>
            <w:tcW w:w="1169" w:type="dxa"/>
            <w:vAlign w:val="center"/>
          </w:tcPr>
          <w:p w14:paraId="0553D817">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连续计量</w:t>
            </w:r>
          </w:p>
        </w:tc>
        <w:tc>
          <w:tcPr>
            <w:tcW w:w="1170" w:type="dxa"/>
            <w:vAlign w:val="center"/>
          </w:tcPr>
          <w:p w14:paraId="47C39735">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202X年</w:t>
            </w:r>
          </w:p>
        </w:tc>
        <w:tc>
          <w:tcPr>
            <w:tcW w:w="1170" w:type="dxa"/>
            <w:vAlign w:val="center"/>
          </w:tcPr>
          <w:p w14:paraId="4E6CC222">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破碎/磨矿/浮选</w:t>
            </w:r>
          </w:p>
        </w:tc>
      </w:tr>
      <w:tr w14:paraId="00A8E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9" w:type="dxa"/>
            <w:vAlign w:val="center"/>
          </w:tcPr>
          <w:p w14:paraId="0115B5EB">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输入</w:t>
            </w:r>
          </w:p>
        </w:tc>
        <w:tc>
          <w:tcPr>
            <w:tcW w:w="1169" w:type="dxa"/>
            <w:vAlign w:val="center"/>
          </w:tcPr>
          <w:p w14:paraId="32EFB9FE">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钢球消耗</w:t>
            </w:r>
          </w:p>
        </w:tc>
        <w:tc>
          <w:tcPr>
            <w:tcW w:w="1169" w:type="dxa"/>
            <w:vAlign w:val="center"/>
          </w:tcPr>
          <w:p w14:paraId="7C19B4F6">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p>
        </w:tc>
        <w:tc>
          <w:tcPr>
            <w:tcW w:w="1169" w:type="dxa"/>
            <w:vAlign w:val="center"/>
          </w:tcPr>
          <w:p w14:paraId="30E4C6AA">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t</w:t>
            </w:r>
          </w:p>
        </w:tc>
        <w:tc>
          <w:tcPr>
            <w:tcW w:w="1169" w:type="dxa"/>
            <w:vAlign w:val="center"/>
          </w:tcPr>
          <w:p w14:paraId="14A95352">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采购记录</w:t>
            </w:r>
          </w:p>
        </w:tc>
        <w:tc>
          <w:tcPr>
            <w:tcW w:w="1169" w:type="dxa"/>
            <w:vAlign w:val="center"/>
          </w:tcPr>
          <w:p w14:paraId="3258C9CC">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批次统计</w:t>
            </w:r>
          </w:p>
        </w:tc>
        <w:tc>
          <w:tcPr>
            <w:tcW w:w="1170" w:type="dxa"/>
            <w:vAlign w:val="center"/>
          </w:tcPr>
          <w:p w14:paraId="4930C14F">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202X年</w:t>
            </w:r>
          </w:p>
        </w:tc>
        <w:tc>
          <w:tcPr>
            <w:tcW w:w="1170" w:type="dxa"/>
            <w:vAlign w:val="center"/>
          </w:tcPr>
          <w:p w14:paraId="30297F30">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磨矿介质</w:t>
            </w:r>
          </w:p>
        </w:tc>
      </w:tr>
      <w:tr w14:paraId="23E73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9" w:type="dxa"/>
            <w:vAlign w:val="center"/>
          </w:tcPr>
          <w:p w14:paraId="545DB325">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输入</w:t>
            </w:r>
          </w:p>
        </w:tc>
        <w:tc>
          <w:tcPr>
            <w:tcW w:w="1169" w:type="dxa"/>
            <w:vAlign w:val="center"/>
          </w:tcPr>
          <w:p w14:paraId="4C911F39">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衬板消耗</w:t>
            </w:r>
          </w:p>
        </w:tc>
        <w:tc>
          <w:tcPr>
            <w:tcW w:w="1169" w:type="dxa"/>
            <w:vAlign w:val="center"/>
          </w:tcPr>
          <w:p w14:paraId="321A3D87">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p>
        </w:tc>
        <w:tc>
          <w:tcPr>
            <w:tcW w:w="1169" w:type="dxa"/>
            <w:vAlign w:val="center"/>
          </w:tcPr>
          <w:p w14:paraId="6FE3F71B">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t</w:t>
            </w:r>
          </w:p>
        </w:tc>
        <w:tc>
          <w:tcPr>
            <w:tcW w:w="1169" w:type="dxa"/>
            <w:vAlign w:val="center"/>
          </w:tcPr>
          <w:p w14:paraId="2472D9B4">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采购记录</w:t>
            </w:r>
          </w:p>
        </w:tc>
        <w:tc>
          <w:tcPr>
            <w:tcW w:w="1169" w:type="dxa"/>
            <w:vAlign w:val="center"/>
          </w:tcPr>
          <w:p w14:paraId="3FD0D386">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批次统计</w:t>
            </w:r>
          </w:p>
        </w:tc>
        <w:tc>
          <w:tcPr>
            <w:tcW w:w="1170" w:type="dxa"/>
            <w:vAlign w:val="center"/>
          </w:tcPr>
          <w:p w14:paraId="3B3E4B2E">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202X年</w:t>
            </w:r>
          </w:p>
        </w:tc>
        <w:tc>
          <w:tcPr>
            <w:tcW w:w="1170" w:type="dxa"/>
            <w:vAlign w:val="center"/>
          </w:tcPr>
          <w:p w14:paraId="31F7A337">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p>
        </w:tc>
      </w:tr>
      <w:tr w14:paraId="455A0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9" w:type="dxa"/>
            <w:vAlign w:val="center"/>
          </w:tcPr>
          <w:p w14:paraId="266FCFC3">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输入</w:t>
            </w:r>
          </w:p>
        </w:tc>
        <w:tc>
          <w:tcPr>
            <w:tcW w:w="1169" w:type="dxa"/>
            <w:vAlign w:val="center"/>
          </w:tcPr>
          <w:p w14:paraId="2372F43D">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氰化钠消耗</w:t>
            </w:r>
          </w:p>
        </w:tc>
        <w:tc>
          <w:tcPr>
            <w:tcW w:w="1169" w:type="dxa"/>
            <w:vAlign w:val="center"/>
          </w:tcPr>
          <w:p w14:paraId="627861AB">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p>
        </w:tc>
        <w:tc>
          <w:tcPr>
            <w:tcW w:w="1169" w:type="dxa"/>
            <w:vAlign w:val="center"/>
          </w:tcPr>
          <w:p w14:paraId="3E603D4D">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kg</w:t>
            </w:r>
          </w:p>
        </w:tc>
        <w:tc>
          <w:tcPr>
            <w:tcW w:w="1169" w:type="dxa"/>
            <w:vAlign w:val="center"/>
          </w:tcPr>
          <w:p w14:paraId="0957E0F1">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采购记录</w:t>
            </w:r>
          </w:p>
        </w:tc>
        <w:tc>
          <w:tcPr>
            <w:tcW w:w="1169" w:type="dxa"/>
            <w:vAlign w:val="center"/>
          </w:tcPr>
          <w:p w14:paraId="605708BD">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批次统计</w:t>
            </w:r>
          </w:p>
        </w:tc>
        <w:tc>
          <w:tcPr>
            <w:tcW w:w="1170" w:type="dxa"/>
            <w:vAlign w:val="center"/>
          </w:tcPr>
          <w:p w14:paraId="77141C2D">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202X年</w:t>
            </w:r>
          </w:p>
        </w:tc>
        <w:tc>
          <w:tcPr>
            <w:tcW w:w="1170" w:type="dxa"/>
            <w:vAlign w:val="center"/>
          </w:tcPr>
          <w:p w14:paraId="3E2737D1">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氰化浸出工艺</w:t>
            </w:r>
          </w:p>
        </w:tc>
      </w:tr>
      <w:tr w14:paraId="25E3F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9" w:type="dxa"/>
            <w:vAlign w:val="center"/>
          </w:tcPr>
          <w:p w14:paraId="2FE26AFF">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输入</w:t>
            </w:r>
          </w:p>
        </w:tc>
        <w:tc>
          <w:tcPr>
            <w:tcW w:w="1169" w:type="dxa"/>
            <w:vAlign w:val="center"/>
          </w:tcPr>
          <w:p w14:paraId="052436AA">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石灰消耗</w:t>
            </w:r>
          </w:p>
        </w:tc>
        <w:tc>
          <w:tcPr>
            <w:tcW w:w="1169" w:type="dxa"/>
            <w:vAlign w:val="center"/>
          </w:tcPr>
          <w:p w14:paraId="1B494F57">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p>
        </w:tc>
        <w:tc>
          <w:tcPr>
            <w:tcW w:w="1169" w:type="dxa"/>
            <w:vAlign w:val="center"/>
          </w:tcPr>
          <w:p w14:paraId="55DCB979">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kg</w:t>
            </w:r>
          </w:p>
        </w:tc>
        <w:tc>
          <w:tcPr>
            <w:tcW w:w="1169" w:type="dxa"/>
            <w:vAlign w:val="center"/>
          </w:tcPr>
          <w:p w14:paraId="596E779A">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采购记录</w:t>
            </w:r>
          </w:p>
        </w:tc>
        <w:tc>
          <w:tcPr>
            <w:tcW w:w="1169" w:type="dxa"/>
            <w:vAlign w:val="center"/>
          </w:tcPr>
          <w:p w14:paraId="6B19B670">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批次统计</w:t>
            </w:r>
          </w:p>
        </w:tc>
        <w:tc>
          <w:tcPr>
            <w:tcW w:w="1170" w:type="dxa"/>
            <w:vAlign w:val="center"/>
          </w:tcPr>
          <w:p w14:paraId="149EFF32">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202X年</w:t>
            </w:r>
          </w:p>
        </w:tc>
        <w:tc>
          <w:tcPr>
            <w:tcW w:w="1170" w:type="dxa"/>
            <w:vAlign w:val="center"/>
          </w:tcPr>
          <w:p w14:paraId="4C0BA118">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调整pH</w:t>
            </w:r>
          </w:p>
        </w:tc>
      </w:tr>
      <w:tr w14:paraId="6E8E8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9" w:type="dxa"/>
            <w:vAlign w:val="center"/>
          </w:tcPr>
          <w:p w14:paraId="470A6A4B">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输入</w:t>
            </w:r>
          </w:p>
        </w:tc>
        <w:tc>
          <w:tcPr>
            <w:tcW w:w="1169" w:type="dxa"/>
            <w:vAlign w:val="center"/>
          </w:tcPr>
          <w:p w14:paraId="7CBBB413">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浮选药剂</w:t>
            </w:r>
          </w:p>
        </w:tc>
        <w:tc>
          <w:tcPr>
            <w:tcW w:w="1169" w:type="dxa"/>
            <w:vAlign w:val="center"/>
          </w:tcPr>
          <w:p w14:paraId="63DE7901">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p>
        </w:tc>
        <w:tc>
          <w:tcPr>
            <w:tcW w:w="1169" w:type="dxa"/>
            <w:vAlign w:val="center"/>
          </w:tcPr>
          <w:p w14:paraId="3400B4D8">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kg</w:t>
            </w:r>
          </w:p>
        </w:tc>
        <w:tc>
          <w:tcPr>
            <w:tcW w:w="1169" w:type="dxa"/>
            <w:vAlign w:val="center"/>
          </w:tcPr>
          <w:p w14:paraId="64CE1653">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采购记录</w:t>
            </w:r>
          </w:p>
        </w:tc>
        <w:tc>
          <w:tcPr>
            <w:tcW w:w="1169" w:type="dxa"/>
            <w:vAlign w:val="center"/>
          </w:tcPr>
          <w:p w14:paraId="1462B9F0">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批次统计</w:t>
            </w:r>
          </w:p>
        </w:tc>
        <w:tc>
          <w:tcPr>
            <w:tcW w:w="1170" w:type="dxa"/>
            <w:vAlign w:val="center"/>
          </w:tcPr>
          <w:p w14:paraId="1E34B985">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202X年</w:t>
            </w:r>
          </w:p>
        </w:tc>
        <w:tc>
          <w:tcPr>
            <w:tcW w:w="1170" w:type="dxa"/>
            <w:vAlign w:val="center"/>
          </w:tcPr>
          <w:p w14:paraId="3A68B2A8">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起泡剂/捕收剂</w:t>
            </w:r>
          </w:p>
        </w:tc>
      </w:tr>
      <w:tr w14:paraId="2BA34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9" w:type="dxa"/>
            <w:vAlign w:val="center"/>
          </w:tcPr>
          <w:p w14:paraId="15276AA3">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输入</w:t>
            </w:r>
          </w:p>
        </w:tc>
        <w:tc>
          <w:tcPr>
            <w:tcW w:w="1169" w:type="dxa"/>
            <w:vAlign w:val="center"/>
          </w:tcPr>
          <w:p w14:paraId="28E0BE68">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水消耗</w:t>
            </w:r>
          </w:p>
        </w:tc>
        <w:tc>
          <w:tcPr>
            <w:tcW w:w="1169" w:type="dxa"/>
            <w:vAlign w:val="center"/>
          </w:tcPr>
          <w:p w14:paraId="58479F59">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p>
        </w:tc>
        <w:tc>
          <w:tcPr>
            <w:tcW w:w="1169" w:type="dxa"/>
            <w:vAlign w:val="center"/>
          </w:tcPr>
          <w:p w14:paraId="58684026">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m³</w:t>
            </w:r>
          </w:p>
        </w:tc>
        <w:tc>
          <w:tcPr>
            <w:tcW w:w="1169" w:type="dxa"/>
            <w:vAlign w:val="center"/>
          </w:tcPr>
          <w:p w14:paraId="73E73B65">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水表</w:t>
            </w:r>
          </w:p>
        </w:tc>
        <w:tc>
          <w:tcPr>
            <w:tcW w:w="1169" w:type="dxa"/>
            <w:vAlign w:val="center"/>
          </w:tcPr>
          <w:p w14:paraId="4BCFC424">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连续计量</w:t>
            </w:r>
          </w:p>
        </w:tc>
        <w:tc>
          <w:tcPr>
            <w:tcW w:w="1170" w:type="dxa"/>
            <w:vAlign w:val="center"/>
          </w:tcPr>
          <w:p w14:paraId="703D650C">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202X年</w:t>
            </w:r>
          </w:p>
        </w:tc>
        <w:tc>
          <w:tcPr>
            <w:tcW w:w="1170" w:type="dxa"/>
            <w:vAlign w:val="center"/>
          </w:tcPr>
          <w:p w14:paraId="1F75FEEB">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p>
        </w:tc>
      </w:tr>
      <w:tr w14:paraId="33BC6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9" w:type="dxa"/>
            <w:vAlign w:val="center"/>
          </w:tcPr>
          <w:p w14:paraId="24AEC431">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输出</w:t>
            </w:r>
          </w:p>
        </w:tc>
        <w:tc>
          <w:tcPr>
            <w:tcW w:w="1169" w:type="dxa"/>
            <w:vAlign w:val="center"/>
          </w:tcPr>
          <w:p w14:paraId="21C67BC8">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银精矿</w:t>
            </w:r>
          </w:p>
        </w:tc>
        <w:tc>
          <w:tcPr>
            <w:tcW w:w="1169" w:type="dxa"/>
            <w:vAlign w:val="center"/>
          </w:tcPr>
          <w:p w14:paraId="62067AD6">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p>
        </w:tc>
        <w:tc>
          <w:tcPr>
            <w:tcW w:w="1169" w:type="dxa"/>
            <w:vAlign w:val="center"/>
          </w:tcPr>
          <w:p w14:paraId="714C6B3A">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t</w:t>
            </w:r>
          </w:p>
        </w:tc>
        <w:tc>
          <w:tcPr>
            <w:tcW w:w="1169" w:type="dxa"/>
            <w:vAlign w:val="center"/>
          </w:tcPr>
          <w:p w14:paraId="33928CF2">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地磅/化验</w:t>
            </w:r>
          </w:p>
        </w:tc>
        <w:tc>
          <w:tcPr>
            <w:tcW w:w="1169" w:type="dxa"/>
            <w:vAlign w:val="center"/>
          </w:tcPr>
          <w:p w14:paraId="6D896B21">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批次计量</w:t>
            </w:r>
          </w:p>
        </w:tc>
        <w:tc>
          <w:tcPr>
            <w:tcW w:w="1170" w:type="dxa"/>
            <w:vAlign w:val="center"/>
          </w:tcPr>
          <w:p w14:paraId="1BFE860C">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202X年</w:t>
            </w:r>
          </w:p>
        </w:tc>
        <w:tc>
          <w:tcPr>
            <w:tcW w:w="1170" w:type="dxa"/>
            <w:vAlign w:val="center"/>
          </w:tcPr>
          <w:p w14:paraId="097ECA32">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含银品位</w:t>
            </w:r>
          </w:p>
        </w:tc>
      </w:tr>
      <w:tr w14:paraId="30871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9" w:type="dxa"/>
            <w:vAlign w:val="center"/>
          </w:tcPr>
          <w:p w14:paraId="62FA3FAD">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default"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输出</w:t>
            </w:r>
          </w:p>
        </w:tc>
        <w:tc>
          <w:tcPr>
            <w:tcW w:w="1169" w:type="dxa"/>
            <w:vAlign w:val="center"/>
          </w:tcPr>
          <w:p w14:paraId="0E7B30DE">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default"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尾矿</w:t>
            </w:r>
          </w:p>
        </w:tc>
        <w:tc>
          <w:tcPr>
            <w:tcW w:w="1169" w:type="dxa"/>
            <w:vAlign w:val="center"/>
          </w:tcPr>
          <w:p w14:paraId="66DCDF58">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default" w:ascii="Times New Roman" w:hAnsi="宋体" w:cs="Times New Roman"/>
                <w:color w:val="auto"/>
                <w:sz w:val="18"/>
                <w:szCs w:val="18"/>
                <w:lang w:val="en-US" w:eastAsia="zh-CN"/>
              </w:rPr>
            </w:pPr>
          </w:p>
        </w:tc>
        <w:tc>
          <w:tcPr>
            <w:tcW w:w="1169" w:type="dxa"/>
            <w:vAlign w:val="center"/>
          </w:tcPr>
          <w:p w14:paraId="44BA58F5">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default"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t</w:t>
            </w:r>
          </w:p>
        </w:tc>
        <w:tc>
          <w:tcPr>
            <w:tcW w:w="1169" w:type="dxa"/>
            <w:vAlign w:val="center"/>
          </w:tcPr>
          <w:p w14:paraId="290EB9EC">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default"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估算</w:t>
            </w:r>
          </w:p>
        </w:tc>
        <w:tc>
          <w:tcPr>
            <w:tcW w:w="1169" w:type="dxa"/>
            <w:vAlign w:val="center"/>
          </w:tcPr>
          <w:p w14:paraId="6F1FEFA4">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default"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w:t>
            </w:r>
          </w:p>
        </w:tc>
        <w:tc>
          <w:tcPr>
            <w:tcW w:w="1170" w:type="dxa"/>
            <w:vAlign w:val="center"/>
          </w:tcPr>
          <w:p w14:paraId="524263DB">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default"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202X年</w:t>
            </w:r>
          </w:p>
        </w:tc>
        <w:tc>
          <w:tcPr>
            <w:tcW w:w="1170" w:type="dxa"/>
            <w:vAlign w:val="center"/>
          </w:tcPr>
          <w:p w14:paraId="24A4AF40">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default"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送尾矿库</w:t>
            </w:r>
          </w:p>
        </w:tc>
      </w:tr>
    </w:tbl>
    <w:p w14:paraId="33100B4E">
      <w:pPr>
        <w:pStyle w:val="279"/>
        <w:spacing w:beforeLines="100" w:afterLines="100" w:line="240" w:lineRule="auto"/>
        <w:ind w:firstLine="0" w:firstLineChars="0"/>
        <w:rPr>
          <w:rFonts w:hint="eastAsia" w:ascii="黑体" w:hAnsi="宋体" w:eastAsia="黑体" w:cs="Times New Roman"/>
          <w:szCs w:val="21"/>
          <w:lang w:val="en-US" w:eastAsia="zh-CN"/>
        </w:rPr>
      </w:pPr>
      <w:r>
        <w:rPr>
          <w:rFonts w:hint="eastAsia" w:ascii="黑体" w:hAnsi="黑体" w:eastAsia="黑体" w:cs="黑体"/>
          <w:bCs/>
          <w:lang w:val="en-US" w:eastAsia="zh-CN"/>
        </w:rPr>
        <w:t>C.6冶炼与精炼单元过程数据收集表</w:t>
      </w:r>
    </w:p>
    <w:tbl>
      <w:tblPr>
        <w:tblStyle w:val="3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9"/>
        <w:gridCol w:w="1169"/>
        <w:gridCol w:w="1169"/>
        <w:gridCol w:w="1169"/>
        <w:gridCol w:w="1169"/>
        <w:gridCol w:w="1169"/>
        <w:gridCol w:w="1170"/>
        <w:gridCol w:w="1171"/>
      </w:tblGrid>
      <w:tr w14:paraId="116AA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9" w:type="dxa"/>
            <w:vAlign w:val="center"/>
          </w:tcPr>
          <w:p w14:paraId="30F99861">
            <w:pPr>
              <w:keepNext w:val="0"/>
              <w:keepLines w:val="0"/>
              <w:widowControl/>
              <w:suppressLineNumbers w:val="0"/>
              <w:adjustRightInd/>
              <w:spacing w:line="240" w:lineRule="auto"/>
              <w:jc w:val="center"/>
              <w:rPr>
                <w:rFonts w:hint="default" w:ascii="Times New Roman" w:hAnsi="宋体" w:eastAsia="宋体" w:cs="Times New Roman"/>
                <w:color w:val="auto"/>
                <w:sz w:val="18"/>
                <w:szCs w:val="18"/>
                <w:vertAlign w:val="baseline"/>
                <w:lang w:val="en-US" w:eastAsia="zh-CN"/>
              </w:rPr>
            </w:pPr>
            <w:r>
              <w:rPr>
                <w:rFonts w:hint="default" w:ascii="Times New Roman" w:hAnsi="宋体" w:eastAsia="宋体" w:cs="Times New Roman"/>
                <w:i w:val="0"/>
                <w:iCs w:val="0"/>
                <w:caps w:val="0"/>
                <w:color w:val="auto"/>
                <w:spacing w:val="0"/>
                <w:kern w:val="2"/>
                <w:sz w:val="18"/>
                <w:szCs w:val="18"/>
                <w:lang w:val="en-US" w:eastAsia="zh-CN" w:bidi="ar"/>
              </w:rPr>
              <w:t>数据类别</w:t>
            </w:r>
          </w:p>
        </w:tc>
        <w:tc>
          <w:tcPr>
            <w:tcW w:w="1169" w:type="dxa"/>
            <w:vAlign w:val="center"/>
          </w:tcPr>
          <w:p w14:paraId="75727126">
            <w:pPr>
              <w:keepNext w:val="0"/>
              <w:keepLines w:val="0"/>
              <w:widowControl/>
              <w:suppressLineNumbers w:val="0"/>
              <w:adjustRightInd/>
              <w:spacing w:line="240" w:lineRule="auto"/>
              <w:jc w:val="center"/>
              <w:rPr>
                <w:rFonts w:hint="default" w:ascii="Times New Roman" w:hAnsi="宋体" w:eastAsia="宋体" w:cs="Times New Roman"/>
                <w:color w:val="auto"/>
                <w:sz w:val="18"/>
                <w:szCs w:val="18"/>
                <w:vertAlign w:val="baseline"/>
                <w:lang w:val="en-US" w:eastAsia="zh-CN"/>
              </w:rPr>
            </w:pPr>
            <w:r>
              <w:rPr>
                <w:rFonts w:hint="default" w:ascii="Times New Roman" w:hAnsi="宋体" w:eastAsia="宋体" w:cs="Times New Roman"/>
                <w:i w:val="0"/>
                <w:iCs w:val="0"/>
                <w:caps w:val="0"/>
                <w:color w:val="auto"/>
                <w:spacing w:val="0"/>
                <w:kern w:val="2"/>
                <w:sz w:val="18"/>
                <w:szCs w:val="18"/>
                <w:lang w:val="en-US" w:eastAsia="zh-CN" w:bidi="ar"/>
              </w:rPr>
              <w:t>输入/输出项目</w:t>
            </w:r>
          </w:p>
        </w:tc>
        <w:tc>
          <w:tcPr>
            <w:tcW w:w="1169" w:type="dxa"/>
            <w:vAlign w:val="center"/>
          </w:tcPr>
          <w:p w14:paraId="7F67D2B9">
            <w:pPr>
              <w:keepNext w:val="0"/>
              <w:keepLines w:val="0"/>
              <w:widowControl/>
              <w:suppressLineNumbers w:val="0"/>
              <w:adjustRightInd/>
              <w:spacing w:line="240" w:lineRule="auto"/>
              <w:jc w:val="center"/>
              <w:rPr>
                <w:rFonts w:hint="default" w:ascii="Times New Roman" w:hAnsi="宋体" w:eastAsia="宋体" w:cs="Times New Roman"/>
                <w:color w:val="auto"/>
                <w:sz w:val="18"/>
                <w:szCs w:val="18"/>
                <w:vertAlign w:val="baseline"/>
                <w:lang w:val="en-US" w:eastAsia="zh-CN"/>
              </w:rPr>
            </w:pPr>
            <w:r>
              <w:rPr>
                <w:rFonts w:hint="default" w:ascii="Times New Roman" w:hAnsi="宋体" w:eastAsia="宋体" w:cs="Times New Roman"/>
                <w:i w:val="0"/>
                <w:iCs w:val="0"/>
                <w:caps w:val="0"/>
                <w:color w:val="auto"/>
                <w:spacing w:val="0"/>
                <w:kern w:val="2"/>
                <w:sz w:val="18"/>
                <w:szCs w:val="18"/>
                <w:lang w:val="en-US" w:eastAsia="zh-CN" w:bidi="ar"/>
              </w:rPr>
              <w:t>数量</w:t>
            </w:r>
          </w:p>
        </w:tc>
        <w:tc>
          <w:tcPr>
            <w:tcW w:w="1169" w:type="dxa"/>
            <w:vAlign w:val="center"/>
          </w:tcPr>
          <w:p w14:paraId="2CF9B3CF">
            <w:pPr>
              <w:keepNext w:val="0"/>
              <w:keepLines w:val="0"/>
              <w:widowControl/>
              <w:suppressLineNumbers w:val="0"/>
              <w:adjustRightInd/>
              <w:spacing w:line="240" w:lineRule="auto"/>
              <w:jc w:val="center"/>
              <w:rPr>
                <w:rFonts w:hint="default" w:ascii="Times New Roman" w:hAnsi="宋体" w:eastAsia="宋体" w:cs="Times New Roman"/>
                <w:color w:val="auto"/>
                <w:sz w:val="18"/>
                <w:szCs w:val="18"/>
                <w:vertAlign w:val="baseline"/>
                <w:lang w:val="en-US" w:eastAsia="zh-CN"/>
              </w:rPr>
            </w:pPr>
            <w:r>
              <w:rPr>
                <w:rFonts w:hint="default" w:ascii="Times New Roman" w:hAnsi="宋体" w:eastAsia="宋体" w:cs="Times New Roman"/>
                <w:i w:val="0"/>
                <w:iCs w:val="0"/>
                <w:caps w:val="0"/>
                <w:color w:val="auto"/>
                <w:spacing w:val="0"/>
                <w:kern w:val="2"/>
                <w:sz w:val="18"/>
                <w:szCs w:val="18"/>
                <w:lang w:val="en-US" w:eastAsia="zh-CN" w:bidi="ar"/>
              </w:rPr>
              <w:t>单位</w:t>
            </w:r>
          </w:p>
        </w:tc>
        <w:tc>
          <w:tcPr>
            <w:tcW w:w="1169" w:type="dxa"/>
            <w:vAlign w:val="center"/>
          </w:tcPr>
          <w:p w14:paraId="3E8DABE4">
            <w:pPr>
              <w:keepNext w:val="0"/>
              <w:keepLines w:val="0"/>
              <w:widowControl/>
              <w:suppressLineNumbers w:val="0"/>
              <w:adjustRightInd/>
              <w:spacing w:line="240" w:lineRule="auto"/>
              <w:jc w:val="center"/>
              <w:rPr>
                <w:rFonts w:hint="default" w:ascii="Times New Roman" w:hAnsi="宋体" w:eastAsia="宋体" w:cs="Times New Roman"/>
                <w:color w:val="auto"/>
                <w:sz w:val="18"/>
                <w:szCs w:val="18"/>
                <w:vertAlign w:val="baseline"/>
                <w:lang w:val="en-US" w:eastAsia="zh-CN"/>
              </w:rPr>
            </w:pPr>
            <w:r>
              <w:rPr>
                <w:rFonts w:hint="default" w:ascii="Times New Roman" w:hAnsi="宋体" w:eastAsia="宋体" w:cs="Times New Roman"/>
                <w:i w:val="0"/>
                <w:iCs w:val="0"/>
                <w:caps w:val="0"/>
                <w:color w:val="auto"/>
                <w:spacing w:val="0"/>
                <w:kern w:val="2"/>
                <w:sz w:val="18"/>
                <w:szCs w:val="18"/>
                <w:lang w:val="en-US" w:eastAsia="zh-CN" w:bidi="ar"/>
              </w:rPr>
              <w:t>数据来源</w:t>
            </w:r>
          </w:p>
        </w:tc>
        <w:tc>
          <w:tcPr>
            <w:tcW w:w="1169" w:type="dxa"/>
            <w:vAlign w:val="center"/>
          </w:tcPr>
          <w:p w14:paraId="1A6AF828">
            <w:pPr>
              <w:keepNext w:val="0"/>
              <w:keepLines w:val="0"/>
              <w:widowControl/>
              <w:suppressLineNumbers w:val="0"/>
              <w:adjustRightInd/>
              <w:spacing w:line="240" w:lineRule="auto"/>
              <w:jc w:val="center"/>
              <w:rPr>
                <w:rFonts w:hint="default" w:ascii="Times New Roman" w:hAnsi="宋体" w:eastAsia="宋体" w:cs="Times New Roman"/>
                <w:color w:val="auto"/>
                <w:sz w:val="18"/>
                <w:szCs w:val="18"/>
                <w:vertAlign w:val="baseline"/>
                <w:lang w:val="en-US" w:eastAsia="zh-CN"/>
              </w:rPr>
            </w:pPr>
            <w:r>
              <w:rPr>
                <w:rFonts w:hint="default" w:ascii="Times New Roman" w:hAnsi="宋体" w:eastAsia="宋体" w:cs="Times New Roman"/>
                <w:i w:val="0"/>
                <w:iCs w:val="0"/>
                <w:caps w:val="0"/>
                <w:color w:val="auto"/>
                <w:spacing w:val="0"/>
                <w:kern w:val="2"/>
                <w:sz w:val="18"/>
                <w:szCs w:val="18"/>
                <w:lang w:val="en-US" w:eastAsia="zh-CN" w:bidi="ar"/>
              </w:rPr>
              <w:t>监测方法</w:t>
            </w:r>
          </w:p>
        </w:tc>
        <w:tc>
          <w:tcPr>
            <w:tcW w:w="1170" w:type="dxa"/>
            <w:vAlign w:val="center"/>
          </w:tcPr>
          <w:p w14:paraId="402E05F0">
            <w:pPr>
              <w:keepNext w:val="0"/>
              <w:keepLines w:val="0"/>
              <w:widowControl/>
              <w:suppressLineNumbers w:val="0"/>
              <w:adjustRightInd/>
              <w:spacing w:line="240" w:lineRule="auto"/>
              <w:jc w:val="center"/>
              <w:rPr>
                <w:rFonts w:hint="default" w:ascii="Times New Roman" w:hAnsi="宋体" w:eastAsia="宋体" w:cs="Times New Roman"/>
                <w:color w:val="auto"/>
                <w:sz w:val="18"/>
                <w:szCs w:val="18"/>
                <w:vertAlign w:val="baseline"/>
                <w:lang w:val="en-US" w:eastAsia="zh-CN"/>
              </w:rPr>
            </w:pPr>
            <w:r>
              <w:rPr>
                <w:rFonts w:hint="default" w:ascii="Times New Roman" w:hAnsi="宋体" w:eastAsia="宋体" w:cs="Times New Roman"/>
                <w:i w:val="0"/>
                <w:iCs w:val="0"/>
                <w:caps w:val="0"/>
                <w:color w:val="auto"/>
                <w:spacing w:val="0"/>
                <w:kern w:val="2"/>
                <w:sz w:val="18"/>
                <w:szCs w:val="18"/>
                <w:lang w:val="en-US" w:eastAsia="zh-CN" w:bidi="ar"/>
              </w:rPr>
              <w:t>数据周期</w:t>
            </w:r>
          </w:p>
        </w:tc>
        <w:tc>
          <w:tcPr>
            <w:tcW w:w="1170" w:type="dxa"/>
            <w:vAlign w:val="center"/>
          </w:tcPr>
          <w:p w14:paraId="34BC8A15">
            <w:pPr>
              <w:keepNext w:val="0"/>
              <w:keepLines w:val="0"/>
              <w:widowControl/>
              <w:suppressLineNumbers w:val="0"/>
              <w:adjustRightInd/>
              <w:spacing w:line="240" w:lineRule="auto"/>
              <w:jc w:val="center"/>
              <w:rPr>
                <w:rFonts w:hint="default" w:ascii="Times New Roman" w:hAnsi="宋体" w:eastAsia="宋体" w:cs="Times New Roman"/>
                <w:color w:val="auto"/>
                <w:sz w:val="18"/>
                <w:szCs w:val="18"/>
                <w:vertAlign w:val="baseline"/>
                <w:lang w:val="en-US" w:eastAsia="zh-CN"/>
              </w:rPr>
            </w:pPr>
            <w:r>
              <w:rPr>
                <w:rFonts w:hint="default" w:ascii="Times New Roman" w:hAnsi="宋体" w:eastAsia="宋体" w:cs="Times New Roman"/>
                <w:i w:val="0"/>
                <w:iCs w:val="0"/>
                <w:caps w:val="0"/>
                <w:color w:val="auto"/>
                <w:spacing w:val="0"/>
                <w:kern w:val="2"/>
                <w:sz w:val="18"/>
                <w:szCs w:val="18"/>
                <w:lang w:val="en-US" w:eastAsia="zh-CN" w:bidi="ar"/>
              </w:rPr>
              <w:t>备注</w:t>
            </w:r>
          </w:p>
        </w:tc>
      </w:tr>
      <w:tr w14:paraId="1EC08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9" w:type="dxa"/>
            <w:vAlign w:val="center"/>
          </w:tcPr>
          <w:p w14:paraId="6C26A594">
            <w:pPr>
              <w:keepNext w:val="0"/>
              <w:keepLines w:val="0"/>
              <w:widowControl/>
              <w:suppressLineNumbers w:val="0"/>
              <w:adjustRightInd/>
              <w:spacing w:line="240" w:lineRule="auto"/>
              <w:jc w:val="center"/>
              <w:rPr>
                <w:rFonts w:hint="default" w:ascii="Times New Roman" w:hAnsi="宋体" w:eastAsia="宋体" w:cs="Times New Roman"/>
                <w:color w:val="auto"/>
                <w:sz w:val="18"/>
                <w:szCs w:val="18"/>
                <w:vertAlign w:val="baseline"/>
                <w:lang w:val="en-US" w:eastAsia="zh-CN"/>
              </w:rPr>
            </w:pPr>
            <w:r>
              <w:rPr>
                <w:rFonts w:hint="default" w:ascii="Times New Roman" w:hAnsi="宋体" w:eastAsia="宋体" w:cs="Times New Roman"/>
                <w:i w:val="0"/>
                <w:iCs w:val="0"/>
                <w:caps w:val="0"/>
                <w:color w:val="auto"/>
                <w:spacing w:val="0"/>
                <w:kern w:val="2"/>
                <w:sz w:val="18"/>
                <w:szCs w:val="18"/>
                <w:lang w:val="en-US" w:eastAsia="zh-CN" w:bidi="ar"/>
              </w:rPr>
              <w:t>输入</w:t>
            </w:r>
          </w:p>
        </w:tc>
        <w:tc>
          <w:tcPr>
            <w:tcW w:w="1169" w:type="dxa"/>
            <w:vAlign w:val="center"/>
          </w:tcPr>
          <w:p w14:paraId="18FFED03">
            <w:pPr>
              <w:keepNext w:val="0"/>
              <w:keepLines w:val="0"/>
              <w:widowControl/>
              <w:suppressLineNumbers w:val="0"/>
              <w:adjustRightInd/>
              <w:spacing w:line="240" w:lineRule="auto"/>
              <w:jc w:val="center"/>
              <w:rPr>
                <w:rFonts w:hint="default" w:ascii="Times New Roman" w:hAnsi="宋体" w:eastAsia="宋体" w:cs="Times New Roman"/>
                <w:color w:val="auto"/>
                <w:sz w:val="18"/>
                <w:szCs w:val="18"/>
                <w:vertAlign w:val="baseline"/>
                <w:lang w:val="en-US" w:eastAsia="zh-CN"/>
              </w:rPr>
            </w:pPr>
            <w:r>
              <w:rPr>
                <w:rFonts w:hint="default" w:ascii="Times New Roman" w:hAnsi="宋体" w:eastAsia="宋体" w:cs="Times New Roman"/>
                <w:i w:val="0"/>
                <w:iCs w:val="0"/>
                <w:caps w:val="0"/>
                <w:color w:val="auto"/>
                <w:spacing w:val="0"/>
                <w:kern w:val="2"/>
                <w:sz w:val="18"/>
                <w:szCs w:val="18"/>
                <w:lang w:val="en-US" w:eastAsia="zh-CN" w:bidi="ar"/>
              </w:rPr>
              <w:t>电力消耗</w:t>
            </w:r>
          </w:p>
        </w:tc>
        <w:tc>
          <w:tcPr>
            <w:tcW w:w="1169" w:type="dxa"/>
            <w:vAlign w:val="center"/>
          </w:tcPr>
          <w:p w14:paraId="25950B14">
            <w:pPr>
              <w:adjustRightInd/>
              <w:spacing w:line="240" w:lineRule="auto"/>
              <w:jc w:val="center"/>
              <w:rPr>
                <w:rFonts w:hint="default" w:ascii="Times New Roman" w:hAnsi="宋体" w:eastAsia="宋体" w:cs="Times New Roman"/>
                <w:color w:val="auto"/>
                <w:sz w:val="18"/>
                <w:szCs w:val="18"/>
                <w:vertAlign w:val="baseline"/>
                <w:lang w:val="en-US" w:eastAsia="zh-CN"/>
              </w:rPr>
            </w:pPr>
          </w:p>
        </w:tc>
        <w:tc>
          <w:tcPr>
            <w:tcW w:w="1169" w:type="dxa"/>
            <w:vAlign w:val="center"/>
          </w:tcPr>
          <w:p w14:paraId="12DD0887">
            <w:pPr>
              <w:keepNext w:val="0"/>
              <w:keepLines w:val="0"/>
              <w:widowControl/>
              <w:suppressLineNumbers w:val="0"/>
              <w:adjustRightInd/>
              <w:spacing w:line="240" w:lineRule="auto"/>
              <w:jc w:val="center"/>
              <w:rPr>
                <w:rFonts w:hint="default" w:ascii="Times New Roman" w:hAnsi="宋体" w:eastAsia="宋体" w:cs="Times New Roman"/>
                <w:color w:val="auto"/>
                <w:sz w:val="18"/>
                <w:szCs w:val="18"/>
                <w:vertAlign w:val="baseline"/>
                <w:lang w:val="en-US" w:eastAsia="zh-CN"/>
              </w:rPr>
            </w:pPr>
            <w:r>
              <w:rPr>
                <w:rFonts w:hint="default" w:ascii="Times New Roman" w:hAnsi="宋体" w:eastAsia="宋体" w:cs="Times New Roman"/>
                <w:i w:val="0"/>
                <w:iCs w:val="0"/>
                <w:caps w:val="0"/>
                <w:color w:val="auto"/>
                <w:spacing w:val="0"/>
                <w:kern w:val="2"/>
                <w:sz w:val="18"/>
                <w:szCs w:val="18"/>
                <w:lang w:val="en-US" w:eastAsia="zh-CN" w:bidi="ar"/>
              </w:rPr>
              <w:t>kWh</w:t>
            </w:r>
          </w:p>
        </w:tc>
        <w:tc>
          <w:tcPr>
            <w:tcW w:w="1169" w:type="dxa"/>
            <w:vAlign w:val="center"/>
          </w:tcPr>
          <w:p w14:paraId="407D9581">
            <w:pPr>
              <w:keepNext w:val="0"/>
              <w:keepLines w:val="0"/>
              <w:widowControl/>
              <w:suppressLineNumbers w:val="0"/>
              <w:adjustRightInd/>
              <w:spacing w:line="240" w:lineRule="auto"/>
              <w:jc w:val="center"/>
              <w:rPr>
                <w:rFonts w:hint="default" w:ascii="Times New Roman" w:hAnsi="宋体" w:eastAsia="宋体" w:cs="Times New Roman"/>
                <w:color w:val="auto"/>
                <w:sz w:val="18"/>
                <w:szCs w:val="18"/>
                <w:vertAlign w:val="baseline"/>
                <w:lang w:val="en-US" w:eastAsia="zh-CN"/>
              </w:rPr>
            </w:pPr>
            <w:r>
              <w:rPr>
                <w:rFonts w:hint="default" w:ascii="Times New Roman" w:hAnsi="宋体" w:eastAsia="宋体" w:cs="Times New Roman"/>
                <w:i w:val="0"/>
                <w:iCs w:val="0"/>
                <w:caps w:val="0"/>
                <w:color w:val="auto"/>
                <w:spacing w:val="0"/>
                <w:kern w:val="2"/>
                <w:sz w:val="18"/>
                <w:szCs w:val="18"/>
                <w:lang w:val="en-US" w:eastAsia="zh-CN" w:bidi="ar"/>
              </w:rPr>
              <w:t>电表</w:t>
            </w:r>
          </w:p>
        </w:tc>
        <w:tc>
          <w:tcPr>
            <w:tcW w:w="1169" w:type="dxa"/>
            <w:vAlign w:val="center"/>
          </w:tcPr>
          <w:p w14:paraId="4D9BF9B7">
            <w:pPr>
              <w:keepNext w:val="0"/>
              <w:keepLines w:val="0"/>
              <w:widowControl/>
              <w:suppressLineNumbers w:val="0"/>
              <w:adjustRightInd/>
              <w:spacing w:line="240" w:lineRule="auto"/>
              <w:jc w:val="center"/>
              <w:rPr>
                <w:rFonts w:hint="default" w:ascii="Times New Roman" w:hAnsi="宋体" w:eastAsia="宋体" w:cs="Times New Roman"/>
                <w:color w:val="auto"/>
                <w:sz w:val="18"/>
                <w:szCs w:val="18"/>
                <w:vertAlign w:val="baseline"/>
                <w:lang w:val="en-US" w:eastAsia="zh-CN"/>
              </w:rPr>
            </w:pPr>
            <w:r>
              <w:rPr>
                <w:rFonts w:hint="default" w:ascii="Times New Roman" w:hAnsi="宋体" w:eastAsia="宋体" w:cs="Times New Roman"/>
                <w:i w:val="0"/>
                <w:iCs w:val="0"/>
                <w:caps w:val="0"/>
                <w:color w:val="auto"/>
                <w:spacing w:val="0"/>
                <w:kern w:val="2"/>
                <w:sz w:val="18"/>
                <w:szCs w:val="18"/>
                <w:lang w:val="en-US" w:eastAsia="zh-CN" w:bidi="ar"/>
              </w:rPr>
              <w:t>连续计量</w:t>
            </w:r>
          </w:p>
        </w:tc>
        <w:tc>
          <w:tcPr>
            <w:tcW w:w="1170" w:type="dxa"/>
            <w:vAlign w:val="center"/>
          </w:tcPr>
          <w:p w14:paraId="3AA208D7">
            <w:pPr>
              <w:keepNext w:val="0"/>
              <w:keepLines w:val="0"/>
              <w:widowControl/>
              <w:suppressLineNumbers w:val="0"/>
              <w:adjustRightInd/>
              <w:spacing w:line="240" w:lineRule="auto"/>
              <w:jc w:val="center"/>
              <w:rPr>
                <w:rFonts w:hint="default" w:ascii="Times New Roman" w:hAnsi="宋体" w:eastAsia="宋体" w:cs="Times New Roman"/>
                <w:color w:val="auto"/>
                <w:sz w:val="18"/>
                <w:szCs w:val="18"/>
                <w:vertAlign w:val="baseline"/>
                <w:lang w:val="en-US" w:eastAsia="zh-CN"/>
              </w:rPr>
            </w:pPr>
            <w:r>
              <w:rPr>
                <w:rFonts w:hint="default" w:ascii="Times New Roman" w:hAnsi="宋体" w:eastAsia="宋体" w:cs="Times New Roman"/>
                <w:i w:val="0"/>
                <w:iCs w:val="0"/>
                <w:caps w:val="0"/>
                <w:color w:val="auto"/>
                <w:spacing w:val="0"/>
                <w:kern w:val="2"/>
                <w:sz w:val="18"/>
                <w:szCs w:val="18"/>
                <w:lang w:val="en-US" w:eastAsia="zh-CN" w:bidi="ar"/>
              </w:rPr>
              <w:t>202X年</w:t>
            </w:r>
          </w:p>
        </w:tc>
        <w:tc>
          <w:tcPr>
            <w:tcW w:w="1170" w:type="dxa"/>
            <w:vAlign w:val="center"/>
          </w:tcPr>
          <w:p w14:paraId="592EA6D2">
            <w:pPr>
              <w:adjustRightInd/>
              <w:spacing w:line="240" w:lineRule="auto"/>
              <w:jc w:val="center"/>
              <w:rPr>
                <w:rFonts w:hint="default" w:ascii="Times New Roman" w:hAnsi="宋体" w:eastAsia="宋体" w:cs="Times New Roman"/>
                <w:color w:val="auto"/>
                <w:sz w:val="18"/>
                <w:szCs w:val="18"/>
                <w:vertAlign w:val="baseline"/>
                <w:lang w:val="en-US" w:eastAsia="zh-CN"/>
              </w:rPr>
            </w:pPr>
          </w:p>
        </w:tc>
      </w:tr>
      <w:tr w14:paraId="1ABA6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9" w:type="dxa"/>
            <w:vAlign w:val="center"/>
          </w:tcPr>
          <w:p w14:paraId="3A823F44">
            <w:pPr>
              <w:keepNext w:val="0"/>
              <w:keepLines w:val="0"/>
              <w:widowControl/>
              <w:suppressLineNumbers w:val="0"/>
              <w:adjustRightInd/>
              <w:spacing w:line="240" w:lineRule="auto"/>
              <w:jc w:val="center"/>
              <w:rPr>
                <w:rFonts w:hint="default" w:ascii="Times New Roman" w:hAnsi="宋体" w:eastAsia="宋体" w:cs="Times New Roman"/>
                <w:color w:val="auto"/>
                <w:sz w:val="18"/>
                <w:szCs w:val="18"/>
                <w:vertAlign w:val="baseline"/>
                <w:lang w:val="en-US" w:eastAsia="zh-CN"/>
              </w:rPr>
            </w:pPr>
            <w:r>
              <w:rPr>
                <w:rFonts w:hint="default" w:ascii="Times New Roman" w:hAnsi="宋体" w:eastAsia="宋体" w:cs="Times New Roman"/>
                <w:i w:val="0"/>
                <w:iCs w:val="0"/>
                <w:caps w:val="0"/>
                <w:color w:val="auto"/>
                <w:spacing w:val="0"/>
                <w:kern w:val="2"/>
                <w:sz w:val="18"/>
                <w:szCs w:val="18"/>
                <w:lang w:val="en-US" w:eastAsia="zh-CN" w:bidi="ar"/>
              </w:rPr>
              <w:t>输入</w:t>
            </w:r>
          </w:p>
        </w:tc>
        <w:tc>
          <w:tcPr>
            <w:tcW w:w="1169" w:type="dxa"/>
            <w:vAlign w:val="center"/>
          </w:tcPr>
          <w:p w14:paraId="2DF34619">
            <w:pPr>
              <w:keepNext w:val="0"/>
              <w:keepLines w:val="0"/>
              <w:widowControl/>
              <w:suppressLineNumbers w:val="0"/>
              <w:adjustRightInd/>
              <w:spacing w:line="240" w:lineRule="auto"/>
              <w:jc w:val="center"/>
              <w:rPr>
                <w:rFonts w:hint="default" w:ascii="Times New Roman" w:hAnsi="宋体" w:eastAsia="宋体" w:cs="Times New Roman"/>
                <w:color w:val="auto"/>
                <w:sz w:val="18"/>
                <w:szCs w:val="18"/>
                <w:vertAlign w:val="baseline"/>
                <w:lang w:val="en-US" w:eastAsia="zh-CN"/>
              </w:rPr>
            </w:pPr>
            <w:r>
              <w:rPr>
                <w:rFonts w:hint="default" w:ascii="Times New Roman" w:hAnsi="宋体" w:eastAsia="宋体" w:cs="Times New Roman"/>
                <w:i w:val="0"/>
                <w:iCs w:val="0"/>
                <w:caps w:val="0"/>
                <w:color w:val="auto"/>
                <w:spacing w:val="0"/>
                <w:kern w:val="2"/>
                <w:sz w:val="18"/>
                <w:szCs w:val="18"/>
                <w:lang w:val="en-US" w:eastAsia="zh-CN" w:bidi="ar"/>
              </w:rPr>
              <w:t>天然气消耗</w:t>
            </w:r>
          </w:p>
        </w:tc>
        <w:tc>
          <w:tcPr>
            <w:tcW w:w="1169" w:type="dxa"/>
            <w:vAlign w:val="center"/>
          </w:tcPr>
          <w:p w14:paraId="711FB02B">
            <w:pPr>
              <w:adjustRightInd/>
              <w:spacing w:line="240" w:lineRule="auto"/>
              <w:jc w:val="center"/>
              <w:rPr>
                <w:rFonts w:hint="default" w:ascii="Times New Roman" w:hAnsi="宋体" w:eastAsia="宋体" w:cs="Times New Roman"/>
                <w:color w:val="auto"/>
                <w:sz w:val="18"/>
                <w:szCs w:val="18"/>
                <w:vertAlign w:val="baseline"/>
                <w:lang w:val="en-US" w:eastAsia="zh-CN"/>
              </w:rPr>
            </w:pPr>
          </w:p>
        </w:tc>
        <w:tc>
          <w:tcPr>
            <w:tcW w:w="1169" w:type="dxa"/>
            <w:vAlign w:val="center"/>
          </w:tcPr>
          <w:p w14:paraId="5CA02881">
            <w:pPr>
              <w:keepNext w:val="0"/>
              <w:keepLines w:val="0"/>
              <w:widowControl/>
              <w:suppressLineNumbers w:val="0"/>
              <w:adjustRightInd/>
              <w:spacing w:line="240" w:lineRule="auto"/>
              <w:jc w:val="center"/>
              <w:rPr>
                <w:rFonts w:hint="default" w:ascii="Times New Roman" w:hAnsi="宋体" w:eastAsia="宋体" w:cs="Times New Roman"/>
                <w:color w:val="auto"/>
                <w:sz w:val="18"/>
                <w:szCs w:val="18"/>
                <w:vertAlign w:val="baseline"/>
                <w:lang w:val="en-US" w:eastAsia="zh-CN"/>
              </w:rPr>
            </w:pPr>
            <w:r>
              <w:rPr>
                <w:rFonts w:hint="default" w:ascii="Times New Roman" w:hAnsi="宋体" w:eastAsia="宋体" w:cs="Times New Roman"/>
                <w:i w:val="0"/>
                <w:iCs w:val="0"/>
                <w:caps w:val="0"/>
                <w:color w:val="auto"/>
                <w:spacing w:val="0"/>
                <w:kern w:val="2"/>
                <w:sz w:val="18"/>
                <w:szCs w:val="18"/>
                <w:lang w:val="en-US" w:eastAsia="zh-CN" w:bidi="ar"/>
              </w:rPr>
              <w:t>m³</w:t>
            </w:r>
          </w:p>
        </w:tc>
        <w:tc>
          <w:tcPr>
            <w:tcW w:w="1169" w:type="dxa"/>
            <w:vAlign w:val="center"/>
          </w:tcPr>
          <w:p w14:paraId="1E71506D">
            <w:pPr>
              <w:keepNext w:val="0"/>
              <w:keepLines w:val="0"/>
              <w:widowControl/>
              <w:suppressLineNumbers w:val="0"/>
              <w:adjustRightInd/>
              <w:spacing w:line="240" w:lineRule="auto"/>
              <w:jc w:val="center"/>
              <w:rPr>
                <w:rFonts w:hint="default" w:ascii="Times New Roman" w:hAnsi="宋体" w:eastAsia="宋体" w:cs="Times New Roman"/>
                <w:color w:val="auto"/>
                <w:sz w:val="18"/>
                <w:szCs w:val="18"/>
                <w:vertAlign w:val="baseline"/>
                <w:lang w:val="en-US" w:eastAsia="zh-CN"/>
              </w:rPr>
            </w:pPr>
            <w:r>
              <w:rPr>
                <w:rFonts w:hint="default" w:ascii="Times New Roman" w:hAnsi="宋体" w:eastAsia="宋体" w:cs="Times New Roman"/>
                <w:i w:val="0"/>
                <w:iCs w:val="0"/>
                <w:caps w:val="0"/>
                <w:color w:val="auto"/>
                <w:spacing w:val="0"/>
                <w:kern w:val="2"/>
                <w:sz w:val="18"/>
                <w:szCs w:val="18"/>
                <w:lang w:val="en-US" w:eastAsia="zh-CN" w:bidi="ar"/>
              </w:rPr>
              <w:t>流量计</w:t>
            </w:r>
          </w:p>
        </w:tc>
        <w:tc>
          <w:tcPr>
            <w:tcW w:w="1169" w:type="dxa"/>
            <w:vAlign w:val="center"/>
          </w:tcPr>
          <w:p w14:paraId="6A940379">
            <w:pPr>
              <w:keepNext w:val="0"/>
              <w:keepLines w:val="0"/>
              <w:widowControl/>
              <w:suppressLineNumbers w:val="0"/>
              <w:adjustRightInd/>
              <w:spacing w:line="240" w:lineRule="auto"/>
              <w:jc w:val="center"/>
              <w:rPr>
                <w:rFonts w:hint="default" w:ascii="Times New Roman" w:hAnsi="宋体" w:eastAsia="宋体" w:cs="Times New Roman"/>
                <w:color w:val="auto"/>
                <w:sz w:val="18"/>
                <w:szCs w:val="18"/>
                <w:vertAlign w:val="baseline"/>
                <w:lang w:val="en-US" w:eastAsia="zh-CN"/>
              </w:rPr>
            </w:pPr>
            <w:r>
              <w:rPr>
                <w:rFonts w:hint="default" w:ascii="Times New Roman" w:hAnsi="宋体" w:eastAsia="宋体" w:cs="Times New Roman"/>
                <w:i w:val="0"/>
                <w:iCs w:val="0"/>
                <w:caps w:val="0"/>
                <w:color w:val="auto"/>
                <w:spacing w:val="0"/>
                <w:kern w:val="2"/>
                <w:sz w:val="18"/>
                <w:szCs w:val="18"/>
                <w:lang w:val="en-US" w:eastAsia="zh-CN" w:bidi="ar"/>
              </w:rPr>
              <w:t>连续计量</w:t>
            </w:r>
          </w:p>
        </w:tc>
        <w:tc>
          <w:tcPr>
            <w:tcW w:w="1170" w:type="dxa"/>
            <w:vAlign w:val="center"/>
          </w:tcPr>
          <w:p w14:paraId="4891F10E">
            <w:pPr>
              <w:keepNext w:val="0"/>
              <w:keepLines w:val="0"/>
              <w:widowControl/>
              <w:suppressLineNumbers w:val="0"/>
              <w:adjustRightInd/>
              <w:spacing w:line="240" w:lineRule="auto"/>
              <w:jc w:val="center"/>
              <w:rPr>
                <w:rFonts w:hint="default" w:ascii="Times New Roman" w:hAnsi="宋体" w:eastAsia="宋体" w:cs="Times New Roman"/>
                <w:color w:val="auto"/>
                <w:sz w:val="18"/>
                <w:szCs w:val="18"/>
                <w:vertAlign w:val="baseline"/>
                <w:lang w:val="en-US" w:eastAsia="zh-CN"/>
              </w:rPr>
            </w:pPr>
            <w:r>
              <w:rPr>
                <w:rFonts w:hint="default" w:ascii="Times New Roman" w:hAnsi="宋体" w:eastAsia="宋体" w:cs="Times New Roman"/>
                <w:i w:val="0"/>
                <w:iCs w:val="0"/>
                <w:caps w:val="0"/>
                <w:color w:val="auto"/>
                <w:spacing w:val="0"/>
                <w:kern w:val="2"/>
                <w:sz w:val="18"/>
                <w:szCs w:val="18"/>
                <w:lang w:val="en-US" w:eastAsia="zh-CN" w:bidi="ar"/>
              </w:rPr>
              <w:t>202X年</w:t>
            </w:r>
          </w:p>
        </w:tc>
        <w:tc>
          <w:tcPr>
            <w:tcW w:w="1170" w:type="dxa"/>
            <w:vAlign w:val="center"/>
          </w:tcPr>
          <w:p w14:paraId="1B77F58B">
            <w:pPr>
              <w:adjustRightInd/>
              <w:spacing w:line="240" w:lineRule="auto"/>
              <w:jc w:val="center"/>
              <w:rPr>
                <w:rFonts w:hint="default" w:ascii="Times New Roman" w:hAnsi="宋体" w:eastAsia="宋体" w:cs="Times New Roman"/>
                <w:color w:val="auto"/>
                <w:sz w:val="18"/>
                <w:szCs w:val="18"/>
                <w:vertAlign w:val="baseline"/>
                <w:lang w:val="en-US" w:eastAsia="zh-CN"/>
              </w:rPr>
            </w:pPr>
          </w:p>
        </w:tc>
      </w:tr>
      <w:tr w14:paraId="24E55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9" w:type="dxa"/>
            <w:vAlign w:val="center"/>
          </w:tcPr>
          <w:p w14:paraId="58A6BB00">
            <w:pPr>
              <w:keepNext w:val="0"/>
              <w:keepLines w:val="0"/>
              <w:widowControl/>
              <w:suppressLineNumbers w:val="0"/>
              <w:adjustRightInd/>
              <w:spacing w:line="240" w:lineRule="auto"/>
              <w:jc w:val="center"/>
              <w:rPr>
                <w:rFonts w:hint="default" w:ascii="Times New Roman" w:hAnsi="宋体" w:eastAsia="宋体" w:cs="Times New Roman"/>
                <w:color w:val="auto"/>
                <w:sz w:val="18"/>
                <w:szCs w:val="18"/>
                <w:vertAlign w:val="baseline"/>
                <w:lang w:val="en-US" w:eastAsia="zh-CN"/>
              </w:rPr>
            </w:pPr>
            <w:r>
              <w:rPr>
                <w:rFonts w:hint="default" w:ascii="Times New Roman" w:hAnsi="宋体" w:eastAsia="宋体" w:cs="Times New Roman"/>
                <w:i w:val="0"/>
                <w:iCs w:val="0"/>
                <w:caps w:val="0"/>
                <w:color w:val="auto"/>
                <w:spacing w:val="0"/>
                <w:kern w:val="2"/>
                <w:sz w:val="18"/>
                <w:szCs w:val="18"/>
                <w:lang w:val="en-US" w:eastAsia="zh-CN" w:bidi="ar"/>
              </w:rPr>
              <w:t>输入</w:t>
            </w:r>
          </w:p>
        </w:tc>
        <w:tc>
          <w:tcPr>
            <w:tcW w:w="1169" w:type="dxa"/>
            <w:vAlign w:val="center"/>
          </w:tcPr>
          <w:p w14:paraId="69665055">
            <w:pPr>
              <w:keepNext w:val="0"/>
              <w:keepLines w:val="0"/>
              <w:widowControl/>
              <w:suppressLineNumbers w:val="0"/>
              <w:adjustRightInd/>
              <w:spacing w:line="240" w:lineRule="auto"/>
              <w:jc w:val="center"/>
              <w:rPr>
                <w:rFonts w:hint="default" w:ascii="Times New Roman" w:hAnsi="宋体" w:eastAsia="宋体" w:cs="Times New Roman"/>
                <w:color w:val="auto"/>
                <w:sz w:val="18"/>
                <w:szCs w:val="18"/>
                <w:vertAlign w:val="baseline"/>
                <w:lang w:val="en-US" w:eastAsia="zh-CN"/>
              </w:rPr>
            </w:pPr>
            <w:r>
              <w:rPr>
                <w:rFonts w:hint="default" w:ascii="Times New Roman" w:hAnsi="宋体" w:eastAsia="宋体" w:cs="Times New Roman"/>
                <w:i w:val="0"/>
                <w:iCs w:val="0"/>
                <w:caps w:val="0"/>
                <w:color w:val="auto"/>
                <w:spacing w:val="0"/>
                <w:kern w:val="2"/>
                <w:sz w:val="18"/>
                <w:szCs w:val="18"/>
                <w:lang w:val="en-US" w:eastAsia="zh-CN" w:bidi="ar"/>
              </w:rPr>
              <w:t>柴油/重油消耗</w:t>
            </w:r>
          </w:p>
        </w:tc>
        <w:tc>
          <w:tcPr>
            <w:tcW w:w="1169" w:type="dxa"/>
            <w:vAlign w:val="center"/>
          </w:tcPr>
          <w:p w14:paraId="6FE89C1B">
            <w:pPr>
              <w:adjustRightInd/>
              <w:spacing w:line="240" w:lineRule="auto"/>
              <w:jc w:val="center"/>
              <w:rPr>
                <w:rFonts w:hint="default" w:ascii="Times New Roman" w:hAnsi="宋体" w:eastAsia="宋体" w:cs="Times New Roman"/>
                <w:color w:val="auto"/>
                <w:sz w:val="18"/>
                <w:szCs w:val="18"/>
                <w:vertAlign w:val="baseline"/>
                <w:lang w:val="en-US" w:eastAsia="zh-CN"/>
              </w:rPr>
            </w:pPr>
          </w:p>
        </w:tc>
        <w:tc>
          <w:tcPr>
            <w:tcW w:w="1169" w:type="dxa"/>
            <w:vAlign w:val="center"/>
          </w:tcPr>
          <w:p w14:paraId="721007DE">
            <w:pPr>
              <w:keepNext w:val="0"/>
              <w:keepLines w:val="0"/>
              <w:widowControl/>
              <w:suppressLineNumbers w:val="0"/>
              <w:adjustRightInd/>
              <w:spacing w:line="240" w:lineRule="auto"/>
              <w:jc w:val="center"/>
              <w:rPr>
                <w:rFonts w:hint="default" w:ascii="Times New Roman" w:hAnsi="宋体" w:eastAsia="宋体" w:cs="Times New Roman"/>
                <w:color w:val="auto"/>
                <w:sz w:val="18"/>
                <w:szCs w:val="18"/>
                <w:vertAlign w:val="baseline"/>
                <w:lang w:val="en-US" w:eastAsia="zh-CN"/>
              </w:rPr>
            </w:pPr>
            <w:r>
              <w:rPr>
                <w:rFonts w:hint="default" w:ascii="Times New Roman" w:hAnsi="宋体" w:eastAsia="宋体" w:cs="Times New Roman"/>
                <w:i w:val="0"/>
                <w:iCs w:val="0"/>
                <w:caps w:val="0"/>
                <w:color w:val="auto"/>
                <w:spacing w:val="0"/>
                <w:kern w:val="2"/>
                <w:sz w:val="18"/>
                <w:szCs w:val="18"/>
                <w:lang w:val="en-US" w:eastAsia="zh-CN" w:bidi="ar"/>
              </w:rPr>
              <w:t>t</w:t>
            </w:r>
          </w:p>
        </w:tc>
        <w:tc>
          <w:tcPr>
            <w:tcW w:w="1169" w:type="dxa"/>
            <w:vAlign w:val="center"/>
          </w:tcPr>
          <w:p w14:paraId="257DBB6A">
            <w:pPr>
              <w:keepNext w:val="0"/>
              <w:keepLines w:val="0"/>
              <w:widowControl/>
              <w:suppressLineNumbers w:val="0"/>
              <w:adjustRightInd/>
              <w:spacing w:line="240" w:lineRule="auto"/>
              <w:jc w:val="center"/>
              <w:rPr>
                <w:rFonts w:hint="default" w:ascii="Times New Roman" w:hAnsi="宋体" w:eastAsia="宋体" w:cs="Times New Roman"/>
                <w:color w:val="auto"/>
                <w:sz w:val="18"/>
                <w:szCs w:val="18"/>
                <w:vertAlign w:val="baseline"/>
                <w:lang w:val="en-US" w:eastAsia="zh-CN"/>
              </w:rPr>
            </w:pPr>
            <w:r>
              <w:rPr>
                <w:rFonts w:hint="default" w:ascii="Times New Roman" w:hAnsi="宋体" w:eastAsia="宋体" w:cs="Times New Roman"/>
                <w:i w:val="0"/>
                <w:iCs w:val="0"/>
                <w:caps w:val="0"/>
                <w:color w:val="auto"/>
                <w:spacing w:val="0"/>
                <w:kern w:val="2"/>
                <w:sz w:val="18"/>
                <w:szCs w:val="18"/>
                <w:lang w:val="en-US" w:eastAsia="zh-CN" w:bidi="ar"/>
              </w:rPr>
              <w:t>流量计</w:t>
            </w:r>
          </w:p>
        </w:tc>
        <w:tc>
          <w:tcPr>
            <w:tcW w:w="1169" w:type="dxa"/>
            <w:vAlign w:val="center"/>
          </w:tcPr>
          <w:p w14:paraId="15A7E61E">
            <w:pPr>
              <w:keepNext w:val="0"/>
              <w:keepLines w:val="0"/>
              <w:widowControl/>
              <w:suppressLineNumbers w:val="0"/>
              <w:adjustRightInd/>
              <w:spacing w:line="240" w:lineRule="auto"/>
              <w:jc w:val="center"/>
              <w:rPr>
                <w:rFonts w:hint="default" w:ascii="Times New Roman" w:hAnsi="宋体" w:eastAsia="宋体" w:cs="Times New Roman"/>
                <w:color w:val="auto"/>
                <w:sz w:val="18"/>
                <w:szCs w:val="18"/>
                <w:vertAlign w:val="baseline"/>
                <w:lang w:val="en-US" w:eastAsia="zh-CN"/>
              </w:rPr>
            </w:pPr>
            <w:r>
              <w:rPr>
                <w:rFonts w:hint="default" w:ascii="Times New Roman" w:hAnsi="宋体" w:eastAsia="宋体" w:cs="Times New Roman"/>
                <w:i w:val="0"/>
                <w:iCs w:val="0"/>
                <w:caps w:val="0"/>
                <w:color w:val="auto"/>
                <w:spacing w:val="0"/>
                <w:kern w:val="2"/>
                <w:sz w:val="18"/>
                <w:szCs w:val="18"/>
                <w:lang w:val="en-US" w:eastAsia="zh-CN" w:bidi="ar"/>
              </w:rPr>
              <w:t>连续计量</w:t>
            </w:r>
          </w:p>
        </w:tc>
        <w:tc>
          <w:tcPr>
            <w:tcW w:w="1170" w:type="dxa"/>
            <w:vAlign w:val="center"/>
          </w:tcPr>
          <w:p w14:paraId="60EE168A">
            <w:pPr>
              <w:keepNext w:val="0"/>
              <w:keepLines w:val="0"/>
              <w:widowControl/>
              <w:suppressLineNumbers w:val="0"/>
              <w:adjustRightInd/>
              <w:spacing w:line="240" w:lineRule="auto"/>
              <w:jc w:val="center"/>
              <w:rPr>
                <w:rFonts w:hint="default" w:ascii="Times New Roman" w:hAnsi="宋体" w:eastAsia="宋体" w:cs="Times New Roman"/>
                <w:color w:val="auto"/>
                <w:sz w:val="18"/>
                <w:szCs w:val="18"/>
                <w:vertAlign w:val="baseline"/>
                <w:lang w:val="en-US" w:eastAsia="zh-CN"/>
              </w:rPr>
            </w:pPr>
            <w:r>
              <w:rPr>
                <w:rFonts w:hint="default" w:ascii="Times New Roman" w:hAnsi="宋体" w:eastAsia="宋体" w:cs="Times New Roman"/>
                <w:i w:val="0"/>
                <w:iCs w:val="0"/>
                <w:caps w:val="0"/>
                <w:color w:val="auto"/>
                <w:spacing w:val="0"/>
                <w:kern w:val="2"/>
                <w:sz w:val="18"/>
                <w:szCs w:val="18"/>
                <w:lang w:val="en-US" w:eastAsia="zh-CN" w:bidi="ar"/>
              </w:rPr>
              <w:t>202X年</w:t>
            </w:r>
          </w:p>
        </w:tc>
        <w:tc>
          <w:tcPr>
            <w:tcW w:w="1170" w:type="dxa"/>
            <w:vAlign w:val="center"/>
          </w:tcPr>
          <w:p w14:paraId="5CCEB04D">
            <w:pPr>
              <w:adjustRightInd/>
              <w:spacing w:line="240" w:lineRule="auto"/>
              <w:jc w:val="center"/>
              <w:rPr>
                <w:rFonts w:hint="default" w:ascii="Times New Roman" w:hAnsi="宋体" w:eastAsia="宋体" w:cs="Times New Roman"/>
                <w:color w:val="auto"/>
                <w:sz w:val="18"/>
                <w:szCs w:val="18"/>
                <w:vertAlign w:val="baseline"/>
                <w:lang w:val="en-US" w:eastAsia="zh-CN"/>
              </w:rPr>
            </w:pPr>
          </w:p>
        </w:tc>
      </w:tr>
      <w:tr w14:paraId="55881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9" w:type="dxa"/>
            <w:vAlign w:val="center"/>
          </w:tcPr>
          <w:p w14:paraId="0DBAC6AB">
            <w:pPr>
              <w:keepNext w:val="0"/>
              <w:keepLines w:val="0"/>
              <w:widowControl/>
              <w:suppressLineNumbers w:val="0"/>
              <w:adjustRightInd/>
              <w:spacing w:line="240" w:lineRule="auto"/>
              <w:jc w:val="center"/>
              <w:rPr>
                <w:rFonts w:hint="default" w:ascii="Times New Roman" w:hAnsi="宋体" w:eastAsia="宋体" w:cs="Times New Roman"/>
                <w:color w:val="auto"/>
                <w:sz w:val="18"/>
                <w:szCs w:val="18"/>
                <w:vertAlign w:val="baseline"/>
                <w:lang w:val="en-US" w:eastAsia="zh-CN"/>
              </w:rPr>
            </w:pPr>
            <w:r>
              <w:rPr>
                <w:rFonts w:hint="default" w:ascii="Times New Roman" w:hAnsi="宋体" w:eastAsia="宋体" w:cs="Times New Roman"/>
                <w:i w:val="0"/>
                <w:iCs w:val="0"/>
                <w:caps w:val="0"/>
                <w:color w:val="auto"/>
                <w:spacing w:val="0"/>
                <w:kern w:val="2"/>
                <w:sz w:val="18"/>
                <w:szCs w:val="18"/>
                <w:lang w:val="en-US" w:eastAsia="zh-CN" w:bidi="ar"/>
              </w:rPr>
              <w:t>输入</w:t>
            </w:r>
          </w:p>
        </w:tc>
        <w:tc>
          <w:tcPr>
            <w:tcW w:w="1169" w:type="dxa"/>
            <w:vAlign w:val="center"/>
          </w:tcPr>
          <w:p w14:paraId="1FAF5A27">
            <w:pPr>
              <w:keepNext w:val="0"/>
              <w:keepLines w:val="0"/>
              <w:widowControl/>
              <w:suppressLineNumbers w:val="0"/>
              <w:adjustRightInd/>
              <w:spacing w:line="240" w:lineRule="auto"/>
              <w:jc w:val="center"/>
              <w:rPr>
                <w:rFonts w:hint="default" w:ascii="Times New Roman" w:hAnsi="宋体" w:eastAsia="宋体" w:cs="Times New Roman"/>
                <w:color w:val="auto"/>
                <w:sz w:val="18"/>
                <w:szCs w:val="18"/>
                <w:vertAlign w:val="baseline"/>
                <w:lang w:val="en-US" w:eastAsia="zh-CN"/>
              </w:rPr>
            </w:pPr>
            <w:r>
              <w:rPr>
                <w:rFonts w:hint="default" w:ascii="Times New Roman" w:hAnsi="宋体" w:eastAsia="宋体" w:cs="Times New Roman"/>
                <w:i w:val="0"/>
                <w:iCs w:val="0"/>
                <w:caps w:val="0"/>
                <w:color w:val="auto"/>
                <w:spacing w:val="0"/>
                <w:kern w:val="2"/>
                <w:sz w:val="18"/>
                <w:szCs w:val="18"/>
                <w:lang w:val="en-US" w:eastAsia="zh-CN" w:bidi="ar"/>
              </w:rPr>
              <w:t>煤炭消耗</w:t>
            </w:r>
          </w:p>
        </w:tc>
        <w:tc>
          <w:tcPr>
            <w:tcW w:w="1169" w:type="dxa"/>
            <w:vAlign w:val="center"/>
          </w:tcPr>
          <w:p w14:paraId="4B08487E">
            <w:pPr>
              <w:adjustRightInd/>
              <w:spacing w:line="240" w:lineRule="auto"/>
              <w:jc w:val="center"/>
              <w:rPr>
                <w:rFonts w:hint="default" w:ascii="Times New Roman" w:hAnsi="宋体" w:eastAsia="宋体" w:cs="Times New Roman"/>
                <w:color w:val="auto"/>
                <w:sz w:val="18"/>
                <w:szCs w:val="18"/>
                <w:vertAlign w:val="baseline"/>
                <w:lang w:val="en-US" w:eastAsia="zh-CN"/>
              </w:rPr>
            </w:pPr>
          </w:p>
        </w:tc>
        <w:tc>
          <w:tcPr>
            <w:tcW w:w="1169" w:type="dxa"/>
            <w:vAlign w:val="center"/>
          </w:tcPr>
          <w:p w14:paraId="473A3191">
            <w:pPr>
              <w:keepNext w:val="0"/>
              <w:keepLines w:val="0"/>
              <w:widowControl/>
              <w:suppressLineNumbers w:val="0"/>
              <w:adjustRightInd/>
              <w:spacing w:line="240" w:lineRule="auto"/>
              <w:jc w:val="center"/>
              <w:rPr>
                <w:rFonts w:hint="default" w:ascii="Times New Roman" w:hAnsi="宋体" w:eastAsia="宋体" w:cs="Times New Roman"/>
                <w:color w:val="auto"/>
                <w:sz w:val="18"/>
                <w:szCs w:val="18"/>
                <w:vertAlign w:val="baseline"/>
                <w:lang w:val="en-US" w:eastAsia="zh-CN"/>
              </w:rPr>
            </w:pPr>
            <w:r>
              <w:rPr>
                <w:rFonts w:hint="default" w:ascii="Times New Roman" w:hAnsi="宋体" w:eastAsia="宋体" w:cs="Times New Roman"/>
                <w:i w:val="0"/>
                <w:iCs w:val="0"/>
                <w:caps w:val="0"/>
                <w:color w:val="auto"/>
                <w:spacing w:val="0"/>
                <w:kern w:val="2"/>
                <w:sz w:val="18"/>
                <w:szCs w:val="18"/>
                <w:lang w:val="en-US" w:eastAsia="zh-CN" w:bidi="ar"/>
              </w:rPr>
              <w:t>t</w:t>
            </w:r>
          </w:p>
        </w:tc>
        <w:tc>
          <w:tcPr>
            <w:tcW w:w="1169" w:type="dxa"/>
            <w:vAlign w:val="center"/>
          </w:tcPr>
          <w:p w14:paraId="46E2C4F3">
            <w:pPr>
              <w:keepNext w:val="0"/>
              <w:keepLines w:val="0"/>
              <w:widowControl/>
              <w:suppressLineNumbers w:val="0"/>
              <w:adjustRightInd/>
              <w:spacing w:line="240" w:lineRule="auto"/>
              <w:jc w:val="center"/>
              <w:rPr>
                <w:rFonts w:hint="default" w:ascii="Times New Roman" w:hAnsi="宋体" w:eastAsia="宋体" w:cs="Times New Roman"/>
                <w:color w:val="auto"/>
                <w:sz w:val="18"/>
                <w:szCs w:val="18"/>
                <w:vertAlign w:val="baseline"/>
                <w:lang w:val="en-US" w:eastAsia="zh-CN"/>
              </w:rPr>
            </w:pPr>
            <w:r>
              <w:rPr>
                <w:rFonts w:hint="default" w:ascii="Times New Roman" w:hAnsi="宋体" w:eastAsia="宋体" w:cs="Times New Roman"/>
                <w:i w:val="0"/>
                <w:iCs w:val="0"/>
                <w:caps w:val="0"/>
                <w:color w:val="auto"/>
                <w:spacing w:val="0"/>
                <w:kern w:val="2"/>
                <w:sz w:val="18"/>
                <w:szCs w:val="18"/>
                <w:lang w:val="en-US" w:eastAsia="zh-CN" w:bidi="ar"/>
              </w:rPr>
              <w:t>地磅</w:t>
            </w:r>
          </w:p>
        </w:tc>
        <w:tc>
          <w:tcPr>
            <w:tcW w:w="1169" w:type="dxa"/>
            <w:vAlign w:val="center"/>
          </w:tcPr>
          <w:p w14:paraId="2D82A77C">
            <w:pPr>
              <w:keepNext w:val="0"/>
              <w:keepLines w:val="0"/>
              <w:widowControl/>
              <w:suppressLineNumbers w:val="0"/>
              <w:adjustRightInd/>
              <w:spacing w:line="240" w:lineRule="auto"/>
              <w:jc w:val="center"/>
              <w:rPr>
                <w:rFonts w:hint="default" w:ascii="Times New Roman" w:hAnsi="宋体" w:eastAsia="宋体" w:cs="Times New Roman"/>
                <w:color w:val="auto"/>
                <w:sz w:val="18"/>
                <w:szCs w:val="18"/>
                <w:vertAlign w:val="baseline"/>
                <w:lang w:val="en-US" w:eastAsia="zh-CN"/>
              </w:rPr>
            </w:pPr>
            <w:r>
              <w:rPr>
                <w:rFonts w:hint="default" w:ascii="Times New Roman" w:hAnsi="宋体" w:eastAsia="宋体" w:cs="Times New Roman"/>
                <w:i w:val="0"/>
                <w:iCs w:val="0"/>
                <w:caps w:val="0"/>
                <w:color w:val="auto"/>
                <w:spacing w:val="0"/>
                <w:kern w:val="2"/>
                <w:sz w:val="18"/>
                <w:szCs w:val="18"/>
                <w:lang w:val="en-US" w:eastAsia="zh-CN" w:bidi="ar"/>
              </w:rPr>
              <w:t>批次计量</w:t>
            </w:r>
          </w:p>
        </w:tc>
        <w:tc>
          <w:tcPr>
            <w:tcW w:w="1170" w:type="dxa"/>
            <w:vAlign w:val="center"/>
          </w:tcPr>
          <w:p w14:paraId="6E869B8C">
            <w:pPr>
              <w:keepNext w:val="0"/>
              <w:keepLines w:val="0"/>
              <w:widowControl/>
              <w:suppressLineNumbers w:val="0"/>
              <w:adjustRightInd/>
              <w:spacing w:line="240" w:lineRule="auto"/>
              <w:jc w:val="center"/>
              <w:rPr>
                <w:rFonts w:hint="default" w:ascii="Times New Roman" w:hAnsi="宋体" w:eastAsia="宋体" w:cs="Times New Roman"/>
                <w:color w:val="auto"/>
                <w:sz w:val="18"/>
                <w:szCs w:val="18"/>
                <w:vertAlign w:val="baseline"/>
                <w:lang w:val="en-US" w:eastAsia="zh-CN"/>
              </w:rPr>
            </w:pPr>
            <w:r>
              <w:rPr>
                <w:rFonts w:hint="default" w:ascii="Times New Roman" w:hAnsi="宋体" w:eastAsia="宋体" w:cs="Times New Roman"/>
                <w:i w:val="0"/>
                <w:iCs w:val="0"/>
                <w:caps w:val="0"/>
                <w:color w:val="auto"/>
                <w:spacing w:val="0"/>
                <w:kern w:val="2"/>
                <w:sz w:val="18"/>
                <w:szCs w:val="18"/>
                <w:lang w:val="en-US" w:eastAsia="zh-CN" w:bidi="ar"/>
              </w:rPr>
              <w:t>202X年</w:t>
            </w:r>
          </w:p>
        </w:tc>
        <w:tc>
          <w:tcPr>
            <w:tcW w:w="1170" w:type="dxa"/>
            <w:vAlign w:val="center"/>
          </w:tcPr>
          <w:p w14:paraId="159DE1C5">
            <w:pPr>
              <w:keepNext w:val="0"/>
              <w:keepLines w:val="0"/>
              <w:widowControl/>
              <w:suppressLineNumbers w:val="0"/>
              <w:adjustRightInd/>
              <w:spacing w:line="240" w:lineRule="auto"/>
              <w:jc w:val="center"/>
              <w:rPr>
                <w:rFonts w:hint="default" w:ascii="Times New Roman" w:hAnsi="宋体" w:eastAsia="宋体" w:cs="Times New Roman"/>
                <w:color w:val="auto"/>
                <w:sz w:val="18"/>
                <w:szCs w:val="18"/>
                <w:vertAlign w:val="baseline"/>
                <w:lang w:val="en-US" w:eastAsia="zh-CN"/>
              </w:rPr>
            </w:pPr>
            <w:r>
              <w:rPr>
                <w:rFonts w:hint="default" w:ascii="Times New Roman" w:hAnsi="宋体" w:eastAsia="宋体" w:cs="Times New Roman"/>
                <w:i w:val="0"/>
                <w:iCs w:val="0"/>
                <w:caps w:val="0"/>
                <w:color w:val="auto"/>
                <w:spacing w:val="0"/>
                <w:kern w:val="2"/>
                <w:sz w:val="18"/>
                <w:szCs w:val="18"/>
                <w:lang w:val="en-US" w:eastAsia="zh-CN" w:bidi="ar"/>
              </w:rPr>
              <w:t>如适用</w:t>
            </w:r>
          </w:p>
        </w:tc>
      </w:tr>
      <w:tr w14:paraId="12328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9" w:type="dxa"/>
            <w:vAlign w:val="center"/>
          </w:tcPr>
          <w:p w14:paraId="0D0C4C20">
            <w:pPr>
              <w:keepNext w:val="0"/>
              <w:keepLines w:val="0"/>
              <w:widowControl/>
              <w:suppressLineNumbers w:val="0"/>
              <w:adjustRightInd/>
              <w:spacing w:line="240" w:lineRule="auto"/>
              <w:jc w:val="center"/>
              <w:rPr>
                <w:rFonts w:hint="default" w:ascii="Times New Roman" w:hAnsi="宋体" w:eastAsia="宋体" w:cs="Times New Roman"/>
                <w:color w:val="auto"/>
                <w:sz w:val="18"/>
                <w:szCs w:val="18"/>
                <w:vertAlign w:val="baseline"/>
                <w:lang w:val="en-US" w:eastAsia="zh-CN"/>
              </w:rPr>
            </w:pPr>
            <w:r>
              <w:rPr>
                <w:rFonts w:hint="default" w:ascii="Times New Roman" w:hAnsi="宋体" w:eastAsia="宋体" w:cs="Times New Roman"/>
                <w:i w:val="0"/>
                <w:iCs w:val="0"/>
                <w:caps w:val="0"/>
                <w:color w:val="auto"/>
                <w:spacing w:val="0"/>
                <w:kern w:val="2"/>
                <w:sz w:val="18"/>
                <w:szCs w:val="18"/>
                <w:lang w:val="en-US" w:eastAsia="zh-CN" w:bidi="ar"/>
              </w:rPr>
              <w:t>输入</w:t>
            </w:r>
          </w:p>
        </w:tc>
        <w:tc>
          <w:tcPr>
            <w:tcW w:w="1169" w:type="dxa"/>
            <w:vAlign w:val="center"/>
          </w:tcPr>
          <w:p w14:paraId="7793ECA7">
            <w:pPr>
              <w:keepNext w:val="0"/>
              <w:keepLines w:val="0"/>
              <w:widowControl/>
              <w:suppressLineNumbers w:val="0"/>
              <w:adjustRightInd/>
              <w:spacing w:line="240" w:lineRule="auto"/>
              <w:jc w:val="center"/>
              <w:rPr>
                <w:rFonts w:hint="default" w:ascii="Times New Roman" w:hAnsi="宋体" w:eastAsia="宋体" w:cs="Times New Roman"/>
                <w:color w:val="auto"/>
                <w:sz w:val="18"/>
                <w:szCs w:val="18"/>
                <w:vertAlign w:val="baseline"/>
                <w:lang w:val="en-US" w:eastAsia="zh-CN"/>
              </w:rPr>
            </w:pPr>
            <w:r>
              <w:rPr>
                <w:rFonts w:hint="default" w:ascii="Times New Roman" w:hAnsi="宋体" w:eastAsia="宋体" w:cs="Times New Roman"/>
                <w:i w:val="0"/>
                <w:iCs w:val="0"/>
                <w:caps w:val="0"/>
                <w:color w:val="auto"/>
                <w:spacing w:val="0"/>
                <w:kern w:val="2"/>
                <w:sz w:val="18"/>
                <w:szCs w:val="18"/>
                <w:lang w:val="en-US" w:eastAsia="zh-CN" w:bidi="ar"/>
              </w:rPr>
              <w:t>熔剂（硼砂等）</w:t>
            </w:r>
          </w:p>
        </w:tc>
        <w:tc>
          <w:tcPr>
            <w:tcW w:w="1169" w:type="dxa"/>
            <w:vAlign w:val="center"/>
          </w:tcPr>
          <w:p w14:paraId="4611A8EA">
            <w:pPr>
              <w:adjustRightInd/>
              <w:spacing w:line="240" w:lineRule="auto"/>
              <w:jc w:val="center"/>
              <w:rPr>
                <w:rFonts w:hint="default" w:ascii="Times New Roman" w:hAnsi="宋体" w:eastAsia="宋体" w:cs="Times New Roman"/>
                <w:color w:val="auto"/>
                <w:sz w:val="18"/>
                <w:szCs w:val="18"/>
                <w:vertAlign w:val="baseline"/>
                <w:lang w:val="en-US" w:eastAsia="zh-CN"/>
              </w:rPr>
            </w:pPr>
          </w:p>
        </w:tc>
        <w:tc>
          <w:tcPr>
            <w:tcW w:w="1169" w:type="dxa"/>
            <w:vAlign w:val="center"/>
          </w:tcPr>
          <w:p w14:paraId="2D596FF0">
            <w:pPr>
              <w:keepNext w:val="0"/>
              <w:keepLines w:val="0"/>
              <w:widowControl/>
              <w:suppressLineNumbers w:val="0"/>
              <w:adjustRightInd/>
              <w:spacing w:line="240" w:lineRule="auto"/>
              <w:jc w:val="center"/>
              <w:rPr>
                <w:rFonts w:hint="default" w:ascii="Times New Roman" w:hAnsi="宋体" w:eastAsia="宋体" w:cs="Times New Roman"/>
                <w:color w:val="auto"/>
                <w:sz w:val="18"/>
                <w:szCs w:val="18"/>
                <w:vertAlign w:val="baseline"/>
                <w:lang w:val="en-US" w:eastAsia="zh-CN"/>
              </w:rPr>
            </w:pPr>
            <w:r>
              <w:rPr>
                <w:rFonts w:hint="default" w:ascii="Times New Roman" w:hAnsi="宋体" w:eastAsia="宋体" w:cs="Times New Roman"/>
                <w:i w:val="0"/>
                <w:iCs w:val="0"/>
                <w:caps w:val="0"/>
                <w:color w:val="auto"/>
                <w:spacing w:val="0"/>
                <w:kern w:val="2"/>
                <w:sz w:val="18"/>
                <w:szCs w:val="18"/>
                <w:lang w:val="en-US" w:eastAsia="zh-CN" w:bidi="ar"/>
              </w:rPr>
              <w:t>kg</w:t>
            </w:r>
          </w:p>
        </w:tc>
        <w:tc>
          <w:tcPr>
            <w:tcW w:w="1169" w:type="dxa"/>
            <w:vAlign w:val="center"/>
          </w:tcPr>
          <w:p w14:paraId="456561A0">
            <w:pPr>
              <w:keepNext w:val="0"/>
              <w:keepLines w:val="0"/>
              <w:widowControl/>
              <w:suppressLineNumbers w:val="0"/>
              <w:adjustRightInd/>
              <w:spacing w:line="240" w:lineRule="auto"/>
              <w:jc w:val="center"/>
              <w:rPr>
                <w:rFonts w:hint="default" w:ascii="Times New Roman" w:hAnsi="宋体" w:eastAsia="宋体" w:cs="Times New Roman"/>
                <w:color w:val="auto"/>
                <w:sz w:val="18"/>
                <w:szCs w:val="18"/>
                <w:vertAlign w:val="baseline"/>
                <w:lang w:val="en-US" w:eastAsia="zh-CN"/>
              </w:rPr>
            </w:pPr>
            <w:r>
              <w:rPr>
                <w:rFonts w:hint="default" w:ascii="Times New Roman" w:hAnsi="宋体" w:eastAsia="宋体" w:cs="Times New Roman"/>
                <w:i w:val="0"/>
                <w:iCs w:val="0"/>
                <w:caps w:val="0"/>
                <w:color w:val="auto"/>
                <w:spacing w:val="0"/>
                <w:kern w:val="2"/>
                <w:sz w:val="18"/>
                <w:szCs w:val="18"/>
                <w:lang w:val="en-US" w:eastAsia="zh-CN" w:bidi="ar"/>
              </w:rPr>
              <w:t>采购记录</w:t>
            </w:r>
          </w:p>
        </w:tc>
        <w:tc>
          <w:tcPr>
            <w:tcW w:w="1169" w:type="dxa"/>
            <w:vAlign w:val="center"/>
          </w:tcPr>
          <w:p w14:paraId="2794406B">
            <w:pPr>
              <w:keepNext w:val="0"/>
              <w:keepLines w:val="0"/>
              <w:widowControl/>
              <w:suppressLineNumbers w:val="0"/>
              <w:adjustRightInd/>
              <w:spacing w:line="240" w:lineRule="auto"/>
              <w:jc w:val="center"/>
              <w:rPr>
                <w:rFonts w:hint="default" w:ascii="Times New Roman" w:hAnsi="宋体" w:eastAsia="宋体" w:cs="Times New Roman"/>
                <w:color w:val="auto"/>
                <w:sz w:val="18"/>
                <w:szCs w:val="18"/>
                <w:vertAlign w:val="baseline"/>
                <w:lang w:val="en-US" w:eastAsia="zh-CN"/>
              </w:rPr>
            </w:pPr>
            <w:r>
              <w:rPr>
                <w:rFonts w:hint="default" w:ascii="Times New Roman" w:hAnsi="宋体" w:eastAsia="宋体" w:cs="Times New Roman"/>
                <w:i w:val="0"/>
                <w:iCs w:val="0"/>
                <w:caps w:val="0"/>
                <w:color w:val="auto"/>
                <w:spacing w:val="0"/>
                <w:kern w:val="2"/>
                <w:sz w:val="18"/>
                <w:szCs w:val="18"/>
                <w:lang w:val="en-US" w:eastAsia="zh-CN" w:bidi="ar"/>
              </w:rPr>
              <w:t>批次统计</w:t>
            </w:r>
          </w:p>
        </w:tc>
        <w:tc>
          <w:tcPr>
            <w:tcW w:w="1170" w:type="dxa"/>
            <w:vAlign w:val="center"/>
          </w:tcPr>
          <w:p w14:paraId="1B17DE59">
            <w:pPr>
              <w:keepNext w:val="0"/>
              <w:keepLines w:val="0"/>
              <w:widowControl/>
              <w:suppressLineNumbers w:val="0"/>
              <w:adjustRightInd/>
              <w:spacing w:line="240" w:lineRule="auto"/>
              <w:jc w:val="center"/>
              <w:rPr>
                <w:rFonts w:hint="default" w:ascii="Times New Roman" w:hAnsi="宋体" w:eastAsia="宋体" w:cs="Times New Roman"/>
                <w:color w:val="auto"/>
                <w:sz w:val="18"/>
                <w:szCs w:val="18"/>
                <w:vertAlign w:val="baseline"/>
                <w:lang w:val="en-US" w:eastAsia="zh-CN"/>
              </w:rPr>
            </w:pPr>
            <w:r>
              <w:rPr>
                <w:rFonts w:hint="default" w:ascii="Times New Roman" w:hAnsi="宋体" w:eastAsia="宋体" w:cs="Times New Roman"/>
                <w:i w:val="0"/>
                <w:iCs w:val="0"/>
                <w:caps w:val="0"/>
                <w:color w:val="auto"/>
                <w:spacing w:val="0"/>
                <w:kern w:val="2"/>
                <w:sz w:val="18"/>
                <w:szCs w:val="18"/>
                <w:lang w:val="en-US" w:eastAsia="zh-CN" w:bidi="ar"/>
              </w:rPr>
              <w:t>202X年</w:t>
            </w:r>
          </w:p>
        </w:tc>
        <w:tc>
          <w:tcPr>
            <w:tcW w:w="1170" w:type="dxa"/>
            <w:vAlign w:val="center"/>
          </w:tcPr>
          <w:p w14:paraId="4A51459C">
            <w:pPr>
              <w:adjustRightInd/>
              <w:spacing w:line="240" w:lineRule="auto"/>
              <w:jc w:val="center"/>
              <w:rPr>
                <w:rFonts w:hint="default" w:ascii="Times New Roman" w:hAnsi="宋体" w:eastAsia="宋体" w:cs="Times New Roman"/>
                <w:color w:val="auto"/>
                <w:sz w:val="18"/>
                <w:szCs w:val="18"/>
                <w:vertAlign w:val="baseline"/>
                <w:lang w:val="en-US" w:eastAsia="zh-CN"/>
              </w:rPr>
            </w:pPr>
          </w:p>
        </w:tc>
      </w:tr>
      <w:tr w14:paraId="25E32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9" w:type="dxa"/>
            <w:vAlign w:val="center"/>
          </w:tcPr>
          <w:p w14:paraId="32A7271C">
            <w:pPr>
              <w:keepNext w:val="0"/>
              <w:keepLines w:val="0"/>
              <w:widowControl/>
              <w:suppressLineNumbers w:val="0"/>
              <w:adjustRightInd/>
              <w:spacing w:line="240" w:lineRule="auto"/>
              <w:jc w:val="center"/>
              <w:rPr>
                <w:rFonts w:hint="default" w:ascii="Times New Roman" w:hAnsi="宋体" w:eastAsia="宋体" w:cs="Times New Roman"/>
                <w:color w:val="auto"/>
                <w:sz w:val="18"/>
                <w:szCs w:val="18"/>
                <w:vertAlign w:val="baseline"/>
                <w:lang w:val="en-US" w:eastAsia="zh-CN"/>
              </w:rPr>
            </w:pPr>
            <w:r>
              <w:rPr>
                <w:rFonts w:hint="default" w:ascii="Times New Roman" w:hAnsi="宋体" w:eastAsia="宋体" w:cs="Times New Roman"/>
                <w:i w:val="0"/>
                <w:iCs w:val="0"/>
                <w:caps w:val="0"/>
                <w:color w:val="auto"/>
                <w:spacing w:val="0"/>
                <w:kern w:val="2"/>
                <w:sz w:val="18"/>
                <w:szCs w:val="18"/>
                <w:lang w:val="en-US" w:eastAsia="zh-CN" w:bidi="ar"/>
              </w:rPr>
              <w:t>输入</w:t>
            </w:r>
          </w:p>
        </w:tc>
        <w:tc>
          <w:tcPr>
            <w:tcW w:w="1169" w:type="dxa"/>
            <w:vAlign w:val="center"/>
          </w:tcPr>
          <w:p w14:paraId="27A79D8B">
            <w:pPr>
              <w:keepNext w:val="0"/>
              <w:keepLines w:val="0"/>
              <w:widowControl/>
              <w:suppressLineNumbers w:val="0"/>
              <w:adjustRightInd/>
              <w:spacing w:line="240" w:lineRule="auto"/>
              <w:jc w:val="center"/>
              <w:rPr>
                <w:rFonts w:hint="default" w:ascii="Times New Roman" w:hAnsi="宋体" w:eastAsia="宋体" w:cs="Times New Roman"/>
                <w:color w:val="auto"/>
                <w:sz w:val="18"/>
                <w:szCs w:val="18"/>
                <w:vertAlign w:val="baseline"/>
                <w:lang w:val="en-US" w:eastAsia="zh-CN"/>
              </w:rPr>
            </w:pPr>
            <w:r>
              <w:rPr>
                <w:rFonts w:hint="default" w:ascii="Times New Roman" w:hAnsi="宋体" w:eastAsia="宋体" w:cs="Times New Roman"/>
                <w:i w:val="0"/>
                <w:iCs w:val="0"/>
                <w:caps w:val="0"/>
                <w:color w:val="auto"/>
                <w:spacing w:val="0"/>
                <w:kern w:val="2"/>
                <w:sz w:val="18"/>
                <w:szCs w:val="18"/>
                <w:lang w:val="en-US" w:eastAsia="zh-CN" w:bidi="ar"/>
              </w:rPr>
              <w:t>还原剂</w:t>
            </w:r>
          </w:p>
        </w:tc>
        <w:tc>
          <w:tcPr>
            <w:tcW w:w="1169" w:type="dxa"/>
            <w:vAlign w:val="center"/>
          </w:tcPr>
          <w:p w14:paraId="7FA99291">
            <w:pPr>
              <w:adjustRightInd/>
              <w:spacing w:line="240" w:lineRule="auto"/>
              <w:jc w:val="center"/>
              <w:rPr>
                <w:rFonts w:hint="default" w:ascii="Times New Roman" w:hAnsi="宋体" w:eastAsia="宋体" w:cs="Times New Roman"/>
                <w:color w:val="auto"/>
                <w:sz w:val="18"/>
                <w:szCs w:val="18"/>
                <w:vertAlign w:val="baseline"/>
                <w:lang w:val="en-US" w:eastAsia="zh-CN"/>
              </w:rPr>
            </w:pPr>
          </w:p>
        </w:tc>
        <w:tc>
          <w:tcPr>
            <w:tcW w:w="1169" w:type="dxa"/>
            <w:vAlign w:val="center"/>
          </w:tcPr>
          <w:p w14:paraId="018CDAA8">
            <w:pPr>
              <w:keepNext w:val="0"/>
              <w:keepLines w:val="0"/>
              <w:widowControl/>
              <w:suppressLineNumbers w:val="0"/>
              <w:adjustRightInd/>
              <w:spacing w:line="240" w:lineRule="auto"/>
              <w:jc w:val="center"/>
              <w:rPr>
                <w:rFonts w:hint="default" w:ascii="Times New Roman" w:hAnsi="宋体" w:eastAsia="宋体" w:cs="Times New Roman"/>
                <w:color w:val="auto"/>
                <w:sz w:val="18"/>
                <w:szCs w:val="18"/>
                <w:vertAlign w:val="baseline"/>
                <w:lang w:val="en-US" w:eastAsia="zh-CN"/>
              </w:rPr>
            </w:pPr>
            <w:r>
              <w:rPr>
                <w:rFonts w:hint="default" w:ascii="Times New Roman" w:hAnsi="宋体" w:eastAsia="宋体" w:cs="Times New Roman"/>
                <w:i w:val="0"/>
                <w:iCs w:val="0"/>
                <w:caps w:val="0"/>
                <w:color w:val="auto"/>
                <w:spacing w:val="0"/>
                <w:kern w:val="2"/>
                <w:sz w:val="18"/>
                <w:szCs w:val="18"/>
                <w:lang w:val="en-US" w:eastAsia="zh-CN" w:bidi="ar"/>
              </w:rPr>
              <w:t>kg</w:t>
            </w:r>
          </w:p>
        </w:tc>
        <w:tc>
          <w:tcPr>
            <w:tcW w:w="1169" w:type="dxa"/>
            <w:vAlign w:val="center"/>
          </w:tcPr>
          <w:p w14:paraId="6AC91A3C">
            <w:pPr>
              <w:keepNext w:val="0"/>
              <w:keepLines w:val="0"/>
              <w:widowControl/>
              <w:suppressLineNumbers w:val="0"/>
              <w:adjustRightInd/>
              <w:spacing w:line="240" w:lineRule="auto"/>
              <w:jc w:val="center"/>
              <w:rPr>
                <w:rFonts w:hint="default" w:ascii="Times New Roman" w:hAnsi="宋体" w:eastAsia="宋体" w:cs="Times New Roman"/>
                <w:color w:val="auto"/>
                <w:sz w:val="18"/>
                <w:szCs w:val="18"/>
                <w:vertAlign w:val="baseline"/>
                <w:lang w:val="en-US" w:eastAsia="zh-CN"/>
              </w:rPr>
            </w:pPr>
            <w:r>
              <w:rPr>
                <w:rFonts w:hint="default" w:ascii="Times New Roman" w:hAnsi="宋体" w:eastAsia="宋体" w:cs="Times New Roman"/>
                <w:i w:val="0"/>
                <w:iCs w:val="0"/>
                <w:caps w:val="0"/>
                <w:color w:val="auto"/>
                <w:spacing w:val="0"/>
                <w:kern w:val="2"/>
                <w:sz w:val="18"/>
                <w:szCs w:val="18"/>
                <w:lang w:val="en-US" w:eastAsia="zh-CN" w:bidi="ar"/>
              </w:rPr>
              <w:t>采购记录</w:t>
            </w:r>
          </w:p>
        </w:tc>
        <w:tc>
          <w:tcPr>
            <w:tcW w:w="1169" w:type="dxa"/>
            <w:vAlign w:val="center"/>
          </w:tcPr>
          <w:p w14:paraId="0DD1F0B1">
            <w:pPr>
              <w:keepNext w:val="0"/>
              <w:keepLines w:val="0"/>
              <w:widowControl/>
              <w:suppressLineNumbers w:val="0"/>
              <w:adjustRightInd/>
              <w:spacing w:line="240" w:lineRule="auto"/>
              <w:jc w:val="center"/>
              <w:rPr>
                <w:rFonts w:hint="default" w:ascii="Times New Roman" w:hAnsi="宋体" w:eastAsia="宋体" w:cs="Times New Roman"/>
                <w:color w:val="auto"/>
                <w:sz w:val="18"/>
                <w:szCs w:val="18"/>
                <w:vertAlign w:val="baseline"/>
                <w:lang w:val="en-US" w:eastAsia="zh-CN"/>
              </w:rPr>
            </w:pPr>
            <w:r>
              <w:rPr>
                <w:rFonts w:hint="default" w:ascii="Times New Roman" w:hAnsi="宋体" w:eastAsia="宋体" w:cs="Times New Roman"/>
                <w:i w:val="0"/>
                <w:iCs w:val="0"/>
                <w:caps w:val="0"/>
                <w:color w:val="auto"/>
                <w:spacing w:val="0"/>
                <w:kern w:val="2"/>
                <w:sz w:val="18"/>
                <w:szCs w:val="18"/>
                <w:lang w:val="en-US" w:eastAsia="zh-CN" w:bidi="ar"/>
              </w:rPr>
              <w:t>批次统计</w:t>
            </w:r>
          </w:p>
        </w:tc>
        <w:tc>
          <w:tcPr>
            <w:tcW w:w="1170" w:type="dxa"/>
            <w:vAlign w:val="center"/>
          </w:tcPr>
          <w:p w14:paraId="56EBF5C0">
            <w:pPr>
              <w:keepNext w:val="0"/>
              <w:keepLines w:val="0"/>
              <w:widowControl/>
              <w:suppressLineNumbers w:val="0"/>
              <w:adjustRightInd/>
              <w:spacing w:line="240" w:lineRule="auto"/>
              <w:jc w:val="center"/>
              <w:rPr>
                <w:rFonts w:hint="default" w:ascii="Times New Roman" w:hAnsi="宋体" w:eastAsia="宋体" w:cs="Times New Roman"/>
                <w:color w:val="auto"/>
                <w:sz w:val="18"/>
                <w:szCs w:val="18"/>
                <w:vertAlign w:val="baseline"/>
                <w:lang w:val="en-US" w:eastAsia="zh-CN"/>
              </w:rPr>
            </w:pPr>
            <w:r>
              <w:rPr>
                <w:rFonts w:hint="default" w:ascii="Times New Roman" w:hAnsi="宋体" w:eastAsia="宋体" w:cs="Times New Roman"/>
                <w:i w:val="0"/>
                <w:iCs w:val="0"/>
                <w:caps w:val="0"/>
                <w:color w:val="auto"/>
                <w:spacing w:val="0"/>
                <w:kern w:val="2"/>
                <w:sz w:val="18"/>
                <w:szCs w:val="18"/>
                <w:lang w:val="en-US" w:eastAsia="zh-CN" w:bidi="ar"/>
              </w:rPr>
              <w:t>202X年</w:t>
            </w:r>
          </w:p>
        </w:tc>
        <w:tc>
          <w:tcPr>
            <w:tcW w:w="1170" w:type="dxa"/>
            <w:vAlign w:val="center"/>
          </w:tcPr>
          <w:p w14:paraId="5E841D47">
            <w:pPr>
              <w:adjustRightInd/>
              <w:spacing w:line="240" w:lineRule="auto"/>
              <w:jc w:val="center"/>
              <w:rPr>
                <w:rFonts w:hint="default" w:ascii="Times New Roman" w:hAnsi="宋体" w:eastAsia="宋体" w:cs="Times New Roman"/>
                <w:color w:val="auto"/>
                <w:sz w:val="18"/>
                <w:szCs w:val="18"/>
                <w:vertAlign w:val="baseline"/>
                <w:lang w:val="en-US" w:eastAsia="zh-CN"/>
              </w:rPr>
            </w:pPr>
          </w:p>
        </w:tc>
      </w:tr>
      <w:tr w14:paraId="37AE0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9" w:type="dxa"/>
            <w:vAlign w:val="center"/>
          </w:tcPr>
          <w:p w14:paraId="404967E2">
            <w:pPr>
              <w:keepNext w:val="0"/>
              <w:keepLines w:val="0"/>
              <w:widowControl/>
              <w:suppressLineNumbers w:val="0"/>
              <w:adjustRightInd/>
              <w:spacing w:line="240" w:lineRule="auto"/>
              <w:jc w:val="center"/>
              <w:rPr>
                <w:rFonts w:hint="default" w:ascii="Times New Roman" w:hAnsi="宋体" w:eastAsia="宋体" w:cs="Times New Roman"/>
                <w:color w:val="auto"/>
                <w:sz w:val="18"/>
                <w:szCs w:val="18"/>
                <w:vertAlign w:val="baseline"/>
                <w:lang w:val="en-US" w:eastAsia="zh-CN"/>
              </w:rPr>
            </w:pPr>
            <w:r>
              <w:rPr>
                <w:rFonts w:hint="default" w:ascii="Times New Roman" w:hAnsi="宋体" w:eastAsia="宋体" w:cs="Times New Roman"/>
                <w:i w:val="0"/>
                <w:iCs w:val="0"/>
                <w:caps w:val="0"/>
                <w:color w:val="auto"/>
                <w:spacing w:val="0"/>
                <w:kern w:val="2"/>
                <w:sz w:val="18"/>
                <w:szCs w:val="18"/>
                <w:lang w:val="en-US" w:eastAsia="zh-CN" w:bidi="ar"/>
              </w:rPr>
              <w:t>输入</w:t>
            </w:r>
          </w:p>
        </w:tc>
        <w:tc>
          <w:tcPr>
            <w:tcW w:w="1169" w:type="dxa"/>
            <w:vAlign w:val="center"/>
          </w:tcPr>
          <w:p w14:paraId="7CAE3DA7">
            <w:pPr>
              <w:keepNext w:val="0"/>
              <w:keepLines w:val="0"/>
              <w:widowControl/>
              <w:suppressLineNumbers w:val="0"/>
              <w:adjustRightInd/>
              <w:spacing w:line="240" w:lineRule="auto"/>
              <w:jc w:val="center"/>
              <w:rPr>
                <w:rFonts w:hint="default" w:ascii="Times New Roman" w:hAnsi="宋体" w:eastAsia="宋体" w:cs="Times New Roman"/>
                <w:color w:val="auto"/>
                <w:sz w:val="18"/>
                <w:szCs w:val="18"/>
                <w:vertAlign w:val="baseline"/>
                <w:lang w:val="en-US" w:eastAsia="zh-CN"/>
              </w:rPr>
            </w:pPr>
            <w:r>
              <w:rPr>
                <w:rFonts w:hint="default" w:ascii="Times New Roman" w:hAnsi="宋体" w:eastAsia="宋体" w:cs="Times New Roman"/>
                <w:i w:val="0"/>
                <w:iCs w:val="0"/>
                <w:caps w:val="0"/>
                <w:color w:val="auto"/>
                <w:spacing w:val="0"/>
                <w:kern w:val="2"/>
                <w:sz w:val="18"/>
                <w:szCs w:val="18"/>
                <w:lang w:val="en-US" w:eastAsia="zh-CN" w:bidi="ar"/>
              </w:rPr>
              <w:t>硝酸消耗</w:t>
            </w:r>
          </w:p>
        </w:tc>
        <w:tc>
          <w:tcPr>
            <w:tcW w:w="1169" w:type="dxa"/>
            <w:vAlign w:val="center"/>
          </w:tcPr>
          <w:p w14:paraId="0DFB4E43">
            <w:pPr>
              <w:adjustRightInd/>
              <w:spacing w:line="240" w:lineRule="auto"/>
              <w:jc w:val="center"/>
              <w:rPr>
                <w:rFonts w:hint="default" w:ascii="Times New Roman" w:hAnsi="宋体" w:eastAsia="宋体" w:cs="Times New Roman"/>
                <w:color w:val="auto"/>
                <w:sz w:val="18"/>
                <w:szCs w:val="18"/>
                <w:vertAlign w:val="baseline"/>
                <w:lang w:val="en-US" w:eastAsia="zh-CN"/>
              </w:rPr>
            </w:pPr>
          </w:p>
        </w:tc>
        <w:tc>
          <w:tcPr>
            <w:tcW w:w="1169" w:type="dxa"/>
            <w:vAlign w:val="center"/>
          </w:tcPr>
          <w:p w14:paraId="2B8E68E1">
            <w:pPr>
              <w:keepNext w:val="0"/>
              <w:keepLines w:val="0"/>
              <w:widowControl/>
              <w:suppressLineNumbers w:val="0"/>
              <w:adjustRightInd/>
              <w:spacing w:line="240" w:lineRule="auto"/>
              <w:jc w:val="center"/>
              <w:rPr>
                <w:rFonts w:hint="default" w:ascii="Times New Roman" w:hAnsi="宋体" w:eastAsia="宋体" w:cs="Times New Roman"/>
                <w:color w:val="auto"/>
                <w:sz w:val="18"/>
                <w:szCs w:val="18"/>
                <w:vertAlign w:val="baseline"/>
                <w:lang w:val="en-US" w:eastAsia="zh-CN"/>
              </w:rPr>
            </w:pPr>
            <w:r>
              <w:rPr>
                <w:rFonts w:hint="default" w:ascii="Times New Roman" w:hAnsi="宋体" w:eastAsia="宋体" w:cs="Times New Roman"/>
                <w:i w:val="0"/>
                <w:iCs w:val="0"/>
                <w:caps w:val="0"/>
                <w:color w:val="auto"/>
                <w:spacing w:val="0"/>
                <w:kern w:val="2"/>
                <w:sz w:val="18"/>
                <w:szCs w:val="18"/>
                <w:lang w:val="en-US" w:eastAsia="zh-CN" w:bidi="ar"/>
              </w:rPr>
              <w:t>kg</w:t>
            </w:r>
          </w:p>
        </w:tc>
        <w:tc>
          <w:tcPr>
            <w:tcW w:w="1169" w:type="dxa"/>
            <w:vAlign w:val="center"/>
          </w:tcPr>
          <w:p w14:paraId="08341625">
            <w:pPr>
              <w:keepNext w:val="0"/>
              <w:keepLines w:val="0"/>
              <w:widowControl/>
              <w:suppressLineNumbers w:val="0"/>
              <w:adjustRightInd/>
              <w:spacing w:line="240" w:lineRule="auto"/>
              <w:jc w:val="center"/>
              <w:rPr>
                <w:rFonts w:hint="default" w:ascii="Times New Roman" w:hAnsi="宋体" w:eastAsia="宋体" w:cs="Times New Roman"/>
                <w:color w:val="auto"/>
                <w:sz w:val="18"/>
                <w:szCs w:val="18"/>
                <w:vertAlign w:val="baseline"/>
                <w:lang w:val="en-US" w:eastAsia="zh-CN"/>
              </w:rPr>
            </w:pPr>
            <w:r>
              <w:rPr>
                <w:rFonts w:hint="default" w:ascii="Times New Roman" w:hAnsi="宋体" w:eastAsia="宋体" w:cs="Times New Roman"/>
                <w:i w:val="0"/>
                <w:iCs w:val="0"/>
                <w:caps w:val="0"/>
                <w:color w:val="auto"/>
                <w:spacing w:val="0"/>
                <w:kern w:val="2"/>
                <w:sz w:val="18"/>
                <w:szCs w:val="18"/>
                <w:lang w:val="en-US" w:eastAsia="zh-CN" w:bidi="ar"/>
              </w:rPr>
              <w:t>采购记录</w:t>
            </w:r>
          </w:p>
        </w:tc>
        <w:tc>
          <w:tcPr>
            <w:tcW w:w="1169" w:type="dxa"/>
            <w:vAlign w:val="center"/>
          </w:tcPr>
          <w:p w14:paraId="344743A4">
            <w:pPr>
              <w:keepNext w:val="0"/>
              <w:keepLines w:val="0"/>
              <w:widowControl/>
              <w:suppressLineNumbers w:val="0"/>
              <w:adjustRightInd/>
              <w:spacing w:line="240" w:lineRule="auto"/>
              <w:jc w:val="center"/>
              <w:rPr>
                <w:rFonts w:hint="default" w:ascii="Times New Roman" w:hAnsi="宋体" w:eastAsia="宋体" w:cs="Times New Roman"/>
                <w:color w:val="auto"/>
                <w:sz w:val="18"/>
                <w:szCs w:val="18"/>
                <w:vertAlign w:val="baseline"/>
                <w:lang w:val="en-US" w:eastAsia="zh-CN"/>
              </w:rPr>
            </w:pPr>
            <w:r>
              <w:rPr>
                <w:rFonts w:hint="default" w:ascii="Times New Roman" w:hAnsi="宋体" w:eastAsia="宋体" w:cs="Times New Roman"/>
                <w:i w:val="0"/>
                <w:iCs w:val="0"/>
                <w:caps w:val="0"/>
                <w:color w:val="auto"/>
                <w:spacing w:val="0"/>
                <w:kern w:val="2"/>
                <w:sz w:val="18"/>
                <w:szCs w:val="18"/>
                <w:lang w:val="en-US" w:eastAsia="zh-CN" w:bidi="ar"/>
              </w:rPr>
              <w:t>批次统计</w:t>
            </w:r>
          </w:p>
        </w:tc>
        <w:tc>
          <w:tcPr>
            <w:tcW w:w="1170" w:type="dxa"/>
            <w:vAlign w:val="center"/>
          </w:tcPr>
          <w:p w14:paraId="3E4F966B">
            <w:pPr>
              <w:keepNext w:val="0"/>
              <w:keepLines w:val="0"/>
              <w:widowControl/>
              <w:suppressLineNumbers w:val="0"/>
              <w:adjustRightInd/>
              <w:spacing w:line="240" w:lineRule="auto"/>
              <w:jc w:val="center"/>
              <w:rPr>
                <w:rFonts w:hint="default" w:ascii="Times New Roman" w:hAnsi="宋体" w:eastAsia="宋体" w:cs="Times New Roman"/>
                <w:color w:val="auto"/>
                <w:sz w:val="18"/>
                <w:szCs w:val="18"/>
                <w:vertAlign w:val="baseline"/>
                <w:lang w:val="en-US" w:eastAsia="zh-CN"/>
              </w:rPr>
            </w:pPr>
            <w:r>
              <w:rPr>
                <w:rFonts w:hint="default" w:ascii="Times New Roman" w:hAnsi="宋体" w:eastAsia="宋体" w:cs="Times New Roman"/>
                <w:i w:val="0"/>
                <w:iCs w:val="0"/>
                <w:caps w:val="0"/>
                <w:color w:val="auto"/>
                <w:spacing w:val="0"/>
                <w:kern w:val="2"/>
                <w:sz w:val="18"/>
                <w:szCs w:val="18"/>
                <w:lang w:val="en-US" w:eastAsia="zh-CN" w:bidi="ar"/>
              </w:rPr>
              <w:t>202X年</w:t>
            </w:r>
          </w:p>
        </w:tc>
        <w:tc>
          <w:tcPr>
            <w:tcW w:w="1170" w:type="dxa"/>
            <w:vAlign w:val="center"/>
          </w:tcPr>
          <w:p w14:paraId="38A87663">
            <w:pPr>
              <w:keepNext w:val="0"/>
              <w:keepLines w:val="0"/>
              <w:widowControl/>
              <w:suppressLineNumbers w:val="0"/>
              <w:adjustRightInd/>
              <w:spacing w:line="240" w:lineRule="auto"/>
              <w:jc w:val="center"/>
              <w:rPr>
                <w:rFonts w:hint="default" w:ascii="Times New Roman" w:hAnsi="宋体" w:eastAsia="宋体" w:cs="Times New Roman"/>
                <w:color w:val="auto"/>
                <w:sz w:val="18"/>
                <w:szCs w:val="18"/>
                <w:vertAlign w:val="baseline"/>
                <w:lang w:val="en-US" w:eastAsia="zh-CN"/>
              </w:rPr>
            </w:pPr>
            <w:r>
              <w:rPr>
                <w:rFonts w:hint="default" w:ascii="Times New Roman" w:hAnsi="宋体" w:eastAsia="宋体" w:cs="Times New Roman"/>
                <w:i w:val="0"/>
                <w:iCs w:val="0"/>
                <w:caps w:val="0"/>
                <w:color w:val="auto"/>
                <w:spacing w:val="0"/>
                <w:kern w:val="2"/>
                <w:sz w:val="18"/>
                <w:szCs w:val="18"/>
                <w:lang w:val="en-US" w:eastAsia="zh-CN" w:bidi="ar"/>
              </w:rPr>
              <w:t>精炼工序</w:t>
            </w:r>
          </w:p>
        </w:tc>
      </w:tr>
      <w:tr w14:paraId="6FBBA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9" w:type="dxa"/>
            <w:vAlign w:val="center"/>
          </w:tcPr>
          <w:p w14:paraId="5D4353E0">
            <w:pPr>
              <w:keepNext w:val="0"/>
              <w:keepLines w:val="0"/>
              <w:widowControl/>
              <w:suppressLineNumbers w:val="0"/>
              <w:adjustRightInd/>
              <w:spacing w:line="240" w:lineRule="auto"/>
              <w:jc w:val="center"/>
              <w:rPr>
                <w:rFonts w:hint="default" w:ascii="Times New Roman" w:hAnsi="宋体" w:eastAsia="宋体" w:cs="Times New Roman"/>
                <w:color w:val="auto"/>
                <w:sz w:val="18"/>
                <w:szCs w:val="18"/>
                <w:vertAlign w:val="baseline"/>
                <w:lang w:val="en-US" w:eastAsia="zh-CN"/>
              </w:rPr>
            </w:pPr>
            <w:r>
              <w:rPr>
                <w:rFonts w:hint="default" w:ascii="Times New Roman" w:hAnsi="宋体" w:eastAsia="宋体" w:cs="Times New Roman"/>
                <w:i w:val="0"/>
                <w:iCs w:val="0"/>
                <w:caps w:val="0"/>
                <w:color w:val="auto"/>
                <w:spacing w:val="0"/>
                <w:kern w:val="2"/>
                <w:sz w:val="18"/>
                <w:szCs w:val="18"/>
                <w:lang w:val="en-US" w:eastAsia="zh-CN" w:bidi="ar"/>
              </w:rPr>
              <w:t>输入</w:t>
            </w:r>
          </w:p>
        </w:tc>
        <w:tc>
          <w:tcPr>
            <w:tcW w:w="1169" w:type="dxa"/>
            <w:vAlign w:val="center"/>
          </w:tcPr>
          <w:p w14:paraId="40D75F67">
            <w:pPr>
              <w:keepNext w:val="0"/>
              <w:keepLines w:val="0"/>
              <w:widowControl/>
              <w:suppressLineNumbers w:val="0"/>
              <w:adjustRightInd/>
              <w:spacing w:line="240" w:lineRule="auto"/>
              <w:jc w:val="center"/>
              <w:rPr>
                <w:rFonts w:hint="default" w:ascii="Times New Roman" w:hAnsi="宋体" w:eastAsia="宋体" w:cs="Times New Roman"/>
                <w:color w:val="auto"/>
                <w:sz w:val="18"/>
                <w:szCs w:val="18"/>
                <w:vertAlign w:val="baseline"/>
                <w:lang w:val="en-US" w:eastAsia="zh-CN"/>
              </w:rPr>
            </w:pPr>
            <w:r>
              <w:rPr>
                <w:rFonts w:hint="default" w:ascii="Times New Roman" w:hAnsi="宋体" w:eastAsia="宋体" w:cs="Times New Roman"/>
                <w:i w:val="0"/>
                <w:iCs w:val="0"/>
                <w:caps w:val="0"/>
                <w:color w:val="auto"/>
                <w:spacing w:val="0"/>
                <w:kern w:val="2"/>
                <w:sz w:val="18"/>
                <w:szCs w:val="18"/>
                <w:lang w:val="en-US" w:eastAsia="zh-CN" w:bidi="ar"/>
              </w:rPr>
              <w:t>电解液/添加剂</w:t>
            </w:r>
          </w:p>
        </w:tc>
        <w:tc>
          <w:tcPr>
            <w:tcW w:w="1169" w:type="dxa"/>
            <w:vAlign w:val="center"/>
          </w:tcPr>
          <w:p w14:paraId="3693508C">
            <w:pPr>
              <w:adjustRightInd/>
              <w:spacing w:line="240" w:lineRule="auto"/>
              <w:jc w:val="center"/>
              <w:rPr>
                <w:rFonts w:hint="default" w:ascii="Times New Roman" w:hAnsi="宋体" w:eastAsia="宋体" w:cs="Times New Roman"/>
                <w:color w:val="auto"/>
                <w:sz w:val="18"/>
                <w:szCs w:val="18"/>
                <w:vertAlign w:val="baseline"/>
                <w:lang w:val="en-US" w:eastAsia="zh-CN"/>
              </w:rPr>
            </w:pPr>
          </w:p>
        </w:tc>
        <w:tc>
          <w:tcPr>
            <w:tcW w:w="1169" w:type="dxa"/>
            <w:vAlign w:val="center"/>
          </w:tcPr>
          <w:p w14:paraId="553517F3">
            <w:pPr>
              <w:keepNext w:val="0"/>
              <w:keepLines w:val="0"/>
              <w:widowControl/>
              <w:suppressLineNumbers w:val="0"/>
              <w:adjustRightInd/>
              <w:spacing w:line="240" w:lineRule="auto"/>
              <w:jc w:val="center"/>
              <w:rPr>
                <w:rFonts w:hint="default" w:ascii="Times New Roman" w:hAnsi="宋体" w:eastAsia="宋体" w:cs="Times New Roman"/>
                <w:color w:val="auto"/>
                <w:sz w:val="18"/>
                <w:szCs w:val="18"/>
                <w:vertAlign w:val="baseline"/>
                <w:lang w:val="en-US" w:eastAsia="zh-CN"/>
              </w:rPr>
            </w:pPr>
            <w:r>
              <w:rPr>
                <w:rFonts w:hint="default" w:ascii="Times New Roman" w:hAnsi="宋体" w:eastAsia="宋体" w:cs="Times New Roman"/>
                <w:i w:val="0"/>
                <w:iCs w:val="0"/>
                <w:caps w:val="0"/>
                <w:color w:val="auto"/>
                <w:spacing w:val="0"/>
                <w:kern w:val="2"/>
                <w:sz w:val="18"/>
                <w:szCs w:val="18"/>
                <w:lang w:val="en-US" w:eastAsia="zh-CN" w:bidi="ar"/>
              </w:rPr>
              <w:t>kg</w:t>
            </w:r>
          </w:p>
        </w:tc>
        <w:tc>
          <w:tcPr>
            <w:tcW w:w="1169" w:type="dxa"/>
            <w:vAlign w:val="center"/>
          </w:tcPr>
          <w:p w14:paraId="254ACDB2">
            <w:pPr>
              <w:keepNext w:val="0"/>
              <w:keepLines w:val="0"/>
              <w:widowControl/>
              <w:suppressLineNumbers w:val="0"/>
              <w:adjustRightInd/>
              <w:spacing w:line="240" w:lineRule="auto"/>
              <w:jc w:val="center"/>
              <w:rPr>
                <w:rFonts w:hint="default" w:ascii="Times New Roman" w:hAnsi="宋体" w:eastAsia="宋体" w:cs="Times New Roman"/>
                <w:color w:val="auto"/>
                <w:sz w:val="18"/>
                <w:szCs w:val="18"/>
                <w:vertAlign w:val="baseline"/>
                <w:lang w:val="en-US" w:eastAsia="zh-CN"/>
              </w:rPr>
            </w:pPr>
            <w:r>
              <w:rPr>
                <w:rFonts w:hint="default" w:ascii="Times New Roman" w:hAnsi="宋体" w:eastAsia="宋体" w:cs="Times New Roman"/>
                <w:i w:val="0"/>
                <w:iCs w:val="0"/>
                <w:caps w:val="0"/>
                <w:color w:val="auto"/>
                <w:spacing w:val="0"/>
                <w:kern w:val="2"/>
                <w:sz w:val="18"/>
                <w:szCs w:val="18"/>
                <w:lang w:val="en-US" w:eastAsia="zh-CN" w:bidi="ar"/>
              </w:rPr>
              <w:t>采购记录</w:t>
            </w:r>
          </w:p>
        </w:tc>
        <w:tc>
          <w:tcPr>
            <w:tcW w:w="1169" w:type="dxa"/>
            <w:vAlign w:val="center"/>
          </w:tcPr>
          <w:p w14:paraId="0705414F">
            <w:pPr>
              <w:keepNext w:val="0"/>
              <w:keepLines w:val="0"/>
              <w:widowControl/>
              <w:suppressLineNumbers w:val="0"/>
              <w:adjustRightInd/>
              <w:spacing w:line="240" w:lineRule="auto"/>
              <w:jc w:val="center"/>
              <w:rPr>
                <w:rFonts w:hint="default" w:ascii="Times New Roman" w:hAnsi="宋体" w:eastAsia="宋体" w:cs="Times New Roman"/>
                <w:color w:val="auto"/>
                <w:sz w:val="18"/>
                <w:szCs w:val="18"/>
                <w:vertAlign w:val="baseline"/>
                <w:lang w:val="en-US" w:eastAsia="zh-CN"/>
              </w:rPr>
            </w:pPr>
            <w:r>
              <w:rPr>
                <w:rFonts w:hint="default" w:ascii="Times New Roman" w:hAnsi="宋体" w:eastAsia="宋体" w:cs="Times New Roman"/>
                <w:i w:val="0"/>
                <w:iCs w:val="0"/>
                <w:caps w:val="0"/>
                <w:color w:val="auto"/>
                <w:spacing w:val="0"/>
                <w:kern w:val="2"/>
                <w:sz w:val="18"/>
                <w:szCs w:val="18"/>
                <w:lang w:val="en-US" w:eastAsia="zh-CN" w:bidi="ar"/>
              </w:rPr>
              <w:t>批次统计</w:t>
            </w:r>
          </w:p>
        </w:tc>
        <w:tc>
          <w:tcPr>
            <w:tcW w:w="1170" w:type="dxa"/>
            <w:vAlign w:val="center"/>
          </w:tcPr>
          <w:p w14:paraId="2642D999">
            <w:pPr>
              <w:keepNext w:val="0"/>
              <w:keepLines w:val="0"/>
              <w:widowControl/>
              <w:suppressLineNumbers w:val="0"/>
              <w:adjustRightInd/>
              <w:spacing w:line="240" w:lineRule="auto"/>
              <w:jc w:val="center"/>
              <w:rPr>
                <w:rFonts w:hint="default" w:ascii="Times New Roman" w:hAnsi="宋体" w:eastAsia="宋体" w:cs="Times New Roman"/>
                <w:color w:val="auto"/>
                <w:sz w:val="18"/>
                <w:szCs w:val="18"/>
                <w:vertAlign w:val="baseline"/>
                <w:lang w:val="en-US" w:eastAsia="zh-CN"/>
              </w:rPr>
            </w:pPr>
            <w:r>
              <w:rPr>
                <w:rFonts w:hint="default" w:ascii="Times New Roman" w:hAnsi="宋体" w:eastAsia="宋体" w:cs="Times New Roman"/>
                <w:i w:val="0"/>
                <w:iCs w:val="0"/>
                <w:caps w:val="0"/>
                <w:color w:val="auto"/>
                <w:spacing w:val="0"/>
                <w:kern w:val="2"/>
                <w:sz w:val="18"/>
                <w:szCs w:val="18"/>
                <w:lang w:val="en-US" w:eastAsia="zh-CN" w:bidi="ar"/>
              </w:rPr>
              <w:t>202X年</w:t>
            </w:r>
          </w:p>
        </w:tc>
        <w:tc>
          <w:tcPr>
            <w:tcW w:w="1170" w:type="dxa"/>
            <w:vAlign w:val="center"/>
          </w:tcPr>
          <w:p w14:paraId="508E948D">
            <w:pPr>
              <w:keepNext w:val="0"/>
              <w:keepLines w:val="0"/>
              <w:widowControl/>
              <w:suppressLineNumbers w:val="0"/>
              <w:adjustRightInd/>
              <w:spacing w:line="240" w:lineRule="auto"/>
              <w:jc w:val="center"/>
              <w:rPr>
                <w:rFonts w:hint="default" w:ascii="Times New Roman" w:hAnsi="宋体" w:eastAsia="宋体" w:cs="Times New Roman"/>
                <w:color w:val="auto"/>
                <w:sz w:val="18"/>
                <w:szCs w:val="18"/>
                <w:vertAlign w:val="baseline"/>
                <w:lang w:val="en-US" w:eastAsia="zh-CN"/>
              </w:rPr>
            </w:pPr>
            <w:r>
              <w:rPr>
                <w:rFonts w:hint="default" w:ascii="Times New Roman" w:hAnsi="宋体" w:eastAsia="宋体" w:cs="Times New Roman"/>
                <w:i w:val="0"/>
                <w:iCs w:val="0"/>
                <w:caps w:val="0"/>
                <w:color w:val="auto"/>
                <w:spacing w:val="0"/>
                <w:kern w:val="2"/>
                <w:sz w:val="18"/>
                <w:szCs w:val="18"/>
                <w:lang w:val="en-US" w:eastAsia="zh-CN" w:bidi="ar"/>
              </w:rPr>
              <w:t>电解精炼</w:t>
            </w:r>
          </w:p>
        </w:tc>
      </w:tr>
      <w:tr w14:paraId="2A483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9" w:type="dxa"/>
            <w:vAlign w:val="center"/>
          </w:tcPr>
          <w:p w14:paraId="029E7B7A">
            <w:pPr>
              <w:keepNext w:val="0"/>
              <w:keepLines w:val="0"/>
              <w:widowControl/>
              <w:suppressLineNumbers w:val="0"/>
              <w:adjustRightInd/>
              <w:spacing w:line="240" w:lineRule="auto"/>
              <w:jc w:val="center"/>
              <w:rPr>
                <w:rFonts w:hint="default" w:ascii="Times New Roman" w:hAnsi="宋体" w:eastAsia="宋体" w:cs="Times New Roman"/>
                <w:color w:val="auto"/>
                <w:sz w:val="18"/>
                <w:szCs w:val="18"/>
                <w:vertAlign w:val="baseline"/>
                <w:lang w:val="en-US" w:eastAsia="zh-CN"/>
              </w:rPr>
            </w:pPr>
            <w:r>
              <w:rPr>
                <w:rFonts w:hint="default" w:ascii="Times New Roman" w:hAnsi="宋体" w:eastAsia="宋体" w:cs="Times New Roman"/>
                <w:i w:val="0"/>
                <w:iCs w:val="0"/>
                <w:caps w:val="0"/>
                <w:color w:val="auto"/>
                <w:spacing w:val="0"/>
                <w:kern w:val="2"/>
                <w:sz w:val="18"/>
                <w:szCs w:val="18"/>
                <w:lang w:val="en-US" w:eastAsia="zh-CN" w:bidi="ar"/>
              </w:rPr>
              <w:t>输出</w:t>
            </w:r>
          </w:p>
        </w:tc>
        <w:tc>
          <w:tcPr>
            <w:tcW w:w="1169" w:type="dxa"/>
            <w:vAlign w:val="center"/>
          </w:tcPr>
          <w:p w14:paraId="5204DE16">
            <w:pPr>
              <w:keepNext w:val="0"/>
              <w:keepLines w:val="0"/>
              <w:widowControl/>
              <w:suppressLineNumbers w:val="0"/>
              <w:adjustRightInd/>
              <w:spacing w:line="240" w:lineRule="auto"/>
              <w:jc w:val="center"/>
              <w:rPr>
                <w:rFonts w:hint="default" w:ascii="Times New Roman" w:hAnsi="宋体" w:eastAsia="宋体" w:cs="Times New Roman"/>
                <w:color w:val="auto"/>
                <w:sz w:val="18"/>
                <w:szCs w:val="18"/>
                <w:vertAlign w:val="baseline"/>
                <w:lang w:val="en-US" w:eastAsia="zh-CN"/>
              </w:rPr>
            </w:pPr>
            <w:r>
              <w:rPr>
                <w:rFonts w:hint="default" w:ascii="Times New Roman" w:hAnsi="宋体" w:eastAsia="宋体" w:cs="Times New Roman"/>
                <w:i w:val="0"/>
                <w:iCs w:val="0"/>
                <w:caps w:val="0"/>
                <w:color w:val="auto"/>
                <w:spacing w:val="0"/>
                <w:kern w:val="2"/>
                <w:sz w:val="18"/>
                <w:szCs w:val="18"/>
                <w:lang w:val="en-US" w:eastAsia="zh-CN" w:bidi="ar"/>
              </w:rPr>
              <w:t>银锭产品</w:t>
            </w:r>
          </w:p>
        </w:tc>
        <w:tc>
          <w:tcPr>
            <w:tcW w:w="1169" w:type="dxa"/>
            <w:vAlign w:val="center"/>
          </w:tcPr>
          <w:p w14:paraId="7F380D70">
            <w:pPr>
              <w:adjustRightInd/>
              <w:spacing w:line="240" w:lineRule="auto"/>
              <w:jc w:val="center"/>
              <w:rPr>
                <w:rFonts w:hint="default" w:ascii="Times New Roman" w:hAnsi="宋体" w:eastAsia="宋体" w:cs="Times New Roman"/>
                <w:color w:val="auto"/>
                <w:sz w:val="18"/>
                <w:szCs w:val="18"/>
                <w:vertAlign w:val="baseline"/>
                <w:lang w:val="en-US" w:eastAsia="zh-CN"/>
              </w:rPr>
            </w:pPr>
          </w:p>
        </w:tc>
        <w:tc>
          <w:tcPr>
            <w:tcW w:w="1169" w:type="dxa"/>
            <w:vAlign w:val="center"/>
          </w:tcPr>
          <w:p w14:paraId="536E05C2">
            <w:pPr>
              <w:keepNext w:val="0"/>
              <w:keepLines w:val="0"/>
              <w:widowControl/>
              <w:suppressLineNumbers w:val="0"/>
              <w:adjustRightInd/>
              <w:spacing w:line="240" w:lineRule="auto"/>
              <w:jc w:val="center"/>
              <w:rPr>
                <w:rFonts w:hint="default" w:ascii="Times New Roman" w:hAnsi="宋体" w:eastAsia="宋体" w:cs="Times New Roman"/>
                <w:color w:val="auto"/>
                <w:sz w:val="18"/>
                <w:szCs w:val="18"/>
                <w:vertAlign w:val="baseline"/>
                <w:lang w:val="en-US" w:eastAsia="zh-CN"/>
              </w:rPr>
            </w:pPr>
            <w:r>
              <w:rPr>
                <w:rFonts w:hint="default" w:ascii="Times New Roman" w:hAnsi="宋体" w:eastAsia="宋体" w:cs="Times New Roman"/>
                <w:i w:val="0"/>
                <w:iCs w:val="0"/>
                <w:caps w:val="0"/>
                <w:color w:val="auto"/>
                <w:spacing w:val="0"/>
                <w:kern w:val="2"/>
                <w:sz w:val="18"/>
                <w:szCs w:val="18"/>
                <w:lang w:val="en-US" w:eastAsia="zh-CN" w:bidi="ar"/>
              </w:rPr>
              <w:t>kg</w:t>
            </w:r>
          </w:p>
        </w:tc>
        <w:tc>
          <w:tcPr>
            <w:tcW w:w="1169" w:type="dxa"/>
            <w:vAlign w:val="center"/>
          </w:tcPr>
          <w:p w14:paraId="07FDC53E">
            <w:pPr>
              <w:keepNext w:val="0"/>
              <w:keepLines w:val="0"/>
              <w:widowControl/>
              <w:suppressLineNumbers w:val="0"/>
              <w:adjustRightInd/>
              <w:spacing w:line="240" w:lineRule="auto"/>
              <w:jc w:val="center"/>
              <w:rPr>
                <w:rFonts w:hint="default" w:ascii="Times New Roman" w:hAnsi="宋体" w:eastAsia="宋体" w:cs="Times New Roman"/>
                <w:color w:val="auto"/>
                <w:sz w:val="18"/>
                <w:szCs w:val="18"/>
                <w:vertAlign w:val="baseline"/>
                <w:lang w:val="en-US" w:eastAsia="zh-CN"/>
              </w:rPr>
            </w:pPr>
            <w:r>
              <w:rPr>
                <w:rFonts w:hint="default" w:ascii="Times New Roman" w:hAnsi="宋体" w:eastAsia="宋体" w:cs="Times New Roman"/>
                <w:i w:val="0"/>
                <w:iCs w:val="0"/>
                <w:caps w:val="0"/>
                <w:color w:val="auto"/>
                <w:spacing w:val="0"/>
                <w:kern w:val="2"/>
                <w:sz w:val="18"/>
                <w:szCs w:val="18"/>
                <w:lang w:val="en-US" w:eastAsia="zh-CN" w:bidi="ar"/>
              </w:rPr>
              <w:t>地磅/化验</w:t>
            </w:r>
          </w:p>
        </w:tc>
        <w:tc>
          <w:tcPr>
            <w:tcW w:w="1169" w:type="dxa"/>
            <w:vAlign w:val="center"/>
          </w:tcPr>
          <w:p w14:paraId="5DB65B7A">
            <w:pPr>
              <w:keepNext w:val="0"/>
              <w:keepLines w:val="0"/>
              <w:widowControl/>
              <w:suppressLineNumbers w:val="0"/>
              <w:adjustRightInd/>
              <w:spacing w:line="240" w:lineRule="auto"/>
              <w:jc w:val="center"/>
              <w:rPr>
                <w:rFonts w:hint="default" w:ascii="Times New Roman" w:hAnsi="宋体" w:eastAsia="宋体" w:cs="Times New Roman"/>
                <w:color w:val="auto"/>
                <w:sz w:val="18"/>
                <w:szCs w:val="18"/>
                <w:vertAlign w:val="baseline"/>
                <w:lang w:val="en-US" w:eastAsia="zh-CN"/>
              </w:rPr>
            </w:pPr>
            <w:r>
              <w:rPr>
                <w:rFonts w:hint="default" w:ascii="Times New Roman" w:hAnsi="宋体" w:eastAsia="宋体" w:cs="Times New Roman"/>
                <w:i w:val="0"/>
                <w:iCs w:val="0"/>
                <w:caps w:val="0"/>
                <w:color w:val="auto"/>
                <w:spacing w:val="0"/>
                <w:kern w:val="2"/>
                <w:sz w:val="18"/>
                <w:szCs w:val="18"/>
                <w:lang w:val="en-US" w:eastAsia="zh-CN" w:bidi="ar"/>
              </w:rPr>
              <w:t>批次计量</w:t>
            </w:r>
          </w:p>
        </w:tc>
        <w:tc>
          <w:tcPr>
            <w:tcW w:w="1170" w:type="dxa"/>
            <w:vAlign w:val="center"/>
          </w:tcPr>
          <w:p w14:paraId="6099DD0E">
            <w:pPr>
              <w:keepNext w:val="0"/>
              <w:keepLines w:val="0"/>
              <w:widowControl/>
              <w:suppressLineNumbers w:val="0"/>
              <w:adjustRightInd/>
              <w:spacing w:line="240" w:lineRule="auto"/>
              <w:jc w:val="center"/>
              <w:rPr>
                <w:rFonts w:hint="default" w:ascii="Times New Roman" w:hAnsi="宋体" w:eastAsia="宋体" w:cs="Times New Roman"/>
                <w:color w:val="auto"/>
                <w:sz w:val="18"/>
                <w:szCs w:val="18"/>
                <w:vertAlign w:val="baseline"/>
                <w:lang w:val="en-US" w:eastAsia="zh-CN"/>
              </w:rPr>
            </w:pPr>
            <w:r>
              <w:rPr>
                <w:rFonts w:hint="default" w:ascii="Times New Roman" w:hAnsi="宋体" w:eastAsia="宋体" w:cs="Times New Roman"/>
                <w:i w:val="0"/>
                <w:iCs w:val="0"/>
                <w:caps w:val="0"/>
                <w:color w:val="auto"/>
                <w:spacing w:val="0"/>
                <w:kern w:val="2"/>
                <w:sz w:val="18"/>
                <w:szCs w:val="18"/>
                <w:lang w:val="en-US" w:eastAsia="zh-CN" w:bidi="ar"/>
              </w:rPr>
              <w:t>202X年</w:t>
            </w:r>
          </w:p>
        </w:tc>
        <w:tc>
          <w:tcPr>
            <w:tcW w:w="1170" w:type="dxa"/>
            <w:vAlign w:val="center"/>
          </w:tcPr>
          <w:p w14:paraId="7DE5C966">
            <w:pPr>
              <w:keepNext w:val="0"/>
              <w:keepLines w:val="0"/>
              <w:widowControl/>
              <w:suppressLineNumbers w:val="0"/>
              <w:adjustRightInd/>
              <w:spacing w:line="240" w:lineRule="auto"/>
              <w:jc w:val="center"/>
              <w:rPr>
                <w:rFonts w:hint="default" w:ascii="Times New Roman" w:hAnsi="宋体" w:eastAsia="宋体" w:cs="Times New Roman"/>
                <w:color w:val="auto"/>
                <w:sz w:val="18"/>
                <w:szCs w:val="18"/>
                <w:vertAlign w:val="baseline"/>
                <w:lang w:val="en-US" w:eastAsia="zh-CN"/>
              </w:rPr>
            </w:pPr>
            <w:r>
              <w:rPr>
                <w:rFonts w:hint="default" w:ascii="Times New Roman" w:hAnsi="宋体" w:eastAsia="宋体" w:cs="Times New Roman"/>
                <w:i w:val="0"/>
                <w:iCs w:val="0"/>
                <w:caps w:val="0"/>
                <w:color w:val="auto"/>
                <w:spacing w:val="0"/>
                <w:kern w:val="2"/>
                <w:sz w:val="18"/>
                <w:szCs w:val="18"/>
                <w:lang w:val="en-US" w:eastAsia="zh-CN" w:bidi="ar"/>
              </w:rPr>
              <w:t>Ag≥99.95%</w:t>
            </w:r>
          </w:p>
        </w:tc>
      </w:tr>
      <w:tr w14:paraId="6AECD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9" w:type="dxa"/>
            <w:vAlign w:val="center"/>
          </w:tcPr>
          <w:p w14:paraId="768AAFC5">
            <w:pPr>
              <w:keepNext w:val="0"/>
              <w:keepLines w:val="0"/>
              <w:widowControl/>
              <w:suppressLineNumbers w:val="0"/>
              <w:adjustRightInd/>
              <w:spacing w:line="240" w:lineRule="auto"/>
              <w:jc w:val="center"/>
              <w:rPr>
                <w:rFonts w:hint="default" w:ascii="Times New Roman" w:hAnsi="宋体" w:eastAsia="宋体" w:cs="Times New Roman"/>
                <w:color w:val="auto"/>
                <w:sz w:val="18"/>
                <w:szCs w:val="18"/>
                <w:vertAlign w:val="baseline"/>
                <w:lang w:val="en-US" w:eastAsia="zh-CN"/>
              </w:rPr>
            </w:pPr>
            <w:r>
              <w:rPr>
                <w:rFonts w:hint="default" w:ascii="Times New Roman" w:hAnsi="宋体" w:eastAsia="宋体" w:cs="Times New Roman"/>
                <w:i w:val="0"/>
                <w:iCs w:val="0"/>
                <w:caps w:val="0"/>
                <w:color w:val="auto"/>
                <w:spacing w:val="0"/>
                <w:kern w:val="2"/>
                <w:sz w:val="18"/>
                <w:szCs w:val="18"/>
                <w:lang w:val="en-US" w:eastAsia="zh-CN" w:bidi="ar"/>
              </w:rPr>
              <w:t>输出</w:t>
            </w:r>
          </w:p>
        </w:tc>
        <w:tc>
          <w:tcPr>
            <w:tcW w:w="1169" w:type="dxa"/>
            <w:vAlign w:val="center"/>
          </w:tcPr>
          <w:p w14:paraId="6C849CC2">
            <w:pPr>
              <w:keepNext w:val="0"/>
              <w:keepLines w:val="0"/>
              <w:widowControl/>
              <w:suppressLineNumbers w:val="0"/>
              <w:adjustRightInd/>
              <w:spacing w:line="240" w:lineRule="auto"/>
              <w:jc w:val="center"/>
              <w:rPr>
                <w:rFonts w:hint="default" w:ascii="Times New Roman" w:hAnsi="宋体" w:eastAsia="宋体" w:cs="Times New Roman"/>
                <w:color w:val="auto"/>
                <w:sz w:val="18"/>
                <w:szCs w:val="18"/>
                <w:vertAlign w:val="baseline"/>
                <w:lang w:val="en-US" w:eastAsia="zh-CN"/>
              </w:rPr>
            </w:pPr>
            <w:r>
              <w:rPr>
                <w:rFonts w:hint="default" w:ascii="Times New Roman" w:hAnsi="宋体" w:eastAsia="宋体" w:cs="Times New Roman"/>
                <w:i w:val="0"/>
                <w:iCs w:val="0"/>
                <w:caps w:val="0"/>
                <w:color w:val="auto"/>
                <w:spacing w:val="0"/>
                <w:kern w:val="2"/>
                <w:sz w:val="18"/>
                <w:szCs w:val="18"/>
                <w:lang w:val="en-US" w:eastAsia="zh-CN" w:bidi="ar"/>
              </w:rPr>
              <w:t>阳极泥（含银）</w:t>
            </w:r>
          </w:p>
        </w:tc>
        <w:tc>
          <w:tcPr>
            <w:tcW w:w="1169" w:type="dxa"/>
            <w:vAlign w:val="center"/>
          </w:tcPr>
          <w:p w14:paraId="0031F996">
            <w:pPr>
              <w:adjustRightInd/>
              <w:spacing w:line="240" w:lineRule="auto"/>
              <w:jc w:val="center"/>
              <w:rPr>
                <w:rFonts w:hint="default" w:ascii="Times New Roman" w:hAnsi="宋体" w:eastAsia="宋体" w:cs="Times New Roman"/>
                <w:color w:val="auto"/>
                <w:sz w:val="18"/>
                <w:szCs w:val="18"/>
                <w:vertAlign w:val="baseline"/>
                <w:lang w:val="en-US" w:eastAsia="zh-CN"/>
              </w:rPr>
            </w:pPr>
          </w:p>
        </w:tc>
        <w:tc>
          <w:tcPr>
            <w:tcW w:w="1169" w:type="dxa"/>
            <w:vAlign w:val="center"/>
          </w:tcPr>
          <w:p w14:paraId="4FB2FFCC">
            <w:pPr>
              <w:keepNext w:val="0"/>
              <w:keepLines w:val="0"/>
              <w:widowControl/>
              <w:suppressLineNumbers w:val="0"/>
              <w:adjustRightInd/>
              <w:spacing w:line="240" w:lineRule="auto"/>
              <w:jc w:val="center"/>
              <w:rPr>
                <w:rFonts w:hint="default" w:ascii="Times New Roman" w:hAnsi="宋体" w:eastAsia="宋体" w:cs="Times New Roman"/>
                <w:color w:val="auto"/>
                <w:sz w:val="18"/>
                <w:szCs w:val="18"/>
                <w:vertAlign w:val="baseline"/>
                <w:lang w:val="en-US" w:eastAsia="zh-CN"/>
              </w:rPr>
            </w:pPr>
            <w:r>
              <w:rPr>
                <w:rFonts w:hint="default" w:ascii="Times New Roman" w:hAnsi="宋体" w:eastAsia="宋体" w:cs="Times New Roman"/>
                <w:i w:val="0"/>
                <w:iCs w:val="0"/>
                <w:caps w:val="0"/>
                <w:color w:val="auto"/>
                <w:spacing w:val="0"/>
                <w:kern w:val="2"/>
                <w:sz w:val="18"/>
                <w:szCs w:val="18"/>
                <w:lang w:val="en-US" w:eastAsia="zh-CN" w:bidi="ar"/>
              </w:rPr>
              <w:t>kg</w:t>
            </w:r>
          </w:p>
        </w:tc>
        <w:tc>
          <w:tcPr>
            <w:tcW w:w="1169" w:type="dxa"/>
            <w:vAlign w:val="center"/>
          </w:tcPr>
          <w:p w14:paraId="6CE021D5">
            <w:pPr>
              <w:keepNext w:val="0"/>
              <w:keepLines w:val="0"/>
              <w:widowControl/>
              <w:suppressLineNumbers w:val="0"/>
              <w:adjustRightInd/>
              <w:spacing w:line="240" w:lineRule="auto"/>
              <w:jc w:val="center"/>
              <w:rPr>
                <w:rFonts w:hint="default" w:ascii="Times New Roman" w:hAnsi="宋体" w:eastAsia="宋体" w:cs="Times New Roman"/>
                <w:color w:val="auto"/>
                <w:sz w:val="18"/>
                <w:szCs w:val="18"/>
                <w:vertAlign w:val="baseline"/>
                <w:lang w:val="en-US" w:eastAsia="zh-CN"/>
              </w:rPr>
            </w:pPr>
            <w:r>
              <w:rPr>
                <w:rFonts w:hint="default" w:ascii="Times New Roman" w:hAnsi="宋体" w:eastAsia="宋体" w:cs="Times New Roman"/>
                <w:i w:val="0"/>
                <w:iCs w:val="0"/>
                <w:caps w:val="0"/>
                <w:color w:val="auto"/>
                <w:spacing w:val="0"/>
                <w:kern w:val="2"/>
                <w:sz w:val="18"/>
                <w:szCs w:val="18"/>
                <w:lang w:val="en-US" w:eastAsia="zh-CN" w:bidi="ar"/>
              </w:rPr>
              <w:t>化验</w:t>
            </w:r>
          </w:p>
        </w:tc>
        <w:tc>
          <w:tcPr>
            <w:tcW w:w="1169" w:type="dxa"/>
            <w:vAlign w:val="center"/>
          </w:tcPr>
          <w:p w14:paraId="0C12E22E">
            <w:pPr>
              <w:keepNext w:val="0"/>
              <w:keepLines w:val="0"/>
              <w:widowControl/>
              <w:suppressLineNumbers w:val="0"/>
              <w:adjustRightInd/>
              <w:spacing w:line="240" w:lineRule="auto"/>
              <w:jc w:val="center"/>
              <w:rPr>
                <w:rFonts w:hint="default" w:ascii="Times New Roman" w:hAnsi="宋体" w:eastAsia="宋体" w:cs="Times New Roman"/>
                <w:color w:val="auto"/>
                <w:sz w:val="18"/>
                <w:szCs w:val="18"/>
                <w:vertAlign w:val="baseline"/>
                <w:lang w:val="en-US" w:eastAsia="zh-CN"/>
              </w:rPr>
            </w:pPr>
            <w:r>
              <w:rPr>
                <w:rFonts w:hint="default" w:ascii="Times New Roman" w:hAnsi="宋体" w:eastAsia="宋体" w:cs="Times New Roman"/>
                <w:i w:val="0"/>
                <w:iCs w:val="0"/>
                <w:caps w:val="0"/>
                <w:color w:val="auto"/>
                <w:spacing w:val="0"/>
                <w:kern w:val="2"/>
                <w:sz w:val="18"/>
                <w:szCs w:val="18"/>
                <w:lang w:val="en-US" w:eastAsia="zh-CN" w:bidi="ar"/>
              </w:rPr>
              <w:t>批次计量</w:t>
            </w:r>
          </w:p>
        </w:tc>
        <w:tc>
          <w:tcPr>
            <w:tcW w:w="1170" w:type="dxa"/>
            <w:vAlign w:val="center"/>
          </w:tcPr>
          <w:p w14:paraId="21B953EB">
            <w:pPr>
              <w:keepNext w:val="0"/>
              <w:keepLines w:val="0"/>
              <w:widowControl/>
              <w:suppressLineNumbers w:val="0"/>
              <w:adjustRightInd/>
              <w:spacing w:line="240" w:lineRule="auto"/>
              <w:jc w:val="center"/>
              <w:rPr>
                <w:rFonts w:hint="default" w:ascii="Times New Roman" w:hAnsi="宋体" w:eastAsia="宋体" w:cs="Times New Roman"/>
                <w:color w:val="auto"/>
                <w:sz w:val="18"/>
                <w:szCs w:val="18"/>
                <w:vertAlign w:val="baseline"/>
                <w:lang w:val="en-US" w:eastAsia="zh-CN"/>
              </w:rPr>
            </w:pPr>
            <w:r>
              <w:rPr>
                <w:rFonts w:hint="default" w:ascii="Times New Roman" w:hAnsi="宋体" w:eastAsia="宋体" w:cs="Times New Roman"/>
                <w:i w:val="0"/>
                <w:iCs w:val="0"/>
                <w:caps w:val="0"/>
                <w:color w:val="auto"/>
                <w:spacing w:val="0"/>
                <w:kern w:val="2"/>
                <w:sz w:val="18"/>
                <w:szCs w:val="18"/>
                <w:lang w:val="en-US" w:eastAsia="zh-CN" w:bidi="ar"/>
              </w:rPr>
              <w:t>202X年</w:t>
            </w:r>
          </w:p>
        </w:tc>
        <w:tc>
          <w:tcPr>
            <w:tcW w:w="1170" w:type="dxa"/>
            <w:vAlign w:val="center"/>
          </w:tcPr>
          <w:p w14:paraId="5974F361">
            <w:pPr>
              <w:keepNext w:val="0"/>
              <w:keepLines w:val="0"/>
              <w:widowControl/>
              <w:suppressLineNumbers w:val="0"/>
              <w:adjustRightInd/>
              <w:spacing w:line="240" w:lineRule="auto"/>
              <w:jc w:val="center"/>
              <w:rPr>
                <w:rFonts w:hint="default" w:ascii="Times New Roman" w:hAnsi="宋体" w:eastAsia="宋体" w:cs="Times New Roman"/>
                <w:color w:val="auto"/>
                <w:sz w:val="18"/>
                <w:szCs w:val="18"/>
                <w:vertAlign w:val="baseline"/>
                <w:lang w:val="en-US" w:eastAsia="zh-CN"/>
              </w:rPr>
            </w:pPr>
            <w:r>
              <w:rPr>
                <w:rFonts w:hint="default" w:ascii="Times New Roman" w:hAnsi="宋体" w:eastAsia="宋体" w:cs="Times New Roman"/>
                <w:i w:val="0"/>
                <w:iCs w:val="0"/>
                <w:caps w:val="0"/>
                <w:color w:val="auto"/>
                <w:spacing w:val="0"/>
                <w:kern w:val="2"/>
                <w:sz w:val="18"/>
                <w:szCs w:val="18"/>
                <w:lang w:val="en-US" w:eastAsia="zh-CN" w:bidi="ar"/>
              </w:rPr>
              <w:t>如适用</w:t>
            </w:r>
          </w:p>
        </w:tc>
      </w:tr>
      <w:tr w14:paraId="2B08A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9" w:type="dxa"/>
            <w:vAlign w:val="center"/>
          </w:tcPr>
          <w:p w14:paraId="2DE0EDD9">
            <w:pPr>
              <w:keepNext w:val="0"/>
              <w:keepLines w:val="0"/>
              <w:widowControl/>
              <w:suppressLineNumbers w:val="0"/>
              <w:adjustRightInd/>
              <w:spacing w:line="240" w:lineRule="auto"/>
              <w:jc w:val="center"/>
              <w:rPr>
                <w:rFonts w:hint="default" w:ascii="Times New Roman" w:hAnsi="宋体" w:eastAsia="宋体" w:cs="Times New Roman"/>
                <w:color w:val="auto"/>
                <w:sz w:val="18"/>
                <w:szCs w:val="18"/>
                <w:vertAlign w:val="baseline"/>
                <w:lang w:val="en-US" w:eastAsia="zh-CN"/>
              </w:rPr>
            </w:pPr>
            <w:r>
              <w:rPr>
                <w:rFonts w:hint="default" w:ascii="Times New Roman" w:hAnsi="宋体" w:eastAsia="宋体" w:cs="Times New Roman"/>
                <w:i w:val="0"/>
                <w:iCs w:val="0"/>
                <w:caps w:val="0"/>
                <w:color w:val="auto"/>
                <w:spacing w:val="0"/>
                <w:kern w:val="2"/>
                <w:sz w:val="18"/>
                <w:szCs w:val="18"/>
                <w:lang w:val="en-US" w:eastAsia="zh-CN" w:bidi="ar"/>
              </w:rPr>
              <w:t>输出</w:t>
            </w:r>
          </w:p>
        </w:tc>
        <w:tc>
          <w:tcPr>
            <w:tcW w:w="1169" w:type="dxa"/>
            <w:vAlign w:val="center"/>
          </w:tcPr>
          <w:p w14:paraId="09F5466C">
            <w:pPr>
              <w:keepNext w:val="0"/>
              <w:keepLines w:val="0"/>
              <w:widowControl/>
              <w:suppressLineNumbers w:val="0"/>
              <w:adjustRightInd/>
              <w:spacing w:line="240" w:lineRule="auto"/>
              <w:jc w:val="center"/>
              <w:rPr>
                <w:rFonts w:hint="default" w:ascii="Times New Roman" w:hAnsi="宋体" w:eastAsia="宋体" w:cs="Times New Roman"/>
                <w:color w:val="auto"/>
                <w:sz w:val="18"/>
                <w:szCs w:val="18"/>
                <w:vertAlign w:val="baseline"/>
                <w:lang w:val="en-US" w:eastAsia="zh-CN"/>
              </w:rPr>
            </w:pPr>
            <w:r>
              <w:rPr>
                <w:rFonts w:hint="default" w:ascii="Times New Roman" w:hAnsi="宋体" w:eastAsia="宋体" w:cs="Times New Roman"/>
                <w:i w:val="0"/>
                <w:iCs w:val="0"/>
                <w:caps w:val="0"/>
                <w:color w:val="auto"/>
                <w:spacing w:val="0"/>
                <w:kern w:val="2"/>
                <w:sz w:val="18"/>
                <w:szCs w:val="18"/>
                <w:lang w:val="en-US" w:eastAsia="zh-CN" w:bidi="ar"/>
              </w:rPr>
              <w:t>炉渣</w:t>
            </w:r>
          </w:p>
        </w:tc>
        <w:tc>
          <w:tcPr>
            <w:tcW w:w="1169" w:type="dxa"/>
            <w:vAlign w:val="center"/>
          </w:tcPr>
          <w:p w14:paraId="6B9E90D2">
            <w:pPr>
              <w:adjustRightInd/>
              <w:spacing w:line="240" w:lineRule="auto"/>
              <w:jc w:val="center"/>
              <w:rPr>
                <w:rFonts w:hint="default" w:ascii="Times New Roman" w:hAnsi="宋体" w:eastAsia="宋体" w:cs="Times New Roman"/>
                <w:color w:val="auto"/>
                <w:sz w:val="18"/>
                <w:szCs w:val="18"/>
                <w:vertAlign w:val="baseline"/>
                <w:lang w:val="en-US" w:eastAsia="zh-CN"/>
              </w:rPr>
            </w:pPr>
          </w:p>
        </w:tc>
        <w:tc>
          <w:tcPr>
            <w:tcW w:w="1169" w:type="dxa"/>
            <w:vAlign w:val="center"/>
          </w:tcPr>
          <w:p w14:paraId="1EAA1294">
            <w:pPr>
              <w:keepNext w:val="0"/>
              <w:keepLines w:val="0"/>
              <w:widowControl/>
              <w:suppressLineNumbers w:val="0"/>
              <w:adjustRightInd/>
              <w:spacing w:line="240" w:lineRule="auto"/>
              <w:jc w:val="center"/>
              <w:rPr>
                <w:rFonts w:hint="default" w:ascii="Times New Roman" w:hAnsi="宋体" w:eastAsia="宋体" w:cs="Times New Roman"/>
                <w:color w:val="auto"/>
                <w:sz w:val="18"/>
                <w:szCs w:val="18"/>
                <w:vertAlign w:val="baseline"/>
                <w:lang w:val="en-US" w:eastAsia="zh-CN"/>
              </w:rPr>
            </w:pPr>
            <w:r>
              <w:rPr>
                <w:rFonts w:hint="default" w:ascii="Times New Roman" w:hAnsi="宋体" w:eastAsia="宋体" w:cs="Times New Roman"/>
                <w:i w:val="0"/>
                <w:iCs w:val="0"/>
                <w:caps w:val="0"/>
                <w:color w:val="auto"/>
                <w:spacing w:val="0"/>
                <w:kern w:val="2"/>
                <w:sz w:val="18"/>
                <w:szCs w:val="18"/>
                <w:lang w:val="en-US" w:eastAsia="zh-CN" w:bidi="ar"/>
              </w:rPr>
              <w:t>t</w:t>
            </w:r>
          </w:p>
        </w:tc>
        <w:tc>
          <w:tcPr>
            <w:tcW w:w="1169" w:type="dxa"/>
            <w:vAlign w:val="center"/>
          </w:tcPr>
          <w:p w14:paraId="5EC31CDA">
            <w:pPr>
              <w:keepNext w:val="0"/>
              <w:keepLines w:val="0"/>
              <w:widowControl/>
              <w:suppressLineNumbers w:val="0"/>
              <w:adjustRightInd/>
              <w:spacing w:line="240" w:lineRule="auto"/>
              <w:jc w:val="center"/>
              <w:rPr>
                <w:rFonts w:hint="default" w:ascii="Times New Roman" w:hAnsi="宋体" w:eastAsia="宋体" w:cs="Times New Roman"/>
                <w:color w:val="auto"/>
                <w:sz w:val="18"/>
                <w:szCs w:val="18"/>
                <w:vertAlign w:val="baseline"/>
                <w:lang w:val="en-US" w:eastAsia="zh-CN"/>
              </w:rPr>
            </w:pPr>
            <w:r>
              <w:rPr>
                <w:rFonts w:hint="default" w:ascii="Times New Roman" w:hAnsi="宋体" w:eastAsia="宋体" w:cs="Times New Roman"/>
                <w:i w:val="0"/>
                <w:iCs w:val="0"/>
                <w:caps w:val="0"/>
                <w:color w:val="auto"/>
                <w:spacing w:val="0"/>
                <w:kern w:val="2"/>
                <w:sz w:val="18"/>
                <w:szCs w:val="18"/>
                <w:lang w:val="en-US" w:eastAsia="zh-CN" w:bidi="ar"/>
              </w:rPr>
              <w:t>估算</w:t>
            </w:r>
          </w:p>
        </w:tc>
        <w:tc>
          <w:tcPr>
            <w:tcW w:w="1169" w:type="dxa"/>
            <w:vAlign w:val="center"/>
          </w:tcPr>
          <w:p w14:paraId="5197B6B2">
            <w:pPr>
              <w:keepNext w:val="0"/>
              <w:keepLines w:val="0"/>
              <w:widowControl/>
              <w:suppressLineNumbers w:val="0"/>
              <w:adjustRightInd/>
              <w:spacing w:line="240" w:lineRule="auto"/>
              <w:jc w:val="center"/>
              <w:rPr>
                <w:rFonts w:hint="default" w:ascii="Times New Roman" w:hAnsi="宋体" w:eastAsia="宋体" w:cs="Times New Roman"/>
                <w:color w:val="auto"/>
                <w:sz w:val="18"/>
                <w:szCs w:val="18"/>
                <w:vertAlign w:val="baseline"/>
                <w:lang w:val="en-US" w:eastAsia="zh-CN"/>
              </w:rPr>
            </w:pPr>
            <w:r>
              <w:rPr>
                <w:rFonts w:hint="default" w:ascii="Times New Roman" w:hAnsi="宋体" w:eastAsia="宋体" w:cs="Times New Roman"/>
                <w:i w:val="0"/>
                <w:iCs w:val="0"/>
                <w:caps w:val="0"/>
                <w:color w:val="auto"/>
                <w:spacing w:val="0"/>
                <w:kern w:val="2"/>
                <w:sz w:val="18"/>
                <w:szCs w:val="18"/>
                <w:lang w:val="en-US" w:eastAsia="zh-CN" w:bidi="ar"/>
              </w:rPr>
              <w:t>—</w:t>
            </w:r>
          </w:p>
        </w:tc>
        <w:tc>
          <w:tcPr>
            <w:tcW w:w="1170" w:type="dxa"/>
            <w:vAlign w:val="center"/>
          </w:tcPr>
          <w:p w14:paraId="30869EAC">
            <w:pPr>
              <w:keepNext w:val="0"/>
              <w:keepLines w:val="0"/>
              <w:widowControl/>
              <w:suppressLineNumbers w:val="0"/>
              <w:adjustRightInd/>
              <w:spacing w:line="240" w:lineRule="auto"/>
              <w:jc w:val="center"/>
              <w:rPr>
                <w:rFonts w:hint="default" w:ascii="Times New Roman" w:hAnsi="宋体" w:eastAsia="宋体" w:cs="Times New Roman"/>
                <w:color w:val="auto"/>
                <w:sz w:val="18"/>
                <w:szCs w:val="18"/>
                <w:vertAlign w:val="baseline"/>
                <w:lang w:val="en-US" w:eastAsia="zh-CN"/>
              </w:rPr>
            </w:pPr>
            <w:r>
              <w:rPr>
                <w:rFonts w:hint="default" w:ascii="Times New Roman" w:hAnsi="宋体" w:eastAsia="宋体" w:cs="Times New Roman"/>
                <w:i w:val="0"/>
                <w:iCs w:val="0"/>
                <w:caps w:val="0"/>
                <w:color w:val="auto"/>
                <w:spacing w:val="0"/>
                <w:kern w:val="2"/>
                <w:sz w:val="18"/>
                <w:szCs w:val="18"/>
                <w:lang w:val="en-US" w:eastAsia="zh-CN" w:bidi="ar"/>
              </w:rPr>
              <w:t>202X年</w:t>
            </w:r>
          </w:p>
        </w:tc>
        <w:tc>
          <w:tcPr>
            <w:tcW w:w="1170" w:type="dxa"/>
            <w:vAlign w:val="center"/>
          </w:tcPr>
          <w:p w14:paraId="204B8B5C">
            <w:pPr>
              <w:adjustRightInd/>
              <w:spacing w:line="240" w:lineRule="auto"/>
              <w:jc w:val="center"/>
              <w:rPr>
                <w:rFonts w:hint="default" w:ascii="Times New Roman" w:hAnsi="宋体" w:eastAsia="宋体" w:cs="Times New Roman"/>
                <w:color w:val="auto"/>
                <w:sz w:val="18"/>
                <w:szCs w:val="18"/>
                <w:vertAlign w:val="baseline"/>
                <w:lang w:val="en-US" w:eastAsia="zh-CN"/>
              </w:rPr>
            </w:pPr>
          </w:p>
        </w:tc>
      </w:tr>
      <w:tr w14:paraId="34D96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9" w:type="dxa"/>
            <w:vAlign w:val="center"/>
          </w:tcPr>
          <w:p w14:paraId="5635BEC2">
            <w:pPr>
              <w:keepNext w:val="0"/>
              <w:keepLines w:val="0"/>
              <w:widowControl/>
              <w:suppressLineNumbers w:val="0"/>
              <w:adjustRightInd/>
              <w:spacing w:line="240" w:lineRule="auto"/>
              <w:jc w:val="center"/>
              <w:rPr>
                <w:rFonts w:hint="default" w:ascii="Times New Roman" w:hAnsi="宋体" w:eastAsia="宋体" w:cs="Times New Roman"/>
                <w:color w:val="auto"/>
                <w:sz w:val="18"/>
                <w:szCs w:val="18"/>
                <w:vertAlign w:val="baseline"/>
                <w:lang w:val="en-US" w:eastAsia="zh-CN"/>
              </w:rPr>
            </w:pPr>
            <w:r>
              <w:rPr>
                <w:rFonts w:hint="default" w:ascii="Times New Roman" w:hAnsi="宋体" w:eastAsia="宋体" w:cs="Times New Roman"/>
                <w:i w:val="0"/>
                <w:iCs w:val="0"/>
                <w:caps w:val="0"/>
                <w:color w:val="auto"/>
                <w:spacing w:val="0"/>
                <w:kern w:val="2"/>
                <w:sz w:val="18"/>
                <w:szCs w:val="18"/>
                <w:lang w:val="en-US" w:eastAsia="zh-CN" w:bidi="ar"/>
              </w:rPr>
              <w:t>输出</w:t>
            </w:r>
          </w:p>
        </w:tc>
        <w:tc>
          <w:tcPr>
            <w:tcW w:w="1169" w:type="dxa"/>
            <w:vAlign w:val="center"/>
          </w:tcPr>
          <w:p w14:paraId="1DABFE68">
            <w:pPr>
              <w:keepNext w:val="0"/>
              <w:keepLines w:val="0"/>
              <w:widowControl/>
              <w:suppressLineNumbers w:val="0"/>
              <w:adjustRightInd/>
              <w:spacing w:line="240" w:lineRule="auto"/>
              <w:jc w:val="center"/>
              <w:rPr>
                <w:rFonts w:hint="default" w:ascii="Times New Roman" w:hAnsi="宋体" w:eastAsia="宋体" w:cs="Times New Roman"/>
                <w:color w:val="auto"/>
                <w:sz w:val="18"/>
                <w:szCs w:val="18"/>
                <w:vertAlign w:val="baseline"/>
                <w:lang w:val="en-US" w:eastAsia="zh-CN"/>
              </w:rPr>
            </w:pPr>
            <w:r>
              <w:rPr>
                <w:rFonts w:hint="default" w:ascii="Times New Roman" w:hAnsi="宋体" w:eastAsia="宋体" w:cs="Times New Roman"/>
                <w:i w:val="0"/>
                <w:iCs w:val="0"/>
                <w:caps w:val="0"/>
                <w:color w:val="auto"/>
                <w:spacing w:val="0"/>
                <w:kern w:val="2"/>
                <w:sz w:val="18"/>
                <w:szCs w:val="18"/>
                <w:lang w:val="en-US" w:eastAsia="zh-CN" w:bidi="ar"/>
              </w:rPr>
              <w:t>烟气</w:t>
            </w:r>
          </w:p>
        </w:tc>
        <w:tc>
          <w:tcPr>
            <w:tcW w:w="1169" w:type="dxa"/>
            <w:vAlign w:val="center"/>
          </w:tcPr>
          <w:p w14:paraId="5AB01566">
            <w:pPr>
              <w:adjustRightInd/>
              <w:spacing w:line="240" w:lineRule="auto"/>
              <w:jc w:val="center"/>
              <w:rPr>
                <w:rFonts w:hint="default" w:ascii="Times New Roman" w:hAnsi="宋体" w:eastAsia="宋体" w:cs="Times New Roman"/>
                <w:color w:val="auto"/>
                <w:sz w:val="18"/>
                <w:szCs w:val="18"/>
                <w:vertAlign w:val="baseline"/>
                <w:lang w:val="en-US" w:eastAsia="zh-CN"/>
              </w:rPr>
            </w:pPr>
          </w:p>
        </w:tc>
        <w:tc>
          <w:tcPr>
            <w:tcW w:w="1169" w:type="dxa"/>
            <w:vAlign w:val="center"/>
          </w:tcPr>
          <w:p w14:paraId="51020A96">
            <w:pPr>
              <w:keepNext w:val="0"/>
              <w:keepLines w:val="0"/>
              <w:widowControl/>
              <w:suppressLineNumbers w:val="0"/>
              <w:adjustRightInd/>
              <w:spacing w:line="240" w:lineRule="auto"/>
              <w:jc w:val="center"/>
              <w:rPr>
                <w:rFonts w:hint="default" w:ascii="Times New Roman" w:hAnsi="宋体" w:eastAsia="宋体" w:cs="Times New Roman"/>
                <w:color w:val="auto"/>
                <w:sz w:val="18"/>
                <w:szCs w:val="18"/>
                <w:vertAlign w:val="baseline"/>
                <w:lang w:val="en-US" w:eastAsia="zh-CN"/>
              </w:rPr>
            </w:pPr>
            <w:r>
              <w:rPr>
                <w:rFonts w:hint="default" w:ascii="Times New Roman" w:hAnsi="宋体" w:eastAsia="宋体" w:cs="Times New Roman"/>
                <w:i w:val="0"/>
                <w:iCs w:val="0"/>
                <w:caps w:val="0"/>
                <w:color w:val="auto"/>
                <w:spacing w:val="0"/>
                <w:kern w:val="2"/>
                <w:sz w:val="18"/>
                <w:szCs w:val="18"/>
                <w:lang w:val="en-US" w:eastAsia="zh-CN" w:bidi="ar"/>
              </w:rPr>
              <w:t>—</w:t>
            </w:r>
          </w:p>
        </w:tc>
        <w:tc>
          <w:tcPr>
            <w:tcW w:w="1169" w:type="dxa"/>
            <w:vAlign w:val="center"/>
          </w:tcPr>
          <w:p w14:paraId="1D9D4011">
            <w:pPr>
              <w:keepNext w:val="0"/>
              <w:keepLines w:val="0"/>
              <w:widowControl/>
              <w:suppressLineNumbers w:val="0"/>
              <w:adjustRightInd/>
              <w:spacing w:line="240" w:lineRule="auto"/>
              <w:jc w:val="center"/>
              <w:rPr>
                <w:rFonts w:hint="default" w:ascii="Times New Roman" w:hAnsi="宋体" w:eastAsia="宋体" w:cs="Times New Roman"/>
                <w:color w:val="auto"/>
                <w:sz w:val="18"/>
                <w:szCs w:val="18"/>
                <w:vertAlign w:val="baseline"/>
                <w:lang w:val="en-US" w:eastAsia="zh-CN"/>
              </w:rPr>
            </w:pPr>
            <w:r>
              <w:rPr>
                <w:rFonts w:hint="default" w:ascii="Times New Roman" w:hAnsi="宋体" w:eastAsia="宋体" w:cs="Times New Roman"/>
                <w:i w:val="0"/>
                <w:iCs w:val="0"/>
                <w:caps w:val="0"/>
                <w:color w:val="auto"/>
                <w:spacing w:val="0"/>
                <w:kern w:val="2"/>
                <w:sz w:val="18"/>
                <w:szCs w:val="18"/>
                <w:lang w:val="en-US" w:eastAsia="zh-CN" w:bidi="ar"/>
              </w:rPr>
              <w:t>监测</w:t>
            </w:r>
          </w:p>
        </w:tc>
        <w:tc>
          <w:tcPr>
            <w:tcW w:w="1169" w:type="dxa"/>
            <w:vAlign w:val="center"/>
          </w:tcPr>
          <w:p w14:paraId="163E28F3">
            <w:pPr>
              <w:keepNext w:val="0"/>
              <w:keepLines w:val="0"/>
              <w:widowControl/>
              <w:suppressLineNumbers w:val="0"/>
              <w:adjustRightInd/>
              <w:spacing w:line="240" w:lineRule="auto"/>
              <w:jc w:val="center"/>
              <w:rPr>
                <w:rFonts w:hint="default" w:ascii="Times New Roman" w:hAnsi="宋体" w:eastAsia="宋体" w:cs="Times New Roman"/>
                <w:color w:val="auto"/>
                <w:sz w:val="18"/>
                <w:szCs w:val="18"/>
                <w:vertAlign w:val="baseline"/>
                <w:lang w:val="en-US" w:eastAsia="zh-CN"/>
              </w:rPr>
            </w:pPr>
            <w:r>
              <w:rPr>
                <w:rFonts w:hint="default" w:ascii="Times New Roman" w:hAnsi="宋体" w:eastAsia="宋体" w:cs="Times New Roman"/>
                <w:i w:val="0"/>
                <w:iCs w:val="0"/>
                <w:caps w:val="0"/>
                <w:color w:val="auto"/>
                <w:spacing w:val="0"/>
                <w:kern w:val="2"/>
                <w:sz w:val="18"/>
                <w:szCs w:val="18"/>
                <w:lang w:val="en-US" w:eastAsia="zh-CN" w:bidi="ar"/>
              </w:rPr>
              <w:t>连续监测</w:t>
            </w:r>
          </w:p>
        </w:tc>
        <w:tc>
          <w:tcPr>
            <w:tcW w:w="1170" w:type="dxa"/>
            <w:vAlign w:val="center"/>
          </w:tcPr>
          <w:p w14:paraId="4EFBEBF2">
            <w:pPr>
              <w:keepNext w:val="0"/>
              <w:keepLines w:val="0"/>
              <w:widowControl/>
              <w:suppressLineNumbers w:val="0"/>
              <w:adjustRightInd/>
              <w:spacing w:line="240" w:lineRule="auto"/>
              <w:jc w:val="center"/>
              <w:rPr>
                <w:rFonts w:hint="default" w:ascii="Times New Roman" w:hAnsi="宋体" w:eastAsia="宋体" w:cs="Times New Roman"/>
                <w:color w:val="auto"/>
                <w:sz w:val="18"/>
                <w:szCs w:val="18"/>
                <w:vertAlign w:val="baseline"/>
                <w:lang w:val="en-US" w:eastAsia="zh-CN"/>
              </w:rPr>
            </w:pPr>
            <w:r>
              <w:rPr>
                <w:rFonts w:hint="default" w:ascii="Times New Roman" w:hAnsi="宋体" w:eastAsia="宋体" w:cs="Times New Roman"/>
                <w:i w:val="0"/>
                <w:iCs w:val="0"/>
                <w:caps w:val="0"/>
                <w:color w:val="auto"/>
                <w:spacing w:val="0"/>
                <w:kern w:val="2"/>
                <w:sz w:val="18"/>
                <w:szCs w:val="18"/>
                <w:lang w:val="en-US" w:eastAsia="zh-CN" w:bidi="ar"/>
              </w:rPr>
              <w:t>202X年</w:t>
            </w:r>
          </w:p>
        </w:tc>
        <w:tc>
          <w:tcPr>
            <w:tcW w:w="1170" w:type="dxa"/>
            <w:vAlign w:val="center"/>
          </w:tcPr>
          <w:p w14:paraId="0400958A">
            <w:pPr>
              <w:keepNext w:val="0"/>
              <w:keepLines w:val="0"/>
              <w:widowControl/>
              <w:suppressLineNumbers w:val="0"/>
              <w:adjustRightInd/>
              <w:spacing w:line="240" w:lineRule="auto"/>
              <w:jc w:val="center"/>
              <w:rPr>
                <w:rFonts w:hint="default" w:ascii="Times New Roman" w:hAnsi="宋体" w:eastAsia="宋体" w:cs="Times New Roman"/>
                <w:color w:val="auto"/>
                <w:sz w:val="18"/>
                <w:szCs w:val="18"/>
                <w:vertAlign w:val="baseline"/>
                <w:lang w:val="en-US" w:eastAsia="zh-CN"/>
              </w:rPr>
            </w:pPr>
            <w:r>
              <w:rPr>
                <w:rFonts w:hint="default" w:ascii="Times New Roman" w:hAnsi="宋体" w:eastAsia="宋体" w:cs="Times New Roman"/>
                <w:i w:val="0"/>
                <w:iCs w:val="0"/>
                <w:caps w:val="0"/>
                <w:color w:val="auto"/>
                <w:spacing w:val="0"/>
                <w:kern w:val="2"/>
                <w:sz w:val="18"/>
                <w:szCs w:val="18"/>
                <w:lang w:val="en-US" w:eastAsia="zh-CN" w:bidi="ar"/>
              </w:rPr>
              <w:t>含CO₂等</w:t>
            </w:r>
          </w:p>
        </w:tc>
      </w:tr>
    </w:tbl>
    <w:p w14:paraId="589EB169">
      <w:pPr>
        <w:spacing w:beforeLines="50" w:afterLines="50" w:line="360" w:lineRule="exact"/>
        <w:jc w:val="center"/>
        <w:outlineLvl w:val="0"/>
        <w:rPr>
          <w:rFonts w:hint="eastAsia" w:ascii="黑体" w:hAnsi="宋体" w:eastAsia="黑体" w:cs="Times New Roman"/>
          <w:szCs w:val="21"/>
          <w:lang w:val="en-US" w:eastAsia="zh-CN"/>
        </w:rPr>
        <w:sectPr>
          <w:pgSz w:w="11906" w:h="16838"/>
          <w:pgMar w:top="1928" w:right="1134" w:bottom="1134" w:left="1134" w:header="1418" w:footer="1134" w:gutter="284"/>
          <w:pgBorders>
            <w:top w:val="none" w:sz="0" w:space="0"/>
            <w:left w:val="none" w:sz="0" w:space="0"/>
            <w:bottom w:val="none" w:sz="0" w:space="0"/>
            <w:right w:val="none" w:sz="0" w:space="0"/>
          </w:pgBorders>
          <w:pgNumType w:fmt="decimal"/>
          <w:cols w:space="425" w:num="1"/>
          <w:formProt w:val="0"/>
          <w:docGrid w:type="lines" w:linePitch="312" w:charSpace="0"/>
        </w:sectPr>
      </w:pPr>
    </w:p>
    <w:p w14:paraId="52FCB27E">
      <w:pPr>
        <w:spacing w:beforeLines="0" w:afterLines="0" w:line="240" w:lineRule="auto"/>
        <w:jc w:val="center"/>
        <w:outlineLvl w:val="0"/>
        <w:rPr>
          <w:rFonts w:hint="eastAsia" w:ascii="黑体" w:hAnsi="宋体" w:eastAsia="黑体" w:cs="Times New Roman"/>
          <w:szCs w:val="21"/>
          <w:lang w:val="en-US" w:eastAsia="zh-CN"/>
        </w:rPr>
      </w:pPr>
      <w:r>
        <w:rPr>
          <w:rFonts w:hint="eastAsia" w:ascii="黑体" w:hAnsi="宋体" w:eastAsia="黑体" w:cs="Times New Roman"/>
          <w:szCs w:val="21"/>
          <w:lang w:val="en-US" w:eastAsia="zh-CN"/>
        </w:rPr>
        <w:t>附录D</w:t>
      </w:r>
      <w:bookmarkEnd w:id="54"/>
    </w:p>
    <w:p w14:paraId="08AC6FCB">
      <w:pPr>
        <w:spacing w:beforeLines="0" w:afterLines="0" w:line="240" w:lineRule="auto"/>
        <w:jc w:val="center"/>
        <w:outlineLvl w:val="0"/>
        <w:rPr>
          <w:rFonts w:hint="eastAsia" w:ascii="黑体" w:hAnsi="宋体" w:eastAsia="黑体" w:cs="Times New Roman"/>
          <w:szCs w:val="21"/>
          <w:lang w:val="en-US" w:eastAsia="zh-CN"/>
        </w:rPr>
      </w:pPr>
      <w:bookmarkStart w:id="55" w:name="_Toc25786"/>
      <w:r>
        <w:rPr>
          <w:rFonts w:hint="eastAsia" w:ascii="黑体" w:hAnsi="宋体" w:eastAsia="黑体" w:cs="Times New Roman"/>
          <w:szCs w:val="21"/>
          <w:lang w:val="en-US" w:eastAsia="zh-CN"/>
        </w:rPr>
        <w:t>（资料性）</w:t>
      </w:r>
      <w:bookmarkEnd w:id="55"/>
    </w:p>
    <w:p w14:paraId="2AC089CE">
      <w:pPr>
        <w:spacing w:beforeLines="0" w:afterLines="0" w:line="240" w:lineRule="auto"/>
        <w:jc w:val="center"/>
        <w:outlineLvl w:val="0"/>
        <w:rPr>
          <w:rFonts w:hint="eastAsia" w:ascii="黑体" w:hAnsi="宋体" w:eastAsia="黑体" w:cs="Times New Roman"/>
          <w:szCs w:val="21"/>
          <w:lang w:val="en-US" w:eastAsia="zh-CN"/>
        </w:rPr>
      </w:pPr>
      <w:bookmarkStart w:id="56" w:name="_Toc19795"/>
      <w:r>
        <w:rPr>
          <w:rFonts w:hint="eastAsia" w:ascii="黑体" w:hAnsi="宋体" w:eastAsia="黑体" w:cs="Times New Roman"/>
          <w:szCs w:val="21"/>
          <w:lang w:val="en-US" w:eastAsia="zh-CN"/>
        </w:rPr>
        <w:t>常用排放因子参考值</w:t>
      </w:r>
      <w:bookmarkEnd w:id="56"/>
    </w:p>
    <w:p w14:paraId="65F70FB9">
      <w:pPr>
        <w:pStyle w:val="279"/>
        <w:spacing w:beforeLines="100" w:afterLines="100" w:line="240" w:lineRule="auto"/>
        <w:ind w:firstLine="0" w:firstLineChars="0"/>
        <w:rPr>
          <w:rFonts w:hint="eastAsia" w:ascii="黑体" w:hAnsi="黑体" w:eastAsia="黑体" w:cs="黑体"/>
          <w:bCs/>
          <w:lang w:val="en-US" w:eastAsia="zh-CN"/>
        </w:rPr>
      </w:pPr>
      <w:r>
        <w:rPr>
          <w:rFonts w:hint="eastAsia" w:ascii="黑体" w:hAnsi="黑体" w:eastAsia="黑体" w:cs="黑体"/>
          <w:bCs/>
          <w:lang w:val="en-US" w:eastAsia="zh-CN"/>
        </w:rPr>
        <w:t>D.1 电力排放因子</w:t>
      </w:r>
    </w:p>
    <w:p w14:paraId="3095D646">
      <w:pPr>
        <w:ind w:firstLine="420" w:firstLineChars="200"/>
        <w:rPr>
          <w:rFonts w:hint="eastAsia"/>
          <w:szCs w:val="21"/>
          <w:lang w:val="en-US" w:eastAsia="zh-CN"/>
        </w:rPr>
      </w:pPr>
      <w:r>
        <w:rPr>
          <w:rFonts w:hint="eastAsia"/>
          <w:szCs w:val="21"/>
          <w:lang w:val="en-US" w:eastAsia="zh-CN"/>
        </w:rPr>
        <w:t>应采用国家或区域主管部门最新发布的电网平均二氧化碳排放因子。示例（仅作参考）：</w:t>
      </w:r>
    </w:p>
    <w:p w14:paraId="762E1D49">
      <w:pPr>
        <w:rPr>
          <w:rFonts w:hint="eastAsia"/>
          <w:szCs w:val="21"/>
          <w:lang w:val="en-US" w:eastAsia="zh-CN"/>
        </w:rPr>
      </w:pPr>
      <w:r>
        <w:rPr>
          <w:rFonts w:hint="eastAsia"/>
          <w:szCs w:val="21"/>
          <w:lang w:val="en-US" w:eastAsia="zh-CN"/>
        </w:rPr>
        <w:t>全国电网平均：0.5810 tCO₂/MWh（</w:t>
      </w:r>
      <w:r>
        <w:rPr>
          <w:rFonts w:hint="eastAsia"/>
          <w:color w:val="0000FF"/>
          <w:szCs w:val="21"/>
          <w:lang w:val="en-US" w:eastAsia="zh-CN"/>
        </w:rPr>
        <w:t>2022年</w:t>
      </w:r>
      <w:r>
        <w:rPr>
          <w:rFonts w:hint="eastAsia"/>
          <w:szCs w:val="21"/>
          <w:lang w:val="en-US" w:eastAsia="zh-CN"/>
        </w:rPr>
        <w:t>生态环境部发布）</w:t>
      </w:r>
    </w:p>
    <w:p w14:paraId="15A04DAB">
      <w:pPr>
        <w:pStyle w:val="279"/>
        <w:spacing w:beforeLines="100" w:afterLines="100" w:line="240" w:lineRule="auto"/>
        <w:ind w:firstLine="0" w:firstLineChars="0"/>
        <w:rPr>
          <w:rFonts w:hint="eastAsia" w:ascii="黑体" w:hAnsi="黑体" w:eastAsia="黑体" w:cs="黑体"/>
          <w:bCs/>
          <w:lang w:val="en-US" w:eastAsia="zh-CN"/>
        </w:rPr>
      </w:pPr>
      <w:r>
        <w:rPr>
          <w:rFonts w:hint="eastAsia" w:ascii="黑体" w:hAnsi="黑体" w:eastAsia="黑体" w:cs="黑体"/>
          <w:bCs/>
          <w:lang w:val="en-US" w:eastAsia="zh-CN"/>
        </w:rPr>
        <w:t>D.2 燃料排放因子</w:t>
      </w:r>
    </w:p>
    <w:p w14:paraId="629497CF">
      <w:pPr>
        <w:ind w:firstLine="420" w:firstLineChars="200"/>
        <w:rPr>
          <w:rFonts w:hint="eastAsia"/>
          <w:szCs w:val="21"/>
          <w:lang w:val="en-US" w:eastAsia="zh-CN"/>
        </w:rPr>
      </w:pPr>
      <w:r>
        <w:rPr>
          <w:rFonts w:hint="eastAsia"/>
          <w:szCs w:val="21"/>
          <w:lang w:val="en-US" w:eastAsia="zh-CN"/>
        </w:rPr>
        <w:t>常用燃料的排放因子见表D.2（数据来源：</w:t>
      </w:r>
      <w:r>
        <w:rPr>
          <w:rFonts w:hint="eastAsia"/>
          <w:color w:val="0000FF"/>
          <w:szCs w:val="21"/>
          <w:lang w:val="en-US" w:eastAsia="zh-CN"/>
        </w:rPr>
        <w:t>IPCC 2006，2019修订</w:t>
      </w:r>
      <w:r>
        <w:rPr>
          <w:rFonts w:hint="eastAsia"/>
          <w:szCs w:val="21"/>
          <w:lang w:val="en-US" w:eastAsia="zh-CN"/>
        </w:rPr>
        <w:t>）。</w:t>
      </w:r>
    </w:p>
    <w:p w14:paraId="496A9340">
      <w:pPr>
        <w:spacing w:before="156" w:beforeLines="50" w:after="156" w:afterLines="50"/>
        <w:jc w:val="center"/>
        <w:rPr>
          <w:rFonts w:hint="eastAsia" w:ascii="黑体" w:hAnsi="黑体" w:eastAsia="黑体" w:cs="黑体"/>
          <w:color w:val="auto"/>
          <w:spacing w:val="-13"/>
          <w:lang w:val="en-US" w:eastAsia="zh-CN"/>
        </w:rPr>
      </w:pPr>
      <w:r>
        <w:rPr>
          <w:rFonts w:hint="eastAsia" w:ascii="黑体" w:hAnsi="黑体" w:eastAsia="黑体" w:cs="黑体"/>
          <w:color w:val="auto"/>
          <w:spacing w:val="-13"/>
          <w:lang w:val="en-US" w:eastAsia="zh-CN"/>
        </w:rPr>
        <w:t>表D.2常用燃料排放因子</w:t>
      </w:r>
    </w:p>
    <w:tbl>
      <w:tblPr>
        <w:tblStyle w:val="3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8"/>
        <w:gridCol w:w="1460"/>
        <w:gridCol w:w="976"/>
        <w:gridCol w:w="1412"/>
        <w:gridCol w:w="1269"/>
        <w:gridCol w:w="974"/>
        <w:gridCol w:w="1219"/>
      </w:tblGrid>
      <w:tr w14:paraId="1E956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trPr>
        <w:tc>
          <w:tcPr>
            <w:tcW w:w="1218" w:type="dxa"/>
            <w:vAlign w:val="center"/>
          </w:tcPr>
          <w:p w14:paraId="1D57F3BB">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燃料品种</w:t>
            </w:r>
          </w:p>
        </w:tc>
        <w:tc>
          <w:tcPr>
            <w:tcW w:w="1460" w:type="dxa"/>
            <w:vAlign w:val="center"/>
          </w:tcPr>
          <w:p w14:paraId="24B2E7A2">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低位发热量</w:t>
            </w:r>
          </w:p>
        </w:tc>
        <w:tc>
          <w:tcPr>
            <w:tcW w:w="976" w:type="dxa"/>
            <w:vAlign w:val="center"/>
          </w:tcPr>
          <w:p w14:paraId="0AFDCD6C">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单位</w:t>
            </w:r>
          </w:p>
        </w:tc>
        <w:tc>
          <w:tcPr>
            <w:tcW w:w="1412" w:type="dxa"/>
            <w:vAlign w:val="center"/>
          </w:tcPr>
          <w:p w14:paraId="20CA3CE1">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碳排放因子</w:t>
            </w:r>
          </w:p>
        </w:tc>
        <w:tc>
          <w:tcPr>
            <w:tcW w:w="1269" w:type="dxa"/>
            <w:vAlign w:val="center"/>
          </w:tcPr>
          <w:p w14:paraId="0D9BAF31">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单位</w:t>
            </w:r>
          </w:p>
        </w:tc>
        <w:tc>
          <w:tcPr>
            <w:tcW w:w="974" w:type="dxa"/>
            <w:vAlign w:val="center"/>
          </w:tcPr>
          <w:p w14:paraId="46580BE3">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CO2排放因子</w:t>
            </w:r>
          </w:p>
        </w:tc>
        <w:tc>
          <w:tcPr>
            <w:tcW w:w="1219" w:type="dxa"/>
            <w:vAlign w:val="center"/>
          </w:tcPr>
          <w:p w14:paraId="55D0550C">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单位</w:t>
            </w:r>
          </w:p>
        </w:tc>
      </w:tr>
      <w:tr w14:paraId="7C05B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8" w:type="dxa"/>
            <w:vAlign w:val="center"/>
          </w:tcPr>
          <w:p w14:paraId="3AD18125">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无烟煤</w:t>
            </w:r>
          </w:p>
        </w:tc>
        <w:tc>
          <w:tcPr>
            <w:tcW w:w="1460" w:type="dxa"/>
            <w:vAlign w:val="center"/>
          </w:tcPr>
          <w:p w14:paraId="7D139D24">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26.7</w:t>
            </w:r>
          </w:p>
        </w:tc>
        <w:tc>
          <w:tcPr>
            <w:tcW w:w="976" w:type="dxa"/>
            <w:vAlign w:val="center"/>
          </w:tcPr>
          <w:p w14:paraId="0B70C94A">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GJ/t</w:t>
            </w:r>
          </w:p>
        </w:tc>
        <w:tc>
          <w:tcPr>
            <w:tcW w:w="1412" w:type="dxa"/>
            <w:vAlign w:val="center"/>
          </w:tcPr>
          <w:p w14:paraId="05DA2DB5">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26.8</w:t>
            </w:r>
          </w:p>
        </w:tc>
        <w:tc>
          <w:tcPr>
            <w:tcW w:w="1269" w:type="dxa"/>
            <w:vAlign w:val="center"/>
          </w:tcPr>
          <w:p w14:paraId="3A118C32">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kgC/GJ</w:t>
            </w:r>
          </w:p>
        </w:tc>
        <w:tc>
          <w:tcPr>
            <w:tcW w:w="974" w:type="dxa"/>
            <w:vAlign w:val="center"/>
          </w:tcPr>
          <w:p w14:paraId="4B69107E">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98.3</w:t>
            </w:r>
          </w:p>
        </w:tc>
        <w:tc>
          <w:tcPr>
            <w:tcW w:w="1219" w:type="dxa"/>
            <w:vAlign w:val="center"/>
          </w:tcPr>
          <w:p w14:paraId="49460AED">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kgCO</w:t>
            </w:r>
            <w:r>
              <w:rPr>
                <w:rFonts w:hint="eastAsia" w:ascii="Times New Roman" w:hAnsi="宋体" w:cs="Times New Roman"/>
                <w:color w:val="auto"/>
                <w:sz w:val="18"/>
                <w:szCs w:val="18"/>
                <w:vertAlign w:val="subscript"/>
                <w:lang w:val="en-US" w:eastAsia="zh-CN"/>
              </w:rPr>
              <w:t>2</w:t>
            </w:r>
            <w:r>
              <w:rPr>
                <w:rFonts w:hint="eastAsia" w:ascii="Times New Roman" w:hAnsi="宋体" w:cs="Times New Roman"/>
                <w:color w:val="auto"/>
                <w:sz w:val="18"/>
                <w:szCs w:val="18"/>
                <w:lang w:val="en-US" w:eastAsia="zh-CN"/>
              </w:rPr>
              <w:t>/GJ</w:t>
            </w:r>
          </w:p>
        </w:tc>
      </w:tr>
      <w:tr w14:paraId="40EC7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8" w:type="dxa"/>
            <w:vAlign w:val="center"/>
          </w:tcPr>
          <w:p w14:paraId="4379115D">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烟煤</w:t>
            </w:r>
          </w:p>
        </w:tc>
        <w:tc>
          <w:tcPr>
            <w:tcW w:w="1460" w:type="dxa"/>
            <w:vAlign w:val="center"/>
          </w:tcPr>
          <w:p w14:paraId="4DB7E9A0">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22.7</w:t>
            </w:r>
          </w:p>
        </w:tc>
        <w:tc>
          <w:tcPr>
            <w:tcW w:w="976" w:type="dxa"/>
            <w:vAlign w:val="center"/>
          </w:tcPr>
          <w:p w14:paraId="5D0C4CF7">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GJ/t</w:t>
            </w:r>
          </w:p>
        </w:tc>
        <w:tc>
          <w:tcPr>
            <w:tcW w:w="1412" w:type="dxa"/>
            <w:vAlign w:val="center"/>
          </w:tcPr>
          <w:p w14:paraId="1AE9E676">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25.8</w:t>
            </w:r>
          </w:p>
        </w:tc>
        <w:tc>
          <w:tcPr>
            <w:tcW w:w="1269" w:type="dxa"/>
            <w:vAlign w:val="center"/>
          </w:tcPr>
          <w:p w14:paraId="6F2BFBFA">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kgC/GJ</w:t>
            </w:r>
          </w:p>
        </w:tc>
        <w:tc>
          <w:tcPr>
            <w:tcW w:w="974" w:type="dxa"/>
            <w:vAlign w:val="center"/>
          </w:tcPr>
          <w:p w14:paraId="4CB36163">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94.6</w:t>
            </w:r>
          </w:p>
        </w:tc>
        <w:tc>
          <w:tcPr>
            <w:tcW w:w="1219" w:type="dxa"/>
            <w:vAlign w:val="center"/>
          </w:tcPr>
          <w:p w14:paraId="41341952">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kgCO</w:t>
            </w:r>
            <w:r>
              <w:rPr>
                <w:rFonts w:hint="eastAsia" w:ascii="Times New Roman" w:hAnsi="宋体" w:cs="Times New Roman"/>
                <w:color w:val="auto"/>
                <w:sz w:val="18"/>
                <w:szCs w:val="18"/>
                <w:vertAlign w:val="subscript"/>
                <w:lang w:val="en-US" w:eastAsia="zh-CN"/>
              </w:rPr>
              <w:t>2</w:t>
            </w:r>
            <w:r>
              <w:rPr>
                <w:rFonts w:hint="eastAsia" w:ascii="Times New Roman" w:hAnsi="宋体" w:cs="Times New Roman"/>
                <w:color w:val="auto"/>
                <w:sz w:val="18"/>
                <w:szCs w:val="18"/>
                <w:lang w:val="en-US" w:eastAsia="zh-CN"/>
              </w:rPr>
              <w:t>/GJ</w:t>
            </w:r>
          </w:p>
        </w:tc>
      </w:tr>
      <w:tr w14:paraId="53EAF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8" w:type="dxa"/>
            <w:vAlign w:val="center"/>
          </w:tcPr>
          <w:p w14:paraId="0410A357">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汽油</w:t>
            </w:r>
          </w:p>
        </w:tc>
        <w:tc>
          <w:tcPr>
            <w:tcW w:w="1460" w:type="dxa"/>
            <w:vAlign w:val="center"/>
          </w:tcPr>
          <w:p w14:paraId="70B07F0D">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44.3</w:t>
            </w:r>
          </w:p>
        </w:tc>
        <w:tc>
          <w:tcPr>
            <w:tcW w:w="976" w:type="dxa"/>
            <w:vAlign w:val="center"/>
          </w:tcPr>
          <w:p w14:paraId="4428A455">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GJ/t</w:t>
            </w:r>
          </w:p>
        </w:tc>
        <w:tc>
          <w:tcPr>
            <w:tcW w:w="1412" w:type="dxa"/>
            <w:vAlign w:val="center"/>
          </w:tcPr>
          <w:p w14:paraId="28EB9DB9">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18.9</w:t>
            </w:r>
          </w:p>
        </w:tc>
        <w:tc>
          <w:tcPr>
            <w:tcW w:w="1269" w:type="dxa"/>
            <w:vAlign w:val="center"/>
          </w:tcPr>
          <w:p w14:paraId="209746B7">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kgC/GJ</w:t>
            </w:r>
          </w:p>
        </w:tc>
        <w:tc>
          <w:tcPr>
            <w:tcW w:w="974" w:type="dxa"/>
            <w:vAlign w:val="center"/>
          </w:tcPr>
          <w:p w14:paraId="704C2F35">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69.3</w:t>
            </w:r>
          </w:p>
        </w:tc>
        <w:tc>
          <w:tcPr>
            <w:tcW w:w="1219" w:type="dxa"/>
            <w:vAlign w:val="center"/>
          </w:tcPr>
          <w:p w14:paraId="54CDF901">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kgCO</w:t>
            </w:r>
            <w:r>
              <w:rPr>
                <w:rFonts w:hint="eastAsia" w:ascii="Times New Roman" w:hAnsi="宋体" w:cs="Times New Roman"/>
                <w:color w:val="auto"/>
                <w:sz w:val="18"/>
                <w:szCs w:val="18"/>
                <w:vertAlign w:val="subscript"/>
                <w:lang w:val="en-US" w:eastAsia="zh-CN"/>
              </w:rPr>
              <w:t>2</w:t>
            </w:r>
            <w:r>
              <w:rPr>
                <w:rFonts w:hint="eastAsia" w:ascii="Times New Roman" w:hAnsi="宋体" w:cs="Times New Roman"/>
                <w:color w:val="auto"/>
                <w:sz w:val="18"/>
                <w:szCs w:val="18"/>
                <w:lang w:val="en-US" w:eastAsia="zh-CN"/>
              </w:rPr>
              <w:t>/GJ</w:t>
            </w:r>
          </w:p>
        </w:tc>
      </w:tr>
      <w:tr w14:paraId="0E75B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8" w:type="dxa"/>
            <w:vAlign w:val="center"/>
          </w:tcPr>
          <w:p w14:paraId="55821FDD">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柴油</w:t>
            </w:r>
          </w:p>
        </w:tc>
        <w:tc>
          <w:tcPr>
            <w:tcW w:w="1460" w:type="dxa"/>
            <w:vAlign w:val="center"/>
          </w:tcPr>
          <w:p w14:paraId="04E7ABB0">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43.0</w:t>
            </w:r>
          </w:p>
        </w:tc>
        <w:tc>
          <w:tcPr>
            <w:tcW w:w="976" w:type="dxa"/>
            <w:vAlign w:val="center"/>
          </w:tcPr>
          <w:p w14:paraId="3531844F">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GJ/t</w:t>
            </w:r>
          </w:p>
        </w:tc>
        <w:tc>
          <w:tcPr>
            <w:tcW w:w="1412" w:type="dxa"/>
            <w:vAlign w:val="center"/>
          </w:tcPr>
          <w:p w14:paraId="1937D02A">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20.2</w:t>
            </w:r>
          </w:p>
        </w:tc>
        <w:tc>
          <w:tcPr>
            <w:tcW w:w="1269" w:type="dxa"/>
            <w:vAlign w:val="center"/>
          </w:tcPr>
          <w:p w14:paraId="36FFB9C8">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kgC/GJ</w:t>
            </w:r>
          </w:p>
        </w:tc>
        <w:tc>
          <w:tcPr>
            <w:tcW w:w="974" w:type="dxa"/>
            <w:vAlign w:val="center"/>
          </w:tcPr>
          <w:p w14:paraId="60ECF604">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74.1</w:t>
            </w:r>
          </w:p>
        </w:tc>
        <w:tc>
          <w:tcPr>
            <w:tcW w:w="1219" w:type="dxa"/>
            <w:vAlign w:val="center"/>
          </w:tcPr>
          <w:p w14:paraId="70076B65">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kgCO</w:t>
            </w:r>
            <w:r>
              <w:rPr>
                <w:rFonts w:hint="eastAsia" w:ascii="Times New Roman" w:hAnsi="宋体" w:cs="Times New Roman"/>
                <w:color w:val="auto"/>
                <w:sz w:val="18"/>
                <w:szCs w:val="18"/>
                <w:vertAlign w:val="subscript"/>
                <w:lang w:val="en-US" w:eastAsia="zh-CN"/>
              </w:rPr>
              <w:t>2</w:t>
            </w:r>
            <w:r>
              <w:rPr>
                <w:rFonts w:hint="eastAsia" w:ascii="Times New Roman" w:hAnsi="宋体" w:cs="Times New Roman"/>
                <w:color w:val="auto"/>
                <w:sz w:val="18"/>
                <w:szCs w:val="18"/>
                <w:lang w:val="en-US" w:eastAsia="zh-CN"/>
              </w:rPr>
              <w:t>/GJ</w:t>
            </w:r>
          </w:p>
        </w:tc>
      </w:tr>
      <w:tr w14:paraId="46B9E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8" w:type="dxa"/>
            <w:vAlign w:val="center"/>
          </w:tcPr>
          <w:p w14:paraId="52D0FF76">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天然气</w:t>
            </w:r>
          </w:p>
        </w:tc>
        <w:tc>
          <w:tcPr>
            <w:tcW w:w="1460" w:type="dxa"/>
            <w:vAlign w:val="center"/>
          </w:tcPr>
          <w:p w14:paraId="5E2BF201">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48.0</w:t>
            </w:r>
          </w:p>
        </w:tc>
        <w:tc>
          <w:tcPr>
            <w:tcW w:w="976" w:type="dxa"/>
            <w:vAlign w:val="center"/>
          </w:tcPr>
          <w:p w14:paraId="00F6B7BC">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GJ/t</w:t>
            </w:r>
          </w:p>
        </w:tc>
        <w:tc>
          <w:tcPr>
            <w:tcW w:w="1412" w:type="dxa"/>
            <w:vAlign w:val="center"/>
          </w:tcPr>
          <w:p w14:paraId="38F62CBA">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15.3</w:t>
            </w:r>
          </w:p>
        </w:tc>
        <w:tc>
          <w:tcPr>
            <w:tcW w:w="1269" w:type="dxa"/>
            <w:vAlign w:val="center"/>
          </w:tcPr>
          <w:p w14:paraId="7299314A">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kgC/GJ</w:t>
            </w:r>
          </w:p>
        </w:tc>
        <w:tc>
          <w:tcPr>
            <w:tcW w:w="974" w:type="dxa"/>
            <w:vAlign w:val="center"/>
          </w:tcPr>
          <w:p w14:paraId="001036D5">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56.1</w:t>
            </w:r>
          </w:p>
        </w:tc>
        <w:tc>
          <w:tcPr>
            <w:tcW w:w="1219" w:type="dxa"/>
            <w:vAlign w:val="center"/>
          </w:tcPr>
          <w:p w14:paraId="0669D371">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kgCO</w:t>
            </w:r>
            <w:r>
              <w:rPr>
                <w:rFonts w:hint="eastAsia" w:ascii="Times New Roman" w:hAnsi="宋体" w:cs="Times New Roman"/>
                <w:color w:val="auto"/>
                <w:sz w:val="18"/>
                <w:szCs w:val="18"/>
                <w:vertAlign w:val="subscript"/>
                <w:lang w:val="en-US" w:eastAsia="zh-CN"/>
              </w:rPr>
              <w:t>2</w:t>
            </w:r>
            <w:r>
              <w:rPr>
                <w:rFonts w:hint="eastAsia" w:ascii="Times New Roman" w:hAnsi="宋体" w:cs="Times New Roman"/>
                <w:color w:val="auto"/>
                <w:sz w:val="18"/>
                <w:szCs w:val="18"/>
                <w:lang w:val="en-US" w:eastAsia="zh-CN"/>
              </w:rPr>
              <w:t>/GJ</w:t>
            </w:r>
          </w:p>
        </w:tc>
      </w:tr>
      <w:tr w14:paraId="1A241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8" w:type="dxa"/>
            <w:vAlign w:val="center"/>
          </w:tcPr>
          <w:p w14:paraId="27C9A326">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default" w:ascii="Times New Roman" w:hAnsi="宋体" w:cs="Times New Roman"/>
                <w:color w:val="auto"/>
                <w:sz w:val="18"/>
                <w:szCs w:val="18"/>
                <w:lang w:val="en-US" w:eastAsia="zh-CN"/>
              </w:rPr>
            </w:pPr>
            <w:r>
              <w:rPr>
                <w:rFonts w:hint="eastAsia" w:hAnsi="宋体" w:cs="Times New Roman"/>
                <w:color w:val="auto"/>
                <w:sz w:val="18"/>
                <w:szCs w:val="18"/>
                <w:lang w:val="en-US" w:eastAsia="zh-CN"/>
              </w:rPr>
              <w:t>......</w:t>
            </w:r>
          </w:p>
        </w:tc>
        <w:tc>
          <w:tcPr>
            <w:tcW w:w="1460" w:type="dxa"/>
            <w:vAlign w:val="center"/>
          </w:tcPr>
          <w:p w14:paraId="5AFCB048">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p>
        </w:tc>
        <w:tc>
          <w:tcPr>
            <w:tcW w:w="976" w:type="dxa"/>
            <w:vAlign w:val="center"/>
          </w:tcPr>
          <w:p w14:paraId="194908CC">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p>
        </w:tc>
        <w:tc>
          <w:tcPr>
            <w:tcW w:w="1412" w:type="dxa"/>
            <w:vAlign w:val="center"/>
          </w:tcPr>
          <w:p w14:paraId="01B61D11">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p>
        </w:tc>
        <w:tc>
          <w:tcPr>
            <w:tcW w:w="1269" w:type="dxa"/>
            <w:vAlign w:val="center"/>
          </w:tcPr>
          <w:p w14:paraId="7576E813">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p>
        </w:tc>
        <w:tc>
          <w:tcPr>
            <w:tcW w:w="974" w:type="dxa"/>
            <w:vAlign w:val="center"/>
          </w:tcPr>
          <w:p w14:paraId="23A151BD">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p>
        </w:tc>
        <w:tc>
          <w:tcPr>
            <w:tcW w:w="1219" w:type="dxa"/>
            <w:vAlign w:val="center"/>
          </w:tcPr>
          <w:p w14:paraId="14050F92">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p>
        </w:tc>
      </w:tr>
    </w:tbl>
    <w:p w14:paraId="55F23F1D">
      <w:pPr>
        <w:pStyle w:val="279"/>
        <w:spacing w:beforeLines="100" w:afterLines="100" w:line="240" w:lineRule="auto"/>
        <w:ind w:firstLine="0" w:firstLineChars="0"/>
        <w:rPr>
          <w:rFonts w:hint="eastAsia" w:ascii="黑体" w:hAnsi="黑体" w:eastAsia="黑体" w:cs="黑体"/>
          <w:bCs/>
          <w:lang w:val="en-US" w:eastAsia="zh-CN"/>
        </w:rPr>
      </w:pPr>
      <w:r>
        <w:rPr>
          <w:rFonts w:hint="eastAsia" w:ascii="黑体" w:hAnsi="黑体" w:eastAsia="黑体" w:cs="黑体"/>
          <w:bCs/>
          <w:lang w:val="en-US" w:eastAsia="zh-CN"/>
        </w:rPr>
        <w:t>D.3 运输排放因子</w:t>
      </w:r>
    </w:p>
    <w:p w14:paraId="0C504D08">
      <w:pPr>
        <w:ind w:firstLine="420" w:firstLineChars="200"/>
        <w:rPr>
          <w:rFonts w:hint="eastAsia"/>
          <w:szCs w:val="21"/>
          <w:lang w:val="en-US" w:eastAsia="zh-CN"/>
        </w:rPr>
      </w:pPr>
      <w:r>
        <w:rPr>
          <w:rFonts w:hint="eastAsia"/>
          <w:szCs w:val="21"/>
          <w:lang w:val="en-US" w:eastAsia="zh-CN"/>
        </w:rPr>
        <w:t>常用运输方式排放因子见表D.3（数据来源：EEA、IPCC等）。</w:t>
      </w:r>
    </w:p>
    <w:p w14:paraId="43BFC6BA">
      <w:pPr>
        <w:spacing w:before="156" w:beforeLines="50" w:after="156" w:afterLines="50"/>
        <w:jc w:val="center"/>
        <w:rPr>
          <w:rFonts w:hint="eastAsia" w:ascii="黑体" w:hAnsi="黑体" w:eastAsia="黑体" w:cs="黑体"/>
          <w:color w:val="auto"/>
          <w:spacing w:val="-13"/>
          <w:lang w:val="en-US" w:eastAsia="zh-CN"/>
        </w:rPr>
      </w:pPr>
      <w:r>
        <w:rPr>
          <w:rFonts w:hint="eastAsia" w:ascii="黑体" w:hAnsi="黑体" w:eastAsia="黑体" w:cs="黑体"/>
          <w:color w:val="auto"/>
          <w:spacing w:val="-13"/>
          <w:lang w:val="en-US" w:eastAsia="zh-CN"/>
        </w:rPr>
        <w:t>表D.3 运输排放因子</w:t>
      </w:r>
    </w:p>
    <w:tbl>
      <w:tblPr>
        <w:tblStyle w:val="3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91"/>
        <w:gridCol w:w="2391"/>
        <w:gridCol w:w="2392"/>
        <w:gridCol w:w="2392"/>
      </w:tblGrid>
      <w:tr w14:paraId="3FDE0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pct"/>
            <w:vAlign w:val="center"/>
          </w:tcPr>
          <w:p w14:paraId="66188D7F">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运输方式</w:t>
            </w:r>
          </w:p>
        </w:tc>
        <w:tc>
          <w:tcPr>
            <w:tcW w:w="1250" w:type="pct"/>
            <w:vAlign w:val="center"/>
          </w:tcPr>
          <w:p w14:paraId="22503A8B">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排放因子</w:t>
            </w:r>
          </w:p>
        </w:tc>
        <w:tc>
          <w:tcPr>
            <w:tcW w:w="1250" w:type="pct"/>
            <w:vAlign w:val="center"/>
          </w:tcPr>
          <w:p w14:paraId="478A5D6C">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单位</w:t>
            </w:r>
          </w:p>
        </w:tc>
        <w:tc>
          <w:tcPr>
            <w:tcW w:w="1250" w:type="pct"/>
            <w:vAlign w:val="center"/>
          </w:tcPr>
          <w:p w14:paraId="14C372D4">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备注</w:t>
            </w:r>
          </w:p>
        </w:tc>
      </w:tr>
      <w:tr w14:paraId="70142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pct"/>
            <w:vAlign w:val="center"/>
          </w:tcPr>
          <w:p w14:paraId="7531137F">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公路运输（重型货车）</w:t>
            </w:r>
          </w:p>
        </w:tc>
        <w:tc>
          <w:tcPr>
            <w:tcW w:w="1250" w:type="pct"/>
            <w:vAlign w:val="center"/>
          </w:tcPr>
          <w:p w14:paraId="7E118D0C">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0.12</w:t>
            </w:r>
          </w:p>
        </w:tc>
        <w:tc>
          <w:tcPr>
            <w:tcW w:w="1250" w:type="pct"/>
            <w:vAlign w:val="center"/>
          </w:tcPr>
          <w:p w14:paraId="01D66A7B">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kgCO₂/t·km</w:t>
            </w:r>
          </w:p>
        </w:tc>
        <w:tc>
          <w:tcPr>
            <w:tcW w:w="1250" w:type="pct"/>
            <w:vAlign w:val="center"/>
          </w:tcPr>
          <w:p w14:paraId="7A5615F4">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满载平均</w:t>
            </w:r>
          </w:p>
        </w:tc>
      </w:tr>
      <w:tr w14:paraId="41A59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pct"/>
            <w:vAlign w:val="center"/>
          </w:tcPr>
          <w:p w14:paraId="7E46C5E6">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铁路运输</w:t>
            </w:r>
          </w:p>
        </w:tc>
        <w:tc>
          <w:tcPr>
            <w:tcW w:w="1250" w:type="pct"/>
            <w:vAlign w:val="center"/>
          </w:tcPr>
          <w:p w14:paraId="4A7BDE4D">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0.02</w:t>
            </w:r>
          </w:p>
        </w:tc>
        <w:tc>
          <w:tcPr>
            <w:tcW w:w="1250" w:type="pct"/>
            <w:vAlign w:val="center"/>
          </w:tcPr>
          <w:p w14:paraId="1A21AC83">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kgCO₂/t·km</w:t>
            </w:r>
          </w:p>
        </w:tc>
        <w:tc>
          <w:tcPr>
            <w:tcW w:w="1250" w:type="pct"/>
            <w:vAlign w:val="center"/>
          </w:tcPr>
          <w:p w14:paraId="6F295566">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电力机车</w:t>
            </w:r>
          </w:p>
        </w:tc>
      </w:tr>
      <w:tr w14:paraId="6F937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pct"/>
            <w:vAlign w:val="center"/>
          </w:tcPr>
          <w:p w14:paraId="7E0580C1">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水路运输（内河）</w:t>
            </w:r>
          </w:p>
        </w:tc>
        <w:tc>
          <w:tcPr>
            <w:tcW w:w="1250" w:type="pct"/>
            <w:vAlign w:val="center"/>
          </w:tcPr>
          <w:p w14:paraId="412FDB77">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0.03</w:t>
            </w:r>
          </w:p>
        </w:tc>
        <w:tc>
          <w:tcPr>
            <w:tcW w:w="1250" w:type="pct"/>
            <w:vAlign w:val="center"/>
          </w:tcPr>
          <w:p w14:paraId="2BF29A9F">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eastAsia" w:ascii="Times New Roman" w:hAnsi="宋体" w:cs="Times New Roman"/>
                <w:color w:val="auto"/>
                <w:sz w:val="18"/>
                <w:szCs w:val="18"/>
                <w:lang w:val="en-US" w:eastAsia="zh-CN"/>
              </w:rPr>
              <w:t>kgCO₂/t·km</w:t>
            </w:r>
          </w:p>
        </w:tc>
        <w:tc>
          <w:tcPr>
            <w:tcW w:w="1250" w:type="pct"/>
            <w:vAlign w:val="center"/>
          </w:tcPr>
          <w:p w14:paraId="352781FD">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p>
        </w:tc>
      </w:tr>
      <w:tr w14:paraId="55604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pct"/>
            <w:vAlign w:val="center"/>
          </w:tcPr>
          <w:p w14:paraId="4DC305F0">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default" w:ascii="Times New Roman" w:hAnsi="宋体" w:cs="Times New Roman"/>
                <w:color w:val="auto"/>
                <w:sz w:val="18"/>
                <w:szCs w:val="18"/>
                <w:lang w:val="en-US" w:eastAsia="zh-CN"/>
              </w:rPr>
            </w:pPr>
            <w:bookmarkStart w:id="57" w:name="_Toc32173"/>
            <w:r>
              <w:rPr>
                <w:rFonts w:hint="eastAsia" w:hAnsi="宋体" w:cs="Times New Roman"/>
                <w:color w:val="auto"/>
                <w:sz w:val="18"/>
                <w:szCs w:val="18"/>
                <w:lang w:val="en-US" w:eastAsia="zh-CN"/>
              </w:rPr>
              <w:t>......</w:t>
            </w:r>
          </w:p>
        </w:tc>
        <w:tc>
          <w:tcPr>
            <w:tcW w:w="1250" w:type="pct"/>
            <w:vAlign w:val="center"/>
          </w:tcPr>
          <w:p w14:paraId="115007DE">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p>
        </w:tc>
        <w:tc>
          <w:tcPr>
            <w:tcW w:w="1250" w:type="pct"/>
            <w:vAlign w:val="center"/>
          </w:tcPr>
          <w:p w14:paraId="184E7A68">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p>
        </w:tc>
        <w:tc>
          <w:tcPr>
            <w:tcW w:w="1250" w:type="pct"/>
            <w:vAlign w:val="center"/>
          </w:tcPr>
          <w:p w14:paraId="3A323343">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p>
        </w:tc>
      </w:tr>
    </w:tbl>
    <w:p w14:paraId="6CE655C3">
      <w:pPr>
        <w:pStyle w:val="279"/>
        <w:spacing w:beforeLines="100" w:afterLines="100" w:line="240" w:lineRule="auto"/>
        <w:ind w:firstLine="0" w:firstLineChars="0"/>
        <w:rPr>
          <w:rFonts w:hint="eastAsia" w:ascii="黑体" w:hAnsi="黑体" w:eastAsia="黑体" w:cs="黑体"/>
          <w:bCs/>
          <w:lang w:val="en-US" w:eastAsia="zh-CN"/>
        </w:rPr>
      </w:pPr>
      <w:r>
        <w:rPr>
          <w:rFonts w:hint="eastAsia" w:ascii="黑体" w:hAnsi="黑体" w:eastAsia="黑体" w:cs="黑体"/>
          <w:bCs/>
          <w:lang w:val="en-US" w:eastAsia="zh-CN"/>
        </w:rPr>
        <w:t>D.4 全球增温潜势（GWP）参考值</w:t>
      </w:r>
    </w:p>
    <w:p w14:paraId="5BCAC970">
      <w:pPr>
        <w:spacing w:beforeLines="50" w:afterLines="50" w:line="360" w:lineRule="exact"/>
        <w:jc w:val="center"/>
        <w:outlineLvl w:val="0"/>
        <w:rPr>
          <w:rFonts w:hint="eastAsia" w:ascii="Segoe UI" w:hAnsi="Segoe UI" w:eastAsia="Segoe UI" w:cs="Segoe UI"/>
          <w:i w:val="0"/>
          <w:iCs w:val="0"/>
          <w:caps w:val="0"/>
          <w:color w:val="0F1115"/>
          <w:spacing w:val="0"/>
          <w:sz w:val="24"/>
          <w:szCs w:val="24"/>
          <w:shd w:val="clear" w:fill="FFFFFF"/>
          <w:lang w:val="en-US" w:eastAsia="zh-CN"/>
        </w:rPr>
      </w:pPr>
      <w:r>
        <w:rPr>
          <w:rFonts w:ascii="Segoe UI" w:hAnsi="Segoe UI" w:eastAsia="Segoe UI" w:cs="Segoe UI"/>
          <w:i w:val="0"/>
          <w:iCs w:val="0"/>
          <w:caps w:val="0"/>
          <w:color w:val="0F1115"/>
          <w:spacing w:val="0"/>
          <w:sz w:val="24"/>
          <w:szCs w:val="24"/>
          <w:shd w:val="clear" w:fill="FFFFFF"/>
        </w:rPr>
        <w:t>表D.</w:t>
      </w:r>
      <w:r>
        <w:rPr>
          <w:rFonts w:hint="eastAsia" w:ascii="Segoe UI" w:hAnsi="Segoe UI" w:eastAsia="宋体" w:cs="Segoe UI"/>
          <w:i w:val="0"/>
          <w:iCs w:val="0"/>
          <w:caps w:val="0"/>
          <w:color w:val="0F1115"/>
          <w:spacing w:val="0"/>
          <w:sz w:val="24"/>
          <w:szCs w:val="24"/>
          <w:shd w:val="clear" w:fill="FFFFFF"/>
          <w:lang w:val="en-US" w:eastAsia="zh-CN"/>
        </w:rPr>
        <w:t>4</w:t>
      </w:r>
      <w:r>
        <w:rPr>
          <w:rFonts w:ascii="Segoe UI" w:hAnsi="Segoe UI" w:eastAsia="Segoe UI" w:cs="Segoe UI"/>
          <w:i w:val="0"/>
          <w:iCs w:val="0"/>
          <w:caps w:val="0"/>
          <w:color w:val="0F1115"/>
          <w:spacing w:val="0"/>
          <w:sz w:val="24"/>
          <w:szCs w:val="24"/>
          <w:shd w:val="clear" w:fill="FFFFFF"/>
        </w:rPr>
        <w:t>常用温室气体的GWP值</w:t>
      </w:r>
      <w:r>
        <w:rPr>
          <w:rFonts w:hint="eastAsia" w:ascii="Segoe UI" w:hAnsi="Segoe UI" w:eastAsia="Segoe UI" w:cs="Segoe UI"/>
          <w:i w:val="0"/>
          <w:iCs w:val="0"/>
          <w:caps w:val="0"/>
          <w:color w:val="0F1115"/>
          <w:spacing w:val="0"/>
          <w:sz w:val="24"/>
          <w:szCs w:val="24"/>
          <w:shd w:val="clear" w:fill="FFFFFF"/>
          <w:lang w:eastAsia="zh-CN"/>
        </w:rPr>
        <w:t>（</w:t>
      </w:r>
      <w:r>
        <w:rPr>
          <w:rFonts w:ascii="Segoe UI" w:hAnsi="Segoe UI" w:eastAsia="Segoe UI" w:cs="Segoe UI"/>
          <w:i w:val="0"/>
          <w:iCs w:val="0"/>
          <w:caps w:val="0"/>
          <w:color w:val="0F1115"/>
          <w:spacing w:val="0"/>
          <w:sz w:val="24"/>
          <w:szCs w:val="24"/>
          <w:shd w:val="clear" w:fill="FFFFFF"/>
        </w:rPr>
        <w:t>100年</w:t>
      </w:r>
      <w:r>
        <w:rPr>
          <w:rFonts w:hint="eastAsia" w:ascii="Segoe UI" w:hAnsi="Segoe UI" w:eastAsia="Segoe UI" w:cs="Segoe UI"/>
          <w:i w:val="0"/>
          <w:iCs w:val="0"/>
          <w:caps w:val="0"/>
          <w:color w:val="0F1115"/>
          <w:spacing w:val="0"/>
          <w:sz w:val="24"/>
          <w:szCs w:val="24"/>
          <w:shd w:val="clear" w:fill="FFFFFF"/>
          <w:lang w:eastAsia="zh-CN"/>
        </w:rPr>
        <w:t>）</w:t>
      </w:r>
    </w:p>
    <w:tbl>
      <w:tblPr>
        <w:tblStyle w:val="3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18"/>
        <w:gridCol w:w="3118"/>
        <w:gridCol w:w="3118"/>
      </w:tblGrid>
      <w:tr w14:paraId="6D0CF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8" w:type="dxa"/>
            <w:vAlign w:val="center"/>
          </w:tcPr>
          <w:p w14:paraId="6254AB05">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温室气体</w:t>
            </w:r>
          </w:p>
        </w:tc>
        <w:tc>
          <w:tcPr>
            <w:tcW w:w="3118" w:type="dxa"/>
            <w:vAlign w:val="center"/>
          </w:tcPr>
          <w:p w14:paraId="7F6555BB">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化学式</w:t>
            </w:r>
          </w:p>
        </w:tc>
        <w:tc>
          <w:tcPr>
            <w:tcW w:w="3118" w:type="dxa"/>
            <w:vAlign w:val="center"/>
          </w:tcPr>
          <w:p w14:paraId="6BEE96FC">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GWP（100年）</w:t>
            </w:r>
          </w:p>
        </w:tc>
      </w:tr>
      <w:tr w14:paraId="1D9B9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8" w:type="dxa"/>
            <w:vAlign w:val="center"/>
          </w:tcPr>
          <w:p w14:paraId="5E862E30">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二氧化碳</w:t>
            </w:r>
          </w:p>
        </w:tc>
        <w:tc>
          <w:tcPr>
            <w:tcW w:w="3118" w:type="dxa"/>
            <w:vAlign w:val="center"/>
          </w:tcPr>
          <w:p w14:paraId="351F8BDB">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CO₂</w:t>
            </w:r>
          </w:p>
        </w:tc>
        <w:tc>
          <w:tcPr>
            <w:tcW w:w="3118" w:type="dxa"/>
            <w:vAlign w:val="center"/>
          </w:tcPr>
          <w:p w14:paraId="378BC2FE">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1</w:t>
            </w:r>
          </w:p>
        </w:tc>
      </w:tr>
      <w:tr w14:paraId="3EC27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8" w:type="dxa"/>
            <w:vAlign w:val="center"/>
          </w:tcPr>
          <w:p w14:paraId="599E7FEB">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甲烷</w:t>
            </w:r>
          </w:p>
        </w:tc>
        <w:tc>
          <w:tcPr>
            <w:tcW w:w="3118" w:type="dxa"/>
            <w:vAlign w:val="center"/>
          </w:tcPr>
          <w:p w14:paraId="590979E5">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CH₄</w:t>
            </w:r>
          </w:p>
        </w:tc>
        <w:tc>
          <w:tcPr>
            <w:tcW w:w="3118" w:type="dxa"/>
            <w:vAlign w:val="center"/>
          </w:tcPr>
          <w:p w14:paraId="0624BCB1">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28</w:t>
            </w:r>
          </w:p>
        </w:tc>
      </w:tr>
      <w:tr w14:paraId="620A5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8" w:type="dxa"/>
            <w:vAlign w:val="center"/>
          </w:tcPr>
          <w:p w14:paraId="04B8B586">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氧化亚氮</w:t>
            </w:r>
          </w:p>
        </w:tc>
        <w:tc>
          <w:tcPr>
            <w:tcW w:w="3118" w:type="dxa"/>
            <w:vAlign w:val="center"/>
          </w:tcPr>
          <w:p w14:paraId="6095BB49">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N₂O</w:t>
            </w:r>
          </w:p>
        </w:tc>
        <w:tc>
          <w:tcPr>
            <w:tcW w:w="3118" w:type="dxa"/>
            <w:vAlign w:val="center"/>
          </w:tcPr>
          <w:p w14:paraId="673F4020">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宋体" w:cs="Times New Roman"/>
                <w:color w:val="auto"/>
                <w:sz w:val="18"/>
                <w:szCs w:val="18"/>
                <w:lang w:val="en-US" w:eastAsia="zh-CN"/>
              </w:rPr>
            </w:pPr>
            <w:r>
              <w:rPr>
                <w:rFonts w:hint="default" w:ascii="Times New Roman" w:hAnsi="宋体" w:cs="Times New Roman"/>
                <w:color w:val="auto"/>
                <w:sz w:val="18"/>
                <w:szCs w:val="18"/>
                <w:lang w:val="en-US" w:eastAsia="zh-CN"/>
              </w:rPr>
              <w:t>265</w:t>
            </w:r>
          </w:p>
        </w:tc>
      </w:tr>
    </w:tbl>
    <w:p w14:paraId="1ADE15B4">
      <w:pPr>
        <w:spacing w:beforeLines="50" w:afterLines="50" w:line="360" w:lineRule="exact"/>
        <w:jc w:val="center"/>
        <w:outlineLvl w:val="0"/>
        <w:rPr>
          <w:rFonts w:hint="eastAsia" w:ascii="黑体" w:hAnsi="宋体" w:eastAsia="黑体" w:cs="Times New Roman"/>
          <w:szCs w:val="21"/>
          <w:lang w:val="en-US" w:eastAsia="zh-CN"/>
        </w:rPr>
      </w:pPr>
    </w:p>
    <w:p w14:paraId="3E749662">
      <w:pPr>
        <w:spacing w:beforeLines="0" w:afterLines="0" w:line="240" w:lineRule="auto"/>
        <w:jc w:val="center"/>
        <w:outlineLvl w:val="0"/>
        <w:rPr>
          <w:rFonts w:hint="eastAsia" w:ascii="黑体" w:hAnsi="宋体" w:eastAsia="黑体" w:cs="Times New Roman"/>
          <w:szCs w:val="21"/>
          <w:lang w:val="en-US" w:eastAsia="zh-CN"/>
        </w:rPr>
      </w:pPr>
      <w:r>
        <w:rPr>
          <w:rFonts w:hint="eastAsia" w:ascii="黑体" w:hAnsi="宋体" w:eastAsia="黑体" w:cs="Times New Roman"/>
          <w:szCs w:val="21"/>
          <w:lang w:val="en-US" w:eastAsia="zh-CN"/>
        </w:rPr>
        <w:t>附录E</w:t>
      </w:r>
      <w:bookmarkEnd w:id="57"/>
    </w:p>
    <w:p w14:paraId="2DF9CB1B">
      <w:pPr>
        <w:spacing w:beforeLines="0" w:afterLines="0" w:line="240" w:lineRule="auto"/>
        <w:jc w:val="center"/>
        <w:outlineLvl w:val="0"/>
        <w:rPr>
          <w:rFonts w:hint="eastAsia" w:ascii="黑体" w:hAnsi="宋体" w:eastAsia="黑体" w:cs="Times New Roman"/>
          <w:szCs w:val="21"/>
          <w:lang w:val="en-US" w:eastAsia="zh-CN"/>
        </w:rPr>
      </w:pPr>
      <w:bookmarkStart w:id="58" w:name="_Toc13277"/>
      <w:r>
        <w:rPr>
          <w:rFonts w:hint="eastAsia" w:ascii="黑体" w:hAnsi="宋体" w:eastAsia="黑体" w:cs="Times New Roman"/>
          <w:szCs w:val="21"/>
          <w:lang w:val="en-US" w:eastAsia="zh-CN"/>
        </w:rPr>
        <w:t>（资料性）</w:t>
      </w:r>
      <w:bookmarkEnd w:id="58"/>
    </w:p>
    <w:p w14:paraId="1DAC06F5">
      <w:pPr>
        <w:spacing w:beforeLines="0" w:afterLines="0" w:line="240" w:lineRule="auto"/>
        <w:jc w:val="center"/>
        <w:outlineLvl w:val="0"/>
        <w:rPr>
          <w:rFonts w:hint="eastAsia" w:ascii="黑体" w:hAnsi="宋体" w:eastAsia="黑体" w:cs="Times New Roman"/>
          <w:szCs w:val="21"/>
          <w:lang w:val="en-US" w:eastAsia="zh-CN"/>
        </w:rPr>
      </w:pPr>
      <w:bookmarkStart w:id="59" w:name="_Toc27265"/>
      <w:r>
        <w:rPr>
          <w:rFonts w:hint="eastAsia" w:ascii="黑体" w:hAnsi="宋体" w:eastAsia="黑体" w:cs="Times New Roman"/>
          <w:szCs w:val="21"/>
          <w:lang w:val="en-US" w:eastAsia="zh-CN"/>
        </w:rPr>
        <w:t>碳足迹报告模板</w:t>
      </w:r>
      <w:bookmarkEnd w:id="59"/>
    </w:p>
    <w:p w14:paraId="40B5FABB">
      <w:pPr>
        <w:pStyle w:val="279"/>
        <w:spacing w:beforeLines="100" w:afterLines="100" w:line="240" w:lineRule="auto"/>
        <w:ind w:firstLine="0" w:firstLineChars="0"/>
        <w:rPr>
          <w:rFonts w:hint="eastAsia" w:ascii="黑体" w:hAnsi="黑体" w:eastAsia="黑体" w:cs="黑体"/>
          <w:bCs/>
          <w:lang w:val="en-US" w:eastAsia="zh-CN"/>
        </w:rPr>
      </w:pPr>
      <w:r>
        <w:rPr>
          <w:rFonts w:hint="eastAsia" w:ascii="黑体" w:hAnsi="黑体" w:eastAsia="黑体" w:cs="黑体"/>
          <w:bCs/>
          <w:lang w:val="en-US" w:eastAsia="zh-CN"/>
        </w:rPr>
        <w:t>封面</w:t>
      </w:r>
    </w:p>
    <w:p w14:paraId="0B32D991">
      <w:pPr>
        <w:pStyle w:val="279"/>
        <w:spacing w:beforeLines="100" w:afterLines="100" w:line="240" w:lineRule="auto"/>
        <w:ind w:firstLine="0" w:firstLineChars="0"/>
        <w:jc w:val="center"/>
        <w:rPr>
          <w:rFonts w:hint="eastAsia" w:ascii="黑体" w:hAnsi="黑体" w:eastAsia="黑体" w:cs="黑体"/>
          <w:bCs/>
          <w:lang w:val="en-US" w:eastAsia="zh-CN"/>
        </w:rPr>
      </w:pPr>
      <w:r>
        <w:rPr>
          <w:rFonts w:hint="eastAsia" w:ascii="黑体" w:hAnsi="黑体" w:eastAsia="黑体" w:cs="黑体"/>
          <w:bCs/>
          <w:lang w:val="en-US" w:eastAsia="zh-CN"/>
        </w:rPr>
        <w:t>银锭产品碳足迹报告</w:t>
      </w:r>
    </w:p>
    <w:p w14:paraId="37091E95">
      <w:pPr>
        <w:pStyle w:val="280"/>
        <w:ind w:firstLine="0" w:firstLineChars="0"/>
        <w:rPr>
          <w:rFonts w:hint="eastAsia"/>
          <w:szCs w:val="21"/>
          <w:lang w:val="en-US" w:eastAsia="zh-CN"/>
        </w:rPr>
      </w:pPr>
      <w:r>
        <w:rPr>
          <w:rFonts w:hint="eastAsia"/>
          <w:szCs w:val="21"/>
          <w:lang w:val="en-US" w:eastAsia="zh-CN"/>
        </w:rPr>
        <w:t>报告编号：XXXX-XXXX</w:t>
      </w:r>
      <w:r>
        <w:rPr>
          <w:rFonts w:hint="eastAsia"/>
          <w:szCs w:val="21"/>
          <w:lang w:val="en-US" w:eastAsia="zh-CN"/>
        </w:rPr>
        <w:br w:type="textWrapping"/>
      </w:r>
      <w:r>
        <w:rPr>
          <w:rFonts w:hint="eastAsia"/>
          <w:szCs w:val="21"/>
          <w:lang w:val="en-US" w:eastAsia="zh-CN"/>
        </w:rPr>
        <w:t>产品名称：银锭</w:t>
      </w:r>
      <w:r>
        <w:rPr>
          <w:rFonts w:hint="eastAsia"/>
          <w:szCs w:val="21"/>
          <w:lang w:val="en-US" w:eastAsia="zh-CN"/>
        </w:rPr>
        <w:br w:type="textWrapping"/>
      </w:r>
      <w:r>
        <w:rPr>
          <w:rFonts w:hint="eastAsia"/>
          <w:szCs w:val="21"/>
          <w:lang w:val="en-US" w:eastAsia="zh-CN"/>
        </w:rPr>
        <w:t>生产单位：XXXXXX</w:t>
      </w:r>
      <w:r>
        <w:rPr>
          <w:rFonts w:hint="eastAsia"/>
          <w:szCs w:val="21"/>
          <w:lang w:val="en-US" w:eastAsia="zh-CN"/>
        </w:rPr>
        <w:br w:type="textWrapping"/>
      </w:r>
      <w:r>
        <w:rPr>
          <w:rFonts w:hint="eastAsia"/>
          <w:szCs w:val="21"/>
          <w:lang w:val="en-US" w:eastAsia="zh-CN"/>
        </w:rPr>
        <w:t>报告日期：202X年X月X日</w:t>
      </w:r>
    </w:p>
    <w:p w14:paraId="6B224D78">
      <w:pPr>
        <w:pStyle w:val="279"/>
        <w:spacing w:beforeLines="100" w:afterLines="100" w:line="240" w:lineRule="auto"/>
        <w:ind w:firstLine="0" w:firstLineChars="0"/>
        <w:rPr>
          <w:rFonts w:hint="eastAsia" w:ascii="黑体" w:hAnsi="黑体" w:eastAsia="黑体" w:cs="黑体"/>
          <w:bCs/>
          <w:lang w:val="en-US" w:eastAsia="zh-CN"/>
        </w:rPr>
      </w:pPr>
      <w:r>
        <w:rPr>
          <w:rFonts w:hint="eastAsia" w:ascii="黑体" w:hAnsi="黑体" w:eastAsia="黑体" w:cs="黑体"/>
          <w:bCs/>
          <w:lang w:val="en-US" w:eastAsia="zh-CN"/>
        </w:rPr>
        <w:t>第1章 企业及产品概况</w:t>
      </w:r>
    </w:p>
    <w:p w14:paraId="16B05C90">
      <w:pPr>
        <w:keepNext w:val="0"/>
        <w:keepLines w:val="0"/>
        <w:pageBreakBefore w:val="0"/>
        <w:widowControl w:val="0"/>
        <w:kinsoku/>
        <w:wordWrap/>
        <w:overflowPunct/>
        <w:topLinePunct w:val="0"/>
        <w:autoSpaceDE/>
        <w:autoSpaceDN/>
        <w:bidi w:val="0"/>
        <w:adjustRightInd/>
        <w:snapToGrid/>
        <w:spacing w:beforeLines="50" w:afterLines="50" w:line="240" w:lineRule="auto"/>
        <w:textAlignment w:val="auto"/>
        <w:outlineLvl w:val="1"/>
        <w:rPr>
          <w:rFonts w:hint="eastAsia" w:ascii="黑体" w:hAnsi="宋体" w:eastAsia="黑体" w:cs="Times New Roman"/>
          <w:szCs w:val="21"/>
          <w:lang w:val="en-US" w:eastAsia="zh-CN"/>
        </w:rPr>
      </w:pPr>
      <w:bookmarkStart w:id="60" w:name="_Toc2111"/>
      <w:bookmarkStart w:id="61" w:name="_Toc28204"/>
      <w:r>
        <w:rPr>
          <w:rFonts w:hint="eastAsia" w:ascii="黑体" w:hAnsi="宋体" w:eastAsia="黑体" w:cs="Times New Roman"/>
          <w:szCs w:val="21"/>
          <w:lang w:val="en-US" w:eastAsia="zh-CN"/>
        </w:rPr>
        <w:t>1.1 企业基本信息</w:t>
      </w:r>
      <w:r>
        <w:rPr>
          <w:rFonts w:hint="eastAsia" w:ascii="黑体" w:hAnsi="宋体" w:eastAsia="黑体" w:cs="Times New Roman"/>
          <w:szCs w:val="21"/>
          <w:lang w:val="en-US" w:eastAsia="zh-CN"/>
        </w:rPr>
        <w:br w:type="textWrapping"/>
      </w:r>
      <w:r>
        <w:rPr>
          <w:rFonts w:hint="eastAsia" w:ascii="黑体" w:hAnsi="宋体" w:eastAsia="黑体" w:cs="Times New Roman"/>
          <w:szCs w:val="21"/>
          <w:lang w:val="en-US" w:eastAsia="zh-CN"/>
        </w:rPr>
        <w:t>1.2 产品描述</w:t>
      </w:r>
      <w:r>
        <w:rPr>
          <w:rFonts w:hint="eastAsia" w:ascii="黑体" w:hAnsi="宋体" w:eastAsia="黑体" w:cs="Times New Roman"/>
          <w:szCs w:val="21"/>
          <w:lang w:val="en-US" w:eastAsia="zh-CN"/>
        </w:rPr>
        <w:br w:type="textWrapping"/>
      </w:r>
      <w:r>
        <w:rPr>
          <w:rFonts w:hint="eastAsia" w:ascii="黑体" w:hAnsi="宋体" w:eastAsia="黑体" w:cs="Times New Roman"/>
          <w:szCs w:val="21"/>
          <w:lang w:val="en-US" w:eastAsia="zh-CN"/>
        </w:rPr>
        <w:t>1.3 生产流程简介</w:t>
      </w:r>
      <w:bookmarkEnd w:id="60"/>
      <w:bookmarkEnd w:id="61"/>
    </w:p>
    <w:p w14:paraId="27DB3FF8">
      <w:pPr>
        <w:pStyle w:val="279"/>
        <w:spacing w:beforeLines="100" w:afterLines="100" w:line="240" w:lineRule="auto"/>
        <w:ind w:firstLine="0" w:firstLineChars="0"/>
        <w:rPr>
          <w:rFonts w:hint="eastAsia" w:ascii="黑体" w:hAnsi="黑体" w:eastAsia="黑体" w:cs="黑体"/>
          <w:bCs/>
          <w:lang w:val="en-US" w:eastAsia="zh-CN"/>
        </w:rPr>
      </w:pPr>
      <w:r>
        <w:rPr>
          <w:rFonts w:hint="eastAsia" w:ascii="黑体" w:hAnsi="黑体" w:eastAsia="黑体" w:cs="黑体"/>
          <w:bCs/>
          <w:lang w:val="en-US" w:eastAsia="zh-CN"/>
        </w:rPr>
        <w:t>第2章 量化目的和范围</w:t>
      </w:r>
    </w:p>
    <w:p w14:paraId="13603FD4">
      <w:pPr>
        <w:keepNext w:val="0"/>
        <w:keepLines w:val="0"/>
        <w:pageBreakBefore w:val="0"/>
        <w:widowControl w:val="0"/>
        <w:kinsoku/>
        <w:wordWrap/>
        <w:overflowPunct/>
        <w:topLinePunct w:val="0"/>
        <w:autoSpaceDE/>
        <w:autoSpaceDN/>
        <w:bidi w:val="0"/>
        <w:adjustRightInd/>
        <w:snapToGrid/>
        <w:spacing w:beforeLines="50" w:afterLines="50" w:line="240" w:lineRule="auto"/>
        <w:textAlignment w:val="auto"/>
        <w:outlineLvl w:val="1"/>
        <w:rPr>
          <w:rFonts w:hint="eastAsia" w:ascii="黑体" w:hAnsi="宋体" w:eastAsia="黑体" w:cs="Times New Roman"/>
          <w:szCs w:val="21"/>
          <w:lang w:val="en-US" w:eastAsia="zh-CN"/>
        </w:rPr>
      </w:pPr>
      <w:bookmarkStart w:id="62" w:name="_Toc14258"/>
      <w:bookmarkStart w:id="63" w:name="_Toc4822"/>
      <w:r>
        <w:rPr>
          <w:rFonts w:hint="eastAsia" w:ascii="黑体" w:hAnsi="宋体" w:eastAsia="黑体" w:cs="Times New Roman"/>
          <w:szCs w:val="21"/>
          <w:lang w:val="en-US" w:eastAsia="zh-CN"/>
        </w:rPr>
        <w:t>2.1 功能单位</w:t>
      </w:r>
      <w:r>
        <w:rPr>
          <w:rFonts w:hint="eastAsia" w:ascii="黑体" w:hAnsi="宋体" w:eastAsia="黑体" w:cs="Times New Roman"/>
          <w:szCs w:val="21"/>
          <w:lang w:val="en-US" w:eastAsia="zh-CN"/>
        </w:rPr>
        <w:br w:type="textWrapping"/>
      </w:r>
      <w:r>
        <w:rPr>
          <w:rFonts w:hint="eastAsia" w:ascii="黑体" w:hAnsi="宋体" w:eastAsia="黑体" w:cs="Times New Roman"/>
          <w:szCs w:val="21"/>
          <w:lang w:val="en-US" w:eastAsia="zh-CN"/>
        </w:rPr>
        <w:t>2.2 系统边界</w:t>
      </w:r>
      <w:r>
        <w:rPr>
          <w:rFonts w:hint="eastAsia" w:ascii="黑体" w:hAnsi="宋体" w:eastAsia="黑体" w:cs="Times New Roman"/>
          <w:szCs w:val="21"/>
          <w:lang w:val="en-US" w:eastAsia="zh-CN"/>
        </w:rPr>
        <w:br w:type="textWrapping"/>
      </w:r>
      <w:r>
        <w:rPr>
          <w:rFonts w:hint="eastAsia" w:ascii="黑体" w:hAnsi="宋体" w:eastAsia="黑体" w:cs="Times New Roman"/>
          <w:szCs w:val="21"/>
          <w:lang w:val="en-US" w:eastAsia="zh-CN"/>
        </w:rPr>
        <w:t>2.3 时间边界</w:t>
      </w:r>
      <w:bookmarkEnd w:id="62"/>
      <w:bookmarkEnd w:id="63"/>
    </w:p>
    <w:p w14:paraId="3578B570">
      <w:pPr>
        <w:pStyle w:val="279"/>
        <w:spacing w:beforeLines="100" w:afterLines="100" w:line="240" w:lineRule="auto"/>
        <w:ind w:firstLine="0" w:firstLineChars="0"/>
        <w:rPr>
          <w:rFonts w:hint="eastAsia" w:ascii="黑体" w:hAnsi="黑体" w:eastAsia="黑体" w:cs="黑体"/>
          <w:bCs/>
          <w:lang w:val="en-US" w:eastAsia="zh-CN"/>
        </w:rPr>
      </w:pPr>
      <w:r>
        <w:rPr>
          <w:rFonts w:hint="eastAsia" w:ascii="黑体" w:hAnsi="黑体" w:eastAsia="黑体" w:cs="黑体"/>
          <w:bCs/>
          <w:lang w:val="en-US" w:eastAsia="zh-CN"/>
        </w:rPr>
        <w:t>第3章 数据收集</w:t>
      </w:r>
    </w:p>
    <w:p w14:paraId="57595EBE">
      <w:pPr>
        <w:keepNext w:val="0"/>
        <w:keepLines w:val="0"/>
        <w:pageBreakBefore w:val="0"/>
        <w:widowControl w:val="0"/>
        <w:kinsoku/>
        <w:wordWrap/>
        <w:overflowPunct/>
        <w:topLinePunct w:val="0"/>
        <w:autoSpaceDE/>
        <w:autoSpaceDN/>
        <w:bidi w:val="0"/>
        <w:adjustRightInd/>
        <w:snapToGrid/>
        <w:spacing w:beforeLines="50" w:afterLines="50" w:line="240" w:lineRule="auto"/>
        <w:textAlignment w:val="auto"/>
        <w:outlineLvl w:val="1"/>
        <w:rPr>
          <w:rFonts w:hint="eastAsia" w:ascii="黑体" w:hAnsi="宋体" w:eastAsia="黑体" w:cs="Times New Roman"/>
          <w:szCs w:val="21"/>
          <w:lang w:val="en-US" w:eastAsia="zh-CN"/>
        </w:rPr>
      </w:pPr>
      <w:bookmarkStart w:id="64" w:name="_Toc15956"/>
      <w:bookmarkStart w:id="65" w:name="_Toc25222"/>
      <w:r>
        <w:rPr>
          <w:rFonts w:hint="eastAsia" w:ascii="黑体" w:hAnsi="宋体" w:eastAsia="黑体" w:cs="Times New Roman"/>
          <w:szCs w:val="21"/>
          <w:lang w:val="en-US" w:eastAsia="zh-CN"/>
        </w:rPr>
        <w:t>3.1 现场数据</w:t>
      </w:r>
      <w:r>
        <w:rPr>
          <w:rFonts w:hint="eastAsia" w:ascii="黑体" w:hAnsi="宋体" w:eastAsia="黑体" w:cs="Times New Roman"/>
          <w:szCs w:val="21"/>
          <w:lang w:val="en-US" w:eastAsia="zh-CN"/>
        </w:rPr>
        <w:br w:type="textWrapping"/>
      </w:r>
      <w:r>
        <w:rPr>
          <w:rFonts w:hint="eastAsia" w:ascii="黑体" w:hAnsi="宋体" w:eastAsia="黑体" w:cs="Times New Roman"/>
          <w:szCs w:val="21"/>
          <w:lang w:val="en-US" w:eastAsia="zh-CN"/>
        </w:rPr>
        <w:t>3.2 背景数据</w:t>
      </w:r>
      <w:r>
        <w:rPr>
          <w:rFonts w:hint="eastAsia" w:ascii="黑体" w:hAnsi="宋体" w:eastAsia="黑体" w:cs="Times New Roman"/>
          <w:szCs w:val="21"/>
          <w:lang w:val="en-US" w:eastAsia="zh-CN"/>
        </w:rPr>
        <w:br w:type="textWrapping"/>
      </w:r>
      <w:r>
        <w:rPr>
          <w:rFonts w:hint="eastAsia" w:ascii="黑体" w:hAnsi="宋体" w:eastAsia="黑体" w:cs="Times New Roman"/>
          <w:szCs w:val="21"/>
          <w:lang w:val="en-US" w:eastAsia="zh-CN"/>
        </w:rPr>
        <w:t>3.3 数据质量评价</w:t>
      </w:r>
      <w:bookmarkEnd w:id="64"/>
      <w:bookmarkEnd w:id="65"/>
    </w:p>
    <w:p w14:paraId="33941C43">
      <w:pPr>
        <w:pStyle w:val="279"/>
        <w:spacing w:beforeLines="100" w:afterLines="100" w:line="240" w:lineRule="auto"/>
        <w:ind w:firstLine="0" w:firstLineChars="0"/>
        <w:rPr>
          <w:rFonts w:hint="eastAsia" w:ascii="黑体" w:hAnsi="黑体" w:eastAsia="黑体" w:cs="黑体"/>
          <w:bCs/>
          <w:lang w:val="en-US" w:eastAsia="zh-CN"/>
        </w:rPr>
      </w:pPr>
      <w:r>
        <w:rPr>
          <w:rFonts w:hint="eastAsia" w:ascii="黑体" w:hAnsi="黑体" w:eastAsia="黑体" w:cs="黑体"/>
          <w:bCs/>
          <w:lang w:val="en-US" w:eastAsia="zh-CN"/>
        </w:rPr>
        <w:t>第4章 分配方法</w:t>
      </w:r>
    </w:p>
    <w:p w14:paraId="74AB8187">
      <w:pPr>
        <w:keepNext w:val="0"/>
        <w:keepLines w:val="0"/>
        <w:pageBreakBefore w:val="0"/>
        <w:widowControl w:val="0"/>
        <w:kinsoku/>
        <w:wordWrap/>
        <w:overflowPunct/>
        <w:topLinePunct w:val="0"/>
        <w:autoSpaceDE/>
        <w:autoSpaceDN/>
        <w:bidi w:val="0"/>
        <w:adjustRightInd/>
        <w:snapToGrid/>
        <w:spacing w:beforeLines="50" w:afterLines="50" w:line="240" w:lineRule="auto"/>
        <w:textAlignment w:val="auto"/>
        <w:outlineLvl w:val="1"/>
        <w:rPr>
          <w:rFonts w:hint="eastAsia" w:ascii="黑体" w:hAnsi="宋体" w:eastAsia="黑体" w:cs="Times New Roman"/>
          <w:szCs w:val="21"/>
          <w:lang w:val="en-US" w:eastAsia="zh-CN"/>
        </w:rPr>
      </w:pPr>
      <w:bookmarkStart w:id="66" w:name="_Toc5212"/>
      <w:bookmarkStart w:id="67" w:name="_Toc14059"/>
      <w:r>
        <w:rPr>
          <w:rFonts w:hint="eastAsia" w:ascii="黑体" w:hAnsi="宋体" w:eastAsia="黑体" w:cs="Times New Roman"/>
          <w:szCs w:val="21"/>
          <w:lang w:val="en-US" w:eastAsia="zh-CN"/>
        </w:rPr>
        <w:t>4.1 伴生矿产分配</w:t>
      </w:r>
      <w:r>
        <w:rPr>
          <w:rFonts w:hint="eastAsia" w:ascii="黑体" w:hAnsi="宋体" w:eastAsia="黑体" w:cs="Times New Roman"/>
          <w:szCs w:val="21"/>
          <w:lang w:val="en-US" w:eastAsia="zh-CN"/>
        </w:rPr>
        <w:br w:type="textWrapping"/>
      </w:r>
      <w:r>
        <w:rPr>
          <w:rFonts w:hint="eastAsia" w:ascii="黑体" w:hAnsi="宋体" w:eastAsia="黑体" w:cs="Times New Roman"/>
          <w:szCs w:val="21"/>
          <w:lang w:val="en-US" w:eastAsia="zh-CN"/>
        </w:rPr>
        <w:t>4.2 再生银分配</w:t>
      </w:r>
      <w:r>
        <w:rPr>
          <w:rFonts w:hint="eastAsia" w:ascii="黑体" w:hAnsi="宋体" w:eastAsia="黑体" w:cs="Times New Roman"/>
          <w:szCs w:val="21"/>
          <w:lang w:val="en-US" w:eastAsia="zh-CN"/>
        </w:rPr>
        <w:br w:type="textWrapping"/>
      </w:r>
      <w:r>
        <w:rPr>
          <w:rFonts w:hint="eastAsia" w:ascii="黑体" w:hAnsi="宋体" w:eastAsia="黑体" w:cs="Times New Roman"/>
          <w:szCs w:val="21"/>
          <w:lang w:val="en-US" w:eastAsia="zh-CN"/>
        </w:rPr>
        <w:t>4.3 其他分配</w:t>
      </w:r>
      <w:bookmarkEnd w:id="66"/>
      <w:bookmarkEnd w:id="67"/>
    </w:p>
    <w:p w14:paraId="46406A36">
      <w:pPr>
        <w:pStyle w:val="279"/>
        <w:spacing w:beforeLines="100" w:afterLines="100" w:line="240" w:lineRule="auto"/>
        <w:ind w:firstLine="0" w:firstLineChars="0"/>
        <w:rPr>
          <w:rFonts w:hint="eastAsia" w:ascii="黑体" w:hAnsi="黑体" w:eastAsia="黑体" w:cs="黑体"/>
          <w:bCs/>
          <w:lang w:val="en-US" w:eastAsia="zh-CN"/>
        </w:rPr>
      </w:pPr>
      <w:r>
        <w:rPr>
          <w:rFonts w:hint="eastAsia" w:ascii="黑体" w:hAnsi="黑体" w:eastAsia="黑体" w:cs="黑体"/>
          <w:bCs/>
          <w:lang w:val="en-US" w:eastAsia="zh-CN"/>
        </w:rPr>
        <w:t>第5章 计算结果</w:t>
      </w:r>
    </w:p>
    <w:p w14:paraId="023413A9">
      <w:pPr>
        <w:pStyle w:val="280"/>
        <w:ind w:firstLine="0" w:firstLineChars="0"/>
        <w:outlineLvl w:val="1"/>
        <w:rPr>
          <w:rFonts w:hint="eastAsia" w:ascii="黑体" w:hAnsi="宋体" w:eastAsia="黑体" w:cs="Times New Roman"/>
          <w:kern w:val="2"/>
          <w:sz w:val="21"/>
          <w:szCs w:val="21"/>
          <w:lang w:val="en-US" w:eastAsia="zh-CN" w:bidi="ar-SA"/>
        </w:rPr>
      </w:pPr>
      <w:bookmarkStart w:id="68" w:name="_Toc20056"/>
      <w:bookmarkStart w:id="69" w:name="_Toc1380"/>
      <w:r>
        <w:rPr>
          <w:rFonts w:hint="eastAsia" w:ascii="黑体" w:hAnsi="宋体" w:eastAsia="黑体" w:cs="Times New Roman"/>
          <w:kern w:val="2"/>
          <w:sz w:val="21"/>
          <w:szCs w:val="21"/>
          <w:lang w:val="en-US" w:eastAsia="zh-CN" w:bidi="ar-SA"/>
        </w:rPr>
        <w:t>5.1 各阶段碳排放汇总</w:t>
      </w:r>
      <w:r>
        <w:rPr>
          <w:rFonts w:hint="eastAsia" w:ascii="黑体" w:hAnsi="宋体" w:eastAsia="黑体" w:cs="Times New Roman"/>
          <w:kern w:val="2"/>
          <w:sz w:val="21"/>
          <w:szCs w:val="21"/>
          <w:lang w:val="en-US" w:eastAsia="zh-CN" w:bidi="ar-SA"/>
        </w:rPr>
        <w:br w:type="textWrapping"/>
      </w:r>
      <w:r>
        <w:rPr>
          <w:rFonts w:hint="eastAsia" w:ascii="黑体" w:hAnsi="宋体" w:eastAsia="黑体" w:cs="Times New Roman"/>
          <w:kern w:val="2"/>
          <w:sz w:val="21"/>
          <w:szCs w:val="21"/>
          <w:lang w:val="en-US" w:eastAsia="zh-CN" w:bidi="ar-SA"/>
        </w:rPr>
        <w:t>5.2 总碳足迹</w:t>
      </w:r>
      <w:bookmarkEnd w:id="68"/>
      <w:bookmarkEnd w:id="69"/>
    </w:p>
    <w:p w14:paraId="2E0020C3">
      <w:pPr>
        <w:pStyle w:val="279"/>
        <w:spacing w:beforeLines="100" w:afterLines="100" w:line="240" w:lineRule="auto"/>
        <w:ind w:firstLine="0" w:firstLineChars="0"/>
        <w:rPr>
          <w:rFonts w:hint="eastAsia" w:ascii="黑体" w:hAnsi="黑体" w:eastAsia="黑体" w:cs="黑体"/>
          <w:bCs/>
          <w:lang w:val="en-US" w:eastAsia="zh-CN"/>
        </w:rPr>
      </w:pPr>
      <w:r>
        <w:rPr>
          <w:rFonts w:hint="eastAsia" w:ascii="黑体" w:hAnsi="黑体" w:eastAsia="黑体" w:cs="黑体"/>
          <w:bCs/>
          <w:lang w:val="en-US" w:eastAsia="zh-CN"/>
        </w:rPr>
        <w:t>第6章 结果解释</w:t>
      </w:r>
    </w:p>
    <w:p w14:paraId="5DEB8BCF">
      <w:pPr>
        <w:pStyle w:val="280"/>
        <w:ind w:firstLine="0" w:firstLineChars="0"/>
        <w:outlineLvl w:val="1"/>
        <w:rPr>
          <w:rFonts w:hint="eastAsia" w:ascii="黑体" w:hAnsi="宋体" w:eastAsia="黑体" w:cs="Times New Roman"/>
          <w:kern w:val="2"/>
          <w:sz w:val="21"/>
          <w:szCs w:val="21"/>
          <w:lang w:val="en-US" w:eastAsia="zh-CN" w:bidi="ar-SA"/>
        </w:rPr>
      </w:pPr>
      <w:bookmarkStart w:id="70" w:name="_Toc6193"/>
      <w:bookmarkStart w:id="71" w:name="_Toc23392"/>
      <w:r>
        <w:rPr>
          <w:rFonts w:hint="eastAsia" w:ascii="黑体" w:hAnsi="宋体" w:eastAsia="黑体" w:cs="Times New Roman"/>
          <w:kern w:val="2"/>
          <w:sz w:val="21"/>
          <w:szCs w:val="21"/>
          <w:lang w:val="en-US" w:eastAsia="zh-CN" w:bidi="ar-SA"/>
        </w:rPr>
        <w:t>6.1 贡献分析</w:t>
      </w:r>
      <w:r>
        <w:rPr>
          <w:rFonts w:hint="eastAsia" w:ascii="黑体" w:hAnsi="宋体" w:eastAsia="黑体" w:cs="Times New Roman"/>
          <w:kern w:val="2"/>
          <w:sz w:val="21"/>
          <w:szCs w:val="21"/>
          <w:lang w:val="en-US" w:eastAsia="zh-CN" w:bidi="ar-SA"/>
        </w:rPr>
        <w:br w:type="textWrapping"/>
      </w:r>
      <w:r>
        <w:rPr>
          <w:rFonts w:hint="eastAsia" w:ascii="黑体" w:hAnsi="宋体" w:eastAsia="黑体" w:cs="Times New Roman"/>
          <w:kern w:val="2"/>
          <w:sz w:val="21"/>
          <w:szCs w:val="21"/>
          <w:lang w:val="en-US" w:eastAsia="zh-CN" w:bidi="ar-SA"/>
        </w:rPr>
        <w:t>6.2 不确定性分析</w:t>
      </w:r>
      <w:r>
        <w:rPr>
          <w:rFonts w:hint="eastAsia" w:ascii="黑体" w:hAnsi="宋体" w:eastAsia="黑体" w:cs="Times New Roman"/>
          <w:kern w:val="2"/>
          <w:sz w:val="21"/>
          <w:szCs w:val="21"/>
          <w:lang w:val="en-US" w:eastAsia="zh-CN" w:bidi="ar-SA"/>
        </w:rPr>
        <w:br w:type="textWrapping"/>
      </w:r>
      <w:r>
        <w:rPr>
          <w:rFonts w:hint="eastAsia" w:ascii="黑体" w:hAnsi="宋体" w:eastAsia="黑体" w:cs="Times New Roman"/>
          <w:kern w:val="2"/>
          <w:sz w:val="21"/>
          <w:szCs w:val="21"/>
          <w:lang w:val="en-US" w:eastAsia="zh-CN" w:bidi="ar-SA"/>
        </w:rPr>
        <w:t>6.3 改进建议</w:t>
      </w:r>
      <w:bookmarkEnd w:id="70"/>
      <w:bookmarkEnd w:id="71"/>
    </w:p>
    <w:p w14:paraId="7DE2F85A">
      <w:pPr>
        <w:pStyle w:val="279"/>
        <w:spacing w:beforeLines="100" w:afterLines="100" w:line="240" w:lineRule="auto"/>
        <w:ind w:firstLine="0" w:firstLineChars="0"/>
        <w:rPr>
          <w:rFonts w:hint="eastAsia" w:ascii="黑体" w:hAnsi="黑体" w:eastAsia="黑体" w:cs="黑体"/>
          <w:bCs/>
          <w:lang w:val="en-US" w:eastAsia="zh-CN"/>
        </w:rPr>
      </w:pPr>
      <w:r>
        <w:rPr>
          <w:rFonts w:hint="eastAsia" w:ascii="黑体" w:hAnsi="黑体" w:eastAsia="黑体" w:cs="黑体"/>
          <w:bCs/>
          <w:lang w:val="en-US" w:eastAsia="zh-CN"/>
        </w:rPr>
        <w:t>第7章 核查声明（如有）</w:t>
      </w:r>
    </w:p>
    <w:p w14:paraId="49F0EAB1">
      <w:pPr>
        <w:pStyle w:val="280"/>
        <w:ind w:firstLine="0" w:firstLineChars="0"/>
        <w:rPr>
          <w:rFonts w:hint="eastAsia"/>
          <w:szCs w:val="21"/>
          <w:lang w:val="en-US" w:eastAsia="zh-CN"/>
        </w:rPr>
      </w:pPr>
      <w:r>
        <w:rPr>
          <w:rFonts w:hint="eastAsia"/>
          <w:szCs w:val="21"/>
          <w:lang w:val="en-US" w:eastAsia="zh-CN"/>
        </w:rPr>
        <w:t>附录：数据清单、计算过程、参考文献</w:t>
      </w:r>
    </w:p>
    <w:p w14:paraId="2B48E0E5">
      <w:pPr>
        <w:spacing w:beforeLines="50" w:afterLines="50" w:line="360" w:lineRule="exact"/>
        <w:jc w:val="center"/>
        <w:outlineLvl w:val="0"/>
        <w:rPr>
          <w:rFonts w:hint="eastAsia" w:ascii="黑体" w:hAnsi="宋体" w:eastAsia="黑体" w:cs="Times New Roman"/>
          <w:szCs w:val="21"/>
          <w:lang w:val="en-US" w:eastAsia="zh-CN"/>
        </w:rPr>
        <w:sectPr>
          <w:pgSz w:w="11906" w:h="16838"/>
          <w:pgMar w:top="1928" w:right="1134" w:bottom="1134" w:left="1134" w:header="1418" w:footer="1134" w:gutter="284"/>
          <w:pgBorders>
            <w:top w:val="none" w:sz="0" w:space="0"/>
            <w:left w:val="none" w:sz="0" w:space="0"/>
            <w:bottom w:val="none" w:sz="0" w:space="0"/>
            <w:right w:val="none" w:sz="0" w:space="0"/>
          </w:pgBorders>
          <w:pgNumType w:fmt="decimal"/>
          <w:cols w:space="425" w:num="1"/>
          <w:formProt w:val="0"/>
          <w:docGrid w:type="lines" w:linePitch="312" w:charSpace="0"/>
        </w:sectPr>
      </w:pPr>
      <w:bookmarkStart w:id="72" w:name="_Toc18176"/>
    </w:p>
    <w:p w14:paraId="5C013775">
      <w:pPr>
        <w:spacing w:beforeLines="50" w:afterLines="50" w:line="360" w:lineRule="exact"/>
        <w:jc w:val="center"/>
        <w:outlineLvl w:val="0"/>
        <w:rPr>
          <w:rFonts w:hint="eastAsia" w:ascii="黑体" w:hAnsi="宋体" w:eastAsia="黑体" w:cs="Times New Roman"/>
          <w:szCs w:val="21"/>
          <w:lang w:val="en-US" w:eastAsia="zh-CN"/>
        </w:rPr>
      </w:pPr>
      <w:r>
        <w:rPr>
          <w:rFonts w:hint="eastAsia" w:ascii="黑体" w:hAnsi="宋体" w:eastAsia="黑体" w:cs="Times New Roman"/>
          <w:szCs w:val="21"/>
          <w:lang w:val="en-US" w:eastAsia="zh-CN"/>
        </w:rPr>
        <w:t>参考文献</w:t>
      </w:r>
      <w:bookmarkEnd w:id="72"/>
    </w:p>
    <w:p w14:paraId="77385C42">
      <w:pPr>
        <w:pStyle w:val="280"/>
        <w:numPr>
          <w:ilvl w:val="0"/>
          <w:numId w:val="36"/>
        </w:numPr>
        <w:spacing w:line="240" w:lineRule="auto"/>
        <w:ind w:left="420" w:leftChars="0" w:hanging="420" w:hangingChars="200"/>
        <w:rPr>
          <w:rFonts w:hint="eastAsia" w:ascii="宋体" w:hAnsi="宋体" w:eastAsia="宋体" w:cs="宋体"/>
          <w:szCs w:val="21"/>
          <w:lang w:val="en-US" w:eastAsia="zh-CN"/>
        </w:rPr>
      </w:pPr>
      <w:r>
        <w:rPr>
          <w:rFonts w:hint="eastAsia" w:ascii="宋体" w:hAnsi="宋体" w:cs="宋体"/>
          <w:szCs w:val="21"/>
          <w:lang w:val="en-US" w:eastAsia="zh-CN"/>
        </w:rPr>
        <w:t>GB/T 24040—2008 环境管理 生命周期评价 原则与框架</w:t>
      </w:r>
    </w:p>
    <w:p w14:paraId="4D8E1EB1">
      <w:pPr>
        <w:pStyle w:val="280"/>
        <w:numPr>
          <w:ilvl w:val="0"/>
          <w:numId w:val="36"/>
        </w:numPr>
        <w:spacing w:line="240" w:lineRule="auto"/>
        <w:ind w:left="420" w:leftChars="0" w:hanging="420" w:hangingChars="200"/>
        <w:rPr>
          <w:rFonts w:hint="eastAsia" w:ascii="宋体" w:hAnsi="宋体" w:cs="宋体"/>
          <w:szCs w:val="21"/>
          <w:lang w:val="en-US" w:eastAsia="zh-CN"/>
        </w:rPr>
      </w:pPr>
      <w:r>
        <w:rPr>
          <w:rFonts w:hint="eastAsia" w:ascii="宋体" w:hAnsi="宋体" w:cs="宋体"/>
          <w:szCs w:val="21"/>
          <w:lang w:val="en-US" w:eastAsia="zh-CN"/>
        </w:rPr>
        <w:t>GB/T 24044—2008 环境管理 生命周期评价 要求与指南</w:t>
      </w:r>
    </w:p>
    <w:p w14:paraId="47EC2904">
      <w:pPr>
        <w:pStyle w:val="280"/>
        <w:numPr>
          <w:ilvl w:val="0"/>
          <w:numId w:val="36"/>
        </w:numPr>
        <w:spacing w:line="240" w:lineRule="auto"/>
        <w:ind w:left="420" w:leftChars="0" w:hanging="420" w:hangingChars="200"/>
        <w:rPr>
          <w:rFonts w:hint="eastAsia" w:ascii="宋体" w:hAnsi="宋体" w:eastAsia="宋体" w:cs="宋体"/>
          <w:szCs w:val="21"/>
          <w:lang w:val="en-US" w:eastAsia="zh-CN"/>
        </w:rPr>
      </w:pPr>
      <w:r>
        <w:rPr>
          <w:rFonts w:hint="eastAsia" w:ascii="宋体" w:hAnsi="宋体" w:cs="宋体"/>
          <w:szCs w:val="21"/>
          <w:lang w:val="en-US" w:eastAsia="zh-CN"/>
        </w:rPr>
        <w:t>ISO 14064-1:2018 Greenhouse gases — Part 1: Specification with guidance at the organization level for quantification and reporting of greenhouse gas emissions and removals</w:t>
      </w:r>
    </w:p>
    <w:p w14:paraId="6FD970F4">
      <w:pPr>
        <w:pStyle w:val="280"/>
        <w:numPr>
          <w:ilvl w:val="0"/>
          <w:numId w:val="36"/>
        </w:numPr>
        <w:spacing w:line="240" w:lineRule="auto"/>
        <w:ind w:left="420" w:leftChars="0" w:hanging="420" w:hangingChars="200"/>
        <w:rPr>
          <w:rFonts w:hint="eastAsia" w:ascii="宋体" w:hAnsi="宋体" w:cs="宋体"/>
          <w:szCs w:val="21"/>
          <w:lang w:val="en-US" w:eastAsia="zh-CN"/>
        </w:rPr>
      </w:pPr>
      <w:r>
        <w:rPr>
          <w:rFonts w:hint="eastAsia" w:ascii="宋体" w:hAnsi="宋体" w:cs="宋体"/>
          <w:szCs w:val="21"/>
          <w:lang w:val="en-US" w:eastAsia="zh-CN"/>
        </w:rPr>
        <w:t>YS/T 1807—2025 温室气体 产品碳足迹量化方法与要求 阴极铜</w:t>
      </w:r>
    </w:p>
    <w:p w14:paraId="06DA9F91">
      <w:pPr>
        <w:pStyle w:val="280"/>
        <w:numPr>
          <w:ilvl w:val="0"/>
          <w:numId w:val="36"/>
        </w:numPr>
        <w:spacing w:line="240" w:lineRule="auto"/>
        <w:ind w:left="420" w:leftChars="0" w:hanging="420" w:hangingChars="200"/>
        <w:rPr>
          <w:rFonts w:hint="eastAsia" w:ascii="宋体" w:hAnsi="宋体" w:eastAsia="宋体" w:cs="宋体"/>
          <w:szCs w:val="21"/>
          <w:lang w:val="en-US" w:eastAsia="zh-CN"/>
        </w:rPr>
      </w:pPr>
      <w:r>
        <w:rPr>
          <w:rFonts w:hint="eastAsia" w:ascii="宋体" w:hAnsi="宋体" w:cs="宋体"/>
          <w:szCs w:val="21"/>
          <w:lang w:val="en-US" w:eastAsia="zh-CN"/>
        </w:rPr>
        <w:t>世界黄金协会. 负责任黄金开采原则. 2019</w:t>
      </w:r>
    </w:p>
    <w:p w14:paraId="0F793BF0">
      <w:pPr>
        <w:pStyle w:val="280"/>
        <w:numPr>
          <w:ilvl w:val="0"/>
          <w:numId w:val="36"/>
        </w:numPr>
        <w:spacing w:line="240" w:lineRule="auto"/>
        <w:ind w:left="420" w:leftChars="0" w:hanging="420" w:hangingChars="200"/>
        <w:rPr>
          <w:rFonts w:hint="eastAsia" w:ascii="宋体" w:hAnsi="宋体" w:eastAsia="宋体" w:cs="宋体"/>
          <w:szCs w:val="21"/>
          <w:lang w:val="en-US" w:eastAsia="zh-CN"/>
        </w:rPr>
      </w:pPr>
      <w:r>
        <w:rPr>
          <w:rFonts w:hint="eastAsia" w:ascii="宋体" w:hAnsi="宋体" w:cs="宋体"/>
          <w:szCs w:val="21"/>
          <w:lang w:val="en-US" w:eastAsia="zh-CN"/>
        </w:rPr>
        <w:t xml:space="preserve"> 伦敦金银市场协会. 负责任白银指南. 2022</w:t>
      </w:r>
    </w:p>
    <w:p w14:paraId="5CB3F75B">
      <w:pPr>
        <w:pStyle w:val="280"/>
        <w:numPr>
          <w:ilvl w:val="0"/>
          <w:numId w:val="36"/>
        </w:numPr>
        <w:spacing w:line="240" w:lineRule="auto"/>
        <w:ind w:left="420" w:leftChars="0" w:hanging="420" w:hangingChars="200"/>
        <w:rPr>
          <w:rFonts w:hint="eastAsia" w:ascii="宋体" w:hAnsi="宋体" w:eastAsia="宋体" w:cs="宋体"/>
          <w:szCs w:val="21"/>
          <w:lang w:val="en-US" w:eastAsia="zh-CN"/>
        </w:rPr>
      </w:pPr>
      <w:r>
        <w:rPr>
          <w:rFonts w:hint="eastAsia" w:ascii="宋体" w:hAnsi="宋体" w:cs="宋体"/>
          <w:szCs w:val="21"/>
          <w:lang w:val="en-US" w:eastAsia="zh-CN"/>
        </w:rPr>
        <w:t>国际铜业协会. 铜生命周期评价指南. 2020</w:t>
      </w:r>
    </w:p>
    <w:p w14:paraId="0D3C6633">
      <w:pPr>
        <w:pStyle w:val="280"/>
        <w:numPr>
          <w:ilvl w:val="0"/>
          <w:numId w:val="36"/>
        </w:numPr>
        <w:spacing w:line="240" w:lineRule="auto"/>
        <w:ind w:left="420" w:leftChars="0" w:hanging="420" w:hangingChars="200"/>
        <w:rPr>
          <w:rFonts w:hint="eastAsia" w:ascii="宋体" w:hAnsi="宋体" w:eastAsia="宋体" w:cs="宋体"/>
          <w:szCs w:val="21"/>
          <w:lang w:val="en-US" w:eastAsia="zh-CN"/>
        </w:rPr>
      </w:pPr>
      <w:r>
        <w:rPr>
          <w:rFonts w:hint="eastAsia" w:ascii="宋体" w:hAnsi="宋体" w:cs="宋体"/>
          <w:szCs w:val="21"/>
          <w:lang w:val="en-US" w:eastAsia="zh-CN"/>
        </w:rPr>
        <w:t>生态环境部. 企业温室气体排放核算方法与报告指南 电解铝（试行）. 2022</w:t>
      </w:r>
    </w:p>
    <w:p w14:paraId="741EDA74">
      <w:pPr>
        <w:pStyle w:val="280"/>
        <w:numPr>
          <w:ilvl w:val="0"/>
          <w:numId w:val="36"/>
        </w:numPr>
        <w:spacing w:line="240" w:lineRule="auto"/>
        <w:ind w:left="420" w:leftChars="0" w:hanging="420" w:hangingChars="200"/>
        <w:rPr>
          <w:rFonts w:hint="eastAsia" w:ascii="宋体" w:hAnsi="宋体" w:eastAsia="宋体" w:cs="宋体"/>
          <w:szCs w:val="21"/>
          <w:lang w:val="en-US" w:eastAsia="zh-CN"/>
        </w:rPr>
      </w:pPr>
      <w:r>
        <w:rPr>
          <w:rFonts w:hint="eastAsia" w:ascii="宋体" w:hAnsi="宋体" w:cs="宋体"/>
          <w:szCs w:val="21"/>
          <w:lang w:val="en-US" w:eastAsia="zh-CN"/>
        </w:rPr>
        <w:t>国家应对气候变化战略研究和国际合作中心. 产品碳足迹核算通则. 2021</w:t>
      </w:r>
    </w:p>
    <w:p w14:paraId="38044C38">
      <w:pPr>
        <w:pStyle w:val="280"/>
        <w:numPr>
          <w:ilvl w:val="0"/>
          <w:numId w:val="36"/>
        </w:numPr>
        <w:spacing w:line="240" w:lineRule="auto"/>
        <w:ind w:left="420" w:leftChars="0" w:hanging="420" w:hangingChars="200"/>
        <w:rPr>
          <w:rFonts w:hint="eastAsia" w:ascii="宋体" w:hAnsi="宋体" w:eastAsia="宋体" w:cs="宋体"/>
          <w:szCs w:val="21"/>
          <w:lang w:val="en-US" w:eastAsia="zh-CN"/>
        </w:rPr>
      </w:pPr>
      <w:r>
        <w:rPr>
          <w:sz w:val="21"/>
        </w:rPr>
        <mc:AlternateContent>
          <mc:Choice Requires="wps">
            <w:drawing>
              <wp:anchor distT="0" distB="0" distL="114300" distR="114300" simplePos="0" relativeHeight="251667456" behindDoc="0" locked="0" layoutInCell="1" allowOverlap="1">
                <wp:simplePos x="0" y="0"/>
                <wp:positionH relativeFrom="column">
                  <wp:posOffset>1791335</wp:posOffset>
                </wp:positionH>
                <wp:positionV relativeFrom="paragraph">
                  <wp:posOffset>2480945</wp:posOffset>
                </wp:positionV>
                <wp:extent cx="1939290" cy="0"/>
                <wp:effectExtent l="0" t="4445" r="0" b="5080"/>
                <wp:wrapNone/>
                <wp:docPr id="4" name="直接连接符 4"/>
                <wp:cNvGraphicFramePr/>
                <a:graphic xmlns:a="http://schemas.openxmlformats.org/drawingml/2006/main">
                  <a:graphicData uri="http://schemas.microsoft.com/office/word/2010/wordprocessingShape">
                    <wps:wsp>
                      <wps:cNvCnPr/>
                      <wps:spPr>
                        <a:xfrm>
                          <a:off x="2146300" y="6212205"/>
                          <a:ext cx="193929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141.05pt;margin-top:195.35pt;height:0pt;width:152.7pt;z-index:251667456;mso-width-relative:page;mso-height-relative:page;" filled="f" stroked="t" coordsize="21600,21600" o:gfxdata="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M/z1l2AAAAAsBAAAPAAAAAAAAAAEAIAAAACIAAABk&#10;cnMvZG93bnJldi54bWxQSwECFAAUAAAACACHTuJAvGOw6M0BAAB2AwAADgAAAAAAAAABACAAAAAn&#10;AQAAZHJzL2Uyb0RvYy54bWxQSwUGAAAAAAYABgBZAQAAZgUAAAAA&#10;">
                <v:fill on="f" focussize="0,0"/>
                <v:stroke color="#000000" joinstyle="round"/>
                <v:imagedata o:title=""/>
                <o:lock v:ext="edit" aspectratio="f"/>
              </v:line>
            </w:pict>
          </mc:Fallback>
        </mc:AlternateContent>
      </w:r>
      <w:r>
        <w:rPr>
          <w:rFonts w:hint="eastAsia" w:ascii="宋体" w:hAnsi="宋体" w:cs="宋体"/>
          <w:szCs w:val="21"/>
          <w:lang w:val="en-US" w:eastAsia="zh-CN"/>
        </w:rPr>
        <w:t>欧盟委员会. 碳边境调节机制（CBAM）实施条例. 2023</w:t>
      </w:r>
    </w:p>
    <w:p w14:paraId="72A92B53">
      <w:pPr>
        <w:pStyle w:val="280"/>
        <w:numPr>
          <w:ilvl w:val="0"/>
          <w:numId w:val="36"/>
        </w:numPr>
        <w:spacing w:line="240" w:lineRule="auto"/>
        <w:ind w:left="420" w:leftChars="0" w:hanging="420" w:hangingChars="200"/>
        <w:rPr>
          <w:rFonts w:hint="eastAsia" w:ascii="宋体" w:hAnsi="宋体" w:eastAsia="宋体" w:cs="宋体"/>
          <w:szCs w:val="21"/>
          <w:lang w:val="en-US" w:eastAsia="zh-CN"/>
        </w:rPr>
      </w:pPr>
      <w:r>
        <w:rPr>
          <w:rFonts w:hint="eastAsia" w:ascii="宋体" w:hAnsi="宋体" w:cs="宋体"/>
          <w:szCs w:val="21"/>
          <w:lang w:val="en-US" w:eastAsia="zh-CN"/>
        </w:rPr>
        <w:t>工业和信息化部等四部门. 关于公布工业产品碳足迹核算规则团体标准推荐清单（第二批）的通告（工信部联节函〔2025〕141号）. 2025</w:t>
      </w:r>
    </w:p>
    <w:p w14:paraId="084D2ED0">
      <w:pPr>
        <w:pStyle w:val="280"/>
        <w:numPr>
          <w:ilvl w:val="0"/>
          <w:numId w:val="36"/>
        </w:numPr>
        <w:spacing w:line="240" w:lineRule="auto"/>
        <w:ind w:left="420" w:leftChars="0" w:hanging="420" w:hangingChars="200"/>
        <w:rPr>
          <w:rFonts w:hint="eastAsia" w:ascii="宋体" w:hAnsi="宋体" w:eastAsia="宋体" w:cs="宋体"/>
          <w:szCs w:val="21"/>
          <w:lang w:val="en-US" w:eastAsia="zh-CN"/>
        </w:rPr>
      </w:pPr>
      <w:r>
        <w:rPr>
          <w:rFonts w:hint="eastAsia" w:ascii="宋体" w:hAnsi="宋体" w:cs="宋体"/>
          <w:szCs w:val="21"/>
          <w:lang w:val="en-US" w:eastAsia="zh-CN"/>
        </w:rPr>
        <w:t>国家认监委. 产品碳足迹标识认证通用实施规则（试行）. 2025</w:t>
      </w:r>
    </w:p>
    <w:p w14:paraId="27EFA131">
      <w:pPr>
        <w:pStyle w:val="280"/>
        <w:numPr>
          <w:ilvl w:val="0"/>
          <w:numId w:val="36"/>
        </w:numPr>
        <w:spacing w:line="240" w:lineRule="auto"/>
        <w:ind w:left="420" w:leftChars="0" w:hanging="420" w:hangingChars="200"/>
        <w:rPr>
          <w:rFonts w:hint="eastAsia" w:ascii="宋体" w:hAnsi="宋体" w:eastAsia="宋体" w:cs="宋体"/>
          <w:szCs w:val="21"/>
          <w:lang w:val="en-US" w:eastAsia="zh-CN"/>
        </w:rPr>
      </w:pPr>
      <w:r>
        <w:rPr>
          <w:rFonts w:hint="eastAsia" w:ascii="宋体" w:hAnsi="宋体" w:cs="宋体"/>
          <w:szCs w:val="21"/>
          <w:lang w:val="en-US" w:eastAsia="zh-CN"/>
        </w:rPr>
        <w:t>生态环境部等15部门. 关于建立碳足迹管理体系的实施方案（环气候〔2024〕30号）. 2024</w:t>
      </w:r>
    </w:p>
    <w:p w14:paraId="446C9C39">
      <w:pPr>
        <w:pStyle w:val="280"/>
        <w:numPr>
          <w:ilvl w:val="0"/>
          <w:numId w:val="36"/>
        </w:numPr>
        <w:spacing w:line="240" w:lineRule="auto"/>
        <w:ind w:left="420" w:leftChars="0" w:hanging="420" w:hangingChars="200"/>
        <w:rPr>
          <w:rFonts w:hint="eastAsia" w:ascii="宋体" w:hAnsi="宋体" w:eastAsia="宋体" w:cs="宋体"/>
          <w:szCs w:val="21"/>
          <w:lang w:val="en-US" w:eastAsia="zh-CN"/>
        </w:rPr>
      </w:pPr>
      <w:r>
        <w:rPr>
          <w:rFonts w:hint="eastAsia" w:ascii="宋体" w:hAnsi="宋体" w:cs="宋体"/>
          <w:szCs w:val="21"/>
          <w:lang w:val="en-US" w:eastAsia="zh-CN"/>
        </w:rPr>
        <w:t>国务院办公厅. 加快构建碳排放双控制度体系工作方案（国办发〔2024〕39号）. 2024</w:t>
      </w:r>
    </w:p>
    <w:p w14:paraId="700B9FE0">
      <w:pPr>
        <w:pStyle w:val="280"/>
        <w:numPr>
          <w:ilvl w:val="0"/>
          <w:numId w:val="36"/>
        </w:numPr>
        <w:spacing w:line="240" w:lineRule="auto"/>
        <w:ind w:left="420" w:leftChars="0" w:hanging="420" w:hangingChars="200"/>
        <w:rPr>
          <w:rFonts w:hint="eastAsia" w:ascii="宋体" w:hAnsi="宋体" w:eastAsia="宋体" w:cs="宋体"/>
          <w:szCs w:val="21"/>
          <w:lang w:val="en-US" w:eastAsia="zh-CN"/>
        </w:rPr>
      </w:pPr>
      <w:r>
        <w:rPr>
          <w:rFonts w:hint="eastAsia" w:ascii="宋体" w:hAnsi="宋体" w:cs="宋体"/>
          <w:szCs w:val="21"/>
          <w:lang w:val="en-US" w:eastAsia="zh-CN"/>
        </w:rPr>
        <w:t>IPCC. 第六次评估报告（AR6）气候变化2021：自然科学基础. 2021</w:t>
      </w:r>
    </w:p>
    <w:p w14:paraId="68667ED9">
      <w:pPr>
        <w:pStyle w:val="280"/>
        <w:numPr>
          <w:ilvl w:val="0"/>
          <w:numId w:val="36"/>
        </w:numPr>
        <w:spacing w:line="240" w:lineRule="auto"/>
        <w:ind w:left="420" w:leftChars="0" w:hanging="420" w:hangingChars="200"/>
        <w:rPr>
          <w:rFonts w:hint="eastAsia" w:ascii="宋体" w:hAnsi="宋体" w:eastAsia="宋体" w:cs="宋体"/>
          <w:szCs w:val="21"/>
          <w:lang w:val="en-US" w:eastAsia="zh-CN"/>
        </w:rPr>
      </w:pPr>
      <w:r>
        <w:rPr>
          <w:rFonts w:hint="eastAsia" w:ascii="宋体" w:hAnsi="宋体" w:cs="宋体"/>
          <w:szCs w:val="21"/>
          <w:lang w:val="en-US" w:eastAsia="zh-CN"/>
        </w:rPr>
        <w:t>YS/T 1805-2025 温室气体 产品碳足迹量化方法与要求 铅锭</w:t>
      </w:r>
    </w:p>
    <w:p w14:paraId="10D42CB2">
      <w:pPr>
        <w:pStyle w:val="280"/>
        <w:numPr>
          <w:ilvl w:val="0"/>
          <w:numId w:val="36"/>
        </w:numPr>
        <w:spacing w:line="240" w:lineRule="auto"/>
        <w:ind w:left="420" w:leftChars="0" w:hanging="420" w:hangingChars="200"/>
        <w:rPr>
          <w:rFonts w:hint="eastAsia" w:ascii="宋体" w:hAnsi="宋体" w:eastAsia="宋体" w:cs="宋体"/>
          <w:szCs w:val="21"/>
          <w:lang w:val="en-US" w:eastAsia="zh-CN"/>
        </w:rPr>
      </w:pPr>
      <w:r>
        <w:rPr>
          <w:rFonts w:hint="eastAsia" w:ascii="宋体" w:hAnsi="宋体" w:cs="宋体"/>
          <w:szCs w:val="21"/>
          <w:lang w:val="en-US" w:eastAsia="zh-CN"/>
        </w:rPr>
        <w:t>YS/T 1806-2025 温室气体 产品碳足迹量化方法与要求 锌锭</w:t>
      </w:r>
    </w:p>
    <w:p w14:paraId="2674EC7C">
      <w:pPr>
        <w:pStyle w:val="280"/>
        <w:numPr>
          <w:ilvl w:val="0"/>
          <w:numId w:val="36"/>
        </w:numPr>
        <w:spacing w:line="240" w:lineRule="auto"/>
        <w:ind w:left="420" w:leftChars="0" w:hanging="420" w:hangingChars="200"/>
        <w:rPr>
          <w:rFonts w:hint="eastAsia" w:ascii="宋体" w:hAnsi="宋体" w:cs="宋体"/>
          <w:szCs w:val="21"/>
          <w:lang w:val="en-US" w:eastAsia="zh-CN"/>
        </w:rPr>
      </w:pPr>
      <w:r>
        <w:rPr>
          <w:rFonts w:hint="eastAsia" w:ascii="宋体" w:hAnsi="宋体" w:cs="宋体"/>
          <w:szCs w:val="21"/>
          <w:lang w:val="en-US" w:eastAsia="zh-CN"/>
        </w:rPr>
        <w:t>YS/T 1807-2025 温室气体 产品碳足迹量化方法与要求 阴极铜</w:t>
      </w:r>
    </w:p>
    <w:p w14:paraId="766C1F00">
      <w:pPr>
        <w:pStyle w:val="280"/>
        <w:numPr>
          <w:ilvl w:val="0"/>
          <w:numId w:val="0"/>
        </w:numPr>
        <w:ind w:leftChars="200"/>
        <w:rPr>
          <w:rFonts w:hint="eastAsia"/>
          <w:szCs w:val="21"/>
          <w:lang w:val="en-US" w:eastAsia="zh-CN"/>
        </w:rPr>
      </w:pPr>
    </w:p>
    <w:sectPr>
      <w:pgSz w:w="11906" w:h="16838"/>
      <w:pgMar w:top="1928" w:right="1134" w:bottom="1134" w:left="1134" w:header="1418" w:footer="1134" w:gutter="284"/>
      <w:pgBorders>
        <w:top w:val="none" w:sz="0" w:space="0"/>
        <w:left w:val="none" w:sz="0" w:space="0"/>
        <w:bottom w:val="none" w:sz="0" w:space="0"/>
        <w:right w:val="none" w:sz="0" w:space="0"/>
      </w:pgBorders>
      <w:pgNumType w:fmt="decimal"/>
      <w:cols w:space="425" w:num="1"/>
      <w:formProt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02"/>
    <w:family w:val="decorative"/>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Cambria Math">
    <w:panose1 w:val="02040503050406030204"/>
    <w:charset w:val="00"/>
    <w:family w:val="roman"/>
    <w:pitch w:val="default"/>
    <w:sig w:usb0="E00006FF" w:usb1="420024FF" w:usb2="02000000" w:usb3="00000000" w:csb0="2000019F" w:csb1="00000000"/>
  </w:font>
  <w:font w:name="华文细黑">
    <w:panose1 w:val="02010600040101010101"/>
    <w:charset w:val="86"/>
    <w:family w:val="auto"/>
    <w:pitch w:val="default"/>
    <w:sig w:usb0="00000287" w:usb1="080F0000" w:usb2="00000000" w:usb3="00000000" w:csb0="0004009F" w:csb1="DFD70000"/>
  </w:font>
  <w:font w:name="Segoe UI">
    <w:panose1 w:val="020B0502040204020203"/>
    <w:charset w:val="00"/>
    <w:family w:val="auto"/>
    <w:pitch w:val="default"/>
    <w:sig w:usb0="E4002EFF" w:usb1="C000E47F"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31A3E3">
    <w:pPr>
      <w:pStyle w:val="20"/>
      <w:ind w:right="360"/>
      <w:jc w:val="center"/>
    </w:pPr>
    <w:r>
      <mc:AlternateContent>
        <mc:Choice Requires="wps">
          <w:drawing>
            <wp:anchor distT="0" distB="0" distL="114300" distR="114300" simplePos="0" relativeHeight="251667456"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DBD80CD">
                          <w:pPr>
                            <w:pStyle w:val="20"/>
                          </w:pPr>
                          <w:r>
                            <w:fldChar w:fldCharType="begin"/>
                          </w:r>
                          <w:r>
                            <w:instrText xml:space="preserve"> PAGE  \* MERGEFORMAT </w:instrText>
                          </w:r>
                          <w:r>
                            <w:fldChar w:fldCharType="separate"/>
                          </w:r>
                          <w:r>
                            <w:t>1</w:t>
                          </w:r>
                          <w:r>
                            <w:fldChar w:fldCharType="end"/>
                          </w:r>
                        </w:p>
                      </w:txbxContent>
                    </wps:txbx>
                    <wps:bodyPr wrap="none" lIns="0" tIns="0" rIns="0" bIns="0" upright="1">
                      <a:spAutoFit/>
                    </wps:bodyPr>
                  </wps:wsp>
                </a:graphicData>
              </a:graphic>
            </wp:anchor>
          </w:drawing>
        </mc:Choice>
        <mc:Fallback>
          <w:pict>
            <v:shape id="文本框 3" o:spid="_x0000_s1026" o:spt="202" type="#_x0000_t202" style="position:absolute;left:0pt;margin-top:0pt;height:144pt;width:144pt;mso-position-horizontal:outside;mso-position-horizontal-relative:margin;mso-wrap-style:none;z-index:25166745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NH8VyQEAAJkDAAAOAAAAAAAAAAEAIAAAAB4BAABkcnMvZTJvRG9j&#10;LnhtbFBLBQYAAAAABgAGAFkBAABZBQAAAAA=&#10;">
              <v:fill on="f" focussize="0,0"/>
              <v:stroke on="f"/>
              <v:imagedata o:title=""/>
              <o:lock v:ext="edit" aspectratio="f"/>
              <v:textbox inset="0mm,0mm,0mm,0mm" style="mso-fit-shape-to-text:t;">
                <w:txbxContent>
                  <w:p w14:paraId="4DBD80CD">
                    <w:pPr>
                      <w:pStyle w:val="2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D3846B">
    <w:pPr>
      <w:pStyle w:val="20"/>
      <w:ind w:right="360" w:firstLine="360"/>
    </w:pPr>
    <w:r>
      <mc:AlternateContent>
        <mc:Choice Requires="wps">
          <w:drawing>
            <wp:anchor distT="0" distB="0" distL="114300" distR="114300" simplePos="0" relativeHeight="251668480"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8D2ABE4">
                          <w:pPr>
                            <w:pStyle w:val="20"/>
                            <w:rPr>
                              <w:rStyle w:val="36"/>
                            </w:rPr>
                          </w:pPr>
                          <w:r>
                            <w:fldChar w:fldCharType="begin"/>
                          </w:r>
                          <w:r>
                            <w:rPr>
                              <w:rStyle w:val="36"/>
                            </w:rPr>
                            <w:instrText xml:space="preserve">PAGE  </w:instrText>
                          </w:r>
                          <w:r>
                            <w:fldChar w:fldCharType="separate"/>
                          </w:r>
                          <w:r>
                            <w:rPr>
                              <w:rStyle w:val="36"/>
                            </w:rPr>
                            <w:t>II</w:t>
                          </w:r>
                          <w:r>
                            <w:fldChar w:fldCharType="end"/>
                          </w:r>
                        </w:p>
                        <w:p w14:paraId="40B1A5BD"/>
                      </w:txbxContent>
                    </wps:txbx>
                    <wps:bodyPr wrap="none" lIns="0" tIns="0" rIns="0" bIns="0" upright="1">
                      <a:spAutoFit/>
                    </wps:bodyPr>
                  </wps:wsp>
                </a:graphicData>
              </a:graphic>
            </wp:anchor>
          </w:drawing>
        </mc:Choice>
        <mc:Fallback>
          <w:pict>
            <v:shape id="文本框 4" o:spid="_x0000_s1026" o:spt="202" type="#_x0000_t202" style="position:absolute;left:0pt;margin-top:0pt;height:144pt;width:144pt;mso-position-horizontal:outside;mso-position-horizontal-relative:margin;mso-wrap-style:none;z-index:25166848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MQ7PKyQEAAJkDAAAOAAAAAAAAAAEAIAAAAB4BAABkcnMvZTJvRG9j&#10;LnhtbFBLBQYAAAAABgAGAFkBAABZBQAAAAA=&#10;">
              <v:fill on="f" focussize="0,0"/>
              <v:stroke on="f"/>
              <v:imagedata o:title=""/>
              <o:lock v:ext="edit" aspectratio="f"/>
              <v:textbox inset="0mm,0mm,0mm,0mm" style="mso-fit-shape-to-text:t;">
                <w:txbxContent>
                  <w:p w14:paraId="68D2ABE4">
                    <w:pPr>
                      <w:pStyle w:val="20"/>
                      <w:rPr>
                        <w:rStyle w:val="36"/>
                      </w:rPr>
                    </w:pPr>
                    <w:r>
                      <w:fldChar w:fldCharType="begin"/>
                    </w:r>
                    <w:r>
                      <w:rPr>
                        <w:rStyle w:val="36"/>
                      </w:rPr>
                      <w:instrText xml:space="preserve">PAGE  </w:instrText>
                    </w:r>
                    <w:r>
                      <w:fldChar w:fldCharType="separate"/>
                    </w:r>
                    <w:r>
                      <w:rPr>
                        <w:rStyle w:val="36"/>
                      </w:rPr>
                      <w:t>II</w:t>
                    </w:r>
                    <w:r>
                      <w:fldChar w:fldCharType="end"/>
                    </w:r>
                  </w:p>
                  <w:p w14:paraId="40B1A5BD"/>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D603F0">
    <w:pPr>
      <w:pStyle w:val="6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6562441">
                          <w:pPr>
                            <w:pStyle w:val="2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ptGXYzAgAAYwQAAA4AAABkcnMvZTJvRG9jLnhtbK1UzY7TMBC+I/EO&#10;lu80aRdW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1JYZpVPz0/dvp&#10;x6/Tz68EZxCocWGGuAeHyNi+tS3aZjgPOEy828rr9AUjAj/kPV7kFW0kPF2aTqbTHC4O37ABfvZ4&#10;3fkQ3wmrSTIK6lG/TlZ22ITYhw4hKZuxa6lUV0NlSFPQ66s3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ptGXYzAgAAYwQAAA4AAAAAAAAAAQAgAAAAHwEAAGRycy9lMm9Eb2MueG1sUEsF&#10;BgAAAAAGAAYAWQEAAMQFAAAAAA==&#10;">
              <v:fill on="f" focussize="0,0"/>
              <v:stroke on="f" weight="0.5pt"/>
              <v:imagedata o:title=""/>
              <o:lock v:ext="edit" aspectratio="f"/>
              <v:textbox inset="0mm,0mm,0mm,0mm" style="mso-fit-shape-to-text:t;">
                <w:txbxContent>
                  <w:p w14:paraId="66562441">
                    <w:pPr>
                      <w:pStyle w:val="2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5D2B91">
    <w:pPr>
      <w:pStyle w:val="21"/>
      <w:rPr>
        <w:rFonts w:ascii="黑体" w:hAnsi="黑体" w:eastAsia="黑体" w:cs="黑体"/>
      </w:rPr>
    </w:pPr>
    <w:r>
      <w:rPr>
        <w:rFonts w:hint="eastAsia"/>
      </w:rPr>
      <w:t xml:space="preserve">                                                                      </w:t>
    </w:r>
    <w:r>
      <w:rPr>
        <w:rFonts w:hint="eastAsia" w:ascii="黑体" w:hAnsi="黑体" w:eastAsia="黑体" w:cs="黑体"/>
      </w:rPr>
      <w:t>GB/T XXXX－202X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D5BDDF">
    <w:pPr>
      <w:pStyle w:val="72"/>
      <w:spacing w:after="0"/>
    </w:pPr>
    <w:r>
      <w:rPr>
        <w:rFonts w:hint="eastAsia" w:ascii="黑体" w:hAnsi="黑体" w:cs="黑体"/>
        <w:lang w:val="en-US" w:eastAsia="zh-CN"/>
      </w:rPr>
      <w:t xml:space="preserve">T/CNIA XXXX-202X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ECF7E0"/>
    <w:multiLevelType w:val="singleLevel"/>
    <w:tmpl w:val="A6ECF7E0"/>
    <w:lvl w:ilvl="0" w:tentative="0">
      <w:start w:val="1"/>
      <w:numFmt w:val="decimal"/>
      <w:suff w:val="space"/>
      <w:lvlText w:val="[%1]"/>
      <w:lvlJc w:val="left"/>
    </w:lvl>
  </w:abstractNum>
  <w:abstractNum w:abstractNumId="1">
    <w:nsid w:val="E2D7C202"/>
    <w:multiLevelType w:val="multilevel"/>
    <w:tmpl w:val="E2D7C202"/>
    <w:lvl w:ilvl="0" w:tentative="0">
      <w:start w:val="1"/>
      <w:numFmt w:val="lowerLetter"/>
      <w:pStyle w:val="256"/>
      <w:lvlText w:val="%1)"/>
      <w:lvlJc w:val="left"/>
      <w:pPr>
        <w:tabs>
          <w:tab w:val="left" w:pos="427"/>
        </w:tabs>
        <w:ind w:left="426" w:firstLine="0"/>
      </w:pPr>
      <w:rPr>
        <w:rFonts w:hint="eastAsia" w:ascii="宋体" w:hAnsi="Times New Roman" w:eastAsia="宋体" w:cs="宋体"/>
        <w:b w:val="0"/>
        <w:i w:val="0"/>
        <w:sz w:val="21"/>
        <w:szCs w:val="21"/>
      </w:rPr>
    </w:lvl>
    <w:lvl w:ilvl="1" w:tentative="0">
      <w:start w:val="1"/>
      <w:numFmt w:val="decimal"/>
      <w:lvlText w:val="%2)"/>
      <w:lvlJc w:val="left"/>
      <w:pPr>
        <w:tabs>
          <w:tab w:val="left" w:pos="847"/>
        </w:tabs>
        <w:ind w:left="846" w:firstLine="0"/>
      </w:pPr>
    </w:lvl>
    <w:lvl w:ilvl="2" w:tentative="0">
      <w:start w:val="1"/>
      <w:numFmt w:val="decimal"/>
      <w:lvlText w:val="(%3)"/>
      <w:lvlJc w:val="left"/>
      <w:pPr>
        <w:tabs>
          <w:tab w:val="left" w:pos="-413"/>
        </w:tabs>
        <w:ind w:left="1266" w:firstLine="0"/>
      </w:pPr>
      <w:rPr>
        <w:rFonts w:hint="eastAsia" w:ascii="宋体" w:hAnsi="Times New Roman" w:eastAsia="宋体" w:cs="宋体"/>
        <w:b w:val="0"/>
        <w:i w:val="0"/>
        <w:sz w:val="21"/>
        <w:szCs w:val="21"/>
      </w:rPr>
    </w:lvl>
    <w:lvl w:ilvl="3" w:tentative="0">
      <w:start w:val="1"/>
      <w:numFmt w:val="decimal"/>
      <w:lvlText w:val="%4."/>
      <w:lvlJc w:val="left"/>
      <w:pPr>
        <w:tabs>
          <w:tab w:val="left" w:pos="1687"/>
        </w:tabs>
        <w:ind w:left="1686" w:firstLine="0"/>
      </w:pPr>
    </w:lvl>
    <w:lvl w:ilvl="4" w:tentative="0">
      <w:start w:val="1"/>
      <w:numFmt w:val="lowerLetter"/>
      <w:lvlText w:val="%5)"/>
      <w:lvlJc w:val="left"/>
      <w:pPr>
        <w:tabs>
          <w:tab w:val="left" w:pos="2107"/>
        </w:tabs>
        <w:ind w:left="2106" w:firstLine="0"/>
      </w:pPr>
    </w:lvl>
    <w:lvl w:ilvl="5" w:tentative="0">
      <w:start w:val="1"/>
      <w:numFmt w:val="lowerRoman"/>
      <w:lvlText w:val="%6."/>
      <w:lvlJc w:val="right"/>
      <w:pPr>
        <w:tabs>
          <w:tab w:val="left" w:pos="2527"/>
        </w:tabs>
        <w:ind w:left="2526" w:firstLine="0"/>
      </w:pPr>
    </w:lvl>
    <w:lvl w:ilvl="6" w:tentative="0">
      <w:start w:val="1"/>
      <w:numFmt w:val="decimal"/>
      <w:lvlText w:val="%7."/>
      <w:lvlJc w:val="left"/>
      <w:pPr>
        <w:tabs>
          <w:tab w:val="left" w:pos="2947"/>
        </w:tabs>
        <w:ind w:left="2946" w:firstLine="0"/>
      </w:pPr>
    </w:lvl>
    <w:lvl w:ilvl="7" w:tentative="0">
      <w:start w:val="1"/>
      <w:numFmt w:val="lowerLetter"/>
      <w:lvlText w:val="%8)"/>
      <w:lvlJc w:val="left"/>
      <w:pPr>
        <w:tabs>
          <w:tab w:val="left" w:pos="3367"/>
        </w:tabs>
        <w:ind w:left="3366" w:firstLine="0"/>
      </w:pPr>
    </w:lvl>
    <w:lvl w:ilvl="8" w:tentative="0">
      <w:start w:val="1"/>
      <w:numFmt w:val="lowerRoman"/>
      <w:lvlText w:val="%9."/>
      <w:lvlJc w:val="right"/>
      <w:pPr>
        <w:tabs>
          <w:tab w:val="left" w:pos="3787"/>
        </w:tabs>
        <w:ind w:left="3786" w:firstLine="0"/>
      </w:pPr>
    </w:lvl>
  </w:abstractNum>
  <w:abstractNum w:abstractNumId="2">
    <w:nsid w:val="EFC618DB"/>
    <w:multiLevelType w:val="multilevel"/>
    <w:tmpl w:val="EFC618DB"/>
    <w:lvl w:ilvl="0" w:tentative="0">
      <w:start w:val="1"/>
      <w:numFmt w:val="decimal"/>
      <w:pStyle w:val="264"/>
      <w:suff w:val="nothing"/>
      <w:lvlText w:val="图%1　"/>
      <w:lvlJc w:val="left"/>
      <w:pPr>
        <w:ind w:left="0" w:firstLine="0"/>
      </w:pPr>
      <w:rPr>
        <w:rFonts w:hint="eastAsia" w:ascii="黑体" w:hAnsi="Times New Roman" w:eastAsia="黑体" w:cs="黑体"/>
        <w:b w:val="0"/>
        <w:i w:val="0"/>
        <w:sz w:val="21"/>
      </w:rPr>
    </w:lvl>
    <w:lvl w:ilvl="1" w:tentative="0">
      <w:start w:val="1"/>
      <w:numFmt w:val="decimal"/>
      <w:suff w:val="nothing"/>
      <w:lvlText w:val="%1%2　"/>
      <w:lvlJc w:val="left"/>
      <w:pPr>
        <w:ind w:left="0" w:firstLine="0"/>
      </w:pPr>
      <w:rPr>
        <w:rFonts w:hint="default" w:ascii="Times New Roman" w:hAnsi="Times New Roman" w:eastAsia="黑体" w:cs="Times New Roman"/>
        <w:b w:val="0"/>
        <w:i w:val="0"/>
        <w:sz w:val="21"/>
      </w:rPr>
    </w:lvl>
    <w:lvl w:ilvl="2" w:tentative="0">
      <w:start w:val="1"/>
      <w:numFmt w:val="decimal"/>
      <w:suff w:val="nothing"/>
      <w:lvlText w:val="%1%2.%3　"/>
      <w:lvlJc w:val="left"/>
      <w:pPr>
        <w:ind w:left="0" w:firstLine="0"/>
      </w:pPr>
      <w:rPr>
        <w:rFonts w:hint="default" w:ascii="Times New Roman" w:hAnsi="Times New Roman" w:eastAsia="黑体" w:cs="Times New Roman"/>
        <w:b w:val="0"/>
        <w:i w:val="0"/>
        <w:sz w:val="21"/>
      </w:rPr>
    </w:lvl>
    <w:lvl w:ilvl="3" w:tentative="0">
      <w:start w:val="1"/>
      <w:numFmt w:val="decimal"/>
      <w:suff w:val="nothing"/>
      <w:lvlText w:val="%1%2.%3.%4　"/>
      <w:lvlJc w:val="left"/>
      <w:pPr>
        <w:ind w:left="0" w:firstLine="0"/>
      </w:pPr>
      <w:rPr>
        <w:rFonts w:hint="default" w:ascii="Times New Roman" w:hAnsi="Times New Roman" w:eastAsia="黑体" w:cs="Times New Roman"/>
        <w:b w:val="0"/>
        <w:i w:val="0"/>
        <w:sz w:val="21"/>
      </w:rPr>
    </w:lvl>
    <w:lvl w:ilvl="4" w:tentative="0">
      <w:start w:val="1"/>
      <w:numFmt w:val="decimal"/>
      <w:suff w:val="nothing"/>
      <w:lvlText w:val="%1%2.%3.%4.%5　"/>
      <w:lvlJc w:val="left"/>
      <w:pPr>
        <w:ind w:left="0" w:firstLine="0"/>
      </w:pPr>
      <w:rPr>
        <w:rFonts w:hint="default" w:ascii="Times New Roman" w:hAnsi="Times New Roman" w:eastAsia="黑体" w:cs="Times New Roman"/>
        <w:b w:val="0"/>
        <w:i w:val="0"/>
        <w:sz w:val="21"/>
      </w:rPr>
    </w:lvl>
    <w:lvl w:ilvl="5" w:tentative="0">
      <w:start w:val="1"/>
      <w:numFmt w:val="decimal"/>
      <w:suff w:val="nothing"/>
      <w:lvlText w:val="%1%2.%3.%4.%5.%6　"/>
      <w:lvlJc w:val="left"/>
      <w:pPr>
        <w:ind w:left="0" w:firstLine="0"/>
      </w:pPr>
      <w:rPr>
        <w:rFonts w:hint="default" w:ascii="Times New Roman" w:hAnsi="Times New Roman" w:eastAsia="黑体" w:cs="Times New Roman"/>
        <w:b w:val="0"/>
        <w:i w:val="0"/>
        <w:sz w:val="21"/>
      </w:rPr>
    </w:lvl>
    <w:lvl w:ilvl="6" w:tentative="0">
      <w:start w:val="1"/>
      <w:numFmt w:val="decimal"/>
      <w:suff w:val="nothing"/>
      <w:lvlText w:val="%1%2.%3.%4.%5.%6.%7　"/>
      <w:lvlJc w:val="left"/>
      <w:pPr>
        <w:ind w:left="0" w:firstLine="0"/>
      </w:pPr>
      <w:rPr>
        <w:rFonts w:hint="default" w:ascii="Times New Roman" w:hAnsi="Times New Roman" w:eastAsia="黑体" w:cs="Times New Roman"/>
        <w:b w:val="0"/>
        <w:i w:val="0"/>
        <w:sz w:val="21"/>
      </w:rPr>
    </w:lvl>
    <w:lvl w:ilvl="7" w:tentative="0">
      <w:start w:val="1"/>
      <w:numFmt w:val="decimal"/>
      <w:lvlText w:val="%1.%2.%3.%4.%5.%6.%7.%8"/>
      <w:lvlJc w:val="left"/>
      <w:pPr>
        <w:tabs>
          <w:tab w:val="left" w:pos="4351"/>
        </w:tabs>
        <w:ind w:left="3972" w:firstLine="0"/>
      </w:pPr>
    </w:lvl>
    <w:lvl w:ilvl="8" w:tentative="0">
      <w:start w:val="1"/>
      <w:numFmt w:val="decimal"/>
      <w:lvlText w:val="%1.%2.%3.%4.%5.%6.%7.%8.%9"/>
      <w:lvlJc w:val="left"/>
      <w:pPr>
        <w:tabs>
          <w:tab w:val="left" w:pos="4777"/>
        </w:tabs>
        <w:ind w:left="4677" w:firstLine="0"/>
      </w:pPr>
    </w:lvl>
  </w:abstractNum>
  <w:abstractNum w:abstractNumId="3">
    <w:nsid w:val="FFF37FDF"/>
    <w:multiLevelType w:val="multilevel"/>
    <w:tmpl w:val="FFF37FDF"/>
    <w:lvl w:ilvl="0" w:tentative="0">
      <w:start w:val="1"/>
      <w:numFmt w:val="decimal"/>
      <w:suff w:val="nothing"/>
      <w:lvlText w:val="%1　"/>
      <w:lvlJc w:val="left"/>
      <w:pPr>
        <w:ind w:left="0" w:firstLine="0"/>
      </w:pPr>
      <w:rPr>
        <w:rFonts w:hint="eastAsia" w:ascii="Cambria Math" w:hAnsi="Cambria Math" w:eastAsia="黑体" w:cs="黑体"/>
        <w:sz w:val="21"/>
        <w:szCs w:val="21"/>
      </w:rPr>
    </w:lvl>
    <w:lvl w:ilvl="1" w:tentative="0">
      <w:start w:val="1"/>
      <w:numFmt w:val="decimal"/>
      <w:pStyle w:val="252"/>
      <w:suff w:val="nothing"/>
      <w:lvlText w:val="%1.%2　"/>
      <w:lvlJc w:val="left"/>
      <w:pPr>
        <w:ind w:left="0" w:firstLine="0"/>
        <w:textAlignment w:val="baseline"/>
      </w:pPr>
      <w:rPr>
        <w:rFonts w:hint="eastAsia" w:ascii="黑体" w:hAnsi="Times New Roman" w:eastAsia="黑体" w:cs="Times New Roman"/>
        <w:b w:val="0"/>
        <w:bCs w:val="0"/>
        <w:i w:val="0"/>
        <w:iCs w:val="0"/>
        <w:caps w:val="0"/>
        <w:strike w:val="0"/>
        <w:dstrike w:val="0"/>
        <w:outline w:val="0"/>
        <w:vanish w:val="0"/>
        <w:spacing w:val="0"/>
        <w:kern w:val="0"/>
        <w:position w:val="0"/>
        <w:sz w:val="21"/>
        <w:szCs w:val="21"/>
        <w:u w:val="none"/>
      </w:rPr>
    </w:lvl>
    <w:lvl w:ilvl="2" w:tentative="0">
      <w:start w:val="1"/>
      <w:numFmt w:val="decimal"/>
      <w:suff w:val="nothing"/>
      <w:lvlText w:val="%1.%2.%3　"/>
      <w:lvlJc w:val="left"/>
      <w:pPr>
        <w:ind w:left="142" w:firstLine="0"/>
      </w:pPr>
      <w:rPr>
        <w:rFonts w:hint="eastAsia" w:ascii="黑体" w:hAnsi="Times New Roman" w:eastAsia="黑体" w:cs="黑体"/>
        <w:b w:val="0"/>
        <w:i w:val="0"/>
        <w:sz w:val="21"/>
      </w:rPr>
    </w:lvl>
    <w:lvl w:ilvl="3" w:tentative="0">
      <w:start w:val="1"/>
      <w:numFmt w:val="decimal"/>
      <w:suff w:val="nothing"/>
      <w:lvlText w:val="%1.%2.%3.%4　"/>
      <w:lvlJc w:val="left"/>
      <w:pPr>
        <w:ind w:left="0" w:firstLine="0"/>
      </w:pPr>
      <w:rPr>
        <w:rFonts w:hint="eastAsia" w:ascii="黑体" w:hAnsi="Times New Roman" w:eastAsia="黑体" w:cs="黑体"/>
        <w:b w:val="0"/>
        <w:i w:val="0"/>
        <w:sz w:val="21"/>
      </w:rPr>
    </w:lvl>
    <w:lvl w:ilvl="4" w:tentative="0">
      <w:start w:val="1"/>
      <w:numFmt w:val="decimal"/>
      <w:suff w:val="nothing"/>
      <w:lvlText w:val="%1.%2.%3.%4.%5　"/>
      <w:lvlJc w:val="left"/>
      <w:pPr>
        <w:ind w:left="0" w:firstLine="0"/>
      </w:pPr>
      <w:rPr>
        <w:rFonts w:hint="eastAsia" w:ascii="黑体" w:hAnsi="Times New Roman" w:eastAsia="黑体" w:cs="黑体"/>
        <w:b w:val="0"/>
        <w:i w:val="0"/>
        <w:sz w:val="21"/>
      </w:rPr>
    </w:lvl>
    <w:lvl w:ilvl="5" w:tentative="0">
      <w:start w:val="1"/>
      <w:numFmt w:val="decimal"/>
      <w:suff w:val="nothing"/>
      <w:lvlText w:val="%1.%2.%3.%4.%5.%6　"/>
      <w:lvlJc w:val="left"/>
      <w:pPr>
        <w:ind w:left="0" w:firstLine="0"/>
      </w:pPr>
      <w:rPr>
        <w:rFonts w:hint="eastAsia" w:ascii="黑体" w:hAnsi="Times New Roman" w:eastAsia="黑体" w:cs="黑体"/>
        <w:b w:val="0"/>
        <w:i w:val="0"/>
        <w:sz w:val="21"/>
      </w:rPr>
    </w:lvl>
    <w:lvl w:ilvl="6" w:tentative="0">
      <w:start w:val="1"/>
      <w:numFmt w:val="decimal"/>
      <w:suff w:val="nothing"/>
      <w:lvlText w:val="%1%2.%3.%4.%5.%6.%7　"/>
      <w:lvlJc w:val="left"/>
      <w:pPr>
        <w:ind w:left="0" w:firstLine="0"/>
      </w:pPr>
      <w:rPr>
        <w:rFonts w:hint="eastAsia" w:ascii="黑体" w:hAnsi="Times New Roman" w:eastAsia="黑体" w:cs="黑体"/>
        <w:b w:val="0"/>
        <w:i w:val="0"/>
        <w:sz w:val="21"/>
      </w:rPr>
    </w:lvl>
    <w:lvl w:ilvl="7" w:tentative="0">
      <w:start w:val="1"/>
      <w:numFmt w:val="decimal"/>
      <w:lvlText w:val="%1.%2.%3.%4.%5.%6.%7.%8"/>
      <w:lvlJc w:val="left"/>
      <w:pPr>
        <w:tabs>
          <w:tab w:val="left" w:pos="4351"/>
        </w:tabs>
        <w:ind w:left="3972" w:firstLine="0"/>
      </w:pPr>
    </w:lvl>
    <w:lvl w:ilvl="8" w:tentative="0">
      <w:start w:val="1"/>
      <w:numFmt w:val="decimal"/>
      <w:lvlText w:val="%1.%2.%3.%4.%5.%6.%7.%8.%9"/>
      <w:lvlJc w:val="left"/>
      <w:pPr>
        <w:tabs>
          <w:tab w:val="left" w:pos="4777"/>
        </w:tabs>
        <w:ind w:left="4677" w:firstLine="0"/>
      </w:pPr>
    </w:lvl>
  </w:abstractNum>
  <w:abstractNum w:abstractNumId="4">
    <w:nsid w:val="02837933"/>
    <w:multiLevelType w:val="multilevel"/>
    <w:tmpl w:val="02837933"/>
    <w:lvl w:ilvl="0" w:tentative="0">
      <w:start w:val="1"/>
      <w:numFmt w:val="decimal"/>
      <w:pStyle w:val="75"/>
      <w:lvlText w:val="[%1]"/>
      <w:lvlJc w:val="left"/>
      <w:pPr>
        <w:tabs>
          <w:tab w:val="left" w:pos="1646"/>
        </w:tabs>
        <w:ind w:left="1646" w:hanging="648"/>
      </w:pPr>
    </w:lvl>
    <w:lvl w:ilvl="1" w:tentative="0">
      <w:start w:val="1"/>
      <w:numFmt w:val="lowerLetter"/>
      <w:lvlText w:val="%2)"/>
      <w:lvlJc w:val="left"/>
      <w:pPr>
        <w:tabs>
          <w:tab w:val="left" w:pos="1838"/>
        </w:tabs>
        <w:ind w:left="1838" w:hanging="420"/>
      </w:pPr>
    </w:lvl>
    <w:lvl w:ilvl="2" w:tentative="0">
      <w:start w:val="1"/>
      <w:numFmt w:val="lowerRoman"/>
      <w:lvlText w:val="%3."/>
      <w:lvlJc w:val="right"/>
      <w:pPr>
        <w:tabs>
          <w:tab w:val="left" w:pos="2258"/>
        </w:tabs>
        <w:ind w:left="2258" w:hanging="420"/>
      </w:pPr>
    </w:lvl>
    <w:lvl w:ilvl="3" w:tentative="0">
      <w:start w:val="1"/>
      <w:numFmt w:val="decimal"/>
      <w:lvlText w:val="%4."/>
      <w:lvlJc w:val="left"/>
      <w:pPr>
        <w:tabs>
          <w:tab w:val="left" w:pos="2678"/>
        </w:tabs>
        <w:ind w:left="2678" w:hanging="420"/>
      </w:pPr>
    </w:lvl>
    <w:lvl w:ilvl="4" w:tentative="0">
      <w:start w:val="1"/>
      <w:numFmt w:val="lowerLetter"/>
      <w:lvlText w:val="%5)"/>
      <w:lvlJc w:val="left"/>
      <w:pPr>
        <w:tabs>
          <w:tab w:val="left" w:pos="3098"/>
        </w:tabs>
        <w:ind w:left="3098" w:hanging="420"/>
      </w:pPr>
    </w:lvl>
    <w:lvl w:ilvl="5" w:tentative="0">
      <w:start w:val="1"/>
      <w:numFmt w:val="lowerRoman"/>
      <w:lvlText w:val="%6."/>
      <w:lvlJc w:val="right"/>
      <w:pPr>
        <w:tabs>
          <w:tab w:val="left" w:pos="3518"/>
        </w:tabs>
        <w:ind w:left="3518" w:hanging="420"/>
      </w:pPr>
    </w:lvl>
    <w:lvl w:ilvl="6" w:tentative="0">
      <w:start w:val="1"/>
      <w:numFmt w:val="decimal"/>
      <w:lvlText w:val="%7."/>
      <w:lvlJc w:val="left"/>
      <w:pPr>
        <w:tabs>
          <w:tab w:val="left" w:pos="3938"/>
        </w:tabs>
        <w:ind w:left="3938" w:hanging="420"/>
      </w:pPr>
    </w:lvl>
    <w:lvl w:ilvl="7" w:tentative="0">
      <w:start w:val="1"/>
      <w:numFmt w:val="lowerLetter"/>
      <w:lvlText w:val="%8)"/>
      <w:lvlJc w:val="left"/>
      <w:pPr>
        <w:tabs>
          <w:tab w:val="left" w:pos="4358"/>
        </w:tabs>
        <w:ind w:left="4358" w:hanging="420"/>
      </w:pPr>
    </w:lvl>
    <w:lvl w:ilvl="8" w:tentative="0">
      <w:start w:val="1"/>
      <w:numFmt w:val="lowerRoman"/>
      <w:lvlText w:val="%9."/>
      <w:lvlJc w:val="right"/>
      <w:pPr>
        <w:tabs>
          <w:tab w:val="left" w:pos="4778"/>
        </w:tabs>
        <w:ind w:left="4778" w:hanging="420"/>
      </w:pPr>
    </w:lvl>
  </w:abstractNum>
  <w:abstractNum w:abstractNumId="5">
    <w:nsid w:val="040A15CD"/>
    <w:multiLevelType w:val="multilevel"/>
    <w:tmpl w:val="040A15CD"/>
    <w:lvl w:ilvl="0" w:tentative="0">
      <w:start w:val="1"/>
      <w:numFmt w:val="none"/>
      <w:suff w:val="nothing"/>
      <w:lvlText w:val="　"/>
      <w:lvlJc w:val="left"/>
      <w:pPr>
        <w:ind w:left="0" w:firstLine="0"/>
      </w:pPr>
    </w:lvl>
    <w:lvl w:ilvl="1" w:tentative="0">
      <w:start w:val="1"/>
      <w:numFmt w:val="decimal"/>
      <w:isLgl/>
      <w:suff w:val="nothing"/>
      <w:lvlText w:val="%2　"/>
      <w:lvlJc w:val="left"/>
      <w:pPr>
        <w:ind w:left="0" w:firstLine="0"/>
      </w:pPr>
    </w:lvl>
    <w:lvl w:ilvl="2" w:tentative="0">
      <w:start w:val="1"/>
      <w:numFmt w:val="decimal"/>
      <w:pStyle w:val="171"/>
      <w:suff w:val="nothing"/>
      <w:lvlText w:val="%1%2.%3　"/>
      <w:lvlJc w:val="left"/>
      <w:pPr>
        <w:ind w:left="0" w:firstLine="0"/>
      </w:pPr>
    </w:lvl>
    <w:lvl w:ilvl="3" w:tentative="0">
      <w:start w:val="1"/>
      <w:numFmt w:val="decimal"/>
      <w:pStyle w:val="129"/>
      <w:suff w:val="nothing"/>
      <w:lvlText w:val="%1%2.%3.%4　"/>
      <w:lvlJc w:val="left"/>
      <w:pPr>
        <w:ind w:left="0" w:firstLine="0"/>
      </w:pPr>
    </w:lvl>
    <w:lvl w:ilvl="4" w:tentative="0">
      <w:start w:val="1"/>
      <w:numFmt w:val="decimal"/>
      <w:pStyle w:val="165"/>
      <w:suff w:val="nothing"/>
      <w:lvlText w:val="%1%2.%3.%4.%5　"/>
      <w:lvlJc w:val="left"/>
      <w:pPr>
        <w:ind w:left="0" w:firstLine="0"/>
      </w:pPr>
    </w:lvl>
    <w:lvl w:ilvl="5" w:tentative="0">
      <w:start w:val="1"/>
      <w:numFmt w:val="decimal"/>
      <w:pStyle w:val="167"/>
      <w:suff w:val="nothing"/>
      <w:lvlText w:val="%1%2.%3.%4.%5.%6　"/>
      <w:lvlJc w:val="left"/>
      <w:pPr>
        <w:ind w:left="0" w:firstLine="0"/>
      </w:pPr>
    </w:lvl>
    <w:lvl w:ilvl="6" w:tentative="0">
      <w:start w:val="1"/>
      <w:numFmt w:val="decimal"/>
      <w:pStyle w:val="170"/>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6">
    <w:nsid w:val="079102AD"/>
    <w:multiLevelType w:val="multilevel"/>
    <w:tmpl w:val="079102AD"/>
    <w:lvl w:ilvl="0" w:tentative="0">
      <w:start w:val="1"/>
      <w:numFmt w:val="decimal"/>
      <w:pStyle w:val="192"/>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7">
    <w:nsid w:val="07ED3FEA"/>
    <w:multiLevelType w:val="multilevel"/>
    <w:tmpl w:val="07ED3FEA"/>
    <w:lvl w:ilvl="0" w:tentative="0">
      <w:start w:val="1"/>
      <w:numFmt w:val="none"/>
      <w:pStyle w:val="100"/>
      <w:lvlText w:val="%1"/>
      <w:lvlJc w:val="left"/>
      <w:pPr>
        <w:ind w:left="425" w:hanging="425"/>
      </w:pPr>
      <w:rPr>
        <w:rFonts w:hint="eastAsia"/>
      </w:rPr>
    </w:lvl>
    <w:lvl w:ilvl="1" w:tentative="0">
      <w:start w:val="1"/>
      <w:numFmt w:val="decimal"/>
      <w:pStyle w:val="211"/>
      <w:suff w:val="nothing"/>
      <w:lvlText w:val="%10.%2 "/>
      <w:lvlJc w:val="left"/>
      <w:pPr>
        <w:ind w:left="0" w:firstLine="0"/>
      </w:pPr>
      <w:rPr>
        <w:rFonts w:hint="eastAsia" w:ascii="黑体" w:eastAsia="黑体" w:hAnsiTheme="minorHAnsi"/>
        <w:b w:val="0"/>
        <w:i w:val="0"/>
        <w:sz w:val="21"/>
      </w:rPr>
    </w:lvl>
    <w:lvl w:ilvl="2" w:tentative="0">
      <w:start w:val="1"/>
      <w:numFmt w:val="decimal"/>
      <w:pStyle w:val="212"/>
      <w:suff w:val="nothing"/>
      <w:lvlText w:val="%10.%2.%3 "/>
      <w:lvlJc w:val="left"/>
      <w:pPr>
        <w:ind w:left="0" w:firstLine="0"/>
      </w:pPr>
      <w:rPr>
        <w:rFonts w:hint="eastAsia" w:ascii="黑体" w:eastAsia="黑体" w:hAnsiTheme="minorHAnsi"/>
        <w:b w:val="0"/>
        <w:i w:val="0"/>
        <w:sz w:val="21"/>
      </w:rPr>
    </w:lvl>
    <w:lvl w:ilvl="3" w:tentative="0">
      <w:start w:val="1"/>
      <w:numFmt w:val="decimal"/>
      <w:pStyle w:val="213"/>
      <w:suff w:val="nothing"/>
      <w:lvlText w:val="%10.%2.%3.%4 "/>
      <w:lvlJc w:val="left"/>
      <w:pPr>
        <w:ind w:left="0" w:firstLine="0"/>
      </w:pPr>
      <w:rPr>
        <w:rFonts w:hint="eastAsia" w:ascii="黑体" w:eastAsia="黑体" w:hAnsiTheme="minorHAnsi"/>
        <w:b w:val="0"/>
        <w:i w:val="0"/>
        <w:sz w:val="21"/>
      </w:rPr>
    </w:lvl>
    <w:lvl w:ilvl="4" w:tentative="0">
      <w:start w:val="1"/>
      <w:numFmt w:val="decimal"/>
      <w:pStyle w:val="214"/>
      <w:suff w:val="nothing"/>
      <w:lvlText w:val="%10.%2.%3.%4.%5 "/>
      <w:lvlJc w:val="left"/>
      <w:pPr>
        <w:ind w:left="0" w:firstLine="0"/>
      </w:pPr>
      <w:rPr>
        <w:rFonts w:hint="eastAsia" w:ascii="黑体" w:eastAsia="黑体" w:hAnsiTheme="minorHAnsi"/>
        <w:b w:val="0"/>
        <w:i w:val="0"/>
        <w:sz w:val="21"/>
      </w:rPr>
    </w:lvl>
    <w:lvl w:ilvl="5" w:tentative="0">
      <w:start w:val="1"/>
      <w:numFmt w:val="decimal"/>
      <w:pStyle w:val="215"/>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8">
    <w:nsid w:val="0AE367E9"/>
    <w:multiLevelType w:val="multilevel"/>
    <w:tmpl w:val="0AE367E9"/>
    <w:lvl w:ilvl="0" w:tentative="0">
      <w:start w:val="1"/>
      <w:numFmt w:val="none"/>
      <w:pStyle w:val="193"/>
      <w:suff w:val="nothing"/>
      <w:lvlText w:val="%1示例："/>
      <w:lvlJc w:val="left"/>
      <w:pPr>
        <w:ind w:left="0" w:firstLine="363"/>
      </w:pPr>
      <w:rPr>
        <w:rFonts w:hint="eastAsia" w:ascii="黑体" w:eastAsia="黑体"/>
        <w:b w:val="0"/>
        <w:i w:val="0"/>
        <w:sz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9">
    <w:nsid w:val="0BDC1670"/>
    <w:multiLevelType w:val="multilevel"/>
    <w:tmpl w:val="0BDC1670"/>
    <w:lvl w:ilvl="0" w:tentative="0">
      <w:start w:val="1"/>
      <w:numFmt w:val="decimal"/>
      <w:pStyle w:val="78"/>
      <w:lvlText w:val="[%1]"/>
      <w:lvlJc w:val="left"/>
      <w:pPr>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0">
    <w:nsid w:val="0D051F45"/>
    <w:multiLevelType w:val="multilevel"/>
    <w:tmpl w:val="0D051F45"/>
    <w:lvl w:ilvl="0" w:tentative="0">
      <w:start w:val="1"/>
      <w:numFmt w:val="lowerRoman"/>
      <w:pStyle w:val="181"/>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543"/>
        </w:tabs>
        <w:ind w:left="1543" w:hanging="420"/>
      </w:pPr>
      <w:rPr>
        <w:rFonts w:hint="eastAsia"/>
      </w:rPr>
    </w:lvl>
    <w:lvl w:ilvl="2" w:tentative="0">
      <w:start w:val="1"/>
      <w:numFmt w:val="lowerRoman"/>
      <w:lvlText w:val="%3."/>
      <w:lvlJc w:val="right"/>
      <w:pPr>
        <w:tabs>
          <w:tab w:val="left" w:pos="1963"/>
        </w:tabs>
        <w:ind w:left="1963" w:hanging="420"/>
      </w:pPr>
      <w:rPr>
        <w:rFonts w:hint="eastAsia"/>
      </w:rPr>
    </w:lvl>
    <w:lvl w:ilvl="3" w:tentative="0">
      <w:start w:val="1"/>
      <w:numFmt w:val="decimal"/>
      <w:lvlText w:val="%4."/>
      <w:lvlJc w:val="left"/>
      <w:pPr>
        <w:tabs>
          <w:tab w:val="left" w:pos="2383"/>
        </w:tabs>
        <w:ind w:left="2383" w:hanging="420"/>
      </w:pPr>
      <w:rPr>
        <w:rFonts w:hint="eastAsia"/>
      </w:rPr>
    </w:lvl>
    <w:lvl w:ilvl="4" w:tentative="0">
      <w:start w:val="1"/>
      <w:numFmt w:val="lowerLetter"/>
      <w:lvlText w:val="%5)"/>
      <w:lvlJc w:val="left"/>
      <w:pPr>
        <w:tabs>
          <w:tab w:val="left" w:pos="2803"/>
        </w:tabs>
        <w:ind w:left="2803" w:hanging="420"/>
      </w:pPr>
      <w:rPr>
        <w:rFonts w:hint="eastAsia"/>
      </w:rPr>
    </w:lvl>
    <w:lvl w:ilvl="5" w:tentative="0">
      <w:start w:val="1"/>
      <w:numFmt w:val="lowerRoman"/>
      <w:lvlText w:val="%6."/>
      <w:lvlJc w:val="right"/>
      <w:pPr>
        <w:tabs>
          <w:tab w:val="left" w:pos="3223"/>
        </w:tabs>
        <w:ind w:left="3223" w:hanging="420"/>
      </w:pPr>
      <w:rPr>
        <w:rFonts w:hint="eastAsia"/>
      </w:rPr>
    </w:lvl>
    <w:lvl w:ilvl="6" w:tentative="0">
      <w:start w:val="1"/>
      <w:numFmt w:val="decimal"/>
      <w:lvlText w:val="%7."/>
      <w:lvlJc w:val="left"/>
      <w:pPr>
        <w:tabs>
          <w:tab w:val="left" w:pos="3643"/>
        </w:tabs>
        <w:ind w:left="3643" w:hanging="420"/>
      </w:pPr>
      <w:rPr>
        <w:rFonts w:hint="eastAsia"/>
      </w:rPr>
    </w:lvl>
    <w:lvl w:ilvl="7" w:tentative="0">
      <w:start w:val="1"/>
      <w:numFmt w:val="lowerLetter"/>
      <w:lvlText w:val="%8)"/>
      <w:lvlJc w:val="left"/>
      <w:pPr>
        <w:tabs>
          <w:tab w:val="left" w:pos="4063"/>
        </w:tabs>
        <w:ind w:left="4063" w:hanging="420"/>
      </w:pPr>
      <w:rPr>
        <w:rFonts w:hint="eastAsia"/>
      </w:rPr>
    </w:lvl>
    <w:lvl w:ilvl="8" w:tentative="0">
      <w:start w:val="1"/>
      <w:numFmt w:val="lowerRoman"/>
      <w:lvlText w:val="%9."/>
      <w:lvlJc w:val="right"/>
      <w:pPr>
        <w:tabs>
          <w:tab w:val="left" w:pos="4483"/>
        </w:tabs>
        <w:ind w:left="4483" w:hanging="420"/>
      </w:pPr>
      <w:rPr>
        <w:rFonts w:hint="eastAsia"/>
      </w:rPr>
    </w:lvl>
  </w:abstractNum>
  <w:abstractNum w:abstractNumId="11">
    <w:nsid w:val="1AD20F90"/>
    <w:multiLevelType w:val="multilevel"/>
    <w:tmpl w:val="1AD20F90"/>
    <w:lvl w:ilvl="0" w:tentative="0">
      <w:start w:val="1"/>
      <w:numFmt w:val="none"/>
      <w:pStyle w:val="121"/>
      <w:lvlText w:val="%1注："/>
      <w:lvlJc w:val="left"/>
      <w:pPr>
        <w:tabs>
          <w:tab w:val="left" w:pos="845"/>
        </w:tabs>
        <w:ind w:left="-102" w:firstLine="419"/>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2">
    <w:nsid w:val="1AF15012"/>
    <w:multiLevelType w:val="multilevel"/>
    <w:tmpl w:val="1AF15012"/>
    <w:lvl w:ilvl="0" w:tentative="0">
      <w:start w:val="1"/>
      <w:numFmt w:val="upperLetter"/>
      <w:pStyle w:val="96"/>
      <w:suff w:val="nothing"/>
      <w:lvlText w:val="附 录(Annex) %1"/>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13">
    <w:nsid w:val="1EAA1992"/>
    <w:multiLevelType w:val="multilevel"/>
    <w:tmpl w:val="1EAA1992"/>
    <w:lvl w:ilvl="0" w:tentative="0">
      <w:start w:val="1"/>
      <w:numFmt w:val="none"/>
      <w:pStyle w:val="103"/>
      <w:suff w:val="nothing"/>
      <w:lvlText w:val="——"/>
      <w:lvlJc w:val="left"/>
      <w:pPr>
        <w:ind w:left="794" w:hanging="397"/>
      </w:pPr>
    </w:lvl>
    <w:lvl w:ilvl="1" w:tentative="0">
      <w:start w:val="1"/>
      <w:numFmt w:val="decimal"/>
      <w:suff w:val="nothing"/>
      <w:lvlText w:val="%1.%2　"/>
      <w:lvlJc w:val="left"/>
      <w:pPr>
        <w:ind w:left="397" w:firstLine="0"/>
      </w:pPr>
    </w:lvl>
    <w:lvl w:ilvl="2" w:tentative="0">
      <w:start w:val="1"/>
      <w:numFmt w:val="decimal"/>
      <w:suff w:val="nothing"/>
      <w:lvlText w:val="%1.%2.%3　"/>
      <w:lvlJc w:val="left"/>
      <w:pPr>
        <w:ind w:left="397" w:firstLine="0"/>
      </w:pPr>
    </w:lvl>
    <w:lvl w:ilvl="3" w:tentative="0">
      <w:start w:val="1"/>
      <w:numFmt w:val="decimal"/>
      <w:suff w:val="nothing"/>
      <w:lvlText w:val="%1.%2.%3.%4　"/>
      <w:lvlJc w:val="left"/>
      <w:pPr>
        <w:ind w:left="397" w:firstLine="0"/>
      </w:pPr>
    </w:lvl>
    <w:lvl w:ilvl="4" w:tentative="0">
      <w:start w:val="1"/>
      <w:numFmt w:val="decimal"/>
      <w:suff w:val="nothing"/>
      <w:lvlText w:val="%1.%2.%3.%4.%5　"/>
      <w:lvlJc w:val="left"/>
      <w:pPr>
        <w:ind w:left="397" w:firstLine="0"/>
      </w:pPr>
    </w:lvl>
    <w:lvl w:ilvl="5" w:tentative="0">
      <w:start w:val="1"/>
      <w:numFmt w:val="decimal"/>
      <w:suff w:val="nothing"/>
      <w:lvlText w:val="%1.%2.%3.%4.%5.%6　"/>
      <w:lvlJc w:val="left"/>
      <w:pPr>
        <w:ind w:left="397" w:firstLine="0"/>
      </w:pPr>
    </w:lvl>
    <w:lvl w:ilvl="6" w:tentative="0">
      <w:start w:val="1"/>
      <w:numFmt w:val="decimal"/>
      <w:suff w:val="nothing"/>
      <w:lvlText w:val="%1.%2.%3.%4.%5.%6.%7　"/>
      <w:lvlJc w:val="left"/>
      <w:pPr>
        <w:ind w:left="397" w:firstLine="0"/>
      </w:pPr>
    </w:lvl>
    <w:lvl w:ilvl="7" w:tentative="0">
      <w:start w:val="1"/>
      <w:numFmt w:val="decimal"/>
      <w:lvlText w:val="%1.%2.%3.%4.%5.%6.%7.%8"/>
      <w:lvlJc w:val="left"/>
      <w:pPr>
        <w:tabs>
          <w:tab w:val="left" w:pos="4791"/>
        </w:tabs>
        <w:ind w:left="4791" w:hanging="1418"/>
      </w:pPr>
    </w:lvl>
    <w:lvl w:ilvl="8" w:tentative="0">
      <w:start w:val="1"/>
      <w:numFmt w:val="decimal"/>
      <w:lvlText w:val="%1.%2.%3.%4.%5.%6.%7.%8.%9"/>
      <w:lvlJc w:val="left"/>
      <w:pPr>
        <w:tabs>
          <w:tab w:val="left" w:pos="5499"/>
        </w:tabs>
        <w:ind w:left="5499" w:hanging="1700"/>
      </w:pPr>
    </w:lvl>
  </w:abstractNum>
  <w:abstractNum w:abstractNumId="14">
    <w:nsid w:val="2C5917C3"/>
    <w:multiLevelType w:val="multilevel"/>
    <w:tmpl w:val="2C5917C3"/>
    <w:lvl w:ilvl="0" w:tentative="0">
      <w:start w:val="1"/>
      <w:numFmt w:val="none"/>
      <w:pStyle w:val="144"/>
      <w:lvlText w:val="%1——"/>
      <w:lvlJc w:val="left"/>
      <w:pPr>
        <w:tabs>
          <w:tab w:val="left" w:pos="851"/>
        </w:tabs>
        <w:ind w:left="851" w:hanging="426"/>
      </w:pPr>
      <w:rPr>
        <w:rFonts w:hint="eastAsia" w:ascii="宋体" w:hAnsi="Times New Roman" w:eastAsia="宋体"/>
        <w:b w:val="0"/>
        <w:i w:val="0"/>
        <w:sz w:val="21"/>
      </w:rPr>
    </w:lvl>
    <w:lvl w:ilvl="1" w:tentative="0">
      <w:start w:val="1"/>
      <w:numFmt w:val="none"/>
      <w:pStyle w:val="198"/>
      <w:lvlText w:val=""/>
      <w:lvlJc w:val="left"/>
      <w:pPr>
        <w:ind w:left="851" w:hanging="431"/>
      </w:pPr>
      <w:rPr>
        <w:rFonts w:hint="default" w:ascii="Symbol" w:hAnsi="Symbol"/>
        <w:sz w:val="21"/>
      </w:rPr>
    </w:lvl>
    <w:lvl w:ilvl="2" w:tentative="0">
      <w:start w:val="1"/>
      <w:numFmt w:val="bullet"/>
      <w:pStyle w:val="184"/>
      <w:lvlText w:val=""/>
      <w:lvlJc w:val="left"/>
      <w:pPr>
        <w:ind w:left="851" w:hanging="426"/>
      </w:pPr>
      <w:rPr>
        <w:rFonts w:hint="default" w:ascii="Wingdings" w:hAnsi="Wingdings"/>
        <w:sz w:val="21"/>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15">
    <w:nsid w:val="32F04FB2"/>
    <w:multiLevelType w:val="multilevel"/>
    <w:tmpl w:val="32F04FB2"/>
    <w:lvl w:ilvl="0" w:tentative="0">
      <w:start w:val="1"/>
      <w:numFmt w:val="lowerLetter"/>
      <w:pStyle w:val="112"/>
      <w:lvlText w:val="%1"/>
      <w:lvlJc w:val="left"/>
      <w:pPr>
        <w:tabs>
          <w:tab w:val="left" w:pos="539"/>
        </w:tabs>
        <w:ind w:left="539" w:hanging="119"/>
      </w:pPr>
      <w:rPr>
        <w:rFonts w:hint="eastAsia"/>
        <w:caps w:val="0"/>
        <w:strike w:val="0"/>
        <w:dstrike w:val="0"/>
        <w:vanish w:val="0"/>
        <w:vertAlign w:val="superscript"/>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16">
    <w:nsid w:val="44C50F90"/>
    <w:multiLevelType w:val="multilevel"/>
    <w:tmpl w:val="44C50F90"/>
    <w:lvl w:ilvl="0" w:tentative="0">
      <w:start w:val="1"/>
      <w:numFmt w:val="lowerLetter"/>
      <w:pStyle w:val="186"/>
      <w:lvlText w:val="%1)"/>
      <w:lvlJc w:val="left"/>
      <w:pPr>
        <w:tabs>
          <w:tab w:val="left" w:pos="851"/>
        </w:tabs>
        <w:ind w:left="851" w:hanging="426"/>
      </w:pPr>
      <w:rPr>
        <w:rFonts w:hint="eastAsia" w:ascii="宋体" w:hAnsi="Times New Roman" w:eastAsia="宋体"/>
        <w:sz w:val="21"/>
      </w:rPr>
    </w:lvl>
    <w:lvl w:ilvl="1" w:tentative="0">
      <w:start w:val="1"/>
      <w:numFmt w:val="decimal"/>
      <w:pStyle w:val="120"/>
      <w:lvlText w:val="%2)"/>
      <w:lvlJc w:val="left"/>
      <w:pPr>
        <w:tabs>
          <w:tab w:val="left" w:pos="1276"/>
        </w:tabs>
        <w:ind w:left="1276" w:hanging="425"/>
      </w:pPr>
      <w:rPr>
        <w:rFonts w:hint="eastAsia" w:ascii="宋体" w:hAnsi="Times New Roman" w:eastAsia="宋体"/>
        <w:sz w:val="21"/>
      </w:rPr>
    </w:lvl>
    <w:lvl w:ilvl="2" w:tentative="0">
      <w:start w:val="1"/>
      <w:numFmt w:val="decimal"/>
      <w:pStyle w:val="128"/>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7">
    <w:nsid w:val="45BF4382"/>
    <w:multiLevelType w:val="multilevel"/>
    <w:tmpl w:val="45BF4382"/>
    <w:lvl w:ilvl="0" w:tentative="0">
      <w:start w:val="1"/>
      <w:numFmt w:val="none"/>
      <w:pStyle w:val="257"/>
      <w:suff w:val="nothing"/>
      <w:lvlText w:val="%1注："/>
      <w:lvlJc w:val="left"/>
      <w:pPr>
        <w:ind w:left="726" w:firstLine="0"/>
      </w:pPr>
      <w:rPr>
        <w:rFonts w:hint="eastAsia" w:ascii="黑体" w:hAnsi="Times New Roman" w:eastAsia="黑体" w:cs="黑体"/>
        <w:b w:val="0"/>
        <w:i w:val="0"/>
        <w:sz w:val="18"/>
      </w:rPr>
    </w:lvl>
    <w:lvl w:ilvl="1" w:tentative="0">
      <w:start w:val="1"/>
      <w:numFmt w:val="lowerLetter"/>
      <w:lvlText w:val="%2)"/>
      <w:lvlJc w:val="left"/>
      <w:pPr>
        <w:tabs>
          <w:tab w:val="left" w:pos="1140"/>
        </w:tabs>
        <w:ind w:left="726" w:firstLine="0"/>
      </w:pPr>
    </w:lvl>
    <w:lvl w:ilvl="2" w:tentative="0">
      <w:start w:val="1"/>
      <w:numFmt w:val="lowerRoman"/>
      <w:lvlText w:val="%3."/>
      <w:lvlJc w:val="right"/>
      <w:pPr>
        <w:tabs>
          <w:tab w:val="left" w:pos="1140"/>
        </w:tabs>
        <w:ind w:left="726" w:firstLine="0"/>
      </w:pPr>
    </w:lvl>
    <w:lvl w:ilvl="3" w:tentative="0">
      <w:start w:val="1"/>
      <w:numFmt w:val="decimal"/>
      <w:lvlText w:val="%4."/>
      <w:lvlJc w:val="left"/>
      <w:pPr>
        <w:tabs>
          <w:tab w:val="left" w:pos="1140"/>
        </w:tabs>
        <w:ind w:left="726" w:firstLine="0"/>
      </w:pPr>
    </w:lvl>
    <w:lvl w:ilvl="4" w:tentative="0">
      <w:start w:val="1"/>
      <w:numFmt w:val="lowerLetter"/>
      <w:lvlText w:val="%5)"/>
      <w:lvlJc w:val="left"/>
      <w:pPr>
        <w:tabs>
          <w:tab w:val="left" w:pos="1140"/>
        </w:tabs>
        <w:ind w:left="726" w:firstLine="0"/>
      </w:pPr>
    </w:lvl>
    <w:lvl w:ilvl="5" w:tentative="0">
      <w:start w:val="1"/>
      <w:numFmt w:val="lowerRoman"/>
      <w:lvlText w:val="%6."/>
      <w:lvlJc w:val="right"/>
      <w:pPr>
        <w:tabs>
          <w:tab w:val="left" w:pos="1140"/>
        </w:tabs>
        <w:ind w:left="726" w:firstLine="0"/>
      </w:pPr>
    </w:lvl>
    <w:lvl w:ilvl="6" w:tentative="0">
      <w:start w:val="1"/>
      <w:numFmt w:val="decimal"/>
      <w:lvlText w:val="%7."/>
      <w:lvlJc w:val="left"/>
      <w:pPr>
        <w:tabs>
          <w:tab w:val="left" w:pos="1140"/>
        </w:tabs>
        <w:ind w:left="726" w:firstLine="0"/>
      </w:pPr>
    </w:lvl>
    <w:lvl w:ilvl="7" w:tentative="0">
      <w:start w:val="1"/>
      <w:numFmt w:val="lowerLetter"/>
      <w:lvlText w:val="%8)"/>
      <w:lvlJc w:val="left"/>
      <w:pPr>
        <w:tabs>
          <w:tab w:val="left" w:pos="1140"/>
        </w:tabs>
        <w:ind w:left="726" w:firstLine="0"/>
      </w:pPr>
    </w:lvl>
    <w:lvl w:ilvl="8" w:tentative="0">
      <w:start w:val="1"/>
      <w:numFmt w:val="lowerRoman"/>
      <w:lvlText w:val="%9."/>
      <w:lvlJc w:val="right"/>
      <w:pPr>
        <w:tabs>
          <w:tab w:val="left" w:pos="1140"/>
        </w:tabs>
        <w:ind w:left="726" w:firstLine="0"/>
      </w:pPr>
    </w:lvl>
  </w:abstractNum>
  <w:abstractNum w:abstractNumId="18">
    <w:nsid w:val="48802D1C"/>
    <w:multiLevelType w:val="multilevel"/>
    <w:tmpl w:val="48802D1C"/>
    <w:lvl w:ilvl="0" w:tentative="0">
      <w:start w:val="1"/>
      <w:numFmt w:val="upperLetter"/>
      <w:pStyle w:val="209"/>
      <w:lvlText w:val="%1"/>
      <w:lvlJc w:val="left"/>
      <w:pPr>
        <w:ind w:left="420" w:hanging="420"/>
      </w:pPr>
      <w:rPr>
        <w:rFonts w:hint="eastAsia"/>
      </w:rPr>
    </w:lvl>
    <w:lvl w:ilvl="1" w:tentative="0">
      <w:start w:val="1"/>
      <w:numFmt w:val="decimal"/>
      <w:pStyle w:val="94"/>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9">
    <w:nsid w:val="4B733A5F"/>
    <w:multiLevelType w:val="multilevel"/>
    <w:tmpl w:val="4B733A5F"/>
    <w:lvl w:ilvl="0" w:tentative="0">
      <w:start w:val="1"/>
      <w:numFmt w:val="decimal"/>
      <w:pStyle w:val="195"/>
      <w:suff w:val="nothing"/>
      <w:lvlText w:val="示例%1："/>
      <w:lvlJc w:val="left"/>
      <w:pPr>
        <w:ind w:left="0" w:firstLine="363"/>
      </w:pPr>
      <w:rPr>
        <w:rFonts w:hint="eastAsia" w:ascii="黑体" w:eastAsia="黑体"/>
        <w:b w:val="0"/>
        <w:i w:val="0"/>
        <w:sz w:val="18"/>
      </w:rPr>
    </w:lvl>
    <w:lvl w:ilvl="1" w:tentative="0">
      <w:start w:val="1"/>
      <w:numFmt w:val="none"/>
      <w:suff w:val="space"/>
      <w:lvlText w:val=""/>
      <w:lvlJc w:val="left"/>
      <w:pPr>
        <w:ind w:left="0" w:firstLine="0"/>
      </w:pPr>
      <w:rPr>
        <w:rFonts w:hint="eastAsia"/>
      </w:rPr>
    </w:lvl>
    <w:lvl w:ilvl="2" w:tentative="0">
      <w:start w:val="1"/>
      <w:numFmt w:val="decimal"/>
      <w:suff w:val="space"/>
      <w:lvlText w:val="2.2.%3"/>
      <w:lvlJc w:val="left"/>
      <w:pPr>
        <w:ind w:left="0" w:firstLine="0"/>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20">
    <w:nsid w:val="4E5D0534"/>
    <w:multiLevelType w:val="multilevel"/>
    <w:tmpl w:val="4E5D0534"/>
    <w:lvl w:ilvl="0" w:tentative="0">
      <w:start w:val="1"/>
      <w:numFmt w:val="decimal"/>
      <w:pStyle w:val="127"/>
      <w:suff w:val="nothing"/>
      <w:lvlText w:val="Figur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21">
    <w:nsid w:val="54632751"/>
    <w:multiLevelType w:val="multilevel"/>
    <w:tmpl w:val="54632751"/>
    <w:lvl w:ilvl="0" w:tentative="0">
      <w:start w:val="1"/>
      <w:numFmt w:val="none"/>
      <w:pStyle w:val="104"/>
      <w:suff w:val="nothing"/>
      <w:lvlText w:val="——"/>
      <w:lvlJc w:val="left"/>
      <w:pPr>
        <w:ind w:left="1588" w:firstLine="0"/>
      </w:pPr>
    </w:lvl>
    <w:lvl w:ilvl="1" w:tentative="0">
      <w:start w:val="1"/>
      <w:numFmt w:val="decimal"/>
      <w:suff w:val="nothing"/>
      <w:lvlText w:val="%1.%2　"/>
      <w:lvlJc w:val="left"/>
      <w:pPr>
        <w:ind w:left="1588" w:firstLine="0"/>
      </w:pPr>
    </w:lvl>
    <w:lvl w:ilvl="2" w:tentative="0">
      <w:start w:val="1"/>
      <w:numFmt w:val="decimal"/>
      <w:suff w:val="nothing"/>
      <w:lvlText w:val="%1.%2.%3　"/>
      <w:lvlJc w:val="left"/>
      <w:pPr>
        <w:ind w:left="1588" w:firstLine="0"/>
      </w:pPr>
    </w:lvl>
    <w:lvl w:ilvl="3" w:tentative="0">
      <w:start w:val="1"/>
      <w:numFmt w:val="decimal"/>
      <w:suff w:val="nothing"/>
      <w:lvlText w:val="%1.%2.%3.%4　"/>
      <w:lvlJc w:val="left"/>
      <w:pPr>
        <w:ind w:left="1588" w:firstLine="0"/>
      </w:pPr>
    </w:lvl>
    <w:lvl w:ilvl="4" w:tentative="0">
      <w:start w:val="1"/>
      <w:numFmt w:val="decimal"/>
      <w:suff w:val="nothing"/>
      <w:lvlText w:val="%1.%2.%3.%4.%5　"/>
      <w:lvlJc w:val="left"/>
      <w:pPr>
        <w:ind w:left="1588" w:firstLine="0"/>
      </w:pPr>
    </w:lvl>
    <w:lvl w:ilvl="5" w:tentative="0">
      <w:start w:val="1"/>
      <w:numFmt w:val="decimal"/>
      <w:suff w:val="nothing"/>
      <w:lvlText w:val="%1.%2.%3.%4.%5.%6　"/>
      <w:lvlJc w:val="left"/>
      <w:pPr>
        <w:ind w:left="1588" w:firstLine="0"/>
      </w:pPr>
    </w:lvl>
    <w:lvl w:ilvl="6" w:tentative="0">
      <w:start w:val="1"/>
      <w:numFmt w:val="decimal"/>
      <w:suff w:val="nothing"/>
      <w:lvlText w:val="%1.%2.%3.%4.%5.%6.%7　"/>
      <w:lvlJc w:val="left"/>
      <w:pPr>
        <w:ind w:left="1588" w:firstLine="0"/>
      </w:pPr>
    </w:lvl>
    <w:lvl w:ilvl="7" w:tentative="0">
      <w:start w:val="1"/>
      <w:numFmt w:val="decimal"/>
      <w:lvlText w:val="%1.%2.%3.%4.%5.%6.%7.%8"/>
      <w:lvlJc w:val="left"/>
      <w:pPr>
        <w:tabs>
          <w:tab w:val="left" w:pos="5982"/>
        </w:tabs>
        <w:ind w:left="5982" w:hanging="1418"/>
      </w:pPr>
    </w:lvl>
    <w:lvl w:ilvl="8" w:tentative="0">
      <w:start w:val="1"/>
      <w:numFmt w:val="decimal"/>
      <w:lvlText w:val="%1.%2.%3.%4.%5.%6.%7.%8.%9"/>
      <w:lvlJc w:val="left"/>
      <w:pPr>
        <w:tabs>
          <w:tab w:val="left" w:pos="6690"/>
        </w:tabs>
        <w:ind w:left="6690" w:hanging="1700"/>
      </w:pPr>
    </w:lvl>
  </w:abstractNum>
  <w:abstractNum w:abstractNumId="22">
    <w:nsid w:val="557C2AF5"/>
    <w:multiLevelType w:val="multilevel"/>
    <w:tmpl w:val="557C2AF5"/>
    <w:lvl w:ilvl="0" w:tentative="0">
      <w:start w:val="1"/>
      <w:numFmt w:val="decimal"/>
      <w:pStyle w:val="125"/>
      <w:suff w:val="nothing"/>
      <w:lvlText w:val="图%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23">
    <w:nsid w:val="5603797C"/>
    <w:multiLevelType w:val="multilevel"/>
    <w:tmpl w:val="5603797C"/>
    <w:lvl w:ilvl="0" w:tentative="0">
      <w:start w:val="1"/>
      <w:numFmt w:val="upperLetter"/>
      <w:pStyle w:val="210"/>
      <w:suff w:val="space"/>
      <w:lvlText w:val="%1"/>
      <w:lvlJc w:val="left"/>
      <w:pPr>
        <w:ind w:left="425" w:hanging="425"/>
      </w:pPr>
      <w:rPr>
        <w:rFonts w:hint="eastAsia"/>
      </w:rPr>
    </w:lvl>
    <w:lvl w:ilvl="1" w:tentative="0">
      <w:start w:val="1"/>
      <w:numFmt w:val="decimal"/>
      <w:pStyle w:val="88"/>
      <w:suff w:val="space"/>
      <w:lvlText w:val="表%1.%2"/>
      <w:lvlJc w:val="center"/>
      <w:pPr>
        <w:ind w:left="0" w:firstLine="0"/>
      </w:pPr>
      <w:rPr>
        <w:rFonts w:hint="eastAsia"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24">
    <w:nsid w:val="564D2089"/>
    <w:multiLevelType w:val="multilevel"/>
    <w:tmpl w:val="564D2089"/>
    <w:lvl w:ilvl="0" w:tentative="0">
      <w:start w:val="1"/>
      <w:numFmt w:val="none"/>
      <w:pStyle w:val="122"/>
      <w:lvlText w:val="%1注"/>
      <w:lvlJc w:val="left"/>
      <w:pPr>
        <w:tabs>
          <w:tab w:val="left" w:pos="760"/>
        </w:tabs>
        <w:ind w:left="760" w:hanging="284"/>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5">
    <w:nsid w:val="644622F9"/>
    <w:multiLevelType w:val="multilevel"/>
    <w:tmpl w:val="644622F9"/>
    <w:lvl w:ilvl="0" w:tentative="0">
      <w:start w:val="1"/>
      <w:numFmt w:val="upperRoman"/>
      <w:pStyle w:val="180"/>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310"/>
        </w:tabs>
        <w:ind w:left="1310" w:hanging="420"/>
      </w:pPr>
      <w:rPr>
        <w:rFonts w:hint="eastAsia"/>
      </w:rPr>
    </w:lvl>
    <w:lvl w:ilvl="2" w:tentative="0">
      <w:start w:val="1"/>
      <w:numFmt w:val="lowerRoman"/>
      <w:lvlText w:val="%3."/>
      <w:lvlJc w:val="right"/>
      <w:pPr>
        <w:tabs>
          <w:tab w:val="left" w:pos="1730"/>
        </w:tabs>
        <w:ind w:left="1730" w:hanging="420"/>
      </w:pPr>
      <w:rPr>
        <w:rFonts w:hint="eastAsia"/>
      </w:rPr>
    </w:lvl>
    <w:lvl w:ilvl="3" w:tentative="0">
      <w:start w:val="1"/>
      <w:numFmt w:val="decimal"/>
      <w:lvlText w:val="%4."/>
      <w:lvlJc w:val="left"/>
      <w:pPr>
        <w:tabs>
          <w:tab w:val="left" w:pos="2150"/>
        </w:tabs>
        <w:ind w:left="2150" w:hanging="420"/>
      </w:pPr>
      <w:rPr>
        <w:rFonts w:hint="eastAsia"/>
      </w:rPr>
    </w:lvl>
    <w:lvl w:ilvl="4" w:tentative="0">
      <w:start w:val="1"/>
      <w:numFmt w:val="lowerLetter"/>
      <w:lvlText w:val="%5)"/>
      <w:lvlJc w:val="left"/>
      <w:pPr>
        <w:tabs>
          <w:tab w:val="left" w:pos="2570"/>
        </w:tabs>
        <w:ind w:left="2570" w:hanging="420"/>
      </w:pPr>
      <w:rPr>
        <w:rFonts w:hint="eastAsia"/>
      </w:rPr>
    </w:lvl>
    <w:lvl w:ilvl="5" w:tentative="0">
      <w:start w:val="1"/>
      <w:numFmt w:val="lowerRoman"/>
      <w:lvlText w:val="%6."/>
      <w:lvlJc w:val="right"/>
      <w:pPr>
        <w:tabs>
          <w:tab w:val="left" w:pos="2990"/>
        </w:tabs>
        <w:ind w:left="2990" w:hanging="420"/>
      </w:pPr>
      <w:rPr>
        <w:rFonts w:hint="eastAsia"/>
      </w:rPr>
    </w:lvl>
    <w:lvl w:ilvl="6" w:tentative="0">
      <w:start w:val="1"/>
      <w:numFmt w:val="decimal"/>
      <w:lvlText w:val="%7."/>
      <w:lvlJc w:val="left"/>
      <w:pPr>
        <w:tabs>
          <w:tab w:val="left" w:pos="3410"/>
        </w:tabs>
        <w:ind w:left="3410" w:hanging="420"/>
      </w:pPr>
      <w:rPr>
        <w:rFonts w:hint="eastAsia"/>
      </w:rPr>
    </w:lvl>
    <w:lvl w:ilvl="7" w:tentative="0">
      <w:start w:val="1"/>
      <w:numFmt w:val="lowerLetter"/>
      <w:lvlText w:val="%8)"/>
      <w:lvlJc w:val="left"/>
      <w:pPr>
        <w:tabs>
          <w:tab w:val="left" w:pos="3830"/>
        </w:tabs>
        <w:ind w:left="3830" w:hanging="420"/>
      </w:pPr>
      <w:rPr>
        <w:rFonts w:hint="eastAsia"/>
      </w:rPr>
    </w:lvl>
    <w:lvl w:ilvl="8" w:tentative="0">
      <w:start w:val="1"/>
      <w:numFmt w:val="lowerRoman"/>
      <w:lvlText w:val="%9."/>
      <w:lvlJc w:val="right"/>
      <w:pPr>
        <w:tabs>
          <w:tab w:val="left" w:pos="4250"/>
        </w:tabs>
        <w:ind w:left="4250" w:hanging="420"/>
      </w:pPr>
      <w:rPr>
        <w:rFonts w:hint="eastAsia"/>
      </w:rPr>
    </w:lvl>
  </w:abstractNum>
  <w:abstractNum w:abstractNumId="26">
    <w:nsid w:val="646260FA"/>
    <w:multiLevelType w:val="multilevel"/>
    <w:tmpl w:val="646260FA"/>
    <w:lvl w:ilvl="0" w:tentative="0">
      <w:start w:val="1"/>
      <w:numFmt w:val="decimal"/>
      <w:pStyle w:val="123"/>
      <w:suff w:val="nothing"/>
      <w:lvlText w:val="表%1　"/>
      <w:lvlJc w:val="left"/>
      <w:pPr>
        <w:ind w:left="3120" w:firstLine="0"/>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7"/>
        </w:tabs>
        <w:ind w:left="1417"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7">
    <w:nsid w:val="654A26C9"/>
    <w:multiLevelType w:val="multilevel"/>
    <w:tmpl w:val="654A26C9"/>
    <w:lvl w:ilvl="0" w:tentative="0">
      <w:start w:val="1"/>
      <w:numFmt w:val="none"/>
      <w:pStyle w:val="200"/>
      <w:lvlText w:val="──"/>
      <w:lvlJc w:val="left"/>
      <w:pPr>
        <w:ind w:left="851" w:firstLine="0"/>
      </w:pPr>
      <w:rPr>
        <w:rFonts w:hint="eastAsia" w:ascii="宋体" w:eastAsia="宋体" w:hAnsiTheme="majorHAnsi"/>
        <w:b w:val="0"/>
        <w:i w:val="0"/>
        <w:sz w:val="21"/>
      </w:rPr>
    </w:lvl>
    <w:lvl w:ilvl="1" w:tentative="0">
      <w:start w:val="1"/>
      <w:numFmt w:val="bullet"/>
      <w:lvlText w:val=""/>
      <w:lvlJc w:val="left"/>
      <w:pPr>
        <w:ind w:left="1276" w:hanging="425"/>
      </w:pPr>
      <w:rPr>
        <w:rFonts w:hint="default" w:ascii="Wingdings" w:hAnsi="Wingdings"/>
      </w:rPr>
    </w:lvl>
    <w:lvl w:ilvl="2" w:tentative="0">
      <w:start w:val="1"/>
      <w:numFmt w:val="bullet"/>
      <w:lvlText w:val=""/>
      <w:lvlJc w:val="left"/>
      <w:pPr>
        <w:ind w:left="1276" w:hanging="236"/>
      </w:pPr>
      <w:rPr>
        <w:rFonts w:hint="default" w:ascii="Wingdings" w:hAnsi="Wingdings"/>
      </w:rPr>
    </w:lvl>
    <w:lvl w:ilvl="3" w:tentative="0">
      <w:start w:val="1"/>
      <w:numFmt w:val="bullet"/>
      <w:lvlText w:val=""/>
      <w:lvlJc w:val="left"/>
      <w:pPr>
        <w:ind w:left="1880" w:hanging="420"/>
      </w:pPr>
      <w:rPr>
        <w:rFonts w:hint="default" w:ascii="Wingdings" w:hAnsi="Wingdings"/>
      </w:rPr>
    </w:lvl>
    <w:lvl w:ilvl="4" w:tentative="0">
      <w:start w:val="1"/>
      <w:numFmt w:val="bullet"/>
      <w:lvlText w:val=""/>
      <w:lvlJc w:val="left"/>
      <w:pPr>
        <w:ind w:left="2300" w:hanging="420"/>
      </w:pPr>
      <w:rPr>
        <w:rFonts w:hint="default" w:ascii="Wingdings" w:hAnsi="Wingdings"/>
      </w:rPr>
    </w:lvl>
    <w:lvl w:ilvl="5" w:tentative="0">
      <w:start w:val="1"/>
      <w:numFmt w:val="bullet"/>
      <w:lvlText w:val=""/>
      <w:lvlJc w:val="left"/>
      <w:pPr>
        <w:ind w:left="2720" w:hanging="420"/>
      </w:pPr>
      <w:rPr>
        <w:rFonts w:hint="default" w:ascii="Wingdings" w:hAnsi="Wingdings"/>
      </w:rPr>
    </w:lvl>
    <w:lvl w:ilvl="6" w:tentative="0">
      <w:start w:val="1"/>
      <w:numFmt w:val="bullet"/>
      <w:lvlText w:val=""/>
      <w:lvlJc w:val="left"/>
      <w:pPr>
        <w:ind w:left="3140" w:hanging="420"/>
      </w:pPr>
      <w:rPr>
        <w:rFonts w:hint="default" w:ascii="Wingdings" w:hAnsi="Wingdings"/>
      </w:rPr>
    </w:lvl>
    <w:lvl w:ilvl="7" w:tentative="0">
      <w:start w:val="1"/>
      <w:numFmt w:val="bullet"/>
      <w:lvlText w:val=""/>
      <w:lvlJc w:val="left"/>
      <w:pPr>
        <w:ind w:left="3560" w:hanging="420"/>
      </w:pPr>
      <w:rPr>
        <w:rFonts w:hint="default" w:ascii="Wingdings" w:hAnsi="Wingdings"/>
      </w:rPr>
    </w:lvl>
    <w:lvl w:ilvl="8" w:tentative="0">
      <w:start w:val="1"/>
      <w:numFmt w:val="bullet"/>
      <w:lvlText w:val=""/>
      <w:lvlJc w:val="left"/>
      <w:pPr>
        <w:ind w:left="3980" w:hanging="420"/>
      </w:pPr>
      <w:rPr>
        <w:rFonts w:hint="default" w:ascii="Wingdings" w:hAnsi="Wingdings"/>
      </w:rPr>
    </w:lvl>
  </w:abstractNum>
  <w:abstractNum w:abstractNumId="28">
    <w:nsid w:val="657D3FBC"/>
    <w:multiLevelType w:val="multilevel"/>
    <w:tmpl w:val="657D3FBC"/>
    <w:lvl w:ilvl="0" w:tentative="0">
      <w:start w:val="1"/>
      <w:numFmt w:val="upperLetter"/>
      <w:pStyle w:val="87"/>
      <w:suff w:val="nothing"/>
      <w:lvlText w:val="附录%1"/>
      <w:lvlJc w:val="left"/>
      <w:pPr>
        <w:ind w:left="0" w:firstLine="0"/>
      </w:pPr>
      <w:rPr>
        <w:rFonts w:hint="eastAsia"/>
        <w:spacing w:val="100"/>
      </w:rPr>
    </w:lvl>
    <w:lvl w:ilvl="1" w:tentative="0">
      <w:start w:val="1"/>
      <w:numFmt w:val="decimal"/>
      <w:pStyle w:val="89"/>
      <w:suff w:val="nothing"/>
      <w:lvlText w:val="%1.%2　"/>
      <w:lvlJc w:val="left"/>
      <w:pPr>
        <w:ind w:left="0" w:firstLine="0"/>
      </w:pPr>
      <w:rPr>
        <w:rFonts w:hint="eastAsia" w:ascii="黑体" w:eastAsia="黑体"/>
        <w:b w:val="0"/>
        <w:i w:val="0"/>
        <w:sz w:val="21"/>
      </w:rPr>
    </w:lvl>
    <w:lvl w:ilvl="2" w:tentative="0">
      <w:start w:val="1"/>
      <w:numFmt w:val="decimal"/>
      <w:pStyle w:val="90"/>
      <w:suff w:val="nothing"/>
      <w:lvlText w:val="%1.%2.%3　"/>
      <w:lvlJc w:val="left"/>
      <w:pPr>
        <w:ind w:left="0" w:firstLine="0"/>
      </w:pPr>
      <w:rPr>
        <w:rFonts w:hint="eastAsia" w:ascii="黑体" w:eastAsia="黑体"/>
        <w:b w:val="0"/>
        <w:i w:val="0"/>
        <w:sz w:val="21"/>
      </w:rPr>
    </w:lvl>
    <w:lvl w:ilvl="3" w:tentative="0">
      <w:start w:val="1"/>
      <w:numFmt w:val="decimal"/>
      <w:pStyle w:val="92"/>
      <w:suff w:val="nothing"/>
      <w:lvlText w:val="%1.%2.%3.%4　"/>
      <w:lvlJc w:val="left"/>
      <w:pPr>
        <w:ind w:left="0" w:firstLine="0"/>
      </w:pPr>
      <w:rPr>
        <w:rFonts w:hint="eastAsia" w:ascii="黑体" w:eastAsia="黑体"/>
        <w:b w:val="0"/>
        <w:i w:val="0"/>
        <w:sz w:val="21"/>
      </w:rPr>
    </w:lvl>
    <w:lvl w:ilvl="4" w:tentative="0">
      <w:start w:val="1"/>
      <w:numFmt w:val="decimal"/>
      <w:pStyle w:val="93"/>
      <w:suff w:val="nothing"/>
      <w:lvlText w:val="%1.%2.%3.%4.%5　"/>
      <w:lvlJc w:val="left"/>
      <w:pPr>
        <w:ind w:left="0" w:firstLine="0"/>
      </w:pPr>
      <w:rPr>
        <w:rFonts w:hint="eastAsia" w:ascii="黑体" w:eastAsia="黑体"/>
        <w:b w:val="0"/>
        <w:i w:val="0"/>
        <w:sz w:val="21"/>
      </w:rPr>
    </w:lvl>
    <w:lvl w:ilvl="5" w:tentative="0">
      <w:start w:val="1"/>
      <w:numFmt w:val="decimal"/>
      <w:pStyle w:val="95"/>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9">
    <w:nsid w:val="69506ABF"/>
    <w:multiLevelType w:val="multilevel"/>
    <w:tmpl w:val="69506ABF"/>
    <w:lvl w:ilvl="0" w:tentative="0">
      <w:start w:val="1"/>
      <w:numFmt w:val="bullet"/>
      <w:pStyle w:val="199"/>
      <w:lvlText w:val=""/>
      <w:lvlJc w:val="left"/>
      <w:pPr>
        <w:ind w:left="851" w:firstLine="0"/>
      </w:pPr>
      <w:rPr>
        <w:rFonts w:hint="default" w:ascii="Wingdings" w:hAnsi="Wingdings"/>
        <w:color w:val="auto"/>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30">
    <w:nsid w:val="6CA41985"/>
    <w:multiLevelType w:val="multilevel"/>
    <w:tmpl w:val="6CA41985"/>
    <w:lvl w:ilvl="0" w:tentative="0">
      <w:start w:val="1"/>
      <w:numFmt w:val="decimal"/>
      <w:pStyle w:val="108"/>
      <w:lvlText w:val="%1)"/>
      <w:lvlJc w:val="left"/>
      <w:pPr>
        <w:tabs>
          <w:tab w:val="left" w:pos="823"/>
        </w:tabs>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1">
    <w:nsid w:val="6CE42AC1"/>
    <w:multiLevelType w:val="multilevel"/>
    <w:tmpl w:val="6CE42AC1"/>
    <w:lvl w:ilvl="0" w:tentative="0">
      <w:start w:val="1"/>
      <w:numFmt w:val="lowerLetter"/>
      <w:pStyle w:val="185"/>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2">
    <w:nsid w:val="6CEA2025"/>
    <w:multiLevelType w:val="multilevel"/>
    <w:tmpl w:val="6CEA2025"/>
    <w:lvl w:ilvl="0" w:tentative="0">
      <w:start w:val="1"/>
      <w:numFmt w:val="none"/>
      <w:pStyle w:val="164"/>
      <w:suff w:val="nothing"/>
      <w:lvlText w:val="%1"/>
      <w:lvlJc w:val="left"/>
      <w:pPr>
        <w:ind w:left="0" w:firstLine="0"/>
      </w:pPr>
      <w:rPr>
        <w:rFonts w:hint="eastAsia"/>
      </w:rPr>
    </w:lvl>
    <w:lvl w:ilvl="1" w:tentative="0">
      <w:start w:val="1"/>
      <w:numFmt w:val="decimal"/>
      <w:pStyle w:val="115"/>
      <w:suff w:val="nothing"/>
      <w:lvlText w:val="%1%2　"/>
      <w:lvlJc w:val="left"/>
      <w:pPr>
        <w:ind w:left="0" w:firstLine="0"/>
      </w:pPr>
      <w:rPr>
        <w:rFonts w:hint="eastAsia" w:ascii="黑体" w:eastAsia="黑体"/>
        <w:b w:val="0"/>
        <w:i w:val="0"/>
        <w:sz w:val="21"/>
      </w:rPr>
    </w:lvl>
    <w:lvl w:ilvl="2" w:tentative="0">
      <w:start w:val="1"/>
      <w:numFmt w:val="decimal"/>
      <w:pStyle w:val="116"/>
      <w:suff w:val="nothing"/>
      <w:lvlText w:val="%1%2.%3　"/>
      <w:lvlJc w:val="left"/>
      <w:pPr>
        <w:ind w:left="426"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3" w:tentative="0">
      <w:start w:val="1"/>
      <w:numFmt w:val="decimal"/>
      <w:pStyle w:val="76"/>
      <w:suff w:val="nothing"/>
      <w:lvlText w:val="%1%2.%3.%4　"/>
      <w:lvlJc w:val="left"/>
      <w:pPr>
        <w:ind w:left="710" w:firstLine="0"/>
      </w:pPr>
      <w:rPr>
        <w:rFonts w:hint="eastAsia" w:ascii="黑体" w:eastAsia="黑体"/>
        <w:b w:val="0"/>
        <w:i w:val="0"/>
        <w:sz w:val="21"/>
      </w:rPr>
    </w:lvl>
    <w:lvl w:ilvl="4" w:tentative="0">
      <w:start w:val="1"/>
      <w:numFmt w:val="decimal"/>
      <w:pStyle w:val="105"/>
      <w:suff w:val="nothing"/>
      <w:lvlText w:val="%1%2.%3.%4.%5　"/>
      <w:lvlJc w:val="left"/>
      <w:pPr>
        <w:ind w:left="0" w:firstLine="0"/>
      </w:pPr>
      <w:rPr>
        <w:rFonts w:hint="eastAsia" w:ascii="黑体" w:eastAsia="黑体"/>
        <w:b w:val="0"/>
        <w:i w:val="0"/>
        <w:sz w:val="21"/>
      </w:rPr>
    </w:lvl>
    <w:lvl w:ilvl="5" w:tentative="0">
      <w:start w:val="1"/>
      <w:numFmt w:val="decimal"/>
      <w:pStyle w:val="109"/>
      <w:suff w:val="nothing"/>
      <w:lvlText w:val="%1%2.%3.%4.%5.%6　"/>
      <w:lvlJc w:val="left"/>
      <w:pPr>
        <w:ind w:left="0" w:firstLine="0"/>
      </w:pPr>
      <w:rPr>
        <w:rFonts w:hint="eastAsia" w:ascii="黑体" w:eastAsia="黑体"/>
        <w:b w:val="0"/>
        <w:i w:val="0"/>
        <w:sz w:val="21"/>
      </w:rPr>
    </w:lvl>
    <w:lvl w:ilvl="6" w:tentative="0">
      <w:start w:val="1"/>
      <w:numFmt w:val="decimal"/>
      <w:pStyle w:val="114"/>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33">
    <w:nsid w:val="6DBF04F4"/>
    <w:multiLevelType w:val="multilevel"/>
    <w:tmpl w:val="6DBF04F4"/>
    <w:lvl w:ilvl="0" w:tentative="0">
      <w:start w:val="1"/>
      <w:numFmt w:val="none"/>
      <w:pStyle w:val="191"/>
      <w:lvlText w:val="%1注："/>
      <w:lvlJc w:val="left"/>
      <w:pPr>
        <w:ind w:left="737" w:hanging="374"/>
      </w:pPr>
      <w:rPr>
        <w:rFonts w:hint="eastAsia" w:asci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34">
    <w:nsid w:val="6DF35F19"/>
    <w:multiLevelType w:val="multilevel"/>
    <w:tmpl w:val="6DF35F19"/>
    <w:lvl w:ilvl="0" w:tentative="0">
      <w:start w:val="1"/>
      <w:numFmt w:val="decimal"/>
      <w:pStyle w:val="126"/>
      <w:suff w:val="nothing"/>
      <w:lvlText w:val="Tabl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35">
    <w:nsid w:val="76933334"/>
    <w:multiLevelType w:val="multilevel"/>
    <w:tmpl w:val="76933334"/>
    <w:lvl w:ilvl="0" w:tentative="0">
      <w:start w:val="1"/>
      <w:numFmt w:val="none"/>
      <w:pStyle w:val="151"/>
      <w:lvlText w:val="%1——"/>
      <w:lvlJc w:val="left"/>
      <w:pPr>
        <w:tabs>
          <w:tab w:val="left" w:pos="330"/>
        </w:tabs>
        <w:ind w:left="948"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4"/>
  </w:num>
  <w:num w:numId="2">
    <w:abstractNumId w:val="32"/>
  </w:num>
  <w:num w:numId="3">
    <w:abstractNumId w:val="9"/>
  </w:num>
  <w:num w:numId="4">
    <w:abstractNumId w:val="28"/>
  </w:num>
  <w:num w:numId="5">
    <w:abstractNumId w:val="23"/>
  </w:num>
  <w:num w:numId="6">
    <w:abstractNumId w:val="18"/>
  </w:num>
  <w:num w:numId="7">
    <w:abstractNumId w:val="12"/>
  </w:num>
  <w:num w:numId="8">
    <w:abstractNumId w:val="7"/>
  </w:num>
  <w:num w:numId="9">
    <w:abstractNumId w:val="13"/>
  </w:num>
  <w:num w:numId="10">
    <w:abstractNumId w:val="21"/>
  </w:num>
  <w:num w:numId="11">
    <w:abstractNumId w:val="30"/>
  </w:num>
  <w:num w:numId="12">
    <w:abstractNumId w:val="15"/>
  </w:num>
  <w:num w:numId="13">
    <w:abstractNumId w:val="16"/>
  </w:num>
  <w:num w:numId="14">
    <w:abstractNumId w:val="11"/>
  </w:num>
  <w:num w:numId="15">
    <w:abstractNumId w:val="24"/>
  </w:num>
  <w:num w:numId="16">
    <w:abstractNumId w:val="26"/>
  </w:num>
  <w:num w:numId="17">
    <w:abstractNumId w:val="22"/>
  </w:num>
  <w:num w:numId="18">
    <w:abstractNumId w:val="34"/>
  </w:num>
  <w:num w:numId="19">
    <w:abstractNumId w:val="20"/>
  </w:num>
  <w:num w:numId="20">
    <w:abstractNumId w:val="5"/>
  </w:num>
  <w:num w:numId="21">
    <w:abstractNumId w:val="14"/>
  </w:num>
  <w:num w:numId="22">
    <w:abstractNumId w:val="35"/>
  </w:num>
  <w:num w:numId="23">
    <w:abstractNumId w:val="25"/>
  </w:num>
  <w:num w:numId="24">
    <w:abstractNumId w:val="10"/>
  </w:num>
  <w:num w:numId="25">
    <w:abstractNumId w:val="31"/>
  </w:num>
  <w:num w:numId="26">
    <w:abstractNumId w:val="33"/>
  </w:num>
  <w:num w:numId="27">
    <w:abstractNumId w:val="6"/>
  </w:num>
  <w:num w:numId="28">
    <w:abstractNumId w:val="8"/>
  </w:num>
  <w:num w:numId="29">
    <w:abstractNumId w:val="19"/>
  </w:num>
  <w:num w:numId="30">
    <w:abstractNumId w:val="29"/>
  </w:num>
  <w:num w:numId="31">
    <w:abstractNumId w:val="27"/>
  </w:num>
  <w:num w:numId="32">
    <w:abstractNumId w:val="3"/>
  </w:num>
  <w:num w:numId="3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7"/>
  </w:num>
  <w:num w:numId="35">
    <w:abstractNumId w:val="2"/>
  </w:num>
  <w:num w:numId="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dit="trackedChanges" w:enforcement="0"/>
  <w:defaultTabStop w:val="420"/>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ZjNzg1OWZiZmI2MmQ1MzZlZGZmM2U1YjYwOWM1MWQifQ=="/>
  </w:docVars>
  <w:rsids>
    <w:rsidRoot w:val="00247CAB"/>
    <w:rsid w:val="0000040A"/>
    <w:rsid w:val="00000A94"/>
    <w:rsid w:val="00001972"/>
    <w:rsid w:val="00001D9A"/>
    <w:rsid w:val="000071F8"/>
    <w:rsid w:val="00007B3A"/>
    <w:rsid w:val="000107E0"/>
    <w:rsid w:val="00011FDE"/>
    <w:rsid w:val="00012FFD"/>
    <w:rsid w:val="00014162"/>
    <w:rsid w:val="00014340"/>
    <w:rsid w:val="00016A9C"/>
    <w:rsid w:val="00016AFF"/>
    <w:rsid w:val="00022184"/>
    <w:rsid w:val="00022762"/>
    <w:rsid w:val="000238E0"/>
    <w:rsid w:val="000249DB"/>
    <w:rsid w:val="0002595E"/>
    <w:rsid w:val="000303C3"/>
    <w:rsid w:val="000331D3"/>
    <w:rsid w:val="000346A5"/>
    <w:rsid w:val="000356FB"/>
    <w:rsid w:val="000359C3"/>
    <w:rsid w:val="00035A7D"/>
    <w:rsid w:val="00037571"/>
    <w:rsid w:val="0004249A"/>
    <w:rsid w:val="0004279A"/>
    <w:rsid w:val="00043282"/>
    <w:rsid w:val="00044286"/>
    <w:rsid w:val="00047F28"/>
    <w:rsid w:val="000503AA"/>
    <w:rsid w:val="000506A1"/>
    <w:rsid w:val="000515DD"/>
    <w:rsid w:val="0005265A"/>
    <w:rsid w:val="000539DD"/>
    <w:rsid w:val="00053BD3"/>
    <w:rsid w:val="000556ED"/>
    <w:rsid w:val="00055FE2"/>
    <w:rsid w:val="0005616F"/>
    <w:rsid w:val="00057A75"/>
    <w:rsid w:val="00060C2E"/>
    <w:rsid w:val="00061033"/>
    <w:rsid w:val="000619E9"/>
    <w:rsid w:val="000622D4"/>
    <w:rsid w:val="0006357D"/>
    <w:rsid w:val="00067F1E"/>
    <w:rsid w:val="00071CC0"/>
    <w:rsid w:val="00073C8C"/>
    <w:rsid w:val="00077243"/>
    <w:rsid w:val="00077B64"/>
    <w:rsid w:val="00080A1C"/>
    <w:rsid w:val="00082317"/>
    <w:rsid w:val="00082FC8"/>
    <w:rsid w:val="00083D2C"/>
    <w:rsid w:val="00086AA1"/>
    <w:rsid w:val="00087A77"/>
    <w:rsid w:val="00090CA6"/>
    <w:rsid w:val="00092B8A"/>
    <w:rsid w:val="00092FB0"/>
    <w:rsid w:val="000934C5"/>
    <w:rsid w:val="00093D25"/>
    <w:rsid w:val="00094D73"/>
    <w:rsid w:val="00096D63"/>
    <w:rsid w:val="000A0B60"/>
    <w:rsid w:val="000A0EB8"/>
    <w:rsid w:val="000A19FC"/>
    <w:rsid w:val="000A296B"/>
    <w:rsid w:val="000A3A67"/>
    <w:rsid w:val="000A7311"/>
    <w:rsid w:val="000B060F"/>
    <w:rsid w:val="000B1592"/>
    <w:rsid w:val="000B1FF2"/>
    <w:rsid w:val="000B2103"/>
    <w:rsid w:val="000B3A7E"/>
    <w:rsid w:val="000B3CDA"/>
    <w:rsid w:val="000B6A0B"/>
    <w:rsid w:val="000C0F6C"/>
    <w:rsid w:val="000C11DB"/>
    <w:rsid w:val="000C13A2"/>
    <w:rsid w:val="000C1611"/>
    <w:rsid w:val="000C2D01"/>
    <w:rsid w:val="000C2FBD"/>
    <w:rsid w:val="000C3E10"/>
    <w:rsid w:val="000C4B41"/>
    <w:rsid w:val="000C57D6"/>
    <w:rsid w:val="000C7666"/>
    <w:rsid w:val="000D0A9C"/>
    <w:rsid w:val="000D177A"/>
    <w:rsid w:val="000D1795"/>
    <w:rsid w:val="000D329A"/>
    <w:rsid w:val="000D4B9C"/>
    <w:rsid w:val="000D4EB6"/>
    <w:rsid w:val="000D710D"/>
    <w:rsid w:val="000D753B"/>
    <w:rsid w:val="000D7D5D"/>
    <w:rsid w:val="000E4C9E"/>
    <w:rsid w:val="000E5B97"/>
    <w:rsid w:val="000E6FD7"/>
    <w:rsid w:val="000F06E1"/>
    <w:rsid w:val="000F0E3C"/>
    <w:rsid w:val="000F19D5"/>
    <w:rsid w:val="000F2E41"/>
    <w:rsid w:val="000F2F59"/>
    <w:rsid w:val="000F4AEA"/>
    <w:rsid w:val="000F6501"/>
    <w:rsid w:val="000F67E9"/>
    <w:rsid w:val="001016A7"/>
    <w:rsid w:val="0010249D"/>
    <w:rsid w:val="00104926"/>
    <w:rsid w:val="001064C0"/>
    <w:rsid w:val="00113B1E"/>
    <w:rsid w:val="0011711C"/>
    <w:rsid w:val="00117745"/>
    <w:rsid w:val="00124E4F"/>
    <w:rsid w:val="001260B7"/>
    <w:rsid w:val="001265CB"/>
    <w:rsid w:val="001321C6"/>
    <w:rsid w:val="001325C4"/>
    <w:rsid w:val="00133010"/>
    <w:rsid w:val="001337A1"/>
    <w:rsid w:val="001338EE"/>
    <w:rsid w:val="00133AAE"/>
    <w:rsid w:val="00135323"/>
    <w:rsid w:val="001356C4"/>
    <w:rsid w:val="00141114"/>
    <w:rsid w:val="00142969"/>
    <w:rsid w:val="001457E7"/>
    <w:rsid w:val="00145D9D"/>
    <w:rsid w:val="001461BE"/>
    <w:rsid w:val="00146388"/>
    <w:rsid w:val="001529E5"/>
    <w:rsid w:val="00153C7E"/>
    <w:rsid w:val="00155351"/>
    <w:rsid w:val="00156B25"/>
    <w:rsid w:val="00156E1A"/>
    <w:rsid w:val="00157B55"/>
    <w:rsid w:val="001642FA"/>
    <w:rsid w:val="001649EB"/>
    <w:rsid w:val="00164BAF"/>
    <w:rsid w:val="00164FA8"/>
    <w:rsid w:val="00165065"/>
    <w:rsid w:val="00165434"/>
    <w:rsid w:val="0016580B"/>
    <w:rsid w:val="00165F49"/>
    <w:rsid w:val="00166B88"/>
    <w:rsid w:val="0016770A"/>
    <w:rsid w:val="00170804"/>
    <w:rsid w:val="001708E9"/>
    <w:rsid w:val="00171E7F"/>
    <w:rsid w:val="00172756"/>
    <w:rsid w:val="0017340B"/>
    <w:rsid w:val="00173FB1"/>
    <w:rsid w:val="00175459"/>
    <w:rsid w:val="00176DFD"/>
    <w:rsid w:val="001852C9"/>
    <w:rsid w:val="00185D48"/>
    <w:rsid w:val="00187E6D"/>
    <w:rsid w:val="00190087"/>
    <w:rsid w:val="001913C4"/>
    <w:rsid w:val="001918FA"/>
    <w:rsid w:val="0019348F"/>
    <w:rsid w:val="00193A07"/>
    <w:rsid w:val="00194C95"/>
    <w:rsid w:val="00195C34"/>
    <w:rsid w:val="001A0403"/>
    <w:rsid w:val="001A11E8"/>
    <w:rsid w:val="001A1A53"/>
    <w:rsid w:val="001A234A"/>
    <w:rsid w:val="001A25F9"/>
    <w:rsid w:val="001A54FB"/>
    <w:rsid w:val="001A764C"/>
    <w:rsid w:val="001B06E8"/>
    <w:rsid w:val="001B438E"/>
    <w:rsid w:val="001B71D0"/>
    <w:rsid w:val="001B71EE"/>
    <w:rsid w:val="001C04A8"/>
    <w:rsid w:val="001C2C03"/>
    <w:rsid w:val="001C42F7"/>
    <w:rsid w:val="001C49E5"/>
    <w:rsid w:val="001C5BEE"/>
    <w:rsid w:val="001C680C"/>
    <w:rsid w:val="001C7FEA"/>
    <w:rsid w:val="001D0499"/>
    <w:rsid w:val="001D0BBE"/>
    <w:rsid w:val="001D0ED4"/>
    <w:rsid w:val="001D1285"/>
    <w:rsid w:val="001D1C53"/>
    <w:rsid w:val="001D212F"/>
    <w:rsid w:val="001D29D7"/>
    <w:rsid w:val="001D2DE7"/>
    <w:rsid w:val="001D411C"/>
    <w:rsid w:val="001D5290"/>
    <w:rsid w:val="001E1B6A"/>
    <w:rsid w:val="001E2484"/>
    <w:rsid w:val="001E3CC4"/>
    <w:rsid w:val="001E4882"/>
    <w:rsid w:val="001E612B"/>
    <w:rsid w:val="001E73AB"/>
    <w:rsid w:val="001F092D"/>
    <w:rsid w:val="001F143A"/>
    <w:rsid w:val="001F1605"/>
    <w:rsid w:val="001F2508"/>
    <w:rsid w:val="001F4816"/>
    <w:rsid w:val="001F487F"/>
    <w:rsid w:val="001F5D2F"/>
    <w:rsid w:val="001F69B4"/>
    <w:rsid w:val="001F77C7"/>
    <w:rsid w:val="00200183"/>
    <w:rsid w:val="00200619"/>
    <w:rsid w:val="0020107D"/>
    <w:rsid w:val="00202AA4"/>
    <w:rsid w:val="002031F7"/>
    <w:rsid w:val="002040E6"/>
    <w:rsid w:val="0020527B"/>
    <w:rsid w:val="00210B15"/>
    <w:rsid w:val="00212109"/>
    <w:rsid w:val="002142EA"/>
    <w:rsid w:val="002204BB"/>
    <w:rsid w:val="00221B79"/>
    <w:rsid w:val="00221C6B"/>
    <w:rsid w:val="002234F8"/>
    <w:rsid w:val="002253A1"/>
    <w:rsid w:val="00225CF8"/>
    <w:rsid w:val="0022794E"/>
    <w:rsid w:val="00233D64"/>
    <w:rsid w:val="002347C2"/>
    <w:rsid w:val="0023482A"/>
    <w:rsid w:val="002359CB"/>
    <w:rsid w:val="002375D9"/>
    <w:rsid w:val="00243540"/>
    <w:rsid w:val="00244612"/>
    <w:rsid w:val="0024497B"/>
    <w:rsid w:val="0024515B"/>
    <w:rsid w:val="00245B34"/>
    <w:rsid w:val="00246021"/>
    <w:rsid w:val="0024666E"/>
    <w:rsid w:val="00247CAB"/>
    <w:rsid w:val="00247F52"/>
    <w:rsid w:val="00250B25"/>
    <w:rsid w:val="00250BBE"/>
    <w:rsid w:val="0025194F"/>
    <w:rsid w:val="00254E7C"/>
    <w:rsid w:val="0025750E"/>
    <w:rsid w:val="0026148A"/>
    <w:rsid w:val="00262388"/>
    <w:rsid w:val="00262696"/>
    <w:rsid w:val="002643C3"/>
    <w:rsid w:val="00264A0C"/>
    <w:rsid w:val="002655E0"/>
    <w:rsid w:val="00267E6A"/>
    <w:rsid w:val="00267EF4"/>
    <w:rsid w:val="00270CB8"/>
    <w:rsid w:val="00272B08"/>
    <w:rsid w:val="002732D7"/>
    <w:rsid w:val="00276EB2"/>
    <w:rsid w:val="0028034A"/>
    <w:rsid w:val="00281BB8"/>
    <w:rsid w:val="00281E9E"/>
    <w:rsid w:val="00285170"/>
    <w:rsid w:val="00285361"/>
    <w:rsid w:val="00292D60"/>
    <w:rsid w:val="00294D34"/>
    <w:rsid w:val="00294E3B"/>
    <w:rsid w:val="00296193"/>
    <w:rsid w:val="00296C66"/>
    <w:rsid w:val="00296EBE"/>
    <w:rsid w:val="002974E3"/>
    <w:rsid w:val="00297E71"/>
    <w:rsid w:val="002A084B"/>
    <w:rsid w:val="002A1260"/>
    <w:rsid w:val="002A1589"/>
    <w:rsid w:val="002A1608"/>
    <w:rsid w:val="002A25DC"/>
    <w:rsid w:val="002A3AAB"/>
    <w:rsid w:val="002A4CEA"/>
    <w:rsid w:val="002A5977"/>
    <w:rsid w:val="002A5A13"/>
    <w:rsid w:val="002A7F44"/>
    <w:rsid w:val="002B0C40"/>
    <w:rsid w:val="002B0E66"/>
    <w:rsid w:val="002B1966"/>
    <w:rsid w:val="002B3020"/>
    <w:rsid w:val="002B3C2B"/>
    <w:rsid w:val="002B3E74"/>
    <w:rsid w:val="002B4508"/>
    <w:rsid w:val="002B5555"/>
    <w:rsid w:val="002B5779"/>
    <w:rsid w:val="002B7332"/>
    <w:rsid w:val="002B7F51"/>
    <w:rsid w:val="002C09E7"/>
    <w:rsid w:val="002C1B28"/>
    <w:rsid w:val="002C38CD"/>
    <w:rsid w:val="002C3F07"/>
    <w:rsid w:val="002C5278"/>
    <w:rsid w:val="002C6F7F"/>
    <w:rsid w:val="002C7472"/>
    <w:rsid w:val="002C7EBB"/>
    <w:rsid w:val="002D06C1"/>
    <w:rsid w:val="002D42B5"/>
    <w:rsid w:val="002D4F1A"/>
    <w:rsid w:val="002D6EC6"/>
    <w:rsid w:val="002D79AC"/>
    <w:rsid w:val="002D7D6B"/>
    <w:rsid w:val="002E039D"/>
    <w:rsid w:val="002E4D5A"/>
    <w:rsid w:val="002E4F89"/>
    <w:rsid w:val="002E54EA"/>
    <w:rsid w:val="002E618E"/>
    <w:rsid w:val="002E6326"/>
    <w:rsid w:val="002F00FA"/>
    <w:rsid w:val="002F16B3"/>
    <w:rsid w:val="002F30E0"/>
    <w:rsid w:val="002F316C"/>
    <w:rsid w:val="002F35E4"/>
    <w:rsid w:val="002F3730"/>
    <w:rsid w:val="002F38E1"/>
    <w:rsid w:val="002F7AF6"/>
    <w:rsid w:val="00300E63"/>
    <w:rsid w:val="00302047"/>
    <w:rsid w:val="00302754"/>
    <w:rsid w:val="00302F5F"/>
    <w:rsid w:val="0030441D"/>
    <w:rsid w:val="00304BDE"/>
    <w:rsid w:val="00305270"/>
    <w:rsid w:val="00306063"/>
    <w:rsid w:val="0030724F"/>
    <w:rsid w:val="00310213"/>
    <w:rsid w:val="00312076"/>
    <w:rsid w:val="00313B85"/>
    <w:rsid w:val="00314BDF"/>
    <w:rsid w:val="00316FFE"/>
    <w:rsid w:val="00317988"/>
    <w:rsid w:val="003221B4"/>
    <w:rsid w:val="00322E62"/>
    <w:rsid w:val="00324EDD"/>
    <w:rsid w:val="003332D8"/>
    <w:rsid w:val="00336C64"/>
    <w:rsid w:val="00337162"/>
    <w:rsid w:val="0034194F"/>
    <w:rsid w:val="00344605"/>
    <w:rsid w:val="003474AA"/>
    <w:rsid w:val="00350D1D"/>
    <w:rsid w:val="00352C83"/>
    <w:rsid w:val="00355940"/>
    <w:rsid w:val="003615D2"/>
    <w:rsid w:val="00362428"/>
    <w:rsid w:val="0036429C"/>
    <w:rsid w:val="0036448A"/>
    <w:rsid w:val="00364A53"/>
    <w:rsid w:val="003654CB"/>
    <w:rsid w:val="00365F86"/>
    <w:rsid w:val="00365F87"/>
    <w:rsid w:val="003705F4"/>
    <w:rsid w:val="00370D58"/>
    <w:rsid w:val="00371316"/>
    <w:rsid w:val="00375D6F"/>
    <w:rsid w:val="00376713"/>
    <w:rsid w:val="003773BE"/>
    <w:rsid w:val="00381815"/>
    <w:rsid w:val="003819AF"/>
    <w:rsid w:val="003820E9"/>
    <w:rsid w:val="00382DE7"/>
    <w:rsid w:val="00384421"/>
    <w:rsid w:val="00384FFC"/>
    <w:rsid w:val="00385A58"/>
    <w:rsid w:val="003872FC"/>
    <w:rsid w:val="00387ADC"/>
    <w:rsid w:val="00390020"/>
    <w:rsid w:val="003903D6"/>
    <w:rsid w:val="003906E5"/>
    <w:rsid w:val="00390EE6"/>
    <w:rsid w:val="0039118F"/>
    <w:rsid w:val="00392AD7"/>
    <w:rsid w:val="00392C1E"/>
    <w:rsid w:val="003938D9"/>
    <w:rsid w:val="00394376"/>
    <w:rsid w:val="003943FF"/>
    <w:rsid w:val="003974EB"/>
    <w:rsid w:val="00397CC5"/>
    <w:rsid w:val="003A03C3"/>
    <w:rsid w:val="003A07A6"/>
    <w:rsid w:val="003A1582"/>
    <w:rsid w:val="003A2D07"/>
    <w:rsid w:val="003A4077"/>
    <w:rsid w:val="003A71A4"/>
    <w:rsid w:val="003B067F"/>
    <w:rsid w:val="003B09AD"/>
    <w:rsid w:val="003B09D9"/>
    <w:rsid w:val="003B1F18"/>
    <w:rsid w:val="003B49E1"/>
    <w:rsid w:val="003B5352"/>
    <w:rsid w:val="003B5BF0"/>
    <w:rsid w:val="003B60BF"/>
    <w:rsid w:val="003B6BE3"/>
    <w:rsid w:val="003B7A89"/>
    <w:rsid w:val="003C010C"/>
    <w:rsid w:val="003C0A6C"/>
    <w:rsid w:val="003C0BB3"/>
    <w:rsid w:val="003C439B"/>
    <w:rsid w:val="003C5A43"/>
    <w:rsid w:val="003D0519"/>
    <w:rsid w:val="003D0924"/>
    <w:rsid w:val="003D0FF6"/>
    <w:rsid w:val="003D262C"/>
    <w:rsid w:val="003D62FB"/>
    <w:rsid w:val="003D6651"/>
    <w:rsid w:val="003D6D61"/>
    <w:rsid w:val="003E091D"/>
    <w:rsid w:val="003E1C53"/>
    <w:rsid w:val="003E2A69"/>
    <w:rsid w:val="003E2D49"/>
    <w:rsid w:val="003E2FD4"/>
    <w:rsid w:val="003E49F6"/>
    <w:rsid w:val="003F0841"/>
    <w:rsid w:val="003F1A86"/>
    <w:rsid w:val="003F23D3"/>
    <w:rsid w:val="003F3F08"/>
    <w:rsid w:val="003F49F1"/>
    <w:rsid w:val="003F6272"/>
    <w:rsid w:val="003F761C"/>
    <w:rsid w:val="00400E72"/>
    <w:rsid w:val="00401400"/>
    <w:rsid w:val="00404869"/>
    <w:rsid w:val="00405884"/>
    <w:rsid w:val="004076E9"/>
    <w:rsid w:val="00407D39"/>
    <w:rsid w:val="00410A4B"/>
    <w:rsid w:val="00413EB4"/>
    <w:rsid w:val="0041477A"/>
    <w:rsid w:val="004167A3"/>
    <w:rsid w:val="00416824"/>
    <w:rsid w:val="00420EEE"/>
    <w:rsid w:val="0042379D"/>
    <w:rsid w:val="00425498"/>
    <w:rsid w:val="00426A8B"/>
    <w:rsid w:val="0043228F"/>
    <w:rsid w:val="00432DAA"/>
    <w:rsid w:val="00433507"/>
    <w:rsid w:val="00434305"/>
    <w:rsid w:val="004347D3"/>
    <w:rsid w:val="0043533B"/>
    <w:rsid w:val="00435DF7"/>
    <w:rsid w:val="0044083F"/>
    <w:rsid w:val="00441AE7"/>
    <w:rsid w:val="0044297D"/>
    <w:rsid w:val="00445574"/>
    <w:rsid w:val="004467FB"/>
    <w:rsid w:val="00446CF4"/>
    <w:rsid w:val="00451CC2"/>
    <w:rsid w:val="00452D6B"/>
    <w:rsid w:val="00454484"/>
    <w:rsid w:val="0045517B"/>
    <w:rsid w:val="0045548B"/>
    <w:rsid w:val="00460E15"/>
    <w:rsid w:val="004612A4"/>
    <w:rsid w:val="00463B77"/>
    <w:rsid w:val="00463C7B"/>
    <w:rsid w:val="004644A6"/>
    <w:rsid w:val="004659BD"/>
    <w:rsid w:val="00466C7D"/>
    <w:rsid w:val="00470775"/>
    <w:rsid w:val="004746B1"/>
    <w:rsid w:val="0047583F"/>
    <w:rsid w:val="00477EA2"/>
    <w:rsid w:val="004809C9"/>
    <w:rsid w:val="00484936"/>
    <w:rsid w:val="00485853"/>
    <w:rsid w:val="00485C89"/>
    <w:rsid w:val="00486BE3"/>
    <w:rsid w:val="004905E4"/>
    <w:rsid w:val="00490A89"/>
    <w:rsid w:val="00490AB4"/>
    <w:rsid w:val="00492F02"/>
    <w:rsid w:val="004939AE"/>
    <w:rsid w:val="00496487"/>
    <w:rsid w:val="00497130"/>
    <w:rsid w:val="004A12DF"/>
    <w:rsid w:val="004A1BA8"/>
    <w:rsid w:val="004A4B57"/>
    <w:rsid w:val="004A5EE1"/>
    <w:rsid w:val="004A63FA"/>
    <w:rsid w:val="004B0736"/>
    <w:rsid w:val="004B2701"/>
    <w:rsid w:val="004B2E1B"/>
    <w:rsid w:val="004B3E93"/>
    <w:rsid w:val="004C1FBC"/>
    <w:rsid w:val="004C3F1D"/>
    <w:rsid w:val="004C458D"/>
    <w:rsid w:val="004C7556"/>
    <w:rsid w:val="004C7E9D"/>
    <w:rsid w:val="004C7F67"/>
    <w:rsid w:val="004D076D"/>
    <w:rsid w:val="004D0EF1"/>
    <w:rsid w:val="004D2253"/>
    <w:rsid w:val="004D36C7"/>
    <w:rsid w:val="004D4406"/>
    <w:rsid w:val="004D70CD"/>
    <w:rsid w:val="004D7C42"/>
    <w:rsid w:val="004E0465"/>
    <w:rsid w:val="004E127B"/>
    <w:rsid w:val="004E1C0A"/>
    <w:rsid w:val="004E30C5"/>
    <w:rsid w:val="004E4AA5"/>
    <w:rsid w:val="004E4AEE"/>
    <w:rsid w:val="004E59E3"/>
    <w:rsid w:val="004E67C0"/>
    <w:rsid w:val="004E77C6"/>
    <w:rsid w:val="004F391A"/>
    <w:rsid w:val="004F3CFB"/>
    <w:rsid w:val="004F6456"/>
    <w:rsid w:val="004F696E"/>
    <w:rsid w:val="004F6C71"/>
    <w:rsid w:val="00501139"/>
    <w:rsid w:val="00502BEA"/>
    <w:rsid w:val="0050363E"/>
    <w:rsid w:val="005039BC"/>
    <w:rsid w:val="005043BB"/>
    <w:rsid w:val="00504A3D"/>
    <w:rsid w:val="00505767"/>
    <w:rsid w:val="0050583E"/>
    <w:rsid w:val="005073F0"/>
    <w:rsid w:val="00510A7B"/>
    <w:rsid w:val="00512F6E"/>
    <w:rsid w:val="00513038"/>
    <w:rsid w:val="00514174"/>
    <w:rsid w:val="00514DF9"/>
    <w:rsid w:val="00516088"/>
    <w:rsid w:val="00516B0B"/>
    <w:rsid w:val="005220EC"/>
    <w:rsid w:val="00523461"/>
    <w:rsid w:val="00523F95"/>
    <w:rsid w:val="00524529"/>
    <w:rsid w:val="00524D65"/>
    <w:rsid w:val="00525B16"/>
    <w:rsid w:val="0052672C"/>
    <w:rsid w:val="00527746"/>
    <w:rsid w:val="00533D04"/>
    <w:rsid w:val="00534804"/>
    <w:rsid w:val="00534BDF"/>
    <w:rsid w:val="0053527F"/>
    <w:rsid w:val="0053536B"/>
    <w:rsid w:val="005354EA"/>
    <w:rsid w:val="00535EC4"/>
    <w:rsid w:val="00535ED9"/>
    <w:rsid w:val="0053692B"/>
    <w:rsid w:val="00541853"/>
    <w:rsid w:val="005419A8"/>
    <w:rsid w:val="00543BDA"/>
    <w:rsid w:val="00543D07"/>
    <w:rsid w:val="005441CC"/>
    <w:rsid w:val="005463B6"/>
    <w:rsid w:val="005479DA"/>
    <w:rsid w:val="00547BCC"/>
    <w:rsid w:val="0055013B"/>
    <w:rsid w:val="00551F6F"/>
    <w:rsid w:val="00553976"/>
    <w:rsid w:val="00555044"/>
    <w:rsid w:val="00561475"/>
    <w:rsid w:val="00562B25"/>
    <w:rsid w:val="0056487B"/>
    <w:rsid w:val="00564FB9"/>
    <w:rsid w:val="00570183"/>
    <w:rsid w:val="00573D9E"/>
    <w:rsid w:val="005760BA"/>
    <w:rsid w:val="005801E3"/>
    <w:rsid w:val="00581802"/>
    <w:rsid w:val="005828EC"/>
    <w:rsid w:val="005836A8"/>
    <w:rsid w:val="00584262"/>
    <w:rsid w:val="00586630"/>
    <w:rsid w:val="00587ADD"/>
    <w:rsid w:val="0059050A"/>
    <w:rsid w:val="00596160"/>
    <w:rsid w:val="0059649B"/>
    <w:rsid w:val="005966E2"/>
    <w:rsid w:val="00597007"/>
    <w:rsid w:val="005A0966"/>
    <w:rsid w:val="005A11B7"/>
    <w:rsid w:val="005A260B"/>
    <w:rsid w:val="005A4A1B"/>
    <w:rsid w:val="005A7830"/>
    <w:rsid w:val="005A7FCE"/>
    <w:rsid w:val="005B0F3F"/>
    <w:rsid w:val="005B4903"/>
    <w:rsid w:val="005B51CE"/>
    <w:rsid w:val="005B5885"/>
    <w:rsid w:val="005B5CD7"/>
    <w:rsid w:val="005B6CF6"/>
    <w:rsid w:val="005B7422"/>
    <w:rsid w:val="005C2461"/>
    <w:rsid w:val="005C29B8"/>
    <w:rsid w:val="005C5F21"/>
    <w:rsid w:val="005C7156"/>
    <w:rsid w:val="005D0C75"/>
    <w:rsid w:val="005D210F"/>
    <w:rsid w:val="005D2F96"/>
    <w:rsid w:val="005D4171"/>
    <w:rsid w:val="005D447B"/>
    <w:rsid w:val="005D59A0"/>
    <w:rsid w:val="005D6A95"/>
    <w:rsid w:val="005D6B2C"/>
    <w:rsid w:val="005D6D9C"/>
    <w:rsid w:val="005E2335"/>
    <w:rsid w:val="005E34CA"/>
    <w:rsid w:val="005E3C18"/>
    <w:rsid w:val="005E7881"/>
    <w:rsid w:val="005E78E0"/>
    <w:rsid w:val="005F0D9C"/>
    <w:rsid w:val="005F0E9B"/>
    <w:rsid w:val="005F284E"/>
    <w:rsid w:val="005F49F1"/>
    <w:rsid w:val="006002B2"/>
    <w:rsid w:val="006015CE"/>
    <w:rsid w:val="00601E2D"/>
    <w:rsid w:val="006032CF"/>
    <w:rsid w:val="00604784"/>
    <w:rsid w:val="00606419"/>
    <w:rsid w:val="006065B0"/>
    <w:rsid w:val="00607D29"/>
    <w:rsid w:val="00612952"/>
    <w:rsid w:val="00614CC1"/>
    <w:rsid w:val="00615A9D"/>
    <w:rsid w:val="006162BE"/>
    <w:rsid w:val="00616BBB"/>
    <w:rsid w:val="00617387"/>
    <w:rsid w:val="00617F19"/>
    <w:rsid w:val="006252D8"/>
    <w:rsid w:val="006259BC"/>
    <w:rsid w:val="0062636B"/>
    <w:rsid w:val="006267E4"/>
    <w:rsid w:val="00626922"/>
    <w:rsid w:val="006307DC"/>
    <w:rsid w:val="00632182"/>
    <w:rsid w:val="00632AE0"/>
    <w:rsid w:val="00633C17"/>
    <w:rsid w:val="00636E3E"/>
    <w:rsid w:val="006379F7"/>
    <w:rsid w:val="00637E4D"/>
    <w:rsid w:val="00640620"/>
    <w:rsid w:val="00641A1F"/>
    <w:rsid w:val="00645904"/>
    <w:rsid w:val="00645C98"/>
    <w:rsid w:val="006473B7"/>
    <w:rsid w:val="00651ACB"/>
    <w:rsid w:val="00651C47"/>
    <w:rsid w:val="006526EF"/>
    <w:rsid w:val="00652AB2"/>
    <w:rsid w:val="00654EC0"/>
    <w:rsid w:val="0065525B"/>
    <w:rsid w:val="00655D4F"/>
    <w:rsid w:val="00661A6A"/>
    <w:rsid w:val="006629E1"/>
    <w:rsid w:val="006640E5"/>
    <w:rsid w:val="006646F1"/>
    <w:rsid w:val="00664929"/>
    <w:rsid w:val="00664F62"/>
    <w:rsid w:val="006655E1"/>
    <w:rsid w:val="00666F43"/>
    <w:rsid w:val="00672060"/>
    <w:rsid w:val="00672BFD"/>
    <w:rsid w:val="006767DB"/>
    <w:rsid w:val="006770F4"/>
    <w:rsid w:val="00677A84"/>
    <w:rsid w:val="00677C79"/>
    <w:rsid w:val="00677E1B"/>
    <w:rsid w:val="0068026D"/>
    <w:rsid w:val="00680A27"/>
    <w:rsid w:val="006815C5"/>
    <w:rsid w:val="006816A4"/>
    <w:rsid w:val="006819B8"/>
    <w:rsid w:val="006836D3"/>
    <w:rsid w:val="00683A5F"/>
    <w:rsid w:val="006840A6"/>
    <w:rsid w:val="006850CD"/>
    <w:rsid w:val="00685AAB"/>
    <w:rsid w:val="00685F7A"/>
    <w:rsid w:val="00692B9C"/>
    <w:rsid w:val="006A07AA"/>
    <w:rsid w:val="006A25E5"/>
    <w:rsid w:val="006A2B46"/>
    <w:rsid w:val="006A336D"/>
    <w:rsid w:val="006A37B9"/>
    <w:rsid w:val="006A4B46"/>
    <w:rsid w:val="006A7841"/>
    <w:rsid w:val="006B0F56"/>
    <w:rsid w:val="006B2672"/>
    <w:rsid w:val="006B4F71"/>
    <w:rsid w:val="006B54BF"/>
    <w:rsid w:val="006B5F44"/>
    <w:rsid w:val="006B5F90"/>
    <w:rsid w:val="006B62E4"/>
    <w:rsid w:val="006B6A0D"/>
    <w:rsid w:val="006B6CB4"/>
    <w:rsid w:val="006B75FA"/>
    <w:rsid w:val="006C1187"/>
    <w:rsid w:val="006C1BBA"/>
    <w:rsid w:val="006C2079"/>
    <w:rsid w:val="006C3CB5"/>
    <w:rsid w:val="006C5A62"/>
    <w:rsid w:val="006C5D68"/>
    <w:rsid w:val="006C6976"/>
    <w:rsid w:val="006C6DD0"/>
    <w:rsid w:val="006D04EA"/>
    <w:rsid w:val="006D16C4"/>
    <w:rsid w:val="006D293A"/>
    <w:rsid w:val="006D3E96"/>
    <w:rsid w:val="006D4515"/>
    <w:rsid w:val="006D4BB1"/>
    <w:rsid w:val="006D4BEA"/>
    <w:rsid w:val="006D6593"/>
    <w:rsid w:val="006E3753"/>
    <w:rsid w:val="006E4623"/>
    <w:rsid w:val="006E5DEE"/>
    <w:rsid w:val="006E671D"/>
    <w:rsid w:val="006F03A8"/>
    <w:rsid w:val="006F0ED7"/>
    <w:rsid w:val="006F2ACA"/>
    <w:rsid w:val="006F2ADC"/>
    <w:rsid w:val="006F2BFE"/>
    <w:rsid w:val="006F31E9"/>
    <w:rsid w:val="006F6284"/>
    <w:rsid w:val="007002C5"/>
    <w:rsid w:val="007016AC"/>
    <w:rsid w:val="00704387"/>
    <w:rsid w:val="00707252"/>
    <w:rsid w:val="00707669"/>
    <w:rsid w:val="00711CBA"/>
    <w:rsid w:val="00711FB5"/>
    <w:rsid w:val="00712A01"/>
    <w:rsid w:val="00714F58"/>
    <w:rsid w:val="00715452"/>
    <w:rsid w:val="00722FBF"/>
    <w:rsid w:val="00722FC2"/>
    <w:rsid w:val="00725949"/>
    <w:rsid w:val="00727FA2"/>
    <w:rsid w:val="007322D9"/>
    <w:rsid w:val="00732BC0"/>
    <w:rsid w:val="00736D17"/>
    <w:rsid w:val="0073720F"/>
    <w:rsid w:val="0073757A"/>
    <w:rsid w:val="00737796"/>
    <w:rsid w:val="0074165C"/>
    <w:rsid w:val="00742A9D"/>
    <w:rsid w:val="007431ED"/>
    <w:rsid w:val="007432CA"/>
    <w:rsid w:val="007439EB"/>
    <w:rsid w:val="00743CB4"/>
    <w:rsid w:val="00743F0A"/>
    <w:rsid w:val="007444E8"/>
    <w:rsid w:val="0074548E"/>
    <w:rsid w:val="00745773"/>
    <w:rsid w:val="00746800"/>
    <w:rsid w:val="007501A8"/>
    <w:rsid w:val="00750EE1"/>
    <w:rsid w:val="00752753"/>
    <w:rsid w:val="00752B4D"/>
    <w:rsid w:val="00755402"/>
    <w:rsid w:val="00756B26"/>
    <w:rsid w:val="00756EDF"/>
    <w:rsid w:val="00757045"/>
    <w:rsid w:val="00757270"/>
    <w:rsid w:val="007609A2"/>
    <w:rsid w:val="00763F78"/>
    <w:rsid w:val="00765C43"/>
    <w:rsid w:val="00765EFB"/>
    <w:rsid w:val="0076663A"/>
    <w:rsid w:val="00766D81"/>
    <w:rsid w:val="007671CA"/>
    <w:rsid w:val="00767C61"/>
    <w:rsid w:val="0077008A"/>
    <w:rsid w:val="00773C1F"/>
    <w:rsid w:val="00774A7C"/>
    <w:rsid w:val="00774C76"/>
    <w:rsid w:val="00774DA4"/>
    <w:rsid w:val="00776599"/>
    <w:rsid w:val="00777B6D"/>
    <w:rsid w:val="0078114B"/>
    <w:rsid w:val="00781B92"/>
    <w:rsid w:val="00781DD2"/>
    <w:rsid w:val="00783ECF"/>
    <w:rsid w:val="0078413A"/>
    <w:rsid w:val="00790271"/>
    <w:rsid w:val="00790CA3"/>
    <w:rsid w:val="00790E01"/>
    <w:rsid w:val="00793218"/>
    <w:rsid w:val="007959E8"/>
    <w:rsid w:val="00795E9C"/>
    <w:rsid w:val="007A0521"/>
    <w:rsid w:val="007A061E"/>
    <w:rsid w:val="007A2E12"/>
    <w:rsid w:val="007A3475"/>
    <w:rsid w:val="007A41C8"/>
    <w:rsid w:val="007A54CE"/>
    <w:rsid w:val="007A6118"/>
    <w:rsid w:val="007A62C1"/>
    <w:rsid w:val="007A6E43"/>
    <w:rsid w:val="007A7FFA"/>
    <w:rsid w:val="007B04EB"/>
    <w:rsid w:val="007B0D4F"/>
    <w:rsid w:val="007B44E3"/>
    <w:rsid w:val="007B5A3D"/>
    <w:rsid w:val="007B5B95"/>
    <w:rsid w:val="007B68EA"/>
    <w:rsid w:val="007B6A1F"/>
    <w:rsid w:val="007B709D"/>
    <w:rsid w:val="007C099C"/>
    <w:rsid w:val="007C19E8"/>
    <w:rsid w:val="007C2D89"/>
    <w:rsid w:val="007C4593"/>
    <w:rsid w:val="007C5309"/>
    <w:rsid w:val="007C6069"/>
    <w:rsid w:val="007D06C4"/>
    <w:rsid w:val="007D0BCD"/>
    <w:rsid w:val="007D1352"/>
    <w:rsid w:val="007D2508"/>
    <w:rsid w:val="007D346A"/>
    <w:rsid w:val="007D6518"/>
    <w:rsid w:val="007D76BD"/>
    <w:rsid w:val="007E0BF1"/>
    <w:rsid w:val="007E1844"/>
    <w:rsid w:val="007E3EBD"/>
    <w:rsid w:val="007F0ED8"/>
    <w:rsid w:val="007F0F63"/>
    <w:rsid w:val="007F4954"/>
    <w:rsid w:val="007F75CE"/>
    <w:rsid w:val="00800333"/>
    <w:rsid w:val="008013A4"/>
    <w:rsid w:val="008027CE"/>
    <w:rsid w:val="00802F42"/>
    <w:rsid w:val="00804383"/>
    <w:rsid w:val="00804601"/>
    <w:rsid w:val="00804BB7"/>
    <w:rsid w:val="00810257"/>
    <w:rsid w:val="008104F5"/>
    <w:rsid w:val="00811072"/>
    <w:rsid w:val="00811369"/>
    <w:rsid w:val="008144A8"/>
    <w:rsid w:val="00814E50"/>
    <w:rsid w:val="00815419"/>
    <w:rsid w:val="008163C8"/>
    <w:rsid w:val="00817325"/>
    <w:rsid w:val="008209E6"/>
    <w:rsid w:val="00823303"/>
    <w:rsid w:val="008233B2"/>
    <w:rsid w:val="008235B8"/>
    <w:rsid w:val="00823A9F"/>
    <w:rsid w:val="00823C85"/>
    <w:rsid w:val="00825138"/>
    <w:rsid w:val="00826257"/>
    <w:rsid w:val="008269DD"/>
    <w:rsid w:val="00830621"/>
    <w:rsid w:val="0083348C"/>
    <w:rsid w:val="008373D3"/>
    <w:rsid w:val="00840617"/>
    <w:rsid w:val="00842A47"/>
    <w:rsid w:val="00843C13"/>
    <w:rsid w:val="008454F8"/>
    <w:rsid w:val="00847AC3"/>
    <w:rsid w:val="00851342"/>
    <w:rsid w:val="0085173A"/>
    <w:rsid w:val="00851CF0"/>
    <w:rsid w:val="008603CE"/>
    <w:rsid w:val="008620FC"/>
    <w:rsid w:val="008627A5"/>
    <w:rsid w:val="00863E05"/>
    <w:rsid w:val="00865ACA"/>
    <w:rsid w:val="00865D28"/>
    <w:rsid w:val="00865F85"/>
    <w:rsid w:val="00867C10"/>
    <w:rsid w:val="00870439"/>
    <w:rsid w:val="00870CFB"/>
    <w:rsid w:val="00870DA1"/>
    <w:rsid w:val="00870EF9"/>
    <w:rsid w:val="00883F93"/>
    <w:rsid w:val="00884DB3"/>
    <w:rsid w:val="00885A9D"/>
    <w:rsid w:val="008864F6"/>
    <w:rsid w:val="00887F08"/>
    <w:rsid w:val="00890167"/>
    <w:rsid w:val="0089049D"/>
    <w:rsid w:val="008928C9"/>
    <w:rsid w:val="008938DC"/>
    <w:rsid w:val="00893FD1"/>
    <w:rsid w:val="00894836"/>
    <w:rsid w:val="00895172"/>
    <w:rsid w:val="00895680"/>
    <w:rsid w:val="00896DFF"/>
    <w:rsid w:val="0089762C"/>
    <w:rsid w:val="008A1893"/>
    <w:rsid w:val="008A38BE"/>
    <w:rsid w:val="008A769A"/>
    <w:rsid w:val="008B0C9C"/>
    <w:rsid w:val="008B166D"/>
    <w:rsid w:val="008B17F4"/>
    <w:rsid w:val="008B3615"/>
    <w:rsid w:val="008B4AC4"/>
    <w:rsid w:val="008B5011"/>
    <w:rsid w:val="008B50C8"/>
    <w:rsid w:val="008B5281"/>
    <w:rsid w:val="008B7E05"/>
    <w:rsid w:val="008C05EC"/>
    <w:rsid w:val="008C1797"/>
    <w:rsid w:val="008C219C"/>
    <w:rsid w:val="008C475E"/>
    <w:rsid w:val="008C5A84"/>
    <w:rsid w:val="008C619A"/>
    <w:rsid w:val="008C6AE5"/>
    <w:rsid w:val="008C6BC1"/>
    <w:rsid w:val="008D0CE8"/>
    <w:rsid w:val="008D2D1D"/>
    <w:rsid w:val="008D313A"/>
    <w:rsid w:val="008D453D"/>
    <w:rsid w:val="008D47C8"/>
    <w:rsid w:val="008D4888"/>
    <w:rsid w:val="008D53AD"/>
    <w:rsid w:val="008D562B"/>
    <w:rsid w:val="008D5733"/>
    <w:rsid w:val="008D622B"/>
    <w:rsid w:val="008D666C"/>
    <w:rsid w:val="008D7B54"/>
    <w:rsid w:val="008E0C9D"/>
    <w:rsid w:val="008E1648"/>
    <w:rsid w:val="008E1B3E"/>
    <w:rsid w:val="008E1E47"/>
    <w:rsid w:val="008E2319"/>
    <w:rsid w:val="008E4BB6"/>
    <w:rsid w:val="008E5198"/>
    <w:rsid w:val="008E5518"/>
    <w:rsid w:val="008E6A84"/>
    <w:rsid w:val="008F0CDC"/>
    <w:rsid w:val="008F17A3"/>
    <w:rsid w:val="008F1ED3"/>
    <w:rsid w:val="008F4C29"/>
    <w:rsid w:val="008F70BD"/>
    <w:rsid w:val="008F788F"/>
    <w:rsid w:val="008F7EA2"/>
    <w:rsid w:val="00902722"/>
    <w:rsid w:val="009027BC"/>
    <w:rsid w:val="00902803"/>
    <w:rsid w:val="009062E6"/>
    <w:rsid w:val="00907F59"/>
    <w:rsid w:val="00911BE5"/>
    <w:rsid w:val="00913CA9"/>
    <w:rsid w:val="009145AE"/>
    <w:rsid w:val="009146CE"/>
    <w:rsid w:val="00914CA7"/>
    <w:rsid w:val="00915C3E"/>
    <w:rsid w:val="009161A8"/>
    <w:rsid w:val="0091673D"/>
    <w:rsid w:val="009245F5"/>
    <w:rsid w:val="009249EC"/>
    <w:rsid w:val="00926C1B"/>
    <w:rsid w:val="009273B3"/>
    <w:rsid w:val="009305B5"/>
    <w:rsid w:val="00934C12"/>
    <w:rsid w:val="009414CC"/>
    <w:rsid w:val="009429D5"/>
    <w:rsid w:val="00942BF1"/>
    <w:rsid w:val="00943879"/>
    <w:rsid w:val="00945180"/>
    <w:rsid w:val="00945428"/>
    <w:rsid w:val="0094607B"/>
    <w:rsid w:val="009476C5"/>
    <w:rsid w:val="009518A2"/>
    <w:rsid w:val="00952C52"/>
    <w:rsid w:val="00953604"/>
    <w:rsid w:val="00954DE5"/>
    <w:rsid w:val="009610DC"/>
    <w:rsid w:val="00961490"/>
    <w:rsid w:val="0096381A"/>
    <w:rsid w:val="00965E04"/>
    <w:rsid w:val="009674AD"/>
    <w:rsid w:val="0097094E"/>
    <w:rsid w:val="00970CDC"/>
    <w:rsid w:val="009736AC"/>
    <w:rsid w:val="00977010"/>
    <w:rsid w:val="00977D02"/>
    <w:rsid w:val="009809BB"/>
    <w:rsid w:val="00981B2C"/>
    <w:rsid w:val="00982D22"/>
    <w:rsid w:val="0098364B"/>
    <w:rsid w:val="0098375B"/>
    <w:rsid w:val="00983BF9"/>
    <w:rsid w:val="00984EF4"/>
    <w:rsid w:val="009911AF"/>
    <w:rsid w:val="00991875"/>
    <w:rsid w:val="00991F92"/>
    <w:rsid w:val="00992985"/>
    <w:rsid w:val="00993889"/>
    <w:rsid w:val="0099551B"/>
    <w:rsid w:val="0099785E"/>
    <w:rsid w:val="00997BF1"/>
    <w:rsid w:val="009A089C"/>
    <w:rsid w:val="009A118E"/>
    <w:rsid w:val="009A21CD"/>
    <w:rsid w:val="009A225C"/>
    <w:rsid w:val="009A278C"/>
    <w:rsid w:val="009A2BC2"/>
    <w:rsid w:val="009A3EEC"/>
    <w:rsid w:val="009A42C1"/>
    <w:rsid w:val="009A5429"/>
    <w:rsid w:val="009A72AD"/>
    <w:rsid w:val="009B09E0"/>
    <w:rsid w:val="009B0AEB"/>
    <w:rsid w:val="009B0BC5"/>
    <w:rsid w:val="009B1247"/>
    <w:rsid w:val="009B6029"/>
    <w:rsid w:val="009B6971"/>
    <w:rsid w:val="009B7091"/>
    <w:rsid w:val="009C0BFB"/>
    <w:rsid w:val="009C27F1"/>
    <w:rsid w:val="009C3152"/>
    <w:rsid w:val="009C4CFA"/>
    <w:rsid w:val="009C4EBD"/>
    <w:rsid w:val="009C5070"/>
    <w:rsid w:val="009D112C"/>
    <w:rsid w:val="009D47FA"/>
    <w:rsid w:val="009D50D2"/>
    <w:rsid w:val="009D6BCA"/>
    <w:rsid w:val="009E0F62"/>
    <w:rsid w:val="009E36A0"/>
    <w:rsid w:val="009E4A58"/>
    <w:rsid w:val="009E5A2D"/>
    <w:rsid w:val="009E5A4E"/>
    <w:rsid w:val="009E5AB2"/>
    <w:rsid w:val="009E6219"/>
    <w:rsid w:val="009E7E62"/>
    <w:rsid w:val="009F03B3"/>
    <w:rsid w:val="00A01757"/>
    <w:rsid w:val="00A0285B"/>
    <w:rsid w:val="00A028C0"/>
    <w:rsid w:val="00A02BAE"/>
    <w:rsid w:val="00A04773"/>
    <w:rsid w:val="00A066A2"/>
    <w:rsid w:val="00A06A6B"/>
    <w:rsid w:val="00A07E47"/>
    <w:rsid w:val="00A129D0"/>
    <w:rsid w:val="00A12C33"/>
    <w:rsid w:val="00A138BA"/>
    <w:rsid w:val="00A14C8E"/>
    <w:rsid w:val="00A153D9"/>
    <w:rsid w:val="00A15F09"/>
    <w:rsid w:val="00A16311"/>
    <w:rsid w:val="00A169B6"/>
    <w:rsid w:val="00A2271D"/>
    <w:rsid w:val="00A236E5"/>
    <w:rsid w:val="00A237D5"/>
    <w:rsid w:val="00A24F7B"/>
    <w:rsid w:val="00A25505"/>
    <w:rsid w:val="00A30EFC"/>
    <w:rsid w:val="00A31984"/>
    <w:rsid w:val="00A32D73"/>
    <w:rsid w:val="00A32ECE"/>
    <w:rsid w:val="00A3367B"/>
    <w:rsid w:val="00A3597D"/>
    <w:rsid w:val="00A35D87"/>
    <w:rsid w:val="00A40091"/>
    <w:rsid w:val="00A4030F"/>
    <w:rsid w:val="00A41C79"/>
    <w:rsid w:val="00A41CB5"/>
    <w:rsid w:val="00A42CDF"/>
    <w:rsid w:val="00A4452E"/>
    <w:rsid w:val="00A4472C"/>
    <w:rsid w:val="00A44E69"/>
    <w:rsid w:val="00A4661E"/>
    <w:rsid w:val="00A47253"/>
    <w:rsid w:val="00A478AE"/>
    <w:rsid w:val="00A541A4"/>
    <w:rsid w:val="00A55B4D"/>
    <w:rsid w:val="00A55BD6"/>
    <w:rsid w:val="00A55CC1"/>
    <w:rsid w:val="00A55D50"/>
    <w:rsid w:val="00A57142"/>
    <w:rsid w:val="00A57F2A"/>
    <w:rsid w:val="00A648CD"/>
    <w:rsid w:val="00A6537A"/>
    <w:rsid w:val="00A67866"/>
    <w:rsid w:val="00A70B07"/>
    <w:rsid w:val="00A723F8"/>
    <w:rsid w:val="00A747C4"/>
    <w:rsid w:val="00A77CCB"/>
    <w:rsid w:val="00A83D8D"/>
    <w:rsid w:val="00A8446B"/>
    <w:rsid w:val="00A8473F"/>
    <w:rsid w:val="00A862D6"/>
    <w:rsid w:val="00A8715E"/>
    <w:rsid w:val="00A9295B"/>
    <w:rsid w:val="00A9295C"/>
    <w:rsid w:val="00A93B09"/>
    <w:rsid w:val="00A952D7"/>
    <w:rsid w:val="00A95595"/>
    <w:rsid w:val="00A963F7"/>
    <w:rsid w:val="00A96AD8"/>
    <w:rsid w:val="00AA052C"/>
    <w:rsid w:val="00AA1E45"/>
    <w:rsid w:val="00AA236D"/>
    <w:rsid w:val="00AA2A24"/>
    <w:rsid w:val="00AA4286"/>
    <w:rsid w:val="00AA456B"/>
    <w:rsid w:val="00AA4A5D"/>
    <w:rsid w:val="00AA57F5"/>
    <w:rsid w:val="00AA672E"/>
    <w:rsid w:val="00AA6EC9"/>
    <w:rsid w:val="00AA7818"/>
    <w:rsid w:val="00AB0C88"/>
    <w:rsid w:val="00AB6309"/>
    <w:rsid w:val="00AB6C5F"/>
    <w:rsid w:val="00AB7129"/>
    <w:rsid w:val="00AC27A6"/>
    <w:rsid w:val="00AC30F7"/>
    <w:rsid w:val="00AC3A5A"/>
    <w:rsid w:val="00AC4D95"/>
    <w:rsid w:val="00AC5322"/>
    <w:rsid w:val="00AC5DF4"/>
    <w:rsid w:val="00AD0AEF"/>
    <w:rsid w:val="00AD11B7"/>
    <w:rsid w:val="00AD1A94"/>
    <w:rsid w:val="00AD1C05"/>
    <w:rsid w:val="00AD2278"/>
    <w:rsid w:val="00AD3367"/>
    <w:rsid w:val="00AD4126"/>
    <w:rsid w:val="00AD421C"/>
    <w:rsid w:val="00AD44FA"/>
    <w:rsid w:val="00AD6321"/>
    <w:rsid w:val="00AE070A"/>
    <w:rsid w:val="00AE101C"/>
    <w:rsid w:val="00AE245D"/>
    <w:rsid w:val="00AE46CF"/>
    <w:rsid w:val="00AF0C18"/>
    <w:rsid w:val="00AF18E7"/>
    <w:rsid w:val="00AF1C6B"/>
    <w:rsid w:val="00AF47C5"/>
    <w:rsid w:val="00AF5398"/>
    <w:rsid w:val="00AF5906"/>
    <w:rsid w:val="00B049AF"/>
    <w:rsid w:val="00B0507A"/>
    <w:rsid w:val="00B056C2"/>
    <w:rsid w:val="00B07242"/>
    <w:rsid w:val="00B10534"/>
    <w:rsid w:val="00B113DB"/>
    <w:rsid w:val="00B11AAD"/>
    <w:rsid w:val="00B11D8A"/>
    <w:rsid w:val="00B12981"/>
    <w:rsid w:val="00B147DD"/>
    <w:rsid w:val="00B156FD"/>
    <w:rsid w:val="00B1630C"/>
    <w:rsid w:val="00B21F61"/>
    <w:rsid w:val="00B23045"/>
    <w:rsid w:val="00B24774"/>
    <w:rsid w:val="00B261F1"/>
    <w:rsid w:val="00B265BC"/>
    <w:rsid w:val="00B31FB1"/>
    <w:rsid w:val="00B329E3"/>
    <w:rsid w:val="00B33952"/>
    <w:rsid w:val="00B33C5E"/>
    <w:rsid w:val="00B342F4"/>
    <w:rsid w:val="00B34369"/>
    <w:rsid w:val="00B34DC2"/>
    <w:rsid w:val="00B378E5"/>
    <w:rsid w:val="00B42663"/>
    <w:rsid w:val="00B4346D"/>
    <w:rsid w:val="00B440F4"/>
    <w:rsid w:val="00B447A5"/>
    <w:rsid w:val="00B4654C"/>
    <w:rsid w:val="00B47293"/>
    <w:rsid w:val="00B52120"/>
    <w:rsid w:val="00B54ABC"/>
    <w:rsid w:val="00B56FBE"/>
    <w:rsid w:val="00B61EEF"/>
    <w:rsid w:val="00B62B58"/>
    <w:rsid w:val="00B65149"/>
    <w:rsid w:val="00B66567"/>
    <w:rsid w:val="00B66F52"/>
    <w:rsid w:val="00B66FE5"/>
    <w:rsid w:val="00B675B7"/>
    <w:rsid w:val="00B70E46"/>
    <w:rsid w:val="00B72880"/>
    <w:rsid w:val="00B758BF"/>
    <w:rsid w:val="00B77AA8"/>
    <w:rsid w:val="00B80253"/>
    <w:rsid w:val="00B827A6"/>
    <w:rsid w:val="00B82EB5"/>
    <w:rsid w:val="00B831CE"/>
    <w:rsid w:val="00B84D8B"/>
    <w:rsid w:val="00B86677"/>
    <w:rsid w:val="00B87131"/>
    <w:rsid w:val="00B9127B"/>
    <w:rsid w:val="00B91566"/>
    <w:rsid w:val="00B924AD"/>
    <w:rsid w:val="00B92DD1"/>
    <w:rsid w:val="00B9320C"/>
    <w:rsid w:val="00B939B1"/>
    <w:rsid w:val="00B94CA6"/>
    <w:rsid w:val="00B96D40"/>
    <w:rsid w:val="00B97386"/>
    <w:rsid w:val="00B97CC0"/>
    <w:rsid w:val="00BA263B"/>
    <w:rsid w:val="00BA362B"/>
    <w:rsid w:val="00BA42B2"/>
    <w:rsid w:val="00BA50E4"/>
    <w:rsid w:val="00BA58D4"/>
    <w:rsid w:val="00BA5B9E"/>
    <w:rsid w:val="00BA7C9A"/>
    <w:rsid w:val="00BB333C"/>
    <w:rsid w:val="00BB5F8F"/>
    <w:rsid w:val="00BB657A"/>
    <w:rsid w:val="00BC1A4E"/>
    <w:rsid w:val="00BC2C98"/>
    <w:rsid w:val="00BC2E43"/>
    <w:rsid w:val="00BC5DC7"/>
    <w:rsid w:val="00BC68E6"/>
    <w:rsid w:val="00BC6B8B"/>
    <w:rsid w:val="00BC73D8"/>
    <w:rsid w:val="00BD1FCA"/>
    <w:rsid w:val="00BD27A7"/>
    <w:rsid w:val="00BD52D7"/>
    <w:rsid w:val="00BD5AD2"/>
    <w:rsid w:val="00BD6082"/>
    <w:rsid w:val="00BE22F3"/>
    <w:rsid w:val="00BE49EE"/>
    <w:rsid w:val="00BE4B00"/>
    <w:rsid w:val="00BE5B52"/>
    <w:rsid w:val="00BE7B8D"/>
    <w:rsid w:val="00BF0993"/>
    <w:rsid w:val="00BF10A9"/>
    <w:rsid w:val="00BF1703"/>
    <w:rsid w:val="00BF17C1"/>
    <w:rsid w:val="00BF1DF6"/>
    <w:rsid w:val="00BF231C"/>
    <w:rsid w:val="00BF51E5"/>
    <w:rsid w:val="00BF5F44"/>
    <w:rsid w:val="00BF74A6"/>
    <w:rsid w:val="00C013AD"/>
    <w:rsid w:val="00C04904"/>
    <w:rsid w:val="00C056B3"/>
    <w:rsid w:val="00C103E5"/>
    <w:rsid w:val="00C1087C"/>
    <w:rsid w:val="00C11FDF"/>
    <w:rsid w:val="00C13319"/>
    <w:rsid w:val="00C133A9"/>
    <w:rsid w:val="00C13EE9"/>
    <w:rsid w:val="00C14665"/>
    <w:rsid w:val="00C14D87"/>
    <w:rsid w:val="00C21540"/>
    <w:rsid w:val="00C21906"/>
    <w:rsid w:val="00C21BFA"/>
    <w:rsid w:val="00C21DAF"/>
    <w:rsid w:val="00C24C8D"/>
    <w:rsid w:val="00C257D1"/>
    <w:rsid w:val="00C25FE2"/>
    <w:rsid w:val="00C268B1"/>
    <w:rsid w:val="00C26B53"/>
    <w:rsid w:val="00C279B2"/>
    <w:rsid w:val="00C303E3"/>
    <w:rsid w:val="00C32DF7"/>
    <w:rsid w:val="00C33E50"/>
    <w:rsid w:val="00C34C20"/>
    <w:rsid w:val="00C34E33"/>
    <w:rsid w:val="00C355E0"/>
    <w:rsid w:val="00C35A3E"/>
    <w:rsid w:val="00C36B92"/>
    <w:rsid w:val="00C42130"/>
    <w:rsid w:val="00C423A4"/>
    <w:rsid w:val="00C44B94"/>
    <w:rsid w:val="00C44BF5"/>
    <w:rsid w:val="00C50D7D"/>
    <w:rsid w:val="00C538F2"/>
    <w:rsid w:val="00C55232"/>
    <w:rsid w:val="00C5529B"/>
    <w:rsid w:val="00C553A4"/>
    <w:rsid w:val="00C55A06"/>
    <w:rsid w:val="00C55D03"/>
    <w:rsid w:val="00C601BC"/>
    <w:rsid w:val="00C60F00"/>
    <w:rsid w:val="00C610EE"/>
    <w:rsid w:val="00C61C38"/>
    <w:rsid w:val="00C62300"/>
    <w:rsid w:val="00C6329F"/>
    <w:rsid w:val="00C63340"/>
    <w:rsid w:val="00C643F9"/>
    <w:rsid w:val="00C648E3"/>
    <w:rsid w:val="00C64E95"/>
    <w:rsid w:val="00C655FD"/>
    <w:rsid w:val="00C65764"/>
    <w:rsid w:val="00C71372"/>
    <w:rsid w:val="00C72410"/>
    <w:rsid w:val="00C7287F"/>
    <w:rsid w:val="00C72F0E"/>
    <w:rsid w:val="00C740F8"/>
    <w:rsid w:val="00C80CB8"/>
    <w:rsid w:val="00C819F8"/>
    <w:rsid w:val="00C8248C"/>
    <w:rsid w:val="00C84E33"/>
    <w:rsid w:val="00C86D6F"/>
    <w:rsid w:val="00C905FC"/>
    <w:rsid w:val="00C92163"/>
    <w:rsid w:val="00C92D03"/>
    <w:rsid w:val="00C9319C"/>
    <w:rsid w:val="00C9435D"/>
    <w:rsid w:val="00C9517F"/>
    <w:rsid w:val="00C96741"/>
    <w:rsid w:val="00CA2D1B"/>
    <w:rsid w:val="00CA370C"/>
    <w:rsid w:val="00CA482B"/>
    <w:rsid w:val="00CA662A"/>
    <w:rsid w:val="00CA7AFD"/>
    <w:rsid w:val="00CA7C3C"/>
    <w:rsid w:val="00CA7EEA"/>
    <w:rsid w:val="00CB0189"/>
    <w:rsid w:val="00CB0BA2"/>
    <w:rsid w:val="00CB1A42"/>
    <w:rsid w:val="00CB1B0C"/>
    <w:rsid w:val="00CB2C0B"/>
    <w:rsid w:val="00CB38A4"/>
    <w:rsid w:val="00CB517D"/>
    <w:rsid w:val="00CB616A"/>
    <w:rsid w:val="00CC02B6"/>
    <w:rsid w:val="00CC038D"/>
    <w:rsid w:val="00CC39FF"/>
    <w:rsid w:val="00CC3C2F"/>
    <w:rsid w:val="00CC48FD"/>
    <w:rsid w:val="00CC4AC8"/>
    <w:rsid w:val="00CC5233"/>
    <w:rsid w:val="00CC5DE6"/>
    <w:rsid w:val="00CC6E4E"/>
    <w:rsid w:val="00CC6FE8"/>
    <w:rsid w:val="00CC7202"/>
    <w:rsid w:val="00CC7883"/>
    <w:rsid w:val="00CD2808"/>
    <w:rsid w:val="00CD28BF"/>
    <w:rsid w:val="00CD4092"/>
    <w:rsid w:val="00CD4A20"/>
    <w:rsid w:val="00CD50A1"/>
    <w:rsid w:val="00CD519E"/>
    <w:rsid w:val="00CE0C4F"/>
    <w:rsid w:val="00CE30EA"/>
    <w:rsid w:val="00CE52AA"/>
    <w:rsid w:val="00CF0462"/>
    <w:rsid w:val="00CF048A"/>
    <w:rsid w:val="00CF155A"/>
    <w:rsid w:val="00CF2947"/>
    <w:rsid w:val="00CF44B1"/>
    <w:rsid w:val="00CF686F"/>
    <w:rsid w:val="00CF6E60"/>
    <w:rsid w:val="00CF7BCA"/>
    <w:rsid w:val="00D008FD"/>
    <w:rsid w:val="00D0321C"/>
    <w:rsid w:val="00D035EC"/>
    <w:rsid w:val="00D06AB1"/>
    <w:rsid w:val="00D072ED"/>
    <w:rsid w:val="00D07A16"/>
    <w:rsid w:val="00D1067E"/>
    <w:rsid w:val="00D10F50"/>
    <w:rsid w:val="00D11272"/>
    <w:rsid w:val="00D126F5"/>
    <w:rsid w:val="00D1489E"/>
    <w:rsid w:val="00D1696D"/>
    <w:rsid w:val="00D16EC1"/>
    <w:rsid w:val="00D20737"/>
    <w:rsid w:val="00D207EB"/>
    <w:rsid w:val="00D21E81"/>
    <w:rsid w:val="00D223DE"/>
    <w:rsid w:val="00D25E37"/>
    <w:rsid w:val="00D2661A"/>
    <w:rsid w:val="00D27582"/>
    <w:rsid w:val="00D32719"/>
    <w:rsid w:val="00D33333"/>
    <w:rsid w:val="00D352A2"/>
    <w:rsid w:val="00D40A83"/>
    <w:rsid w:val="00D4162B"/>
    <w:rsid w:val="00D4514F"/>
    <w:rsid w:val="00D451E2"/>
    <w:rsid w:val="00D4545E"/>
    <w:rsid w:val="00D45E89"/>
    <w:rsid w:val="00D45E8D"/>
    <w:rsid w:val="00D4629B"/>
    <w:rsid w:val="00D466AE"/>
    <w:rsid w:val="00D4734F"/>
    <w:rsid w:val="00D51BF3"/>
    <w:rsid w:val="00D559F6"/>
    <w:rsid w:val="00D63276"/>
    <w:rsid w:val="00D66846"/>
    <w:rsid w:val="00D675FB"/>
    <w:rsid w:val="00D71F25"/>
    <w:rsid w:val="00D768C4"/>
    <w:rsid w:val="00D77031"/>
    <w:rsid w:val="00D84941"/>
    <w:rsid w:val="00D84FA1"/>
    <w:rsid w:val="00D851F0"/>
    <w:rsid w:val="00D86DB7"/>
    <w:rsid w:val="00D9148A"/>
    <w:rsid w:val="00D926D0"/>
    <w:rsid w:val="00D93030"/>
    <w:rsid w:val="00D950E1"/>
    <w:rsid w:val="00D952A6"/>
    <w:rsid w:val="00D97F99"/>
    <w:rsid w:val="00DA0F82"/>
    <w:rsid w:val="00DA19E7"/>
    <w:rsid w:val="00DA1E08"/>
    <w:rsid w:val="00DA24F8"/>
    <w:rsid w:val="00DA258E"/>
    <w:rsid w:val="00DA28E8"/>
    <w:rsid w:val="00DA38D3"/>
    <w:rsid w:val="00DA3932"/>
    <w:rsid w:val="00DA5035"/>
    <w:rsid w:val="00DA64F8"/>
    <w:rsid w:val="00DA6C15"/>
    <w:rsid w:val="00DA6ED6"/>
    <w:rsid w:val="00DA7370"/>
    <w:rsid w:val="00DB15BD"/>
    <w:rsid w:val="00DB1CE9"/>
    <w:rsid w:val="00DB38EE"/>
    <w:rsid w:val="00DB498B"/>
    <w:rsid w:val="00DB66CA"/>
    <w:rsid w:val="00DB6BCA"/>
    <w:rsid w:val="00DC0321"/>
    <w:rsid w:val="00DC0A60"/>
    <w:rsid w:val="00DC3067"/>
    <w:rsid w:val="00DC370B"/>
    <w:rsid w:val="00DC5B90"/>
    <w:rsid w:val="00DD00F2"/>
    <w:rsid w:val="00DD00FF"/>
    <w:rsid w:val="00DD0619"/>
    <w:rsid w:val="00DD07FB"/>
    <w:rsid w:val="00DD25C6"/>
    <w:rsid w:val="00DD2D4C"/>
    <w:rsid w:val="00DD54B0"/>
    <w:rsid w:val="00DD57EE"/>
    <w:rsid w:val="00DD6BCC"/>
    <w:rsid w:val="00DD72D7"/>
    <w:rsid w:val="00DE0A4B"/>
    <w:rsid w:val="00DE2341"/>
    <w:rsid w:val="00DE2410"/>
    <w:rsid w:val="00DE2939"/>
    <w:rsid w:val="00DE50D8"/>
    <w:rsid w:val="00DE51F0"/>
    <w:rsid w:val="00DE6E81"/>
    <w:rsid w:val="00DE703F"/>
    <w:rsid w:val="00DE7422"/>
    <w:rsid w:val="00DE7595"/>
    <w:rsid w:val="00DF15BE"/>
    <w:rsid w:val="00DF1961"/>
    <w:rsid w:val="00DF222C"/>
    <w:rsid w:val="00DF44DE"/>
    <w:rsid w:val="00DF6164"/>
    <w:rsid w:val="00E00247"/>
    <w:rsid w:val="00E01138"/>
    <w:rsid w:val="00E02DFB"/>
    <w:rsid w:val="00E030F9"/>
    <w:rsid w:val="00E0311A"/>
    <w:rsid w:val="00E03138"/>
    <w:rsid w:val="00E06404"/>
    <w:rsid w:val="00E11A85"/>
    <w:rsid w:val="00E12495"/>
    <w:rsid w:val="00E15CCD"/>
    <w:rsid w:val="00E202EF"/>
    <w:rsid w:val="00E20878"/>
    <w:rsid w:val="00E210B5"/>
    <w:rsid w:val="00E21A35"/>
    <w:rsid w:val="00E2552F"/>
    <w:rsid w:val="00E26EA5"/>
    <w:rsid w:val="00E3137A"/>
    <w:rsid w:val="00E314F1"/>
    <w:rsid w:val="00E323E9"/>
    <w:rsid w:val="00E32CCF"/>
    <w:rsid w:val="00E34A98"/>
    <w:rsid w:val="00E35D1E"/>
    <w:rsid w:val="00E364F9"/>
    <w:rsid w:val="00E365FA"/>
    <w:rsid w:val="00E36B19"/>
    <w:rsid w:val="00E372E7"/>
    <w:rsid w:val="00E40C94"/>
    <w:rsid w:val="00E414A3"/>
    <w:rsid w:val="00E44A83"/>
    <w:rsid w:val="00E478A9"/>
    <w:rsid w:val="00E502C1"/>
    <w:rsid w:val="00E502DD"/>
    <w:rsid w:val="00E50D3A"/>
    <w:rsid w:val="00E51387"/>
    <w:rsid w:val="00E51E68"/>
    <w:rsid w:val="00E52EFD"/>
    <w:rsid w:val="00E5408A"/>
    <w:rsid w:val="00E55B38"/>
    <w:rsid w:val="00E56800"/>
    <w:rsid w:val="00E60CD7"/>
    <w:rsid w:val="00E62FF9"/>
    <w:rsid w:val="00E635D6"/>
    <w:rsid w:val="00E639BC"/>
    <w:rsid w:val="00E664CC"/>
    <w:rsid w:val="00E70388"/>
    <w:rsid w:val="00E70F92"/>
    <w:rsid w:val="00E74C54"/>
    <w:rsid w:val="00E77A03"/>
    <w:rsid w:val="00E81103"/>
    <w:rsid w:val="00E822E8"/>
    <w:rsid w:val="00E82554"/>
    <w:rsid w:val="00E82606"/>
    <w:rsid w:val="00E846C8"/>
    <w:rsid w:val="00E84957"/>
    <w:rsid w:val="00E84A55"/>
    <w:rsid w:val="00E85BFF"/>
    <w:rsid w:val="00E87D98"/>
    <w:rsid w:val="00E90391"/>
    <w:rsid w:val="00E906C2"/>
    <w:rsid w:val="00E9311F"/>
    <w:rsid w:val="00E934D1"/>
    <w:rsid w:val="00E94AF0"/>
    <w:rsid w:val="00E95D13"/>
    <w:rsid w:val="00E95DD3"/>
    <w:rsid w:val="00E969D5"/>
    <w:rsid w:val="00EA1679"/>
    <w:rsid w:val="00EA58D1"/>
    <w:rsid w:val="00EA61BC"/>
    <w:rsid w:val="00EA681A"/>
    <w:rsid w:val="00EA735B"/>
    <w:rsid w:val="00EB1C7B"/>
    <w:rsid w:val="00EB1E69"/>
    <w:rsid w:val="00EB2086"/>
    <w:rsid w:val="00EB296C"/>
    <w:rsid w:val="00EB5EDF"/>
    <w:rsid w:val="00EB60FE"/>
    <w:rsid w:val="00EB74DB"/>
    <w:rsid w:val="00EC0A95"/>
    <w:rsid w:val="00EC27AA"/>
    <w:rsid w:val="00EC5359"/>
    <w:rsid w:val="00EC562A"/>
    <w:rsid w:val="00ED067A"/>
    <w:rsid w:val="00ED196C"/>
    <w:rsid w:val="00ED2B50"/>
    <w:rsid w:val="00ED6610"/>
    <w:rsid w:val="00ED7E30"/>
    <w:rsid w:val="00EE0134"/>
    <w:rsid w:val="00EE0350"/>
    <w:rsid w:val="00EE0719"/>
    <w:rsid w:val="00EE0E80"/>
    <w:rsid w:val="00EE3A74"/>
    <w:rsid w:val="00EE415D"/>
    <w:rsid w:val="00EE613F"/>
    <w:rsid w:val="00EE7295"/>
    <w:rsid w:val="00EE7869"/>
    <w:rsid w:val="00EF054A"/>
    <w:rsid w:val="00EF3235"/>
    <w:rsid w:val="00EF5C25"/>
    <w:rsid w:val="00EF7E72"/>
    <w:rsid w:val="00F00C4D"/>
    <w:rsid w:val="00F06D37"/>
    <w:rsid w:val="00F07B9D"/>
    <w:rsid w:val="00F11586"/>
    <w:rsid w:val="00F1183B"/>
    <w:rsid w:val="00F11C9F"/>
    <w:rsid w:val="00F12263"/>
    <w:rsid w:val="00F13EB8"/>
    <w:rsid w:val="00F1409D"/>
    <w:rsid w:val="00F14214"/>
    <w:rsid w:val="00F146BD"/>
    <w:rsid w:val="00F157A9"/>
    <w:rsid w:val="00F20327"/>
    <w:rsid w:val="00F23E9C"/>
    <w:rsid w:val="00F2427C"/>
    <w:rsid w:val="00F25BB6"/>
    <w:rsid w:val="00F26B7E"/>
    <w:rsid w:val="00F27A3B"/>
    <w:rsid w:val="00F33817"/>
    <w:rsid w:val="00F36E09"/>
    <w:rsid w:val="00F420D5"/>
    <w:rsid w:val="00F42721"/>
    <w:rsid w:val="00F43BCC"/>
    <w:rsid w:val="00F451EA"/>
    <w:rsid w:val="00F45447"/>
    <w:rsid w:val="00F456C6"/>
    <w:rsid w:val="00F4577B"/>
    <w:rsid w:val="00F46496"/>
    <w:rsid w:val="00F474D0"/>
    <w:rsid w:val="00F50179"/>
    <w:rsid w:val="00F53E3A"/>
    <w:rsid w:val="00F55228"/>
    <w:rsid w:val="00F56511"/>
    <w:rsid w:val="00F56A9D"/>
    <w:rsid w:val="00F6194E"/>
    <w:rsid w:val="00F623AC"/>
    <w:rsid w:val="00F6412A"/>
    <w:rsid w:val="00F65893"/>
    <w:rsid w:val="00F66A4A"/>
    <w:rsid w:val="00F71E22"/>
    <w:rsid w:val="00F72142"/>
    <w:rsid w:val="00F72AE7"/>
    <w:rsid w:val="00F80AED"/>
    <w:rsid w:val="00F81839"/>
    <w:rsid w:val="00F81EFD"/>
    <w:rsid w:val="00F82BA6"/>
    <w:rsid w:val="00F84934"/>
    <w:rsid w:val="00F84F1B"/>
    <w:rsid w:val="00F84FD0"/>
    <w:rsid w:val="00F859A8"/>
    <w:rsid w:val="00F873D7"/>
    <w:rsid w:val="00F9108B"/>
    <w:rsid w:val="00F91349"/>
    <w:rsid w:val="00F93A8A"/>
    <w:rsid w:val="00F94B89"/>
    <w:rsid w:val="00F95248"/>
    <w:rsid w:val="00F956A9"/>
    <w:rsid w:val="00F963ED"/>
    <w:rsid w:val="00F966CF"/>
    <w:rsid w:val="00F96CAE"/>
    <w:rsid w:val="00F97C99"/>
    <w:rsid w:val="00FA15C6"/>
    <w:rsid w:val="00FA4343"/>
    <w:rsid w:val="00FA662D"/>
    <w:rsid w:val="00FA73B1"/>
    <w:rsid w:val="00FB0CB9"/>
    <w:rsid w:val="00FB45F1"/>
    <w:rsid w:val="00FB4A72"/>
    <w:rsid w:val="00FB54E8"/>
    <w:rsid w:val="00FB7054"/>
    <w:rsid w:val="00FC17B7"/>
    <w:rsid w:val="00FC2CB7"/>
    <w:rsid w:val="00FC4090"/>
    <w:rsid w:val="00FC55B4"/>
    <w:rsid w:val="00FD00E6"/>
    <w:rsid w:val="00FD09A1"/>
    <w:rsid w:val="00FD2A7C"/>
    <w:rsid w:val="00FD2D11"/>
    <w:rsid w:val="00FD59EB"/>
    <w:rsid w:val="00FD7299"/>
    <w:rsid w:val="00FE1FBE"/>
    <w:rsid w:val="00FE3901"/>
    <w:rsid w:val="00FE3D4A"/>
    <w:rsid w:val="00FE4BCE"/>
    <w:rsid w:val="00FE54AE"/>
    <w:rsid w:val="00FE576A"/>
    <w:rsid w:val="00FE61CF"/>
    <w:rsid w:val="00FE7E79"/>
    <w:rsid w:val="00FF3E7D"/>
    <w:rsid w:val="00FF5B99"/>
    <w:rsid w:val="00FF6B05"/>
    <w:rsid w:val="00FF730C"/>
    <w:rsid w:val="00FF73F4"/>
    <w:rsid w:val="00FF7CE4"/>
    <w:rsid w:val="00FF7E39"/>
    <w:rsid w:val="010D7DD7"/>
    <w:rsid w:val="010F7FF3"/>
    <w:rsid w:val="01170C55"/>
    <w:rsid w:val="01260E98"/>
    <w:rsid w:val="012810B4"/>
    <w:rsid w:val="012A4E2C"/>
    <w:rsid w:val="013001FD"/>
    <w:rsid w:val="0131560C"/>
    <w:rsid w:val="013D4B60"/>
    <w:rsid w:val="01401F5A"/>
    <w:rsid w:val="014D28C9"/>
    <w:rsid w:val="016519C1"/>
    <w:rsid w:val="0186439C"/>
    <w:rsid w:val="01957529"/>
    <w:rsid w:val="01A22C15"/>
    <w:rsid w:val="01A249C3"/>
    <w:rsid w:val="01AC61B8"/>
    <w:rsid w:val="01AE5299"/>
    <w:rsid w:val="01B14C06"/>
    <w:rsid w:val="01E21263"/>
    <w:rsid w:val="01E44FDB"/>
    <w:rsid w:val="01E9478D"/>
    <w:rsid w:val="01F62F61"/>
    <w:rsid w:val="02013A6F"/>
    <w:rsid w:val="020D7B00"/>
    <w:rsid w:val="022E44A8"/>
    <w:rsid w:val="02393013"/>
    <w:rsid w:val="023A4BFB"/>
    <w:rsid w:val="02421D02"/>
    <w:rsid w:val="02511F45"/>
    <w:rsid w:val="02551A35"/>
    <w:rsid w:val="02572592"/>
    <w:rsid w:val="02684255"/>
    <w:rsid w:val="026E6F9B"/>
    <w:rsid w:val="02775E4F"/>
    <w:rsid w:val="027C5214"/>
    <w:rsid w:val="028C72E6"/>
    <w:rsid w:val="02BA3F8E"/>
    <w:rsid w:val="02C458C8"/>
    <w:rsid w:val="02DA1F3A"/>
    <w:rsid w:val="02DF39F5"/>
    <w:rsid w:val="02DF57A3"/>
    <w:rsid w:val="02EB05EB"/>
    <w:rsid w:val="02FC76B4"/>
    <w:rsid w:val="03007507"/>
    <w:rsid w:val="030357DB"/>
    <w:rsid w:val="032633D2"/>
    <w:rsid w:val="032E52AF"/>
    <w:rsid w:val="033E4BBF"/>
    <w:rsid w:val="034026E5"/>
    <w:rsid w:val="034D6BB0"/>
    <w:rsid w:val="035B751F"/>
    <w:rsid w:val="03624192"/>
    <w:rsid w:val="036A1510"/>
    <w:rsid w:val="037979A5"/>
    <w:rsid w:val="039119BF"/>
    <w:rsid w:val="03AC1B29"/>
    <w:rsid w:val="03C055D4"/>
    <w:rsid w:val="03DD6186"/>
    <w:rsid w:val="03ED7A63"/>
    <w:rsid w:val="03EE30C8"/>
    <w:rsid w:val="03F139E0"/>
    <w:rsid w:val="04014E76"/>
    <w:rsid w:val="04025BED"/>
    <w:rsid w:val="04105830"/>
    <w:rsid w:val="04117BDE"/>
    <w:rsid w:val="04185410"/>
    <w:rsid w:val="04215DA4"/>
    <w:rsid w:val="042C2C6A"/>
    <w:rsid w:val="043D3031"/>
    <w:rsid w:val="044955CA"/>
    <w:rsid w:val="046B19E4"/>
    <w:rsid w:val="048D195A"/>
    <w:rsid w:val="048E122E"/>
    <w:rsid w:val="048F16D5"/>
    <w:rsid w:val="049F51EA"/>
    <w:rsid w:val="04A647CA"/>
    <w:rsid w:val="04B92F3F"/>
    <w:rsid w:val="04C64E6C"/>
    <w:rsid w:val="04DC01EC"/>
    <w:rsid w:val="050B287F"/>
    <w:rsid w:val="050D2A9B"/>
    <w:rsid w:val="05157BA2"/>
    <w:rsid w:val="05177476"/>
    <w:rsid w:val="051B74CC"/>
    <w:rsid w:val="05216546"/>
    <w:rsid w:val="05322502"/>
    <w:rsid w:val="05590BF7"/>
    <w:rsid w:val="056A1C9B"/>
    <w:rsid w:val="056B12A7"/>
    <w:rsid w:val="05737E86"/>
    <w:rsid w:val="057A17B3"/>
    <w:rsid w:val="058541E9"/>
    <w:rsid w:val="058663AA"/>
    <w:rsid w:val="059565ED"/>
    <w:rsid w:val="05A86320"/>
    <w:rsid w:val="05AA0F47"/>
    <w:rsid w:val="05B4605F"/>
    <w:rsid w:val="05B66C8F"/>
    <w:rsid w:val="05B922DB"/>
    <w:rsid w:val="05DF3643"/>
    <w:rsid w:val="05ED6429"/>
    <w:rsid w:val="060379FA"/>
    <w:rsid w:val="061A5470"/>
    <w:rsid w:val="061F325C"/>
    <w:rsid w:val="06245DFC"/>
    <w:rsid w:val="06336531"/>
    <w:rsid w:val="063A78C0"/>
    <w:rsid w:val="06473D8B"/>
    <w:rsid w:val="0659586C"/>
    <w:rsid w:val="06930D7E"/>
    <w:rsid w:val="06976AC0"/>
    <w:rsid w:val="06B402B2"/>
    <w:rsid w:val="06C947A0"/>
    <w:rsid w:val="06CC4290"/>
    <w:rsid w:val="06D0351A"/>
    <w:rsid w:val="06D15E3D"/>
    <w:rsid w:val="06F7755F"/>
    <w:rsid w:val="070B5576"/>
    <w:rsid w:val="070C6F51"/>
    <w:rsid w:val="070E48A8"/>
    <w:rsid w:val="071A3688"/>
    <w:rsid w:val="072107C3"/>
    <w:rsid w:val="07235331"/>
    <w:rsid w:val="0727710E"/>
    <w:rsid w:val="07460AAC"/>
    <w:rsid w:val="07487DBA"/>
    <w:rsid w:val="0754675F"/>
    <w:rsid w:val="075E313A"/>
    <w:rsid w:val="07612C2A"/>
    <w:rsid w:val="077010BF"/>
    <w:rsid w:val="078E1545"/>
    <w:rsid w:val="079B25E0"/>
    <w:rsid w:val="07A70F85"/>
    <w:rsid w:val="07C338E5"/>
    <w:rsid w:val="07C733D5"/>
    <w:rsid w:val="07D16002"/>
    <w:rsid w:val="07DA5D7D"/>
    <w:rsid w:val="07E61381"/>
    <w:rsid w:val="07F10452"/>
    <w:rsid w:val="07F97307"/>
    <w:rsid w:val="08183C31"/>
    <w:rsid w:val="081B727D"/>
    <w:rsid w:val="08290134"/>
    <w:rsid w:val="082A74C0"/>
    <w:rsid w:val="082D6FB0"/>
    <w:rsid w:val="083D5445"/>
    <w:rsid w:val="085C6B48"/>
    <w:rsid w:val="08626286"/>
    <w:rsid w:val="0873424D"/>
    <w:rsid w:val="088A653C"/>
    <w:rsid w:val="088C1F29"/>
    <w:rsid w:val="08962DA7"/>
    <w:rsid w:val="08A41020"/>
    <w:rsid w:val="08BB280E"/>
    <w:rsid w:val="08C16C15"/>
    <w:rsid w:val="08FA1588"/>
    <w:rsid w:val="08FA3336"/>
    <w:rsid w:val="090A38F7"/>
    <w:rsid w:val="091F0FEF"/>
    <w:rsid w:val="0926412B"/>
    <w:rsid w:val="093E76C7"/>
    <w:rsid w:val="09570789"/>
    <w:rsid w:val="0958005D"/>
    <w:rsid w:val="096F6417"/>
    <w:rsid w:val="09743D04"/>
    <w:rsid w:val="09864BCA"/>
    <w:rsid w:val="09880942"/>
    <w:rsid w:val="09896468"/>
    <w:rsid w:val="099C619C"/>
    <w:rsid w:val="09A03EDE"/>
    <w:rsid w:val="09BE058F"/>
    <w:rsid w:val="09EF276F"/>
    <w:rsid w:val="09EF6C13"/>
    <w:rsid w:val="09FB1114"/>
    <w:rsid w:val="0A053D41"/>
    <w:rsid w:val="0A0855DF"/>
    <w:rsid w:val="0A0B728C"/>
    <w:rsid w:val="0A0C1573"/>
    <w:rsid w:val="0A165F4E"/>
    <w:rsid w:val="0A1C72DC"/>
    <w:rsid w:val="0A222B45"/>
    <w:rsid w:val="0A232419"/>
    <w:rsid w:val="0A310FDA"/>
    <w:rsid w:val="0A59428C"/>
    <w:rsid w:val="0A5A001E"/>
    <w:rsid w:val="0A6071C9"/>
    <w:rsid w:val="0A7333A0"/>
    <w:rsid w:val="0A956217"/>
    <w:rsid w:val="0AB17A25"/>
    <w:rsid w:val="0AB85257"/>
    <w:rsid w:val="0AC04F3A"/>
    <w:rsid w:val="0AC06140"/>
    <w:rsid w:val="0AC260D6"/>
    <w:rsid w:val="0AC41E4E"/>
    <w:rsid w:val="0ACE6829"/>
    <w:rsid w:val="0AD41965"/>
    <w:rsid w:val="0AFA761E"/>
    <w:rsid w:val="0AFB5144"/>
    <w:rsid w:val="0AFC15E8"/>
    <w:rsid w:val="0B01326E"/>
    <w:rsid w:val="0B04224A"/>
    <w:rsid w:val="0B0A4E37"/>
    <w:rsid w:val="0B131714"/>
    <w:rsid w:val="0B1A1A6E"/>
    <w:rsid w:val="0B212DFC"/>
    <w:rsid w:val="0B2546F9"/>
    <w:rsid w:val="0B36617C"/>
    <w:rsid w:val="0B3C19E4"/>
    <w:rsid w:val="0B4755FC"/>
    <w:rsid w:val="0B49165D"/>
    <w:rsid w:val="0B6902FF"/>
    <w:rsid w:val="0B733E8E"/>
    <w:rsid w:val="0B941820"/>
    <w:rsid w:val="0B9A670B"/>
    <w:rsid w:val="0BA31A63"/>
    <w:rsid w:val="0BA650B0"/>
    <w:rsid w:val="0BDC4F75"/>
    <w:rsid w:val="0BED0F30"/>
    <w:rsid w:val="0BFC5617"/>
    <w:rsid w:val="0C075979"/>
    <w:rsid w:val="0C152235"/>
    <w:rsid w:val="0C3B1C9C"/>
    <w:rsid w:val="0C405504"/>
    <w:rsid w:val="0C62191E"/>
    <w:rsid w:val="0C711B61"/>
    <w:rsid w:val="0C796C68"/>
    <w:rsid w:val="0C8F1FE8"/>
    <w:rsid w:val="0CA57A5D"/>
    <w:rsid w:val="0CCE0D62"/>
    <w:rsid w:val="0CE2480D"/>
    <w:rsid w:val="0CE46C04"/>
    <w:rsid w:val="0CEE4F60"/>
    <w:rsid w:val="0CFE2CC9"/>
    <w:rsid w:val="0D004C93"/>
    <w:rsid w:val="0D054058"/>
    <w:rsid w:val="0D1349C7"/>
    <w:rsid w:val="0D1D43B7"/>
    <w:rsid w:val="0D1F15BD"/>
    <w:rsid w:val="0D290157"/>
    <w:rsid w:val="0D3D37F2"/>
    <w:rsid w:val="0D6214AA"/>
    <w:rsid w:val="0D692839"/>
    <w:rsid w:val="0D6945E7"/>
    <w:rsid w:val="0D6D580F"/>
    <w:rsid w:val="0D7F3E0A"/>
    <w:rsid w:val="0D935B07"/>
    <w:rsid w:val="0D9553DC"/>
    <w:rsid w:val="0D957AD2"/>
    <w:rsid w:val="0D9773A6"/>
    <w:rsid w:val="0DA16476"/>
    <w:rsid w:val="0DA9532B"/>
    <w:rsid w:val="0DBC0BBA"/>
    <w:rsid w:val="0DC12675"/>
    <w:rsid w:val="0DDA54E4"/>
    <w:rsid w:val="0DED5218"/>
    <w:rsid w:val="0DFC18FF"/>
    <w:rsid w:val="0E004C9B"/>
    <w:rsid w:val="0E06277D"/>
    <w:rsid w:val="0E3746E5"/>
    <w:rsid w:val="0E4828CC"/>
    <w:rsid w:val="0E6F694C"/>
    <w:rsid w:val="0E796AAB"/>
    <w:rsid w:val="0E8536A2"/>
    <w:rsid w:val="0E963B01"/>
    <w:rsid w:val="0EB45D35"/>
    <w:rsid w:val="0EC8358F"/>
    <w:rsid w:val="0ECF2B6F"/>
    <w:rsid w:val="0ED65CAC"/>
    <w:rsid w:val="0ED87C76"/>
    <w:rsid w:val="0ED903BE"/>
    <w:rsid w:val="0EE41BC1"/>
    <w:rsid w:val="0EEB0EAC"/>
    <w:rsid w:val="0EF600FC"/>
    <w:rsid w:val="0EF6634E"/>
    <w:rsid w:val="0EFC0EB9"/>
    <w:rsid w:val="0F0A004B"/>
    <w:rsid w:val="0F121210"/>
    <w:rsid w:val="0F1862C4"/>
    <w:rsid w:val="0F2D6982"/>
    <w:rsid w:val="0F334EAC"/>
    <w:rsid w:val="0F3A0931"/>
    <w:rsid w:val="0F3A26DF"/>
    <w:rsid w:val="0F4E4F44"/>
    <w:rsid w:val="0F5C3DDD"/>
    <w:rsid w:val="0F6634D4"/>
    <w:rsid w:val="0F6672AA"/>
    <w:rsid w:val="0F753717"/>
    <w:rsid w:val="0F7A0D2D"/>
    <w:rsid w:val="0F7A5454"/>
    <w:rsid w:val="0F8370B3"/>
    <w:rsid w:val="0F8E5602"/>
    <w:rsid w:val="0FA4224E"/>
    <w:rsid w:val="0FAE176B"/>
    <w:rsid w:val="0FD3668F"/>
    <w:rsid w:val="0FDB5D20"/>
    <w:rsid w:val="0FF7412C"/>
    <w:rsid w:val="0FF87EA4"/>
    <w:rsid w:val="100920B1"/>
    <w:rsid w:val="100B7BD7"/>
    <w:rsid w:val="10185A80"/>
    <w:rsid w:val="101E3DAE"/>
    <w:rsid w:val="102E1B18"/>
    <w:rsid w:val="104906FF"/>
    <w:rsid w:val="104A4BA3"/>
    <w:rsid w:val="104B3CAB"/>
    <w:rsid w:val="1054157E"/>
    <w:rsid w:val="105C6685"/>
    <w:rsid w:val="106C3F59"/>
    <w:rsid w:val="108F0808"/>
    <w:rsid w:val="10A32505"/>
    <w:rsid w:val="10D73F5D"/>
    <w:rsid w:val="10D821AF"/>
    <w:rsid w:val="10F62635"/>
    <w:rsid w:val="11203DE7"/>
    <w:rsid w:val="112C24FB"/>
    <w:rsid w:val="112F78F5"/>
    <w:rsid w:val="113523F9"/>
    <w:rsid w:val="116E2B13"/>
    <w:rsid w:val="116F4196"/>
    <w:rsid w:val="117874EE"/>
    <w:rsid w:val="11800151"/>
    <w:rsid w:val="11885962"/>
    <w:rsid w:val="119D6F55"/>
    <w:rsid w:val="119F2CCD"/>
    <w:rsid w:val="11D06A43"/>
    <w:rsid w:val="11D81D3B"/>
    <w:rsid w:val="11DB5D57"/>
    <w:rsid w:val="11EE155E"/>
    <w:rsid w:val="11EF2AC8"/>
    <w:rsid w:val="11FA1551"/>
    <w:rsid w:val="1209447B"/>
    <w:rsid w:val="120B0362"/>
    <w:rsid w:val="1211524D"/>
    <w:rsid w:val="121A67F7"/>
    <w:rsid w:val="121E0096"/>
    <w:rsid w:val="121F796A"/>
    <w:rsid w:val="122907E8"/>
    <w:rsid w:val="12413D84"/>
    <w:rsid w:val="1246139A"/>
    <w:rsid w:val="12463148"/>
    <w:rsid w:val="124E0E46"/>
    <w:rsid w:val="125C0BBE"/>
    <w:rsid w:val="12617F82"/>
    <w:rsid w:val="1272218F"/>
    <w:rsid w:val="12723F3D"/>
    <w:rsid w:val="127464C5"/>
    <w:rsid w:val="127C6B6A"/>
    <w:rsid w:val="1288550F"/>
    <w:rsid w:val="12891287"/>
    <w:rsid w:val="129031AF"/>
    <w:rsid w:val="129245E0"/>
    <w:rsid w:val="129A5005"/>
    <w:rsid w:val="12A14823"/>
    <w:rsid w:val="12C721F9"/>
    <w:rsid w:val="12D06EB6"/>
    <w:rsid w:val="12E070F9"/>
    <w:rsid w:val="12EB5B7E"/>
    <w:rsid w:val="12F331BE"/>
    <w:rsid w:val="12FC5EFD"/>
    <w:rsid w:val="13001549"/>
    <w:rsid w:val="13021765"/>
    <w:rsid w:val="130354DD"/>
    <w:rsid w:val="132711CC"/>
    <w:rsid w:val="133B6A25"/>
    <w:rsid w:val="134F427F"/>
    <w:rsid w:val="13516249"/>
    <w:rsid w:val="13547AE7"/>
    <w:rsid w:val="137A3FE1"/>
    <w:rsid w:val="13897791"/>
    <w:rsid w:val="139179F1"/>
    <w:rsid w:val="139E2EBF"/>
    <w:rsid w:val="13A50343"/>
    <w:rsid w:val="13AA7707"/>
    <w:rsid w:val="13C17921"/>
    <w:rsid w:val="13C7650B"/>
    <w:rsid w:val="13DD188A"/>
    <w:rsid w:val="13DF5603"/>
    <w:rsid w:val="13EE59D6"/>
    <w:rsid w:val="13F84916"/>
    <w:rsid w:val="13FA41EA"/>
    <w:rsid w:val="140260C4"/>
    <w:rsid w:val="141C0605"/>
    <w:rsid w:val="14290F74"/>
    <w:rsid w:val="143F2545"/>
    <w:rsid w:val="1448435C"/>
    <w:rsid w:val="145F4819"/>
    <w:rsid w:val="145F4995"/>
    <w:rsid w:val="14691370"/>
    <w:rsid w:val="146C05A7"/>
    <w:rsid w:val="146E6986"/>
    <w:rsid w:val="14744B5B"/>
    <w:rsid w:val="14755F67"/>
    <w:rsid w:val="147B753A"/>
    <w:rsid w:val="147E306D"/>
    <w:rsid w:val="149F5D04"/>
    <w:rsid w:val="14A10B0A"/>
    <w:rsid w:val="14B52807"/>
    <w:rsid w:val="14C03686"/>
    <w:rsid w:val="14C111AC"/>
    <w:rsid w:val="14CD3D4D"/>
    <w:rsid w:val="14CF5677"/>
    <w:rsid w:val="14E44360"/>
    <w:rsid w:val="14E86739"/>
    <w:rsid w:val="14F2114F"/>
    <w:rsid w:val="14FF0EFD"/>
    <w:rsid w:val="15107A3E"/>
    <w:rsid w:val="151764DB"/>
    <w:rsid w:val="152660C0"/>
    <w:rsid w:val="152864CC"/>
    <w:rsid w:val="15543DCE"/>
    <w:rsid w:val="156264EB"/>
    <w:rsid w:val="157B7392"/>
    <w:rsid w:val="158346B4"/>
    <w:rsid w:val="15AD0B1A"/>
    <w:rsid w:val="15C076B6"/>
    <w:rsid w:val="15C9656A"/>
    <w:rsid w:val="15CB0F13"/>
    <w:rsid w:val="15E433A4"/>
    <w:rsid w:val="162714F0"/>
    <w:rsid w:val="16377F5B"/>
    <w:rsid w:val="163A2FC4"/>
    <w:rsid w:val="164E6A70"/>
    <w:rsid w:val="165A5414"/>
    <w:rsid w:val="16753FFC"/>
    <w:rsid w:val="167D7355"/>
    <w:rsid w:val="168129A1"/>
    <w:rsid w:val="1695644C"/>
    <w:rsid w:val="169923E1"/>
    <w:rsid w:val="169F376F"/>
    <w:rsid w:val="16A63E9D"/>
    <w:rsid w:val="16AD7C3A"/>
    <w:rsid w:val="16C531D6"/>
    <w:rsid w:val="16D57191"/>
    <w:rsid w:val="16EB2510"/>
    <w:rsid w:val="171001C9"/>
    <w:rsid w:val="171C4DC0"/>
    <w:rsid w:val="171C6B6E"/>
    <w:rsid w:val="1724355E"/>
    <w:rsid w:val="17283764"/>
    <w:rsid w:val="173B6FF4"/>
    <w:rsid w:val="17592847"/>
    <w:rsid w:val="175956CC"/>
    <w:rsid w:val="175B58E8"/>
    <w:rsid w:val="175E2CE2"/>
    <w:rsid w:val="17614581"/>
    <w:rsid w:val="1764452A"/>
    <w:rsid w:val="177644D0"/>
    <w:rsid w:val="17781117"/>
    <w:rsid w:val="178B1B39"/>
    <w:rsid w:val="178F7340"/>
    <w:rsid w:val="17AA495D"/>
    <w:rsid w:val="17AD5A18"/>
    <w:rsid w:val="17B7232A"/>
    <w:rsid w:val="17B82B7A"/>
    <w:rsid w:val="17CF1E32"/>
    <w:rsid w:val="17D86098"/>
    <w:rsid w:val="17EE4066"/>
    <w:rsid w:val="17FE7D06"/>
    <w:rsid w:val="18067FBA"/>
    <w:rsid w:val="18095344"/>
    <w:rsid w:val="18115FA7"/>
    <w:rsid w:val="181D2B9D"/>
    <w:rsid w:val="181D494B"/>
    <w:rsid w:val="18273A1C"/>
    <w:rsid w:val="18277578"/>
    <w:rsid w:val="18344781"/>
    <w:rsid w:val="183D0B4A"/>
    <w:rsid w:val="18430DD8"/>
    <w:rsid w:val="186B56B7"/>
    <w:rsid w:val="18954E2A"/>
    <w:rsid w:val="1895584B"/>
    <w:rsid w:val="18AA0265"/>
    <w:rsid w:val="18B52048"/>
    <w:rsid w:val="18B76B4E"/>
    <w:rsid w:val="18CC03CA"/>
    <w:rsid w:val="18E36020"/>
    <w:rsid w:val="18E37943"/>
    <w:rsid w:val="18E92A80"/>
    <w:rsid w:val="18F558C8"/>
    <w:rsid w:val="18FC7B0D"/>
    <w:rsid w:val="190A1374"/>
    <w:rsid w:val="19215D6F"/>
    <w:rsid w:val="19456052"/>
    <w:rsid w:val="194A641F"/>
    <w:rsid w:val="194F322A"/>
    <w:rsid w:val="196A0064"/>
    <w:rsid w:val="1977008B"/>
    <w:rsid w:val="197D7D98"/>
    <w:rsid w:val="19831126"/>
    <w:rsid w:val="198B3B37"/>
    <w:rsid w:val="19901825"/>
    <w:rsid w:val="19923117"/>
    <w:rsid w:val="19B117EF"/>
    <w:rsid w:val="19BD63E6"/>
    <w:rsid w:val="19BE3F0C"/>
    <w:rsid w:val="19C01A32"/>
    <w:rsid w:val="19D84FCE"/>
    <w:rsid w:val="19E673CD"/>
    <w:rsid w:val="19F811CC"/>
    <w:rsid w:val="19FE255B"/>
    <w:rsid w:val="1A11228E"/>
    <w:rsid w:val="1A136006"/>
    <w:rsid w:val="1A1F0E4F"/>
    <w:rsid w:val="1A2A3AC4"/>
    <w:rsid w:val="1A3A2A3C"/>
    <w:rsid w:val="1A400DC5"/>
    <w:rsid w:val="1A402B73"/>
    <w:rsid w:val="1A584361"/>
    <w:rsid w:val="1A66082C"/>
    <w:rsid w:val="1A766595"/>
    <w:rsid w:val="1A804154"/>
    <w:rsid w:val="1A83712F"/>
    <w:rsid w:val="1AA41354"/>
    <w:rsid w:val="1AB07CF9"/>
    <w:rsid w:val="1AC65A42"/>
    <w:rsid w:val="1AC953EE"/>
    <w:rsid w:val="1ACC7385"/>
    <w:rsid w:val="1AD75285"/>
    <w:rsid w:val="1AE16104"/>
    <w:rsid w:val="1B012302"/>
    <w:rsid w:val="1B087B35"/>
    <w:rsid w:val="1B171077"/>
    <w:rsid w:val="1B28788F"/>
    <w:rsid w:val="1B2B4BC8"/>
    <w:rsid w:val="1B2B737F"/>
    <w:rsid w:val="1B304996"/>
    <w:rsid w:val="1B375D24"/>
    <w:rsid w:val="1B3C333B"/>
    <w:rsid w:val="1B506DE6"/>
    <w:rsid w:val="1B593EEC"/>
    <w:rsid w:val="1B6C00C4"/>
    <w:rsid w:val="1B742AD4"/>
    <w:rsid w:val="1B762CF0"/>
    <w:rsid w:val="1B783F3F"/>
    <w:rsid w:val="1B7E19D8"/>
    <w:rsid w:val="1B966EEF"/>
    <w:rsid w:val="1B9E72CC"/>
    <w:rsid w:val="1BB750B7"/>
    <w:rsid w:val="1BBC447B"/>
    <w:rsid w:val="1BC577D4"/>
    <w:rsid w:val="1BCA303C"/>
    <w:rsid w:val="1BDC68CC"/>
    <w:rsid w:val="1BEA19DB"/>
    <w:rsid w:val="1BED1CFC"/>
    <w:rsid w:val="1BF105C9"/>
    <w:rsid w:val="1C0977BA"/>
    <w:rsid w:val="1C146065"/>
    <w:rsid w:val="1C162FD7"/>
    <w:rsid w:val="1C23658C"/>
    <w:rsid w:val="1C365FDC"/>
    <w:rsid w:val="1C393D1E"/>
    <w:rsid w:val="1C573332"/>
    <w:rsid w:val="1C8474D8"/>
    <w:rsid w:val="1C980A44"/>
    <w:rsid w:val="1CA218C3"/>
    <w:rsid w:val="1CAE2016"/>
    <w:rsid w:val="1CE123EB"/>
    <w:rsid w:val="1CEE4B08"/>
    <w:rsid w:val="1CF55BF1"/>
    <w:rsid w:val="1CF739BD"/>
    <w:rsid w:val="1D161614"/>
    <w:rsid w:val="1D2422D8"/>
    <w:rsid w:val="1D3910DA"/>
    <w:rsid w:val="1D4330A6"/>
    <w:rsid w:val="1D6372A4"/>
    <w:rsid w:val="1D85546D"/>
    <w:rsid w:val="1D8B05A9"/>
    <w:rsid w:val="1D8C6F7F"/>
    <w:rsid w:val="1D8D709D"/>
    <w:rsid w:val="1DA8115B"/>
    <w:rsid w:val="1DB33031"/>
    <w:rsid w:val="1DB7314C"/>
    <w:rsid w:val="1DBE272D"/>
    <w:rsid w:val="1DC35F95"/>
    <w:rsid w:val="1DC51D0D"/>
    <w:rsid w:val="1DD65CC8"/>
    <w:rsid w:val="1DE5415D"/>
    <w:rsid w:val="1DF919B7"/>
    <w:rsid w:val="1E135B88"/>
    <w:rsid w:val="1E311151"/>
    <w:rsid w:val="1E4744D0"/>
    <w:rsid w:val="1E4A0464"/>
    <w:rsid w:val="1E6432D4"/>
    <w:rsid w:val="1E6E7EF3"/>
    <w:rsid w:val="1E7F389C"/>
    <w:rsid w:val="1E911BEF"/>
    <w:rsid w:val="1E9836BC"/>
    <w:rsid w:val="1EAF2075"/>
    <w:rsid w:val="1EB01729"/>
    <w:rsid w:val="1EB31B66"/>
    <w:rsid w:val="1EDA3596"/>
    <w:rsid w:val="1EEE7042"/>
    <w:rsid w:val="1F073C5F"/>
    <w:rsid w:val="1F0A124C"/>
    <w:rsid w:val="1F0D3FC6"/>
    <w:rsid w:val="1F132604"/>
    <w:rsid w:val="1F1A7E37"/>
    <w:rsid w:val="1F3470AC"/>
    <w:rsid w:val="1F4B6242"/>
    <w:rsid w:val="1F4B7FF0"/>
    <w:rsid w:val="1F4E7AE0"/>
    <w:rsid w:val="1F5A0233"/>
    <w:rsid w:val="1F643A6C"/>
    <w:rsid w:val="1F90634B"/>
    <w:rsid w:val="1F9E3DB1"/>
    <w:rsid w:val="1FBE6A14"/>
    <w:rsid w:val="1FC1672E"/>
    <w:rsid w:val="1FC35DD8"/>
    <w:rsid w:val="1FC61D6D"/>
    <w:rsid w:val="1FEF3071"/>
    <w:rsid w:val="1FF24910"/>
    <w:rsid w:val="20036B1D"/>
    <w:rsid w:val="200F7270"/>
    <w:rsid w:val="201F345A"/>
    <w:rsid w:val="202F346E"/>
    <w:rsid w:val="20317018"/>
    <w:rsid w:val="20401B1F"/>
    <w:rsid w:val="204213F3"/>
    <w:rsid w:val="20452C91"/>
    <w:rsid w:val="20486F2E"/>
    <w:rsid w:val="20561E57"/>
    <w:rsid w:val="20586E69"/>
    <w:rsid w:val="20605D1D"/>
    <w:rsid w:val="208C08C0"/>
    <w:rsid w:val="20971013"/>
    <w:rsid w:val="20A21E92"/>
    <w:rsid w:val="20DA787E"/>
    <w:rsid w:val="20EF42C3"/>
    <w:rsid w:val="210C1A01"/>
    <w:rsid w:val="212136FE"/>
    <w:rsid w:val="21222A31"/>
    <w:rsid w:val="214952EC"/>
    <w:rsid w:val="214E1080"/>
    <w:rsid w:val="21623FE8"/>
    <w:rsid w:val="21690C01"/>
    <w:rsid w:val="216E5FED"/>
    <w:rsid w:val="216F71D2"/>
    <w:rsid w:val="21935C7E"/>
    <w:rsid w:val="21943833"/>
    <w:rsid w:val="21D323DE"/>
    <w:rsid w:val="21F26E49"/>
    <w:rsid w:val="2208666C"/>
    <w:rsid w:val="22140B6D"/>
    <w:rsid w:val="22401962"/>
    <w:rsid w:val="2241392C"/>
    <w:rsid w:val="224A0A33"/>
    <w:rsid w:val="224B0307"/>
    <w:rsid w:val="22521696"/>
    <w:rsid w:val="225B2C40"/>
    <w:rsid w:val="22623FCE"/>
    <w:rsid w:val="22835CF3"/>
    <w:rsid w:val="229B128E"/>
    <w:rsid w:val="22AA14D2"/>
    <w:rsid w:val="22B92981"/>
    <w:rsid w:val="22C252A7"/>
    <w:rsid w:val="22CF718A"/>
    <w:rsid w:val="22DB168B"/>
    <w:rsid w:val="22E5250A"/>
    <w:rsid w:val="22EB3FC4"/>
    <w:rsid w:val="22EB5E9B"/>
    <w:rsid w:val="22EC3898"/>
    <w:rsid w:val="22F404FC"/>
    <w:rsid w:val="22F6507E"/>
    <w:rsid w:val="23103A2A"/>
    <w:rsid w:val="23154870"/>
    <w:rsid w:val="23201794"/>
    <w:rsid w:val="2346744C"/>
    <w:rsid w:val="234C07DB"/>
    <w:rsid w:val="234D0DD6"/>
    <w:rsid w:val="23521CF2"/>
    <w:rsid w:val="235A6A54"/>
    <w:rsid w:val="235C0774"/>
    <w:rsid w:val="235D0BFD"/>
    <w:rsid w:val="235D7669"/>
    <w:rsid w:val="23620D1A"/>
    <w:rsid w:val="23627FFE"/>
    <w:rsid w:val="238735C1"/>
    <w:rsid w:val="23947758"/>
    <w:rsid w:val="239857CE"/>
    <w:rsid w:val="23A404FF"/>
    <w:rsid w:val="23A979DB"/>
    <w:rsid w:val="23B4085A"/>
    <w:rsid w:val="23BF71FF"/>
    <w:rsid w:val="23C40371"/>
    <w:rsid w:val="23E17175"/>
    <w:rsid w:val="23FA0B8E"/>
    <w:rsid w:val="23FA1FE5"/>
    <w:rsid w:val="240B5709"/>
    <w:rsid w:val="242C64AB"/>
    <w:rsid w:val="24301410"/>
    <w:rsid w:val="24331F9E"/>
    <w:rsid w:val="2446522A"/>
    <w:rsid w:val="24577437"/>
    <w:rsid w:val="24651B54"/>
    <w:rsid w:val="246606CF"/>
    <w:rsid w:val="246758CC"/>
    <w:rsid w:val="2471674B"/>
    <w:rsid w:val="247578BD"/>
    <w:rsid w:val="247B1377"/>
    <w:rsid w:val="248A4D18"/>
    <w:rsid w:val="248C70E1"/>
    <w:rsid w:val="248D6176"/>
    <w:rsid w:val="24A65CC9"/>
    <w:rsid w:val="24B02758"/>
    <w:rsid w:val="24E24F53"/>
    <w:rsid w:val="24EC7852"/>
    <w:rsid w:val="25072C0B"/>
    <w:rsid w:val="25180974"/>
    <w:rsid w:val="251B45A8"/>
    <w:rsid w:val="25205A7B"/>
    <w:rsid w:val="252E1F46"/>
    <w:rsid w:val="252F5CBE"/>
    <w:rsid w:val="253B4663"/>
    <w:rsid w:val="253F23A5"/>
    <w:rsid w:val="25445C0D"/>
    <w:rsid w:val="254F6CAC"/>
    <w:rsid w:val="2592509A"/>
    <w:rsid w:val="259711C0"/>
    <w:rsid w:val="25A16BBC"/>
    <w:rsid w:val="25A466AC"/>
    <w:rsid w:val="25A71CF8"/>
    <w:rsid w:val="262477ED"/>
    <w:rsid w:val="2637307C"/>
    <w:rsid w:val="2638476C"/>
    <w:rsid w:val="263E265D"/>
    <w:rsid w:val="2641067D"/>
    <w:rsid w:val="26437C73"/>
    <w:rsid w:val="2649208F"/>
    <w:rsid w:val="265359DC"/>
    <w:rsid w:val="26673AE3"/>
    <w:rsid w:val="26802C75"/>
    <w:rsid w:val="268362C1"/>
    <w:rsid w:val="268A7650"/>
    <w:rsid w:val="268F4C66"/>
    <w:rsid w:val="26995AE5"/>
    <w:rsid w:val="26A60202"/>
    <w:rsid w:val="26B40B71"/>
    <w:rsid w:val="26CD578F"/>
    <w:rsid w:val="26E30D6D"/>
    <w:rsid w:val="26EE2542"/>
    <w:rsid w:val="26F00EA5"/>
    <w:rsid w:val="27052264"/>
    <w:rsid w:val="27196C26"/>
    <w:rsid w:val="273B4404"/>
    <w:rsid w:val="273D2914"/>
    <w:rsid w:val="274A5031"/>
    <w:rsid w:val="27602AA7"/>
    <w:rsid w:val="27743E5C"/>
    <w:rsid w:val="279D1605"/>
    <w:rsid w:val="27A562AB"/>
    <w:rsid w:val="27D809B6"/>
    <w:rsid w:val="27DC212D"/>
    <w:rsid w:val="27DD5EA5"/>
    <w:rsid w:val="27DD695E"/>
    <w:rsid w:val="27DF5779"/>
    <w:rsid w:val="27EE3C0E"/>
    <w:rsid w:val="28180C8B"/>
    <w:rsid w:val="281B76B8"/>
    <w:rsid w:val="281F201A"/>
    <w:rsid w:val="28247630"/>
    <w:rsid w:val="285254FA"/>
    <w:rsid w:val="2856543A"/>
    <w:rsid w:val="2857598C"/>
    <w:rsid w:val="28687E65"/>
    <w:rsid w:val="286D0FD7"/>
    <w:rsid w:val="287265EE"/>
    <w:rsid w:val="288B76AF"/>
    <w:rsid w:val="289E40C1"/>
    <w:rsid w:val="28B37BA6"/>
    <w:rsid w:val="28D076DA"/>
    <w:rsid w:val="28D322B5"/>
    <w:rsid w:val="28EC2844"/>
    <w:rsid w:val="28F33BD2"/>
    <w:rsid w:val="28FC211F"/>
    <w:rsid w:val="290B259E"/>
    <w:rsid w:val="292C0E92"/>
    <w:rsid w:val="292D3AAE"/>
    <w:rsid w:val="29424EDD"/>
    <w:rsid w:val="295E6B72"/>
    <w:rsid w:val="299164AB"/>
    <w:rsid w:val="29930F11"/>
    <w:rsid w:val="29982084"/>
    <w:rsid w:val="29D86924"/>
    <w:rsid w:val="29EE439A"/>
    <w:rsid w:val="29EF3C6E"/>
    <w:rsid w:val="29F05605"/>
    <w:rsid w:val="2A03518E"/>
    <w:rsid w:val="2A077209"/>
    <w:rsid w:val="2A091F98"/>
    <w:rsid w:val="2A117DC0"/>
    <w:rsid w:val="2A1831C5"/>
    <w:rsid w:val="2A1F09F7"/>
    <w:rsid w:val="2A222295"/>
    <w:rsid w:val="2A3E7AD9"/>
    <w:rsid w:val="2A581813"/>
    <w:rsid w:val="2A6603D4"/>
    <w:rsid w:val="2A782125"/>
    <w:rsid w:val="2A7A5C2D"/>
    <w:rsid w:val="2A9D36CA"/>
    <w:rsid w:val="2AAA6513"/>
    <w:rsid w:val="2ABB0720"/>
    <w:rsid w:val="2ABE54CC"/>
    <w:rsid w:val="2ABF0B53"/>
    <w:rsid w:val="2AC31382"/>
    <w:rsid w:val="2ACF41CB"/>
    <w:rsid w:val="2AD21E99"/>
    <w:rsid w:val="2AE65071"/>
    <w:rsid w:val="2AEF3F25"/>
    <w:rsid w:val="2AFC4894"/>
    <w:rsid w:val="2B0025D7"/>
    <w:rsid w:val="2B0E300C"/>
    <w:rsid w:val="2B1E53A8"/>
    <w:rsid w:val="2B2067D5"/>
    <w:rsid w:val="2B2362C5"/>
    <w:rsid w:val="2B463A15"/>
    <w:rsid w:val="2B4D3342"/>
    <w:rsid w:val="2B746B21"/>
    <w:rsid w:val="2B8C79C6"/>
    <w:rsid w:val="2B936FA7"/>
    <w:rsid w:val="2B9E21E5"/>
    <w:rsid w:val="2BB440A0"/>
    <w:rsid w:val="2BCC4267"/>
    <w:rsid w:val="2BD95185"/>
    <w:rsid w:val="2BF02493"/>
    <w:rsid w:val="2C0C6D59"/>
    <w:rsid w:val="2C0E7B77"/>
    <w:rsid w:val="2C121686"/>
    <w:rsid w:val="2C4E2B09"/>
    <w:rsid w:val="2C532BDA"/>
    <w:rsid w:val="2C567FD4"/>
    <w:rsid w:val="2C5A5D16"/>
    <w:rsid w:val="2C7217DF"/>
    <w:rsid w:val="2C9254B0"/>
    <w:rsid w:val="2C9805ED"/>
    <w:rsid w:val="2C9C0939"/>
    <w:rsid w:val="2C9D7C23"/>
    <w:rsid w:val="2CA945A8"/>
    <w:rsid w:val="2CB25B52"/>
    <w:rsid w:val="2CB65628"/>
    <w:rsid w:val="2CB74433"/>
    <w:rsid w:val="2CB83A5D"/>
    <w:rsid w:val="2CB847EB"/>
    <w:rsid w:val="2CBF5B79"/>
    <w:rsid w:val="2CC03124"/>
    <w:rsid w:val="2CCE400E"/>
    <w:rsid w:val="2CE33F5E"/>
    <w:rsid w:val="2CE455E0"/>
    <w:rsid w:val="2CEB696E"/>
    <w:rsid w:val="2CEF1BF0"/>
    <w:rsid w:val="2D0B7011"/>
    <w:rsid w:val="2D102879"/>
    <w:rsid w:val="2D161028"/>
    <w:rsid w:val="2D202ABC"/>
    <w:rsid w:val="2D257D5D"/>
    <w:rsid w:val="2D297497"/>
    <w:rsid w:val="2D39592C"/>
    <w:rsid w:val="2D3C5D60"/>
    <w:rsid w:val="2D482013"/>
    <w:rsid w:val="2D485B6F"/>
    <w:rsid w:val="2D574004"/>
    <w:rsid w:val="2D5D31B2"/>
    <w:rsid w:val="2D616C31"/>
    <w:rsid w:val="2D8F19F0"/>
    <w:rsid w:val="2D9E60D7"/>
    <w:rsid w:val="2DA07759"/>
    <w:rsid w:val="2DCC054E"/>
    <w:rsid w:val="2DCD54CF"/>
    <w:rsid w:val="2DD35D80"/>
    <w:rsid w:val="2DD815E9"/>
    <w:rsid w:val="2DE51D3E"/>
    <w:rsid w:val="2DFD143F"/>
    <w:rsid w:val="2E1F0FC6"/>
    <w:rsid w:val="2E24482E"/>
    <w:rsid w:val="2E556795"/>
    <w:rsid w:val="2E5F7614"/>
    <w:rsid w:val="2E7D7A9A"/>
    <w:rsid w:val="2E821554"/>
    <w:rsid w:val="2E8928E3"/>
    <w:rsid w:val="2E9574DA"/>
    <w:rsid w:val="2EA5642D"/>
    <w:rsid w:val="2EA8720D"/>
    <w:rsid w:val="2EBD433B"/>
    <w:rsid w:val="2EC851B9"/>
    <w:rsid w:val="2ECA39E4"/>
    <w:rsid w:val="2ED022C0"/>
    <w:rsid w:val="2EE221FA"/>
    <w:rsid w:val="2EE713B8"/>
    <w:rsid w:val="2F083808"/>
    <w:rsid w:val="2F48454C"/>
    <w:rsid w:val="2F4A3E20"/>
    <w:rsid w:val="2F603644"/>
    <w:rsid w:val="2F7348F1"/>
    <w:rsid w:val="2FA15A0A"/>
    <w:rsid w:val="2FA572A9"/>
    <w:rsid w:val="2FA774C5"/>
    <w:rsid w:val="2FBE0CC9"/>
    <w:rsid w:val="2FE36A1D"/>
    <w:rsid w:val="2FEC137B"/>
    <w:rsid w:val="2FEF2C1A"/>
    <w:rsid w:val="300541EB"/>
    <w:rsid w:val="300F72F6"/>
    <w:rsid w:val="301F1F33"/>
    <w:rsid w:val="30204B81"/>
    <w:rsid w:val="303A32CE"/>
    <w:rsid w:val="30474804"/>
    <w:rsid w:val="306218B6"/>
    <w:rsid w:val="30665AC7"/>
    <w:rsid w:val="309A476D"/>
    <w:rsid w:val="309B28FA"/>
    <w:rsid w:val="30A47560"/>
    <w:rsid w:val="30A61508"/>
    <w:rsid w:val="30B654E5"/>
    <w:rsid w:val="30B73737"/>
    <w:rsid w:val="30BD0622"/>
    <w:rsid w:val="30C10112"/>
    <w:rsid w:val="30C504E5"/>
    <w:rsid w:val="30D51E0F"/>
    <w:rsid w:val="30D77936"/>
    <w:rsid w:val="30D81900"/>
    <w:rsid w:val="30E3452C"/>
    <w:rsid w:val="31003447"/>
    <w:rsid w:val="314838C9"/>
    <w:rsid w:val="314B4B4B"/>
    <w:rsid w:val="314D19A6"/>
    <w:rsid w:val="31582CD6"/>
    <w:rsid w:val="316F4012"/>
    <w:rsid w:val="31842A49"/>
    <w:rsid w:val="31B934DF"/>
    <w:rsid w:val="31BC6B2B"/>
    <w:rsid w:val="31BD0020"/>
    <w:rsid w:val="31C53C32"/>
    <w:rsid w:val="31CD6F8B"/>
    <w:rsid w:val="31DC0F7C"/>
    <w:rsid w:val="31E87920"/>
    <w:rsid w:val="31EC37F3"/>
    <w:rsid w:val="31F63413"/>
    <w:rsid w:val="320A3D3B"/>
    <w:rsid w:val="321C369A"/>
    <w:rsid w:val="322070BA"/>
    <w:rsid w:val="32221084"/>
    <w:rsid w:val="322E00F3"/>
    <w:rsid w:val="322F72FD"/>
    <w:rsid w:val="324F79A0"/>
    <w:rsid w:val="32591705"/>
    <w:rsid w:val="326E42CA"/>
    <w:rsid w:val="32715B68"/>
    <w:rsid w:val="32764F2C"/>
    <w:rsid w:val="327C79D7"/>
    <w:rsid w:val="3280637C"/>
    <w:rsid w:val="32806F5D"/>
    <w:rsid w:val="3281470D"/>
    <w:rsid w:val="32957AA8"/>
    <w:rsid w:val="32A221C5"/>
    <w:rsid w:val="32C21624"/>
    <w:rsid w:val="32E91BA2"/>
    <w:rsid w:val="32FF13C6"/>
    <w:rsid w:val="33134E71"/>
    <w:rsid w:val="331D0548"/>
    <w:rsid w:val="331F55C4"/>
    <w:rsid w:val="332B3F69"/>
    <w:rsid w:val="333948D8"/>
    <w:rsid w:val="333B0A84"/>
    <w:rsid w:val="3344502A"/>
    <w:rsid w:val="334868C9"/>
    <w:rsid w:val="33661445"/>
    <w:rsid w:val="33680D19"/>
    <w:rsid w:val="336851BD"/>
    <w:rsid w:val="336D27D3"/>
    <w:rsid w:val="33811DDB"/>
    <w:rsid w:val="338F44F8"/>
    <w:rsid w:val="33CF2B46"/>
    <w:rsid w:val="33CF6FEA"/>
    <w:rsid w:val="33D4015C"/>
    <w:rsid w:val="33D75676"/>
    <w:rsid w:val="33E5712B"/>
    <w:rsid w:val="33F16F60"/>
    <w:rsid w:val="340C3D9A"/>
    <w:rsid w:val="34155949"/>
    <w:rsid w:val="341A1B77"/>
    <w:rsid w:val="341B3FDD"/>
    <w:rsid w:val="342235BE"/>
    <w:rsid w:val="342804A8"/>
    <w:rsid w:val="342A4220"/>
    <w:rsid w:val="344D1342"/>
    <w:rsid w:val="344E43B3"/>
    <w:rsid w:val="34580D8D"/>
    <w:rsid w:val="345968B4"/>
    <w:rsid w:val="345B087E"/>
    <w:rsid w:val="3473425C"/>
    <w:rsid w:val="34756D9C"/>
    <w:rsid w:val="3488252E"/>
    <w:rsid w:val="34967B08"/>
    <w:rsid w:val="34996970"/>
    <w:rsid w:val="349D2C44"/>
    <w:rsid w:val="34A43FD3"/>
    <w:rsid w:val="34B23812"/>
    <w:rsid w:val="34C71A6F"/>
    <w:rsid w:val="34D14424"/>
    <w:rsid w:val="34D67F04"/>
    <w:rsid w:val="34DA79F4"/>
    <w:rsid w:val="34E912D9"/>
    <w:rsid w:val="34F34F5A"/>
    <w:rsid w:val="34FA0097"/>
    <w:rsid w:val="35064C8D"/>
    <w:rsid w:val="3518051D"/>
    <w:rsid w:val="35270760"/>
    <w:rsid w:val="35373099"/>
    <w:rsid w:val="35470E02"/>
    <w:rsid w:val="35487054"/>
    <w:rsid w:val="35505F08"/>
    <w:rsid w:val="35575EDA"/>
    <w:rsid w:val="355C48AD"/>
    <w:rsid w:val="35647C06"/>
    <w:rsid w:val="3578720D"/>
    <w:rsid w:val="358A6B81"/>
    <w:rsid w:val="3598340C"/>
    <w:rsid w:val="35A05577"/>
    <w:rsid w:val="35B00755"/>
    <w:rsid w:val="35B50461"/>
    <w:rsid w:val="35BE7316"/>
    <w:rsid w:val="35D02BA5"/>
    <w:rsid w:val="35D817EB"/>
    <w:rsid w:val="35F26FC0"/>
    <w:rsid w:val="35F40F8A"/>
    <w:rsid w:val="36157440"/>
    <w:rsid w:val="36484E32"/>
    <w:rsid w:val="364C40EF"/>
    <w:rsid w:val="364F4412"/>
    <w:rsid w:val="3659703F"/>
    <w:rsid w:val="366F7D00"/>
    <w:rsid w:val="36730100"/>
    <w:rsid w:val="367E499B"/>
    <w:rsid w:val="369167D9"/>
    <w:rsid w:val="36B644A9"/>
    <w:rsid w:val="36BF3346"/>
    <w:rsid w:val="36DD1A1E"/>
    <w:rsid w:val="36EC3A0F"/>
    <w:rsid w:val="36F11025"/>
    <w:rsid w:val="36F6663C"/>
    <w:rsid w:val="36F80606"/>
    <w:rsid w:val="37030562"/>
    <w:rsid w:val="371D62BE"/>
    <w:rsid w:val="371F535A"/>
    <w:rsid w:val="372A4B3F"/>
    <w:rsid w:val="37377380"/>
    <w:rsid w:val="373A29CC"/>
    <w:rsid w:val="373F6235"/>
    <w:rsid w:val="374E6478"/>
    <w:rsid w:val="375004A1"/>
    <w:rsid w:val="375269BA"/>
    <w:rsid w:val="37773C20"/>
    <w:rsid w:val="377D0B0B"/>
    <w:rsid w:val="378325C5"/>
    <w:rsid w:val="378D51F2"/>
    <w:rsid w:val="37B3277F"/>
    <w:rsid w:val="37BC0229"/>
    <w:rsid w:val="37C84AF8"/>
    <w:rsid w:val="37D30C21"/>
    <w:rsid w:val="37D526F5"/>
    <w:rsid w:val="37DA1FF7"/>
    <w:rsid w:val="380D1E8F"/>
    <w:rsid w:val="38174ABC"/>
    <w:rsid w:val="3842422E"/>
    <w:rsid w:val="384D672F"/>
    <w:rsid w:val="385201EA"/>
    <w:rsid w:val="3857135C"/>
    <w:rsid w:val="385C2E16"/>
    <w:rsid w:val="386928E6"/>
    <w:rsid w:val="38753442"/>
    <w:rsid w:val="388859B9"/>
    <w:rsid w:val="38943B43"/>
    <w:rsid w:val="38AF73EA"/>
    <w:rsid w:val="38B67B31"/>
    <w:rsid w:val="38C2711D"/>
    <w:rsid w:val="38C4326F"/>
    <w:rsid w:val="38E075A3"/>
    <w:rsid w:val="38EF6C00"/>
    <w:rsid w:val="38F94760"/>
    <w:rsid w:val="38FA1339"/>
    <w:rsid w:val="390239BE"/>
    <w:rsid w:val="39033292"/>
    <w:rsid w:val="390B0AC4"/>
    <w:rsid w:val="390C7E77"/>
    <w:rsid w:val="390F7E89"/>
    <w:rsid w:val="391A0D07"/>
    <w:rsid w:val="392145EF"/>
    <w:rsid w:val="392A4F7E"/>
    <w:rsid w:val="39375EA6"/>
    <w:rsid w:val="393D49F6"/>
    <w:rsid w:val="393D67A4"/>
    <w:rsid w:val="394C69E7"/>
    <w:rsid w:val="39671A73"/>
    <w:rsid w:val="3983685D"/>
    <w:rsid w:val="399A1E48"/>
    <w:rsid w:val="39BD78E5"/>
    <w:rsid w:val="39D32C64"/>
    <w:rsid w:val="39D8471E"/>
    <w:rsid w:val="39DA5780"/>
    <w:rsid w:val="39EB6200"/>
    <w:rsid w:val="39FC3754"/>
    <w:rsid w:val="3A086DB2"/>
    <w:rsid w:val="3A0D43C8"/>
    <w:rsid w:val="3A1F5EA9"/>
    <w:rsid w:val="3A346FD2"/>
    <w:rsid w:val="3A6D30B9"/>
    <w:rsid w:val="3A900B55"/>
    <w:rsid w:val="3AB75F50"/>
    <w:rsid w:val="3ABE56C2"/>
    <w:rsid w:val="3AC727C9"/>
    <w:rsid w:val="3AE570F3"/>
    <w:rsid w:val="3AED7D56"/>
    <w:rsid w:val="3AF61300"/>
    <w:rsid w:val="3AFB3462"/>
    <w:rsid w:val="3AFE1F63"/>
    <w:rsid w:val="3B00217F"/>
    <w:rsid w:val="3B10436B"/>
    <w:rsid w:val="3B1A0A62"/>
    <w:rsid w:val="3B20637D"/>
    <w:rsid w:val="3B2128DB"/>
    <w:rsid w:val="3B2C087E"/>
    <w:rsid w:val="3B31102A"/>
    <w:rsid w:val="3B3B31B7"/>
    <w:rsid w:val="3B3F2CA7"/>
    <w:rsid w:val="3B3F61FF"/>
    <w:rsid w:val="3B4C7172"/>
    <w:rsid w:val="3B5D1411"/>
    <w:rsid w:val="3B787F67"/>
    <w:rsid w:val="3B830DB1"/>
    <w:rsid w:val="3BA40D5C"/>
    <w:rsid w:val="3BA53C6C"/>
    <w:rsid w:val="3BAB3E99"/>
    <w:rsid w:val="3BBA40DC"/>
    <w:rsid w:val="3BBF16F2"/>
    <w:rsid w:val="3BC35686"/>
    <w:rsid w:val="3BD27E4B"/>
    <w:rsid w:val="3BF27D19"/>
    <w:rsid w:val="3BF84C04"/>
    <w:rsid w:val="3C1557B6"/>
    <w:rsid w:val="3C251215"/>
    <w:rsid w:val="3C276A75"/>
    <w:rsid w:val="3C2F4B64"/>
    <w:rsid w:val="3C4A1903"/>
    <w:rsid w:val="3C591B47"/>
    <w:rsid w:val="3C5F6A31"/>
    <w:rsid w:val="3C616C4D"/>
    <w:rsid w:val="3C6D5A4D"/>
    <w:rsid w:val="3C6F136A"/>
    <w:rsid w:val="3C7626F9"/>
    <w:rsid w:val="3C814945"/>
    <w:rsid w:val="3C972852"/>
    <w:rsid w:val="3C9A27E4"/>
    <w:rsid w:val="3CAC611A"/>
    <w:rsid w:val="3CBC5107"/>
    <w:rsid w:val="3CC32FB0"/>
    <w:rsid w:val="3CE60CB4"/>
    <w:rsid w:val="3CF63839"/>
    <w:rsid w:val="3D164B9F"/>
    <w:rsid w:val="3D192D32"/>
    <w:rsid w:val="3D257C7B"/>
    <w:rsid w:val="3D2832C7"/>
    <w:rsid w:val="3D480F3B"/>
    <w:rsid w:val="3D506BE4"/>
    <w:rsid w:val="3D7B789B"/>
    <w:rsid w:val="3D7F1A72"/>
    <w:rsid w:val="3DA23079"/>
    <w:rsid w:val="3DB8289D"/>
    <w:rsid w:val="3DCF0F61"/>
    <w:rsid w:val="3DD30847"/>
    <w:rsid w:val="3DD82F3F"/>
    <w:rsid w:val="3DE6740A"/>
    <w:rsid w:val="3DEB449B"/>
    <w:rsid w:val="3DEE4511"/>
    <w:rsid w:val="3E1201FF"/>
    <w:rsid w:val="3E173A67"/>
    <w:rsid w:val="3E1A07D9"/>
    <w:rsid w:val="3E230966"/>
    <w:rsid w:val="3E3F6B1A"/>
    <w:rsid w:val="3E404DFD"/>
    <w:rsid w:val="3E5A13F5"/>
    <w:rsid w:val="3E6030B7"/>
    <w:rsid w:val="3E615496"/>
    <w:rsid w:val="3E762CD2"/>
    <w:rsid w:val="3E8B7FB1"/>
    <w:rsid w:val="3E9230EE"/>
    <w:rsid w:val="3EA370A9"/>
    <w:rsid w:val="3EB94F7B"/>
    <w:rsid w:val="3EBA43F3"/>
    <w:rsid w:val="3EBE3EE3"/>
    <w:rsid w:val="3EC25ADE"/>
    <w:rsid w:val="3EC6723B"/>
    <w:rsid w:val="3ED63744"/>
    <w:rsid w:val="3EEB0E2A"/>
    <w:rsid w:val="3EF9316D"/>
    <w:rsid w:val="3F0833B0"/>
    <w:rsid w:val="3F116709"/>
    <w:rsid w:val="3F12422F"/>
    <w:rsid w:val="3F1461F9"/>
    <w:rsid w:val="3F190641"/>
    <w:rsid w:val="3F191227"/>
    <w:rsid w:val="3F210BF6"/>
    <w:rsid w:val="3F395C5F"/>
    <w:rsid w:val="3F487C50"/>
    <w:rsid w:val="3F4C14EF"/>
    <w:rsid w:val="3F5245A7"/>
    <w:rsid w:val="3F591E5E"/>
    <w:rsid w:val="3F5C54AA"/>
    <w:rsid w:val="3F6251B6"/>
    <w:rsid w:val="3F6A5E19"/>
    <w:rsid w:val="3F6E5909"/>
    <w:rsid w:val="3F8601B8"/>
    <w:rsid w:val="3F88629F"/>
    <w:rsid w:val="3F917849"/>
    <w:rsid w:val="3F9335C1"/>
    <w:rsid w:val="3FA8047B"/>
    <w:rsid w:val="3FB13A48"/>
    <w:rsid w:val="3FBB6674"/>
    <w:rsid w:val="3FBE4113"/>
    <w:rsid w:val="3FCA4B09"/>
    <w:rsid w:val="3FEC4A80"/>
    <w:rsid w:val="3FFF36B1"/>
    <w:rsid w:val="400E49F6"/>
    <w:rsid w:val="40153FD6"/>
    <w:rsid w:val="40226500"/>
    <w:rsid w:val="402921A2"/>
    <w:rsid w:val="402B03AB"/>
    <w:rsid w:val="402B55A8"/>
    <w:rsid w:val="403E177F"/>
    <w:rsid w:val="40493C80"/>
    <w:rsid w:val="405349A7"/>
    <w:rsid w:val="40672358"/>
    <w:rsid w:val="40833636"/>
    <w:rsid w:val="40890521"/>
    <w:rsid w:val="40972C3D"/>
    <w:rsid w:val="409E3FA3"/>
    <w:rsid w:val="40A62E81"/>
    <w:rsid w:val="40C81E0C"/>
    <w:rsid w:val="40EB39B3"/>
    <w:rsid w:val="40FA4F7A"/>
    <w:rsid w:val="41177130"/>
    <w:rsid w:val="41195D48"/>
    <w:rsid w:val="412070D7"/>
    <w:rsid w:val="414508EB"/>
    <w:rsid w:val="41597EF3"/>
    <w:rsid w:val="416C231C"/>
    <w:rsid w:val="41923405"/>
    <w:rsid w:val="41A27AEC"/>
    <w:rsid w:val="41A41AB6"/>
    <w:rsid w:val="41A5138A"/>
    <w:rsid w:val="41D43A1D"/>
    <w:rsid w:val="41E53E7C"/>
    <w:rsid w:val="41F37F96"/>
    <w:rsid w:val="41FF4F3E"/>
    <w:rsid w:val="422B7AE1"/>
    <w:rsid w:val="423D7815"/>
    <w:rsid w:val="424503FA"/>
    <w:rsid w:val="424E557E"/>
    <w:rsid w:val="425B7C9B"/>
    <w:rsid w:val="427B20EB"/>
    <w:rsid w:val="42876CE2"/>
    <w:rsid w:val="428B67D2"/>
    <w:rsid w:val="429B3C85"/>
    <w:rsid w:val="42C910A8"/>
    <w:rsid w:val="42CB4E20"/>
    <w:rsid w:val="42D90C28"/>
    <w:rsid w:val="42F75C15"/>
    <w:rsid w:val="42FE74CB"/>
    <w:rsid w:val="4303772F"/>
    <w:rsid w:val="430F11B1"/>
    <w:rsid w:val="43124010"/>
    <w:rsid w:val="43171E14"/>
    <w:rsid w:val="43277C40"/>
    <w:rsid w:val="43291B47"/>
    <w:rsid w:val="434A21E9"/>
    <w:rsid w:val="43503578"/>
    <w:rsid w:val="438C3F7C"/>
    <w:rsid w:val="439C58EC"/>
    <w:rsid w:val="43B12268"/>
    <w:rsid w:val="43B70A87"/>
    <w:rsid w:val="43BF5E37"/>
    <w:rsid w:val="43C95804"/>
    <w:rsid w:val="43D710FE"/>
    <w:rsid w:val="43E73EDC"/>
    <w:rsid w:val="43ED02D1"/>
    <w:rsid w:val="43F6411F"/>
    <w:rsid w:val="4404683C"/>
    <w:rsid w:val="441D5B50"/>
    <w:rsid w:val="441F5424"/>
    <w:rsid w:val="44305883"/>
    <w:rsid w:val="44354C47"/>
    <w:rsid w:val="44510CF4"/>
    <w:rsid w:val="445C6678"/>
    <w:rsid w:val="44607511"/>
    <w:rsid w:val="44705C7F"/>
    <w:rsid w:val="4488746D"/>
    <w:rsid w:val="448C6831"/>
    <w:rsid w:val="448E1F0C"/>
    <w:rsid w:val="449C6A74"/>
    <w:rsid w:val="44AB6CB7"/>
    <w:rsid w:val="44B10046"/>
    <w:rsid w:val="44B738AE"/>
    <w:rsid w:val="44B97803"/>
    <w:rsid w:val="44C1472D"/>
    <w:rsid w:val="44C8744F"/>
    <w:rsid w:val="44CD542A"/>
    <w:rsid w:val="44E41ED5"/>
    <w:rsid w:val="45025DED"/>
    <w:rsid w:val="450308A1"/>
    <w:rsid w:val="45216F7A"/>
    <w:rsid w:val="454B2248"/>
    <w:rsid w:val="45505AB1"/>
    <w:rsid w:val="456B4699"/>
    <w:rsid w:val="457479F1"/>
    <w:rsid w:val="457C2402"/>
    <w:rsid w:val="457C5FF5"/>
    <w:rsid w:val="45875C47"/>
    <w:rsid w:val="45A04342"/>
    <w:rsid w:val="45A043CF"/>
    <w:rsid w:val="45A2455E"/>
    <w:rsid w:val="45AB2CE7"/>
    <w:rsid w:val="45AD6A5F"/>
    <w:rsid w:val="45B802B6"/>
    <w:rsid w:val="45CA5863"/>
    <w:rsid w:val="45CC2D9C"/>
    <w:rsid w:val="45CC5137"/>
    <w:rsid w:val="45E561F9"/>
    <w:rsid w:val="45E86864"/>
    <w:rsid w:val="45F66658"/>
    <w:rsid w:val="45FE7882"/>
    <w:rsid w:val="460E39A2"/>
    <w:rsid w:val="461B7E6D"/>
    <w:rsid w:val="463D4287"/>
    <w:rsid w:val="463F1DAD"/>
    <w:rsid w:val="464364ED"/>
    <w:rsid w:val="464C44CA"/>
    <w:rsid w:val="46517D32"/>
    <w:rsid w:val="46744858"/>
    <w:rsid w:val="468123C6"/>
    <w:rsid w:val="46841EB6"/>
    <w:rsid w:val="4690085B"/>
    <w:rsid w:val="46B207D1"/>
    <w:rsid w:val="46B6228A"/>
    <w:rsid w:val="46CC6074"/>
    <w:rsid w:val="46CC73B9"/>
    <w:rsid w:val="46D70238"/>
    <w:rsid w:val="46E42955"/>
    <w:rsid w:val="46E67D8A"/>
    <w:rsid w:val="46F2067D"/>
    <w:rsid w:val="47017063"/>
    <w:rsid w:val="47460F19"/>
    <w:rsid w:val="47484C91"/>
    <w:rsid w:val="474D2873"/>
    <w:rsid w:val="474D315D"/>
    <w:rsid w:val="475C497D"/>
    <w:rsid w:val="475F3D89"/>
    <w:rsid w:val="47653A95"/>
    <w:rsid w:val="477C493B"/>
    <w:rsid w:val="478101A3"/>
    <w:rsid w:val="478A7058"/>
    <w:rsid w:val="479A3013"/>
    <w:rsid w:val="47BE6D02"/>
    <w:rsid w:val="47C54534"/>
    <w:rsid w:val="47CA38F8"/>
    <w:rsid w:val="47CA56A6"/>
    <w:rsid w:val="47D46AAB"/>
    <w:rsid w:val="47D911CB"/>
    <w:rsid w:val="47ED61C2"/>
    <w:rsid w:val="47F40975"/>
    <w:rsid w:val="48030BB8"/>
    <w:rsid w:val="48200B08"/>
    <w:rsid w:val="482A25E9"/>
    <w:rsid w:val="48303D17"/>
    <w:rsid w:val="483D231C"/>
    <w:rsid w:val="4841763E"/>
    <w:rsid w:val="484418FD"/>
    <w:rsid w:val="48444C74"/>
    <w:rsid w:val="48645AFB"/>
    <w:rsid w:val="486464FC"/>
    <w:rsid w:val="48825F81"/>
    <w:rsid w:val="48830CD6"/>
    <w:rsid w:val="489D0FA2"/>
    <w:rsid w:val="48A2202E"/>
    <w:rsid w:val="48A73C3A"/>
    <w:rsid w:val="48B3438D"/>
    <w:rsid w:val="48B9571B"/>
    <w:rsid w:val="48C20A74"/>
    <w:rsid w:val="48C742DC"/>
    <w:rsid w:val="48C93BB0"/>
    <w:rsid w:val="48DB1B35"/>
    <w:rsid w:val="48EC67EA"/>
    <w:rsid w:val="48EE3617"/>
    <w:rsid w:val="48F57ABE"/>
    <w:rsid w:val="48FF75D2"/>
    <w:rsid w:val="49161137"/>
    <w:rsid w:val="49170DBF"/>
    <w:rsid w:val="49227764"/>
    <w:rsid w:val="49281BF3"/>
    <w:rsid w:val="49296D45"/>
    <w:rsid w:val="492E7EB7"/>
    <w:rsid w:val="493254EC"/>
    <w:rsid w:val="49351E9C"/>
    <w:rsid w:val="493F0316"/>
    <w:rsid w:val="4984475F"/>
    <w:rsid w:val="498A77E3"/>
    <w:rsid w:val="499354E2"/>
    <w:rsid w:val="499441BE"/>
    <w:rsid w:val="49A308A5"/>
    <w:rsid w:val="49B44860"/>
    <w:rsid w:val="49B900C8"/>
    <w:rsid w:val="49BB7798"/>
    <w:rsid w:val="49D05807"/>
    <w:rsid w:val="49D15412"/>
    <w:rsid w:val="49D62A28"/>
    <w:rsid w:val="49DA3B9B"/>
    <w:rsid w:val="49E4069C"/>
    <w:rsid w:val="49E55BB5"/>
    <w:rsid w:val="49EA0282"/>
    <w:rsid w:val="49EE18C5"/>
    <w:rsid w:val="49F81BF2"/>
    <w:rsid w:val="4A164484"/>
    <w:rsid w:val="4A1E18AF"/>
    <w:rsid w:val="4A3B10A2"/>
    <w:rsid w:val="4A58343D"/>
    <w:rsid w:val="4A65033D"/>
    <w:rsid w:val="4A8B463F"/>
    <w:rsid w:val="4A904E4D"/>
    <w:rsid w:val="4AAB045B"/>
    <w:rsid w:val="4AB4263E"/>
    <w:rsid w:val="4AB82DDF"/>
    <w:rsid w:val="4ABB1C1E"/>
    <w:rsid w:val="4AD67002"/>
    <w:rsid w:val="4AD8457E"/>
    <w:rsid w:val="4ADF590D"/>
    <w:rsid w:val="4AE051E1"/>
    <w:rsid w:val="4AF173EE"/>
    <w:rsid w:val="4AFF5FAF"/>
    <w:rsid w:val="4B0373AF"/>
    <w:rsid w:val="4B0D2DB5"/>
    <w:rsid w:val="4B1651EE"/>
    <w:rsid w:val="4B180E1F"/>
    <w:rsid w:val="4B1F5D09"/>
    <w:rsid w:val="4B201A81"/>
    <w:rsid w:val="4B2778B3"/>
    <w:rsid w:val="4B2B0B52"/>
    <w:rsid w:val="4B2F0532"/>
    <w:rsid w:val="4B35609A"/>
    <w:rsid w:val="4B3B6AAB"/>
    <w:rsid w:val="4B4734B2"/>
    <w:rsid w:val="4B4D6D1A"/>
    <w:rsid w:val="4B4F2144"/>
    <w:rsid w:val="4B58746D"/>
    <w:rsid w:val="4B8464B4"/>
    <w:rsid w:val="4BE1285E"/>
    <w:rsid w:val="4BE86A43"/>
    <w:rsid w:val="4C07336D"/>
    <w:rsid w:val="4C1C66ED"/>
    <w:rsid w:val="4C373527"/>
    <w:rsid w:val="4C3C0B3D"/>
    <w:rsid w:val="4C3E48B5"/>
    <w:rsid w:val="4C4733DF"/>
    <w:rsid w:val="4C4A14AC"/>
    <w:rsid w:val="4C523EBC"/>
    <w:rsid w:val="4C596ADA"/>
    <w:rsid w:val="4C653BF0"/>
    <w:rsid w:val="4C6B2BC3"/>
    <w:rsid w:val="4C7D4C62"/>
    <w:rsid w:val="4C806C7C"/>
    <w:rsid w:val="4C856040"/>
    <w:rsid w:val="4C8C3872"/>
    <w:rsid w:val="4C990C67"/>
    <w:rsid w:val="4CBA03DF"/>
    <w:rsid w:val="4CBB66E9"/>
    <w:rsid w:val="4CBC34BA"/>
    <w:rsid w:val="4CC254E6"/>
    <w:rsid w:val="4CCC36DE"/>
    <w:rsid w:val="4CD26690"/>
    <w:rsid w:val="4CF040C2"/>
    <w:rsid w:val="4CFD3592"/>
    <w:rsid w:val="4D031EC5"/>
    <w:rsid w:val="4D063625"/>
    <w:rsid w:val="4D156A0B"/>
    <w:rsid w:val="4D2E2B7B"/>
    <w:rsid w:val="4D384985"/>
    <w:rsid w:val="4D394883"/>
    <w:rsid w:val="4D3F4748"/>
    <w:rsid w:val="4D4B3259"/>
    <w:rsid w:val="4D554464"/>
    <w:rsid w:val="4D616AAD"/>
    <w:rsid w:val="4D714816"/>
    <w:rsid w:val="4D7F6DA9"/>
    <w:rsid w:val="4D8602C2"/>
    <w:rsid w:val="4D92310A"/>
    <w:rsid w:val="4D9E5BD5"/>
    <w:rsid w:val="4DA83841"/>
    <w:rsid w:val="4DCE1C69"/>
    <w:rsid w:val="4DD0778F"/>
    <w:rsid w:val="4DD202D7"/>
    <w:rsid w:val="4DE90850"/>
    <w:rsid w:val="4DF530F4"/>
    <w:rsid w:val="4E037B64"/>
    <w:rsid w:val="4E0631B0"/>
    <w:rsid w:val="4E0E094B"/>
    <w:rsid w:val="4E121B55"/>
    <w:rsid w:val="4E33304B"/>
    <w:rsid w:val="4E341CC8"/>
    <w:rsid w:val="4E4A0AB9"/>
    <w:rsid w:val="4E4A7541"/>
    <w:rsid w:val="4E53065F"/>
    <w:rsid w:val="4E616639"/>
    <w:rsid w:val="4E6F6FA8"/>
    <w:rsid w:val="4E7F7E1E"/>
    <w:rsid w:val="4EA01857"/>
    <w:rsid w:val="4EB66985"/>
    <w:rsid w:val="4EBF2F03"/>
    <w:rsid w:val="4EC512BE"/>
    <w:rsid w:val="4EC8490A"/>
    <w:rsid w:val="4ED908C5"/>
    <w:rsid w:val="4EE33F71"/>
    <w:rsid w:val="4EE94FAC"/>
    <w:rsid w:val="4EEC684A"/>
    <w:rsid w:val="4EF62A3A"/>
    <w:rsid w:val="4EFD45B3"/>
    <w:rsid w:val="4F095074"/>
    <w:rsid w:val="4F123705"/>
    <w:rsid w:val="4F1D2EA8"/>
    <w:rsid w:val="4F2F6737"/>
    <w:rsid w:val="4F443F90"/>
    <w:rsid w:val="4F4641AC"/>
    <w:rsid w:val="4F4C553B"/>
    <w:rsid w:val="4F652159"/>
    <w:rsid w:val="4F6A776F"/>
    <w:rsid w:val="4F6B59C1"/>
    <w:rsid w:val="4F764366"/>
    <w:rsid w:val="4F7C5E20"/>
    <w:rsid w:val="4F7D50B5"/>
    <w:rsid w:val="4F863BEA"/>
    <w:rsid w:val="4FB530E0"/>
    <w:rsid w:val="4FC275AB"/>
    <w:rsid w:val="4FC3616F"/>
    <w:rsid w:val="4FC95B04"/>
    <w:rsid w:val="4FCF1083"/>
    <w:rsid w:val="4FD73056"/>
    <w:rsid w:val="4FE13ED5"/>
    <w:rsid w:val="4FE237A9"/>
    <w:rsid w:val="4FE85982"/>
    <w:rsid w:val="4FF43C08"/>
    <w:rsid w:val="4FFC2ABD"/>
    <w:rsid w:val="50067498"/>
    <w:rsid w:val="501216E5"/>
    <w:rsid w:val="501371A3"/>
    <w:rsid w:val="501F49FD"/>
    <w:rsid w:val="50285660"/>
    <w:rsid w:val="504B75A0"/>
    <w:rsid w:val="504F52E3"/>
    <w:rsid w:val="50504BB7"/>
    <w:rsid w:val="50570513"/>
    <w:rsid w:val="506863A4"/>
    <w:rsid w:val="509D0301"/>
    <w:rsid w:val="50A70C7B"/>
    <w:rsid w:val="50AC6291"/>
    <w:rsid w:val="50B43398"/>
    <w:rsid w:val="50B61FD4"/>
    <w:rsid w:val="50BE5FC4"/>
    <w:rsid w:val="50BE7D72"/>
    <w:rsid w:val="50D17229"/>
    <w:rsid w:val="50DD469C"/>
    <w:rsid w:val="50E0418D"/>
    <w:rsid w:val="50F817B6"/>
    <w:rsid w:val="51143E36"/>
    <w:rsid w:val="51183927"/>
    <w:rsid w:val="51234079"/>
    <w:rsid w:val="512E4EF8"/>
    <w:rsid w:val="51330760"/>
    <w:rsid w:val="51583D23"/>
    <w:rsid w:val="515D57DD"/>
    <w:rsid w:val="51722952"/>
    <w:rsid w:val="51734070"/>
    <w:rsid w:val="518C1C1F"/>
    <w:rsid w:val="519104C1"/>
    <w:rsid w:val="51917235"/>
    <w:rsid w:val="51960CEF"/>
    <w:rsid w:val="519A433C"/>
    <w:rsid w:val="51A95109"/>
    <w:rsid w:val="51AD2D4C"/>
    <w:rsid w:val="51C21AE4"/>
    <w:rsid w:val="51DC0DF8"/>
    <w:rsid w:val="520C4646"/>
    <w:rsid w:val="521526EA"/>
    <w:rsid w:val="521B2AE9"/>
    <w:rsid w:val="522400A9"/>
    <w:rsid w:val="52353816"/>
    <w:rsid w:val="52734B8D"/>
    <w:rsid w:val="527518EF"/>
    <w:rsid w:val="527C6137"/>
    <w:rsid w:val="52831274"/>
    <w:rsid w:val="528B1ED6"/>
    <w:rsid w:val="52946D91"/>
    <w:rsid w:val="52AD4542"/>
    <w:rsid w:val="52B37B8B"/>
    <w:rsid w:val="52BC4786"/>
    <w:rsid w:val="52C33D66"/>
    <w:rsid w:val="52C81BDD"/>
    <w:rsid w:val="52CE3F71"/>
    <w:rsid w:val="52D10231"/>
    <w:rsid w:val="52D90E94"/>
    <w:rsid w:val="52D95337"/>
    <w:rsid w:val="52E650D7"/>
    <w:rsid w:val="52F21F55"/>
    <w:rsid w:val="52F45CCD"/>
    <w:rsid w:val="52F757BE"/>
    <w:rsid w:val="53073C53"/>
    <w:rsid w:val="53081779"/>
    <w:rsid w:val="53135EC7"/>
    <w:rsid w:val="53163E96"/>
    <w:rsid w:val="532C190B"/>
    <w:rsid w:val="53303BA5"/>
    <w:rsid w:val="5334256E"/>
    <w:rsid w:val="533453A9"/>
    <w:rsid w:val="533D593D"/>
    <w:rsid w:val="53446C55"/>
    <w:rsid w:val="53590226"/>
    <w:rsid w:val="53654CC2"/>
    <w:rsid w:val="53763E48"/>
    <w:rsid w:val="537D2167"/>
    <w:rsid w:val="53966D85"/>
    <w:rsid w:val="53A3242F"/>
    <w:rsid w:val="53AB0A82"/>
    <w:rsid w:val="53B56CC4"/>
    <w:rsid w:val="53C2401E"/>
    <w:rsid w:val="53D17DBD"/>
    <w:rsid w:val="53EC2E48"/>
    <w:rsid w:val="53EE096F"/>
    <w:rsid w:val="53FA37B7"/>
    <w:rsid w:val="540B1E49"/>
    <w:rsid w:val="540B7773"/>
    <w:rsid w:val="543842E0"/>
    <w:rsid w:val="543E18F6"/>
    <w:rsid w:val="545B22C8"/>
    <w:rsid w:val="54703F38"/>
    <w:rsid w:val="54723375"/>
    <w:rsid w:val="547D5CF8"/>
    <w:rsid w:val="548B3542"/>
    <w:rsid w:val="549A4653"/>
    <w:rsid w:val="54BE1F10"/>
    <w:rsid w:val="54D264E2"/>
    <w:rsid w:val="54D74A08"/>
    <w:rsid w:val="54D83F05"/>
    <w:rsid w:val="54E34ABB"/>
    <w:rsid w:val="54E35FFA"/>
    <w:rsid w:val="54E56216"/>
    <w:rsid w:val="54E81862"/>
    <w:rsid w:val="54E9053C"/>
    <w:rsid w:val="54ED2B69"/>
    <w:rsid w:val="54F621D1"/>
    <w:rsid w:val="54FF3EA3"/>
    <w:rsid w:val="550B5550"/>
    <w:rsid w:val="552971B1"/>
    <w:rsid w:val="55313209"/>
    <w:rsid w:val="553157AE"/>
    <w:rsid w:val="553B7BE4"/>
    <w:rsid w:val="55472A2C"/>
    <w:rsid w:val="559D43FA"/>
    <w:rsid w:val="55B76BC4"/>
    <w:rsid w:val="55BD2CEE"/>
    <w:rsid w:val="55C23E61"/>
    <w:rsid w:val="55C25153"/>
    <w:rsid w:val="55C45E2B"/>
    <w:rsid w:val="55EE2EA8"/>
    <w:rsid w:val="55F935FB"/>
    <w:rsid w:val="55FC3817"/>
    <w:rsid w:val="560426CB"/>
    <w:rsid w:val="560A5808"/>
    <w:rsid w:val="56247D02"/>
    <w:rsid w:val="562861C0"/>
    <w:rsid w:val="562E599A"/>
    <w:rsid w:val="56332FB1"/>
    <w:rsid w:val="56465AB4"/>
    <w:rsid w:val="56484A62"/>
    <w:rsid w:val="564C71D1"/>
    <w:rsid w:val="564E7084"/>
    <w:rsid w:val="565371AF"/>
    <w:rsid w:val="568D446F"/>
    <w:rsid w:val="56AF0889"/>
    <w:rsid w:val="56C8194B"/>
    <w:rsid w:val="56CD51B3"/>
    <w:rsid w:val="56D93B58"/>
    <w:rsid w:val="56E458CB"/>
    <w:rsid w:val="572402B5"/>
    <w:rsid w:val="574D77A4"/>
    <w:rsid w:val="575C2093"/>
    <w:rsid w:val="575D6537"/>
    <w:rsid w:val="57715B3F"/>
    <w:rsid w:val="578A4E52"/>
    <w:rsid w:val="57AF24E5"/>
    <w:rsid w:val="57AF2B0B"/>
    <w:rsid w:val="57D025BC"/>
    <w:rsid w:val="57E740FA"/>
    <w:rsid w:val="57ED286F"/>
    <w:rsid w:val="57F66CAF"/>
    <w:rsid w:val="57FB18AC"/>
    <w:rsid w:val="58010AB5"/>
    <w:rsid w:val="581319EA"/>
    <w:rsid w:val="583628E4"/>
    <w:rsid w:val="584F5B55"/>
    <w:rsid w:val="58615BB3"/>
    <w:rsid w:val="58670CF0"/>
    <w:rsid w:val="58692CBA"/>
    <w:rsid w:val="58767185"/>
    <w:rsid w:val="589A6800"/>
    <w:rsid w:val="58AC0F7B"/>
    <w:rsid w:val="58AE2DC2"/>
    <w:rsid w:val="58AE4B70"/>
    <w:rsid w:val="58BA6C34"/>
    <w:rsid w:val="58BB3045"/>
    <w:rsid w:val="58BC54DF"/>
    <w:rsid w:val="58C3186C"/>
    <w:rsid w:val="58E30CBE"/>
    <w:rsid w:val="58ED7447"/>
    <w:rsid w:val="58EE31BF"/>
    <w:rsid w:val="590D7AE9"/>
    <w:rsid w:val="59140E77"/>
    <w:rsid w:val="591470C9"/>
    <w:rsid w:val="59230875"/>
    <w:rsid w:val="592F3F03"/>
    <w:rsid w:val="59484FC5"/>
    <w:rsid w:val="59486D73"/>
    <w:rsid w:val="596671F9"/>
    <w:rsid w:val="596D4A2C"/>
    <w:rsid w:val="59710BE1"/>
    <w:rsid w:val="598002BB"/>
    <w:rsid w:val="599D70BF"/>
    <w:rsid w:val="59A57D21"/>
    <w:rsid w:val="59A815C0"/>
    <w:rsid w:val="59AC3C42"/>
    <w:rsid w:val="59AC7302"/>
    <w:rsid w:val="59B166C6"/>
    <w:rsid w:val="59C26B25"/>
    <w:rsid w:val="59CC3500"/>
    <w:rsid w:val="59CE10CF"/>
    <w:rsid w:val="59D423B5"/>
    <w:rsid w:val="59EB2CD7"/>
    <w:rsid w:val="59F1740B"/>
    <w:rsid w:val="59FD190B"/>
    <w:rsid w:val="59FE7432"/>
    <w:rsid w:val="5A144EA7"/>
    <w:rsid w:val="5A272E2C"/>
    <w:rsid w:val="5A3D7F5A"/>
    <w:rsid w:val="5A3F0176"/>
    <w:rsid w:val="5A4B6B1B"/>
    <w:rsid w:val="5A4E2167"/>
    <w:rsid w:val="5A5A0BD4"/>
    <w:rsid w:val="5A6F0209"/>
    <w:rsid w:val="5A755946"/>
    <w:rsid w:val="5A9304C2"/>
    <w:rsid w:val="5AC32B55"/>
    <w:rsid w:val="5ACE32A8"/>
    <w:rsid w:val="5AD676A3"/>
    <w:rsid w:val="5AD703AE"/>
    <w:rsid w:val="5AE34FA5"/>
    <w:rsid w:val="5AF01470"/>
    <w:rsid w:val="5AF30F60"/>
    <w:rsid w:val="5AF32D0E"/>
    <w:rsid w:val="5AFD10E3"/>
    <w:rsid w:val="5AFF3461"/>
    <w:rsid w:val="5B060C94"/>
    <w:rsid w:val="5B062A42"/>
    <w:rsid w:val="5B13515F"/>
    <w:rsid w:val="5B215ACE"/>
    <w:rsid w:val="5B266C40"/>
    <w:rsid w:val="5B307E32"/>
    <w:rsid w:val="5B3277E1"/>
    <w:rsid w:val="5B3C2907"/>
    <w:rsid w:val="5B5C5B6E"/>
    <w:rsid w:val="5B653C0C"/>
    <w:rsid w:val="5B6F05E7"/>
    <w:rsid w:val="5B792700"/>
    <w:rsid w:val="5B8A71CF"/>
    <w:rsid w:val="5B8C6CB4"/>
    <w:rsid w:val="5B9444F1"/>
    <w:rsid w:val="5B9C5154"/>
    <w:rsid w:val="5BA67D81"/>
    <w:rsid w:val="5BAD7361"/>
    <w:rsid w:val="5BB74BF2"/>
    <w:rsid w:val="5BDE39BF"/>
    <w:rsid w:val="5BF907F8"/>
    <w:rsid w:val="5BFE196B"/>
    <w:rsid w:val="5BFF436E"/>
    <w:rsid w:val="5C000AA2"/>
    <w:rsid w:val="5C043425"/>
    <w:rsid w:val="5C0C4088"/>
    <w:rsid w:val="5C1271C4"/>
    <w:rsid w:val="5C133668"/>
    <w:rsid w:val="5C146A57"/>
    <w:rsid w:val="5C180C7F"/>
    <w:rsid w:val="5C1E5177"/>
    <w:rsid w:val="5C2F5FC8"/>
    <w:rsid w:val="5C5123E2"/>
    <w:rsid w:val="5C516770"/>
    <w:rsid w:val="5C5F68AD"/>
    <w:rsid w:val="5C732359"/>
    <w:rsid w:val="5C734107"/>
    <w:rsid w:val="5C844566"/>
    <w:rsid w:val="5C871960"/>
    <w:rsid w:val="5CA56AC7"/>
    <w:rsid w:val="5CB02CA1"/>
    <w:rsid w:val="5CBF734C"/>
    <w:rsid w:val="5CCE758F"/>
    <w:rsid w:val="5CDC1CAC"/>
    <w:rsid w:val="5D101956"/>
    <w:rsid w:val="5D1F428F"/>
    <w:rsid w:val="5D2378DB"/>
    <w:rsid w:val="5D46181B"/>
    <w:rsid w:val="5D5F6439"/>
    <w:rsid w:val="5D663C6C"/>
    <w:rsid w:val="5D6B1282"/>
    <w:rsid w:val="5D706898"/>
    <w:rsid w:val="5D995DEF"/>
    <w:rsid w:val="5D9A3915"/>
    <w:rsid w:val="5D9D1EED"/>
    <w:rsid w:val="5DAD189A"/>
    <w:rsid w:val="5DB03139"/>
    <w:rsid w:val="5DB64AF6"/>
    <w:rsid w:val="5DC22C1E"/>
    <w:rsid w:val="5DD010E5"/>
    <w:rsid w:val="5DF64FF0"/>
    <w:rsid w:val="5E0019CA"/>
    <w:rsid w:val="5E14191A"/>
    <w:rsid w:val="5E196F30"/>
    <w:rsid w:val="5E1E4546"/>
    <w:rsid w:val="5E2B3851"/>
    <w:rsid w:val="5E406CE0"/>
    <w:rsid w:val="5E534853"/>
    <w:rsid w:val="5E5835B4"/>
    <w:rsid w:val="5E6E5622"/>
    <w:rsid w:val="5E79177D"/>
    <w:rsid w:val="5E7B3747"/>
    <w:rsid w:val="5E9822A4"/>
    <w:rsid w:val="5E9F11E3"/>
    <w:rsid w:val="5EB56C59"/>
    <w:rsid w:val="5EBA2711"/>
    <w:rsid w:val="5EBA426F"/>
    <w:rsid w:val="5EE035AA"/>
    <w:rsid w:val="5EE9188E"/>
    <w:rsid w:val="5EF552A7"/>
    <w:rsid w:val="5F103E8F"/>
    <w:rsid w:val="5F2B0CC9"/>
    <w:rsid w:val="5F381638"/>
    <w:rsid w:val="5F44309B"/>
    <w:rsid w:val="5F49114F"/>
    <w:rsid w:val="5F4E6765"/>
    <w:rsid w:val="5F724B4A"/>
    <w:rsid w:val="5F992C3D"/>
    <w:rsid w:val="5FA9485C"/>
    <w:rsid w:val="5FAF0290"/>
    <w:rsid w:val="5FB52C88"/>
    <w:rsid w:val="5FBE38EB"/>
    <w:rsid w:val="5FC13854"/>
    <w:rsid w:val="5FFE018B"/>
    <w:rsid w:val="600357A2"/>
    <w:rsid w:val="601B6F8F"/>
    <w:rsid w:val="60255718"/>
    <w:rsid w:val="602A71D2"/>
    <w:rsid w:val="603E7279"/>
    <w:rsid w:val="60433DF0"/>
    <w:rsid w:val="6062696C"/>
    <w:rsid w:val="606D70BF"/>
    <w:rsid w:val="60955C5B"/>
    <w:rsid w:val="60A76A75"/>
    <w:rsid w:val="60C018E5"/>
    <w:rsid w:val="60C430FD"/>
    <w:rsid w:val="60D809DC"/>
    <w:rsid w:val="60DF1D6B"/>
    <w:rsid w:val="60E07891"/>
    <w:rsid w:val="60EF5A0E"/>
    <w:rsid w:val="60F85601"/>
    <w:rsid w:val="61274EA4"/>
    <w:rsid w:val="61406582"/>
    <w:rsid w:val="614B61E2"/>
    <w:rsid w:val="614D13CA"/>
    <w:rsid w:val="615F4C5A"/>
    <w:rsid w:val="616109D2"/>
    <w:rsid w:val="617979F8"/>
    <w:rsid w:val="618E553F"/>
    <w:rsid w:val="619012B7"/>
    <w:rsid w:val="619F14FA"/>
    <w:rsid w:val="61D003EC"/>
    <w:rsid w:val="61D323EF"/>
    <w:rsid w:val="61D70C94"/>
    <w:rsid w:val="61EA6C19"/>
    <w:rsid w:val="61FE26C5"/>
    <w:rsid w:val="620A1069"/>
    <w:rsid w:val="621041A6"/>
    <w:rsid w:val="621517BC"/>
    <w:rsid w:val="621E4B15"/>
    <w:rsid w:val="622D4D58"/>
    <w:rsid w:val="623460E6"/>
    <w:rsid w:val="62361E5F"/>
    <w:rsid w:val="623E0D13"/>
    <w:rsid w:val="623E6F65"/>
    <w:rsid w:val="62471DCF"/>
    <w:rsid w:val="62486F09"/>
    <w:rsid w:val="624E2A76"/>
    <w:rsid w:val="625978FB"/>
    <w:rsid w:val="626F2111"/>
    <w:rsid w:val="62744735"/>
    <w:rsid w:val="627E1D01"/>
    <w:rsid w:val="62866351"/>
    <w:rsid w:val="62883D71"/>
    <w:rsid w:val="62902F68"/>
    <w:rsid w:val="629152E7"/>
    <w:rsid w:val="62AA0157"/>
    <w:rsid w:val="62CE02E9"/>
    <w:rsid w:val="62F12229"/>
    <w:rsid w:val="630347B3"/>
    <w:rsid w:val="63097573"/>
    <w:rsid w:val="630A5099"/>
    <w:rsid w:val="630E2DDB"/>
    <w:rsid w:val="631F6D97"/>
    <w:rsid w:val="633839B4"/>
    <w:rsid w:val="633E7720"/>
    <w:rsid w:val="63497970"/>
    <w:rsid w:val="635051A2"/>
    <w:rsid w:val="637F7835"/>
    <w:rsid w:val="63870498"/>
    <w:rsid w:val="63936E3D"/>
    <w:rsid w:val="639C03E7"/>
    <w:rsid w:val="63B219B9"/>
    <w:rsid w:val="63BA261B"/>
    <w:rsid w:val="63D00091"/>
    <w:rsid w:val="63D7141F"/>
    <w:rsid w:val="63DF02D4"/>
    <w:rsid w:val="63EA0065"/>
    <w:rsid w:val="63EB4ECB"/>
    <w:rsid w:val="63EC11B0"/>
    <w:rsid w:val="63FC2C34"/>
    <w:rsid w:val="63FC70D8"/>
    <w:rsid w:val="640E2967"/>
    <w:rsid w:val="64133D6A"/>
    <w:rsid w:val="64287ECD"/>
    <w:rsid w:val="64373C6C"/>
    <w:rsid w:val="643D2F91"/>
    <w:rsid w:val="644B7717"/>
    <w:rsid w:val="64526CF8"/>
    <w:rsid w:val="64595C53"/>
    <w:rsid w:val="64601415"/>
    <w:rsid w:val="6461518D"/>
    <w:rsid w:val="64675805"/>
    <w:rsid w:val="64680FC0"/>
    <w:rsid w:val="646B7DB9"/>
    <w:rsid w:val="646F4853"/>
    <w:rsid w:val="647D5A27"/>
    <w:rsid w:val="647F0199"/>
    <w:rsid w:val="6481138B"/>
    <w:rsid w:val="64813139"/>
    <w:rsid w:val="64B12A56"/>
    <w:rsid w:val="64D12312"/>
    <w:rsid w:val="64D67181"/>
    <w:rsid w:val="64D771FD"/>
    <w:rsid w:val="64E831B8"/>
    <w:rsid w:val="64F21799"/>
    <w:rsid w:val="6502071E"/>
    <w:rsid w:val="651B17E0"/>
    <w:rsid w:val="65205BBF"/>
    <w:rsid w:val="652561BA"/>
    <w:rsid w:val="65295CAB"/>
    <w:rsid w:val="652A37D1"/>
    <w:rsid w:val="653347C2"/>
    <w:rsid w:val="653603C7"/>
    <w:rsid w:val="65393A14"/>
    <w:rsid w:val="654523B9"/>
    <w:rsid w:val="655B1BDC"/>
    <w:rsid w:val="65683817"/>
    <w:rsid w:val="656B0071"/>
    <w:rsid w:val="656B62C3"/>
    <w:rsid w:val="658729D1"/>
    <w:rsid w:val="65893B33"/>
    <w:rsid w:val="658E51BB"/>
    <w:rsid w:val="658E646E"/>
    <w:rsid w:val="65D57BE0"/>
    <w:rsid w:val="65DE4CE7"/>
    <w:rsid w:val="65EE241D"/>
    <w:rsid w:val="65F91B21"/>
    <w:rsid w:val="66100C18"/>
    <w:rsid w:val="661701F9"/>
    <w:rsid w:val="66171FA7"/>
    <w:rsid w:val="66216982"/>
    <w:rsid w:val="66544FA9"/>
    <w:rsid w:val="6659611C"/>
    <w:rsid w:val="665F74AA"/>
    <w:rsid w:val="66772121"/>
    <w:rsid w:val="66807B4C"/>
    <w:rsid w:val="66897701"/>
    <w:rsid w:val="66976C44"/>
    <w:rsid w:val="66A355E9"/>
    <w:rsid w:val="66A73B95"/>
    <w:rsid w:val="66C20165"/>
    <w:rsid w:val="66D165FA"/>
    <w:rsid w:val="66E63727"/>
    <w:rsid w:val="66F04AA1"/>
    <w:rsid w:val="66F422E8"/>
    <w:rsid w:val="670A38BA"/>
    <w:rsid w:val="670F7122"/>
    <w:rsid w:val="671A19AE"/>
    <w:rsid w:val="67226E55"/>
    <w:rsid w:val="67373B9D"/>
    <w:rsid w:val="673E3563"/>
    <w:rsid w:val="673F7A07"/>
    <w:rsid w:val="67580AC9"/>
    <w:rsid w:val="67584625"/>
    <w:rsid w:val="675C4206"/>
    <w:rsid w:val="67627252"/>
    <w:rsid w:val="677422FC"/>
    <w:rsid w:val="677D408C"/>
    <w:rsid w:val="67803B7C"/>
    <w:rsid w:val="67965341"/>
    <w:rsid w:val="67BD398E"/>
    <w:rsid w:val="67CC5B90"/>
    <w:rsid w:val="67EB3CE9"/>
    <w:rsid w:val="681C38A5"/>
    <w:rsid w:val="68294213"/>
    <w:rsid w:val="68352BB8"/>
    <w:rsid w:val="683F14A2"/>
    <w:rsid w:val="68494705"/>
    <w:rsid w:val="684B5F38"/>
    <w:rsid w:val="6850290F"/>
    <w:rsid w:val="6865349E"/>
    <w:rsid w:val="68725BBA"/>
    <w:rsid w:val="68751207"/>
    <w:rsid w:val="68781D11"/>
    <w:rsid w:val="687911EE"/>
    <w:rsid w:val="688356D2"/>
    <w:rsid w:val="688F22C8"/>
    <w:rsid w:val="6894168D"/>
    <w:rsid w:val="68AF4719"/>
    <w:rsid w:val="68C1269E"/>
    <w:rsid w:val="68CA50AF"/>
    <w:rsid w:val="68D02CFC"/>
    <w:rsid w:val="68D52D20"/>
    <w:rsid w:val="68F14D31"/>
    <w:rsid w:val="69264077"/>
    <w:rsid w:val="692A3D9F"/>
    <w:rsid w:val="692E7D33"/>
    <w:rsid w:val="693240EF"/>
    <w:rsid w:val="69344C1E"/>
    <w:rsid w:val="69531548"/>
    <w:rsid w:val="6954706E"/>
    <w:rsid w:val="69583CA4"/>
    <w:rsid w:val="695B4495"/>
    <w:rsid w:val="695D4175"/>
    <w:rsid w:val="69880613"/>
    <w:rsid w:val="698A4A60"/>
    <w:rsid w:val="69961435"/>
    <w:rsid w:val="699E02E9"/>
    <w:rsid w:val="69A04061"/>
    <w:rsid w:val="69B63885"/>
    <w:rsid w:val="69BD4C13"/>
    <w:rsid w:val="69C42446"/>
    <w:rsid w:val="69CD6171"/>
    <w:rsid w:val="69D1246D"/>
    <w:rsid w:val="69D871E5"/>
    <w:rsid w:val="69F36887"/>
    <w:rsid w:val="6A0C5941"/>
    <w:rsid w:val="6A2922A9"/>
    <w:rsid w:val="6A2B2C4A"/>
    <w:rsid w:val="6A372C18"/>
    <w:rsid w:val="6A4C5F97"/>
    <w:rsid w:val="6A5135AE"/>
    <w:rsid w:val="6A58493C"/>
    <w:rsid w:val="6A6257BB"/>
    <w:rsid w:val="6A627569"/>
    <w:rsid w:val="6A8E65B0"/>
    <w:rsid w:val="6A933BC6"/>
    <w:rsid w:val="6AA14535"/>
    <w:rsid w:val="6AA3205B"/>
    <w:rsid w:val="6AA64128"/>
    <w:rsid w:val="6AC16985"/>
    <w:rsid w:val="6AD10035"/>
    <w:rsid w:val="6ADE3093"/>
    <w:rsid w:val="6AE30EC7"/>
    <w:rsid w:val="6B2C65A2"/>
    <w:rsid w:val="6B2F1B41"/>
    <w:rsid w:val="6B3C7DBA"/>
    <w:rsid w:val="6B3D24B0"/>
    <w:rsid w:val="6B4734BF"/>
    <w:rsid w:val="6B563571"/>
    <w:rsid w:val="6B56798E"/>
    <w:rsid w:val="6B5B5961"/>
    <w:rsid w:val="6B704E97"/>
    <w:rsid w:val="6B916358"/>
    <w:rsid w:val="6B923E7E"/>
    <w:rsid w:val="6B981494"/>
    <w:rsid w:val="6BA12796"/>
    <w:rsid w:val="6BB87D88"/>
    <w:rsid w:val="6BBD539F"/>
    <w:rsid w:val="6BBF2EC5"/>
    <w:rsid w:val="6BC65DA3"/>
    <w:rsid w:val="6BC8644D"/>
    <w:rsid w:val="6BDF70C3"/>
    <w:rsid w:val="6BEC5795"/>
    <w:rsid w:val="6BF012D0"/>
    <w:rsid w:val="6C031B05"/>
    <w:rsid w:val="6C07661A"/>
    <w:rsid w:val="6C215D07"/>
    <w:rsid w:val="6C2E1DF8"/>
    <w:rsid w:val="6C423AF6"/>
    <w:rsid w:val="6C53185F"/>
    <w:rsid w:val="6C643A6C"/>
    <w:rsid w:val="6C6D0B73"/>
    <w:rsid w:val="6C726189"/>
    <w:rsid w:val="6C847C6A"/>
    <w:rsid w:val="6C904861"/>
    <w:rsid w:val="6CAE0472"/>
    <w:rsid w:val="6CB46F5F"/>
    <w:rsid w:val="6CB57E24"/>
    <w:rsid w:val="6CBE317C"/>
    <w:rsid w:val="6CCB7647"/>
    <w:rsid w:val="6CCD33BF"/>
    <w:rsid w:val="6CE626D3"/>
    <w:rsid w:val="6CE8644B"/>
    <w:rsid w:val="6D1F1741"/>
    <w:rsid w:val="6D203E37"/>
    <w:rsid w:val="6D2B458A"/>
    <w:rsid w:val="6D2F7BD6"/>
    <w:rsid w:val="6D45389E"/>
    <w:rsid w:val="6D521B17"/>
    <w:rsid w:val="6D543AE1"/>
    <w:rsid w:val="6D573B18"/>
    <w:rsid w:val="6D5B09CB"/>
    <w:rsid w:val="6D5F74C9"/>
    <w:rsid w:val="6D611D5A"/>
    <w:rsid w:val="6D684223"/>
    <w:rsid w:val="6D7B106D"/>
    <w:rsid w:val="6D94212F"/>
    <w:rsid w:val="6DB93944"/>
    <w:rsid w:val="6DBB7C3E"/>
    <w:rsid w:val="6DCC18C9"/>
    <w:rsid w:val="6DEF4FD3"/>
    <w:rsid w:val="6DEF7365"/>
    <w:rsid w:val="6E0A23F1"/>
    <w:rsid w:val="6E0B3116"/>
    <w:rsid w:val="6E0F17B6"/>
    <w:rsid w:val="6E1D4F8A"/>
    <w:rsid w:val="6E3556C0"/>
    <w:rsid w:val="6E396833"/>
    <w:rsid w:val="6E452A2F"/>
    <w:rsid w:val="6E4753F3"/>
    <w:rsid w:val="6E5D0773"/>
    <w:rsid w:val="6E5D72E6"/>
    <w:rsid w:val="6E6E0BD2"/>
    <w:rsid w:val="6E80057A"/>
    <w:rsid w:val="6EA65A23"/>
    <w:rsid w:val="6EB83BFB"/>
    <w:rsid w:val="6EC425A0"/>
    <w:rsid w:val="6EC922AC"/>
    <w:rsid w:val="6ED76777"/>
    <w:rsid w:val="6EDD3662"/>
    <w:rsid w:val="6EF731F9"/>
    <w:rsid w:val="6EF96704"/>
    <w:rsid w:val="6F0155A2"/>
    <w:rsid w:val="6F103A37"/>
    <w:rsid w:val="6F1F1ECC"/>
    <w:rsid w:val="6F215C44"/>
    <w:rsid w:val="6F286FD3"/>
    <w:rsid w:val="6F340497"/>
    <w:rsid w:val="6F3516F0"/>
    <w:rsid w:val="6F4A1440"/>
    <w:rsid w:val="6F5222A2"/>
    <w:rsid w:val="6F6049BF"/>
    <w:rsid w:val="6F72024E"/>
    <w:rsid w:val="6F765F90"/>
    <w:rsid w:val="6F8166E3"/>
    <w:rsid w:val="6F8F7052"/>
    <w:rsid w:val="6F9E3748"/>
    <w:rsid w:val="6FAF3250"/>
    <w:rsid w:val="6FD64ACA"/>
    <w:rsid w:val="6FE0165C"/>
    <w:rsid w:val="6FF375E1"/>
    <w:rsid w:val="70025A76"/>
    <w:rsid w:val="70027824"/>
    <w:rsid w:val="70111815"/>
    <w:rsid w:val="70375785"/>
    <w:rsid w:val="703A5210"/>
    <w:rsid w:val="703B0F88"/>
    <w:rsid w:val="7040034C"/>
    <w:rsid w:val="70463FBF"/>
    <w:rsid w:val="70710506"/>
    <w:rsid w:val="70820965"/>
    <w:rsid w:val="70862203"/>
    <w:rsid w:val="7089584F"/>
    <w:rsid w:val="70A26911"/>
    <w:rsid w:val="70A97C9F"/>
    <w:rsid w:val="70BC5C25"/>
    <w:rsid w:val="70C04FE9"/>
    <w:rsid w:val="70DF36C1"/>
    <w:rsid w:val="70E1368D"/>
    <w:rsid w:val="710F7D78"/>
    <w:rsid w:val="711710AD"/>
    <w:rsid w:val="711E68DF"/>
    <w:rsid w:val="71233EF6"/>
    <w:rsid w:val="7137174F"/>
    <w:rsid w:val="713954C7"/>
    <w:rsid w:val="71397275"/>
    <w:rsid w:val="7161057A"/>
    <w:rsid w:val="7179600F"/>
    <w:rsid w:val="717C3606"/>
    <w:rsid w:val="71836742"/>
    <w:rsid w:val="7189187F"/>
    <w:rsid w:val="71903032"/>
    <w:rsid w:val="71921942"/>
    <w:rsid w:val="719A7010"/>
    <w:rsid w:val="71A90A7B"/>
    <w:rsid w:val="71AA1F21"/>
    <w:rsid w:val="71BC1C54"/>
    <w:rsid w:val="71C1726B"/>
    <w:rsid w:val="71C50B09"/>
    <w:rsid w:val="71C56D5B"/>
    <w:rsid w:val="71C70D25"/>
    <w:rsid w:val="71D92806"/>
    <w:rsid w:val="71DB20DB"/>
    <w:rsid w:val="71EC787D"/>
    <w:rsid w:val="71FE226D"/>
    <w:rsid w:val="72086C48"/>
    <w:rsid w:val="720F447A"/>
    <w:rsid w:val="72295052"/>
    <w:rsid w:val="723839D1"/>
    <w:rsid w:val="723B659C"/>
    <w:rsid w:val="723E2669"/>
    <w:rsid w:val="72477770"/>
    <w:rsid w:val="727D13E4"/>
    <w:rsid w:val="728A3B01"/>
    <w:rsid w:val="729D6DC9"/>
    <w:rsid w:val="72AB2356"/>
    <w:rsid w:val="72AE3C93"/>
    <w:rsid w:val="72B50B7E"/>
    <w:rsid w:val="72B56DCF"/>
    <w:rsid w:val="72C45265"/>
    <w:rsid w:val="72DA05E4"/>
    <w:rsid w:val="72DA74D6"/>
    <w:rsid w:val="72F14364"/>
    <w:rsid w:val="72F82FAA"/>
    <w:rsid w:val="72F9168D"/>
    <w:rsid w:val="730D197E"/>
    <w:rsid w:val="73124222"/>
    <w:rsid w:val="7315161C"/>
    <w:rsid w:val="731F249B"/>
    <w:rsid w:val="733F2EED"/>
    <w:rsid w:val="735A1240"/>
    <w:rsid w:val="735C724B"/>
    <w:rsid w:val="735F282B"/>
    <w:rsid w:val="736512DB"/>
    <w:rsid w:val="73663642"/>
    <w:rsid w:val="73774FA0"/>
    <w:rsid w:val="73966C01"/>
    <w:rsid w:val="73970283"/>
    <w:rsid w:val="73A02439"/>
    <w:rsid w:val="73A155A6"/>
    <w:rsid w:val="73C03C7E"/>
    <w:rsid w:val="73C117A4"/>
    <w:rsid w:val="73C82B32"/>
    <w:rsid w:val="73DD027A"/>
    <w:rsid w:val="73F43927"/>
    <w:rsid w:val="73FC27DC"/>
    <w:rsid w:val="740F250F"/>
    <w:rsid w:val="7431692A"/>
    <w:rsid w:val="74343D24"/>
    <w:rsid w:val="74406B6D"/>
    <w:rsid w:val="74422EB3"/>
    <w:rsid w:val="745A42D2"/>
    <w:rsid w:val="746F2FAE"/>
    <w:rsid w:val="74940C67"/>
    <w:rsid w:val="749B1FF5"/>
    <w:rsid w:val="74AC7D5E"/>
    <w:rsid w:val="74E65C46"/>
    <w:rsid w:val="74F33AF1"/>
    <w:rsid w:val="750B0F29"/>
    <w:rsid w:val="750C6A4F"/>
    <w:rsid w:val="751145F2"/>
    <w:rsid w:val="751D0C5C"/>
    <w:rsid w:val="75241FEA"/>
    <w:rsid w:val="7528560E"/>
    <w:rsid w:val="752B3379"/>
    <w:rsid w:val="75324707"/>
    <w:rsid w:val="7539590B"/>
    <w:rsid w:val="75575F1C"/>
    <w:rsid w:val="755F1275"/>
    <w:rsid w:val="7561639C"/>
    <w:rsid w:val="756643B1"/>
    <w:rsid w:val="75742F72"/>
    <w:rsid w:val="757D16FB"/>
    <w:rsid w:val="759058D2"/>
    <w:rsid w:val="759C6025"/>
    <w:rsid w:val="75A94FE5"/>
    <w:rsid w:val="75B66B91"/>
    <w:rsid w:val="75BB70F2"/>
    <w:rsid w:val="75BD4CB2"/>
    <w:rsid w:val="75E81320"/>
    <w:rsid w:val="75F73AEF"/>
    <w:rsid w:val="75F95225"/>
    <w:rsid w:val="761A519B"/>
    <w:rsid w:val="761C7166"/>
    <w:rsid w:val="763079CC"/>
    <w:rsid w:val="764B0C3C"/>
    <w:rsid w:val="765C54A6"/>
    <w:rsid w:val="765E32DA"/>
    <w:rsid w:val="76714909"/>
    <w:rsid w:val="767E397C"/>
    <w:rsid w:val="76832D41"/>
    <w:rsid w:val="76993A39"/>
    <w:rsid w:val="76A74C81"/>
    <w:rsid w:val="76A827A7"/>
    <w:rsid w:val="76B11467"/>
    <w:rsid w:val="76B322BD"/>
    <w:rsid w:val="76B97A88"/>
    <w:rsid w:val="76C97471"/>
    <w:rsid w:val="76DB0DCF"/>
    <w:rsid w:val="76E618C8"/>
    <w:rsid w:val="76EE291F"/>
    <w:rsid w:val="76FA1255"/>
    <w:rsid w:val="7711659E"/>
    <w:rsid w:val="77120171"/>
    <w:rsid w:val="772B58B2"/>
    <w:rsid w:val="774D3A7A"/>
    <w:rsid w:val="775748F9"/>
    <w:rsid w:val="7758241F"/>
    <w:rsid w:val="7769462C"/>
    <w:rsid w:val="776E39F1"/>
    <w:rsid w:val="77996CC0"/>
    <w:rsid w:val="77A31983"/>
    <w:rsid w:val="77A45665"/>
    <w:rsid w:val="77B77146"/>
    <w:rsid w:val="77C33474"/>
    <w:rsid w:val="77C67389"/>
    <w:rsid w:val="77CD0717"/>
    <w:rsid w:val="77CD6648"/>
    <w:rsid w:val="77CF26E1"/>
    <w:rsid w:val="77DE2925"/>
    <w:rsid w:val="77E12415"/>
    <w:rsid w:val="77E93077"/>
    <w:rsid w:val="78222FB1"/>
    <w:rsid w:val="784D05B6"/>
    <w:rsid w:val="787040A2"/>
    <w:rsid w:val="78770683"/>
    <w:rsid w:val="7883136E"/>
    <w:rsid w:val="78880A14"/>
    <w:rsid w:val="78886D34"/>
    <w:rsid w:val="78931961"/>
    <w:rsid w:val="78BA350F"/>
    <w:rsid w:val="78C25DA2"/>
    <w:rsid w:val="78C7160B"/>
    <w:rsid w:val="78D36201"/>
    <w:rsid w:val="78EC1071"/>
    <w:rsid w:val="78F65A4C"/>
    <w:rsid w:val="78FB6851"/>
    <w:rsid w:val="79032574"/>
    <w:rsid w:val="792720A9"/>
    <w:rsid w:val="7927526C"/>
    <w:rsid w:val="793F3897"/>
    <w:rsid w:val="795C61F7"/>
    <w:rsid w:val="7968470A"/>
    <w:rsid w:val="79733540"/>
    <w:rsid w:val="79786DA9"/>
    <w:rsid w:val="797F0137"/>
    <w:rsid w:val="797F1EE5"/>
    <w:rsid w:val="798D4602"/>
    <w:rsid w:val="798E037A"/>
    <w:rsid w:val="799534B7"/>
    <w:rsid w:val="799C4845"/>
    <w:rsid w:val="79BC0A44"/>
    <w:rsid w:val="79C478F8"/>
    <w:rsid w:val="79CC49FF"/>
    <w:rsid w:val="79DC3C7F"/>
    <w:rsid w:val="79FB4610"/>
    <w:rsid w:val="79FE42DA"/>
    <w:rsid w:val="7A230AC3"/>
    <w:rsid w:val="7A3909A7"/>
    <w:rsid w:val="7A3B22B0"/>
    <w:rsid w:val="7A431DDF"/>
    <w:rsid w:val="7A9279F6"/>
    <w:rsid w:val="7A9E283F"/>
    <w:rsid w:val="7AAD65DE"/>
    <w:rsid w:val="7AAF1ABB"/>
    <w:rsid w:val="7AB62AC1"/>
    <w:rsid w:val="7ADB1B81"/>
    <w:rsid w:val="7AE00762"/>
    <w:rsid w:val="7AFB0969"/>
    <w:rsid w:val="7AFD57B8"/>
    <w:rsid w:val="7B152209"/>
    <w:rsid w:val="7B2C7E4B"/>
    <w:rsid w:val="7B476A33"/>
    <w:rsid w:val="7B5F7383"/>
    <w:rsid w:val="7B602D09"/>
    <w:rsid w:val="7B7535A0"/>
    <w:rsid w:val="7B89704B"/>
    <w:rsid w:val="7B937ECA"/>
    <w:rsid w:val="7B9652C4"/>
    <w:rsid w:val="7BA23C69"/>
    <w:rsid w:val="7BA774D1"/>
    <w:rsid w:val="7BAE0860"/>
    <w:rsid w:val="7BBD4F47"/>
    <w:rsid w:val="7BC83FD6"/>
    <w:rsid w:val="7BCE2CB0"/>
    <w:rsid w:val="7BE00DF9"/>
    <w:rsid w:val="7C091539"/>
    <w:rsid w:val="7C1366ED"/>
    <w:rsid w:val="7C2D5C8D"/>
    <w:rsid w:val="7C466CEA"/>
    <w:rsid w:val="7C4C62DD"/>
    <w:rsid w:val="7C515CE5"/>
    <w:rsid w:val="7C635AEE"/>
    <w:rsid w:val="7C63789C"/>
    <w:rsid w:val="7C6B49A3"/>
    <w:rsid w:val="7C781299"/>
    <w:rsid w:val="7C8415C1"/>
    <w:rsid w:val="7C9107AD"/>
    <w:rsid w:val="7CBE2D25"/>
    <w:rsid w:val="7CD04806"/>
    <w:rsid w:val="7CD965D9"/>
    <w:rsid w:val="7CDF326D"/>
    <w:rsid w:val="7CEF7382"/>
    <w:rsid w:val="7CF90201"/>
    <w:rsid w:val="7CF93D5D"/>
    <w:rsid w:val="7CFB5D27"/>
    <w:rsid w:val="7D016BAE"/>
    <w:rsid w:val="7D0C3A90"/>
    <w:rsid w:val="7D1868D9"/>
    <w:rsid w:val="7D276B1C"/>
    <w:rsid w:val="7D2C7C8E"/>
    <w:rsid w:val="7D311748"/>
    <w:rsid w:val="7D3D1E9B"/>
    <w:rsid w:val="7D52346D"/>
    <w:rsid w:val="7D595AD0"/>
    <w:rsid w:val="7D6013F3"/>
    <w:rsid w:val="7D6513F2"/>
    <w:rsid w:val="7D7B29C4"/>
    <w:rsid w:val="7D8555F0"/>
    <w:rsid w:val="7D965A4F"/>
    <w:rsid w:val="7D9D293A"/>
    <w:rsid w:val="7DA912DF"/>
    <w:rsid w:val="7DB52379"/>
    <w:rsid w:val="7DB61057"/>
    <w:rsid w:val="7DDE3FD8"/>
    <w:rsid w:val="7DE20C95"/>
    <w:rsid w:val="7DEB18F7"/>
    <w:rsid w:val="7DEB5D9B"/>
    <w:rsid w:val="7DF52776"/>
    <w:rsid w:val="7DFD162B"/>
    <w:rsid w:val="7E215319"/>
    <w:rsid w:val="7E392135"/>
    <w:rsid w:val="7E3E7859"/>
    <w:rsid w:val="7E462FD2"/>
    <w:rsid w:val="7E466B24"/>
    <w:rsid w:val="7E953F59"/>
    <w:rsid w:val="7E9F26E2"/>
    <w:rsid w:val="7ED54355"/>
    <w:rsid w:val="7EDC3936"/>
    <w:rsid w:val="7F043B78"/>
    <w:rsid w:val="7F166E48"/>
    <w:rsid w:val="7F191518"/>
    <w:rsid w:val="7F2552DD"/>
    <w:rsid w:val="7F272E03"/>
    <w:rsid w:val="7F2D7CEE"/>
    <w:rsid w:val="7F3379FA"/>
    <w:rsid w:val="7F343772"/>
    <w:rsid w:val="7F390D88"/>
    <w:rsid w:val="7F416C3E"/>
    <w:rsid w:val="7F606315"/>
    <w:rsid w:val="7F696FDB"/>
    <w:rsid w:val="7F7629D3"/>
    <w:rsid w:val="7F7F2C3F"/>
    <w:rsid w:val="7F964BF5"/>
    <w:rsid w:val="7FA432E0"/>
    <w:rsid w:val="7FB10B62"/>
    <w:rsid w:val="7FB34697"/>
    <w:rsid w:val="7FC164C0"/>
    <w:rsid w:val="7FD86EE9"/>
    <w:rsid w:val="7FF014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uiPriority="0" w:name="toc 8"/>
    <w:lsdException w:uiPriority="0" w:name="toc 9"/>
    <w:lsdException w:qFormat="1" w:unhideWhenUsed="0" w:uiPriority="0" w:semiHidden="0" w:name="Normal Indent"/>
    <w:lsdException w:qFormat="1" w:unhideWhenUsed="0" w:uiPriority="0" w:name="footnote text"/>
    <w:lsdException w:qFormat="1"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qFormat="1" w:unhideWhenUsed="0" w:uiPriority="0" w:name="table of figures"/>
    <w:lsdException w:uiPriority="99" w:name="envelope address"/>
    <w:lsdException w:uiPriority="99" w:name="envelope return"/>
    <w:lsdException w:qFormat="1" w:unhideWhenUsed="0" w:uiPriority="0" w:name="footnote reference"/>
    <w:lsdException w:qFormat="1" w:uiPriority="99" w:name="annotation reference"/>
    <w:lsdException w:uiPriority="99" w:name="line number"/>
    <w:lsdException w:qFormat="1" w:unhideWhenUsed="0" w:uiPriority="0" w:semiHidden="0"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qFormat="1"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9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400" w:lineRule="exact"/>
      <w:jc w:val="both"/>
    </w:pPr>
    <w:rPr>
      <w:rFonts w:ascii="Calibri" w:hAnsi="Calibri" w:eastAsia="宋体" w:cs="Times New Roman"/>
      <w:kern w:val="2"/>
      <w:sz w:val="21"/>
      <w:szCs w:val="21"/>
      <w:lang w:val="en-US" w:eastAsia="zh-CN" w:bidi="ar-SA"/>
    </w:rPr>
  </w:style>
  <w:style w:type="paragraph" w:styleId="2">
    <w:name w:val="heading 1"/>
    <w:basedOn w:val="1"/>
    <w:next w:val="1"/>
    <w:link w:val="46"/>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47"/>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48"/>
    <w:qFormat/>
    <w:uiPriority w:val="0"/>
    <w:pPr>
      <w:keepNext/>
      <w:keepLines/>
      <w:spacing w:before="260" w:after="260" w:line="416" w:lineRule="auto"/>
      <w:outlineLvl w:val="2"/>
    </w:pPr>
    <w:rPr>
      <w:b/>
      <w:bCs/>
      <w:sz w:val="32"/>
      <w:szCs w:val="32"/>
    </w:rPr>
  </w:style>
  <w:style w:type="paragraph" w:styleId="5">
    <w:name w:val="heading 4"/>
    <w:basedOn w:val="1"/>
    <w:next w:val="1"/>
    <w:link w:val="49"/>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50"/>
    <w:qFormat/>
    <w:uiPriority w:val="0"/>
    <w:pPr>
      <w:keepNext/>
      <w:keepLines/>
      <w:adjustRightInd/>
      <w:spacing w:before="280" w:after="290" w:line="376" w:lineRule="auto"/>
      <w:outlineLvl w:val="4"/>
    </w:pPr>
    <w:rPr>
      <w:b/>
      <w:bCs/>
      <w:sz w:val="28"/>
      <w:szCs w:val="28"/>
    </w:rPr>
  </w:style>
  <w:style w:type="paragraph" w:styleId="7">
    <w:name w:val="heading 6"/>
    <w:basedOn w:val="1"/>
    <w:next w:val="1"/>
    <w:link w:val="51"/>
    <w:qFormat/>
    <w:uiPriority w:val="0"/>
    <w:pPr>
      <w:keepNext/>
      <w:keepLines/>
      <w:adjustRightInd/>
      <w:spacing w:before="240" w:after="64" w:line="320" w:lineRule="auto"/>
      <w:outlineLvl w:val="5"/>
    </w:pPr>
    <w:rPr>
      <w:rFonts w:ascii="Arial" w:hAnsi="Arial" w:eastAsia="黑体"/>
      <w:b/>
      <w:bCs/>
      <w:sz w:val="24"/>
      <w:szCs w:val="24"/>
    </w:rPr>
  </w:style>
  <w:style w:type="paragraph" w:styleId="8">
    <w:name w:val="heading 7"/>
    <w:basedOn w:val="1"/>
    <w:next w:val="1"/>
    <w:link w:val="52"/>
    <w:qFormat/>
    <w:uiPriority w:val="0"/>
    <w:pPr>
      <w:keepNext/>
      <w:keepLines/>
      <w:adjustRightInd/>
      <w:spacing w:before="240" w:after="64" w:line="320" w:lineRule="auto"/>
      <w:outlineLvl w:val="6"/>
    </w:pPr>
    <w:rPr>
      <w:b/>
      <w:bCs/>
      <w:sz w:val="24"/>
      <w:szCs w:val="24"/>
    </w:rPr>
  </w:style>
  <w:style w:type="paragraph" w:styleId="9">
    <w:name w:val="heading 8"/>
    <w:basedOn w:val="1"/>
    <w:next w:val="1"/>
    <w:link w:val="53"/>
    <w:qFormat/>
    <w:uiPriority w:val="0"/>
    <w:pPr>
      <w:keepNext/>
      <w:keepLines/>
      <w:adjustRightInd/>
      <w:spacing w:before="240" w:after="64" w:line="320" w:lineRule="auto"/>
      <w:outlineLvl w:val="7"/>
    </w:pPr>
    <w:rPr>
      <w:rFonts w:ascii="Arial" w:hAnsi="Arial" w:eastAsia="黑体"/>
      <w:sz w:val="24"/>
      <w:szCs w:val="24"/>
    </w:rPr>
  </w:style>
  <w:style w:type="paragraph" w:styleId="10">
    <w:name w:val="heading 9"/>
    <w:basedOn w:val="1"/>
    <w:next w:val="1"/>
    <w:link w:val="54"/>
    <w:qFormat/>
    <w:uiPriority w:val="0"/>
    <w:pPr>
      <w:keepNext/>
      <w:keepLines/>
      <w:adjustRightInd/>
      <w:spacing w:before="240" w:after="64" w:line="320" w:lineRule="auto"/>
      <w:outlineLvl w:val="8"/>
    </w:pPr>
    <w:rPr>
      <w:rFonts w:ascii="Arial" w:hAnsi="Arial" w:eastAsia="黑体"/>
    </w:rPr>
  </w:style>
  <w:style w:type="character" w:default="1" w:styleId="33">
    <w:name w:val="Default Paragraph Font"/>
    <w:semiHidden/>
    <w:unhideWhenUsed/>
    <w:qFormat/>
    <w:uiPriority w:val="1"/>
  </w:style>
  <w:style w:type="table" w:default="1" w:styleId="31">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tabs>
        <w:tab w:val="right" w:leader="dot" w:pos="9344"/>
      </w:tabs>
      <w:spacing w:line="300" w:lineRule="exact"/>
      <w:ind w:left="1259"/>
    </w:pPr>
    <w:rPr>
      <w:rFonts w:ascii="宋体"/>
    </w:rPr>
  </w:style>
  <w:style w:type="paragraph" w:styleId="12">
    <w:name w:val="Normal Indent"/>
    <w:basedOn w:val="1"/>
    <w:qFormat/>
    <w:uiPriority w:val="0"/>
    <w:pPr>
      <w:ind w:firstLine="420"/>
    </w:pPr>
  </w:style>
  <w:style w:type="paragraph" w:styleId="13">
    <w:name w:val="Document Map"/>
    <w:basedOn w:val="1"/>
    <w:link w:val="254"/>
    <w:semiHidden/>
    <w:unhideWhenUsed/>
    <w:qFormat/>
    <w:uiPriority w:val="99"/>
    <w:pPr>
      <w:shd w:val="clear" w:color="auto" w:fill="000080"/>
    </w:pPr>
  </w:style>
  <w:style w:type="paragraph" w:styleId="14">
    <w:name w:val="annotation text"/>
    <w:basedOn w:val="1"/>
    <w:link w:val="260"/>
    <w:semiHidden/>
    <w:unhideWhenUsed/>
    <w:qFormat/>
    <w:uiPriority w:val="99"/>
    <w:pPr>
      <w:jc w:val="left"/>
    </w:pPr>
    <w:rPr>
      <w:rFonts w:ascii="Times New Roman" w:hAnsi="Times New Roman"/>
      <w:szCs w:val="24"/>
    </w:rPr>
  </w:style>
  <w:style w:type="paragraph" w:styleId="15">
    <w:name w:val="Body Text"/>
    <w:basedOn w:val="1"/>
    <w:link w:val="97"/>
    <w:qFormat/>
    <w:uiPriority w:val="0"/>
    <w:pPr>
      <w:spacing w:after="120"/>
    </w:pPr>
  </w:style>
  <w:style w:type="paragraph" w:styleId="16">
    <w:name w:val="toc 5"/>
    <w:basedOn w:val="1"/>
    <w:next w:val="1"/>
    <w:unhideWhenUsed/>
    <w:qFormat/>
    <w:uiPriority w:val="39"/>
    <w:pPr>
      <w:ind w:left="839"/>
    </w:pPr>
    <w:rPr>
      <w:rFonts w:ascii="宋体"/>
    </w:rPr>
  </w:style>
  <w:style w:type="paragraph" w:styleId="17">
    <w:name w:val="toc 3"/>
    <w:basedOn w:val="1"/>
    <w:next w:val="1"/>
    <w:unhideWhenUsed/>
    <w:qFormat/>
    <w:uiPriority w:val="39"/>
    <w:pPr>
      <w:spacing w:line="300" w:lineRule="exact"/>
      <w:ind w:left="420"/>
    </w:pPr>
    <w:rPr>
      <w:rFonts w:ascii="宋体"/>
    </w:rPr>
  </w:style>
  <w:style w:type="paragraph" w:styleId="18">
    <w:name w:val="endnote text"/>
    <w:basedOn w:val="1"/>
    <w:link w:val="259"/>
    <w:semiHidden/>
    <w:unhideWhenUsed/>
    <w:qFormat/>
    <w:uiPriority w:val="99"/>
    <w:pPr>
      <w:snapToGrid w:val="0"/>
      <w:jc w:val="left"/>
    </w:pPr>
  </w:style>
  <w:style w:type="paragraph" w:styleId="19">
    <w:name w:val="Balloon Text"/>
    <w:basedOn w:val="1"/>
    <w:link w:val="57"/>
    <w:semiHidden/>
    <w:unhideWhenUsed/>
    <w:qFormat/>
    <w:uiPriority w:val="99"/>
    <w:rPr>
      <w:sz w:val="18"/>
      <w:szCs w:val="18"/>
    </w:rPr>
  </w:style>
  <w:style w:type="paragraph" w:styleId="20">
    <w:name w:val="footer"/>
    <w:basedOn w:val="1"/>
    <w:link w:val="56"/>
    <w:qFormat/>
    <w:uiPriority w:val="99"/>
    <w:pPr>
      <w:tabs>
        <w:tab w:val="center" w:pos="4153"/>
        <w:tab w:val="right" w:pos="8306"/>
      </w:tabs>
      <w:adjustRightInd/>
      <w:snapToGrid w:val="0"/>
      <w:spacing w:line="240" w:lineRule="auto"/>
      <w:jc w:val="right"/>
    </w:pPr>
    <w:rPr>
      <w:rFonts w:ascii="宋体"/>
      <w:sz w:val="18"/>
      <w:szCs w:val="18"/>
    </w:rPr>
  </w:style>
  <w:style w:type="paragraph" w:styleId="21">
    <w:name w:val="header"/>
    <w:basedOn w:val="1"/>
    <w:link w:val="55"/>
    <w:qFormat/>
    <w:uiPriority w:val="99"/>
    <w:pPr>
      <w:tabs>
        <w:tab w:val="center" w:pos="4153"/>
        <w:tab w:val="right" w:pos="8306"/>
      </w:tabs>
      <w:adjustRightInd/>
      <w:snapToGrid w:val="0"/>
      <w:jc w:val="center"/>
    </w:pPr>
    <w:rPr>
      <w:sz w:val="18"/>
      <w:szCs w:val="18"/>
    </w:rPr>
  </w:style>
  <w:style w:type="paragraph" w:styleId="22">
    <w:name w:val="toc 1"/>
    <w:basedOn w:val="1"/>
    <w:next w:val="1"/>
    <w:unhideWhenUsed/>
    <w:qFormat/>
    <w:uiPriority w:val="39"/>
    <w:rPr>
      <w:rFonts w:ascii="宋体"/>
    </w:rPr>
  </w:style>
  <w:style w:type="paragraph" w:styleId="23">
    <w:name w:val="toc 4"/>
    <w:basedOn w:val="1"/>
    <w:next w:val="1"/>
    <w:unhideWhenUsed/>
    <w:qFormat/>
    <w:uiPriority w:val="39"/>
    <w:pPr>
      <w:tabs>
        <w:tab w:val="right" w:leader="dot" w:pos="9344"/>
      </w:tabs>
      <w:spacing w:line="300" w:lineRule="exact"/>
      <w:ind w:left="629"/>
    </w:pPr>
    <w:rPr>
      <w:rFonts w:ascii="宋体"/>
    </w:rPr>
  </w:style>
  <w:style w:type="paragraph" w:styleId="24">
    <w:name w:val="footnote text"/>
    <w:basedOn w:val="1"/>
    <w:next w:val="1"/>
    <w:link w:val="110"/>
    <w:semiHidden/>
    <w:qFormat/>
    <w:uiPriority w:val="0"/>
    <w:pPr>
      <w:adjustRightInd/>
      <w:snapToGrid w:val="0"/>
      <w:spacing w:line="300" w:lineRule="exact"/>
      <w:ind w:left="400" w:leftChars="200" w:hanging="200" w:hangingChars="200"/>
      <w:jc w:val="left"/>
    </w:pPr>
    <w:rPr>
      <w:rFonts w:ascii="宋体"/>
      <w:sz w:val="18"/>
      <w:szCs w:val="18"/>
    </w:rPr>
  </w:style>
  <w:style w:type="paragraph" w:styleId="25">
    <w:name w:val="toc 6"/>
    <w:basedOn w:val="1"/>
    <w:next w:val="1"/>
    <w:unhideWhenUsed/>
    <w:qFormat/>
    <w:uiPriority w:val="39"/>
    <w:pPr>
      <w:spacing w:line="300" w:lineRule="exact"/>
      <w:ind w:left="1049"/>
    </w:pPr>
    <w:rPr>
      <w:rFonts w:ascii="宋体"/>
    </w:rPr>
  </w:style>
  <w:style w:type="paragraph" w:styleId="26">
    <w:name w:val="table of figures"/>
    <w:basedOn w:val="1"/>
    <w:next w:val="1"/>
    <w:semiHidden/>
    <w:qFormat/>
    <w:uiPriority w:val="0"/>
    <w:pPr>
      <w:adjustRightInd/>
      <w:spacing w:line="240" w:lineRule="auto"/>
      <w:jc w:val="left"/>
    </w:pPr>
    <w:rPr>
      <w:szCs w:val="24"/>
    </w:rPr>
  </w:style>
  <w:style w:type="paragraph" w:styleId="27">
    <w:name w:val="toc 2"/>
    <w:basedOn w:val="1"/>
    <w:next w:val="1"/>
    <w:unhideWhenUsed/>
    <w:qFormat/>
    <w:uiPriority w:val="39"/>
    <w:pPr>
      <w:tabs>
        <w:tab w:val="right" w:leader="dot" w:pos="9344"/>
      </w:tabs>
      <w:spacing w:line="300" w:lineRule="exact"/>
      <w:ind w:left="210"/>
    </w:pPr>
    <w:rPr>
      <w:rFonts w:ascii="宋体"/>
    </w:rPr>
  </w:style>
  <w:style w:type="paragraph" w:styleId="28">
    <w:name w:val="Normal (Web)"/>
    <w:basedOn w:val="1"/>
    <w:unhideWhenUsed/>
    <w:qFormat/>
    <w:uiPriority w:val="99"/>
    <w:rPr>
      <w:sz w:val="24"/>
    </w:rPr>
  </w:style>
  <w:style w:type="paragraph" w:styleId="29">
    <w:name w:val="Title"/>
    <w:basedOn w:val="1"/>
    <w:link w:val="60"/>
    <w:qFormat/>
    <w:uiPriority w:val="0"/>
    <w:pPr>
      <w:spacing w:before="240" w:after="60"/>
      <w:jc w:val="center"/>
      <w:outlineLvl w:val="0"/>
    </w:pPr>
    <w:rPr>
      <w:rFonts w:ascii="Arial" w:hAnsi="Arial" w:cs="Arial"/>
      <w:b/>
      <w:bCs/>
      <w:sz w:val="32"/>
      <w:szCs w:val="32"/>
    </w:rPr>
  </w:style>
  <w:style w:type="paragraph" w:styleId="30">
    <w:name w:val="annotation subject"/>
    <w:basedOn w:val="14"/>
    <w:next w:val="14"/>
    <w:link w:val="261"/>
    <w:semiHidden/>
    <w:unhideWhenUsed/>
    <w:qFormat/>
    <w:uiPriority w:val="99"/>
    <w:rPr>
      <w:b/>
    </w:rPr>
  </w:style>
  <w:style w:type="table" w:styleId="32">
    <w:name w:val="Table Grid"/>
    <w:basedOn w:val="31"/>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4">
    <w:name w:val="Strong"/>
    <w:qFormat/>
    <w:uiPriority w:val="22"/>
    <w:rPr>
      <w:b/>
      <w:bCs/>
    </w:rPr>
  </w:style>
  <w:style w:type="character" w:styleId="35">
    <w:name w:val="endnote reference"/>
    <w:basedOn w:val="33"/>
    <w:semiHidden/>
    <w:unhideWhenUsed/>
    <w:qFormat/>
    <w:uiPriority w:val="99"/>
    <w:rPr>
      <w:vertAlign w:val="superscript"/>
    </w:rPr>
  </w:style>
  <w:style w:type="character" w:styleId="36">
    <w:name w:val="page number"/>
    <w:qFormat/>
    <w:uiPriority w:val="0"/>
    <w:rPr>
      <w:rFonts w:ascii="宋体" w:hAnsi="Times New Roman" w:eastAsia="宋体"/>
      <w:sz w:val="18"/>
    </w:rPr>
  </w:style>
  <w:style w:type="character" w:styleId="37">
    <w:name w:val="FollowedHyperlink"/>
    <w:basedOn w:val="33"/>
    <w:semiHidden/>
    <w:unhideWhenUsed/>
    <w:qFormat/>
    <w:uiPriority w:val="99"/>
    <w:rPr>
      <w:color w:val="800080"/>
      <w:u w:val="single"/>
    </w:rPr>
  </w:style>
  <w:style w:type="character" w:styleId="38">
    <w:name w:val="Emphasis"/>
    <w:qFormat/>
    <w:uiPriority w:val="20"/>
    <w:rPr>
      <w:i/>
      <w:iCs/>
    </w:rPr>
  </w:style>
  <w:style w:type="character" w:styleId="39">
    <w:name w:val="Hyperlink"/>
    <w:qFormat/>
    <w:uiPriority w:val="99"/>
    <w:rPr>
      <w:rFonts w:ascii="宋体" w:hAnsi="Times New Roman" w:eastAsia="宋体"/>
      <w:color w:val="auto"/>
      <w:spacing w:val="0"/>
      <w:w w:val="100"/>
      <w:position w:val="0"/>
      <w:sz w:val="21"/>
      <w:u w:val="none"/>
      <w:vertAlign w:val="baseline"/>
    </w:rPr>
  </w:style>
  <w:style w:type="character" w:styleId="40">
    <w:name w:val="HTML Code"/>
    <w:basedOn w:val="33"/>
    <w:semiHidden/>
    <w:unhideWhenUsed/>
    <w:qFormat/>
    <w:uiPriority w:val="99"/>
    <w:rPr>
      <w:rFonts w:ascii="Courier New" w:hAnsi="Courier New"/>
      <w:sz w:val="20"/>
    </w:rPr>
  </w:style>
  <w:style w:type="character" w:styleId="41">
    <w:name w:val="annotation reference"/>
    <w:basedOn w:val="33"/>
    <w:semiHidden/>
    <w:unhideWhenUsed/>
    <w:qFormat/>
    <w:uiPriority w:val="99"/>
    <w:rPr>
      <w:sz w:val="21"/>
      <w:szCs w:val="21"/>
    </w:rPr>
  </w:style>
  <w:style w:type="character" w:styleId="42">
    <w:name w:val="footnote reference"/>
    <w:semiHidden/>
    <w:qFormat/>
    <w:uiPriority w:val="0"/>
    <w:rPr>
      <w:rFonts w:ascii="宋体" w:hAnsi="宋体" w:eastAsia="宋体" w:cs="Times New Roman"/>
      <w:spacing w:val="0"/>
      <w:sz w:val="18"/>
      <w:vertAlign w:val="superscript"/>
    </w:rPr>
  </w:style>
  <w:style w:type="paragraph" w:styleId="43">
    <w:name w:val="List Paragraph"/>
    <w:basedOn w:val="1"/>
    <w:qFormat/>
    <w:uiPriority w:val="34"/>
    <w:pPr>
      <w:ind w:firstLine="420" w:firstLineChars="200"/>
    </w:pPr>
  </w:style>
  <w:style w:type="paragraph" w:customStyle="1" w:styleId="44">
    <w:name w:val="标准文件_段"/>
    <w:link w:val="45"/>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45">
    <w:name w:val="标准文件_段 Char"/>
    <w:link w:val="44"/>
    <w:qFormat/>
    <w:uiPriority w:val="0"/>
    <w:rPr>
      <w:rFonts w:ascii="宋体" w:hAnsi="Times New Roman"/>
      <w:sz w:val="21"/>
    </w:rPr>
  </w:style>
  <w:style w:type="character" w:customStyle="1" w:styleId="46">
    <w:name w:val="标题 1 字符"/>
    <w:link w:val="2"/>
    <w:qFormat/>
    <w:uiPriority w:val="0"/>
    <w:rPr>
      <w:rFonts w:ascii="Times New Roman" w:hAnsi="Times New Roman" w:eastAsia="宋体" w:cs="Times New Roman"/>
      <w:b/>
      <w:bCs/>
      <w:kern w:val="44"/>
      <w:sz w:val="44"/>
      <w:szCs w:val="44"/>
    </w:rPr>
  </w:style>
  <w:style w:type="character" w:customStyle="1" w:styleId="47">
    <w:name w:val="标题 2 字符"/>
    <w:link w:val="3"/>
    <w:qFormat/>
    <w:uiPriority w:val="0"/>
    <w:rPr>
      <w:rFonts w:ascii="Arial" w:hAnsi="Arial" w:eastAsia="黑体" w:cs="Times New Roman"/>
      <w:b/>
      <w:bCs/>
      <w:sz w:val="32"/>
      <w:szCs w:val="32"/>
    </w:rPr>
  </w:style>
  <w:style w:type="character" w:customStyle="1" w:styleId="48">
    <w:name w:val="标题 3 字符"/>
    <w:link w:val="4"/>
    <w:qFormat/>
    <w:uiPriority w:val="0"/>
    <w:rPr>
      <w:rFonts w:ascii="Times New Roman" w:hAnsi="Times New Roman" w:eastAsia="宋体" w:cs="Times New Roman"/>
      <w:b/>
      <w:bCs/>
      <w:sz w:val="32"/>
      <w:szCs w:val="32"/>
    </w:rPr>
  </w:style>
  <w:style w:type="character" w:customStyle="1" w:styleId="49">
    <w:name w:val="标题 4 字符"/>
    <w:link w:val="5"/>
    <w:qFormat/>
    <w:uiPriority w:val="0"/>
    <w:rPr>
      <w:rFonts w:ascii="Arial" w:hAnsi="Arial" w:eastAsia="黑体" w:cs="Times New Roman"/>
      <w:b/>
      <w:bCs/>
      <w:sz w:val="28"/>
      <w:szCs w:val="28"/>
    </w:rPr>
  </w:style>
  <w:style w:type="character" w:customStyle="1" w:styleId="50">
    <w:name w:val="标题 5 字符"/>
    <w:link w:val="6"/>
    <w:qFormat/>
    <w:uiPriority w:val="0"/>
    <w:rPr>
      <w:rFonts w:ascii="Times New Roman" w:hAnsi="Times New Roman" w:eastAsia="宋体" w:cs="Times New Roman"/>
      <w:b/>
      <w:bCs/>
      <w:sz w:val="28"/>
      <w:szCs w:val="28"/>
    </w:rPr>
  </w:style>
  <w:style w:type="character" w:customStyle="1" w:styleId="51">
    <w:name w:val="标题 6 字符"/>
    <w:link w:val="7"/>
    <w:qFormat/>
    <w:uiPriority w:val="0"/>
    <w:rPr>
      <w:rFonts w:ascii="Arial" w:hAnsi="Arial" w:eastAsia="黑体" w:cs="Times New Roman"/>
      <w:b/>
      <w:bCs/>
      <w:sz w:val="24"/>
      <w:szCs w:val="24"/>
    </w:rPr>
  </w:style>
  <w:style w:type="character" w:customStyle="1" w:styleId="52">
    <w:name w:val="标题 7 字符"/>
    <w:link w:val="8"/>
    <w:qFormat/>
    <w:uiPriority w:val="0"/>
    <w:rPr>
      <w:rFonts w:ascii="Times New Roman" w:hAnsi="Times New Roman" w:eastAsia="宋体" w:cs="Times New Roman"/>
      <w:b/>
      <w:bCs/>
      <w:sz w:val="24"/>
      <w:szCs w:val="24"/>
    </w:rPr>
  </w:style>
  <w:style w:type="character" w:customStyle="1" w:styleId="53">
    <w:name w:val="标题 8 字符"/>
    <w:link w:val="9"/>
    <w:qFormat/>
    <w:uiPriority w:val="0"/>
    <w:rPr>
      <w:rFonts w:ascii="Arial" w:hAnsi="Arial" w:eastAsia="黑体" w:cs="Times New Roman"/>
      <w:sz w:val="24"/>
      <w:szCs w:val="24"/>
    </w:rPr>
  </w:style>
  <w:style w:type="character" w:customStyle="1" w:styleId="54">
    <w:name w:val="标题 9 字符"/>
    <w:link w:val="10"/>
    <w:qFormat/>
    <w:uiPriority w:val="0"/>
    <w:rPr>
      <w:rFonts w:ascii="Arial" w:hAnsi="Arial" w:eastAsia="黑体" w:cs="Times New Roman"/>
      <w:szCs w:val="21"/>
    </w:rPr>
  </w:style>
  <w:style w:type="character" w:customStyle="1" w:styleId="55">
    <w:name w:val="页眉 字符"/>
    <w:link w:val="21"/>
    <w:qFormat/>
    <w:uiPriority w:val="99"/>
    <w:rPr>
      <w:rFonts w:ascii="Times New Roman" w:hAnsi="Times New Roman" w:eastAsia="宋体" w:cs="Times New Roman"/>
      <w:sz w:val="18"/>
      <w:szCs w:val="18"/>
    </w:rPr>
  </w:style>
  <w:style w:type="character" w:customStyle="1" w:styleId="56">
    <w:name w:val="页脚 字符"/>
    <w:link w:val="20"/>
    <w:qFormat/>
    <w:uiPriority w:val="99"/>
    <w:rPr>
      <w:rFonts w:ascii="宋体" w:hAnsi="Times New Roman" w:eastAsia="宋体" w:cs="Times New Roman"/>
      <w:sz w:val="18"/>
      <w:szCs w:val="18"/>
    </w:rPr>
  </w:style>
  <w:style w:type="character" w:customStyle="1" w:styleId="57">
    <w:name w:val="批注框文本 字符"/>
    <w:link w:val="19"/>
    <w:semiHidden/>
    <w:qFormat/>
    <w:uiPriority w:val="99"/>
    <w:rPr>
      <w:sz w:val="18"/>
      <w:szCs w:val="18"/>
    </w:rPr>
  </w:style>
  <w:style w:type="paragraph" w:styleId="58">
    <w:name w:val="Quote"/>
    <w:basedOn w:val="1"/>
    <w:next w:val="1"/>
    <w:link w:val="59"/>
    <w:qFormat/>
    <w:uiPriority w:val="29"/>
    <w:rPr>
      <w:i/>
      <w:iCs/>
      <w:color w:val="000000"/>
    </w:rPr>
  </w:style>
  <w:style w:type="character" w:customStyle="1" w:styleId="59">
    <w:name w:val="引用 字符"/>
    <w:link w:val="58"/>
    <w:qFormat/>
    <w:uiPriority w:val="29"/>
    <w:rPr>
      <w:i/>
      <w:iCs/>
      <w:color w:val="000000"/>
    </w:rPr>
  </w:style>
  <w:style w:type="character" w:customStyle="1" w:styleId="60">
    <w:name w:val="标题 字符"/>
    <w:link w:val="29"/>
    <w:qFormat/>
    <w:uiPriority w:val="0"/>
    <w:rPr>
      <w:rFonts w:ascii="Arial" w:hAnsi="Arial" w:eastAsia="宋体" w:cs="Arial"/>
      <w:b/>
      <w:bCs/>
      <w:sz w:val="32"/>
      <w:szCs w:val="32"/>
    </w:rPr>
  </w:style>
  <w:style w:type="paragraph" w:customStyle="1" w:styleId="61">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62">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63">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64">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65">
    <w:name w:val="标准书眉一"/>
    <w:qFormat/>
    <w:uiPriority w:val="0"/>
    <w:pPr>
      <w:jc w:val="both"/>
    </w:pPr>
    <w:rPr>
      <w:rFonts w:ascii="Times New Roman" w:hAnsi="Times New Roman" w:eastAsia="宋体" w:cs="Times New Roman"/>
      <w:lang w:val="en-US" w:eastAsia="zh-CN" w:bidi="ar-SA"/>
    </w:rPr>
  </w:style>
  <w:style w:type="paragraph" w:customStyle="1" w:styleId="66">
    <w:name w:val="标准文件_ICS"/>
    <w:basedOn w:val="1"/>
    <w:qFormat/>
    <w:uiPriority w:val="0"/>
    <w:pPr>
      <w:spacing w:line="0" w:lineRule="atLeast"/>
    </w:pPr>
    <w:rPr>
      <w:rFonts w:ascii="黑体" w:hAnsi="宋体" w:eastAsia="黑体"/>
    </w:rPr>
  </w:style>
  <w:style w:type="paragraph" w:customStyle="1" w:styleId="67">
    <w:name w:val="标准文件_标准正文"/>
    <w:basedOn w:val="1"/>
    <w:next w:val="44"/>
    <w:qFormat/>
    <w:uiPriority w:val="0"/>
    <w:pPr>
      <w:snapToGrid w:val="0"/>
      <w:ind w:firstLine="200" w:firstLineChars="200"/>
    </w:pPr>
    <w:rPr>
      <w:kern w:val="0"/>
    </w:rPr>
  </w:style>
  <w:style w:type="paragraph" w:customStyle="1" w:styleId="68">
    <w:name w:val="标准文件_版本"/>
    <w:basedOn w:val="67"/>
    <w:qFormat/>
    <w:uiPriority w:val="0"/>
    <w:pPr>
      <w:adjustRightInd/>
      <w:snapToGrid/>
      <w:ind w:firstLine="0" w:firstLineChars="0"/>
    </w:pPr>
    <w:rPr>
      <w:rFonts w:ascii="宋体" w:hAnsi="宋体"/>
      <w:kern w:val="2"/>
    </w:rPr>
  </w:style>
  <w:style w:type="paragraph" w:customStyle="1" w:styleId="69">
    <w:name w:val="标准文件_标准部门"/>
    <w:basedOn w:val="1"/>
    <w:qFormat/>
    <w:uiPriority w:val="0"/>
    <w:pPr>
      <w:jc w:val="center"/>
    </w:pPr>
    <w:rPr>
      <w:rFonts w:ascii="黑体" w:eastAsia="黑体"/>
      <w:kern w:val="0"/>
      <w:sz w:val="44"/>
    </w:rPr>
  </w:style>
  <w:style w:type="paragraph" w:customStyle="1" w:styleId="70">
    <w:name w:val="标准文件_标准代替"/>
    <w:basedOn w:val="1"/>
    <w:next w:val="1"/>
    <w:qFormat/>
    <w:uiPriority w:val="0"/>
    <w:pPr>
      <w:spacing w:line="310" w:lineRule="exact"/>
      <w:jc w:val="right"/>
    </w:pPr>
    <w:rPr>
      <w:rFonts w:ascii="宋体" w:hAnsi="宋体"/>
      <w:kern w:val="0"/>
    </w:rPr>
  </w:style>
  <w:style w:type="paragraph" w:customStyle="1" w:styleId="71">
    <w:name w:val="标准文件_标准名称标题"/>
    <w:basedOn w:val="1"/>
    <w:next w:val="1"/>
    <w:qFormat/>
    <w:uiPriority w:val="0"/>
    <w:pPr>
      <w:widowControl/>
      <w:shd w:val="clear" w:color="FFFFFF" w:fill="FFFFFF"/>
      <w:adjustRightInd/>
      <w:spacing w:before="640" w:after="100"/>
      <w:jc w:val="center"/>
    </w:pPr>
    <w:rPr>
      <w:rFonts w:ascii="黑体" w:eastAsia="黑体"/>
      <w:kern w:val="0"/>
      <w:sz w:val="32"/>
    </w:rPr>
  </w:style>
  <w:style w:type="paragraph" w:customStyle="1" w:styleId="72">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73">
    <w:name w:val="标准文件_页眉偶数页"/>
    <w:basedOn w:val="72"/>
    <w:next w:val="1"/>
    <w:qFormat/>
    <w:uiPriority w:val="0"/>
    <w:pPr>
      <w:jc w:val="left"/>
    </w:pPr>
  </w:style>
  <w:style w:type="paragraph" w:customStyle="1" w:styleId="74">
    <w:name w:val="标准文件_参考文献标题"/>
    <w:basedOn w:val="1"/>
    <w:next w:val="1"/>
    <w:qFormat/>
    <w:uiPriority w:val="0"/>
    <w:pPr>
      <w:widowControl/>
      <w:shd w:val="clear" w:color="FFFFFF" w:fill="FFFFFF"/>
      <w:adjustRightInd/>
      <w:spacing w:before="580" w:after="50" w:afterLines="50" w:line="240" w:lineRule="auto"/>
      <w:jc w:val="center"/>
      <w:outlineLvl w:val="0"/>
    </w:pPr>
    <w:rPr>
      <w:rFonts w:ascii="黑体" w:eastAsia="黑体"/>
      <w:kern w:val="0"/>
    </w:rPr>
  </w:style>
  <w:style w:type="paragraph" w:customStyle="1" w:styleId="75">
    <w:name w:val="标准文件_参考文献条目"/>
    <w:qFormat/>
    <w:uiPriority w:val="0"/>
    <w:pPr>
      <w:numPr>
        <w:ilvl w:val="0"/>
        <w:numId w:val="1"/>
      </w:numPr>
    </w:pPr>
    <w:rPr>
      <w:rFonts w:ascii="宋体" w:hAnsi="Times New Roman" w:eastAsia="宋体" w:cs="Times New Roman"/>
      <w:lang w:val="en-US" w:eastAsia="zh-CN" w:bidi="ar-SA"/>
    </w:rPr>
  </w:style>
  <w:style w:type="paragraph" w:customStyle="1" w:styleId="76">
    <w:name w:val="标准文件_二级条标题"/>
    <w:next w:val="44"/>
    <w:qFormat/>
    <w:uiPriority w:val="0"/>
    <w:pPr>
      <w:widowControl w:val="0"/>
      <w:numPr>
        <w:ilvl w:val="3"/>
        <w:numId w:val="2"/>
      </w:numPr>
      <w:spacing w:before="50" w:beforeLines="50" w:after="50" w:afterLines="50"/>
      <w:jc w:val="both"/>
      <w:outlineLvl w:val="2"/>
    </w:pPr>
    <w:rPr>
      <w:rFonts w:ascii="黑体" w:hAnsi="Times New Roman" w:eastAsia="黑体" w:cs="Times New Roman"/>
      <w:sz w:val="21"/>
      <w:lang w:val="en-US" w:eastAsia="zh-CN" w:bidi="ar-SA"/>
    </w:rPr>
  </w:style>
  <w:style w:type="character" w:customStyle="1" w:styleId="77">
    <w:name w:val="标准文件_发布"/>
    <w:qFormat/>
    <w:uiPriority w:val="0"/>
    <w:rPr>
      <w:rFonts w:ascii="黑体" w:eastAsia="黑体"/>
      <w:spacing w:val="0"/>
      <w:w w:val="100"/>
      <w:position w:val="3"/>
      <w:sz w:val="28"/>
    </w:rPr>
  </w:style>
  <w:style w:type="paragraph" w:customStyle="1" w:styleId="78">
    <w:name w:val="标准文件_方框数字列项"/>
    <w:basedOn w:val="44"/>
    <w:qFormat/>
    <w:uiPriority w:val="0"/>
    <w:pPr>
      <w:numPr>
        <w:ilvl w:val="0"/>
        <w:numId w:val="3"/>
      </w:numPr>
      <w:ind w:firstLine="0" w:firstLineChars="0"/>
    </w:pPr>
  </w:style>
  <w:style w:type="paragraph" w:customStyle="1" w:styleId="79">
    <w:name w:val="标准文件_封面标准编号"/>
    <w:basedOn w:val="1"/>
    <w:next w:val="70"/>
    <w:qFormat/>
    <w:uiPriority w:val="0"/>
    <w:pPr>
      <w:spacing w:line="310" w:lineRule="exact"/>
      <w:jc w:val="right"/>
    </w:pPr>
    <w:rPr>
      <w:rFonts w:ascii="黑体" w:eastAsia="黑体"/>
      <w:kern w:val="0"/>
      <w:sz w:val="28"/>
    </w:rPr>
  </w:style>
  <w:style w:type="paragraph" w:customStyle="1" w:styleId="80">
    <w:name w:val="标准文件_封面标准分类号"/>
    <w:basedOn w:val="1"/>
    <w:qFormat/>
    <w:uiPriority w:val="0"/>
    <w:rPr>
      <w:rFonts w:ascii="黑体" w:eastAsia="黑体"/>
      <w:b/>
      <w:kern w:val="0"/>
      <w:sz w:val="28"/>
    </w:rPr>
  </w:style>
  <w:style w:type="paragraph" w:customStyle="1" w:styleId="81">
    <w:name w:val="标准文件_封面标准名称"/>
    <w:basedOn w:val="1"/>
    <w:qFormat/>
    <w:uiPriority w:val="0"/>
    <w:pPr>
      <w:spacing w:line="240" w:lineRule="auto"/>
      <w:jc w:val="center"/>
    </w:pPr>
    <w:rPr>
      <w:rFonts w:ascii="黑体" w:eastAsia="黑体"/>
      <w:kern w:val="0"/>
      <w:sz w:val="52"/>
    </w:rPr>
  </w:style>
  <w:style w:type="paragraph" w:customStyle="1" w:styleId="82">
    <w:name w:val="标准文件_封面标准英文名称"/>
    <w:basedOn w:val="1"/>
    <w:qFormat/>
    <w:uiPriority w:val="0"/>
    <w:pPr>
      <w:spacing w:line="240" w:lineRule="auto"/>
      <w:jc w:val="center"/>
    </w:pPr>
    <w:rPr>
      <w:rFonts w:ascii="黑体" w:eastAsia="黑体"/>
      <w:b/>
      <w:sz w:val="28"/>
    </w:rPr>
  </w:style>
  <w:style w:type="paragraph" w:customStyle="1" w:styleId="83">
    <w:name w:val="标准文件_封面发布日期"/>
    <w:basedOn w:val="1"/>
    <w:qFormat/>
    <w:uiPriority w:val="0"/>
    <w:pPr>
      <w:spacing w:line="310" w:lineRule="exact"/>
    </w:pPr>
    <w:rPr>
      <w:rFonts w:ascii="黑体" w:eastAsia="黑体"/>
      <w:kern w:val="0"/>
      <w:sz w:val="28"/>
    </w:rPr>
  </w:style>
  <w:style w:type="paragraph" w:customStyle="1" w:styleId="84">
    <w:name w:val="标准文件_封面密级"/>
    <w:basedOn w:val="1"/>
    <w:qFormat/>
    <w:uiPriority w:val="0"/>
    <w:rPr>
      <w:rFonts w:eastAsia="黑体"/>
      <w:sz w:val="32"/>
    </w:rPr>
  </w:style>
  <w:style w:type="paragraph" w:customStyle="1" w:styleId="85">
    <w:name w:val="标准文件_封面实施日期"/>
    <w:basedOn w:val="1"/>
    <w:qFormat/>
    <w:uiPriority w:val="0"/>
    <w:pPr>
      <w:spacing w:line="310" w:lineRule="exact"/>
      <w:jc w:val="right"/>
    </w:pPr>
    <w:rPr>
      <w:rFonts w:ascii="黑体" w:eastAsia="黑体"/>
      <w:sz w:val="28"/>
    </w:rPr>
  </w:style>
  <w:style w:type="paragraph" w:customStyle="1" w:styleId="86">
    <w:name w:val="标准文件_封面抬头"/>
    <w:basedOn w:val="44"/>
    <w:qFormat/>
    <w:uiPriority w:val="0"/>
    <w:pPr>
      <w:adjustRightInd w:val="0"/>
      <w:spacing w:line="800" w:lineRule="exact"/>
      <w:ind w:firstLine="0" w:firstLineChars="0"/>
      <w:jc w:val="distribute"/>
    </w:pPr>
    <w:rPr>
      <w:rFonts w:ascii="黑体" w:eastAsia="黑体"/>
      <w:b/>
      <w:sz w:val="64"/>
    </w:rPr>
  </w:style>
  <w:style w:type="paragraph" w:customStyle="1" w:styleId="87">
    <w:name w:val="标准文件_附录标识"/>
    <w:next w:val="44"/>
    <w:qFormat/>
    <w:uiPriority w:val="0"/>
    <w:pPr>
      <w:numPr>
        <w:ilvl w:val="0"/>
        <w:numId w:val="4"/>
      </w:numPr>
      <w:shd w:val="clear" w:color="FFFFFF" w:fill="FFFFFF"/>
      <w:tabs>
        <w:tab w:val="left" w:pos="6406"/>
      </w:tabs>
      <w:spacing w:before="560" w:after="50" w:afterLines="50"/>
      <w:jc w:val="center"/>
      <w:outlineLvl w:val="0"/>
    </w:pPr>
    <w:rPr>
      <w:rFonts w:ascii="黑体" w:hAnsi="Times New Roman" w:eastAsia="黑体" w:cs="Times New Roman"/>
      <w:sz w:val="21"/>
      <w:lang w:val="en-US" w:eastAsia="zh-CN" w:bidi="ar-SA"/>
    </w:rPr>
  </w:style>
  <w:style w:type="paragraph" w:customStyle="1" w:styleId="88">
    <w:name w:val="标准文件_附录表标题"/>
    <w:next w:val="44"/>
    <w:qFormat/>
    <w:uiPriority w:val="0"/>
    <w:pPr>
      <w:numPr>
        <w:ilvl w:val="1"/>
        <w:numId w:val="5"/>
      </w:numPr>
      <w:adjustRightInd w:val="0"/>
      <w:snapToGrid w:val="0"/>
      <w:spacing w:before="50" w:beforeLines="50" w:after="50" w:afterLines="50"/>
      <w:ind w:firstLine="420"/>
      <w:jc w:val="center"/>
      <w:textAlignment w:val="baseline"/>
    </w:pPr>
    <w:rPr>
      <w:rFonts w:ascii="黑体" w:hAnsi="Times New Roman" w:eastAsia="黑体" w:cs="Times New Roman"/>
      <w:kern w:val="21"/>
      <w:sz w:val="21"/>
      <w:lang w:val="en-US" w:eastAsia="zh-CN" w:bidi="ar-SA"/>
    </w:rPr>
  </w:style>
  <w:style w:type="paragraph" w:customStyle="1" w:styleId="89">
    <w:name w:val="标准文件_附录一级条标题"/>
    <w:next w:val="44"/>
    <w:qFormat/>
    <w:uiPriority w:val="0"/>
    <w:pPr>
      <w:widowControl w:val="0"/>
      <w:numPr>
        <w:ilvl w:val="1"/>
        <w:numId w:val="4"/>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90">
    <w:name w:val="标准文件_附录二级条标题"/>
    <w:basedOn w:val="89"/>
    <w:next w:val="44"/>
    <w:qFormat/>
    <w:uiPriority w:val="0"/>
    <w:pPr>
      <w:widowControl/>
      <w:numPr>
        <w:ilvl w:val="2"/>
      </w:numPr>
      <w:wordWrap w:val="0"/>
      <w:overflowPunct w:val="0"/>
      <w:autoSpaceDE w:val="0"/>
      <w:autoSpaceDN w:val="0"/>
      <w:textAlignment w:val="baseline"/>
      <w:outlineLvl w:val="3"/>
    </w:pPr>
  </w:style>
  <w:style w:type="paragraph" w:customStyle="1" w:styleId="91">
    <w:name w:val="标准文件_附录公式"/>
    <w:basedOn w:val="67"/>
    <w:next w:val="67"/>
    <w:qFormat/>
    <w:uiPriority w:val="0"/>
    <w:pPr>
      <w:tabs>
        <w:tab w:val="center" w:pos="4678"/>
        <w:tab w:val="right" w:leader="middleDot" w:pos="9356"/>
      </w:tabs>
      <w:spacing w:line="240" w:lineRule="auto"/>
      <w:ind w:right="-51" w:firstLine="0" w:firstLineChars="0"/>
    </w:pPr>
    <w:rPr>
      <w:rFonts w:ascii="宋体" w:hAnsi="宋体"/>
    </w:rPr>
  </w:style>
  <w:style w:type="paragraph" w:customStyle="1" w:styleId="92">
    <w:name w:val="标准文件_附录三级条标题"/>
    <w:next w:val="44"/>
    <w:qFormat/>
    <w:uiPriority w:val="0"/>
    <w:pPr>
      <w:widowControl w:val="0"/>
      <w:numPr>
        <w:ilvl w:val="3"/>
        <w:numId w:val="4"/>
      </w:numPr>
      <w:spacing w:before="50" w:beforeLines="50" w:after="50" w:afterLines="50"/>
      <w:jc w:val="both"/>
      <w:outlineLvl w:val="4"/>
    </w:pPr>
    <w:rPr>
      <w:rFonts w:ascii="黑体" w:hAnsi="Times New Roman" w:eastAsia="黑体" w:cs="Times New Roman"/>
      <w:kern w:val="21"/>
      <w:sz w:val="21"/>
      <w:lang w:val="en-US" w:eastAsia="zh-CN" w:bidi="ar-SA"/>
    </w:rPr>
  </w:style>
  <w:style w:type="paragraph" w:customStyle="1" w:styleId="93">
    <w:name w:val="标准文件_附录四级条标题"/>
    <w:next w:val="44"/>
    <w:qFormat/>
    <w:uiPriority w:val="0"/>
    <w:pPr>
      <w:widowControl w:val="0"/>
      <w:numPr>
        <w:ilvl w:val="4"/>
        <w:numId w:val="4"/>
      </w:numPr>
      <w:spacing w:before="50" w:beforeLines="50" w:after="50" w:afterLines="50"/>
      <w:jc w:val="both"/>
      <w:outlineLvl w:val="5"/>
    </w:pPr>
    <w:rPr>
      <w:rFonts w:ascii="黑体" w:hAnsi="Times New Roman" w:eastAsia="黑体" w:cs="Times New Roman"/>
      <w:kern w:val="21"/>
      <w:sz w:val="21"/>
      <w:lang w:val="en-US" w:eastAsia="zh-CN" w:bidi="ar-SA"/>
    </w:rPr>
  </w:style>
  <w:style w:type="paragraph" w:customStyle="1" w:styleId="94">
    <w:name w:val="标准文件_附录图标题"/>
    <w:next w:val="44"/>
    <w:qFormat/>
    <w:uiPriority w:val="0"/>
    <w:pPr>
      <w:numPr>
        <w:ilvl w:val="1"/>
        <w:numId w:val="6"/>
      </w:numPr>
      <w:adjustRightInd w:val="0"/>
      <w:snapToGrid w:val="0"/>
      <w:spacing w:before="50" w:beforeLines="50" w:after="50" w:afterLines="50"/>
      <w:ind w:firstLine="420"/>
      <w:jc w:val="center"/>
    </w:pPr>
    <w:rPr>
      <w:rFonts w:ascii="黑体" w:hAnsi="Times New Roman" w:eastAsia="黑体" w:cs="Times New Roman"/>
      <w:sz w:val="21"/>
      <w:lang w:val="en-US" w:eastAsia="zh-CN" w:bidi="ar-SA"/>
    </w:rPr>
  </w:style>
  <w:style w:type="paragraph" w:customStyle="1" w:styleId="95">
    <w:name w:val="标准文件_附录五级条标题"/>
    <w:next w:val="44"/>
    <w:qFormat/>
    <w:uiPriority w:val="0"/>
    <w:pPr>
      <w:widowControl w:val="0"/>
      <w:numPr>
        <w:ilvl w:val="5"/>
        <w:numId w:val="4"/>
      </w:numPr>
      <w:spacing w:before="50" w:beforeLines="50" w:after="50" w:afterLines="50"/>
      <w:jc w:val="both"/>
      <w:outlineLvl w:val="6"/>
    </w:pPr>
    <w:rPr>
      <w:rFonts w:ascii="黑体" w:hAnsi="Times New Roman" w:eastAsia="黑体" w:cs="Times New Roman"/>
      <w:kern w:val="21"/>
      <w:sz w:val="21"/>
      <w:lang w:val="en-US" w:eastAsia="zh-CN" w:bidi="ar-SA"/>
    </w:rPr>
  </w:style>
  <w:style w:type="paragraph" w:customStyle="1" w:styleId="96">
    <w:name w:val="标准文件_附录英文标识"/>
    <w:next w:val="15"/>
    <w:qFormat/>
    <w:uiPriority w:val="0"/>
    <w:pPr>
      <w:numPr>
        <w:ilvl w:val="0"/>
        <w:numId w:val="7"/>
      </w:numPr>
      <w:tabs>
        <w:tab w:val="left" w:pos="6406"/>
      </w:tabs>
      <w:spacing w:before="220" w:after="320"/>
      <w:jc w:val="center"/>
      <w:outlineLvl w:val="0"/>
    </w:pPr>
    <w:rPr>
      <w:rFonts w:ascii="黑体" w:hAnsi="Times New Roman" w:eastAsia="黑体" w:cs="Times New Roman"/>
      <w:sz w:val="21"/>
      <w:lang w:val="en-US" w:eastAsia="zh-CN" w:bidi="ar-SA"/>
    </w:rPr>
  </w:style>
  <w:style w:type="character" w:customStyle="1" w:styleId="97">
    <w:name w:val="正文文本 字符"/>
    <w:link w:val="15"/>
    <w:qFormat/>
    <w:uiPriority w:val="0"/>
    <w:rPr>
      <w:rFonts w:ascii="Times New Roman" w:hAnsi="Times New Roman" w:eastAsia="宋体" w:cs="Times New Roman"/>
      <w:szCs w:val="20"/>
    </w:rPr>
  </w:style>
  <w:style w:type="paragraph" w:customStyle="1" w:styleId="98">
    <w:name w:val="标准文件_附录章标题"/>
    <w:next w:val="44"/>
    <w:qFormat/>
    <w:uiPriority w:val="0"/>
    <w:p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99">
    <w:name w:val="标准文件_公式后的破折号"/>
    <w:basedOn w:val="44"/>
    <w:next w:val="44"/>
    <w:qFormat/>
    <w:uiPriority w:val="0"/>
    <w:pPr>
      <w:ind w:left="488" w:leftChars="200" w:hanging="289" w:hangingChars="290"/>
    </w:pPr>
  </w:style>
  <w:style w:type="paragraph" w:customStyle="1" w:styleId="100">
    <w:name w:val="标准文件_前言、引言标题"/>
    <w:next w:val="1"/>
    <w:qFormat/>
    <w:uiPriority w:val="0"/>
    <w:pPr>
      <w:numPr>
        <w:ilvl w:val="0"/>
        <w:numId w:val="8"/>
      </w:numPr>
      <w:shd w:val="clear" w:color="FFFFFF" w:fill="FFFFFF"/>
      <w:spacing w:before="480" w:after="150" w:afterLines="150"/>
      <w:ind w:left="0" w:firstLine="0"/>
      <w:jc w:val="center"/>
      <w:outlineLvl w:val="0"/>
    </w:pPr>
    <w:rPr>
      <w:rFonts w:ascii="黑体" w:hAnsi="Times New Roman" w:eastAsia="黑体" w:cs="Times New Roman"/>
      <w:sz w:val="32"/>
      <w:lang w:val="en-US" w:eastAsia="zh-CN" w:bidi="ar-SA"/>
    </w:rPr>
  </w:style>
  <w:style w:type="paragraph" w:customStyle="1" w:styleId="101">
    <w:name w:val="标准文件_目次、标准名称标题"/>
    <w:basedOn w:val="100"/>
    <w:next w:val="44"/>
    <w:qFormat/>
    <w:uiPriority w:val="0"/>
    <w:pPr>
      <w:spacing w:line="460" w:lineRule="exact"/>
    </w:pPr>
  </w:style>
  <w:style w:type="paragraph" w:customStyle="1" w:styleId="102">
    <w:name w:val="标准文件_目录标题"/>
    <w:basedOn w:val="1"/>
    <w:qFormat/>
    <w:uiPriority w:val="0"/>
    <w:pPr>
      <w:spacing w:before="480" w:after="150" w:afterLines="150" w:line="240" w:lineRule="auto"/>
      <w:jc w:val="center"/>
    </w:pPr>
    <w:rPr>
      <w:rFonts w:ascii="黑体" w:eastAsia="黑体"/>
      <w:sz w:val="32"/>
    </w:rPr>
  </w:style>
  <w:style w:type="paragraph" w:customStyle="1" w:styleId="103">
    <w:name w:val="标准文件_破折号列项"/>
    <w:qFormat/>
    <w:uiPriority w:val="0"/>
    <w:pPr>
      <w:numPr>
        <w:ilvl w:val="0"/>
        <w:numId w:val="9"/>
      </w:numPr>
      <w:adjustRightInd w:val="0"/>
      <w:snapToGrid w:val="0"/>
      <w:ind w:left="0" w:firstLine="200" w:firstLineChars="200"/>
    </w:pPr>
    <w:rPr>
      <w:rFonts w:ascii="Times New Roman" w:hAnsi="Times New Roman" w:eastAsia="宋体" w:cs="Times New Roman"/>
      <w:sz w:val="21"/>
      <w:lang w:val="en-US" w:eastAsia="zh-CN" w:bidi="ar-SA"/>
    </w:rPr>
  </w:style>
  <w:style w:type="paragraph" w:customStyle="1" w:styleId="104">
    <w:name w:val="标准文件_破折号列项（二级）"/>
    <w:basedOn w:val="103"/>
    <w:qFormat/>
    <w:uiPriority w:val="0"/>
    <w:pPr>
      <w:numPr>
        <w:numId w:val="10"/>
      </w:numPr>
      <w:ind w:left="0" w:firstLine="200"/>
    </w:pPr>
  </w:style>
  <w:style w:type="paragraph" w:customStyle="1" w:styleId="105">
    <w:name w:val="标准文件_三级条标题"/>
    <w:basedOn w:val="76"/>
    <w:next w:val="44"/>
    <w:qFormat/>
    <w:uiPriority w:val="0"/>
    <w:pPr>
      <w:widowControl/>
      <w:numPr>
        <w:ilvl w:val="4"/>
      </w:numPr>
      <w:outlineLvl w:val="3"/>
    </w:pPr>
  </w:style>
  <w:style w:type="character" w:customStyle="1" w:styleId="106">
    <w:name w:val="不明显参考1"/>
    <w:qFormat/>
    <w:uiPriority w:val="31"/>
    <w:rPr>
      <w:smallCaps/>
      <w:color w:val="C0504D"/>
      <w:u w:val="single"/>
    </w:rPr>
  </w:style>
  <w:style w:type="paragraph" w:customStyle="1" w:styleId="107">
    <w:name w:val="标准文件_示例后续"/>
    <w:basedOn w:val="1"/>
    <w:qFormat/>
    <w:uiPriority w:val="0"/>
    <w:pPr>
      <w:adjustRightInd/>
      <w:spacing w:line="240" w:lineRule="auto"/>
      <w:ind w:firstLine="200" w:firstLineChars="200"/>
    </w:pPr>
    <w:rPr>
      <w:sz w:val="18"/>
      <w:szCs w:val="24"/>
    </w:rPr>
  </w:style>
  <w:style w:type="paragraph" w:customStyle="1" w:styleId="108">
    <w:name w:val="标准文件_数字编号列项"/>
    <w:qFormat/>
    <w:uiPriority w:val="0"/>
    <w:pPr>
      <w:numPr>
        <w:ilvl w:val="0"/>
        <w:numId w:val="11"/>
      </w:numPr>
      <w:jc w:val="both"/>
    </w:pPr>
    <w:rPr>
      <w:rFonts w:ascii="宋体" w:hAnsi="宋体" w:eastAsia="宋体" w:cs="Times New Roman"/>
      <w:sz w:val="21"/>
      <w:lang w:val="en-US" w:eastAsia="zh-CN" w:bidi="ar-SA"/>
    </w:rPr>
  </w:style>
  <w:style w:type="paragraph" w:customStyle="1" w:styleId="109">
    <w:name w:val="标准文件_四级条标题"/>
    <w:next w:val="44"/>
    <w:qFormat/>
    <w:uiPriority w:val="0"/>
    <w:pPr>
      <w:widowControl w:val="0"/>
      <w:numPr>
        <w:ilvl w:val="5"/>
        <w:numId w:val="2"/>
      </w:numPr>
      <w:spacing w:before="50" w:beforeLines="50" w:after="50" w:afterLines="50"/>
      <w:jc w:val="both"/>
      <w:outlineLvl w:val="4"/>
    </w:pPr>
    <w:rPr>
      <w:rFonts w:ascii="黑体" w:hAnsi="Times New Roman" w:eastAsia="黑体" w:cs="Times New Roman"/>
      <w:sz w:val="21"/>
      <w:lang w:val="en-US" w:eastAsia="zh-CN" w:bidi="ar-SA"/>
    </w:rPr>
  </w:style>
  <w:style w:type="character" w:customStyle="1" w:styleId="110">
    <w:name w:val="脚注文本 字符"/>
    <w:link w:val="24"/>
    <w:semiHidden/>
    <w:qFormat/>
    <w:uiPriority w:val="0"/>
    <w:rPr>
      <w:rFonts w:ascii="宋体" w:hAnsi="Times New Roman" w:eastAsia="宋体" w:cs="Times New Roman"/>
      <w:sz w:val="18"/>
      <w:szCs w:val="18"/>
    </w:rPr>
  </w:style>
  <w:style w:type="paragraph" w:customStyle="1" w:styleId="111">
    <w:name w:val="标准文件_条文脚注"/>
    <w:basedOn w:val="24"/>
    <w:qFormat/>
    <w:uiPriority w:val="0"/>
    <w:pPr>
      <w:adjustRightInd w:val="0"/>
      <w:spacing w:line="240" w:lineRule="auto"/>
      <w:ind w:left="0" w:leftChars="0" w:firstLine="200" w:firstLineChars="200"/>
      <w:jc w:val="both"/>
    </w:pPr>
    <w:rPr>
      <w:rFonts w:hAnsi="宋体"/>
    </w:rPr>
  </w:style>
  <w:style w:type="paragraph" w:customStyle="1" w:styleId="112">
    <w:name w:val="标准文件_图表脚注"/>
    <w:basedOn w:val="1"/>
    <w:next w:val="44"/>
    <w:qFormat/>
    <w:uiPriority w:val="0"/>
    <w:pPr>
      <w:numPr>
        <w:ilvl w:val="0"/>
        <w:numId w:val="12"/>
      </w:numPr>
      <w:spacing w:line="240" w:lineRule="auto"/>
      <w:jc w:val="left"/>
    </w:pPr>
    <w:rPr>
      <w:rFonts w:ascii="宋体" w:hAnsi="宋体"/>
      <w:sz w:val="18"/>
    </w:rPr>
  </w:style>
  <w:style w:type="character" w:customStyle="1" w:styleId="113">
    <w:name w:val="标准文件_图表脚注内容"/>
    <w:qFormat/>
    <w:uiPriority w:val="0"/>
    <w:rPr>
      <w:rFonts w:ascii="宋体" w:hAnsi="宋体" w:eastAsia="宋体" w:cs="Times New Roman"/>
      <w:spacing w:val="0"/>
      <w:sz w:val="18"/>
      <w:vertAlign w:val="superscript"/>
    </w:rPr>
  </w:style>
  <w:style w:type="paragraph" w:customStyle="1" w:styleId="114">
    <w:name w:val="标准文件_五级条标题"/>
    <w:next w:val="44"/>
    <w:qFormat/>
    <w:uiPriority w:val="0"/>
    <w:pPr>
      <w:widowControl w:val="0"/>
      <w:numPr>
        <w:ilvl w:val="6"/>
        <w:numId w:val="2"/>
      </w:numPr>
      <w:spacing w:before="50" w:beforeLines="50" w:after="50" w:afterLines="50"/>
      <w:jc w:val="both"/>
      <w:outlineLvl w:val="5"/>
    </w:pPr>
    <w:rPr>
      <w:rFonts w:ascii="黑体" w:hAnsi="Times New Roman" w:eastAsia="黑体" w:cs="Times New Roman"/>
      <w:sz w:val="21"/>
      <w:lang w:val="en-US" w:eastAsia="zh-CN" w:bidi="ar-SA"/>
    </w:rPr>
  </w:style>
  <w:style w:type="paragraph" w:customStyle="1" w:styleId="115">
    <w:name w:val="标准文件_章标题"/>
    <w:next w:val="44"/>
    <w:qFormat/>
    <w:uiPriority w:val="0"/>
    <w:pPr>
      <w:numPr>
        <w:ilvl w:val="1"/>
        <w:numId w:val="2"/>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116">
    <w:name w:val="标准文件_一级条标题"/>
    <w:basedOn w:val="115"/>
    <w:next w:val="44"/>
    <w:qFormat/>
    <w:uiPriority w:val="0"/>
    <w:pPr>
      <w:numPr>
        <w:ilvl w:val="2"/>
      </w:numPr>
      <w:spacing w:before="50" w:beforeLines="50" w:after="50" w:afterLines="50"/>
      <w:outlineLvl w:val="1"/>
    </w:pPr>
  </w:style>
  <w:style w:type="paragraph" w:customStyle="1" w:styleId="117">
    <w:name w:val="标准文件_一致程度"/>
    <w:basedOn w:val="1"/>
    <w:qFormat/>
    <w:uiPriority w:val="0"/>
    <w:pPr>
      <w:spacing w:line="440" w:lineRule="exact"/>
      <w:jc w:val="center"/>
    </w:pPr>
    <w:rPr>
      <w:sz w:val="28"/>
    </w:rPr>
  </w:style>
  <w:style w:type="paragraph" w:customStyle="1" w:styleId="118">
    <w:name w:val="标准文件_引言标题"/>
    <w:next w:val="1"/>
    <w:qFormat/>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19">
    <w:name w:val="标准文件_英文图表脚注"/>
    <w:basedOn w:val="67"/>
    <w:qFormat/>
    <w:uiPriority w:val="0"/>
    <w:pPr>
      <w:widowControl/>
      <w:adjustRightInd/>
      <w:snapToGrid/>
      <w:spacing w:line="240" w:lineRule="auto"/>
      <w:ind w:left="79" w:hanging="79" w:hangingChars="80"/>
    </w:pPr>
    <w:rPr>
      <w:rFonts w:ascii="宋体" w:hAnsi="宋体"/>
    </w:rPr>
  </w:style>
  <w:style w:type="paragraph" w:customStyle="1" w:styleId="120">
    <w:name w:val="标准文件_数字编号列项（二级）"/>
    <w:qFormat/>
    <w:uiPriority w:val="0"/>
    <w:pPr>
      <w:numPr>
        <w:ilvl w:val="1"/>
        <w:numId w:val="13"/>
      </w:numPr>
      <w:jc w:val="both"/>
    </w:pPr>
    <w:rPr>
      <w:rFonts w:ascii="宋体" w:hAnsi="Times New Roman" w:eastAsia="宋体" w:cs="Times New Roman"/>
      <w:sz w:val="21"/>
      <w:lang w:val="en-US" w:eastAsia="zh-CN" w:bidi="ar-SA"/>
    </w:rPr>
  </w:style>
  <w:style w:type="paragraph" w:customStyle="1" w:styleId="121">
    <w:name w:val="标准文件_英文注："/>
    <w:basedOn w:val="1"/>
    <w:next w:val="44"/>
    <w:qFormat/>
    <w:uiPriority w:val="0"/>
    <w:pPr>
      <w:numPr>
        <w:ilvl w:val="0"/>
        <w:numId w:val="14"/>
      </w:numPr>
      <w:tabs>
        <w:tab w:val="left" w:pos="420"/>
      </w:tabs>
      <w:autoSpaceDE w:val="0"/>
      <w:autoSpaceDN w:val="0"/>
      <w:spacing w:line="240" w:lineRule="auto"/>
    </w:pPr>
    <w:rPr>
      <w:rFonts w:ascii="宋体" w:hAnsi="宋体"/>
      <w:kern w:val="0"/>
      <w:sz w:val="18"/>
      <w:szCs w:val="20"/>
    </w:rPr>
  </w:style>
  <w:style w:type="paragraph" w:customStyle="1" w:styleId="122">
    <w:name w:val="标准文件_英文注×："/>
    <w:basedOn w:val="1"/>
    <w:qFormat/>
    <w:uiPriority w:val="0"/>
    <w:pPr>
      <w:numPr>
        <w:ilvl w:val="0"/>
        <w:numId w:val="15"/>
      </w:numPr>
      <w:tabs>
        <w:tab w:val="left" w:pos="210"/>
      </w:tabs>
      <w:autoSpaceDE w:val="0"/>
      <w:autoSpaceDN w:val="0"/>
      <w:spacing w:line="240" w:lineRule="auto"/>
    </w:pPr>
    <w:rPr>
      <w:rFonts w:ascii="宋体" w:hAnsi="宋体"/>
      <w:kern w:val="0"/>
      <w:szCs w:val="20"/>
    </w:rPr>
  </w:style>
  <w:style w:type="paragraph" w:customStyle="1" w:styleId="123">
    <w:name w:val="标准文件_正文表标题"/>
    <w:next w:val="44"/>
    <w:qFormat/>
    <w:uiPriority w:val="0"/>
    <w:pPr>
      <w:numPr>
        <w:ilvl w:val="0"/>
        <w:numId w:val="16"/>
      </w:numPr>
      <w:tabs>
        <w:tab w:val="left" w:pos="0"/>
      </w:tabs>
      <w:spacing w:before="50" w:beforeLines="50" w:after="50" w:afterLines="50"/>
      <w:ind w:left="0"/>
      <w:jc w:val="center"/>
    </w:pPr>
    <w:rPr>
      <w:rFonts w:ascii="黑体" w:hAnsi="Times New Roman" w:eastAsia="黑体" w:cs="Times New Roman"/>
      <w:sz w:val="21"/>
      <w:lang w:val="en-US" w:eastAsia="zh-CN" w:bidi="ar-SA"/>
    </w:rPr>
  </w:style>
  <w:style w:type="paragraph" w:customStyle="1" w:styleId="124">
    <w:name w:val="标准文件_正文公式"/>
    <w:basedOn w:val="1"/>
    <w:next w:val="67"/>
    <w:qFormat/>
    <w:uiPriority w:val="0"/>
    <w:pPr>
      <w:tabs>
        <w:tab w:val="center" w:pos="4678"/>
        <w:tab w:val="right" w:leader="middleDot" w:pos="9356"/>
      </w:tabs>
      <w:spacing w:line="240" w:lineRule="auto"/>
    </w:pPr>
    <w:rPr>
      <w:rFonts w:ascii="宋体" w:hAnsi="宋体"/>
    </w:rPr>
  </w:style>
  <w:style w:type="paragraph" w:customStyle="1" w:styleId="125">
    <w:name w:val="标准文件_正文图标题"/>
    <w:next w:val="44"/>
    <w:qFormat/>
    <w:uiPriority w:val="0"/>
    <w:pPr>
      <w:numPr>
        <w:ilvl w:val="0"/>
        <w:numId w:val="17"/>
      </w:numPr>
      <w:spacing w:before="50" w:beforeLines="50" w:after="50" w:afterLines="50"/>
      <w:jc w:val="center"/>
    </w:pPr>
    <w:rPr>
      <w:rFonts w:ascii="黑体" w:hAnsi="Times New Roman" w:eastAsia="黑体" w:cs="Times New Roman"/>
      <w:sz w:val="21"/>
      <w:lang w:val="en-US" w:eastAsia="zh-CN" w:bidi="ar-SA"/>
    </w:rPr>
  </w:style>
  <w:style w:type="paragraph" w:customStyle="1" w:styleId="126">
    <w:name w:val="标准文件_正文英文表标题"/>
    <w:next w:val="44"/>
    <w:qFormat/>
    <w:uiPriority w:val="0"/>
    <w:pPr>
      <w:numPr>
        <w:ilvl w:val="0"/>
        <w:numId w:val="18"/>
      </w:numPr>
      <w:jc w:val="center"/>
    </w:pPr>
    <w:rPr>
      <w:rFonts w:ascii="黑体" w:hAnsi="Times New Roman" w:eastAsia="黑体" w:cs="Times New Roman"/>
      <w:sz w:val="21"/>
      <w:lang w:val="en-US" w:eastAsia="zh-CN" w:bidi="ar-SA"/>
    </w:rPr>
  </w:style>
  <w:style w:type="paragraph" w:customStyle="1" w:styleId="127">
    <w:name w:val="标准文件_正文英文图标题"/>
    <w:next w:val="44"/>
    <w:qFormat/>
    <w:uiPriority w:val="0"/>
    <w:pPr>
      <w:numPr>
        <w:ilvl w:val="0"/>
        <w:numId w:val="19"/>
      </w:numPr>
      <w:jc w:val="center"/>
    </w:pPr>
    <w:rPr>
      <w:rFonts w:ascii="黑体" w:hAnsi="Times New Roman" w:eastAsia="黑体" w:cs="Times New Roman"/>
      <w:sz w:val="21"/>
      <w:lang w:val="en-US" w:eastAsia="zh-CN" w:bidi="ar-SA"/>
    </w:rPr>
  </w:style>
  <w:style w:type="paragraph" w:customStyle="1" w:styleId="128">
    <w:name w:val="标准文件_编号列项（三级）"/>
    <w:qFormat/>
    <w:uiPriority w:val="0"/>
    <w:pPr>
      <w:numPr>
        <w:ilvl w:val="2"/>
        <w:numId w:val="13"/>
      </w:numPr>
    </w:pPr>
    <w:rPr>
      <w:rFonts w:ascii="宋体" w:hAnsi="Times New Roman" w:eastAsia="宋体" w:cs="Times New Roman"/>
      <w:sz w:val="21"/>
      <w:lang w:val="en-US" w:eastAsia="zh-CN" w:bidi="ar-SA"/>
    </w:rPr>
  </w:style>
  <w:style w:type="paragraph" w:customStyle="1" w:styleId="129">
    <w:name w:val="二级无标题条"/>
    <w:basedOn w:val="1"/>
    <w:qFormat/>
    <w:uiPriority w:val="0"/>
    <w:pPr>
      <w:numPr>
        <w:ilvl w:val="3"/>
        <w:numId w:val="20"/>
      </w:numPr>
      <w:adjustRightInd/>
      <w:spacing w:line="240" w:lineRule="auto"/>
    </w:pPr>
    <w:rPr>
      <w:rFonts w:ascii="宋体" w:hAnsi="宋体"/>
      <w:szCs w:val="24"/>
    </w:rPr>
  </w:style>
  <w:style w:type="paragraph" w:customStyle="1" w:styleId="130">
    <w:name w:val="发布部门"/>
    <w:next w:val="131"/>
    <w:qFormat/>
    <w:uiPriority w:val="0"/>
    <w:pPr>
      <w:framePr w:w="7433" w:h="585" w:hRule="exact" w:hSpace="180" w:vSpace="180" w:wrap="around" w:vAnchor="margin" w:hAnchor="margin" w:xAlign="center" w:y="14401" w:anchorLock="1"/>
      <w:jc w:val="center"/>
    </w:pPr>
    <w:rPr>
      <w:rFonts w:ascii="宋体" w:hAnsi="Times New Roman" w:eastAsia="宋体" w:cs="Times New Roman"/>
      <w:b/>
      <w:w w:val="135"/>
      <w:sz w:val="36"/>
      <w:lang w:val="en-US" w:eastAsia="zh-CN" w:bidi="ar-SA"/>
    </w:rPr>
  </w:style>
  <w:style w:type="paragraph" w:customStyle="1" w:styleId="131">
    <w:name w:val="段"/>
    <w:link w:val="240"/>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paragraph" w:customStyle="1" w:styleId="132">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133">
    <w:name w:val="封面标准代替信息"/>
    <w:basedOn w:val="1"/>
    <w:qFormat/>
    <w:uiPriority w:val="0"/>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134">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35">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36">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137">
    <w:name w:val="封面标准英文名称"/>
    <w:qFormat/>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138">
    <w:name w:val="封面一致性程度标识"/>
    <w:qFormat/>
    <w:uiPriority w:val="0"/>
    <w:pPr>
      <w:spacing w:before="440" w:line="440" w:lineRule="exact"/>
      <w:jc w:val="center"/>
    </w:pPr>
    <w:rPr>
      <w:rFonts w:ascii="Times New Roman" w:hAnsi="Times New Roman" w:eastAsia="宋体" w:cs="Times New Roman"/>
      <w:sz w:val="28"/>
      <w:lang w:val="en-US" w:eastAsia="zh-CN" w:bidi="ar-SA"/>
    </w:rPr>
  </w:style>
  <w:style w:type="paragraph" w:customStyle="1" w:styleId="139">
    <w:name w:val="封面正文"/>
    <w:qFormat/>
    <w:uiPriority w:val="0"/>
    <w:pPr>
      <w:jc w:val="both"/>
    </w:pPr>
    <w:rPr>
      <w:rFonts w:ascii="Times New Roman" w:hAnsi="Times New Roman" w:eastAsia="宋体" w:cs="Times New Roman"/>
      <w:lang w:val="en-US" w:eastAsia="zh-CN" w:bidi="ar-SA"/>
    </w:rPr>
  </w:style>
  <w:style w:type="paragraph" w:customStyle="1" w:styleId="140">
    <w:name w:val="附录二级无标题条"/>
    <w:basedOn w:val="1"/>
    <w:next w:val="44"/>
    <w:qFormat/>
    <w:uiPriority w:val="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141">
    <w:name w:val="附录三级无标题条"/>
    <w:basedOn w:val="140"/>
    <w:next w:val="44"/>
    <w:qFormat/>
    <w:uiPriority w:val="0"/>
    <w:pPr>
      <w:outlineLvl w:val="4"/>
    </w:pPr>
  </w:style>
  <w:style w:type="paragraph" w:customStyle="1" w:styleId="142">
    <w:name w:val="附录四级无标题条"/>
    <w:basedOn w:val="141"/>
    <w:next w:val="44"/>
    <w:qFormat/>
    <w:uiPriority w:val="0"/>
    <w:pPr>
      <w:outlineLvl w:val="5"/>
    </w:pPr>
  </w:style>
  <w:style w:type="paragraph" w:customStyle="1" w:styleId="143">
    <w:name w:val="附录图"/>
    <w:next w:val="44"/>
    <w:qFormat/>
    <w:uiPriority w:val="0"/>
    <w:pPr>
      <w:wordWrap w:val="0"/>
      <w:overflowPunct w:val="0"/>
      <w:autoSpaceDE w:val="0"/>
      <w:spacing w:before="50" w:beforeLines="50" w:after="50" w:afterLines="50"/>
      <w:jc w:val="center"/>
      <w:textAlignment w:val="baseline"/>
      <w:outlineLvl w:val="1"/>
    </w:pPr>
    <w:rPr>
      <w:rFonts w:ascii="黑体" w:hAnsi="Times New Roman" w:eastAsia="黑体" w:cs="Times New Roman"/>
      <w:kern w:val="21"/>
      <w:sz w:val="21"/>
      <w:lang w:val="en-US" w:eastAsia="zh-CN" w:bidi="ar-SA"/>
    </w:rPr>
  </w:style>
  <w:style w:type="paragraph" w:customStyle="1" w:styleId="144">
    <w:name w:val="标准文件_一级项"/>
    <w:qFormat/>
    <w:uiPriority w:val="0"/>
    <w:pPr>
      <w:numPr>
        <w:ilvl w:val="0"/>
        <w:numId w:val="21"/>
      </w:numPr>
    </w:pPr>
    <w:rPr>
      <w:rFonts w:ascii="宋体" w:hAnsi="Times New Roman" w:eastAsia="宋体" w:cs="Times New Roman"/>
      <w:sz w:val="21"/>
      <w:lang w:val="en-US" w:eastAsia="zh-CN" w:bidi="ar-SA"/>
    </w:rPr>
  </w:style>
  <w:style w:type="paragraph" w:customStyle="1" w:styleId="145">
    <w:name w:val="附录五级无标题条"/>
    <w:basedOn w:val="142"/>
    <w:next w:val="44"/>
    <w:qFormat/>
    <w:uiPriority w:val="0"/>
    <w:pPr>
      <w:outlineLvl w:val="6"/>
    </w:pPr>
  </w:style>
  <w:style w:type="paragraph" w:customStyle="1" w:styleId="146">
    <w:name w:val="附录性质"/>
    <w:basedOn w:val="1"/>
    <w:qFormat/>
    <w:uiPriority w:val="0"/>
    <w:pPr>
      <w:widowControl/>
      <w:adjustRightInd/>
      <w:jc w:val="center"/>
    </w:pPr>
    <w:rPr>
      <w:rFonts w:ascii="黑体" w:eastAsia="黑体"/>
    </w:rPr>
  </w:style>
  <w:style w:type="paragraph" w:customStyle="1" w:styleId="147">
    <w:name w:val="附录一级无标题条"/>
    <w:basedOn w:val="98"/>
    <w:next w:val="44"/>
    <w:qFormat/>
    <w:uiPriority w:val="0"/>
    <w:pPr>
      <w:autoSpaceDN w:val="0"/>
      <w:outlineLvl w:val="2"/>
    </w:pPr>
    <w:rPr>
      <w:rFonts w:ascii="宋体" w:hAnsi="宋体" w:eastAsia="宋体"/>
    </w:rPr>
  </w:style>
  <w:style w:type="character" w:customStyle="1" w:styleId="148">
    <w:name w:val="个人答复风格"/>
    <w:qFormat/>
    <w:uiPriority w:val="0"/>
    <w:rPr>
      <w:rFonts w:ascii="Arial" w:hAnsi="Arial" w:eastAsia="宋体" w:cs="Arial"/>
      <w:color w:val="auto"/>
      <w:spacing w:val="0"/>
      <w:sz w:val="20"/>
    </w:rPr>
  </w:style>
  <w:style w:type="character" w:customStyle="1" w:styleId="149">
    <w:name w:val="个人撰写风格"/>
    <w:qFormat/>
    <w:uiPriority w:val="0"/>
    <w:rPr>
      <w:rFonts w:ascii="Arial" w:hAnsi="Arial" w:eastAsia="宋体" w:cs="Arial"/>
      <w:color w:val="auto"/>
      <w:spacing w:val="0"/>
      <w:sz w:val="20"/>
    </w:rPr>
  </w:style>
  <w:style w:type="paragraph" w:customStyle="1" w:styleId="150">
    <w:name w:val="脚注后续"/>
    <w:qFormat/>
    <w:uiPriority w:val="0"/>
    <w:pPr>
      <w:ind w:left="350" w:leftChars="350"/>
      <w:jc w:val="both"/>
    </w:pPr>
    <w:rPr>
      <w:rFonts w:ascii="宋体" w:hAnsi="Times New Roman" w:eastAsia="宋体" w:cs="Times New Roman"/>
      <w:sz w:val="18"/>
      <w:lang w:val="en-US" w:eastAsia="zh-CN" w:bidi="ar-SA"/>
    </w:rPr>
  </w:style>
  <w:style w:type="paragraph" w:customStyle="1" w:styleId="151">
    <w:name w:val="列项——"/>
    <w:qFormat/>
    <w:uiPriority w:val="0"/>
    <w:pPr>
      <w:widowControl w:val="0"/>
      <w:numPr>
        <w:ilvl w:val="0"/>
        <w:numId w:val="22"/>
      </w:numPr>
      <w:jc w:val="both"/>
    </w:pPr>
    <w:rPr>
      <w:rFonts w:ascii="宋体" w:hAnsi="宋体" w:eastAsia="宋体" w:cs="Times New Roman"/>
      <w:sz w:val="21"/>
      <w:lang w:val="en-US" w:eastAsia="zh-CN" w:bidi="ar-SA"/>
    </w:rPr>
  </w:style>
  <w:style w:type="paragraph" w:customStyle="1" w:styleId="152">
    <w:name w:val="列项·"/>
    <w:basedOn w:val="44"/>
    <w:qFormat/>
    <w:uiPriority w:val="0"/>
    <w:pPr>
      <w:tabs>
        <w:tab w:val="left" w:pos="840"/>
      </w:tabs>
    </w:pPr>
  </w:style>
  <w:style w:type="paragraph" w:customStyle="1" w:styleId="153">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54">
    <w:name w:val="目录 21"/>
    <w:basedOn w:val="1"/>
    <w:next w:val="1"/>
    <w:semiHidden/>
    <w:qFormat/>
    <w:uiPriority w:val="0"/>
    <w:pPr>
      <w:adjustRightInd/>
      <w:spacing w:line="240" w:lineRule="auto"/>
      <w:jc w:val="left"/>
    </w:pPr>
    <w:rPr>
      <w:bCs/>
      <w:iCs/>
    </w:rPr>
  </w:style>
  <w:style w:type="paragraph" w:customStyle="1" w:styleId="155">
    <w:name w:val="目录 31"/>
    <w:basedOn w:val="1"/>
    <w:next w:val="1"/>
    <w:semiHidden/>
    <w:qFormat/>
    <w:uiPriority w:val="0"/>
    <w:pPr>
      <w:spacing w:line="240" w:lineRule="auto"/>
    </w:pPr>
    <w:rPr>
      <w:rFonts w:ascii="宋体" w:hAnsi="宋体"/>
      <w:iCs/>
    </w:rPr>
  </w:style>
  <w:style w:type="paragraph" w:customStyle="1" w:styleId="156">
    <w:name w:val="目录 41"/>
    <w:basedOn w:val="1"/>
    <w:next w:val="1"/>
    <w:semiHidden/>
    <w:qFormat/>
    <w:uiPriority w:val="0"/>
    <w:pPr>
      <w:adjustRightInd/>
      <w:spacing w:line="240" w:lineRule="auto"/>
      <w:jc w:val="left"/>
    </w:pPr>
  </w:style>
  <w:style w:type="paragraph" w:customStyle="1" w:styleId="157">
    <w:name w:val="目录 51"/>
    <w:basedOn w:val="1"/>
    <w:next w:val="1"/>
    <w:semiHidden/>
    <w:qFormat/>
    <w:uiPriority w:val="0"/>
    <w:pPr>
      <w:spacing w:line="240" w:lineRule="auto"/>
    </w:pPr>
    <w:rPr>
      <w:rFonts w:ascii="宋体" w:hAnsi="宋体"/>
    </w:rPr>
  </w:style>
  <w:style w:type="paragraph" w:customStyle="1" w:styleId="158">
    <w:name w:val="目录 61"/>
    <w:basedOn w:val="1"/>
    <w:next w:val="1"/>
    <w:semiHidden/>
    <w:qFormat/>
    <w:uiPriority w:val="0"/>
    <w:pPr>
      <w:adjustRightInd/>
      <w:spacing w:line="240" w:lineRule="auto"/>
      <w:jc w:val="left"/>
    </w:pPr>
  </w:style>
  <w:style w:type="paragraph" w:customStyle="1" w:styleId="159">
    <w:name w:val="目录 71"/>
    <w:basedOn w:val="158"/>
    <w:semiHidden/>
    <w:qFormat/>
    <w:uiPriority w:val="0"/>
    <w:pPr>
      <w:ind w:left="1260"/>
    </w:pPr>
  </w:style>
  <w:style w:type="paragraph" w:customStyle="1" w:styleId="160">
    <w:name w:val="目录 81"/>
    <w:basedOn w:val="159"/>
    <w:semiHidden/>
    <w:qFormat/>
    <w:uiPriority w:val="0"/>
    <w:pPr>
      <w:ind w:left="1470"/>
    </w:pPr>
  </w:style>
  <w:style w:type="paragraph" w:customStyle="1" w:styleId="161">
    <w:name w:val="目录 91"/>
    <w:basedOn w:val="160"/>
    <w:semiHidden/>
    <w:qFormat/>
    <w:uiPriority w:val="0"/>
    <w:pPr>
      <w:ind w:left="1680"/>
    </w:pPr>
  </w:style>
  <w:style w:type="paragraph" w:customStyle="1" w:styleId="162">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163">
    <w:name w:val="其他发布部门"/>
    <w:basedOn w:val="130"/>
    <w:qFormat/>
    <w:uiPriority w:val="0"/>
    <w:pPr>
      <w:framePr w:wrap="around"/>
      <w:spacing w:line="0" w:lineRule="atLeast"/>
    </w:pPr>
    <w:rPr>
      <w:rFonts w:ascii="黑体" w:eastAsia="黑体"/>
      <w:b w:val="0"/>
    </w:rPr>
  </w:style>
  <w:style w:type="paragraph" w:customStyle="1" w:styleId="164">
    <w:name w:val="前言标题"/>
    <w:next w:val="1"/>
    <w:qFormat/>
    <w:uiPriority w:val="0"/>
    <w:pPr>
      <w:numPr>
        <w:ilvl w:val="0"/>
        <w:numId w:val="2"/>
      </w:num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65">
    <w:name w:val="三级无标题条"/>
    <w:basedOn w:val="1"/>
    <w:qFormat/>
    <w:uiPriority w:val="0"/>
    <w:pPr>
      <w:numPr>
        <w:ilvl w:val="4"/>
        <w:numId w:val="20"/>
      </w:numPr>
      <w:adjustRightInd/>
      <w:spacing w:line="240" w:lineRule="auto"/>
    </w:pPr>
    <w:rPr>
      <w:rFonts w:ascii="宋体" w:hAnsi="宋体"/>
      <w:szCs w:val="24"/>
    </w:rPr>
  </w:style>
  <w:style w:type="paragraph" w:customStyle="1" w:styleId="166">
    <w:name w:val="实施日期"/>
    <w:basedOn w:val="132"/>
    <w:qFormat/>
    <w:uiPriority w:val="0"/>
    <w:pPr>
      <w:framePr w:hSpace="0" w:wrap="around" w:xAlign="right"/>
      <w:jc w:val="right"/>
    </w:pPr>
  </w:style>
  <w:style w:type="paragraph" w:customStyle="1" w:styleId="167">
    <w:name w:val="四级无标题条"/>
    <w:basedOn w:val="1"/>
    <w:qFormat/>
    <w:uiPriority w:val="0"/>
    <w:pPr>
      <w:numPr>
        <w:ilvl w:val="5"/>
        <w:numId w:val="20"/>
      </w:numPr>
      <w:adjustRightInd/>
      <w:spacing w:line="240" w:lineRule="auto"/>
    </w:pPr>
    <w:rPr>
      <w:rFonts w:ascii="宋体" w:hAnsi="宋体"/>
      <w:szCs w:val="24"/>
    </w:rPr>
  </w:style>
  <w:style w:type="paragraph" w:customStyle="1" w:styleId="168">
    <w:name w:val="文献分类号"/>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169">
    <w:name w:val="无标题条"/>
    <w:next w:val="44"/>
    <w:qFormat/>
    <w:uiPriority w:val="0"/>
    <w:pPr>
      <w:jc w:val="both"/>
    </w:pPr>
    <w:rPr>
      <w:rFonts w:ascii="宋体" w:hAnsi="宋体" w:eastAsia="宋体" w:cs="Times New Roman"/>
      <w:sz w:val="21"/>
      <w:lang w:val="en-US" w:eastAsia="zh-CN" w:bidi="ar-SA"/>
    </w:rPr>
  </w:style>
  <w:style w:type="paragraph" w:customStyle="1" w:styleId="170">
    <w:name w:val="五级无标题条"/>
    <w:basedOn w:val="1"/>
    <w:qFormat/>
    <w:uiPriority w:val="0"/>
    <w:pPr>
      <w:numPr>
        <w:ilvl w:val="6"/>
        <w:numId w:val="20"/>
      </w:numPr>
      <w:adjustRightInd/>
    </w:pPr>
    <w:rPr>
      <w:szCs w:val="24"/>
    </w:rPr>
  </w:style>
  <w:style w:type="paragraph" w:customStyle="1" w:styleId="171">
    <w:name w:val="一级无标题条"/>
    <w:basedOn w:val="1"/>
    <w:qFormat/>
    <w:uiPriority w:val="0"/>
    <w:pPr>
      <w:numPr>
        <w:ilvl w:val="2"/>
        <w:numId w:val="20"/>
      </w:numPr>
      <w:adjustRightInd/>
      <w:spacing w:before="10" w:after="10" w:line="240" w:lineRule="auto"/>
    </w:pPr>
    <w:rPr>
      <w:rFonts w:ascii="宋体" w:hAnsi="宋体"/>
      <w:szCs w:val="24"/>
    </w:rPr>
  </w:style>
  <w:style w:type="paragraph" w:customStyle="1" w:styleId="172">
    <w:name w:val="注:后续"/>
    <w:qFormat/>
    <w:uiPriority w:val="0"/>
    <w:pPr>
      <w:spacing w:line="300" w:lineRule="exact"/>
      <w:ind w:left="600" w:leftChars="400" w:hanging="200" w:hangingChars="200"/>
      <w:jc w:val="both"/>
    </w:pPr>
    <w:rPr>
      <w:rFonts w:ascii="宋体" w:hAnsi="Times New Roman" w:eastAsia="宋体" w:cs="Times New Roman"/>
      <w:sz w:val="18"/>
      <w:lang w:val="en-US" w:eastAsia="zh-CN" w:bidi="ar-SA"/>
    </w:rPr>
  </w:style>
  <w:style w:type="paragraph" w:customStyle="1" w:styleId="173">
    <w:name w:val="注×:后续"/>
    <w:basedOn w:val="172"/>
    <w:qFormat/>
    <w:uiPriority w:val="0"/>
    <w:pPr>
      <w:ind w:left="1406" w:leftChars="0" w:hanging="499" w:firstLineChars="0"/>
    </w:pPr>
  </w:style>
  <w:style w:type="paragraph" w:customStyle="1" w:styleId="174">
    <w:name w:val="标准文件_一级无标题"/>
    <w:basedOn w:val="116"/>
    <w:qFormat/>
    <w:uiPriority w:val="0"/>
    <w:pPr>
      <w:spacing w:before="0" w:beforeLines="0" w:after="0" w:afterLines="0"/>
      <w:outlineLvl w:val="9"/>
    </w:pPr>
    <w:rPr>
      <w:rFonts w:ascii="宋体" w:eastAsia="宋体"/>
    </w:rPr>
  </w:style>
  <w:style w:type="paragraph" w:customStyle="1" w:styleId="175">
    <w:name w:val="标准文件_五级无标题"/>
    <w:basedOn w:val="114"/>
    <w:qFormat/>
    <w:uiPriority w:val="0"/>
    <w:pPr>
      <w:spacing w:before="0" w:beforeLines="0" w:after="0" w:afterLines="0"/>
      <w:outlineLvl w:val="9"/>
    </w:pPr>
    <w:rPr>
      <w:rFonts w:ascii="宋体" w:eastAsia="宋体"/>
    </w:rPr>
  </w:style>
  <w:style w:type="paragraph" w:customStyle="1" w:styleId="176">
    <w:name w:val="标准文件_三级无标题"/>
    <w:basedOn w:val="105"/>
    <w:qFormat/>
    <w:uiPriority w:val="0"/>
    <w:pPr>
      <w:spacing w:before="0" w:beforeLines="0" w:after="0" w:afterLines="0"/>
      <w:outlineLvl w:val="9"/>
    </w:pPr>
    <w:rPr>
      <w:rFonts w:ascii="宋体" w:eastAsia="宋体"/>
    </w:rPr>
  </w:style>
  <w:style w:type="paragraph" w:customStyle="1" w:styleId="177">
    <w:name w:val="标准文件_二级无标题"/>
    <w:basedOn w:val="76"/>
    <w:qFormat/>
    <w:uiPriority w:val="0"/>
    <w:pPr>
      <w:spacing w:before="0" w:beforeLines="0" w:after="0" w:afterLines="0"/>
      <w:outlineLvl w:val="9"/>
    </w:pPr>
    <w:rPr>
      <w:rFonts w:ascii="宋体" w:eastAsia="宋体"/>
    </w:rPr>
  </w:style>
  <w:style w:type="paragraph" w:customStyle="1" w:styleId="178">
    <w:name w:val="标准_四级无标题"/>
    <w:basedOn w:val="109"/>
    <w:next w:val="44"/>
    <w:qFormat/>
    <w:uiPriority w:val="0"/>
    <w:rPr>
      <w:rFonts w:eastAsia="宋体"/>
    </w:rPr>
  </w:style>
  <w:style w:type="paragraph" w:customStyle="1" w:styleId="179">
    <w:name w:val="标准文件_四级无标题"/>
    <w:basedOn w:val="109"/>
    <w:qFormat/>
    <w:uiPriority w:val="0"/>
    <w:pPr>
      <w:spacing w:before="0" w:beforeLines="0" w:after="0" w:afterLines="0"/>
      <w:outlineLvl w:val="9"/>
    </w:pPr>
    <w:rPr>
      <w:rFonts w:ascii="宋体" w:hAnsi="黑体" w:eastAsia="宋体"/>
      <w:szCs w:val="52"/>
    </w:rPr>
  </w:style>
  <w:style w:type="paragraph" w:customStyle="1" w:styleId="180">
    <w:name w:val="标准文件_大写罗马数字编号列项"/>
    <w:basedOn w:val="44"/>
    <w:qFormat/>
    <w:uiPriority w:val="0"/>
    <w:pPr>
      <w:numPr>
        <w:ilvl w:val="0"/>
        <w:numId w:val="23"/>
      </w:numPr>
      <w:ind w:firstLine="0" w:firstLineChars="0"/>
    </w:pPr>
    <w:rPr>
      <w:rFonts w:ascii="Times New Roman" w:cs="Arial"/>
      <w:szCs w:val="28"/>
    </w:rPr>
  </w:style>
  <w:style w:type="paragraph" w:customStyle="1" w:styleId="181">
    <w:name w:val="标准文件_小写罗马数字编号列项"/>
    <w:basedOn w:val="44"/>
    <w:qFormat/>
    <w:uiPriority w:val="0"/>
    <w:pPr>
      <w:numPr>
        <w:ilvl w:val="0"/>
        <w:numId w:val="24"/>
      </w:numPr>
      <w:ind w:firstLine="0" w:firstLineChars="0"/>
    </w:pPr>
    <w:rPr>
      <w:rFonts w:cs="Arial"/>
      <w:szCs w:val="28"/>
    </w:rPr>
  </w:style>
  <w:style w:type="paragraph" w:customStyle="1" w:styleId="182">
    <w:name w:val="标准文件_附录标题"/>
    <w:basedOn w:val="87"/>
    <w:qFormat/>
    <w:uiPriority w:val="0"/>
    <w:pPr>
      <w:numPr>
        <w:numId w:val="0"/>
      </w:numPr>
      <w:spacing w:after="280"/>
      <w:outlineLvl w:val="9"/>
    </w:pPr>
  </w:style>
  <w:style w:type="paragraph" w:customStyle="1" w:styleId="183">
    <w:name w:val="标准文件_二级项"/>
    <w:qFormat/>
    <w:uiPriority w:val="0"/>
    <w:rPr>
      <w:rFonts w:ascii="宋体" w:hAnsi="Times New Roman" w:eastAsia="宋体" w:cs="Times New Roman"/>
      <w:sz w:val="21"/>
      <w:lang w:val="en-US" w:eastAsia="zh-CN" w:bidi="ar-SA"/>
    </w:rPr>
  </w:style>
  <w:style w:type="paragraph" w:customStyle="1" w:styleId="184">
    <w:name w:val="标准文件_三级项"/>
    <w:basedOn w:val="1"/>
    <w:qFormat/>
    <w:uiPriority w:val="0"/>
    <w:pPr>
      <w:numPr>
        <w:ilvl w:val="2"/>
        <w:numId w:val="21"/>
      </w:numPr>
      <w:spacing w:line="536870612" w:lineRule="auto"/>
    </w:pPr>
    <w:rPr>
      <w:rFonts w:ascii="Times New Roman" w:hAnsi="Times New Roman"/>
    </w:rPr>
  </w:style>
  <w:style w:type="paragraph" w:customStyle="1" w:styleId="185">
    <w:name w:val="图表脚注说明"/>
    <w:basedOn w:val="1"/>
    <w:next w:val="44"/>
    <w:qFormat/>
    <w:uiPriority w:val="0"/>
    <w:pPr>
      <w:numPr>
        <w:ilvl w:val="0"/>
        <w:numId w:val="25"/>
      </w:numPr>
      <w:adjustRightInd/>
      <w:spacing w:line="240" w:lineRule="auto"/>
      <w:ind w:left="783"/>
    </w:pPr>
    <w:rPr>
      <w:rFonts w:ascii="宋体" w:hAnsi="Times New Roman"/>
      <w:sz w:val="18"/>
      <w:szCs w:val="18"/>
    </w:rPr>
  </w:style>
  <w:style w:type="paragraph" w:customStyle="1" w:styleId="186">
    <w:name w:val="标准文件_字母编号列项（一级）"/>
    <w:qFormat/>
    <w:uiPriority w:val="0"/>
    <w:pPr>
      <w:numPr>
        <w:ilvl w:val="0"/>
        <w:numId w:val="13"/>
      </w:numPr>
      <w:jc w:val="both"/>
    </w:pPr>
    <w:rPr>
      <w:rFonts w:ascii="宋体" w:hAnsi="Times New Roman" w:eastAsia="宋体" w:cs="Times New Roman"/>
      <w:sz w:val="21"/>
      <w:lang w:val="en-US" w:eastAsia="zh-CN" w:bidi="ar-SA"/>
    </w:rPr>
  </w:style>
  <w:style w:type="paragraph" w:customStyle="1" w:styleId="187">
    <w:name w:val="标准文件_索引字母"/>
    <w:next w:val="44"/>
    <w:qFormat/>
    <w:uiPriority w:val="0"/>
    <w:pPr>
      <w:jc w:val="center"/>
    </w:pPr>
    <w:rPr>
      <w:rFonts w:ascii="宋体" w:hAnsi="宋体" w:eastAsia="Times New Roman" w:cs="Times New Roman"/>
      <w:b/>
      <w:kern w:val="2"/>
      <w:sz w:val="21"/>
      <w:lang w:val="en-US" w:eastAsia="zh-CN" w:bidi="ar-SA"/>
    </w:rPr>
  </w:style>
  <w:style w:type="paragraph" w:customStyle="1" w:styleId="188">
    <w:name w:val="标准文件_附录前"/>
    <w:next w:val="44"/>
    <w:qFormat/>
    <w:uiPriority w:val="0"/>
    <w:pPr>
      <w:spacing w:line="20" w:lineRule="atLeast"/>
      <w:ind w:firstLine="200"/>
    </w:pPr>
    <w:rPr>
      <w:rFonts w:ascii="宋体" w:hAnsi="宋体" w:eastAsia="宋体" w:cs="Times New Roman"/>
      <w:kern w:val="2"/>
      <w:sz w:val="10"/>
      <w:lang w:val="en-US" w:eastAsia="zh-CN" w:bidi="ar-SA"/>
    </w:rPr>
  </w:style>
  <w:style w:type="paragraph" w:customStyle="1" w:styleId="189">
    <w:name w:val="标准文件_正文标准名称"/>
    <w:qFormat/>
    <w:uiPriority w:val="0"/>
    <w:pPr>
      <w:spacing w:before="560" w:after="640" w:line="400" w:lineRule="exact"/>
      <w:jc w:val="center"/>
    </w:pPr>
    <w:rPr>
      <w:rFonts w:ascii="黑体" w:hAnsi="黑体" w:eastAsia="黑体" w:cs="Times New Roman"/>
      <w:kern w:val="2"/>
      <w:sz w:val="32"/>
      <w:szCs w:val="32"/>
      <w:lang w:val="en-US" w:eastAsia="zh-CN" w:bidi="ar-SA"/>
    </w:rPr>
  </w:style>
  <w:style w:type="paragraph" w:customStyle="1" w:styleId="190">
    <w:name w:val="标准文件_表格"/>
    <w:basedOn w:val="44"/>
    <w:qFormat/>
    <w:uiPriority w:val="0"/>
    <w:pPr>
      <w:ind w:firstLine="0" w:firstLineChars="0"/>
      <w:jc w:val="center"/>
    </w:pPr>
    <w:rPr>
      <w:sz w:val="18"/>
    </w:rPr>
  </w:style>
  <w:style w:type="paragraph" w:customStyle="1" w:styleId="191">
    <w:name w:val="标准文件_注："/>
    <w:next w:val="44"/>
    <w:qFormat/>
    <w:uiPriority w:val="0"/>
    <w:pPr>
      <w:widowControl w:val="0"/>
      <w:numPr>
        <w:ilvl w:val="0"/>
        <w:numId w:val="26"/>
      </w:numPr>
      <w:autoSpaceDE w:val="0"/>
      <w:autoSpaceDN w:val="0"/>
      <w:jc w:val="both"/>
    </w:pPr>
    <w:rPr>
      <w:rFonts w:ascii="宋体" w:hAnsi="Times New Roman" w:eastAsia="宋体" w:cs="Times New Roman"/>
      <w:sz w:val="18"/>
      <w:szCs w:val="18"/>
      <w:lang w:val="en-US" w:eastAsia="zh-CN" w:bidi="ar-SA"/>
    </w:rPr>
  </w:style>
  <w:style w:type="paragraph" w:customStyle="1" w:styleId="192">
    <w:name w:val="标准文件_注×："/>
    <w:qFormat/>
    <w:uiPriority w:val="0"/>
    <w:pPr>
      <w:widowControl w:val="0"/>
      <w:numPr>
        <w:ilvl w:val="0"/>
        <w:numId w:val="27"/>
      </w:numPr>
      <w:autoSpaceDE w:val="0"/>
      <w:autoSpaceDN w:val="0"/>
      <w:jc w:val="both"/>
    </w:pPr>
    <w:rPr>
      <w:rFonts w:ascii="宋体" w:hAnsi="Times New Roman" w:eastAsia="宋体" w:cs="Times New Roman"/>
      <w:sz w:val="18"/>
      <w:szCs w:val="18"/>
      <w:lang w:val="en-US" w:eastAsia="zh-CN" w:bidi="ar-SA"/>
    </w:rPr>
  </w:style>
  <w:style w:type="paragraph" w:customStyle="1" w:styleId="193">
    <w:name w:val="标准文件_示例："/>
    <w:next w:val="194"/>
    <w:qFormat/>
    <w:uiPriority w:val="0"/>
    <w:pPr>
      <w:widowControl w:val="0"/>
      <w:numPr>
        <w:ilvl w:val="0"/>
        <w:numId w:val="28"/>
      </w:numPr>
      <w:jc w:val="both"/>
    </w:pPr>
    <w:rPr>
      <w:rFonts w:ascii="宋体" w:hAnsi="Times New Roman" w:eastAsia="宋体" w:cs="Times New Roman"/>
      <w:sz w:val="18"/>
      <w:szCs w:val="18"/>
      <w:lang w:val="en-US" w:eastAsia="zh-CN" w:bidi="ar-SA"/>
    </w:rPr>
  </w:style>
  <w:style w:type="paragraph" w:customStyle="1" w:styleId="194">
    <w:name w:val="标准文件_示例内容"/>
    <w:basedOn w:val="44"/>
    <w:qFormat/>
    <w:uiPriority w:val="0"/>
    <w:pPr>
      <w:ind w:firstLine="420"/>
    </w:pPr>
    <w:rPr>
      <w:sz w:val="18"/>
    </w:rPr>
  </w:style>
  <w:style w:type="paragraph" w:customStyle="1" w:styleId="195">
    <w:name w:val="标准文件_示例×："/>
    <w:basedOn w:val="1"/>
    <w:next w:val="194"/>
    <w:qFormat/>
    <w:uiPriority w:val="0"/>
    <w:pPr>
      <w:widowControl/>
      <w:numPr>
        <w:ilvl w:val="0"/>
        <w:numId w:val="29"/>
      </w:numPr>
      <w:adjustRightInd/>
      <w:spacing w:line="240" w:lineRule="auto"/>
    </w:pPr>
    <w:rPr>
      <w:rFonts w:ascii="宋体" w:hAnsi="Times New Roman"/>
      <w:kern w:val="0"/>
      <w:sz w:val="18"/>
      <w:szCs w:val="18"/>
    </w:rPr>
  </w:style>
  <w:style w:type="paragraph" w:customStyle="1" w:styleId="196">
    <w:name w:val="标准文件_表格续"/>
    <w:basedOn w:val="44"/>
    <w:next w:val="44"/>
    <w:qFormat/>
    <w:uiPriority w:val="0"/>
    <w:pPr>
      <w:jc w:val="center"/>
    </w:pPr>
    <w:rPr>
      <w:rFonts w:ascii="黑体" w:hAnsi="黑体" w:eastAsia="黑体"/>
    </w:rPr>
  </w:style>
  <w:style w:type="character" w:styleId="197">
    <w:name w:val="Placeholder Text"/>
    <w:basedOn w:val="33"/>
    <w:semiHidden/>
    <w:qFormat/>
    <w:uiPriority w:val="99"/>
    <w:rPr>
      <w:color w:val="808080"/>
    </w:rPr>
  </w:style>
  <w:style w:type="paragraph" w:customStyle="1" w:styleId="198">
    <w:name w:val="标准文件_二级项2"/>
    <w:basedOn w:val="44"/>
    <w:qFormat/>
    <w:uiPriority w:val="0"/>
    <w:pPr>
      <w:numPr>
        <w:ilvl w:val="1"/>
        <w:numId w:val="21"/>
      </w:numPr>
      <w:ind w:left="1271" w:hanging="420" w:firstLineChars="0"/>
    </w:pPr>
  </w:style>
  <w:style w:type="paragraph" w:customStyle="1" w:styleId="199">
    <w:name w:val="标准文件_三级项2"/>
    <w:basedOn w:val="44"/>
    <w:qFormat/>
    <w:uiPriority w:val="0"/>
    <w:pPr>
      <w:numPr>
        <w:ilvl w:val="0"/>
        <w:numId w:val="30"/>
      </w:numPr>
      <w:spacing w:line="300" w:lineRule="exact"/>
      <w:ind w:left="1276" w:hanging="425" w:firstLineChars="0"/>
    </w:pPr>
    <w:rPr>
      <w:rFonts w:ascii="Times New Roman"/>
    </w:rPr>
  </w:style>
  <w:style w:type="paragraph" w:customStyle="1" w:styleId="200">
    <w:name w:val="标准文件_一级项2"/>
    <w:basedOn w:val="44"/>
    <w:qFormat/>
    <w:uiPriority w:val="0"/>
    <w:pPr>
      <w:numPr>
        <w:ilvl w:val="0"/>
        <w:numId w:val="31"/>
      </w:numPr>
      <w:spacing w:line="300" w:lineRule="exact"/>
      <w:ind w:left="1271" w:hanging="420" w:firstLineChars="0"/>
    </w:pPr>
    <w:rPr>
      <w:rFonts w:ascii="Times New Roman"/>
    </w:rPr>
  </w:style>
  <w:style w:type="paragraph" w:customStyle="1" w:styleId="201">
    <w:name w:val="标准文件_提示"/>
    <w:basedOn w:val="44"/>
    <w:next w:val="44"/>
    <w:qFormat/>
    <w:uiPriority w:val="0"/>
    <w:pPr>
      <w:ind w:firstLine="420"/>
    </w:pPr>
    <w:rPr>
      <w:rFonts w:ascii="黑体" w:eastAsia="黑体"/>
    </w:rPr>
  </w:style>
  <w:style w:type="character" w:customStyle="1" w:styleId="202">
    <w:name w:val="标准文件_来源"/>
    <w:basedOn w:val="33"/>
    <w:qFormat/>
    <w:uiPriority w:val="1"/>
    <w:rPr>
      <w:rFonts w:eastAsia="宋体"/>
      <w:sz w:val="21"/>
    </w:rPr>
  </w:style>
  <w:style w:type="paragraph" w:customStyle="1" w:styleId="203">
    <w:name w:val="标准文件_图表说明"/>
    <w:qFormat/>
    <w:uiPriority w:val="0"/>
    <w:pPr>
      <w:spacing w:line="276" w:lineRule="auto"/>
      <w:ind w:firstLine="420"/>
    </w:pPr>
    <w:rPr>
      <w:rFonts w:ascii="宋体" w:hAnsi="宋体" w:eastAsia="宋体" w:cs="Times New Roman"/>
      <w:kern w:val="2"/>
      <w:sz w:val="18"/>
      <w:lang w:val="en-US" w:eastAsia="zh-CN" w:bidi="ar-SA"/>
    </w:rPr>
  </w:style>
  <w:style w:type="paragraph" w:customStyle="1" w:styleId="204">
    <w:name w:val="其他发布日期"/>
    <w:basedOn w:val="132"/>
    <w:qFormat/>
    <w:uiPriority w:val="0"/>
    <w:pPr>
      <w:framePr w:w="3997" w:h="471" w:hRule="exact" w:hSpace="0" w:vSpace="181" w:wrap="around" w:vAnchor="page" w:hAnchor="page" w:x="1419" w:y="14097"/>
    </w:pPr>
  </w:style>
  <w:style w:type="paragraph" w:customStyle="1" w:styleId="205">
    <w:name w:val="其他实施日期"/>
    <w:basedOn w:val="166"/>
    <w:qFormat/>
    <w:uiPriority w:val="0"/>
    <w:pPr>
      <w:framePr w:w="3997" w:h="471" w:hRule="exact" w:vSpace="181" w:wrap="around" w:vAnchor="page" w:hAnchor="page" w:x="7089" w:y="14097"/>
    </w:pPr>
  </w:style>
  <w:style w:type="paragraph" w:customStyle="1" w:styleId="206">
    <w:name w:val="标准文件_文件编号"/>
    <w:basedOn w:val="44"/>
    <w:qFormat/>
    <w:uiPriority w:val="0"/>
    <w:pPr>
      <w:framePr w:w="9356" w:h="624" w:hRule="exact" w:hSpace="181" w:vSpace="181" w:wrap="auto" w:vAnchor="page" w:hAnchor="page" w:x="1419" w:y="3284"/>
      <w:wordWrap w:val="0"/>
      <w:spacing w:line="280" w:lineRule="exact"/>
      <w:ind w:firstLine="0" w:firstLineChars="0"/>
      <w:jc w:val="right"/>
    </w:pPr>
    <w:rPr>
      <w:rFonts w:ascii="黑体" w:eastAsia="黑体"/>
      <w:bCs/>
      <w:sz w:val="28"/>
      <w:szCs w:val="28"/>
    </w:rPr>
  </w:style>
  <w:style w:type="paragraph" w:customStyle="1" w:styleId="207">
    <w:name w:val="标准文件_替换文件编号"/>
    <w:basedOn w:val="206"/>
    <w:qFormat/>
    <w:uiPriority w:val="0"/>
    <w:pPr>
      <w:spacing w:before="57"/>
    </w:pPr>
    <w:rPr>
      <w:sz w:val="21"/>
    </w:rPr>
  </w:style>
  <w:style w:type="paragraph" w:customStyle="1" w:styleId="208">
    <w:name w:val="标准文件_文件名称"/>
    <w:basedOn w:val="44"/>
    <w:next w:val="44"/>
    <w:qFormat/>
    <w:uiPriority w:val="0"/>
    <w:pPr>
      <w:framePr w:w="9639" w:h="6976" w:hRule="exact" w:wrap="auto" w:vAnchor="page" w:hAnchor="page" w:y="6408"/>
      <w:autoSpaceDE/>
      <w:autoSpaceDN/>
      <w:spacing w:line="700" w:lineRule="exact"/>
      <w:ind w:firstLine="0" w:firstLineChars="0"/>
      <w:jc w:val="center"/>
    </w:pPr>
    <w:rPr>
      <w:rFonts w:ascii="黑体" w:hAnsi="黑体" w:eastAsia="黑体"/>
      <w:bCs/>
      <w:sz w:val="52"/>
    </w:rPr>
  </w:style>
  <w:style w:type="paragraph" w:customStyle="1" w:styleId="209">
    <w:name w:val="标准文件_附录图标号"/>
    <w:basedOn w:val="44"/>
    <w:next w:val="44"/>
    <w:qFormat/>
    <w:uiPriority w:val="0"/>
    <w:pPr>
      <w:numPr>
        <w:ilvl w:val="0"/>
        <w:numId w:val="6"/>
      </w:numPr>
      <w:spacing w:line="14" w:lineRule="exact"/>
      <w:ind w:firstLine="0" w:firstLineChars="0"/>
      <w:jc w:val="center"/>
    </w:pPr>
    <w:rPr>
      <w:rFonts w:ascii="黑体" w:hAnsi="黑体" w:eastAsia="黑体"/>
      <w:vanish/>
      <w:sz w:val="2"/>
      <w:szCs w:val="21"/>
    </w:rPr>
  </w:style>
  <w:style w:type="paragraph" w:customStyle="1" w:styleId="210">
    <w:name w:val="标准文件_附录表标号"/>
    <w:basedOn w:val="44"/>
    <w:next w:val="44"/>
    <w:qFormat/>
    <w:uiPriority w:val="0"/>
    <w:pPr>
      <w:numPr>
        <w:ilvl w:val="0"/>
        <w:numId w:val="5"/>
      </w:numPr>
      <w:spacing w:line="14" w:lineRule="exact"/>
      <w:ind w:firstLine="0" w:firstLineChars="0"/>
      <w:jc w:val="center"/>
    </w:pPr>
    <w:rPr>
      <w:rFonts w:eastAsia="黑体"/>
      <w:vanish/>
      <w:sz w:val="2"/>
    </w:rPr>
  </w:style>
  <w:style w:type="paragraph" w:customStyle="1" w:styleId="211">
    <w:name w:val="标准文件_引言一级条标题"/>
    <w:basedOn w:val="44"/>
    <w:next w:val="44"/>
    <w:qFormat/>
    <w:uiPriority w:val="0"/>
    <w:pPr>
      <w:numPr>
        <w:ilvl w:val="1"/>
        <w:numId w:val="8"/>
      </w:numPr>
      <w:spacing w:before="50" w:beforeLines="50" w:after="50" w:afterLines="50"/>
      <w:ind w:firstLineChars="0"/>
    </w:pPr>
    <w:rPr>
      <w:rFonts w:ascii="黑体" w:eastAsia="黑体"/>
    </w:rPr>
  </w:style>
  <w:style w:type="paragraph" w:customStyle="1" w:styleId="212">
    <w:name w:val="标准文件_引言二级条标题"/>
    <w:basedOn w:val="44"/>
    <w:next w:val="44"/>
    <w:qFormat/>
    <w:uiPriority w:val="0"/>
    <w:pPr>
      <w:numPr>
        <w:ilvl w:val="2"/>
        <w:numId w:val="8"/>
      </w:numPr>
      <w:spacing w:before="50" w:beforeLines="50" w:after="50" w:afterLines="50"/>
      <w:ind w:firstLineChars="0"/>
    </w:pPr>
    <w:rPr>
      <w:rFonts w:ascii="黑体" w:eastAsia="黑体"/>
    </w:rPr>
  </w:style>
  <w:style w:type="paragraph" w:customStyle="1" w:styleId="213">
    <w:name w:val="标准文件_引言三级条标题"/>
    <w:basedOn w:val="44"/>
    <w:next w:val="44"/>
    <w:qFormat/>
    <w:uiPriority w:val="0"/>
    <w:pPr>
      <w:numPr>
        <w:ilvl w:val="3"/>
        <w:numId w:val="8"/>
      </w:numPr>
      <w:spacing w:before="50" w:beforeLines="50" w:after="50" w:afterLines="50"/>
      <w:ind w:firstLineChars="0"/>
    </w:pPr>
    <w:rPr>
      <w:rFonts w:ascii="黑体" w:eastAsia="黑体"/>
    </w:rPr>
  </w:style>
  <w:style w:type="paragraph" w:customStyle="1" w:styleId="214">
    <w:name w:val="标准文件_引言四级条标题"/>
    <w:basedOn w:val="44"/>
    <w:next w:val="44"/>
    <w:qFormat/>
    <w:uiPriority w:val="0"/>
    <w:pPr>
      <w:numPr>
        <w:ilvl w:val="4"/>
        <w:numId w:val="8"/>
      </w:numPr>
      <w:spacing w:before="50" w:beforeLines="50" w:after="50" w:afterLines="50"/>
      <w:ind w:firstLineChars="0"/>
    </w:pPr>
    <w:rPr>
      <w:rFonts w:ascii="黑体" w:eastAsia="黑体"/>
    </w:rPr>
  </w:style>
  <w:style w:type="paragraph" w:customStyle="1" w:styleId="215">
    <w:name w:val="标准文件_引言五级条标题"/>
    <w:basedOn w:val="44"/>
    <w:next w:val="44"/>
    <w:qFormat/>
    <w:uiPriority w:val="0"/>
    <w:pPr>
      <w:numPr>
        <w:ilvl w:val="5"/>
        <w:numId w:val="8"/>
      </w:numPr>
      <w:spacing w:before="50" w:beforeLines="50" w:after="50" w:afterLines="50"/>
      <w:ind w:firstLineChars="0"/>
    </w:pPr>
    <w:rPr>
      <w:rFonts w:ascii="黑体" w:eastAsia="黑体"/>
    </w:rPr>
  </w:style>
  <w:style w:type="paragraph" w:customStyle="1" w:styleId="216">
    <w:name w:val="标准文件_注后"/>
    <w:basedOn w:val="44"/>
    <w:qFormat/>
    <w:uiPriority w:val="0"/>
    <w:pPr>
      <w:ind w:left="811" w:firstLine="0" w:firstLineChars="0"/>
    </w:pPr>
    <w:rPr>
      <w:sz w:val="18"/>
    </w:rPr>
  </w:style>
  <w:style w:type="paragraph" w:customStyle="1" w:styleId="217">
    <w:name w:val="标准文件_注X后"/>
    <w:basedOn w:val="44"/>
    <w:qFormat/>
    <w:uiPriority w:val="0"/>
    <w:pPr>
      <w:ind w:left="811" w:firstLine="0" w:firstLineChars="0"/>
    </w:pPr>
    <w:rPr>
      <w:sz w:val="18"/>
    </w:rPr>
  </w:style>
  <w:style w:type="paragraph" w:customStyle="1" w:styleId="218">
    <w:name w:val="标准文件_示例后"/>
    <w:basedOn w:val="44"/>
    <w:qFormat/>
    <w:uiPriority w:val="0"/>
    <w:pPr>
      <w:ind w:left="964" w:firstLine="0" w:firstLineChars="0"/>
    </w:pPr>
    <w:rPr>
      <w:sz w:val="18"/>
    </w:rPr>
  </w:style>
  <w:style w:type="paragraph" w:customStyle="1" w:styleId="219">
    <w:name w:val="标准文件_示例X后"/>
    <w:basedOn w:val="44"/>
    <w:link w:val="220"/>
    <w:qFormat/>
    <w:uiPriority w:val="0"/>
    <w:pPr>
      <w:ind w:left="1049" w:firstLine="0" w:firstLineChars="0"/>
    </w:pPr>
    <w:rPr>
      <w:sz w:val="18"/>
    </w:rPr>
  </w:style>
  <w:style w:type="character" w:customStyle="1" w:styleId="220">
    <w:name w:val="标准文件_示例X后 字符"/>
    <w:basedOn w:val="45"/>
    <w:link w:val="219"/>
    <w:qFormat/>
    <w:uiPriority w:val="0"/>
    <w:rPr>
      <w:rFonts w:ascii="宋体" w:hAnsi="Times New Roman"/>
      <w:sz w:val="18"/>
    </w:rPr>
  </w:style>
  <w:style w:type="paragraph" w:customStyle="1" w:styleId="221">
    <w:name w:val="标准文件_索引项"/>
    <w:basedOn w:val="44"/>
    <w:next w:val="44"/>
    <w:qFormat/>
    <w:uiPriority w:val="0"/>
    <w:pPr>
      <w:tabs>
        <w:tab w:val="right" w:leader="dot" w:pos="9356"/>
      </w:tabs>
      <w:ind w:left="210" w:hanging="210" w:firstLineChars="0"/>
      <w:jc w:val="left"/>
    </w:pPr>
  </w:style>
  <w:style w:type="paragraph" w:customStyle="1" w:styleId="222">
    <w:name w:val="标准文件_附录一级无标题"/>
    <w:basedOn w:val="89"/>
    <w:qFormat/>
    <w:uiPriority w:val="0"/>
    <w:pPr>
      <w:spacing w:before="0" w:beforeLines="0" w:after="0" w:afterLines="0" w:line="276" w:lineRule="auto"/>
      <w:outlineLvl w:val="9"/>
    </w:pPr>
    <w:rPr>
      <w:rFonts w:ascii="宋体" w:eastAsia="宋体"/>
    </w:rPr>
  </w:style>
  <w:style w:type="paragraph" w:customStyle="1" w:styleId="223">
    <w:name w:val="标准文件_附录二级无标题"/>
    <w:basedOn w:val="90"/>
    <w:qFormat/>
    <w:uiPriority w:val="0"/>
    <w:pPr>
      <w:spacing w:before="0" w:beforeLines="0" w:after="0" w:afterLines="0" w:line="276" w:lineRule="auto"/>
      <w:outlineLvl w:val="9"/>
    </w:pPr>
    <w:rPr>
      <w:rFonts w:ascii="宋体" w:eastAsia="宋体"/>
    </w:rPr>
  </w:style>
  <w:style w:type="paragraph" w:customStyle="1" w:styleId="224">
    <w:name w:val="标准文件_附录三级无标题"/>
    <w:basedOn w:val="92"/>
    <w:qFormat/>
    <w:uiPriority w:val="0"/>
    <w:pPr>
      <w:spacing w:before="0" w:beforeLines="0" w:after="0" w:afterLines="0" w:line="276" w:lineRule="auto"/>
      <w:outlineLvl w:val="9"/>
    </w:pPr>
    <w:rPr>
      <w:rFonts w:ascii="宋体" w:eastAsia="宋体"/>
    </w:rPr>
  </w:style>
  <w:style w:type="paragraph" w:customStyle="1" w:styleId="225">
    <w:name w:val="标准文件_附录四级无标题"/>
    <w:basedOn w:val="93"/>
    <w:qFormat/>
    <w:uiPriority w:val="0"/>
    <w:pPr>
      <w:spacing w:before="0" w:beforeLines="0" w:after="0" w:afterLines="0" w:line="276" w:lineRule="auto"/>
      <w:outlineLvl w:val="9"/>
    </w:pPr>
    <w:rPr>
      <w:rFonts w:ascii="宋体" w:eastAsia="宋体"/>
    </w:rPr>
  </w:style>
  <w:style w:type="paragraph" w:customStyle="1" w:styleId="226">
    <w:name w:val="标准文件_附录五级无标题"/>
    <w:basedOn w:val="95"/>
    <w:qFormat/>
    <w:uiPriority w:val="0"/>
    <w:pPr>
      <w:spacing w:before="0" w:beforeLines="0" w:after="0" w:afterLines="0" w:line="276" w:lineRule="auto"/>
      <w:outlineLvl w:val="9"/>
    </w:pPr>
    <w:rPr>
      <w:rFonts w:ascii="宋体" w:eastAsia="宋体"/>
    </w:rPr>
  </w:style>
  <w:style w:type="paragraph" w:customStyle="1" w:styleId="227">
    <w:name w:val="标准文件_引言一级无标题"/>
    <w:basedOn w:val="211"/>
    <w:next w:val="44"/>
    <w:qFormat/>
    <w:uiPriority w:val="0"/>
    <w:pPr>
      <w:spacing w:before="0" w:beforeLines="0" w:after="0" w:afterLines="0" w:line="276" w:lineRule="auto"/>
    </w:pPr>
    <w:rPr>
      <w:rFonts w:ascii="宋体" w:eastAsia="宋体"/>
    </w:rPr>
  </w:style>
  <w:style w:type="paragraph" w:customStyle="1" w:styleId="228">
    <w:name w:val="标准文件_引言二级无标题"/>
    <w:basedOn w:val="212"/>
    <w:next w:val="44"/>
    <w:qFormat/>
    <w:uiPriority w:val="0"/>
    <w:pPr>
      <w:spacing w:before="0" w:beforeLines="0" w:after="0" w:afterLines="0" w:line="276" w:lineRule="auto"/>
    </w:pPr>
    <w:rPr>
      <w:rFonts w:ascii="宋体" w:eastAsia="宋体"/>
    </w:rPr>
  </w:style>
  <w:style w:type="paragraph" w:customStyle="1" w:styleId="229">
    <w:name w:val="标准文件_引言三级无标题"/>
    <w:basedOn w:val="213"/>
    <w:qFormat/>
    <w:uiPriority w:val="0"/>
    <w:pPr>
      <w:spacing w:before="0" w:beforeLines="0" w:after="0" w:afterLines="0" w:line="276" w:lineRule="auto"/>
    </w:pPr>
    <w:rPr>
      <w:rFonts w:ascii="宋体" w:eastAsia="宋体"/>
    </w:rPr>
  </w:style>
  <w:style w:type="paragraph" w:customStyle="1" w:styleId="230">
    <w:name w:val="标准文件_引言四级无标题"/>
    <w:basedOn w:val="214"/>
    <w:next w:val="44"/>
    <w:qFormat/>
    <w:uiPriority w:val="0"/>
    <w:pPr>
      <w:spacing w:before="0" w:beforeLines="0" w:after="0" w:afterLines="0" w:line="276" w:lineRule="auto"/>
    </w:pPr>
    <w:rPr>
      <w:rFonts w:ascii="宋体" w:eastAsia="宋体"/>
    </w:rPr>
  </w:style>
  <w:style w:type="paragraph" w:customStyle="1" w:styleId="231">
    <w:name w:val="标准文件_引言五级无标题"/>
    <w:basedOn w:val="215"/>
    <w:next w:val="44"/>
    <w:qFormat/>
    <w:uiPriority w:val="0"/>
    <w:pPr>
      <w:spacing w:before="0" w:beforeLines="0" w:after="0" w:afterLines="0" w:line="276" w:lineRule="auto"/>
    </w:pPr>
    <w:rPr>
      <w:rFonts w:ascii="宋体" w:eastAsia="宋体"/>
    </w:rPr>
  </w:style>
  <w:style w:type="paragraph" w:customStyle="1" w:styleId="232">
    <w:name w:val="标准文件_索引标题"/>
    <w:basedOn w:val="74"/>
    <w:next w:val="44"/>
    <w:qFormat/>
    <w:uiPriority w:val="0"/>
    <w:rPr>
      <w:rFonts w:hAnsi="黑体"/>
    </w:rPr>
  </w:style>
  <w:style w:type="paragraph" w:customStyle="1" w:styleId="233">
    <w:name w:val="标准文件_脚注内容"/>
    <w:basedOn w:val="44"/>
    <w:qFormat/>
    <w:uiPriority w:val="0"/>
    <w:pPr>
      <w:ind w:left="400" w:leftChars="200" w:hanging="200" w:hangingChars="200"/>
    </w:pPr>
    <w:rPr>
      <w:sz w:val="15"/>
    </w:rPr>
  </w:style>
  <w:style w:type="paragraph" w:customStyle="1" w:styleId="234">
    <w:name w:val="标准文件_术语条一"/>
    <w:basedOn w:val="174"/>
    <w:next w:val="44"/>
    <w:qFormat/>
    <w:uiPriority w:val="0"/>
  </w:style>
  <w:style w:type="paragraph" w:customStyle="1" w:styleId="235">
    <w:name w:val="标准文件_术语条二"/>
    <w:basedOn w:val="177"/>
    <w:next w:val="44"/>
    <w:qFormat/>
    <w:uiPriority w:val="0"/>
  </w:style>
  <w:style w:type="paragraph" w:customStyle="1" w:styleId="236">
    <w:name w:val="标准文件_术语条三"/>
    <w:basedOn w:val="176"/>
    <w:next w:val="44"/>
    <w:qFormat/>
    <w:uiPriority w:val="0"/>
  </w:style>
  <w:style w:type="paragraph" w:customStyle="1" w:styleId="237">
    <w:name w:val="标准文件_术语条四"/>
    <w:basedOn w:val="179"/>
    <w:next w:val="44"/>
    <w:qFormat/>
    <w:uiPriority w:val="0"/>
  </w:style>
  <w:style w:type="paragraph" w:customStyle="1" w:styleId="238">
    <w:name w:val="标准文件_术语条五"/>
    <w:basedOn w:val="175"/>
    <w:next w:val="44"/>
    <w:qFormat/>
    <w:uiPriority w:val="0"/>
  </w:style>
  <w:style w:type="paragraph" w:customStyle="1" w:styleId="239">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240">
    <w:name w:val="段 Char"/>
    <w:link w:val="131"/>
    <w:qFormat/>
    <w:uiPriority w:val="0"/>
    <w:rPr>
      <w:rFonts w:ascii="宋体" w:hAnsi="Times New Roman"/>
      <w:sz w:val="21"/>
    </w:rPr>
  </w:style>
  <w:style w:type="paragraph" w:customStyle="1" w:styleId="241">
    <w:name w:val="正文表标题"/>
    <w:basedOn w:val="1"/>
    <w:next w:val="131"/>
    <w:qFormat/>
    <w:uiPriority w:val="0"/>
    <w:pPr>
      <w:widowControl/>
      <w:adjustRightInd/>
      <w:spacing w:beforeLines="50" w:afterLines="50" w:line="240" w:lineRule="auto"/>
      <w:ind w:left="4253"/>
      <w:jc w:val="center"/>
    </w:pPr>
    <w:rPr>
      <w:rFonts w:ascii="黑体" w:hAnsi="黑体" w:eastAsia="黑体" w:cs="宋体"/>
      <w:kern w:val="0"/>
    </w:rPr>
  </w:style>
  <w:style w:type="paragraph" w:customStyle="1" w:styleId="242">
    <w:name w:val="目次、标准名称标题"/>
    <w:basedOn w:val="1"/>
    <w:next w:val="131"/>
    <w:qFormat/>
    <w:uiPriority w:val="0"/>
    <w:pPr>
      <w:keepNext/>
      <w:pageBreakBefore/>
      <w:widowControl/>
      <w:shd w:val="clear" w:color="FFFFFF" w:fill="FFFFFF"/>
      <w:adjustRightInd/>
      <w:spacing w:before="640" w:after="560" w:line="460" w:lineRule="exact"/>
      <w:jc w:val="center"/>
      <w:outlineLvl w:val="0"/>
    </w:pPr>
    <w:rPr>
      <w:rFonts w:ascii="黑体" w:hAnsi="Times New Roman" w:eastAsia="黑体"/>
      <w:kern w:val="0"/>
      <w:sz w:val="32"/>
      <w:szCs w:val="20"/>
    </w:rPr>
  </w:style>
  <w:style w:type="paragraph" w:customStyle="1" w:styleId="243">
    <w:name w:val="附录标识"/>
    <w:basedOn w:val="1"/>
    <w:next w:val="131"/>
    <w:qFormat/>
    <w:uiPriority w:val="0"/>
    <w:pPr>
      <w:keepNext/>
      <w:widowControl/>
      <w:shd w:val="clear" w:color="FFFFFF" w:fill="FFFFFF"/>
      <w:tabs>
        <w:tab w:val="left" w:pos="360"/>
        <w:tab w:val="left" w:pos="6405"/>
      </w:tabs>
      <w:adjustRightInd/>
      <w:spacing w:before="640" w:after="280" w:line="240" w:lineRule="auto"/>
      <w:jc w:val="center"/>
      <w:outlineLvl w:val="0"/>
    </w:pPr>
    <w:rPr>
      <w:rFonts w:ascii="黑体" w:hAnsi="Times New Roman" w:eastAsia="黑体"/>
      <w:kern w:val="0"/>
      <w:szCs w:val="20"/>
    </w:rPr>
  </w:style>
  <w:style w:type="paragraph" w:customStyle="1" w:styleId="244">
    <w:name w:val="附录二级条标题"/>
    <w:basedOn w:val="1"/>
    <w:next w:val="131"/>
    <w:qFormat/>
    <w:uiPriority w:val="0"/>
    <w:pPr>
      <w:widowControl/>
      <w:tabs>
        <w:tab w:val="left" w:pos="360"/>
      </w:tabs>
      <w:wordWrap w:val="0"/>
      <w:overflowPunct w:val="0"/>
      <w:autoSpaceDE w:val="0"/>
      <w:autoSpaceDN w:val="0"/>
      <w:adjustRightInd/>
      <w:spacing w:beforeLines="50" w:afterLines="50" w:line="240" w:lineRule="auto"/>
      <w:textAlignment w:val="baseline"/>
      <w:outlineLvl w:val="3"/>
    </w:pPr>
    <w:rPr>
      <w:rFonts w:ascii="黑体" w:hAnsi="Times New Roman" w:eastAsia="黑体"/>
      <w:kern w:val="21"/>
      <w:szCs w:val="20"/>
    </w:rPr>
  </w:style>
  <w:style w:type="paragraph" w:customStyle="1" w:styleId="245">
    <w:name w:val="附录三级条标题"/>
    <w:basedOn w:val="244"/>
    <w:next w:val="131"/>
    <w:qFormat/>
    <w:uiPriority w:val="0"/>
    <w:pPr>
      <w:outlineLvl w:val="4"/>
    </w:pPr>
  </w:style>
  <w:style w:type="paragraph" w:customStyle="1" w:styleId="246">
    <w:name w:val="附录四级条标题"/>
    <w:basedOn w:val="245"/>
    <w:next w:val="131"/>
    <w:qFormat/>
    <w:uiPriority w:val="0"/>
    <w:pPr>
      <w:outlineLvl w:val="5"/>
    </w:pPr>
  </w:style>
  <w:style w:type="paragraph" w:customStyle="1" w:styleId="247">
    <w:name w:val="附录五级条标题"/>
    <w:basedOn w:val="246"/>
    <w:next w:val="131"/>
    <w:qFormat/>
    <w:uiPriority w:val="0"/>
    <w:pPr>
      <w:outlineLvl w:val="6"/>
    </w:pPr>
  </w:style>
  <w:style w:type="paragraph" w:customStyle="1" w:styleId="248">
    <w:name w:val="附录章标题"/>
    <w:next w:val="131"/>
    <w:qFormat/>
    <w:uiPriority w:val="0"/>
    <w:pPr>
      <w:tabs>
        <w:tab w:val="left" w:pos="360"/>
      </w:tabs>
      <w:wordWrap w:val="0"/>
      <w:overflowPunct w:val="0"/>
      <w:autoSpaceDE w:val="0"/>
      <w:spacing w:beforeLines="100" w:afterLines="100"/>
      <w:jc w:val="both"/>
      <w:textAlignment w:val="baseline"/>
      <w:outlineLvl w:val="1"/>
    </w:pPr>
    <w:rPr>
      <w:rFonts w:ascii="黑体" w:hAnsi="Times New Roman" w:eastAsia="黑体" w:cs="Times New Roman"/>
      <w:kern w:val="21"/>
      <w:sz w:val="21"/>
      <w:lang w:val="en-US" w:eastAsia="zh-CN" w:bidi="ar-SA"/>
    </w:rPr>
  </w:style>
  <w:style w:type="paragraph" w:customStyle="1" w:styleId="249">
    <w:name w:val="附录一级条标题"/>
    <w:basedOn w:val="248"/>
    <w:next w:val="131"/>
    <w:qFormat/>
    <w:uiPriority w:val="0"/>
    <w:pPr>
      <w:autoSpaceDN w:val="0"/>
      <w:spacing w:beforeLines="50" w:afterLines="50"/>
      <w:outlineLvl w:val="2"/>
    </w:pPr>
  </w:style>
  <w:style w:type="paragraph" w:customStyle="1" w:styleId="250">
    <w:name w:val="三级条标题"/>
    <w:basedOn w:val="251"/>
    <w:qFormat/>
    <w:uiPriority w:val="0"/>
    <w:pPr>
      <w:numPr>
        <w:ilvl w:val="255"/>
        <w:numId w:val="0"/>
      </w:numPr>
      <w:outlineLvl w:val="4"/>
    </w:pPr>
  </w:style>
  <w:style w:type="paragraph" w:customStyle="1" w:styleId="251">
    <w:name w:val="二级条标题"/>
    <w:basedOn w:val="252"/>
    <w:qFormat/>
    <w:uiPriority w:val="0"/>
    <w:pPr>
      <w:spacing w:before="50" w:after="50"/>
      <w:outlineLvl w:val="3"/>
    </w:pPr>
  </w:style>
  <w:style w:type="paragraph" w:customStyle="1" w:styleId="252">
    <w:name w:val="一级条标题"/>
    <w:basedOn w:val="1"/>
    <w:next w:val="131"/>
    <w:qFormat/>
    <w:uiPriority w:val="0"/>
    <w:pPr>
      <w:widowControl/>
      <w:numPr>
        <w:ilvl w:val="1"/>
        <w:numId w:val="32"/>
      </w:numPr>
      <w:spacing w:beforeLines="50" w:afterLines="50"/>
      <w:jc w:val="left"/>
      <w:outlineLvl w:val="2"/>
    </w:pPr>
    <w:rPr>
      <w:rFonts w:hint="eastAsia" w:ascii="黑体" w:hAnsi="Times New Roman" w:eastAsia="黑体"/>
      <w:kern w:val="0"/>
    </w:rPr>
  </w:style>
  <w:style w:type="character" w:customStyle="1" w:styleId="253">
    <w:name w:val="首示例 Char"/>
    <w:basedOn w:val="33"/>
    <w:qFormat/>
    <w:uiPriority w:val="0"/>
    <w:rPr>
      <w:rFonts w:hint="eastAsia" w:ascii="宋体" w:hAnsi="宋体" w:eastAsia="宋体" w:cs="宋体"/>
      <w:kern w:val="2"/>
      <w:sz w:val="18"/>
      <w:szCs w:val="18"/>
    </w:rPr>
  </w:style>
  <w:style w:type="character" w:customStyle="1" w:styleId="254">
    <w:name w:val="文档结构图 字符"/>
    <w:basedOn w:val="33"/>
    <w:link w:val="13"/>
    <w:qFormat/>
    <w:uiPriority w:val="0"/>
    <w:rPr>
      <w:kern w:val="2"/>
      <w:sz w:val="21"/>
      <w:szCs w:val="24"/>
      <w:shd w:val="clear" w:color="auto" w:fill="000080"/>
    </w:rPr>
  </w:style>
  <w:style w:type="character" w:customStyle="1" w:styleId="255">
    <w:name w:val="附录公式 Char"/>
    <w:qFormat/>
    <w:uiPriority w:val="0"/>
    <w:rPr>
      <w:rFonts w:hint="eastAsia" w:ascii="宋体" w:hAnsi="宋体" w:eastAsia="宋体" w:cs="宋体"/>
      <w:sz w:val="21"/>
    </w:rPr>
  </w:style>
  <w:style w:type="paragraph" w:customStyle="1" w:styleId="256">
    <w:name w:val="字母编号列项（一级）"/>
    <w:basedOn w:val="1"/>
    <w:qFormat/>
    <w:uiPriority w:val="0"/>
    <w:pPr>
      <w:widowControl/>
      <w:numPr>
        <w:ilvl w:val="0"/>
        <w:numId w:val="33"/>
      </w:numPr>
    </w:pPr>
    <w:rPr>
      <w:rFonts w:hint="eastAsia" w:ascii="宋体" w:hAnsi="Times New Roman"/>
      <w:kern w:val="0"/>
      <w:szCs w:val="20"/>
    </w:rPr>
  </w:style>
  <w:style w:type="paragraph" w:customStyle="1" w:styleId="257">
    <w:name w:val="注：（正文）"/>
    <w:qFormat/>
    <w:uiPriority w:val="0"/>
    <w:pPr>
      <w:widowControl w:val="0"/>
      <w:numPr>
        <w:ilvl w:val="0"/>
        <w:numId w:val="34"/>
      </w:numPr>
      <w:autoSpaceDE w:val="0"/>
      <w:autoSpaceDN w:val="0"/>
      <w:jc w:val="both"/>
    </w:pPr>
    <w:rPr>
      <w:rFonts w:hint="eastAsia" w:ascii="宋体" w:hAnsi="Times New Roman" w:eastAsia="宋体" w:cs="Times New Roman"/>
      <w:sz w:val="18"/>
      <w:szCs w:val="18"/>
      <w:lang w:val="en-US" w:eastAsia="zh-CN" w:bidi="ar-SA"/>
    </w:rPr>
  </w:style>
  <w:style w:type="character" w:customStyle="1" w:styleId="258">
    <w:name w:val="msoplaceholdertext"/>
    <w:basedOn w:val="33"/>
    <w:qFormat/>
    <w:uiPriority w:val="0"/>
    <w:rPr>
      <w:color w:val="808080"/>
    </w:rPr>
  </w:style>
  <w:style w:type="character" w:customStyle="1" w:styleId="259">
    <w:name w:val="尾注文本 字符"/>
    <w:basedOn w:val="33"/>
    <w:link w:val="18"/>
    <w:qFormat/>
    <w:uiPriority w:val="0"/>
    <w:rPr>
      <w:kern w:val="2"/>
      <w:sz w:val="21"/>
      <w:szCs w:val="24"/>
    </w:rPr>
  </w:style>
  <w:style w:type="character" w:customStyle="1" w:styleId="260">
    <w:name w:val="批注文字 字符"/>
    <w:basedOn w:val="33"/>
    <w:link w:val="14"/>
    <w:qFormat/>
    <w:uiPriority w:val="0"/>
    <w:rPr>
      <w:kern w:val="2"/>
      <w:sz w:val="21"/>
      <w:szCs w:val="24"/>
    </w:rPr>
  </w:style>
  <w:style w:type="character" w:customStyle="1" w:styleId="261">
    <w:name w:val="批注主题 字符"/>
    <w:basedOn w:val="260"/>
    <w:link w:val="30"/>
    <w:qFormat/>
    <w:uiPriority w:val="0"/>
    <w:rPr>
      <w:b/>
      <w:bCs/>
      <w:kern w:val="2"/>
      <w:sz w:val="21"/>
      <w:szCs w:val="24"/>
    </w:rPr>
  </w:style>
  <w:style w:type="character" w:customStyle="1" w:styleId="262">
    <w:name w:val="发布"/>
    <w:basedOn w:val="33"/>
    <w:qFormat/>
    <w:uiPriority w:val="0"/>
    <w:rPr>
      <w:rFonts w:hint="eastAsia" w:ascii="黑体" w:hAnsi="宋体" w:eastAsia="黑体" w:cs="黑体"/>
      <w:spacing w:val="85"/>
      <w:w w:val="100"/>
      <w:position w:val="3"/>
      <w:sz w:val="28"/>
      <w:szCs w:val="28"/>
    </w:rPr>
  </w:style>
  <w:style w:type="paragraph" w:customStyle="1" w:styleId="263">
    <w:name w:val="章标题"/>
    <w:basedOn w:val="1"/>
    <w:next w:val="131"/>
    <w:qFormat/>
    <w:uiPriority w:val="0"/>
    <w:pPr>
      <w:widowControl/>
      <w:spacing w:beforeLines="100" w:afterLines="100"/>
      <w:outlineLvl w:val="1"/>
    </w:pPr>
    <w:rPr>
      <w:rFonts w:hint="eastAsia" w:ascii="黑体" w:hAnsi="Times New Roman" w:eastAsia="黑体"/>
      <w:kern w:val="0"/>
      <w:szCs w:val="20"/>
    </w:rPr>
  </w:style>
  <w:style w:type="paragraph" w:customStyle="1" w:styleId="264">
    <w:name w:val="正文图标题"/>
    <w:basedOn w:val="1"/>
    <w:qFormat/>
    <w:uiPriority w:val="0"/>
    <w:pPr>
      <w:widowControl/>
      <w:numPr>
        <w:ilvl w:val="0"/>
        <w:numId w:val="35"/>
      </w:numPr>
      <w:spacing w:beforeLines="50" w:afterLines="50"/>
      <w:jc w:val="center"/>
    </w:pPr>
    <w:rPr>
      <w:rFonts w:hint="eastAsia" w:ascii="黑体" w:hAnsi="Times New Roman" w:eastAsia="黑体"/>
      <w:kern w:val="0"/>
      <w:szCs w:val="20"/>
    </w:rPr>
  </w:style>
  <w:style w:type="paragraph" w:customStyle="1" w:styleId="265">
    <w:name w:val="修订1"/>
    <w:hidden/>
    <w:semiHidden/>
    <w:qFormat/>
    <w:uiPriority w:val="99"/>
    <w:rPr>
      <w:rFonts w:ascii="Calibri" w:hAnsi="Calibri" w:eastAsia="宋体" w:cs="Times New Roman"/>
      <w:kern w:val="2"/>
      <w:sz w:val="21"/>
      <w:szCs w:val="21"/>
      <w:lang w:val="en-US" w:eastAsia="zh-CN" w:bidi="ar-SA"/>
    </w:rPr>
  </w:style>
  <w:style w:type="paragraph" w:customStyle="1" w:styleId="266">
    <w:name w:val="示例"/>
    <w:next w:val="1"/>
    <w:qFormat/>
    <w:uiPriority w:val="0"/>
    <w:pPr>
      <w:widowControl w:val="0"/>
      <w:ind w:firstLine="363"/>
      <w:jc w:val="both"/>
    </w:pPr>
    <w:rPr>
      <w:rFonts w:ascii="宋体" w:hAnsi="Times New Roman" w:eastAsia="宋体" w:cs="Times New Roman"/>
      <w:sz w:val="18"/>
      <w:szCs w:val="18"/>
      <w:lang w:val="en-US" w:eastAsia="zh-CN" w:bidi="ar-SA"/>
    </w:rPr>
  </w:style>
  <w:style w:type="paragraph" w:customStyle="1" w:styleId="267">
    <w:name w:val="注："/>
    <w:next w:val="131"/>
    <w:qFormat/>
    <w:uiPriority w:val="0"/>
    <w:pPr>
      <w:widowControl w:val="0"/>
      <w:autoSpaceDE w:val="0"/>
      <w:autoSpaceDN w:val="0"/>
      <w:ind w:left="363" w:hanging="363"/>
      <w:jc w:val="both"/>
    </w:pPr>
    <w:rPr>
      <w:rFonts w:ascii="宋体" w:hAnsi="Times New Roman" w:eastAsia="宋体" w:cs="Times New Roman"/>
      <w:sz w:val="18"/>
      <w:szCs w:val="18"/>
      <w:lang w:val="en-US" w:eastAsia="zh-CN" w:bidi="ar-SA"/>
    </w:rPr>
  </w:style>
  <w:style w:type="paragraph" w:customStyle="1" w:styleId="268">
    <w:name w:val="四级条标题"/>
    <w:basedOn w:val="250"/>
    <w:next w:val="131"/>
    <w:qFormat/>
    <w:uiPriority w:val="0"/>
    <w:pPr>
      <w:numPr>
        <w:ilvl w:val="0"/>
      </w:numPr>
      <w:adjustRightInd/>
      <w:spacing w:line="240" w:lineRule="auto"/>
      <w:textAlignment w:val="auto"/>
      <w:outlineLvl w:val="5"/>
    </w:pPr>
    <w:rPr>
      <w:rFonts w:hint="default"/>
    </w:rPr>
  </w:style>
  <w:style w:type="paragraph" w:customStyle="1" w:styleId="269">
    <w:name w:val="五级条标题"/>
    <w:basedOn w:val="268"/>
    <w:next w:val="131"/>
    <w:qFormat/>
    <w:uiPriority w:val="0"/>
    <w:pPr>
      <w:outlineLvl w:val="6"/>
    </w:pPr>
  </w:style>
  <w:style w:type="paragraph" w:customStyle="1" w:styleId="270">
    <w:name w:val="前言、引言标题"/>
    <w:next w:val="131"/>
    <w:qFormat/>
    <w:uiPriority w:val="0"/>
    <w:pPr>
      <w:keepNext/>
      <w:pageBreakBefore/>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271">
    <w:name w:val="终结线"/>
    <w:basedOn w:val="1"/>
    <w:qFormat/>
    <w:uiPriority w:val="0"/>
    <w:pPr>
      <w:framePr w:hSpace="181" w:vSpace="181" w:wrap="around" w:vAnchor="text" w:hAnchor="margin" w:xAlign="center" w:y="285"/>
    </w:pPr>
    <w:rPr>
      <w:rFonts w:ascii="Times New Roman" w:hAnsi="Times New Roman"/>
      <w:szCs w:val="24"/>
    </w:rPr>
  </w:style>
  <w:style w:type="paragraph" w:customStyle="1" w:styleId="272">
    <w:name w:val="Table Text"/>
    <w:basedOn w:val="1"/>
    <w:semiHidden/>
    <w:qFormat/>
    <w:uiPriority w:val="0"/>
    <w:rPr>
      <w:rFonts w:ascii="宋体" w:hAnsi="宋体" w:eastAsia="宋体" w:cs="宋体"/>
      <w:sz w:val="19"/>
      <w:szCs w:val="19"/>
      <w:lang w:val="en-US" w:eastAsia="en-US" w:bidi="ar-SA"/>
    </w:rPr>
  </w:style>
  <w:style w:type="character" w:customStyle="1" w:styleId="273">
    <w:name w:val="15"/>
    <w:qFormat/>
    <w:uiPriority w:val="0"/>
    <w:rPr>
      <w:rFonts w:hint="default" w:ascii="黑体" w:hAnsi="宋体" w:eastAsia="黑体" w:cs="黑体"/>
      <w:color w:val="000000"/>
      <w:sz w:val="22"/>
      <w:szCs w:val="22"/>
    </w:rPr>
  </w:style>
  <w:style w:type="paragraph" w:customStyle="1" w:styleId="274">
    <w:name w:val="封面文字"/>
    <w:qFormat/>
    <w:uiPriority w:val="0"/>
    <w:pPr>
      <w:spacing w:before="320" w:after="320"/>
      <w:jc w:val="center"/>
    </w:pPr>
    <w:rPr>
      <w:rFonts w:ascii="Times New Roman" w:hAnsi="Times New Roman" w:eastAsia="宋体" w:cs="Times New Roman"/>
      <w:b/>
      <w:spacing w:val="80"/>
      <w:w w:val="150"/>
      <w:sz w:val="48"/>
      <w:lang w:val="en-US" w:eastAsia="zh-CN" w:bidi="ar-SA"/>
    </w:rPr>
  </w:style>
  <w:style w:type="paragraph" w:customStyle="1" w:styleId="275">
    <w:name w:val="封面编号"/>
    <w:qFormat/>
    <w:uiPriority w:val="0"/>
    <w:pPr>
      <w:ind w:right="284"/>
      <w:jc w:val="right"/>
    </w:pPr>
    <w:rPr>
      <w:rFonts w:ascii="Times New Roman" w:hAnsi="Times New Roman" w:eastAsia="黑体" w:cs="Times New Roman"/>
      <w:spacing w:val="20"/>
      <w:sz w:val="28"/>
      <w:lang w:val="en-US" w:eastAsia="zh-CN" w:bidi="ar-SA"/>
    </w:rPr>
  </w:style>
  <w:style w:type="paragraph" w:customStyle="1" w:styleId="276">
    <w:name w:val="正文左对齐"/>
    <w:basedOn w:val="1"/>
    <w:qFormat/>
    <w:uiPriority w:val="0"/>
    <w:pPr>
      <w:spacing w:after="156" w:afterLines="50" w:line="320" w:lineRule="exact"/>
      <w:ind w:firstLine="480"/>
      <w:jc w:val="left"/>
      <w:textAlignment w:val="baseline"/>
    </w:pPr>
    <w:rPr>
      <w:rFonts w:ascii="宋体" w:hAnsi="华文细黑"/>
      <w:kern w:val="0"/>
      <w:sz w:val="24"/>
      <w:szCs w:val="20"/>
    </w:rPr>
  </w:style>
  <w:style w:type="paragraph" w:customStyle="1" w:styleId="277">
    <w:name w:val="封面日期"/>
    <w:qFormat/>
    <w:uiPriority w:val="0"/>
    <w:pPr>
      <w:jc w:val="center"/>
    </w:pPr>
    <w:rPr>
      <w:rFonts w:ascii="黑体" w:hAnsi="Times New Roman" w:eastAsia="黑体" w:cs="Times New Roman"/>
      <w:spacing w:val="4"/>
      <w:sz w:val="28"/>
      <w:lang w:val="en-US" w:eastAsia="zh-CN" w:bidi="ar-SA"/>
    </w:rPr>
  </w:style>
  <w:style w:type="paragraph" w:customStyle="1" w:styleId="278">
    <w:name w:val="封面标准号1"/>
    <w:qFormat/>
    <w:uiPriority w:val="0"/>
    <w:pPr>
      <w:widowControl w:val="0"/>
      <w:kinsoku w:val="0"/>
      <w:overflowPunct w:val="0"/>
      <w:autoSpaceDE w:val="0"/>
      <w:autoSpaceDN w:val="0"/>
      <w:spacing w:before="308"/>
      <w:jc w:val="right"/>
      <w:textAlignment w:val="center"/>
    </w:pPr>
    <w:rPr>
      <w:rFonts w:ascii="Times New Roman" w:hAnsi="Times New Roman" w:eastAsia="宋体" w:cs="Times New Roman"/>
      <w:sz w:val="28"/>
      <w:lang w:val="en-US" w:eastAsia="zh-CN" w:bidi="ar-SA"/>
    </w:rPr>
  </w:style>
  <w:style w:type="paragraph" w:customStyle="1" w:styleId="279">
    <w:name w:val="正文标准"/>
    <w:basedOn w:val="1"/>
    <w:qFormat/>
    <w:uiPriority w:val="0"/>
    <w:pPr>
      <w:spacing w:line="360" w:lineRule="exact"/>
      <w:ind w:left="0" w:leftChars="0" w:firstLine="200" w:firstLineChars="200"/>
    </w:pPr>
    <w:rPr>
      <w:rFonts w:cs="宋体"/>
      <w:szCs w:val="20"/>
    </w:rPr>
  </w:style>
  <w:style w:type="paragraph" w:customStyle="1" w:styleId="280">
    <w:name w:val="列出段落1"/>
    <w:basedOn w:val="1"/>
    <w:qFormat/>
    <w:uiPriority w:val="0"/>
    <w:pPr>
      <w:ind w:firstLine="420" w:firstLineChars="200"/>
    </w:pPr>
  </w:style>
  <w:style w:type="paragraph" w:customStyle="1" w:styleId="281">
    <w:name w:val="篇"/>
    <w:basedOn w:val="1"/>
    <w:next w:val="1"/>
    <w:qFormat/>
    <w:uiPriority w:val="0"/>
    <w:pPr>
      <w:adjustRightInd w:val="0"/>
      <w:spacing w:line="360" w:lineRule="atLeast"/>
      <w:jc w:val="center"/>
      <w:textAlignment w:val="baseline"/>
    </w:pPr>
    <w:rPr>
      <w:rFonts w:eastAsia="黑体"/>
      <w:kern w:val="0"/>
      <w:sz w:val="24"/>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3.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e934ebc4-0c8e-438b-ac80-0dd918e69c55</errorID>
      <errorWord>(</errorWord>
      <group>L1_Format</group>
      <groupName>格式问题</groupName>
      <ability>L2_HalfPunc</ability>
      <abilityName>全半角检查</abilityName>
      <candidateList>
        <item>（</item>
      </candidateList>
      <explain>文本全半角错误。</explain>
      <paraID>206D46FA</paraID>
      <start>10</start>
      <end>11</end>
      <status>modified</status>
      <modifiedWord>（</modifiedWord>
      <trackRevisions>false</trackRevisions>
    </reviewItem>
    <reviewItem>
      <errorID>900c3efe-2b67-48bf-a4e2-f788f060b994</errorID>
      <errorWord>)</errorWord>
      <group>L1_Format</group>
      <groupName>格式问题</groupName>
      <ability>L2_HalfPunc</ability>
      <abilityName>全半角检查</abilityName>
      <candidateList>
        <item>）</item>
      </candidateList>
      <explain>文本全半角错误。</explain>
      <paraID>206D46FA</paraID>
      <start>29</start>
      <end>30</end>
      <status>modified</status>
      <modifiedWord>）</modifiedWord>
      <trackRevisions>false</trackRevisions>
    </reviewItem>
    <reviewItem>
      <errorID>25e46a1b-e226-4af9-8b83-6472b364e2d7</errorID>
      <errorWord>(</errorWord>
      <group>L1_Format</group>
      <groupName>格式问题</groupName>
      <ability>L2_HalfPunc</ability>
      <abilityName>全半角检查</abilityName>
      <candidateList>
        <item>（</item>
      </candidateList>
      <explain>文本全半角错误。</explain>
      <paraID>3AD9CEDA</paraID>
      <start>5</start>
      <end>6</end>
      <status>modified</status>
      <modifiedWord>（</modifiedWord>
      <trackRevisions>false</trackRevisions>
    </reviewItem>
    <reviewItem>
      <errorID>4ce900f9-f13b-457d-a920-460239ed0ce5</errorID>
      <errorWord>)</errorWord>
      <group>L1_Format</group>
      <groupName>格式问题</groupName>
      <ability>L2_HalfPunc</ability>
      <abilityName>全半角检查</abilityName>
      <candidateList>
        <item>）</item>
      </candidateList>
      <explain>文本全半角错误。</explain>
      <paraID>3AD9CEDA</paraID>
      <start>12</start>
      <end>13</end>
      <status>modified</status>
      <modifiedWord>）</modifiedWord>
      <trackRevisions>false</trackRevisions>
    </reviewItem>
    <reviewItem>
      <errorID>13655e8c-e20d-4503-b2e2-fbb65850b5ba</errorID>
      <errorWord>(</errorWord>
      <group>L1_Format</group>
      <groupName>格式问题</groupName>
      <ability>L2_HalfPunc</ability>
      <abilityName>全半角检查</abilityName>
      <candidateList>
        <item>（</item>
      </candidateList>
      <explain>文本全半角错误。</explain>
      <paraID>3AD9CEDA</paraID>
      <start>16</start>
      <end>17</end>
      <status>modified</status>
      <modifiedWord>（</modifiedWord>
      <trackRevisions>false</trackRevisions>
    </reviewItem>
    <reviewItem>
      <errorID>5bcf7574-33d1-413e-bc2a-ffd3b2a753aa</errorID>
      <errorWord>)</errorWord>
      <group>L1_Format</group>
      <groupName>格式问题</groupName>
      <ability>L2_HalfPunc</ability>
      <abilityName>全半角检查</abilityName>
      <candidateList>
        <item>）</item>
      </candidateList>
      <explain>文本全半角错误。</explain>
      <paraID>3AD9CEDA</paraID>
      <start>22</start>
      <end>23</end>
      <status>modified</status>
      <modifiedWord>）</modifiedWord>
      <trackRevisions>false</trackRevisions>
    </reviewItem>
    <reviewItem>
      <errorID>3bda543f-701e-474a-8b6b-17e3be8b524d</errorID>
      <errorWord>(</errorWord>
      <group>L1_Format</group>
      <groupName>格式问题</groupName>
      <ability>L2_HalfPunc</ability>
      <abilityName>全半角检查</abilityName>
      <candidateList>
        <item>（</item>
      </candidateList>
      <explain>文本全半角错误。</explain>
      <paraID> 7F9C564</paraID>
      <start>74</start>
      <end>75</end>
      <status>modified</status>
      <modifiedWord>（</modifiedWord>
      <trackRevisions>false</trackRevisions>
    </reviewItem>
    <reviewItem>
      <errorID>5a715104-c4b5-4be3-9d75-80a89557532c</errorID>
      <errorWord>)</errorWord>
      <group>L1_Format</group>
      <groupName>格式问题</groupName>
      <ability>L2_HalfPunc</ability>
      <abilityName>全半角检查</abilityName>
      <candidateList>
        <item>）</item>
      </candidateList>
      <explain>文本全半角错误。</explain>
      <paraID> 7F9C564</paraID>
      <start>84</start>
      <end>85</end>
      <status>modified</status>
      <modifiedWord>）</modifiedWord>
      <trackRevisions>false</trackRevisions>
    </reviewItem>
    <reviewItem>
      <errorID>f7c56e3a-faf6-4a1c-be2e-92258584e4db</errorID>
      <errorWord>表示</errorWord>
      <group>L1_Word</group>
      <groupName>字词问题</groupName>
      <ability>L2_Typo</ability>
      <abilityName>字词错误</abilityName>
      <candidateList>
        <item>示</item>
      </candidateList>
      <explain/>
      <paraID>60C75643</paraID>
      <start>19</start>
      <end>21</end>
      <status>unmodified</status>
      <modifiedWord/>
      <trackRevisions>false</trackRevisions>
    </reviewItem>
    <reviewItem>
      <errorID>47d07f6f-598a-420f-a35c-625e0885a67a</errorID>
      <errorWord>表示</errorWord>
      <group>L1_Word</group>
      <groupName>字词问题</groupName>
      <ability>L2_Typo</ability>
      <abilityName>字词错误</abilityName>
      <candidateList>
        <item>示</item>
      </candidateList>
      <explain/>
      <paraID>40853325</paraID>
      <start>19</start>
      <end>21</end>
      <status>unmodified</status>
      <modifiedWord/>
      <trackRevisions>false</trackRevisions>
    </reviewItem>
    <reviewItem>
      <errorID>7412fe02-ef33-40cb-b58b-497e97aad221</errorID>
      <errorWord>根据由</errorWord>
      <group>L1_Word</group>
      <groupName>字词问题</groupName>
      <ability>L2_Typo</ability>
      <abilityName>字词错误</abilityName>
      <candidateList>
        <item>根据</item>
      </candidateList>
      <explain>❶〈介〉把某种事物作为结论的前提或语言行动的基础：～气象台的预报，明天要下雨｜～大家的意见，把计划修改一下。❷〈名〉作为根据的事物：说话要有～。❸〈动〉以某种事物为依据：财政支出必须～节约的原则。</explain>
      <paraID>43BEB313</paraID>
      <start>45</start>
      <end>47</end>
      <status>modified</status>
      <modifiedWord>根据</modifiedWord>
      <trackRevisions>false</trackRevisions>
    </reviewItem>
    <reviewItem>
      <errorID>99cfb371-c7db-49f1-ab29-d8b11946e96d</errorID>
      <errorWord>,</errorWord>
      <group>L1_Format</group>
      <groupName>格式问题</groupName>
      <ability>L2_HalfPunc</ability>
      <abilityName>全半角检查</abilityName>
      <candidateList>
        <item>，</item>
      </candidateList>
      <explain>文本全半角错误。</explain>
      <paraID>6C5CF174</paraID>
      <start>4</start>
      <end>5</end>
      <status>modified</status>
      <modifiedWord>，</modifiedWord>
      <trackRevisions>false</trackRevisions>
    </reviewItem>
    <reviewItem>
      <errorID>0cca1bf0-06b7-463b-b696-18d66fce49bd</errorID>
      <errorWord>,</errorWord>
      <group>L1_Format</group>
      <groupName>格式问题</groupName>
      <ability>L2_HalfPunc</ability>
      <abilityName>全半角检查</abilityName>
      <candidateList>
        <item>，</item>
      </candidateList>
      <explain>文本全半角错误。</explain>
      <paraID> 8DC04B3</paraID>
      <start>4</start>
      <end>5</end>
      <status>modified</status>
      <modifiedWord>，</modifiedWord>
      <trackRevisions>false</trackRevisions>
    </reviewItem>
    <reviewItem>
      <errorID>df23e053-e14d-4c84-b0e7-5eb7059f7338</errorID>
      <errorWord>,</errorWord>
      <group>L1_Format</group>
      <groupName>格式问题</groupName>
      <ability>L2_HalfPunc</ability>
      <abilityName>全半角检查</abilityName>
      <candidateList>
        <item>，</item>
      </candidateList>
      <explain>文本全半角错误。</explain>
      <paraID>6712EA49</paraID>
      <start>4</start>
      <end>5</end>
      <status>modified</status>
      <modifiedWord>，</modifiedWord>
      <trackRevisions>false</trackRevisions>
    </reviewItem>
    <reviewItem>
      <errorID>53ea9004-8b9b-4643-b6aa-173be5b661a5</errorID>
      <errorWord>,</errorWord>
      <group>L1_Format</group>
      <groupName>格式问题</groupName>
      <ability>L2_HalfPunc</ability>
      <abilityName>全半角检查</abilityName>
      <candidateList>
        <item>，</item>
      </candidateList>
      <explain>文本全半角错误。</explain>
      <paraID>5B2DD2FB</paraID>
      <start>4</start>
      <end>5</end>
      <status>modified</status>
      <modifiedWord>，</modifiedWord>
      <trackRevisions>false</trackRevisions>
    </reviewItem>
    <reviewItem>
      <errorID>6e26b2c7-3962-4c76-93ad-75ccd372233a</errorID>
      <errorWord>(</errorWord>
      <group>L1_Format</group>
      <groupName>格式问题</groupName>
      <ability>L2_HalfPunc</ability>
      <abilityName>全半角检查</abilityName>
      <candidateList>
        <item>（</item>
      </candidateList>
      <explain>文本全半角错误。</explain>
      <paraID>73A704F4</paraID>
      <start>30</start>
      <end>31</end>
      <status>modified</status>
      <modifiedWord>（</modifiedWord>
      <trackRevisions>false</trackRevisions>
    </reviewItem>
    <reviewItem>
      <errorID>5ac3e31e-b19b-497c-9da2-7a0fd44665fb</errorID>
      <errorWord>)</errorWord>
      <group>L1_Format</group>
      <groupName>格式问题</groupName>
      <ability>L2_HalfPunc</ability>
      <abilityName>全半角检查</abilityName>
      <candidateList>
        <item>）</item>
      </candidateList>
      <explain>文本全半角错误。</explain>
      <paraID>73A704F4</paraID>
      <start>35</start>
      <end>36</end>
      <status>modified</status>
      <modifiedWord>）</modifiedWord>
      <trackRevisions>false</trackRevisions>
    </reviewItem>
    <reviewItem>
      <errorID>6510970c-94a0-4739-b647-f865795da152</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4CE22FB2</paraID>
      <start>0</start>
      <end>2</end>
      <status>modified</status>
      <modifiedWord>a）</modifiedWord>
      <trackRevisions>false</trackRevisions>
    </reviewItem>
    <reviewItem>
      <errorID>ff16dee2-df7a-4955-ba95-8cdaf2e011e4</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616C3967</paraID>
      <start>0</start>
      <end>2</end>
      <status>modified</status>
      <modifiedWord>b）</modifiedWord>
      <trackRevisions>false</trackRevisions>
    </reviewItem>
    <reviewItem>
      <errorID>0d91d4ad-e9b3-4602-9740-cf1505173688</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16C30769</paraID>
      <start>0</start>
      <end>2</end>
      <status>modified</status>
      <modifiedWord>c）</modifiedWord>
      <trackRevisions>false</trackRevisions>
    </reviewItem>
    <reviewItem>
      <errorID>1436eed4-c4e4-4b15-8a8a-cfc45ba5eeb5</errorID>
      <errorWord>(</errorWord>
      <group>L1_Format</group>
      <groupName>格式问题</groupName>
      <ability>L2_HalfPunc</ability>
      <abilityName>全半角检查</abilityName>
      <candidateList>
        <item>（</item>
      </candidateList>
      <explain>文本全半角错误。</explain>
      <paraID>52EE7091</paraID>
      <start>15</start>
      <end>16</end>
      <status>modified</status>
      <modifiedWord>（</modifiedWord>
      <trackRevisions>false</trackRevisions>
    </reviewItem>
    <reviewItem>
      <errorID>d10602f2-7413-4c7f-bf7d-aa74f9e89119</errorID>
      <errorWord>)</errorWord>
      <group>L1_Format</group>
      <groupName>格式问题</groupName>
      <ability>L2_HalfPunc</ability>
      <abilityName>全半角检查</abilityName>
      <candidateList>
        <item>）</item>
      </candidateList>
      <explain>文本全半角错误。</explain>
      <paraID>52EE7091</paraID>
      <start>33</start>
      <end>34</end>
      <status>modified</status>
      <modifiedWord>）</modifiedWord>
      <trackRevisions>false</trackRevisions>
    </reviewItem>
    <reviewItem>
      <errorID>3af5d0e1-9e0b-4d6a-87b3-d9e10c6fffe5</errorID>
      <errorWord>输人</errorWord>
      <group>L1_Word</group>
      <groupName>字词问题</groupName>
      <ability>L2_Typo</ability>
      <abilityName>字词错误</abilityName>
      <candidateList>
        <item>输入</item>
      </candidateList>
      <explain>〈动〉❶从外部送到内部：病人手术后需要～新鲜血液。❷商品或资本从国外进入某国：～电信器材。❸科学技术上指能量、信号等进入某种机构或装置：～密码。</explain>
      <paraID>2B69EF66</paraID>
      <start>6</start>
      <end>8</end>
      <status>modified</status>
      <modifiedWord>输入</modifiedWord>
      <trackRevisions>false</trackRevisions>
    </reviewItem>
    <reviewItem>
      <errorID>22463bfb-fd9b-4505-a5b3-0e6153072a45</errorID>
      <errorWord>(</errorWord>
      <group>L1_Format</group>
      <groupName>格式问题</groupName>
      <ability>L2_HalfPunc</ability>
      <abilityName>全半角检查</abilityName>
      <candidateList>
        <item>（</item>
      </candidateList>
      <explain>文本全半角错误。</explain>
      <paraID>2B69EF66</paraID>
      <start>17</start>
      <end>18</end>
      <status>ignored</status>
      <modifiedWord/>
      <trackRevisions>false</trackRevisions>
    </reviewItem>
    <reviewItem>
      <errorID>6ba2acc5-9630-477e-a9ba-0bededd75971</errorID>
      <errorWord>)</errorWord>
      <group>L1_Format</group>
      <groupName>格式问题</groupName>
      <ability>L2_HalfPunc</ability>
      <abilityName>全半角检查</abilityName>
      <candidateList>
        <item>）</item>
      </candidateList>
      <explain>文本全半角错误。</explain>
      <paraID>2B69EF66</paraID>
      <start>24</start>
      <end>25</end>
      <status>modified</status>
      <modifiedWord>）</modifiedWord>
      <trackRevisions>false</trackRevisions>
    </reviewItem>
    <reviewItem>
      <errorID>3457c45a-5553-4757-b82f-c83147e4c96a</errorID>
      <errorWord>(</errorWord>
      <group>L1_Format</group>
      <groupName>格式问题</groupName>
      <ability>L2_HalfPunc</ability>
      <abilityName>全半角检查</abilityName>
      <candidateList>
        <item>（</item>
      </candidateList>
      <explain>文本全半角错误。</explain>
      <paraID>4EB82D5F</paraID>
      <start>25</start>
      <end>26</end>
      <status>modified</status>
      <modifiedWord>（</modifiedWord>
      <trackRevisions>false</trackRevisions>
    </reviewItem>
    <reviewItem>
      <errorID>5d1eb640-ab98-4ff1-8d39-00c9a20234df</errorID>
      <errorWord>)</errorWord>
      <group>L1_Format</group>
      <groupName>格式问题</groupName>
      <ability>L2_HalfPunc</ability>
      <abilityName>全半角检查</abilityName>
      <candidateList>
        <item>）</item>
      </candidateList>
      <explain>文本全半角错误。</explain>
      <paraID>4EB82D5F</paraID>
      <start>29</start>
      <end>30</end>
      <status>modified</status>
      <modifiedWord>）</modifiedWord>
      <trackRevisions>false</trackRevisions>
    </reviewItem>
    <reviewItem>
      <errorID>50b0fb58-d69a-489c-b705-45a4534e074c</errorID>
      <errorWord>:</errorWord>
      <group>L1_Format</group>
      <groupName>格式问题</groupName>
      <ability>L2_HalfPunc</ability>
      <abilityName>全半角检查</abilityName>
      <candidateList>
        <item>：</item>
      </candidateList>
      <explain>文本全半角错误。</explain>
      <paraID>6819C761</paraID>
      <start>21</start>
      <end>22</end>
      <status>modified</status>
      <modifiedWord>：</modifiedWord>
      <trackRevisions>false</trackRevisions>
    </reviewItem>
    <reviewItem>
      <errorID>c94538c8-595f-4e52-bca6-01df601366dd</errorID>
      <errorWord>输人</errorWord>
      <group>L1_Word</group>
      <groupName>字词问题</groupName>
      <ability>L2_Typo</ability>
      <abilityName>字词错误</abilityName>
      <candidateList>
        <item>输入</item>
      </candidateList>
      <explain>〈动〉❶从外部送到内部：病人手术后需要～新鲜血液。❷商品或资本从国外进入某国：～电信器材。❸科学技术上指能量、信号等进入某种机构或装置：～密码。</explain>
      <paraID>326DCAB2</paraID>
      <start>12</start>
      <end>14</end>
      <status>modified</status>
      <modifiedWord>输入</modifiedWord>
      <trackRevisions>false</trackRevisions>
    </reviewItem>
    <reviewItem>
      <errorID>b5e723e3-90c6-4520-a1d2-2eb66b12a4df</errorID>
      <errorWord>(</errorWord>
      <group>L1_Format</group>
      <groupName>格式问题</groupName>
      <ability>L2_HalfPunc</ability>
      <abilityName>全半角检查</abilityName>
      <candidateList>
        <item>（</item>
      </candidateList>
      <explain>文本全半角错误。</explain>
      <paraID>4AC3F70D</paraID>
      <start>16</start>
      <end>17</end>
      <status>modified</status>
      <modifiedWord>（</modifiedWord>
      <trackRevisions>false</trackRevisions>
    </reviewItem>
    <reviewItem>
      <errorID>69a66117-4d00-4efc-9d01-3e917b6c0653</errorID>
      <errorWord>)</errorWord>
      <group>L1_Format</group>
      <groupName>格式问题</groupName>
      <ability>L2_HalfPunc</ability>
      <abilityName>全半角检查</abilityName>
      <candidateList>
        <item>）</item>
      </candidateList>
      <explain>文本全半角错误。</explain>
      <paraID>4AC3F70D</paraID>
      <start>34</start>
      <end>35</end>
      <status>modified</status>
      <modifiedWord>）</modifiedWord>
      <trackRevisions>false</trackRevisions>
    </reviewItem>
    <reviewItem>
      <errorID>62d0420b-6e67-4c48-8f82-ba4cbc6314c3</errorID>
      <errorWord>,</errorWord>
      <group>L1_Format</group>
      <groupName>格式问题</groupName>
      <ability>L2_HalfPunc</ability>
      <abilityName>全半角检查</abilityName>
      <candidateList>
        <item>，</item>
      </candidateList>
      <explain>文本全半角错误。</explain>
      <paraID>6DDDDF16</paraID>
      <start>36</start>
      <end>37</end>
      <status>modified</status>
      <modifiedWord>，</modifiedWord>
      <trackRevisions>false</trackRevisions>
    </reviewItem>
    <reviewItem>
      <errorID>26f1f4dd-ea17-4251-9867-da0bb7ffab31</errorID>
      <errorWord>(</errorWord>
      <group>L1_Format</group>
      <groupName>格式问题</groupName>
      <ability>L2_HalfPunc</ability>
      <abilityName>全半角检查</abilityName>
      <candidateList>
        <item>（</item>
      </candidateList>
      <explain>文本全半角错误。</explain>
      <paraID>6DDDDF16</paraID>
      <start>43</start>
      <end>44</end>
      <status>modified</status>
      <modifiedWord>（</modifiedWord>
      <trackRevisions>false</trackRevisions>
    </reviewItem>
    <reviewItem>
      <errorID>bea7b3ca-ef32-49a0-b50a-cafda195acea</errorID>
      <errorWord>)</errorWord>
      <group>L1_Format</group>
      <groupName>格式问题</groupName>
      <ability>L2_HalfPunc</ability>
      <abilityName>全半角检查</abilityName>
      <candidateList>
        <item>）</item>
      </candidateList>
      <explain>文本全半角错误。</explain>
      <paraID>6DDDDF16</paraID>
      <start>47</start>
      <end>48</end>
      <status>modified</status>
      <modifiedWord>）</modifiedWord>
      <trackRevisions>false</trackRevisions>
    </reviewItem>
    <reviewItem>
      <errorID>468231b2-94c6-4470-ad19-a13736de22c1</errorID>
      <errorWord>~</errorWord>
      <group>L1_Format</group>
      <groupName>格式问题</groupName>
      <ability>L2_HalfPunc</ability>
      <abilityName>全半角检查</abilityName>
      <candidateList>
        <item>～</item>
      </candidateList>
      <explain>文本全半角错误。</explain>
      <paraID>44BDE5C1</paraID>
      <start>19</start>
      <end>20</end>
      <status>modified</status>
      <modifiedWord>～</modifiedWord>
      <trackRevisions>false</trackRevisions>
    </reviewItem>
    <reviewItem>
      <errorID>a1e593f0-910c-4785-822a-a0687dd6e3a1</errorID>
      <errorWord>:</errorWord>
      <group>L1_Format</group>
      <groupName>格式问题</groupName>
      <ability>L2_HalfPunc</ability>
      <abilityName>全半角检查</abilityName>
      <candidateList>
        <item>：</item>
      </candidateList>
      <explain>文本全半角错误。</explain>
      <paraID>1EC908CF</paraID>
      <start>4</start>
      <end>5</end>
      <status>modified</status>
      <modifiedWord>：</modifiedWord>
      <trackRevisions>false</trackRevisions>
    </reviewItem>
    <reviewItem>
      <errorID>df035849-044a-47e1-aa5a-488b8d152b0c</errorID>
      <errorWord>:</errorWord>
      <group>L1_Format</group>
      <groupName>格式问题</groupName>
      <ability>L2_HalfPunc</ability>
      <abilityName>全半角检查</abilityName>
      <candidateList>
        <item>：</item>
      </candidateList>
      <explain>文本全半角错误。</explain>
      <paraID>506F46A5</paraID>
      <start>6</start>
      <end>7</end>
      <status>modified</status>
      <modifiedWord>：</modifiedWord>
      <trackRevisions>false</trackRevisions>
    </reviewItem>
    <reviewItem>
      <errorID>5f87ced5-6a9a-447a-8ec3-2ad67df3b6b0</errorID>
      <errorWord>:</errorWord>
      <group>L1_Format</group>
      <groupName>格式问题</groupName>
      <ability>L2_HalfPunc</ability>
      <abilityName>全半角检查</abilityName>
      <candidateList>
        <item>：</item>
      </candidateList>
      <explain>文本全半角错误。</explain>
      <paraID>765A2154</paraID>
      <start>5</start>
      <end>6</end>
      <status>modified</status>
      <modifiedWord>：</modifiedWord>
      <trackRevisions>false</trackRevisions>
    </reviewItem>
    <reviewItem>
      <errorID>7593e55d-e163-4cb5-9c77-d584a57c07de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355A899B</paraID>
      <start>0</start>
      <end>2</end>
      <status>unmodified</status>
      <modifiedWord/>
      <trackRevisions>false</trackRevisions>
    </reviewItem>
    <reviewItem>
      <errorID>54064636-f044-4a8e-8b1b-c419fa74354a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77C12B08</paraID>
      <start>0</start>
      <end>2</end>
      <status>unmodified</status>
      <modifiedWord/>
      <trackRevisions>false</trackRevisions>
    </reviewItem>
    <reviewItem>
      <errorID>78b1a627-a419-4323-9eb0-730f9d9f1468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66097653</paraID>
      <start>0</start>
      <end>2</end>
      <status>unmodified</status>
      <modifiedWord/>
      <trackRevisions>false</trackRevisions>
    </reviewItem>
    <reviewItem>
      <errorID>f4b2b39e-5093-45a5-859e-314656c9d423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FCD64ED</paraID>
      <start>0</start>
      <end>2</end>
      <status>unmodified</status>
      <modifiedWord/>
      <trackRevisions>false</trackRevisions>
    </reviewItem>
    <reviewItem>
      <errorID>bc34bfce-0133-44b1-adb2-cffda7603528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6772814C</paraID>
      <start>0</start>
      <end>2</end>
      <status>unmodified</status>
      <modifiedWord/>
      <trackRevisions>false</trackRevisions>
    </reviewItem>
    <reviewItem>
      <errorID>e1925051-dfcc-44cf-9a8c-ba67aa28f31c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725A5E4D</paraID>
      <start>0</start>
      <end>2</end>
      <status>unmodified</status>
      <modifiedWord/>
      <trackRevisions>false</trackRevisions>
    </reviewItem>
    <reviewItem>
      <errorID>62ea8f3d-faa7-4c3c-b9a6-0434b1605369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539FD72</paraID>
      <start>0</start>
      <end>2</end>
      <status>unmodified</status>
      <modifiedWord/>
      <trackRevisions>false</trackRevisions>
    </reviewItem>
    <reviewItem>
      <errorID>4454e15d-fdd4-47cb-a247-c37c3e1409ee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1AB78BB2</paraID>
      <start>0</start>
      <end>2</end>
      <status>unmodified</status>
      <modifiedWord/>
      <trackRevisions>false</trackRevisions>
    </reviewItem>
    <reviewItem>
      <errorID>01abc915-b099-4ab3-a2d5-b3aae4d5249c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24B906F0</paraID>
      <start>0</start>
      <end>2</end>
      <status>unmodified</status>
      <modifiedWord/>
      <trackRevisions>false</trackRevisions>
    </reviewItem>
    <reviewItem>
      <errorID>1ff63304-1cf6-48c1-b63f-a28c6319a2d1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64AFD118</paraID>
      <start>0</start>
      <end>2</end>
      <status>unmodified</status>
      <modifiedWord/>
      <trackRevisions>false</trackRevisions>
    </reviewItem>
    <reviewItem>
      <errorID>85a56b12-0add-415b-931b-9e2baa87bbed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6831FA44</paraID>
      <start>0</start>
      <end>2</end>
      <status>unmodified</status>
      <modifiedWord/>
      <trackRevisions>false</trackRevisions>
    </reviewItem>
    <reviewItem>
      <errorID>eb2b9a0e-9f23-44cc-b398-00bc3ab2cf8e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1878C3A7</paraID>
      <start>0</start>
      <end>2</end>
      <status>unmodified</status>
      <modifiedWord/>
      <trackRevisions>false</trackRevisions>
    </reviewItem>
    <reviewItem>
      <errorID>14d72c3f-8345-44ab-9322-3474ee4b4da4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77D847A9</paraID>
      <start>0</start>
      <end>2</end>
      <status>unmodified</status>
      <modifiedWord/>
      <trackRevisions>false</trackRevisions>
    </reviewItem>
    <reviewItem>
      <errorID>045ceeaa-e914-4544-8abc-6b3522e288e4</errorID>
      <errorWord>所</errorWord>
      <group>L1_Word</group>
      <groupName>字词问题</groupName>
      <ability>L2_Typo</ability>
      <abilityName>字词错误</abilityName>
      <candidateList>
        <item>所示</item>
      </candidateList>
      <explain/>
      <paraID>1B425883</paraID>
      <start>184</start>
      <end>185</end>
      <status>unmodified</status>
      <modifiedWord/>
      <trackRevisions>false</trackRevisions>
    </reviewItem>
    <reviewItem>
      <errorID>9f32d640-1376-4c18-b22f-96a431ce30c2</errorID>
      <errorWord>或是</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 1DF2A35</paraID>
      <start>22</start>
      <end>24</end>
      <status>unmodified</status>
      <modifiedWord/>
      <trackRevisions>false</trackRevisions>
    </reviewItem>
    <reviewItem>
      <errorID>a392b2f8-9355-48ec-a4c8-3f38bdb7d3a6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1CCD9EBB</paraID>
      <start>0</start>
      <end>2</end>
      <status>unmodified</status>
      <modifiedWord/>
      <trackRevisions>false</trackRevisions>
    </reviewItem>
    <reviewItem>
      <errorID>92b49d3e-fd1b-4288-9959-ff4d3061eebd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34F36EFC</paraID>
      <start>0</start>
      <end>2</end>
      <status>unmodified</status>
      <modifiedWord/>
      <trackRevisions>false</trackRevisions>
    </reviewItem>
    <reviewItem>
      <errorID>52fac5e6-da59-4e2f-889d-b55faa4a5a45</errorID>
      <errorWord>(</errorWord>
      <group>L1_Format</group>
      <groupName>格式问题</groupName>
      <ability>L2_HalfPunc</ability>
      <abilityName>全半角检查</abilityName>
      <candidateList>
        <item>（</item>
      </candidateList>
      <explain>文本全半角错误。</explain>
      <paraID>3C63E833</paraID>
      <start>8</start>
      <end>9</end>
      <status>unmodified</status>
      <modifiedWord/>
      <trackRevisions>false</trackRevisions>
    </reviewItem>
    <reviewItem>
      <errorID>e063d56c-b61e-486a-b6d3-3e5369c03e3e</errorID>
      <errorWord>)</errorWord>
      <group>L1_Format</group>
      <groupName>格式问题</groupName>
      <ability>L2_HalfPunc</ability>
      <abilityName>全半角检查</abilityName>
      <candidateList>
        <item>）</item>
      </candidateList>
      <explain>文本全半角错误。</explain>
      <paraID>3C63E833</paraID>
      <start>14</start>
      <end>15</end>
      <status>unmodified</status>
      <modifiedWord/>
      <trackRevisions>false</trackRevisions>
    </reviewItem>
    <reviewItem>
      <errorID>ad23f3d6-f98a-41dc-9d40-5cb06f1ac48a</errorID>
      <errorWord>(</errorWord>
      <group>L1_Format</group>
      <groupName>格式问题</groupName>
      <ability>L2_HalfPunc</ability>
      <abilityName>全半角检查</abilityName>
      <candidateList>
        <item>（</item>
      </candidateList>
      <explain>文本全半角错误。</explain>
      <paraID>6359D84F</paraID>
      <start>4</start>
      <end>5</end>
      <status>unmodified</status>
      <modifiedWord/>
      <trackRevisions>false</trackRevisions>
    </reviewItem>
    <reviewItem>
      <errorID>09f1424c-53fc-47b8-9e03-815dc33f3b1a</errorID>
      <errorWord>)</errorWord>
      <group>L1_Format</group>
      <groupName>格式问题</groupName>
      <ability>L2_HalfPunc</ability>
      <abilityName>全半角检查</abilityName>
      <candidateList>
        <item>）</item>
      </candidateList>
      <explain>文本全半角错误。</explain>
      <paraID>6359D84F</paraID>
      <start>9</start>
      <end>10</end>
      <status>unmodified</status>
      <modifiedWord/>
      <trackRevisions>false</trackRevisions>
    </reviewItem>
    <reviewItem>
      <errorID>9bad4ff7-7134-4d9e-8efa-5730081b6038</errorID>
      <errorWord>(</errorWord>
      <group>L1_Format</group>
      <groupName>格式问题</groupName>
      <ability>L2_HalfPunc</ability>
      <abilityName>全半角检查</abilityName>
      <candidateList>
        <item>（</item>
      </candidateList>
      <explain>文本全半角错误。</explain>
      <paraID>20F507AB</paraID>
      <start>4</start>
      <end>5</end>
      <status>unmodified</status>
      <modifiedWord/>
      <trackRevisions>false</trackRevisions>
    </reviewItem>
    <reviewItem>
      <errorID>0f7e331d-d17b-4ea2-b8b3-ee2c61f4c193</errorID>
      <errorWord>)</errorWord>
      <group>L1_Format</group>
      <groupName>格式问题</groupName>
      <ability>L2_HalfPunc</ability>
      <abilityName>全半角检查</abilityName>
      <candidateList>
        <item>）</item>
      </candidateList>
      <explain>文本全半角错误。</explain>
      <paraID>20F507AB</paraID>
      <start>9</start>
      <end>10</end>
      <status>unmodified</status>
      <modifiedWord/>
      <trackRevisions>false</trackRevisions>
    </reviewItem>
    <reviewItem>
      <errorID>b2ce8514-1f7e-4710-bb2a-149e9d6f8912</errorID>
      <errorWord>(</errorWord>
      <group>L1_Format</group>
      <groupName>格式问题</groupName>
      <ability>L2_HalfPunc</ability>
      <abilityName>全半角检查</abilityName>
      <candidateList>
        <item>（</item>
      </candidateList>
      <explain>文本全半角错误。</explain>
      <paraID> 5CF21A1</paraID>
      <start>0</start>
      <end>1</end>
      <status>unmodified</status>
      <modifiedWord/>
      <trackRevisions>false</trackRevisions>
    </reviewItem>
    <reviewItem>
      <errorID>295b0617-db7d-431a-92b2-9f5548075239</errorID>
      <errorWord>)</errorWord>
      <group>L1_Format</group>
      <groupName>格式问题</groupName>
      <ability>L2_HalfPunc</ability>
      <abilityName>全半角检查</abilityName>
      <candidateList>
        <item>）</item>
      </candidateList>
      <explain>文本全半角错误。</explain>
      <paraID> 5CF21A1</paraID>
      <start>4</start>
      <end>5</end>
      <status>unmodified</status>
      <modifiedWord/>
      <trackRevisions>false</trackRevisions>
    </reviewItem>
    <reviewItem>
      <errorID>e2d8c289-1807-42dc-9f52-d0dace2b0d56</errorID>
      <errorWord>(</errorWord>
      <group>L1_Format</group>
      <groupName>格式问题</groupName>
      <ability>L2_HalfPunc</ability>
      <abilityName>全半角检查</abilityName>
      <candidateList>
        <item>（</item>
      </candidateList>
      <explain>文本全半角错误。</explain>
      <paraID>5DB4CA61</paraID>
      <start>18</start>
      <end>19</end>
      <status>unmodified</status>
      <modifiedWord/>
      <trackRevisions>false</trackRevisions>
    </reviewItem>
    <reviewItem>
      <errorID>7cf2187e-0d27-4f3f-853c-cf6e4fa2e937</errorID>
      <errorWord>)</errorWord>
      <group>L1_Format</group>
      <groupName>格式问题</groupName>
      <ability>L2_HalfPunc</ability>
      <abilityName>全半角检查</abilityName>
      <candidateList>
        <item>）</item>
      </candidateList>
      <explain>文本全半角错误。</explain>
      <paraID>5DB4CA61</paraID>
      <start>29</start>
      <end>30</end>
      <status>unmodified</status>
      <modifiedWord/>
      <trackRevisions>false</trackRevisions>
    </reviewItem>
    <reviewItem>
      <errorID>72564b29-d172-4a2d-ae1c-547f14d802d8</errorID>
      <errorWord>:</errorWord>
      <group>L1_Format</group>
      <groupName>格式问题</groupName>
      <ability>L2_HalfPunc</ability>
      <abilityName>全半角检查</abilityName>
      <candidateList>
        <item>：</item>
      </candidateList>
      <explain>文本全半角错误。</explain>
      <paraID>5DB4CA61</paraID>
      <start>49</start>
      <end>50</end>
      <status>unmodified</status>
      <modifiedWord/>
      <trackRevisions>false</trackRevisions>
    </reviewItem>
    <reviewItem>
      <errorID>80d72019-2500-42ee-8363-7d59310dc353</errorID>
      <errorWord>(</errorWord>
      <group>L1_Format</group>
      <groupName>格式问题</groupName>
      <ability>L2_HalfPunc</ability>
      <abilityName>全半角检查</abilityName>
      <candidateList>
        <item>（</item>
      </candidateList>
      <explain>文本全半角错误。</explain>
      <paraID>428C982D</paraID>
      <start>18</start>
      <end>19</end>
      <status>unmodified</status>
      <modifiedWord/>
      <trackRevisions>false</trackRevisions>
    </reviewItem>
    <reviewItem>
      <errorID>69586a3e-e8b1-48ab-bcfb-bbf0f1cb663b</errorID>
      <errorWord>)</errorWord>
      <group>L1_Format</group>
      <groupName>格式问题</groupName>
      <ability>L2_HalfPunc</ability>
      <abilityName>全半角检查</abilityName>
      <candidateList>
        <item>）</item>
      </candidateList>
      <explain>文本全半角错误。</explain>
      <paraID>428C982D</paraID>
      <start>29</start>
      <end>30</end>
      <status>unmodified</status>
      <modifiedWord/>
      <trackRevisions>false</trackRevisions>
    </reviewItem>
    <reviewItem>
      <errorID>07c17f85-8e2f-4502-8cc1-dec1790e4ef1</errorID>
      <errorWord>:</errorWord>
      <group>L1_Format</group>
      <groupName>格式问题</groupName>
      <ability>L2_HalfPunc</ability>
      <abilityName>全半角检查</abilityName>
      <candidateList>
        <item>：</item>
      </candidateList>
      <explain>文本全半角错误。</explain>
      <paraID>428C982D</paraID>
      <start>48</start>
      <end>49</end>
      <status>unmodified</status>
      <modifiedWord/>
      <trackRevisions>false</trackRevisions>
    </reviewItem>
    <reviewItem>
      <errorID>fc95da72-6d41-4b89-be6d-1dc2215599e1</errorID>
      <errorWord>：</errorWord>
      <group>L1_Format</group>
      <groupName>格式问题</groupName>
      <ability>L2_HalfPunc</ability>
      <abilityName>全半角检查</abilityName>
      <candidateList>
        <item>:</item>
      </candidateList>
      <explain>文本全半角错误。</explain>
      <paraID>4F5D8407</paraID>
      <start>13</start>
      <end>14</end>
      <status>modified</status>
      <modifiedWord>:</modifiedWord>
      <trackRevisions>false</trackRevisions>
    </reviewItem>
    <reviewItem>
      <errorID>dcb68bda-490d-4efc-ba9e-57aadd82f523</errorID>
      <errorWord>，</errorWord>
      <group>L1_Format</group>
      <groupName>格式问题</groupName>
      <ability>L2_HalfPunc</ability>
      <abilityName>全半角检查</abilityName>
      <candidateList>
        <item>,</item>
      </candidateList>
      <explain>文本全半角错误。</explain>
      <paraID>4F5D8407</paraID>
      <start>67</start>
      <end>68</end>
      <status>modified</status>
      <modifiedWord>,</modifiedWord>
      <trackRevisions>false</trackRevisions>
    </reviewItem>
  </reviewItems>
  <config/>
</contractReview>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497f29b-6b98-4d25-a365-830a47d49a71}">
  <ds:schemaRefs/>
</ds:datastoreItem>
</file>

<file path=customXml/itemProps3.xml><?xml version="1.0" encoding="utf-8"?>
<ds:datastoreItem xmlns:ds="http://schemas.openxmlformats.org/officeDocument/2006/customXml" ds:itemID="{4EF14924-49F2-4691-A43E-EAD71FD2AEBA}">
  <ds:schemaRefs/>
</ds:datastoreItem>
</file>

<file path=docProps/app.xml><?xml version="1.0" encoding="utf-8"?>
<Properties xmlns="http://schemas.openxmlformats.org/officeDocument/2006/extended-properties" xmlns:vt="http://schemas.openxmlformats.org/officeDocument/2006/docPropsVTypes">
  <Template>Normal</Template>
  <Company>PCMI</Company>
  <Pages>19</Pages>
  <Words>7413</Words>
  <Characters>8447</Characters>
  <Lines>318</Lines>
  <Paragraphs>89</Paragraphs>
  <TotalTime>13</TotalTime>
  <ScaleCrop>false</ScaleCrop>
  <LinksUpToDate>false</LinksUpToDate>
  <CharactersWithSpaces>8699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2024-04-26T07:39:00Z</dcterms:created>
  <dc:creator>HP</dc:creator>
  <dc:description>&lt;config cover="true" show_menu="true" version="1.0.0" doctype="SDKXY"&gt;_x000d_
&lt;/config&gt;</dc:description>
  <cp:lastModifiedBy>FT</cp:lastModifiedBy>
  <cp:lastPrinted>2026-03-22T21:31:00Z</cp:lastPrinted>
  <dcterms:modified xsi:type="dcterms:W3CDTF">2026-08-07T02:31:45Z</dcterms:modified>
  <dc:title>国家标准</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国家标准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KSOProductBuildVer">
    <vt:lpwstr>2052-12.1.0.28043</vt:lpwstr>
  </property>
  <property fmtid="{D5CDD505-2E9C-101B-9397-08002B2CF9AE}" pid="15" name="ICV">
    <vt:lpwstr>BDBD450B06FE4AD28609791BD4CC51F8_13</vt:lpwstr>
  </property>
  <property fmtid="{D5CDD505-2E9C-101B-9397-08002B2CF9AE}" pid="16" name="KSOTemplateDocerSaveRecord">
    <vt:lpwstr>eyJoZGlkIjoiNjQ1MWMxYmI3ZTQxZTA1N2NhMTYyM2ExN2UzZjZmYTMiLCJ1c2VySWQiOiIzMjMzODU4MTAifQ==</vt:lpwstr>
  </property>
</Properties>
</file>