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3F696">
      <w:pPr>
        <w:ind w:left="-90"/>
        <w:jc w:val="center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2273300</wp:posOffset>
                </wp:positionV>
                <wp:extent cx="6299835" cy="0"/>
                <wp:effectExtent l="9525" t="12065" r="15240" b="16510"/>
                <wp:wrapTopAndBottom/>
                <wp:docPr id="66253914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80000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2" o:spid="_x0000_s1026" o:spt="20" style="position:absolute;left:0pt;margin-left:-0.55pt;margin-top:179pt;height:0pt;width:496.05pt;mso-wrap-distance-bottom:0pt;mso-wrap-distance-top:0pt;z-index:251670528;mso-width-relative:page;mso-height-relative:page;" filled="f" stroked="t" coordsize="21600,21600" o:gfxdata="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EcLc9YAAAAKAQAADwAAAAAAAAABACAAAAAiAAAAZHJzL2Rvd25yZXYueG1sUEsB&#10;AhQAFAAAAAgAh07iQDKXG3/3AQAAvwMAAA4AAAAAAAAAAQAgAAAAJQEAAGRycy9lMm9Eb2MueG1s&#10;UEsFBgAAAAAGAAYAWQEAAI4FAAAAAA==&#10;">
                <v:fill on="f" focussize="0,0"/>
                <v:stroke weight="1.5pt" color="#800008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4368165</wp:posOffset>
                </wp:positionH>
                <wp:positionV relativeFrom="paragraph">
                  <wp:posOffset>1583055</wp:posOffset>
                </wp:positionV>
                <wp:extent cx="1927225" cy="802640"/>
                <wp:effectExtent l="3175" t="0" r="3175" b="0"/>
                <wp:wrapNone/>
                <wp:docPr id="65824535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225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1B40B2">
                            <w:pPr>
                              <w:pStyle w:val="27"/>
                              <w:rPr>
                                <w:rFonts w:hint="eastAsia" w:ascii="黑体" w:hAnsi="宋体" w:eastAsia="黑体"/>
                              </w:rPr>
                            </w:pPr>
                            <w:r>
                              <w:rPr>
                                <w:rFonts w:hint="eastAsia" w:ascii="黑体" w:hAnsi="宋体" w:eastAsia="黑体"/>
                              </w:rPr>
                              <w:t>YS/T XXXX-XXXX</w:t>
                            </w:r>
                          </w:p>
                          <w:p w14:paraId="258DD989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343.95pt;margin-top:124.65pt;height:63.2pt;width:151.75pt;z-index:251668480;mso-width-relative:page;mso-height-relative:page;" fillcolor="#FFFFFF" filled="t" stroked="f" coordsize="21600,21600" o:gfxdata="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P2Tk/aAAAACwEAAA8AAAAAAAAAAQAgAAAAIgAAAGRycy9kb3ducmV2&#10;LnhtbFBLAQIUABQAAAAIAIdO4kCUxzinMwIAAEYEAAAOAAAAAAAAAAEAIAAAACkBAABkcnMvZTJv&#10;RG9jLnhtbFBLBQYAAAAABgAGAFkBAADO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91B40B2">
                      <w:pPr>
                        <w:pStyle w:val="27"/>
                        <w:rPr>
                          <w:rFonts w:hint="eastAsia" w:ascii="黑体" w:hAnsi="宋体" w:eastAsia="黑体"/>
                        </w:rPr>
                      </w:pPr>
                      <w:r>
                        <w:rPr>
                          <w:rFonts w:hint="eastAsia" w:ascii="黑体" w:hAnsi="宋体" w:eastAsia="黑体"/>
                        </w:rPr>
                        <w:t>YS/T XXXX-XXXX</w:t>
                      </w:r>
                    </w:p>
                    <w:p w14:paraId="258DD989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8890000</wp:posOffset>
                </wp:positionV>
                <wp:extent cx="6299835" cy="0"/>
                <wp:effectExtent l="17780" t="18415" r="16510" b="10160"/>
                <wp:wrapTopAndBottom/>
                <wp:docPr id="159106827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800008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o:spt="20" style="position:absolute;left:0pt;margin-left:6.1pt;margin-top:700pt;height:0pt;width:496.05pt;mso-wrap-distance-bottom:0pt;mso-wrap-distance-top:0pt;z-index:251669504;mso-width-relative:page;mso-height-relative:page;" filled="f" stroked="t" coordsize="21600,21600" o:gfxdata="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GkfXt1QAAAA0BAAAPAAAAAAAAAAEAIAAAACIAAABkcnMvZG93bnJldi54bWxQSwEC&#10;FAAUAAAACACHTuJAq5YqOPcBAADAAwAADgAAAAAAAAABACAAAAAkAQAAZHJzL2Uyb0RvYy54bWxQ&#10;SwUGAAAAAAYABgBZAQAAjQUAAAAA&#10;">
                <v:fill on="f" focussize="0,0"/>
                <v:stroke weight="1.5pt" color="#800008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2273300</wp:posOffset>
                </wp:positionV>
                <wp:extent cx="6299835" cy="0"/>
                <wp:effectExtent l="16510" t="12065" r="17780" b="16510"/>
                <wp:wrapTopAndBottom/>
                <wp:docPr id="437911343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9" o:spid="_x0000_s1026" o:spt="20" style="position:absolute;left:0pt;margin-left:0pt;margin-top:179pt;height:0pt;width:496.05pt;mso-wrap-distance-bottom:0pt;mso-wrap-distance-top:0pt;z-index:251665408;mso-width-relative:page;mso-height-relative:page;" filled="f" stroked="t" coordsize="21600,21600" o:gfxdata="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CMyNGdUAAAAIAQAADwAAAAAAAAABACAAAAAiAAAAZHJzL2Rvd25yZXYueG1sUEsBAhQA&#10;FAAAAAgAh07iQFDY+kb1AQAAvgMAAA4AAAAAAAAAAQAgAAAAJAEAAGRycy9lMm9Eb2MueG1sUEsF&#10;BgAAAAAGAAYAWQEAAIsFAAAAAA==&#10;">
                <v:fill on="f" focussize="0,0"/>
                <v:stroke weight="1.5pt" color="#FFFFFF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8890000</wp:posOffset>
                </wp:positionV>
                <wp:extent cx="6092190" cy="0"/>
                <wp:effectExtent l="8255" t="8890" r="14605" b="10160"/>
                <wp:wrapTopAndBottom/>
                <wp:docPr id="470783212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2190" cy="0"/>
                        </a:xfrm>
                        <a:prstGeom prst="line">
                          <a:avLst/>
                        </a:prstGeom>
                        <a:noFill/>
                        <a:ln w="12700" cmpd="sng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14.35pt;margin-top:700pt;height:0pt;width:479.7pt;mso-wrap-distance-bottom:0pt;mso-wrap-distance-top:0pt;z-index:251666432;mso-width-relative:page;mso-height-relative:page;" filled="f" stroked="t" coordsize="21600,21600" o:gfxdata="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ggpAD1gAAAAwBAAAPAAAAAAAAAAEAIAAAACIAAABkcnMvZG93bnJldi54bWxQSwECFAAU&#10;AAAACACHTuJAJExuIPMBAAC+AwAADgAAAAAAAAABACAAAAAlAQAAZHJzL2Uyb0RvYy54bWxQSwUG&#10;AAAAAAYABgBZAQAAigUAAAAA&#10;">
                <v:fill on="f" focussize="0,0"/>
                <v:stroke weight="1pt" color="#FFFFFF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1" layoutInCell="1" allowOverlap="1">
                <wp:simplePos x="0" y="0"/>
                <wp:positionH relativeFrom="margin">
                  <wp:posOffset>2559050</wp:posOffset>
                </wp:positionH>
                <wp:positionV relativeFrom="margin">
                  <wp:posOffset>-93345</wp:posOffset>
                </wp:positionV>
                <wp:extent cx="3745865" cy="834390"/>
                <wp:effectExtent l="3810" t="0" r="3175" b="3810"/>
                <wp:wrapNone/>
                <wp:docPr id="43820040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5865" cy="83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D19543">
                            <w:pPr>
                              <w:pStyle w:val="18"/>
                            </w:pPr>
                            <w:r>
                              <w:t>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01.5pt;margin-top:-7.35pt;height:65.7pt;width:294.95pt;mso-position-horizontal-relative:margin;mso-position-vertical-relative:margin;z-index:251667456;mso-width-relative:page;mso-height-relative:page;" fillcolor="#FFFFFF" filled="t" stroked="f" coordsize="21600,21600" o:gfxdata="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frgBNsAAAALAQAADwAAAAAAAAABACAAAAAiAAAAZHJzL2Rvd25yZXYueG1sUEsBAhQA&#10;FAAAAAgAh07iQHc2rcQoAgAANQQAAA4AAAAAAAAAAQAgAAAAKgEAAGRycy9lMm9Eb2MueG1sUEsF&#10;BgAAAAAGAAYAWQEAAM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6D19543">
                      <w:pPr>
                        <w:pStyle w:val="18"/>
                      </w:pPr>
                      <w:r>
                        <w:t>YS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9108440</wp:posOffset>
                </wp:positionV>
                <wp:extent cx="6511290" cy="513715"/>
                <wp:effectExtent l="0" t="635" r="0" b="0"/>
                <wp:wrapNone/>
                <wp:docPr id="1684209114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129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7344F2">
                            <w:pPr>
                              <w:pStyle w:val="25"/>
                              <w:spacing w:before="156" w:after="156"/>
                              <w:rPr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Cs w:val="36"/>
                              </w:rPr>
                              <w:t>中华人民共和国工业和信息化部</w:t>
                            </w:r>
                            <w:r>
                              <w:rPr>
                                <w:rStyle w:val="13"/>
                                <w:rFonts w:hint="eastAsia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Style w:val="13"/>
                                <w:rFonts w:hint="eastAsia" w:hAnsi="宋体"/>
                                <w:szCs w:val="36"/>
                              </w:rPr>
                              <w:t>发布</w:t>
                            </w:r>
                          </w:p>
                          <w:p w14:paraId="4828B009">
                            <w:pPr>
                              <w:pStyle w:val="2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0pt;margin-top:717.2pt;height:40.45pt;width:512.7pt;mso-position-horizontal-relative:margin;mso-position-vertical-relative:margin;z-index:251664384;mso-width-relative:page;mso-height-relative:page;" fillcolor="#FFFFFF" filled="t" stroked="f" coordsize="21600,21600" o:gfxdata="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+Oxg12QAAAAsBAAAPAAAAAAAAAAEAIAAAACIAAABkcnMvZG93bnJldi54bWxQSwECFAAU&#10;AAAACACHTuJAdGo1vCkCAAA3BAAADgAAAAAAAAABACAAAAAoAQAAZHJzL2Uyb0RvYy54bWxQSwUG&#10;AAAAAAYABgBZAQAAw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37344F2">
                      <w:pPr>
                        <w:pStyle w:val="25"/>
                        <w:spacing w:before="156" w:after="156"/>
                        <w:rPr>
                          <w:szCs w:val="36"/>
                        </w:rPr>
                      </w:pPr>
                      <w:r>
                        <w:rPr>
                          <w:rFonts w:hint="eastAsia"/>
                          <w:szCs w:val="36"/>
                        </w:rPr>
                        <w:t>中华人民共和国工业和信息化部</w:t>
                      </w:r>
                      <w:r>
                        <w:rPr>
                          <w:rStyle w:val="13"/>
                          <w:rFonts w:hint="eastAsia"/>
                          <w:szCs w:val="36"/>
                        </w:rPr>
                        <w:t xml:space="preserve"> </w:t>
                      </w:r>
                      <w:r>
                        <w:rPr>
                          <w:rStyle w:val="13"/>
                          <w:rFonts w:hint="eastAsia" w:hAnsi="宋体"/>
                          <w:szCs w:val="36"/>
                        </w:rPr>
                        <w:t>发布</w:t>
                      </w:r>
                    </w:p>
                    <w:p w14:paraId="4828B009">
                      <w:pPr>
                        <w:pStyle w:val="25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margin">
                  <wp:posOffset>4100830</wp:posOffset>
                </wp:positionH>
                <wp:positionV relativeFrom="margin">
                  <wp:posOffset>8563610</wp:posOffset>
                </wp:positionV>
                <wp:extent cx="2200910" cy="312420"/>
                <wp:effectExtent l="2540" t="0" r="0" b="3175"/>
                <wp:wrapNone/>
                <wp:docPr id="128899500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F5979D">
                            <w:pPr>
                              <w:pStyle w:val="30"/>
                            </w:pPr>
                            <w:r>
                              <w:rPr>
                                <w:rFonts w:hint="eastAsia"/>
                              </w:rPr>
                              <w:t>××××-××-××实施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322.9pt;margin-top:674.3pt;height:24.6pt;width:173.3pt;mso-position-horizontal-relative:margin;mso-position-vertical-relative:margin;z-index:251663360;mso-width-relative:page;mso-height-relative:page;" fillcolor="#FFFFFF" filled="t" stroked="f" coordsize="21600,21600" o:gfxdata="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GZfBN2wAAAA0BAAAPAAAAAAAAAAEAIAAAACIAAABkcnMvZG93bnJldi54bWxQSwECFAAU&#10;AAAACACHTuJAP3I2BicCAAA3BAAADgAAAAAAAAABACAAAAAqAQAAZHJzL2Uyb0RvYy54bWxQSwUG&#10;AAAAAAYABgBZAQAAw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CF5979D">
                      <w:pPr>
                        <w:pStyle w:val="30"/>
                      </w:pPr>
                      <w:r>
                        <w:rPr>
                          <w:rFonts w:hint="eastAsia"/>
                        </w:rPr>
                        <w:t>××××-××-××实施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margin">
                  <wp:posOffset>153035</wp:posOffset>
                </wp:positionH>
                <wp:positionV relativeFrom="margin">
                  <wp:posOffset>8563610</wp:posOffset>
                </wp:positionV>
                <wp:extent cx="2046605" cy="312420"/>
                <wp:effectExtent l="0" t="0" r="3175" b="3175"/>
                <wp:wrapNone/>
                <wp:docPr id="157481508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6605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FF1A036">
                            <w:pPr>
                              <w:pStyle w:val="28"/>
                            </w:pPr>
                            <w:r>
                              <w:rPr>
                                <w:rFonts w:hint="eastAsia"/>
                              </w:rPr>
                              <w:t>××××-××-××发布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2.05pt;margin-top:674.3pt;height:24.6pt;width:161.15pt;mso-position-horizontal-relative:margin;mso-position-vertical-relative:margin;z-index:251662336;mso-width-relative:page;mso-height-relative:page;" fillcolor="#FFFFFF" filled="t" stroked="f" coordsize="21600,21600" o:gfxdata="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h0DZYdoAAAAMAQAADwAAAAAAAAABACAAAAAiAAAAZHJzL2Rvd25yZXYueG1sUEsBAhQA&#10;FAAAAAgAh07iQH8toNApAgAANwQAAA4AAAAAAAAAAQAgAAAAKQEAAGRycy9lMm9Eb2MueG1sUEsF&#10;BgAAAAAGAAYAWQEAAM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FF1A036">
                      <w:pPr>
                        <w:pStyle w:val="28"/>
                      </w:pPr>
                      <w:r>
                        <w:rPr>
                          <w:rFonts w:hint="eastAsia"/>
                        </w:rPr>
                        <w:t>××××-××-××发布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posOffset>142240</wp:posOffset>
                </wp:positionH>
                <wp:positionV relativeFrom="margin">
                  <wp:posOffset>3635375</wp:posOffset>
                </wp:positionV>
                <wp:extent cx="6150610" cy="4681220"/>
                <wp:effectExtent l="0" t="4445" r="0" b="635"/>
                <wp:wrapNone/>
                <wp:docPr id="754249648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0610" cy="468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078E96">
                            <w:pPr>
                              <w:jc w:val="center"/>
                              <w:rPr>
                                <w:rFonts w:hint="eastAsia" w:ascii="黑体" w:hAnsi="黑体" w:eastAsia="黑体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52"/>
                                <w:szCs w:val="52"/>
                              </w:rPr>
                              <w:t>光伏异质结电池浆料用导电银粉</w:t>
                            </w:r>
                          </w:p>
                          <w:p w14:paraId="388175A7">
                            <w:pPr>
                              <w:pStyle w:val="2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eastAsia="黑体"/>
                                <w:b/>
                                <w:szCs w:val="28"/>
                              </w:rPr>
                              <w:t>Conductive silver powder for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 w:ascii="Times New Roman" w:eastAsia="黑体"/>
                                <w:b/>
                                <w:szCs w:val="28"/>
                              </w:rPr>
                              <w:t>p</w:t>
                            </w:r>
                            <w:r>
                              <w:rPr>
                                <w:rFonts w:ascii="Times New Roman" w:eastAsia="黑体"/>
                                <w:b/>
                                <w:szCs w:val="28"/>
                              </w:rPr>
                              <w:t xml:space="preserve">hotovoltaic heterojunction </w:t>
                            </w:r>
                            <w:r>
                              <w:rPr>
                                <w:rFonts w:hint="eastAsia" w:ascii="Times New Roman" w:eastAsia="黑体"/>
                                <w:b/>
                                <w:szCs w:val="28"/>
                              </w:rPr>
                              <w:t>cell</w:t>
                            </w:r>
                            <w:r>
                              <w:rPr>
                                <w:rFonts w:ascii="Times New Roman" w:eastAsia="黑体"/>
                                <w:b/>
                                <w:szCs w:val="28"/>
                              </w:rPr>
                              <w:t xml:space="preserve"> pastes</w:t>
                            </w:r>
                          </w:p>
                          <w:p w14:paraId="598B53DE">
                            <w:pPr>
                              <w:pStyle w:val="24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1.2pt;margin-top:286.25pt;height:368.6pt;width:484.3pt;mso-position-horizontal-relative:margin;mso-position-vertical-relative:margin;z-index:251661312;mso-width-relative:page;mso-height-relative:page;" fillcolor="#FFFFFF" filled="t" stroked="f" coordsize="21600,21600" o:gfxdata="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WJCqEdoAAAALAQAADwAAAAAAAAABACAAAAAiAAAAZHJzL2Rvd25yZXYueG1sUEsBAhQA&#10;FAAAAAgAh07iQNvbNhgpAgAANwQAAA4AAAAAAAAAAQAgAAAAKQEAAGRycy9lMm9Eb2MueG1sUEsF&#10;BgAAAAAGAAYAWQEAAM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D078E96">
                      <w:pPr>
                        <w:jc w:val="center"/>
                        <w:rPr>
                          <w:rFonts w:hint="eastAsia" w:ascii="黑体" w:hAnsi="黑体" w:eastAsia="黑体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hAnsi="黑体" w:eastAsia="黑体"/>
                          <w:sz w:val="52"/>
                          <w:szCs w:val="52"/>
                        </w:rPr>
                        <w:t>光伏异质结电池浆料用导电银粉</w:t>
                      </w:r>
                    </w:p>
                    <w:p w14:paraId="388175A7">
                      <w:pPr>
                        <w:pStyle w:val="22"/>
                        <w:rPr>
                          <w:color w:val="000000"/>
                        </w:rPr>
                      </w:pPr>
                      <w:r>
                        <w:rPr>
                          <w:rFonts w:ascii="Times New Roman" w:eastAsia="黑体"/>
                          <w:b/>
                          <w:szCs w:val="28"/>
                        </w:rPr>
                        <w:t>Conductive silver powder for</w:t>
                      </w:r>
                      <w:r>
                        <w:t xml:space="preserve"> </w:t>
                      </w:r>
                      <w:r>
                        <w:rPr>
                          <w:rFonts w:hint="eastAsia" w:ascii="Times New Roman" w:eastAsia="黑体"/>
                          <w:b/>
                          <w:szCs w:val="28"/>
                        </w:rPr>
                        <w:t>p</w:t>
                      </w:r>
                      <w:r>
                        <w:rPr>
                          <w:rFonts w:ascii="Times New Roman" w:eastAsia="黑体"/>
                          <w:b/>
                          <w:szCs w:val="28"/>
                        </w:rPr>
                        <w:t xml:space="preserve">hotovoltaic heterojunction </w:t>
                      </w:r>
                      <w:r>
                        <w:rPr>
                          <w:rFonts w:hint="eastAsia" w:ascii="Times New Roman" w:eastAsia="黑体"/>
                          <w:b/>
                          <w:szCs w:val="28"/>
                        </w:rPr>
                        <w:t>cell</w:t>
                      </w:r>
                      <w:r>
                        <w:rPr>
                          <w:rFonts w:ascii="Times New Roman" w:eastAsia="黑体"/>
                          <w:b/>
                          <w:szCs w:val="28"/>
                        </w:rPr>
                        <w:t xml:space="preserve"> pastes</w:t>
                      </w:r>
                    </w:p>
                    <w:p w14:paraId="598B53DE">
                      <w:pPr>
                        <w:pStyle w:val="24"/>
                        <w:rPr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1010920</wp:posOffset>
                </wp:positionV>
                <wp:extent cx="6338570" cy="391160"/>
                <wp:effectExtent l="0" t="0" r="0" b="0"/>
                <wp:wrapNone/>
                <wp:docPr id="16854175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857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2FCDD7">
                            <w:pPr>
                              <w:pStyle w:val="29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中华人民共和国有色金属行业标准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79.6pt;height:30.8pt;width:499.1pt;mso-position-horizontal-relative:margin;mso-position-vertical-relative:margin;z-index:251660288;mso-width-relative:page;mso-height-relative:page;" fillcolor="#FFFFFF" filled="t" stroked="f" coordsize="21600,21600" o:gfxdata="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wUDjdcAAAAIAQAADwAAAAAAAAABACAAAAAiAAAAZHJzL2Rvd25yZXYueG1sUEsBAhQAFAAA&#10;AAgAh07iQIE078IpAgAANwQAAA4AAAAAAAAAAQAgAAAAJgEAAGRycy9lMm9Eb2MueG1sUEsFBgAA&#10;AAAGAAYAWQEAAM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F2FCDD7">
                      <w:pPr>
                        <w:pStyle w:val="29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中华人民共和国有色金属行业标准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249555</wp:posOffset>
                </wp:positionV>
                <wp:extent cx="2540000" cy="1066800"/>
                <wp:effectExtent l="0" t="0" r="0" b="0"/>
                <wp:wrapNone/>
                <wp:docPr id="109965127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411AD3">
                            <w:pPr>
                              <w:pStyle w:val="31"/>
                              <w:rPr>
                                <w:rFonts w:hint="eastAsia" w:ascii="黑体" w:hAnsi="黑体" w:cs="黑体"/>
                              </w:rPr>
                            </w:pPr>
                            <w:r>
                              <w:rPr>
                                <w:rFonts w:hint="eastAsia" w:ascii="黑体" w:hAnsi="黑体" w:cs="黑体"/>
                              </w:rPr>
                              <w:t>ICS 77.160</w:t>
                            </w:r>
                          </w:p>
                          <w:p w14:paraId="6EAEE11F">
                            <w:pPr>
                              <w:pStyle w:val="31"/>
                              <w:rPr>
                                <w:rFonts w:hint="eastAsia" w:ascii="黑体" w:hAnsi="黑体" w:cs="黑体"/>
                              </w:rPr>
                            </w:pPr>
                            <w:r>
                              <w:rPr>
                                <w:rFonts w:hint="eastAsia" w:ascii="黑体" w:hAnsi="黑体" w:cs="黑体"/>
                              </w:rPr>
                              <w:t>CCS H 71</w:t>
                            </w:r>
                          </w:p>
                          <w:p w14:paraId="45FF659C">
                            <w:pPr>
                              <w:pStyle w:val="3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0pt;margin-top:19.65pt;height:84pt;width:200pt;mso-position-horizontal-relative:margin;mso-position-vertical-relative:margin;z-index:251659264;mso-width-relative:page;mso-height-relative:page;" fillcolor="#FFFFFF" filled="t" stroked="f" coordsize="21600,21600" o:gfxdata="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5pJWw9YAAAAHAQAADwAAAAAAAAABACAAAAAiAAAAZHJzL2Rvd25yZXYueG1sUEsBAhQAFAAAAAgA&#10;h07iQEHOQBQnAgAAOAQAAA4AAAAAAAAAAQAgAAAAJQEAAGRycy9lMm9Eb2MueG1sUEsFBgAAAAAG&#10;AAYAWQEAAL4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A411AD3">
                      <w:pPr>
                        <w:pStyle w:val="31"/>
                        <w:rPr>
                          <w:rFonts w:hint="eastAsia" w:ascii="黑体" w:hAnsi="黑体" w:cs="黑体"/>
                        </w:rPr>
                      </w:pPr>
                      <w:r>
                        <w:rPr>
                          <w:rFonts w:hint="eastAsia" w:ascii="黑体" w:hAnsi="黑体" w:cs="黑体"/>
                        </w:rPr>
                        <w:t>ICS 77.160</w:t>
                      </w:r>
                    </w:p>
                    <w:p w14:paraId="6EAEE11F">
                      <w:pPr>
                        <w:pStyle w:val="31"/>
                        <w:rPr>
                          <w:rFonts w:hint="eastAsia" w:ascii="黑体" w:hAnsi="黑体" w:cs="黑体"/>
                        </w:rPr>
                      </w:pPr>
                      <w:r>
                        <w:rPr>
                          <w:rFonts w:hint="eastAsia" w:ascii="黑体" w:hAnsi="黑体" w:cs="黑体"/>
                        </w:rPr>
                        <w:t>CCS H 71</w:t>
                      </w:r>
                    </w:p>
                    <w:p w14:paraId="45FF659C">
                      <w:pPr>
                        <w:pStyle w:val="31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</w:rPr>
        <w:t xml:space="preserve">    </w:t>
      </w:r>
      <w:r>
        <w:t xml:space="preserve"> </w:t>
      </w:r>
    </w:p>
    <w:p w14:paraId="6DF7B254">
      <w:pPr>
        <w:ind w:left="-90"/>
        <w:jc w:val="center"/>
        <w:rPr>
          <w:rFonts w:hint="eastAsia"/>
        </w:rPr>
      </w:pPr>
    </w:p>
    <w:p w14:paraId="5281388D">
      <w:pPr>
        <w:ind w:left="-90"/>
        <w:jc w:val="center"/>
        <w:rPr>
          <w:rFonts w:hint="eastAsia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567" w:right="851" w:bottom="1361" w:left="851" w:header="0" w:footer="0" w:gutter="0"/>
          <w:pgNumType w:start="1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6352C3">
      <w:pPr>
        <w:pStyle w:val="21"/>
        <w:numPr>
          <w:ilvl w:val="0"/>
          <w:numId w:val="2"/>
        </w:numPr>
      </w:pPr>
      <w:r>
        <w:rPr>
          <w:rFonts w:hint="eastAsia"/>
        </w:rPr>
        <w:t>前    言</w:t>
      </w:r>
    </w:p>
    <w:p w14:paraId="776ADF0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本</w:t>
      </w:r>
      <w:r>
        <w:rPr>
          <w:rFonts w:hint="eastAsia" w:ascii="宋体" w:hAnsi="宋体" w:eastAsia="宋体"/>
          <w:szCs w:val="21"/>
        </w:rPr>
        <w:t>文件</w:t>
      </w:r>
      <w:r>
        <w:rPr>
          <w:rFonts w:ascii="宋体" w:hAnsi="宋体" w:eastAsia="宋体"/>
          <w:szCs w:val="21"/>
        </w:rPr>
        <w:t>按照GB/T 1.1-20</w:t>
      </w:r>
      <w:r>
        <w:rPr>
          <w:rFonts w:hint="eastAsia" w:ascii="宋体" w:hAnsi="宋体" w:eastAsia="宋体"/>
          <w:szCs w:val="21"/>
        </w:rPr>
        <w:t>20《标准化工作导则 第1部分：标准化文件的结构和起草规则》</w:t>
      </w:r>
      <w:r>
        <w:rPr>
          <w:rFonts w:ascii="宋体" w:hAnsi="宋体" w:eastAsia="宋体"/>
          <w:szCs w:val="21"/>
        </w:rPr>
        <w:t>的规</w:t>
      </w:r>
      <w:r>
        <w:rPr>
          <w:rFonts w:hint="eastAsia" w:ascii="宋体" w:hAnsi="宋体" w:eastAsia="宋体"/>
          <w:szCs w:val="21"/>
        </w:rPr>
        <w:t>定</w:t>
      </w:r>
      <w:r>
        <w:rPr>
          <w:rFonts w:ascii="宋体" w:hAnsi="宋体" w:eastAsia="宋体"/>
          <w:szCs w:val="21"/>
        </w:rPr>
        <w:t>起草。</w:t>
      </w:r>
    </w:p>
    <w:p w14:paraId="64011A2D">
      <w:pPr>
        <w:pStyle w:val="14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firstLine="420"/>
        <w:textAlignment w:val="auto"/>
        <w:rPr>
          <w:rFonts w:hint="eastAsia" w:hAnsi="宋体"/>
          <w:kern w:val="2"/>
          <w:szCs w:val="24"/>
        </w:rPr>
      </w:pPr>
      <w:r>
        <w:rPr>
          <w:rFonts w:hint="eastAsia" w:hAnsi="宋体"/>
          <w:kern w:val="2"/>
          <w:szCs w:val="24"/>
        </w:rPr>
        <w:t>本文件由全国有色金属标准化技术委员会（SAC/TC243）提出并归口。</w:t>
      </w:r>
    </w:p>
    <w:p w14:paraId="235E836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本标准负责起草单位：福建紫金贵金属材料有限公司</w:t>
      </w:r>
    </w:p>
    <w:p w14:paraId="1956112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</w:rPr>
      </w:pPr>
      <w:r>
        <w:rPr>
          <w:rFonts w:hint="eastAsia" w:ascii="宋体" w:hAnsi="宋体" w:eastAsia="宋体" w:cs="Times New Roman"/>
          <w:szCs w:val="21"/>
        </w:rPr>
        <w:t>本标准参加起草单位：昆明理工大学，苏州晶银新材料科技有限公司</w:t>
      </w:r>
      <w:r>
        <w:rPr>
          <w:rFonts w:hint="eastAsia" w:ascii="宋体" w:hAnsi="宋体" w:eastAsia="宋体"/>
        </w:rPr>
        <w:t>，西北大学，南通天盛新能源股份有限公司，苏州思尔维纳米科技有限公司，上海银浆科技有限公司</w:t>
      </w:r>
    </w:p>
    <w:p w14:paraId="15DCF91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本文件主要起草人：陈期生 沈昕 陈杭 张恒星 黄惠 汪山 张文彦 朱鹏 洪玮 孟浩祥 刘秋香 王亮</w:t>
      </w:r>
    </w:p>
    <w:p w14:paraId="1322D291">
      <w:pPr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39F4D2FA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004E938C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617F035A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60B074F4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6C839406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0ED28CCA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3E6FD65C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637F4B01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256D5F6C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6FF287F3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46566DB0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7CBACEE0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259F74B1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714C73F4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1D0946B0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07E988E9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25360440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244DC82B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5704E6F2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721CBD22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5390BEC8">
      <w:pPr>
        <w:spacing w:line="400" w:lineRule="exact"/>
        <w:textAlignment w:val="baseline"/>
        <w:rPr>
          <w:rFonts w:ascii="Times New Roman" w:hAnsi="Times New Roman" w:eastAsia="宋体" w:cs="Times New Roman"/>
          <w:szCs w:val="24"/>
        </w:rPr>
      </w:pPr>
    </w:p>
    <w:p w14:paraId="72F3DB31">
      <w:pPr>
        <w:spacing w:line="400" w:lineRule="exact"/>
        <w:ind w:firstLine="420" w:firstLineChars="200"/>
        <w:textAlignment w:val="baseline"/>
        <w:rPr>
          <w:rFonts w:ascii="Times New Roman" w:hAnsi="Times New Roman" w:eastAsia="宋体" w:cs="Times New Roman"/>
          <w:szCs w:val="24"/>
        </w:rPr>
      </w:pPr>
    </w:p>
    <w:p w14:paraId="102CCD28">
      <w:pPr>
        <w:spacing w:line="400" w:lineRule="exact"/>
        <w:ind w:firstLine="640" w:firstLineChars="200"/>
        <w:textAlignment w:val="baseline"/>
        <w:rPr>
          <w:rFonts w:hint="eastAsia" w:ascii="黑体" w:hAnsi="宋体" w:eastAsia="黑体" w:cs="Times New Roman"/>
          <w:sz w:val="32"/>
          <w:szCs w:val="32"/>
        </w:rPr>
      </w:pPr>
    </w:p>
    <w:p w14:paraId="387E7F2C">
      <w:pPr>
        <w:jc w:val="center"/>
        <w:rPr>
          <w:rFonts w:hint="eastAsia"/>
        </w:rPr>
      </w:pPr>
    </w:p>
    <w:p w14:paraId="199AC4FF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Hlk169514605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光伏异质结电池浆料</w:t>
      </w:r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用导电银粉</w:t>
      </w:r>
    </w:p>
    <w:p w14:paraId="65A0C0BE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1 范围</w:t>
      </w:r>
    </w:p>
    <w:p w14:paraId="08E44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本文件规定了光伏异质结电池浆料用导电银粉的分类、技术要求、试验方法、检验规则及标志、包装、运输、贮存、随行文件和订货单内容。</w:t>
      </w:r>
    </w:p>
    <w:p w14:paraId="22EC0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本文件适用于光伏领域使用的光伏异质结电池浆料用导电银粉。</w:t>
      </w:r>
    </w:p>
    <w:p w14:paraId="4A4AB241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2 规范性引用文件</w:t>
      </w:r>
    </w:p>
    <w:p w14:paraId="3E07E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下列文件对于本文件的应用是必不可少的。凡是注日期的引用文件，仅所注日期的版本适用于本文件。凡是不注日期的引用文件，其最新版本（包括所有的修改单）适用于本文件。</w:t>
      </w:r>
    </w:p>
    <w:p w14:paraId="55D26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GB/T 1773-20</w:t>
      </w:r>
      <w:r>
        <w:rPr>
          <w:rFonts w:hint="eastAsia" w:ascii="宋体" w:hAnsi="宋体" w:eastAsia="宋体" w:cs="宋体"/>
          <w:highlight w:val="none"/>
          <w:lang w:val="en-US" w:eastAsia="zh-CN"/>
        </w:rPr>
        <w:t>25</w:t>
      </w:r>
      <w:r>
        <w:rPr>
          <w:rFonts w:hint="eastAsia" w:ascii="宋体" w:hAnsi="宋体" w:eastAsia="宋体" w:cs="宋体"/>
          <w:highlight w:val="none"/>
        </w:rPr>
        <w:t>片状银粉</w:t>
      </w:r>
    </w:p>
    <w:p w14:paraId="2046B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GB/T 1774-2009 超细银粉</w:t>
      </w:r>
    </w:p>
    <w:p w14:paraId="3D753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GB/T 516</w:t>
      </w:r>
      <w:r>
        <w:rPr>
          <w:rFonts w:hint="eastAsia" w:ascii="宋体" w:hAnsi="宋体" w:eastAsia="宋体" w:cs="宋体"/>
          <w:highlight w:val="none"/>
          <w:lang w:val="en-US" w:eastAsia="zh-CN"/>
        </w:rPr>
        <w:t>2-2021</w:t>
      </w:r>
      <w:r>
        <w:rPr>
          <w:rFonts w:hint="eastAsia" w:ascii="宋体" w:hAnsi="宋体" w:eastAsia="宋体" w:cs="宋体"/>
          <w:highlight w:val="none"/>
        </w:rPr>
        <w:t>金属粉末振实密度的测定</w:t>
      </w:r>
    </w:p>
    <w:p w14:paraId="53C0F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GB/T 7728-2021冶金产品化学分析火焰原子吸</w:t>
      </w:r>
      <w:bookmarkStart w:id="3" w:name="_GoBack"/>
      <w:bookmarkEnd w:id="3"/>
      <w:r>
        <w:rPr>
          <w:rFonts w:hint="eastAsia" w:ascii="宋体" w:hAnsi="宋体" w:eastAsia="宋体" w:cs="宋体"/>
          <w:highlight w:val="none"/>
        </w:rPr>
        <w:t>收光谱法通则</w:t>
      </w:r>
    </w:p>
    <w:p w14:paraId="2CEB8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GB/T</w:t>
      </w: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highlight w:val="none"/>
        </w:rPr>
        <w:t>18</w:t>
      </w:r>
      <w:r>
        <w:rPr>
          <w:rFonts w:hint="eastAsia" w:ascii="宋体" w:hAnsi="宋体" w:eastAsia="宋体" w:cs="宋体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highlight w:val="none"/>
        </w:rPr>
        <w:t>35</w:t>
      </w:r>
      <w:r>
        <w:rPr>
          <w:rFonts w:hint="eastAsia" w:ascii="宋体" w:hAnsi="宋体" w:eastAsia="宋体" w:cs="宋体"/>
          <w:highlight w:val="none"/>
          <w:lang w:val="en-US" w:eastAsia="zh-CN"/>
        </w:rPr>
        <w:t>-2000</w:t>
      </w:r>
      <w:r>
        <w:rPr>
          <w:rFonts w:hint="eastAsia" w:ascii="宋体" w:hAnsi="宋体" w:eastAsia="宋体" w:cs="宋体"/>
          <w:highlight w:val="none"/>
        </w:rPr>
        <w:t>贵金属及其合金牌号表示方法</w:t>
      </w:r>
    </w:p>
    <w:p w14:paraId="449B7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GB/T 19</w:t>
      </w:r>
      <w:r>
        <w:rPr>
          <w:rFonts w:hint="eastAsia" w:ascii="宋体" w:hAnsi="宋体" w:eastAsia="宋体" w:cs="宋体"/>
          <w:highlight w:val="none"/>
          <w:lang w:val="en-US" w:eastAsia="zh-CN"/>
        </w:rPr>
        <w:t>077-2024</w:t>
      </w:r>
      <w:r>
        <w:rPr>
          <w:rFonts w:hint="eastAsia" w:ascii="宋体" w:hAnsi="宋体" w:eastAsia="宋体" w:cs="宋体"/>
          <w:highlight w:val="none"/>
        </w:rPr>
        <w:t>粒度分析激光衍射法</w:t>
      </w:r>
    </w:p>
    <w:p w14:paraId="331ED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GB/T 5314-2011 粉末冶金用粉末-取样方法</w:t>
      </w:r>
    </w:p>
    <w:p w14:paraId="30F637EC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3 术语和定义</w:t>
      </w:r>
    </w:p>
    <w:p w14:paraId="6C62C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下列术语和定义适用于本文件。</w:t>
      </w:r>
    </w:p>
    <w:p w14:paraId="6EF91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 xml:space="preserve">3.1 </w:t>
      </w:r>
    </w:p>
    <w:p w14:paraId="31C07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>粒径（D10）</w:t>
      </w:r>
    </w:p>
    <w:p w14:paraId="02746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样品的累计粒度分布百分数达到10%时所对应的粒径，即粒径小于它的颗粒占10%。 </w:t>
      </w:r>
    </w:p>
    <w:p w14:paraId="0C42C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 xml:space="preserve">3.2 </w:t>
      </w:r>
    </w:p>
    <w:p w14:paraId="231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>粒径（D50）</w:t>
      </w:r>
    </w:p>
    <w:p w14:paraId="22658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 xml:space="preserve">样品的累计粒度分布百分数达到50%时所对应的粒径，即粒径小于它的颗粒占50%。 </w:t>
      </w:r>
    </w:p>
    <w:p w14:paraId="6651A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 xml:space="preserve">3.3 </w:t>
      </w:r>
    </w:p>
    <w:p w14:paraId="23FB8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>粒径（D90）</w:t>
      </w:r>
    </w:p>
    <w:p w14:paraId="7B0E2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样品的累计粒度分布百分数达到90%时所对应的粒径，即粒径小于它的颗粒占100%。</w:t>
      </w:r>
    </w:p>
    <w:p w14:paraId="33854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4 分类和标记</w:t>
      </w:r>
    </w:p>
    <w:p w14:paraId="3CD30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>4.1 产品分类</w:t>
      </w:r>
    </w:p>
    <w:p w14:paraId="0328E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产品按粒径分为3个牌号，PAg-G0.3，PAg-G0.5，PAg-G0.7</w:t>
      </w:r>
    </w:p>
    <w:p w14:paraId="649DE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textAlignment w:val="auto"/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highlight w:val="none"/>
          <w:lang w:val="en-US" w:eastAsia="zh-CN"/>
        </w:rPr>
        <w:t>4.2 标记示例</w:t>
      </w:r>
    </w:p>
    <w:p w14:paraId="23757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根据GB/T 18035-2000，产品表示由以下五部分组成：</w:t>
      </w:r>
    </w:p>
    <w:p w14:paraId="068D0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</w:pPr>
      <w:r>
        <w:rPr>
          <w:rFonts w:hint="eastAsia"/>
          <w:highlight w:val="none"/>
          <w:lang w:val="en-US" w:eastAsia="zh-CN"/>
        </w:rPr>
        <w:t>，</w:t>
      </w:r>
      <w:r>
        <w:drawing>
          <wp:inline distT="0" distB="0" distL="114300" distR="114300">
            <wp:extent cx="1062355" cy="494665"/>
            <wp:effectExtent l="0" t="0" r="4445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2355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4F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其中，</w:t>
      </w:r>
    </w:p>
    <w:p w14:paraId="34A0384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粉末产品代号。</w:t>
      </w:r>
    </w:p>
    <w:p w14:paraId="6B4DAB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Ag-粉末名称。</w:t>
      </w:r>
    </w:p>
    <w:p w14:paraId="4AFE001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表示球形粉末。</w:t>
      </w:r>
    </w:p>
    <w:p w14:paraId="6D0A8CD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平均粒径(D50)，单位为μm。</w:t>
      </w:r>
    </w:p>
    <w:p w14:paraId="5061283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产品编号</w:t>
      </w:r>
    </w:p>
    <w:p w14:paraId="31C279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注：各厂家根据自身实际情况可自行定义产品编号。</w:t>
      </w:r>
    </w:p>
    <w:p w14:paraId="496DE0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jc w:val="both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示例：编号为DW1的平均粒径小于0.5μm的球形银粉，标记为PAg-G0.5-DW1。</w:t>
      </w:r>
    </w:p>
    <w:p w14:paraId="4200D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</w:rPr>
        <w:t xml:space="preserve"> 技术要求</w:t>
      </w:r>
    </w:p>
    <w:p w14:paraId="4D045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 w:ascii="黑体" w:hAnsi="黑体" w:eastAsia="黑体" w:cs="黑体"/>
          <w:highlight w:val="none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  <w:r>
        <w:rPr>
          <w:rFonts w:hint="eastAsia" w:ascii="黑体" w:hAnsi="黑体" w:eastAsia="黑体" w:cs="黑体"/>
          <w:highlight w:val="none"/>
        </w:rPr>
        <w:t>.1 化学成分</w:t>
      </w:r>
      <w:bookmarkStart w:id="1" w:name="_Hlk161563001"/>
    </w:p>
    <w:p w14:paraId="518C667A">
      <w:pPr>
        <w:spacing w:line="360" w:lineRule="auto"/>
        <w:rPr>
          <w:rFonts w:hint="eastAsia" w:ascii="宋体" w:hAnsi="宋体" w:eastAsia="宋体" w:cs="宋体"/>
          <w:highlight w:val="none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5.1.1</w:t>
      </w:r>
      <w:r>
        <w:rPr>
          <w:rFonts w:hint="eastAsia" w:ascii="宋体" w:hAnsi="宋体" w:eastAsia="宋体" w:cs="宋体"/>
          <w:highlight w:val="none"/>
        </w:rPr>
        <w:t>光伏异质结电池浆料用导电银粉的化学成分应符合表1的规定。</w:t>
      </w:r>
    </w:p>
    <w:bookmarkEnd w:id="1"/>
    <w:p w14:paraId="2E83EFF2">
      <w:pPr>
        <w:jc w:val="center"/>
        <w:rPr>
          <w:rFonts w:hint="eastAsia"/>
          <w:highlight w:val="none"/>
        </w:rPr>
      </w:pPr>
      <w:r>
        <w:rPr>
          <w:rFonts w:hint="eastAsia" w:ascii="黑体" w:hAnsi="黑体" w:eastAsia="黑体" w:cs="黑体"/>
          <w:highlight w:val="none"/>
        </w:rPr>
        <w:t>表1（单位：%）</w:t>
      </w:r>
    </w:p>
    <w:tbl>
      <w:tblPr>
        <w:tblStyle w:val="6"/>
        <w:tblW w:w="10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773"/>
        <w:gridCol w:w="696"/>
        <w:gridCol w:w="687"/>
        <w:gridCol w:w="711"/>
        <w:gridCol w:w="703"/>
        <w:gridCol w:w="703"/>
        <w:gridCol w:w="625"/>
        <w:gridCol w:w="696"/>
        <w:gridCol w:w="617"/>
        <w:gridCol w:w="702"/>
        <w:gridCol w:w="790"/>
        <w:gridCol w:w="727"/>
        <w:gridCol w:w="1356"/>
      </w:tblGrid>
      <w:tr w14:paraId="210A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Merge w:val="restart"/>
          </w:tcPr>
          <w:p w14:paraId="6A78F74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项目</w:t>
            </w:r>
          </w:p>
        </w:tc>
        <w:tc>
          <w:tcPr>
            <w:tcW w:w="773" w:type="dxa"/>
            <w:vMerge w:val="restart"/>
          </w:tcPr>
          <w:p w14:paraId="3DB3543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银含量（质量分数），不小于</w:t>
            </w:r>
          </w:p>
        </w:tc>
        <w:tc>
          <w:tcPr>
            <w:tcW w:w="9013" w:type="dxa"/>
            <w:gridSpan w:val="12"/>
          </w:tcPr>
          <w:p w14:paraId="7E34759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杂质含量（质量分数），不大于</w:t>
            </w:r>
          </w:p>
        </w:tc>
      </w:tr>
      <w:tr w14:paraId="09822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680" w:type="dxa"/>
            <w:vMerge w:val="continue"/>
          </w:tcPr>
          <w:p w14:paraId="4BC52CF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</w:p>
        </w:tc>
        <w:tc>
          <w:tcPr>
            <w:tcW w:w="773" w:type="dxa"/>
            <w:vMerge w:val="continue"/>
          </w:tcPr>
          <w:p w14:paraId="665A825A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</w:p>
        </w:tc>
        <w:tc>
          <w:tcPr>
            <w:tcW w:w="696" w:type="dxa"/>
            <w:shd w:val="clear" w:color="auto" w:fill="auto"/>
            <w:vAlign w:val="top"/>
          </w:tcPr>
          <w:p w14:paraId="76BE0BAA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Pt</w:t>
            </w:r>
          </w:p>
        </w:tc>
        <w:tc>
          <w:tcPr>
            <w:tcW w:w="687" w:type="dxa"/>
            <w:shd w:val="clear" w:color="auto" w:fill="auto"/>
            <w:vAlign w:val="top"/>
          </w:tcPr>
          <w:p w14:paraId="39479E3F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Rh</w:t>
            </w:r>
          </w:p>
        </w:tc>
        <w:tc>
          <w:tcPr>
            <w:tcW w:w="711" w:type="dxa"/>
            <w:shd w:val="clear" w:color="auto" w:fill="auto"/>
            <w:vAlign w:val="top"/>
          </w:tcPr>
          <w:p w14:paraId="0B8EB1C7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Ir</w:t>
            </w:r>
          </w:p>
        </w:tc>
        <w:tc>
          <w:tcPr>
            <w:tcW w:w="703" w:type="dxa"/>
            <w:shd w:val="clear" w:color="auto" w:fill="auto"/>
            <w:vAlign w:val="top"/>
          </w:tcPr>
          <w:p w14:paraId="7C46DF6E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Au</w:t>
            </w:r>
          </w:p>
        </w:tc>
        <w:tc>
          <w:tcPr>
            <w:tcW w:w="703" w:type="dxa"/>
          </w:tcPr>
          <w:p w14:paraId="45F66B6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Pd</w:t>
            </w:r>
          </w:p>
        </w:tc>
        <w:tc>
          <w:tcPr>
            <w:tcW w:w="625" w:type="dxa"/>
            <w:shd w:val="clear" w:color="auto" w:fill="auto"/>
            <w:vAlign w:val="top"/>
          </w:tcPr>
          <w:p w14:paraId="19826226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Cu</w:t>
            </w:r>
          </w:p>
        </w:tc>
        <w:tc>
          <w:tcPr>
            <w:tcW w:w="696" w:type="dxa"/>
            <w:shd w:val="clear" w:color="auto" w:fill="auto"/>
            <w:vAlign w:val="top"/>
          </w:tcPr>
          <w:p w14:paraId="39FC1396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Ni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16883BC9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Fe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036A3CC7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Pb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038E022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Cd</w:t>
            </w:r>
          </w:p>
        </w:tc>
        <w:tc>
          <w:tcPr>
            <w:tcW w:w="727" w:type="dxa"/>
            <w:shd w:val="clear" w:color="auto" w:fill="auto"/>
            <w:vAlign w:val="top"/>
          </w:tcPr>
          <w:p w14:paraId="00FB647A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Na</w:t>
            </w:r>
          </w:p>
        </w:tc>
        <w:tc>
          <w:tcPr>
            <w:tcW w:w="1356" w:type="dxa"/>
          </w:tcPr>
          <w:p w14:paraId="474A53EB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杂质总量</w:t>
            </w:r>
          </w:p>
        </w:tc>
      </w:tr>
      <w:tr w14:paraId="12AAC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680" w:type="dxa"/>
          </w:tcPr>
          <w:p w14:paraId="55228B28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指标</w:t>
            </w:r>
          </w:p>
        </w:tc>
        <w:tc>
          <w:tcPr>
            <w:tcW w:w="773" w:type="dxa"/>
          </w:tcPr>
          <w:p w14:paraId="294152A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99.95</w:t>
            </w:r>
          </w:p>
        </w:tc>
        <w:tc>
          <w:tcPr>
            <w:tcW w:w="696" w:type="dxa"/>
            <w:shd w:val="clear" w:color="auto" w:fill="auto"/>
            <w:vAlign w:val="top"/>
          </w:tcPr>
          <w:p w14:paraId="1FAD093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0.002</w:t>
            </w:r>
          </w:p>
        </w:tc>
        <w:tc>
          <w:tcPr>
            <w:tcW w:w="687" w:type="dxa"/>
            <w:shd w:val="clear" w:color="auto" w:fill="auto"/>
            <w:vAlign w:val="top"/>
          </w:tcPr>
          <w:p w14:paraId="4A0C9155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0.002</w:t>
            </w:r>
          </w:p>
        </w:tc>
        <w:tc>
          <w:tcPr>
            <w:tcW w:w="711" w:type="dxa"/>
            <w:shd w:val="clear" w:color="auto" w:fill="auto"/>
            <w:vAlign w:val="top"/>
          </w:tcPr>
          <w:p w14:paraId="5F303A5A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0.001</w:t>
            </w:r>
          </w:p>
        </w:tc>
        <w:tc>
          <w:tcPr>
            <w:tcW w:w="703" w:type="dxa"/>
            <w:shd w:val="clear" w:color="auto" w:fill="auto"/>
            <w:vAlign w:val="top"/>
          </w:tcPr>
          <w:p w14:paraId="583B6BAE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0.002</w:t>
            </w:r>
          </w:p>
        </w:tc>
        <w:tc>
          <w:tcPr>
            <w:tcW w:w="703" w:type="dxa"/>
          </w:tcPr>
          <w:p w14:paraId="7A9EDC0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0.002</w:t>
            </w:r>
          </w:p>
        </w:tc>
        <w:tc>
          <w:tcPr>
            <w:tcW w:w="625" w:type="dxa"/>
            <w:shd w:val="clear" w:color="auto" w:fill="auto"/>
            <w:vAlign w:val="top"/>
          </w:tcPr>
          <w:p w14:paraId="3B6B24D9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0.01</w:t>
            </w:r>
          </w:p>
        </w:tc>
        <w:tc>
          <w:tcPr>
            <w:tcW w:w="696" w:type="dxa"/>
            <w:shd w:val="clear" w:color="auto" w:fill="auto"/>
            <w:vAlign w:val="top"/>
          </w:tcPr>
          <w:p w14:paraId="187176DF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0.005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53E9FAEA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0.01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524BBBCC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0.001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BF903D7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0.001</w:t>
            </w:r>
          </w:p>
        </w:tc>
        <w:tc>
          <w:tcPr>
            <w:tcW w:w="727" w:type="dxa"/>
            <w:shd w:val="clear" w:color="auto" w:fill="auto"/>
            <w:vAlign w:val="top"/>
          </w:tcPr>
          <w:p w14:paraId="2B153CF4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0.002</w:t>
            </w:r>
          </w:p>
        </w:tc>
        <w:tc>
          <w:tcPr>
            <w:tcW w:w="1356" w:type="dxa"/>
          </w:tcPr>
          <w:p w14:paraId="68D01B0E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0.05</w:t>
            </w:r>
          </w:p>
        </w:tc>
      </w:tr>
      <w:tr w14:paraId="5F84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66" w:type="dxa"/>
            <w:gridSpan w:val="14"/>
          </w:tcPr>
          <w:p w14:paraId="0E14B9F2">
            <w:pPr>
              <w:rPr>
                <w:rFonts w:hint="eastAsia"/>
                <w:sz w:val="2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注：以上的质量分数是指银粉在538℃灼烧至恒重后分析所得的量</w:t>
            </w:r>
          </w:p>
        </w:tc>
      </w:tr>
    </w:tbl>
    <w:p w14:paraId="2D03D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default"/>
          <w:highlight w:val="none"/>
          <w:lang w:val="en-US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 xml:space="preserve">5.1.2 </w:t>
      </w:r>
      <w:r>
        <w:rPr>
          <w:rFonts w:hint="eastAsia" w:ascii="宋体" w:hAnsi="宋体" w:eastAsia="宋体" w:cs="宋体"/>
          <w:highlight w:val="none"/>
          <w:lang w:val="en-US" w:eastAsia="zh-CN"/>
        </w:rPr>
        <w:t>需方如果对其他杂质元素含量有特殊要求时，可由供需双方商定。</w:t>
      </w:r>
    </w:p>
    <w:p w14:paraId="282BB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5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2 物理性能</w:t>
      </w:r>
    </w:p>
    <w:p w14:paraId="0FD798AD">
      <w:pPr>
        <w:spacing w:line="360" w:lineRule="auto"/>
        <w:ind w:firstLine="420" w:firstLineChars="200"/>
        <w:rPr>
          <w:rFonts w:hint="default" w:eastAsiaTheme="minorEastAsia"/>
          <w:lang w:val="en-US" w:eastAsia="zh-CN"/>
        </w:rPr>
      </w:pPr>
      <w:bookmarkStart w:id="2" w:name="_Hlk161579106"/>
      <w:r>
        <w:rPr>
          <w:rFonts w:hint="eastAsia" w:ascii="宋体" w:hAnsi="宋体" w:eastAsia="宋体" w:cs="宋体"/>
          <w:lang w:val="en-US" w:eastAsia="zh-CN"/>
        </w:rPr>
        <w:t>产品的物理性能应符合表2规定。需方若对产品有特殊要求时，供需双方可另行商定。</w:t>
      </w:r>
    </w:p>
    <w:bookmarkEnd w:id="2"/>
    <w:p w14:paraId="37EFB86A">
      <w:pPr>
        <w:jc w:val="center"/>
        <w:rPr>
          <w:rFonts w:hint="eastAsia"/>
          <w:highlight w:val="none"/>
        </w:rPr>
      </w:pPr>
      <w:r>
        <w:rPr>
          <w:rFonts w:hint="eastAsia" w:ascii="黑体" w:hAnsi="黑体" w:eastAsia="黑体" w:cs="黑体"/>
          <w:highlight w:val="none"/>
        </w:rPr>
        <w:t>表2</w:t>
      </w:r>
    </w:p>
    <w:tbl>
      <w:tblPr>
        <w:tblStyle w:val="6"/>
        <w:tblW w:w="71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356"/>
        <w:gridCol w:w="1352"/>
        <w:gridCol w:w="1085"/>
        <w:gridCol w:w="1125"/>
        <w:gridCol w:w="1211"/>
      </w:tblGrid>
      <w:tr w14:paraId="3356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37" w:type="dxa"/>
          </w:tcPr>
          <w:p w14:paraId="5D7F42E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牌号</w:t>
            </w:r>
          </w:p>
        </w:tc>
        <w:tc>
          <w:tcPr>
            <w:tcW w:w="1356" w:type="dxa"/>
          </w:tcPr>
          <w:p w14:paraId="4A2D864B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比表面积(m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/g)</w:t>
            </w:r>
          </w:p>
        </w:tc>
        <w:tc>
          <w:tcPr>
            <w:tcW w:w="1352" w:type="dxa"/>
          </w:tcPr>
          <w:p w14:paraId="502DB93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粒径D10</w:t>
            </w:r>
          </w:p>
          <w:p w14:paraId="63095C89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(μm)</w:t>
            </w:r>
          </w:p>
        </w:tc>
        <w:tc>
          <w:tcPr>
            <w:tcW w:w="1085" w:type="dxa"/>
          </w:tcPr>
          <w:p w14:paraId="6CFA0290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粒径D50</w:t>
            </w:r>
          </w:p>
          <w:p w14:paraId="0164A96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(μm)</w:t>
            </w:r>
          </w:p>
        </w:tc>
        <w:tc>
          <w:tcPr>
            <w:tcW w:w="1125" w:type="dxa"/>
          </w:tcPr>
          <w:p w14:paraId="47A5EBBF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粒径D90</w:t>
            </w:r>
          </w:p>
          <w:p w14:paraId="6006B6A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(μm)</w:t>
            </w:r>
          </w:p>
        </w:tc>
        <w:tc>
          <w:tcPr>
            <w:tcW w:w="1211" w:type="dxa"/>
            <w:vAlign w:val="top"/>
          </w:tcPr>
          <w:p w14:paraId="788F086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振实密度(g/cm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)</w:t>
            </w:r>
          </w:p>
        </w:tc>
      </w:tr>
      <w:tr w14:paraId="5160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shd w:val="clear" w:color="auto" w:fill="auto"/>
            <w:vAlign w:val="top"/>
          </w:tcPr>
          <w:p w14:paraId="6F4C1A0E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PAg-G0.3</w:t>
            </w:r>
          </w:p>
        </w:tc>
        <w:tc>
          <w:tcPr>
            <w:tcW w:w="1356" w:type="dxa"/>
          </w:tcPr>
          <w:p w14:paraId="7E17D416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2.50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3.60</w:t>
            </w:r>
          </w:p>
        </w:tc>
        <w:tc>
          <w:tcPr>
            <w:tcW w:w="1352" w:type="dxa"/>
          </w:tcPr>
          <w:p w14:paraId="6F4AB07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0.10~0.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20</w:t>
            </w:r>
          </w:p>
        </w:tc>
        <w:tc>
          <w:tcPr>
            <w:tcW w:w="1085" w:type="dxa"/>
          </w:tcPr>
          <w:p w14:paraId="6B25DA9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0.20~0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.3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125" w:type="dxa"/>
          </w:tcPr>
          <w:p w14:paraId="1472EABE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.5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211" w:type="dxa"/>
            <w:vAlign w:val="top"/>
          </w:tcPr>
          <w:p w14:paraId="0EE0CF0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4.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00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5.00</w:t>
            </w:r>
          </w:p>
        </w:tc>
      </w:tr>
      <w:tr w14:paraId="39EB8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shd w:val="clear" w:color="auto" w:fill="auto"/>
            <w:vAlign w:val="top"/>
          </w:tcPr>
          <w:p w14:paraId="3DB96DE0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PAg-G0.5</w:t>
            </w:r>
          </w:p>
        </w:tc>
        <w:tc>
          <w:tcPr>
            <w:tcW w:w="1356" w:type="dxa"/>
          </w:tcPr>
          <w:p w14:paraId="1036F066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1.60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2.50</w:t>
            </w:r>
          </w:p>
        </w:tc>
        <w:tc>
          <w:tcPr>
            <w:tcW w:w="1352" w:type="dxa"/>
          </w:tcPr>
          <w:p w14:paraId="0E75F3A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.3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085" w:type="dxa"/>
          </w:tcPr>
          <w:p w14:paraId="3982CCC6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.5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125" w:type="dxa"/>
          </w:tcPr>
          <w:p w14:paraId="54113910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211" w:type="dxa"/>
            <w:vAlign w:val="top"/>
          </w:tcPr>
          <w:p w14:paraId="03893AE9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5.00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6.00</w:t>
            </w:r>
          </w:p>
        </w:tc>
      </w:tr>
      <w:tr w14:paraId="60776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7" w:type="dxa"/>
            <w:shd w:val="clear" w:color="auto" w:fill="auto"/>
            <w:vAlign w:val="top"/>
          </w:tcPr>
          <w:p w14:paraId="3CFE9E70">
            <w:pPr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PAg-G0.7</w:t>
            </w:r>
          </w:p>
        </w:tc>
        <w:tc>
          <w:tcPr>
            <w:tcW w:w="1356" w:type="dxa"/>
          </w:tcPr>
          <w:p w14:paraId="7CD6F848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1.60</w:t>
            </w:r>
          </w:p>
        </w:tc>
        <w:tc>
          <w:tcPr>
            <w:tcW w:w="1352" w:type="dxa"/>
          </w:tcPr>
          <w:p w14:paraId="537EC90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.4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085" w:type="dxa"/>
          </w:tcPr>
          <w:p w14:paraId="1738312F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.7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125" w:type="dxa"/>
          </w:tcPr>
          <w:p w14:paraId="15F4D29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0~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1.5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211" w:type="dxa"/>
            <w:vAlign w:val="top"/>
          </w:tcPr>
          <w:p w14:paraId="05A1592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6.00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~6.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50</w:t>
            </w:r>
          </w:p>
        </w:tc>
      </w:tr>
    </w:tbl>
    <w:p w14:paraId="54AED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5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3 烧损率</w:t>
      </w:r>
    </w:p>
    <w:p w14:paraId="2E441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产品的烧损率应不大于1.0%（质量分数）。</w:t>
      </w:r>
    </w:p>
    <w:p w14:paraId="5B90C00D">
      <w:pPr>
        <w:spacing w:line="360" w:lineRule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5.4水分</w:t>
      </w:r>
    </w:p>
    <w:p w14:paraId="0BFDA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产品水分含量应不大于0.10%（质量分数）。</w:t>
      </w:r>
    </w:p>
    <w:p w14:paraId="097F8A12">
      <w:pPr>
        <w:spacing w:line="360" w:lineRule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5.5微观形貌</w:t>
      </w:r>
    </w:p>
    <w:p w14:paraId="35193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通过扫描电镜观察产品的形貌应为球形或类球形。</w:t>
      </w:r>
    </w:p>
    <w:p w14:paraId="043E781D">
      <w:pPr>
        <w:spacing w:line="36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5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 xml:space="preserve"> 外观质量</w:t>
      </w:r>
    </w:p>
    <w:p w14:paraId="2B89C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产品应</w:t>
      </w:r>
      <w:r>
        <w:rPr>
          <w:rFonts w:hint="eastAsia" w:ascii="宋体" w:hAnsi="宋体" w:eastAsia="宋体" w:cs="宋体"/>
        </w:rPr>
        <w:t>色泽应均匀，无肉眼可见夹杂物。</w:t>
      </w:r>
    </w:p>
    <w:p w14:paraId="45AD8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</w:rPr>
        <w:t xml:space="preserve"> 试验方法</w:t>
      </w:r>
    </w:p>
    <w:p w14:paraId="26E32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.1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</w:rPr>
        <w:t>化学成分</w:t>
      </w:r>
    </w:p>
    <w:p w14:paraId="4FD0E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</w:rPr>
        <w:t>分析方法按GB/T 7728-2021的规定进行。</w:t>
      </w:r>
    </w:p>
    <w:p w14:paraId="4C1C7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.2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  <w:lang w:val="en-US" w:eastAsia="zh-CN"/>
        </w:rPr>
        <w:t>物理性能</w:t>
      </w:r>
    </w:p>
    <w:p w14:paraId="47AE0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6.2.1比表面积</w:t>
      </w:r>
    </w:p>
    <w:p w14:paraId="5A642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lang w:val="en-US" w:eastAsia="zh-CN"/>
        </w:rPr>
        <w:t>产品</w:t>
      </w:r>
      <w:r>
        <w:rPr>
          <w:rFonts w:hint="eastAsia" w:ascii="宋体" w:hAnsi="宋体" w:eastAsia="宋体" w:cs="宋体"/>
        </w:rPr>
        <w:t>比表面积的</w:t>
      </w:r>
      <w:r>
        <w:rPr>
          <w:rFonts w:hint="eastAsia" w:ascii="宋体" w:hAnsi="宋体" w:eastAsia="宋体" w:cs="宋体"/>
          <w:lang w:val="en-US" w:eastAsia="zh-CN"/>
        </w:rPr>
        <w:t>检测</w:t>
      </w:r>
      <w:r>
        <w:rPr>
          <w:rFonts w:hint="eastAsia" w:ascii="宋体" w:hAnsi="宋体" w:eastAsia="宋体" w:cs="宋体"/>
        </w:rPr>
        <w:t>按GB/T 1774-2009附录A的规定进行。</w:t>
      </w:r>
    </w:p>
    <w:p w14:paraId="0B971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2.2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</w:rPr>
        <w:t>粒径</w:t>
      </w:r>
    </w:p>
    <w:p w14:paraId="5594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产品粒径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lang w:val="en-US" w:eastAsia="zh-CN"/>
        </w:rPr>
        <w:t>检测</w:t>
      </w:r>
      <w:r>
        <w:rPr>
          <w:rFonts w:hint="eastAsia" w:ascii="宋体" w:hAnsi="宋体" w:eastAsia="宋体" w:cs="宋体"/>
        </w:rPr>
        <w:t>按GB/T 19077</w:t>
      </w:r>
      <w:r>
        <w:rPr>
          <w:rFonts w:hint="eastAsia" w:ascii="宋体" w:hAnsi="宋体" w:eastAsia="宋体" w:cs="宋体"/>
          <w:highlight w:val="none"/>
          <w:lang w:val="en-US" w:eastAsia="zh-CN"/>
        </w:rPr>
        <w:t>-2024</w:t>
      </w:r>
      <w:r>
        <w:rPr>
          <w:rFonts w:hint="eastAsia" w:ascii="宋体" w:hAnsi="宋体" w:eastAsia="宋体" w:cs="宋体"/>
        </w:rPr>
        <w:t>的规定进行。</w:t>
      </w:r>
    </w:p>
    <w:p w14:paraId="1D3C1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2.3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</w:rPr>
        <w:t>振实密度</w:t>
      </w:r>
    </w:p>
    <w:p w14:paraId="38831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产品振实密度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lang w:val="en-US" w:eastAsia="zh-CN"/>
        </w:rPr>
        <w:t>检测</w:t>
      </w:r>
      <w:r>
        <w:rPr>
          <w:rFonts w:hint="eastAsia" w:ascii="宋体" w:hAnsi="宋体" w:eastAsia="宋体" w:cs="宋体"/>
        </w:rPr>
        <w:t>按GB/T 5162</w:t>
      </w:r>
      <w:r>
        <w:rPr>
          <w:rFonts w:hint="eastAsia" w:ascii="宋体" w:hAnsi="宋体" w:eastAsia="宋体" w:cs="宋体"/>
          <w:highlight w:val="none"/>
          <w:lang w:val="en-US" w:eastAsia="zh-CN"/>
        </w:rPr>
        <w:t>-2021</w:t>
      </w:r>
      <w:r>
        <w:rPr>
          <w:rFonts w:hint="eastAsia" w:ascii="宋体" w:hAnsi="宋体" w:eastAsia="宋体" w:cs="宋体"/>
        </w:rPr>
        <w:t>的规定进行。</w:t>
      </w:r>
    </w:p>
    <w:p w14:paraId="2583D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3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</w:rPr>
        <w:t>烧损率</w:t>
      </w:r>
    </w:p>
    <w:p w14:paraId="04F59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产品烧损率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lang w:val="en-US" w:eastAsia="zh-CN"/>
        </w:rPr>
        <w:t>检测</w:t>
      </w:r>
      <w:r>
        <w:rPr>
          <w:rFonts w:hint="eastAsia" w:ascii="宋体" w:hAnsi="宋体" w:eastAsia="宋体" w:cs="宋体"/>
        </w:rPr>
        <w:t>按GB/T 1773-20</w:t>
      </w:r>
      <w:r>
        <w:rPr>
          <w:rFonts w:hint="eastAsia" w:ascii="宋体" w:hAnsi="宋体" w:eastAsia="宋体" w:cs="宋体"/>
          <w:lang w:val="en-US" w:eastAsia="zh-CN"/>
        </w:rPr>
        <w:t>25</w:t>
      </w:r>
      <w:r>
        <w:rPr>
          <w:rFonts w:hint="eastAsia" w:ascii="宋体" w:hAnsi="宋体" w:eastAsia="宋体" w:cs="宋体"/>
        </w:rPr>
        <w:t>的规定进行。</w:t>
      </w:r>
    </w:p>
    <w:p w14:paraId="1E94A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 w:eastAsiaTheme="minorEastAsia"/>
          <w:lang w:eastAsia="zh-CN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4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  <w:lang w:val="en-US" w:eastAsia="zh-CN"/>
        </w:rPr>
        <w:t>水分</w:t>
      </w:r>
    </w:p>
    <w:p w14:paraId="77D8D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产品烧损率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lang w:val="en-US" w:eastAsia="zh-CN"/>
        </w:rPr>
        <w:t>检测</w:t>
      </w:r>
      <w:r>
        <w:rPr>
          <w:rFonts w:hint="eastAsia" w:ascii="宋体" w:hAnsi="宋体" w:eastAsia="宋体" w:cs="宋体"/>
        </w:rPr>
        <w:t>按GB/T 1773-20</w:t>
      </w:r>
      <w:r>
        <w:rPr>
          <w:rFonts w:hint="eastAsia" w:ascii="宋体" w:hAnsi="宋体" w:eastAsia="宋体" w:cs="宋体"/>
          <w:lang w:val="en-US" w:eastAsia="zh-CN"/>
        </w:rPr>
        <w:t>25</w:t>
      </w:r>
      <w:r>
        <w:rPr>
          <w:rFonts w:hint="eastAsia" w:ascii="宋体" w:hAnsi="宋体" w:eastAsia="宋体" w:cs="宋体"/>
        </w:rPr>
        <w:t>的规定进行。</w:t>
      </w:r>
    </w:p>
    <w:p w14:paraId="3D9A4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5 微观形貌</w:t>
      </w:r>
      <w:r>
        <w:rPr>
          <w:rFonts w:hint="eastAsia"/>
        </w:rPr>
        <w:t xml:space="preserve"> </w:t>
      </w:r>
    </w:p>
    <w:p w14:paraId="6DD7A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lang w:val="en-US" w:eastAsia="zh-CN"/>
        </w:rPr>
        <w:t>产品微观形貌</w:t>
      </w:r>
      <w:r>
        <w:rPr>
          <w:rFonts w:hint="eastAsia" w:ascii="宋体" w:hAnsi="宋体" w:eastAsia="宋体" w:cs="宋体"/>
        </w:rPr>
        <w:t>用扫描电镜进行观察。</w:t>
      </w:r>
    </w:p>
    <w:p w14:paraId="0E53B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.</w:t>
      </w: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 xml:space="preserve"> </w:t>
      </w:r>
      <w:r>
        <w:rPr>
          <w:rFonts w:hint="eastAsia" w:ascii="黑体" w:hAnsi="黑体" w:eastAsia="黑体" w:cs="黑体"/>
          <w:lang w:val="en-US" w:eastAsia="zh-CN"/>
        </w:rPr>
        <w:t>外观质量</w:t>
      </w:r>
    </w:p>
    <w:p w14:paraId="0CA29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lang w:val="en-US" w:eastAsia="zh-CN"/>
        </w:rPr>
        <w:t>产品</w:t>
      </w:r>
      <w:r>
        <w:rPr>
          <w:rFonts w:hint="eastAsia" w:ascii="宋体" w:hAnsi="宋体" w:eastAsia="宋体" w:cs="宋体"/>
        </w:rPr>
        <w:t>外观采用目视进行检查。</w:t>
      </w:r>
    </w:p>
    <w:p w14:paraId="1E311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</w:rPr>
        <w:t xml:space="preserve"> 检验规则</w:t>
      </w:r>
    </w:p>
    <w:p w14:paraId="6D176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</w:rPr>
        <w:t>.1 检查和验收</w:t>
      </w:r>
    </w:p>
    <w:p w14:paraId="2D89C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lang w:val="en-US" w:eastAsia="zh-CN"/>
        </w:rPr>
        <w:t>7</w:t>
      </w:r>
      <w:r>
        <w:rPr>
          <w:rFonts w:hint="eastAsia" w:ascii="黑体" w:hAnsi="黑体" w:eastAsia="黑体" w:cs="黑体"/>
        </w:rPr>
        <w:t>.1.1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</w:rPr>
        <w:t>产品应由供方</w:t>
      </w:r>
      <w:r>
        <w:rPr>
          <w:rFonts w:hint="eastAsia" w:ascii="宋体" w:hAnsi="宋体" w:eastAsia="宋体" w:cs="宋体"/>
          <w:lang w:val="en-US" w:eastAsia="zh-CN"/>
        </w:rPr>
        <w:t>或第三方</w:t>
      </w:r>
      <w:r>
        <w:rPr>
          <w:rFonts w:hint="eastAsia" w:ascii="宋体" w:hAnsi="宋体" w:eastAsia="宋体" w:cs="宋体"/>
        </w:rPr>
        <w:t>进行检验，保证产品质量符合本</w:t>
      </w:r>
      <w:r>
        <w:rPr>
          <w:rFonts w:hint="eastAsia" w:ascii="宋体" w:hAnsi="宋体" w:eastAsia="宋体" w:cs="宋体"/>
          <w:lang w:val="en-US" w:eastAsia="zh-CN"/>
        </w:rPr>
        <w:t>文件及</w:t>
      </w:r>
      <w:r>
        <w:rPr>
          <w:rFonts w:hint="eastAsia" w:ascii="宋体" w:hAnsi="宋体" w:eastAsia="宋体" w:cs="宋体"/>
        </w:rPr>
        <w:t>订货</w:t>
      </w:r>
      <w:r>
        <w:rPr>
          <w:rFonts w:hint="eastAsia" w:ascii="宋体" w:hAnsi="宋体" w:eastAsia="宋体" w:cs="宋体"/>
          <w:lang w:val="en-US" w:eastAsia="zh-CN"/>
        </w:rPr>
        <w:t>单</w:t>
      </w:r>
      <w:r>
        <w:rPr>
          <w:rFonts w:hint="eastAsia" w:ascii="宋体" w:hAnsi="宋体" w:eastAsia="宋体" w:cs="宋体"/>
        </w:rPr>
        <w:t>的规定。</w:t>
      </w:r>
    </w:p>
    <w:p w14:paraId="14A45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黑体"/>
          <w:lang w:val="en-US" w:eastAsia="zh-CN"/>
        </w:rPr>
        <w:t>7</w:t>
      </w:r>
      <w:r>
        <w:rPr>
          <w:rFonts w:hint="eastAsia" w:ascii="黑体" w:hAnsi="黑体" w:eastAsia="黑体" w:cs="黑体"/>
        </w:rPr>
        <w:t>.1.2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</w:rPr>
        <w:t>需方应对收到的产品按本标准的规定进行复验。 复验结果与本</w:t>
      </w:r>
      <w:r>
        <w:rPr>
          <w:rFonts w:hint="eastAsia" w:ascii="宋体" w:hAnsi="宋体" w:eastAsia="宋体" w:cs="宋体"/>
          <w:lang w:val="en-US" w:eastAsia="zh-CN"/>
        </w:rPr>
        <w:t>文件及</w:t>
      </w:r>
      <w:r>
        <w:rPr>
          <w:rFonts w:hint="eastAsia" w:ascii="宋体" w:hAnsi="宋体" w:eastAsia="宋体" w:cs="宋体"/>
        </w:rPr>
        <w:t>订货</w:t>
      </w:r>
      <w:r>
        <w:rPr>
          <w:rFonts w:hint="eastAsia" w:ascii="宋体" w:hAnsi="宋体" w:eastAsia="宋体" w:cs="宋体"/>
          <w:lang w:val="en-US" w:eastAsia="zh-CN"/>
        </w:rPr>
        <w:t>单</w:t>
      </w:r>
      <w:r>
        <w:rPr>
          <w:rFonts w:hint="eastAsia" w:ascii="宋体" w:hAnsi="宋体" w:eastAsia="宋体" w:cs="宋体"/>
        </w:rPr>
        <w:t>的规定不符时，应</w:t>
      </w:r>
      <w:r>
        <w:rPr>
          <w:rFonts w:hint="eastAsia" w:ascii="宋体" w:hAnsi="宋体" w:eastAsia="宋体" w:cs="宋体"/>
          <w:lang w:val="en-US" w:eastAsia="zh-CN"/>
        </w:rPr>
        <w:t>以书面形式向供方提出，</w:t>
      </w:r>
      <w:r>
        <w:rPr>
          <w:rFonts w:hint="eastAsia" w:ascii="宋体" w:hAnsi="宋体" w:eastAsia="宋体" w:cs="宋体"/>
        </w:rPr>
        <w:t>由供需双方协商解决。</w:t>
      </w:r>
      <w:r>
        <w:rPr>
          <w:rFonts w:hint="eastAsia" w:ascii="宋体" w:hAnsi="宋体" w:eastAsia="宋体" w:cs="宋体"/>
          <w:lang w:val="en-US" w:eastAsia="zh-CN"/>
        </w:rPr>
        <w:t>属于外观质量的异议，应在收到产品之日起3日内提出；其他性能的异议，应在收到产品之日起30日内提出。</w:t>
      </w:r>
      <w:r>
        <w:rPr>
          <w:rFonts w:hint="eastAsia" w:ascii="宋体" w:hAnsi="宋体" w:eastAsia="宋体" w:cs="宋体"/>
        </w:rPr>
        <w:t>如需仲裁，</w:t>
      </w:r>
      <w:r>
        <w:rPr>
          <w:rFonts w:hint="eastAsia" w:ascii="宋体" w:hAnsi="宋体" w:eastAsia="宋体" w:cs="宋体"/>
          <w:lang w:val="en-US" w:eastAsia="zh-CN"/>
        </w:rPr>
        <w:t>应由供需双方在需方共同取样或协商确定</w:t>
      </w:r>
      <w:r>
        <w:rPr>
          <w:rFonts w:hint="eastAsia" w:ascii="宋体" w:hAnsi="宋体" w:eastAsia="宋体" w:cs="宋体"/>
        </w:rPr>
        <w:t>。</w:t>
      </w:r>
    </w:p>
    <w:p w14:paraId="5A13E8AF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</w:rPr>
        <w:t>.2 组批</w:t>
      </w:r>
    </w:p>
    <w:p w14:paraId="64672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产品应成批提交检验。</w:t>
      </w:r>
      <w:r>
        <w:rPr>
          <w:rFonts w:hint="eastAsia" w:ascii="宋体" w:hAnsi="宋体" w:eastAsia="宋体" w:cs="宋体"/>
          <w:lang w:val="en-US" w:eastAsia="zh-CN"/>
        </w:rPr>
        <w:t>每批应由同一原料在同一条件下生产出的产品组成。</w:t>
      </w:r>
    </w:p>
    <w:p w14:paraId="49A0AC5A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</w:rPr>
        <w:t>.3 检验项目</w:t>
      </w:r>
    </w:p>
    <w:p w14:paraId="16457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每批粉料应进行粒度分布、振实密度、比表面积、烧损率</w:t>
      </w:r>
      <w:r>
        <w:rPr>
          <w:rFonts w:hint="eastAsia" w:ascii="宋体" w:hAnsi="宋体" w:eastAsia="宋体" w:cs="宋体"/>
          <w:lang w:eastAsia="zh-CN"/>
        </w:rPr>
        <w:t>、</w:t>
      </w:r>
      <w:r>
        <w:rPr>
          <w:rFonts w:hint="eastAsia" w:ascii="宋体" w:hAnsi="宋体" w:eastAsia="宋体" w:cs="宋体"/>
          <w:lang w:val="en-US" w:eastAsia="zh-CN"/>
        </w:rPr>
        <w:t>水分、微观形貌及</w:t>
      </w:r>
      <w:r>
        <w:rPr>
          <w:rFonts w:hint="eastAsia" w:ascii="宋体" w:hAnsi="宋体" w:eastAsia="宋体" w:cs="宋体"/>
        </w:rPr>
        <w:t>外观质量的检验。化学成分</w:t>
      </w:r>
      <w:r>
        <w:rPr>
          <w:rFonts w:hint="eastAsia" w:ascii="宋体" w:hAnsi="宋体" w:eastAsia="宋体" w:cs="宋体"/>
          <w:lang w:val="en-US" w:eastAsia="zh-CN"/>
        </w:rPr>
        <w:t>在</w:t>
      </w:r>
      <w:r>
        <w:rPr>
          <w:rFonts w:hint="eastAsia" w:ascii="宋体" w:hAnsi="宋体" w:eastAsia="宋体" w:cs="宋体"/>
        </w:rPr>
        <w:t>需方有要求并在订货合同中注明时进行检验。</w:t>
      </w:r>
    </w:p>
    <w:p w14:paraId="636E9902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</w:rPr>
        <w:t>.4 取样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规定</w:t>
      </w:r>
    </w:p>
    <w:p w14:paraId="198F3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产品的取样应符合表3的规定。</w:t>
      </w:r>
    </w:p>
    <w:p w14:paraId="05C8C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center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表3 取样</w:t>
      </w:r>
    </w:p>
    <w:tbl>
      <w:tblPr>
        <w:tblStyle w:val="6"/>
        <w:tblW w:w="8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581"/>
        <w:gridCol w:w="1599"/>
        <w:gridCol w:w="2203"/>
        <w:gridCol w:w="2141"/>
      </w:tblGrid>
      <w:tr w14:paraId="575E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</w:tcPr>
          <w:p w14:paraId="24F0BB0B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检验项目</w:t>
            </w:r>
          </w:p>
        </w:tc>
        <w:tc>
          <w:tcPr>
            <w:tcW w:w="1581" w:type="dxa"/>
          </w:tcPr>
          <w:p w14:paraId="47ACCFCC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取样规定</w:t>
            </w:r>
          </w:p>
        </w:tc>
        <w:tc>
          <w:tcPr>
            <w:tcW w:w="1599" w:type="dxa"/>
          </w:tcPr>
          <w:p w14:paraId="1851E94B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取样数量</w:t>
            </w:r>
          </w:p>
        </w:tc>
        <w:tc>
          <w:tcPr>
            <w:tcW w:w="2203" w:type="dxa"/>
          </w:tcPr>
          <w:p w14:paraId="13D8B6AF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技术要求的章条号</w:t>
            </w:r>
          </w:p>
        </w:tc>
        <w:tc>
          <w:tcPr>
            <w:tcW w:w="2141" w:type="dxa"/>
          </w:tcPr>
          <w:p w14:paraId="2EA7AB56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试验方法的章条号</w:t>
            </w:r>
          </w:p>
        </w:tc>
      </w:tr>
      <w:tr w14:paraId="0CD05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88" w:type="dxa"/>
          </w:tcPr>
          <w:p w14:paraId="6CB57C50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化学成分</w:t>
            </w:r>
          </w:p>
        </w:tc>
        <w:tc>
          <w:tcPr>
            <w:tcW w:w="1581" w:type="dxa"/>
            <w:vMerge w:val="restart"/>
          </w:tcPr>
          <w:p w14:paraId="09E49B4C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按GB/T5314-2011的规定进行</w:t>
            </w:r>
          </w:p>
        </w:tc>
        <w:tc>
          <w:tcPr>
            <w:tcW w:w="1599" w:type="dxa"/>
          </w:tcPr>
          <w:p w14:paraId="70E44AD1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每批任取1份</w:t>
            </w:r>
          </w:p>
        </w:tc>
        <w:tc>
          <w:tcPr>
            <w:tcW w:w="2203" w:type="dxa"/>
          </w:tcPr>
          <w:p w14:paraId="61E46251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5.1</w:t>
            </w:r>
          </w:p>
        </w:tc>
        <w:tc>
          <w:tcPr>
            <w:tcW w:w="2141" w:type="dxa"/>
          </w:tcPr>
          <w:p w14:paraId="2582613D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6.1</w:t>
            </w:r>
          </w:p>
        </w:tc>
      </w:tr>
      <w:tr w14:paraId="3DB3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</w:tcPr>
          <w:p w14:paraId="6C13FC71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物理性能</w:t>
            </w:r>
          </w:p>
        </w:tc>
        <w:tc>
          <w:tcPr>
            <w:tcW w:w="1581" w:type="dxa"/>
            <w:vMerge w:val="continue"/>
          </w:tcPr>
          <w:p w14:paraId="2696E1F2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599" w:type="dxa"/>
          </w:tcPr>
          <w:p w14:paraId="610FF9FF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每批任取1份</w:t>
            </w:r>
          </w:p>
        </w:tc>
        <w:tc>
          <w:tcPr>
            <w:tcW w:w="2203" w:type="dxa"/>
          </w:tcPr>
          <w:p w14:paraId="2C2102B8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5.2</w:t>
            </w:r>
          </w:p>
        </w:tc>
        <w:tc>
          <w:tcPr>
            <w:tcW w:w="2141" w:type="dxa"/>
          </w:tcPr>
          <w:p w14:paraId="27DCCFB2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6.2</w:t>
            </w:r>
          </w:p>
        </w:tc>
      </w:tr>
      <w:tr w14:paraId="4D99D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</w:tcPr>
          <w:p w14:paraId="4A160098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烧损率</w:t>
            </w:r>
          </w:p>
        </w:tc>
        <w:tc>
          <w:tcPr>
            <w:tcW w:w="1581" w:type="dxa"/>
            <w:vMerge w:val="continue"/>
          </w:tcPr>
          <w:p w14:paraId="06685C11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599" w:type="dxa"/>
          </w:tcPr>
          <w:p w14:paraId="31F1F6B2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每批任取1份</w:t>
            </w:r>
          </w:p>
        </w:tc>
        <w:tc>
          <w:tcPr>
            <w:tcW w:w="2203" w:type="dxa"/>
          </w:tcPr>
          <w:p w14:paraId="5A379C3D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5.3</w:t>
            </w:r>
          </w:p>
        </w:tc>
        <w:tc>
          <w:tcPr>
            <w:tcW w:w="2141" w:type="dxa"/>
          </w:tcPr>
          <w:p w14:paraId="5448790A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6.3</w:t>
            </w:r>
          </w:p>
        </w:tc>
      </w:tr>
      <w:tr w14:paraId="31A6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</w:tcPr>
          <w:p w14:paraId="27BEF302">
            <w:pPr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水分</w:t>
            </w:r>
          </w:p>
        </w:tc>
        <w:tc>
          <w:tcPr>
            <w:tcW w:w="1581" w:type="dxa"/>
            <w:vMerge w:val="continue"/>
          </w:tcPr>
          <w:p w14:paraId="4167D0BA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599" w:type="dxa"/>
          </w:tcPr>
          <w:p w14:paraId="646F264D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每批任取1份</w:t>
            </w:r>
          </w:p>
        </w:tc>
        <w:tc>
          <w:tcPr>
            <w:tcW w:w="2203" w:type="dxa"/>
          </w:tcPr>
          <w:p w14:paraId="4589C96B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5.4</w:t>
            </w:r>
          </w:p>
        </w:tc>
        <w:tc>
          <w:tcPr>
            <w:tcW w:w="2141" w:type="dxa"/>
          </w:tcPr>
          <w:p w14:paraId="66989917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6.4</w:t>
            </w:r>
          </w:p>
        </w:tc>
      </w:tr>
      <w:tr w14:paraId="7ABCE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</w:tcPr>
          <w:p w14:paraId="7E5582D6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微观形貌</w:t>
            </w:r>
          </w:p>
        </w:tc>
        <w:tc>
          <w:tcPr>
            <w:tcW w:w="1581" w:type="dxa"/>
            <w:vMerge w:val="continue"/>
          </w:tcPr>
          <w:p w14:paraId="3D52B925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  <w:tc>
          <w:tcPr>
            <w:tcW w:w="1599" w:type="dxa"/>
          </w:tcPr>
          <w:p w14:paraId="0125F331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每批任取1份</w:t>
            </w:r>
          </w:p>
        </w:tc>
        <w:tc>
          <w:tcPr>
            <w:tcW w:w="2203" w:type="dxa"/>
          </w:tcPr>
          <w:p w14:paraId="6C14ED0C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5.5</w:t>
            </w:r>
          </w:p>
        </w:tc>
        <w:tc>
          <w:tcPr>
            <w:tcW w:w="2141" w:type="dxa"/>
          </w:tcPr>
          <w:p w14:paraId="1DA38EDE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6.5</w:t>
            </w:r>
          </w:p>
        </w:tc>
      </w:tr>
      <w:tr w14:paraId="6002A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8" w:type="dxa"/>
          </w:tcPr>
          <w:p w14:paraId="350AD9FC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外观质量</w:t>
            </w:r>
          </w:p>
        </w:tc>
        <w:tc>
          <w:tcPr>
            <w:tcW w:w="1581" w:type="dxa"/>
          </w:tcPr>
          <w:p w14:paraId="0278D87A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逐件</w:t>
            </w:r>
          </w:p>
        </w:tc>
        <w:tc>
          <w:tcPr>
            <w:tcW w:w="1599" w:type="dxa"/>
          </w:tcPr>
          <w:p w14:paraId="6B008BE2">
            <w:pPr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逐件</w:t>
            </w:r>
          </w:p>
        </w:tc>
        <w:tc>
          <w:tcPr>
            <w:tcW w:w="2203" w:type="dxa"/>
          </w:tcPr>
          <w:p w14:paraId="0062AB5C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5.6</w:t>
            </w:r>
          </w:p>
        </w:tc>
        <w:tc>
          <w:tcPr>
            <w:tcW w:w="2141" w:type="dxa"/>
          </w:tcPr>
          <w:p w14:paraId="0C1925C0">
            <w:pPr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6.6</w:t>
            </w:r>
          </w:p>
        </w:tc>
      </w:tr>
    </w:tbl>
    <w:p w14:paraId="42445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</w:rPr>
        <w:t>.5 检验结果的判定</w:t>
      </w:r>
    </w:p>
    <w:p w14:paraId="5393F97C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黑体"/>
          <w:lang w:val="en-US" w:eastAsia="zh-CN"/>
        </w:rPr>
        <w:t>7</w:t>
      </w:r>
      <w:r>
        <w:rPr>
          <w:rFonts w:hint="eastAsia" w:ascii="黑体" w:hAnsi="黑体" w:eastAsia="黑体" w:cs="黑体"/>
        </w:rPr>
        <w:t>.5.1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</w:rPr>
        <w:t>化学成分、外观质量检验结果不合格时，判该批产品不合格。</w:t>
      </w:r>
    </w:p>
    <w:p w14:paraId="78270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lang w:val="en-US" w:eastAsia="zh-CN"/>
        </w:rPr>
        <w:t>7</w:t>
      </w:r>
      <w:r>
        <w:rPr>
          <w:rFonts w:hint="eastAsia" w:ascii="黑体" w:hAnsi="黑体" w:eastAsia="黑体" w:cs="黑体"/>
        </w:rPr>
        <w:t>.5.2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宋体"/>
          <w:lang w:val="en-US" w:eastAsia="zh-CN"/>
        </w:rPr>
        <w:t>物理性能、烧损及水分</w:t>
      </w:r>
      <w:r>
        <w:rPr>
          <w:rFonts w:hint="eastAsia" w:ascii="宋体" w:hAnsi="宋体" w:eastAsia="宋体" w:cs="宋体"/>
        </w:rPr>
        <w:t>检验结果不合格时，可另取双倍数量的试样进行不合格项目的重复试验，若检验结果仍不合格，则该批产品为不合格。</w:t>
      </w:r>
    </w:p>
    <w:p w14:paraId="58B1A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</w:rPr>
        <w:t xml:space="preserve"> 标志、包装、运输、贮存</w:t>
      </w:r>
    </w:p>
    <w:p w14:paraId="31FC5929">
      <w:pPr>
        <w:spacing w:line="360" w:lineRule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</w:rPr>
        <w:t>.1 标志</w:t>
      </w:r>
    </w:p>
    <w:p w14:paraId="38F54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在检验合格的产品上应贴上标签，标签上注明：</w:t>
      </w:r>
    </w:p>
    <w:p w14:paraId="7F53344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供方名称</w:t>
      </w:r>
    </w:p>
    <w:p w14:paraId="340AC27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产品名称；</w:t>
      </w:r>
    </w:p>
    <w:p w14:paraId="282C4D0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产品牌号</w:t>
      </w:r>
      <w:r>
        <w:rPr>
          <w:rFonts w:hint="eastAsia" w:ascii="宋体" w:hAnsi="宋体" w:eastAsia="宋体" w:cs="宋体"/>
          <w:lang w:eastAsia="zh-CN"/>
        </w:rPr>
        <w:t>；</w:t>
      </w:r>
    </w:p>
    <w:p w14:paraId="1BD2C86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产品</w:t>
      </w:r>
      <w:r>
        <w:rPr>
          <w:rFonts w:hint="eastAsia" w:ascii="宋体" w:hAnsi="宋体" w:eastAsia="宋体" w:cs="宋体"/>
        </w:rPr>
        <w:t>批号；</w:t>
      </w:r>
    </w:p>
    <w:p w14:paraId="005F500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val="en-US" w:eastAsia="zh-CN"/>
        </w:rPr>
        <w:t>产品</w:t>
      </w:r>
      <w:r>
        <w:rPr>
          <w:rFonts w:hint="eastAsia" w:ascii="宋体" w:hAnsi="宋体" w:eastAsia="宋体" w:cs="宋体"/>
        </w:rPr>
        <w:t>净重</w:t>
      </w:r>
      <w:r>
        <w:rPr>
          <w:rFonts w:hint="eastAsia" w:ascii="宋体" w:hAnsi="宋体" w:eastAsia="宋体" w:cs="宋体"/>
          <w:lang w:eastAsia="zh-CN"/>
        </w:rPr>
        <w:t>；</w:t>
      </w:r>
    </w:p>
    <w:p w14:paraId="2DE7146E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瓶重；</w:t>
      </w:r>
    </w:p>
    <w:p w14:paraId="0C123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lang w:val="en-US" w:eastAsia="zh-CN"/>
        </w:rPr>
        <w:t>f</w:t>
      </w:r>
      <w:r>
        <w:rPr>
          <w:rFonts w:hint="eastAsia" w:ascii="宋体" w:hAnsi="宋体" w:eastAsia="宋体" w:cs="宋体"/>
        </w:rPr>
        <w:t>） 生产日期。</w:t>
      </w:r>
    </w:p>
    <w:p w14:paraId="6CACF362">
      <w:pPr>
        <w:spacing w:line="360" w:lineRule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</w:rPr>
        <w:t>.2 包装、运输和贮存</w:t>
      </w:r>
    </w:p>
    <w:p w14:paraId="4201E0C6">
      <w:pPr>
        <w:spacing w:line="36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8</w:t>
      </w:r>
      <w:r>
        <w:rPr>
          <w:rFonts w:hint="eastAsia" w:ascii="黑体" w:hAnsi="黑体" w:eastAsia="黑体" w:cs="黑体"/>
        </w:rPr>
        <w:t>.2.1 包装</w:t>
      </w:r>
    </w:p>
    <w:p w14:paraId="216CA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检验合格的产品用带密封盖的塑料瓶分装，包装规格为： 100g／瓶、500g／瓶、1000g／瓶、1000g／瓶、5000g／瓶、10000g/瓶，瓶口加密封带，装入结实牢固的包装箱中，包装瓶四周填充安全物质。如需方有特殊要求,供需双方可另行协商使用其他包装规格和包装材料。</w:t>
      </w:r>
    </w:p>
    <w:p w14:paraId="61744BE6">
      <w:pPr>
        <w:spacing w:line="36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8</w:t>
      </w:r>
      <w:r>
        <w:rPr>
          <w:rFonts w:hint="eastAsia" w:ascii="黑体" w:hAnsi="黑体" w:eastAsia="黑体" w:cs="黑体"/>
        </w:rPr>
        <w:t>.2.2 运输</w:t>
      </w:r>
    </w:p>
    <w:p w14:paraId="4590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运输应避免污染和机械破损。</w:t>
      </w:r>
    </w:p>
    <w:p w14:paraId="59A0BA97">
      <w:pPr>
        <w:spacing w:line="36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8</w:t>
      </w:r>
      <w:r>
        <w:rPr>
          <w:rFonts w:hint="eastAsia" w:ascii="黑体" w:hAnsi="黑体" w:eastAsia="黑体" w:cs="黑体"/>
        </w:rPr>
        <w:t>.2.3 贮存</w:t>
      </w:r>
    </w:p>
    <w:p w14:paraId="10291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</w:rPr>
        <w:t>产品应密封存放于清洁、干燥、无腐蚀性气氛的场所。</w:t>
      </w:r>
    </w:p>
    <w:p w14:paraId="0B572712">
      <w:pPr>
        <w:spacing w:line="360" w:lineRule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8</w:t>
      </w:r>
      <w:r>
        <w:rPr>
          <w:rFonts w:hint="eastAsia" w:ascii="黑体" w:hAnsi="黑体" w:eastAsia="黑体" w:cs="黑体"/>
          <w:b w:val="0"/>
          <w:bCs w:val="0"/>
        </w:rPr>
        <w:t>.3 质量证明书</w:t>
      </w:r>
    </w:p>
    <w:p w14:paraId="29829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每批产品应附有质量证明书，注明：</w:t>
      </w:r>
    </w:p>
    <w:p w14:paraId="10E83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a） 供方名称、地址、电话、传真；</w:t>
      </w:r>
    </w:p>
    <w:p w14:paraId="37EAA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b） 产品名称；</w:t>
      </w:r>
    </w:p>
    <w:p w14:paraId="3FA25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c） 产品牌号；</w:t>
      </w:r>
    </w:p>
    <w:p w14:paraId="531DB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d） 产品批号；</w:t>
      </w:r>
    </w:p>
    <w:p w14:paraId="36DAC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e） 产品净重；</w:t>
      </w:r>
    </w:p>
    <w:p w14:paraId="02BF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f） 各项检验结果和检验部门印记；</w:t>
      </w:r>
    </w:p>
    <w:p w14:paraId="0ED93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g</w:t>
      </w:r>
      <w:r>
        <w:rPr>
          <w:rFonts w:hint="eastAsia" w:ascii="宋体" w:hAnsi="宋体" w:eastAsia="宋体" w:cs="宋体"/>
        </w:rPr>
        <w:t>） 本标准编号；</w:t>
      </w:r>
    </w:p>
    <w:p w14:paraId="4C9CA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firstLine="420" w:firstLineChars="200"/>
        <w:textAlignment w:val="auto"/>
        <w:rPr>
          <w:rFonts w:hint="eastAsia"/>
        </w:rPr>
      </w:pPr>
      <w:r>
        <w:rPr>
          <w:rFonts w:hint="eastAsia" w:ascii="宋体" w:hAnsi="宋体" w:eastAsia="宋体" w:cs="宋体"/>
        </w:rPr>
        <w:t>h） 出厂日期。</w:t>
      </w:r>
    </w:p>
    <w:p w14:paraId="186B6A5B">
      <w:pPr>
        <w:spacing w:line="360" w:lineRule="auto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9</w:t>
      </w:r>
      <w:r>
        <w:rPr>
          <w:rFonts w:hint="eastAsia" w:ascii="黑体" w:hAnsi="黑体" w:eastAsia="黑体" w:cs="黑体"/>
          <w:b w:val="0"/>
          <w:bCs w:val="0"/>
        </w:rPr>
        <w:t xml:space="preserve"> 订货单（或合同）内容</w:t>
      </w:r>
    </w:p>
    <w:p w14:paraId="6BDBE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本标准所列产品的订货单（或合同）内应包括下列内容：</w:t>
      </w:r>
    </w:p>
    <w:p w14:paraId="6E7BB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a） 产品名称；</w:t>
      </w:r>
    </w:p>
    <w:p w14:paraId="1AEF0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b） 产品牌号；</w:t>
      </w:r>
    </w:p>
    <w:p w14:paraId="5FF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c） 产品重量；</w:t>
      </w:r>
    </w:p>
    <w:p w14:paraId="44D4A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d） 包装规格；</w:t>
      </w:r>
    </w:p>
    <w:p w14:paraId="2C2D8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e） 交货日期；</w:t>
      </w:r>
    </w:p>
    <w:p w14:paraId="79F92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f） 运输方式；</w:t>
      </w:r>
    </w:p>
    <w:p w14:paraId="2CF27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g</w:t>
      </w:r>
      <w:r>
        <w:rPr>
          <w:rFonts w:hint="eastAsia" w:ascii="宋体" w:hAnsi="宋体" w:eastAsia="宋体" w:cs="宋体"/>
        </w:rPr>
        <w:t>） 本标准编号；</w:t>
      </w:r>
    </w:p>
    <w:p w14:paraId="6191C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h） 其他。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4E78E">
    <w:pPr>
      <w:pStyle w:val="26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AD54C">
    <w:pPr>
      <w:pStyle w:val="23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A2D34">
    <w:pPr>
      <w:pStyle w:val="20"/>
    </w:pPr>
    <w:r>
      <w:t>YS ××××—××××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C7464">
    <w:pPr>
      <w:pStyle w:val="19"/>
    </w:pPr>
    <w:r>
      <w:t>YS ××××—××××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8FE81">
    <w:pPr>
      <w:pStyle w:val="16"/>
    </w:pP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685646"/>
    <w:multiLevelType w:val="singleLevel"/>
    <w:tmpl w:val="EA685646"/>
    <w:lvl w:ilvl="0" w:tentative="0">
      <w:start w:val="16"/>
      <w:numFmt w:val="upperLetter"/>
      <w:suff w:val="nothing"/>
      <w:lvlText w:val="%1-"/>
      <w:lvlJc w:val="left"/>
    </w:lvl>
  </w:abstractNum>
  <w:abstractNum w:abstractNumId="1">
    <w:nsid w:val="FB23637A"/>
    <w:multiLevelType w:val="singleLevel"/>
    <w:tmpl w:val="FB23637A"/>
    <w:lvl w:ilvl="0" w:tentative="0">
      <w:start w:val="1"/>
      <w:numFmt w:val="lowerLetter"/>
      <w:suff w:val="space"/>
      <w:lvlText w:val="%1）"/>
      <w:lvlJc w:val="left"/>
    </w:lvl>
  </w:abstractNum>
  <w:abstractNum w:abstractNumId="2">
    <w:nsid w:val="0678587E"/>
    <w:multiLevelType w:val="multilevel"/>
    <w:tmpl w:val="0678587E"/>
    <w:lvl w:ilvl="0" w:tentative="0">
      <w:start w:val="1"/>
      <w:numFmt w:val="decimal"/>
      <w:pStyle w:val="2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>
    <w:nsid w:val="1331A63B"/>
    <w:multiLevelType w:val="singleLevel"/>
    <w:tmpl w:val="1331A63B"/>
    <w:lvl w:ilvl="0" w:tentative="0">
      <w:start w:val="1"/>
      <w:numFmt w:val="lowerLetter"/>
      <w:suff w:val="nothing"/>
      <w:lvlText w:val="%1-"/>
      <w:lvlJc w:val="left"/>
    </w:lvl>
  </w:abstractNum>
  <w:abstractNum w:abstractNumId="4">
    <w:nsid w:val="29A67CC9"/>
    <w:multiLevelType w:val="singleLevel"/>
    <w:tmpl w:val="29A67CC9"/>
    <w:lvl w:ilvl="0" w:tentative="0">
      <w:start w:val="7"/>
      <w:numFmt w:val="upperLetter"/>
      <w:suff w:val="nothing"/>
      <w:lvlText w:val="%1-"/>
      <w:lvlJc w:val="left"/>
    </w:lvl>
  </w:abstractNum>
  <w:abstractNum w:abstractNumId="5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21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8C"/>
    <w:rsid w:val="00007F02"/>
    <w:rsid w:val="00032A9C"/>
    <w:rsid w:val="000437C7"/>
    <w:rsid w:val="000628CD"/>
    <w:rsid w:val="000A4493"/>
    <w:rsid w:val="000B1EBE"/>
    <w:rsid w:val="000C56AB"/>
    <w:rsid w:val="000C5C91"/>
    <w:rsid w:val="000E57A2"/>
    <w:rsid w:val="000F5C43"/>
    <w:rsid w:val="00167481"/>
    <w:rsid w:val="001766E3"/>
    <w:rsid w:val="00187B25"/>
    <w:rsid w:val="00187C0C"/>
    <w:rsid w:val="0019732A"/>
    <w:rsid w:val="001A674E"/>
    <w:rsid w:val="001B3172"/>
    <w:rsid w:val="001C4045"/>
    <w:rsid w:val="001D5048"/>
    <w:rsid w:val="001F01E8"/>
    <w:rsid w:val="0023051C"/>
    <w:rsid w:val="00262837"/>
    <w:rsid w:val="002668E9"/>
    <w:rsid w:val="00272BBC"/>
    <w:rsid w:val="002C392D"/>
    <w:rsid w:val="003209C5"/>
    <w:rsid w:val="00324165"/>
    <w:rsid w:val="003263EA"/>
    <w:rsid w:val="00342E5F"/>
    <w:rsid w:val="0035680C"/>
    <w:rsid w:val="00361F54"/>
    <w:rsid w:val="003663C7"/>
    <w:rsid w:val="00374740"/>
    <w:rsid w:val="003D4C2B"/>
    <w:rsid w:val="003E660C"/>
    <w:rsid w:val="003F6140"/>
    <w:rsid w:val="00402FFE"/>
    <w:rsid w:val="00403E43"/>
    <w:rsid w:val="00443E4C"/>
    <w:rsid w:val="0044756D"/>
    <w:rsid w:val="004568FA"/>
    <w:rsid w:val="0046087E"/>
    <w:rsid w:val="004A7A6B"/>
    <w:rsid w:val="004B78FE"/>
    <w:rsid w:val="004C0EF4"/>
    <w:rsid w:val="004C6F40"/>
    <w:rsid w:val="004D3721"/>
    <w:rsid w:val="004F7CB2"/>
    <w:rsid w:val="0051047E"/>
    <w:rsid w:val="00512974"/>
    <w:rsid w:val="00515EDD"/>
    <w:rsid w:val="00521B31"/>
    <w:rsid w:val="00526CF7"/>
    <w:rsid w:val="00537A5D"/>
    <w:rsid w:val="0054714C"/>
    <w:rsid w:val="00596F3E"/>
    <w:rsid w:val="005A2447"/>
    <w:rsid w:val="005B64AA"/>
    <w:rsid w:val="005E2F73"/>
    <w:rsid w:val="005E4311"/>
    <w:rsid w:val="005E72AC"/>
    <w:rsid w:val="006102AE"/>
    <w:rsid w:val="00617A07"/>
    <w:rsid w:val="006260E5"/>
    <w:rsid w:val="006263CD"/>
    <w:rsid w:val="00626D96"/>
    <w:rsid w:val="00653BEE"/>
    <w:rsid w:val="0068430D"/>
    <w:rsid w:val="006E38CA"/>
    <w:rsid w:val="006E3F94"/>
    <w:rsid w:val="00730BDF"/>
    <w:rsid w:val="00757141"/>
    <w:rsid w:val="007700E4"/>
    <w:rsid w:val="00773916"/>
    <w:rsid w:val="007A51B4"/>
    <w:rsid w:val="007A5342"/>
    <w:rsid w:val="007C3324"/>
    <w:rsid w:val="007E542D"/>
    <w:rsid w:val="007F0506"/>
    <w:rsid w:val="0083258C"/>
    <w:rsid w:val="00833FCC"/>
    <w:rsid w:val="008457B0"/>
    <w:rsid w:val="00865DBF"/>
    <w:rsid w:val="00872DD8"/>
    <w:rsid w:val="008845C2"/>
    <w:rsid w:val="008A0839"/>
    <w:rsid w:val="008B7513"/>
    <w:rsid w:val="008D2E5F"/>
    <w:rsid w:val="0090651D"/>
    <w:rsid w:val="00943930"/>
    <w:rsid w:val="00946FB1"/>
    <w:rsid w:val="0095718F"/>
    <w:rsid w:val="00963A7E"/>
    <w:rsid w:val="00982AE7"/>
    <w:rsid w:val="00986C4E"/>
    <w:rsid w:val="00995D26"/>
    <w:rsid w:val="009A2C60"/>
    <w:rsid w:val="009B4935"/>
    <w:rsid w:val="00A12395"/>
    <w:rsid w:val="00A176EF"/>
    <w:rsid w:val="00A268EF"/>
    <w:rsid w:val="00A54B7A"/>
    <w:rsid w:val="00A727EF"/>
    <w:rsid w:val="00A8483F"/>
    <w:rsid w:val="00A86585"/>
    <w:rsid w:val="00AA165C"/>
    <w:rsid w:val="00AB2471"/>
    <w:rsid w:val="00AC1A17"/>
    <w:rsid w:val="00AD1F42"/>
    <w:rsid w:val="00B40627"/>
    <w:rsid w:val="00B43DDB"/>
    <w:rsid w:val="00B51F68"/>
    <w:rsid w:val="00B7012C"/>
    <w:rsid w:val="00B71E24"/>
    <w:rsid w:val="00B87731"/>
    <w:rsid w:val="00B9692A"/>
    <w:rsid w:val="00BB4846"/>
    <w:rsid w:val="00BC529B"/>
    <w:rsid w:val="00BF75F3"/>
    <w:rsid w:val="00C120CD"/>
    <w:rsid w:val="00C1234E"/>
    <w:rsid w:val="00C218CD"/>
    <w:rsid w:val="00C2701B"/>
    <w:rsid w:val="00C5244B"/>
    <w:rsid w:val="00C80987"/>
    <w:rsid w:val="00C90749"/>
    <w:rsid w:val="00C95DB5"/>
    <w:rsid w:val="00C96D00"/>
    <w:rsid w:val="00CB6A27"/>
    <w:rsid w:val="00CE2062"/>
    <w:rsid w:val="00CF25F0"/>
    <w:rsid w:val="00D30AEE"/>
    <w:rsid w:val="00D3250F"/>
    <w:rsid w:val="00D41048"/>
    <w:rsid w:val="00D525AD"/>
    <w:rsid w:val="00D5661A"/>
    <w:rsid w:val="00D66959"/>
    <w:rsid w:val="00D829CA"/>
    <w:rsid w:val="00D836CC"/>
    <w:rsid w:val="00D84AF4"/>
    <w:rsid w:val="00DA2B24"/>
    <w:rsid w:val="00DB0963"/>
    <w:rsid w:val="00DC1C75"/>
    <w:rsid w:val="00DE59CE"/>
    <w:rsid w:val="00E007E0"/>
    <w:rsid w:val="00E05EB4"/>
    <w:rsid w:val="00E35322"/>
    <w:rsid w:val="00E354F2"/>
    <w:rsid w:val="00E57850"/>
    <w:rsid w:val="00E637B1"/>
    <w:rsid w:val="00E662E9"/>
    <w:rsid w:val="00E90F80"/>
    <w:rsid w:val="00EB4011"/>
    <w:rsid w:val="00EB4BEE"/>
    <w:rsid w:val="00EB5004"/>
    <w:rsid w:val="00ED053E"/>
    <w:rsid w:val="00ED5F07"/>
    <w:rsid w:val="00ED628D"/>
    <w:rsid w:val="00F11AD8"/>
    <w:rsid w:val="00F30F2B"/>
    <w:rsid w:val="00F322E3"/>
    <w:rsid w:val="00F453E0"/>
    <w:rsid w:val="00F61386"/>
    <w:rsid w:val="00F66FC7"/>
    <w:rsid w:val="00F810E8"/>
    <w:rsid w:val="00F84934"/>
    <w:rsid w:val="00F84FEA"/>
    <w:rsid w:val="00FA383C"/>
    <w:rsid w:val="00FA61A6"/>
    <w:rsid w:val="00FB1112"/>
    <w:rsid w:val="00FC5759"/>
    <w:rsid w:val="00FC5A9C"/>
    <w:rsid w:val="00FD2620"/>
    <w:rsid w:val="00FD7AEB"/>
    <w:rsid w:val="00FF017F"/>
    <w:rsid w:val="00FF1CDD"/>
    <w:rsid w:val="01BD17FD"/>
    <w:rsid w:val="032F04D8"/>
    <w:rsid w:val="05172C7F"/>
    <w:rsid w:val="08B82D1E"/>
    <w:rsid w:val="08CE2541"/>
    <w:rsid w:val="09383E5F"/>
    <w:rsid w:val="0CFB142B"/>
    <w:rsid w:val="0E5B6625"/>
    <w:rsid w:val="0EF34AB0"/>
    <w:rsid w:val="0F2934D3"/>
    <w:rsid w:val="127B54E8"/>
    <w:rsid w:val="1424395D"/>
    <w:rsid w:val="151718BF"/>
    <w:rsid w:val="152A6D51"/>
    <w:rsid w:val="178169D1"/>
    <w:rsid w:val="1A4D7D3B"/>
    <w:rsid w:val="1B05420C"/>
    <w:rsid w:val="1B155DAE"/>
    <w:rsid w:val="1C511068"/>
    <w:rsid w:val="1CB03FE0"/>
    <w:rsid w:val="1CD75A11"/>
    <w:rsid w:val="1D9112A2"/>
    <w:rsid w:val="1EA20F2E"/>
    <w:rsid w:val="2106025F"/>
    <w:rsid w:val="21DB3A64"/>
    <w:rsid w:val="235651B5"/>
    <w:rsid w:val="24A32153"/>
    <w:rsid w:val="25E371D4"/>
    <w:rsid w:val="27FA0805"/>
    <w:rsid w:val="29892DC1"/>
    <w:rsid w:val="29C70BBB"/>
    <w:rsid w:val="2AD27817"/>
    <w:rsid w:val="2BAD331C"/>
    <w:rsid w:val="2F5E78CC"/>
    <w:rsid w:val="2F6C22C3"/>
    <w:rsid w:val="35CB37E1"/>
    <w:rsid w:val="367D2D2D"/>
    <w:rsid w:val="380676BD"/>
    <w:rsid w:val="38E54BBA"/>
    <w:rsid w:val="3942025E"/>
    <w:rsid w:val="395F534C"/>
    <w:rsid w:val="39A46823"/>
    <w:rsid w:val="3B630FAC"/>
    <w:rsid w:val="3E810EE1"/>
    <w:rsid w:val="404B3E9C"/>
    <w:rsid w:val="421B164C"/>
    <w:rsid w:val="447339C1"/>
    <w:rsid w:val="45667082"/>
    <w:rsid w:val="458B06D5"/>
    <w:rsid w:val="49770275"/>
    <w:rsid w:val="4BED541A"/>
    <w:rsid w:val="4C7622A1"/>
    <w:rsid w:val="4D7762D0"/>
    <w:rsid w:val="4E067E17"/>
    <w:rsid w:val="4F9C7D9C"/>
    <w:rsid w:val="50083210"/>
    <w:rsid w:val="509E1DC6"/>
    <w:rsid w:val="519D3E2C"/>
    <w:rsid w:val="52B40BF2"/>
    <w:rsid w:val="537A08C9"/>
    <w:rsid w:val="54DE4E87"/>
    <w:rsid w:val="55D87B28"/>
    <w:rsid w:val="56170651"/>
    <w:rsid w:val="5778511F"/>
    <w:rsid w:val="57D4679F"/>
    <w:rsid w:val="57E27213"/>
    <w:rsid w:val="58504D26"/>
    <w:rsid w:val="58AD477B"/>
    <w:rsid w:val="58E5319F"/>
    <w:rsid w:val="59FD5DAF"/>
    <w:rsid w:val="5A07278A"/>
    <w:rsid w:val="5A0A4028"/>
    <w:rsid w:val="5ADC59C5"/>
    <w:rsid w:val="5C2C472A"/>
    <w:rsid w:val="5CA34879"/>
    <w:rsid w:val="5D9E3405"/>
    <w:rsid w:val="5DBB55A0"/>
    <w:rsid w:val="5DCF1811"/>
    <w:rsid w:val="5E331DA0"/>
    <w:rsid w:val="6065020A"/>
    <w:rsid w:val="60C43183"/>
    <w:rsid w:val="62A274F4"/>
    <w:rsid w:val="64175CC0"/>
    <w:rsid w:val="64A07A63"/>
    <w:rsid w:val="652F7039"/>
    <w:rsid w:val="656B0071"/>
    <w:rsid w:val="65B35574"/>
    <w:rsid w:val="6AF63B7E"/>
    <w:rsid w:val="6CAB1E0F"/>
    <w:rsid w:val="6DA305C4"/>
    <w:rsid w:val="6E12628E"/>
    <w:rsid w:val="703F6AB7"/>
    <w:rsid w:val="70BD7BEF"/>
    <w:rsid w:val="710475CC"/>
    <w:rsid w:val="710B6BAC"/>
    <w:rsid w:val="71630796"/>
    <w:rsid w:val="71AD7C63"/>
    <w:rsid w:val="72231CD3"/>
    <w:rsid w:val="726A7902"/>
    <w:rsid w:val="73454C22"/>
    <w:rsid w:val="73683E42"/>
    <w:rsid w:val="7A664E53"/>
    <w:rsid w:val="7AE72EB8"/>
    <w:rsid w:val="7C741AA9"/>
    <w:rsid w:val="7D910D50"/>
    <w:rsid w:val="7E7D46B0"/>
    <w:rsid w:val="7EC30AC6"/>
    <w:rsid w:val="7F78540D"/>
    <w:rsid w:val="7F9A320A"/>
    <w:rsid w:val="7FC0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/>
      <w:sz w:val="18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styleId="12">
    <w:name w:val="Placeholder Text"/>
    <w:basedOn w:val="7"/>
    <w:semiHidden/>
    <w:qFormat/>
    <w:uiPriority w:val="99"/>
    <w:rPr>
      <w:color w:val="666666"/>
    </w:rPr>
  </w:style>
  <w:style w:type="character" w:customStyle="1" w:styleId="13">
    <w:name w:val="发布"/>
    <w:qFormat/>
    <w:uiPriority w:val="0"/>
    <w:rPr>
      <w:spacing w:val="22"/>
      <w:w w:val="100"/>
      <w:position w:val="3"/>
      <w:sz w:val="28"/>
    </w:rPr>
  </w:style>
  <w:style w:type="paragraph" w:customStyle="1" w:styleId="14">
    <w:name w:val="段"/>
    <w:link w:val="15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15">
    <w:name w:val="段 Char"/>
    <w:link w:val="14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6">
    <w:name w:val="标准书眉一"/>
    <w:qFormat/>
    <w:uiPriority w:val="0"/>
    <w:pPr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17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kern w:val="0"/>
      <w:sz w:val="52"/>
      <w:szCs w:val="20"/>
      <w:lang w:val="en-US" w:eastAsia="zh-CN" w:bidi="ar-SA"/>
    </w:rPr>
  </w:style>
  <w:style w:type="paragraph" w:customStyle="1" w:styleId="18">
    <w:name w:val="标准标志"/>
    <w:next w:val="1"/>
    <w:qFormat/>
    <w:uiPriority w:val="0"/>
    <w:pPr>
      <w:framePr w:w="2268" w:h="1392" w:hRule="exact" w:wrap="around" w:vAnchor="margin" w:hAnchor="margin" w:x="6748" w:y="171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30"/>
      <w:kern w:val="0"/>
      <w:sz w:val="96"/>
      <w:szCs w:val="20"/>
      <w:lang w:val="en-US" w:eastAsia="zh-CN" w:bidi="ar-SA"/>
    </w:rPr>
  </w:style>
  <w:style w:type="paragraph" w:customStyle="1" w:styleId="19">
    <w:name w:val="标准书眉_偶数页"/>
    <w:basedOn w:val="20"/>
    <w:next w:val="1"/>
    <w:qFormat/>
    <w:uiPriority w:val="0"/>
    <w:pPr>
      <w:tabs>
        <w:tab w:val="center" w:pos="4154"/>
        <w:tab w:val="right" w:pos="8306"/>
      </w:tabs>
      <w:jc w:val="left"/>
    </w:pPr>
  </w:style>
  <w:style w:type="paragraph" w:customStyle="1" w:styleId="20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21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kern w:val="0"/>
      <w:sz w:val="32"/>
      <w:szCs w:val="20"/>
      <w:lang w:val="en-US" w:eastAsia="zh-CN" w:bidi="ar-SA"/>
    </w:rPr>
  </w:style>
  <w:style w:type="paragraph" w:customStyle="1" w:styleId="22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kern w:val="0"/>
      <w:sz w:val="28"/>
      <w:szCs w:val="20"/>
      <w:lang w:val="en-US" w:eastAsia="zh-CN" w:bidi="ar-SA"/>
    </w:rPr>
  </w:style>
  <w:style w:type="paragraph" w:customStyle="1" w:styleId="23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paragraph" w:customStyle="1" w:styleId="24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25">
    <w:name w:val="发布部门"/>
    <w:next w:val="14"/>
    <w:qFormat/>
    <w:uiPriority w:val="0"/>
    <w:pPr>
      <w:framePr w:w="7433" w:h="585" w:hRule="exact" w:hSpace="180" w:vSpace="180" w:wrap="around" w:vAnchor="margin" w:hAnchor="margin" w:xAlign="center" w:y="14401" w:anchorLock="1"/>
      <w:jc w:val="center"/>
    </w:pPr>
    <w:rPr>
      <w:rFonts w:ascii="宋体" w:hAnsi="Times New Roman" w:eastAsia="宋体" w:cs="Times New Roman"/>
      <w:b/>
      <w:spacing w:val="20"/>
      <w:w w:val="135"/>
      <w:kern w:val="0"/>
      <w:sz w:val="36"/>
      <w:szCs w:val="20"/>
      <w:lang w:val="en-US" w:eastAsia="zh-CN" w:bidi="ar-SA"/>
    </w:rPr>
  </w:style>
  <w:style w:type="paragraph" w:customStyle="1" w:styleId="26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paragraph" w:customStyle="1" w:styleId="27">
    <w:name w:val="封面标准号2"/>
    <w:basedOn w:val="1"/>
    <w:qFormat/>
    <w:uiPriority w:val="0"/>
    <w:pPr>
      <w:framePr w:w="9138" w:h="1244" w:hRule="exact" w:wrap="around" w:vAnchor="page" w:hAnchor="margin" w:y="2908"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rFonts w:ascii="Times New Roman" w:hAnsi="Times New Roman" w:eastAsia="宋体" w:cs="Times New Roman"/>
      <w:kern w:val="0"/>
      <w:sz w:val="28"/>
      <w:szCs w:val="20"/>
    </w:rPr>
  </w:style>
  <w:style w:type="paragraph" w:customStyle="1" w:styleId="28">
    <w:name w:val="发布日期"/>
    <w:qFormat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kern w:val="0"/>
      <w:sz w:val="28"/>
      <w:szCs w:val="20"/>
      <w:lang w:val="en-US" w:eastAsia="zh-CN" w:bidi="ar-SA"/>
    </w:rPr>
  </w:style>
  <w:style w:type="paragraph" w:customStyle="1" w:styleId="29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kern w:val="0"/>
      <w:sz w:val="52"/>
      <w:szCs w:val="20"/>
      <w:lang w:val="en-US" w:eastAsia="zh-CN" w:bidi="ar-SA"/>
    </w:rPr>
  </w:style>
  <w:style w:type="paragraph" w:customStyle="1" w:styleId="30">
    <w:name w:val="实施日期"/>
    <w:basedOn w:val="28"/>
    <w:qFormat/>
    <w:uiPriority w:val="0"/>
    <w:pPr>
      <w:framePr w:hSpace="0" w:wrap="around" w:xAlign="right"/>
      <w:jc w:val="right"/>
    </w:pPr>
  </w:style>
  <w:style w:type="paragraph" w:customStyle="1" w:styleId="31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815</Words>
  <Characters>1004</Characters>
  <Lines>31</Lines>
  <Paragraphs>9</Paragraphs>
  <TotalTime>320</TotalTime>
  <ScaleCrop>false</ScaleCrop>
  <LinksUpToDate>false</LinksUpToDate>
  <CharactersWithSpaces>1664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2024-03-17T00:36:00Z</dcterms:created>
  <dc:creator>昕 沈</dc:creator>
  <cp:lastModifiedBy>小肥熊</cp:lastModifiedBy>
  <cp:lastPrinted>2026-08-05T01:50:34Z</cp:lastPrinted>
  <dcterms:modified xsi:type="dcterms:W3CDTF">2026-08-05T08:52:59Z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74BFDB7983CF49C2BD7921BE26478962_13</vt:lpwstr>
  </property>
  <property fmtid="{D5CDD505-2E9C-101B-9397-08002B2CF9AE}" pid="4" name="KSOTemplateDocerSaveRecord">
    <vt:lpwstr>eyJoZGlkIjoiNmY4M2I5ZWQ1MmZlMzdmODdjNGYxNTAwYjQwNmUzYjkiLCJ1c2VySWQiOiIzOTU2MTA0NjcifQ==</vt:lpwstr>
  </property>
</Properties>
</file>