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0BEF2">
      <w:pPr>
        <w:spacing w:before="100" w:beforeAutospacing="1" w:after="100" w:afterAutospacing="1" w:line="360" w:lineRule="auto"/>
        <w:rPr>
          <w:sz w:val="24"/>
          <w:szCs w:val="24"/>
        </w:rPr>
      </w:pPr>
    </w:p>
    <w:p w14:paraId="0A50BEF3">
      <w:pPr>
        <w:spacing w:before="100" w:beforeAutospacing="1" w:after="100" w:afterAutospacing="1" w:line="360" w:lineRule="auto"/>
        <w:ind w:firstLine="880" w:firstLineChars="200"/>
        <w:jc w:val="center"/>
        <w:rPr>
          <w:sz w:val="44"/>
          <w:szCs w:val="44"/>
        </w:rPr>
      </w:pPr>
    </w:p>
    <w:p w14:paraId="0A50BEF4">
      <w:pPr>
        <w:spacing w:before="100" w:beforeAutospacing="1" w:after="100" w:afterAutospacing="1" w:line="360" w:lineRule="auto"/>
        <w:jc w:val="center"/>
        <w:rPr>
          <w:b/>
          <w:sz w:val="44"/>
          <w:szCs w:val="44"/>
        </w:rPr>
      </w:pPr>
      <w:r>
        <w:rPr>
          <w:rFonts w:hint="eastAsia"/>
          <w:b/>
          <w:sz w:val="44"/>
          <w:szCs w:val="44"/>
        </w:rPr>
        <w:t>行业</w:t>
      </w:r>
      <w:r>
        <w:rPr>
          <w:b/>
          <w:sz w:val="44"/>
          <w:szCs w:val="44"/>
        </w:rPr>
        <w:t>标准</w:t>
      </w:r>
    </w:p>
    <w:p w14:paraId="0A50BEF5">
      <w:pPr>
        <w:spacing w:before="100" w:beforeAutospacing="1" w:after="100" w:afterAutospacing="1" w:line="360" w:lineRule="auto"/>
        <w:jc w:val="center"/>
        <w:rPr>
          <w:b/>
          <w:sz w:val="36"/>
          <w:szCs w:val="36"/>
        </w:rPr>
      </w:pPr>
      <w:r>
        <w:rPr>
          <w:b/>
          <w:sz w:val="36"/>
          <w:szCs w:val="36"/>
        </w:rPr>
        <w:t>《金属注射成形钛及钛合金异形件》</w:t>
      </w:r>
    </w:p>
    <w:p w14:paraId="0A50BEF6">
      <w:pPr>
        <w:spacing w:before="100" w:beforeAutospacing="1" w:after="100" w:afterAutospacing="1" w:line="360" w:lineRule="auto"/>
        <w:jc w:val="center"/>
        <w:rPr>
          <w:b/>
          <w:sz w:val="44"/>
          <w:szCs w:val="44"/>
        </w:rPr>
      </w:pPr>
      <w:r>
        <w:rPr>
          <w:b/>
          <w:sz w:val="44"/>
          <w:szCs w:val="44"/>
        </w:rPr>
        <w:t xml:space="preserve">编制说明书 </w:t>
      </w:r>
    </w:p>
    <w:p w14:paraId="0A50BEF7">
      <w:pPr>
        <w:spacing w:before="100" w:beforeAutospacing="1" w:after="100" w:afterAutospacing="1" w:line="360" w:lineRule="auto"/>
        <w:jc w:val="center"/>
        <w:rPr>
          <w:b/>
          <w:sz w:val="32"/>
          <w:szCs w:val="32"/>
        </w:rPr>
      </w:pPr>
      <w:r>
        <w:rPr>
          <w:b/>
          <w:sz w:val="32"/>
          <w:szCs w:val="32"/>
        </w:rPr>
        <w:t>（</w:t>
      </w:r>
      <w:r>
        <w:rPr>
          <w:rFonts w:hint="eastAsia"/>
          <w:b/>
          <w:sz w:val="32"/>
          <w:szCs w:val="32"/>
        </w:rPr>
        <w:t>讨论</w:t>
      </w:r>
      <w:r>
        <w:rPr>
          <w:b/>
          <w:sz w:val="32"/>
          <w:szCs w:val="32"/>
        </w:rPr>
        <w:t>稿）</w:t>
      </w:r>
    </w:p>
    <w:p w14:paraId="0A50BEF8">
      <w:pPr>
        <w:spacing w:before="100" w:beforeAutospacing="1" w:after="100" w:afterAutospacing="1" w:line="360" w:lineRule="auto"/>
        <w:ind w:firstLine="480" w:firstLineChars="200"/>
        <w:jc w:val="left"/>
        <w:rPr>
          <w:sz w:val="24"/>
          <w:szCs w:val="24"/>
        </w:rPr>
      </w:pPr>
    </w:p>
    <w:p w14:paraId="0A50BEF9">
      <w:pPr>
        <w:spacing w:before="100" w:beforeAutospacing="1" w:after="100" w:afterAutospacing="1" w:line="360" w:lineRule="auto"/>
        <w:ind w:firstLine="480" w:firstLineChars="200"/>
        <w:jc w:val="left"/>
        <w:rPr>
          <w:sz w:val="24"/>
          <w:szCs w:val="24"/>
        </w:rPr>
      </w:pPr>
    </w:p>
    <w:p w14:paraId="0A50BEFA">
      <w:pPr>
        <w:spacing w:before="100" w:beforeAutospacing="1" w:after="100" w:afterAutospacing="1" w:line="360" w:lineRule="auto"/>
        <w:ind w:firstLine="480" w:firstLineChars="200"/>
        <w:jc w:val="left"/>
        <w:rPr>
          <w:sz w:val="24"/>
          <w:szCs w:val="24"/>
        </w:rPr>
      </w:pPr>
    </w:p>
    <w:p w14:paraId="0A50BEFB">
      <w:pPr>
        <w:spacing w:before="100" w:beforeAutospacing="1" w:after="100" w:afterAutospacing="1" w:line="360" w:lineRule="auto"/>
        <w:rPr>
          <w:sz w:val="24"/>
          <w:szCs w:val="24"/>
        </w:rPr>
      </w:pPr>
    </w:p>
    <w:p w14:paraId="0A50BEFC">
      <w:pPr>
        <w:spacing w:before="100" w:beforeAutospacing="1" w:after="100" w:afterAutospacing="1" w:line="360" w:lineRule="auto"/>
        <w:rPr>
          <w:sz w:val="24"/>
          <w:szCs w:val="24"/>
        </w:rPr>
      </w:pPr>
    </w:p>
    <w:p w14:paraId="0A50BEFD">
      <w:pPr>
        <w:spacing w:before="100" w:beforeAutospacing="1" w:after="100" w:afterAutospacing="1" w:line="360" w:lineRule="auto"/>
        <w:jc w:val="center"/>
        <w:rPr>
          <w:sz w:val="28"/>
          <w:szCs w:val="32"/>
        </w:rPr>
      </w:pPr>
      <w:r>
        <w:rPr>
          <w:sz w:val="28"/>
          <w:szCs w:val="32"/>
        </w:rPr>
        <w:t>《金属注射成形钛及钛合金异形件》标准编制组</w:t>
      </w:r>
    </w:p>
    <w:p w14:paraId="0A50BEFE">
      <w:pPr>
        <w:spacing w:before="100" w:beforeAutospacing="1" w:after="100" w:afterAutospacing="1" w:line="360" w:lineRule="auto"/>
        <w:jc w:val="center"/>
        <w:rPr>
          <w:sz w:val="32"/>
          <w:szCs w:val="32"/>
        </w:rPr>
      </w:pPr>
      <w:r>
        <w:rPr>
          <w:sz w:val="32"/>
          <w:szCs w:val="32"/>
        </w:rPr>
        <w:t>编写单位：</w:t>
      </w:r>
      <w:r>
        <w:rPr>
          <w:rFonts w:hint="eastAsia"/>
          <w:sz w:val="32"/>
          <w:szCs w:val="32"/>
        </w:rPr>
        <w:t>深圳艾利佳材料科技有限公司</w:t>
      </w:r>
    </w:p>
    <w:p w14:paraId="0A50BEFF">
      <w:pPr>
        <w:spacing w:before="100" w:beforeAutospacing="1" w:after="100" w:afterAutospacing="1" w:line="360" w:lineRule="auto"/>
        <w:jc w:val="center"/>
        <w:rPr>
          <w:sz w:val="32"/>
          <w:szCs w:val="32"/>
        </w:rPr>
      </w:pPr>
    </w:p>
    <w:p w14:paraId="0A50BF00">
      <w:pPr>
        <w:spacing w:before="100" w:beforeAutospacing="1" w:after="100" w:afterAutospacing="1" w:line="360" w:lineRule="auto"/>
        <w:jc w:val="center"/>
        <w:rPr>
          <w:sz w:val="32"/>
          <w:szCs w:val="32"/>
        </w:rPr>
      </w:pPr>
      <w:r>
        <w:rPr>
          <w:sz w:val="32"/>
          <w:szCs w:val="32"/>
        </w:rPr>
        <w:t>二〇二六年</w:t>
      </w:r>
      <w:r>
        <w:rPr>
          <w:rFonts w:hint="eastAsia"/>
          <w:sz w:val="32"/>
          <w:szCs w:val="32"/>
        </w:rPr>
        <w:t>八</w:t>
      </w:r>
      <w:r>
        <w:rPr>
          <w:sz w:val="32"/>
          <w:szCs w:val="32"/>
        </w:rPr>
        <w:t>月</w:t>
      </w:r>
    </w:p>
    <w:p w14:paraId="0A50BF01">
      <w:pPr>
        <w:spacing w:before="100" w:beforeAutospacing="1" w:after="100" w:afterAutospacing="1" w:line="360" w:lineRule="auto"/>
        <w:rPr>
          <w:sz w:val="32"/>
          <w:szCs w:val="32"/>
        </w:rPr>
      </w:pPr>
    </w:p>
    <w:p w14:paraId="0A50BF02">
      <w:pPr>
        <w:widowControl/>
        <w:jc w:val="left"/>
        <w:rPr>
          <w:sz w:val="32"/>
          <w:szCs w:val="32"/>
        </w:rPr>
        <w:sectPr>
          <w:headerReference r:id="rId4" w:type="first"/>
          <w:headerReference r:id="rId3" w:type="default"/>
          <w:footerReference r:id="rId5" w:type="default"/>
          <w:pgSz w:w="11906" w:h="16838"/>
          <w:pgMar w:top="1440" w:right="1440" w:bottom="1440" w:left="1440" w:header="851" w:footer="992" w:gutter="284"/>
          <w:pgNumType w:start="1"/>
          <w:cols w:space="425" w:num="1"/>
          <w:titlePg/>
          <w:docGrid w:linePitch="312" w:charSpace="0"/>
        </w:sectPr>
      </w:pPr>
    </w:p>
    <w:p w14:paraId="0A50BF03">
      <w:pPr>
        <w:spacing w:before="100" w:beforeAutospacing="1" w:after="100" w:afterAutospacing="1" w:line="360" w:lineRule="auto"/>
        <w:jc w:val="center"/>
        <w:rPr>
          <w:sz w:val="32"/>
          <w:szCs w:val="36"/>
        </w:rPr>
      </w:pPr>
      <w:r>
        <w:rPr>
          <w:rFonts w:hint="eastAsia"/>
          <w:sz w:val="32"/>
          <w:szCs w:val="36"/>
        </w:rPr>
        <w:t>行业</w:t>
      </w:r>
      <w:r>
        <w:rPr>
          <w:sz w:val="32"/>
          <w:szCs w:val="36"/>
        </w:rPr>
        <w:t>标准《金属注射成形钛及钛合金异形件》</w:t>
      </w:r>
    </w:p>
    <w:p w14:paraId="0A50BF04">
      <w:pPr>
        <w:spacing w:before="100" w:beforeAutospacing="1" w:after="100" w:afterAutospacing="1" w:line="360" w:lineRule="auto"/>
        <w:jc w:val="center"/>
        <w:rPr>
          <w:sz w:val="36"/>
          <w:szCs w:val="36"/>
        </w:rPr>
      </w:pPr>
      <w:r>
        <w:rPr>
          <w:sz w:val="36"/>
          <w:szCs w:val="36"/>
        </w:rPr>
        <w:t>编制说明</w:t>
      </w:r>
    </w:p>
    <w:p w14:paraId="0A50BF05">
      <w:pPr>
        <w:widowControl/>
        <w:snapToGrid w:val="0"/>
        <w:spacing w:after="120" w:afterLines="50" w:line="360" w:lineRule="auto"/>
        <w:jc w:val="left"/>
        <w:outlineLvl w:val="0"/>
        <w:rPr>
          <w:b/>
          <w:bCs/>
          <w:kern w:val="0"/>
          <w:sz w:val="24"/>
          <w:szCs w:val="24"/>
        </w:rPr>
      </w:pPr>
      <w:bookmarkStart w:id="0" w:name="_Toc8522"/>
      <w:r>
        <w:rPr>
          <w:b/>
          <w:bCs/>
          <w:kern w:val="0"/>
          <w:sz w:val="24"/>
          <w:szCs w:val="24"/>
        </w:rPr>
        <w:t>一、工作简况</w:t>
      </w:r>
      <w:bookmarkEnd w:id="0"/>
    </w:p>
    <w:p w14:paraId="0A50BF06">
      <w:pPr>
        <w:widowControl/>
        <w:snapToGrid w:val="0"/>
        <w:spacing w:before="240" w:beforeLines="100" w:line="360" w:lineRule="auto"/>
        <w:jc w:val="left"/>
        <w:outlineLvl w:val="1"/>
        <w:rPr>
          <w:b/>
          <w:bCs/>
          <w:kern w:val="0"/>
          <w:sz w:val="24"/>
          <w:szCs w:val="24"/>
        </w:rPr>
      </w:pPr>
      <w:bookmarkStart w:id="1" w:name="_Toc19664"/>
      <w:r>
        <w:rPr>
          <w:b/>
          <w:bCs/>
          <w:kern w:val="0"/>
          <w:sz w:val="24"/>
          <w:szCs w:val="24"/>
        </w:rPr>
        <w:t>1.1 任务来源</w:t>
      </w:r>
      <w:bookmarkEnd w:id="1"/>
    </w:p>
    <w:p w14:paraId="0A50BF07">
      <w:pPr>
        <w:pStyle w:val="36"/>
        <w:spacing w:line="360" w:lineRule="auto"/>
        <w:ind w:firstLine="480"/>
        <w:jc w:val="left"/>
        <w:rPr>
          <w:rFonts w:ascii="Times New Roman" w:cs="Times New Roman"/>
          <w:sz w:val="24"/>
          <w:szCs w:val="24"/>
        </w:rPr>
      </w:pPr>
      <w:r>
        <w:rPr>
          <w:rFonts w:ascii="Times New Roman" w:cs="Times New Roman"/>
          <w:sz w:val="24"/>
          <w:szCs w:val="24"/>
          <w:highlight w:val="none"/>
        </w:rPr>
        <w:t>根据《国家标准委关于下达202</w:t>
      </w:r>
      <w:r>
        <w:rPr>
          <w:rFonts w:hint="eastAsia" w:ascii="Times New Roman" w:cs="Times New Roman"/>
          <w:sz w:val="24"/>
          <w:szCs w:val="24"/>
          <w:highlight w:val="none"/>
          <w:lang w:val="en-US" w:eastAsia="zh-CN"/>
        </w:rPr>
        <w:t>6</w:t>
      </w:r>
      <w:r>
        <w:rPr>
          <w:rFonts w:ascii="Times New Roman" w:cs="Times New Roman"/>
          <w:sz w:val="24"/>
          <w:szCs w:val="24"/>
          <w:highlight w:val="none"/>
        </w:rPr>
        <w:t>年第九批推荐性国家标准计划及相关标准外文版计划的通知》（国标委发〔202</w:t>
      </w:r>
      <w:r>
        <w:rPr>
          <w:rFonts w:hint="eastAsia" w:ascii="Times New Roman" w:cs="Times New Roman"/>
          <w:sz w:val="24"/>
          <w:szCs w:val="24"/>
          <w:highlight w:val="none"/>
          <w:lang w:val="en-US" w:eastAsia="zh-CN"/>
        </w:rPr>
        <w:t>6</w:t>
      </w:r>
      <w:r>
        <w:rPr>
          <w:rFonts w:ascii="Times New Roman" w:cs="Times New Roman"/>
          <w:sz w:val="24"/>
          <w:szCs w:val="24"/>
          <w:highlight w:val="none"/>
        </w:rPr>
        <w:t>〕</w:t>
      </w:r>
      <w:r>
        <w:rPr>
          <w:rFonts w:hint="eastAsia" w:ascii="Times New Roman" w:cs="Times New Roman"/>
          <w:sz w:val="24"/>
          <w:szCs w:val="24"/>
          <w:highlight w:val="none"/>
          <w:lang w:val="en-US" w:eastAsia="zh-CN"/>
        </w:rPr>
        <w:t>XX</w:t>
      </w:r>
      <w:r>
        <w:rPr>
          <w:rFonts w:ascii="Times New Roman" w:cs="Times New Roman"/>
          <w:sz w:val="24"/>
          <w:szCs w:val="24"/>
          <w:highlight w:val="none"/>
        </w:rPr>
        <w:t>号）文件要求</w:t>
      </w:r>
      <w:r>
        <w:rPr>
          <w:rFonts w:ascii="Times New Roman" w:cs="Times New Roman"/>
          <w:sz w:val="24"/>
          <w:szCs w:val="24"/>
        </w:rPr>
        <w:t>，</w:t>
      </w:r>
      <w:r>
        <w:rPr>
          <w:rFonts w:hint="eastAsia" w:ascii="Times New Roman" w:cs="Times New Roman"/>
          <w:sz w:val="24"/>
          <w:szCs w:val="24"/>
        </w:rPr>
        <w:t>行业</w:t>
      </w:r>
      <w:r>
        <w:rPr>
          <w:rFonts w:ascii="Times New Roman" w:cs="Times New Roman"/>
          <w:sz w:val="24"/>
          <w:szCs w:val="24"/>
        </w:rPr>
        <w:t>标准《金属注射成形钛及钛合金异形件》（YS/T 1532-2022）</w:t>
      </w:r>
      <w:r>
        <w:rPr>
          <w:rFonts w:hint="eastAsia" w:ascii="Times New Roman" w:cs="Times New Roman"/>
          <w:sz w:val="24"/>
          <w:szCs w:val="24"/>
        </w:rPr>
        <w:t>修订项目</w:t>
      </w:r>
      <w:r>
        <w:rPr>
          <w:rFonts w:ascii="Times New Roman" w:cs="Times New Roman"/>
          <w:sz w:val="24"/>
          <w:szCs w:val="24"/>
        </w:rPr>
        <w:t>由全国有色金属标准化技术委员会归口，计划编号为：20255002-T-</w:t>
      </w:r>
      <w:r>
        <w:rPr>
          <w:rFonts w:hint="eastAsia" w:ascii="Times New Roman" w:cs="Times New Roman"/>
          <w:sz w:val="24"/>
          <w:szCs w:val="24"/>
        </w:rPr>
        <w:t>XXX</w:t>
      </w:r>
      <w:r>
        <w:rPr>
          <w:rFonts w:ascii="Times New Roman" w:cs="Times New Roman"/>
          <w:sz w:val="24"/>
          <w:szCs w:val="24"/>
        </w:rPr>
        <w:t>，项目周期为12个月，完成年限为202</w:t>
      </w:r>
      <w:r>
        <w:rPr>
          <w:rFonts w:hint="eastAsia" w:ascii="Times New Roman" w:cs="Times New Roman"/>
          <w:sz w:val="24"/>
          <w:szCs w:val="24"/>
        </w:rPr>
        <w:t>X</w:t>
      </w:r>
      <w:r>
        <w:rPr>
          <w:rFonts w:ascii="Times New Roman" w:cs="Times New Roman"/>
          <w:sz w:val="24"/>
          <w:szCs w:val="24"/>
        </w:rPr>
        <w:t>年，标准起草单位为：深圳艾利佳材料科技有限公司、北京科技大学、广东科学院新材料研究所、深圳北理莫斯科大学、歌尔股份有限公司、小米通讯技术有限公司、立铠精密科技（盐城）有限公司、成都先进金属材料产业技术研究院股份有限公司、江苏精研科技股份有限公司、上海富驰高科技股份有限公司</w:t>
      </w:r>
      <w:r>
        <w:rPr>
          <w:rFonts w:hint="eastAsia" w:ascii="Times New Roman" w:cs="Times New Roman"/>
          <w:sz w:val="24"/>
          <w:szCs w:val="24"/>
        </w:rPr>
        <w:t>。</w:t>
      </w:r>
    </w:p>
    <w:p w14:paraId="0A50BF08">
      <w:pPr>
        <w:widowControl/>
        <w:snapToGrid w:val="0"/>
        <w:spacing w:line="360" w:lineRule="auto"/>
        <w:jc w:val="left"/>
        <w:outlineLvl w:val="1"/>
        <w:rPr>
          <w:b/>
          <w:bCs/>
          <w:kern w:val="0"/>
          <w:sz w:val="24"/>
          <w:szCs w:val="24"/>
        </w:rPr>
      </w:pPr>
      <w:bookmarkStart w:id="2" w:name="_Toc14723"/>
      <w:r>
        <w:rPr>
          <w:b/>
          <w:bCs/>
          <w:kern w:val="0"/>
          <w:sz w:val="24"/>
          <w:szCs w:val="24"/>
        </w:rPr>
        <w:t xml:space="preserve">1.2 </w:t>
      </w:r>
      <w:bookmarkEnd w:id="2"/>
      <w:r>
        <w:rPr>
          <w:b/>
          <w:bCs/>
          <w:kern w:val="0"/>
          <w:sz w:val="24"/>
          <w:szCs w:val="24"/>
        </w:rPr>
        <w:t>方法简介</w:t>
      </w:r>
    </w:p>
    <w:p w14:paraId="602C1D70">
      <w:pPr>
        <w:spacing w:line="360" w:lineRule="auto"/>
        <w:ind w:firstLine="480" w:firstLineChars="200"/>
        <w:rPr>
          <w:kern w:val="0"/>
          <w:sz w:val="24"/>
          <w:szCs w:val="24"/>
        </w:rPr>
      </w:pPr>
      <w:r>
        <w:rPr>
          <w:kern w:val="0"/>
          <w:sz w:val="24"/>
          <w:szCs w:val="24"/>
        </w:rPr>
        <w:t>金属粉末注射成形（Metal Powder Injection Molding，简称MIM）技术深度融合了塑料注射成形与粉末冶金工艺的优势，是高效、经济地批量制造三维复杂形状金属零部件的先进制造工艺。在实际的规模化量产中，现代生坯注塑工序通常采用潜水口设计，产品生坯在注塑完成后直接由机械手夹取与吸嘴吸附进行自动化流转，淘汰了传统的水口钳人工作业，从而显著提升了复杂异形件的尺寸精度、批次一致性与生产良率。结合钛及钛合金低密度、高比强度、优异耐腐蚀性及良好生物相容性等材料本征特性，钛合金MIM技术近年来在消费电子（如智能手表中框、手机中框、折叠屏铰链）、医疗器械、航空航天等高端制造领域实现了爆发式增长</w:t>
      </w:r>
      <w:r>
        <w:rPr>
          <w:rFonts w:hint="eastAsia"/>
          <w:kern w:val="0"/>
          <w:sz w:val="24"/>
          <w:szCs w:val="24"/>
        </w:rPr>
        <w:t>。</w:t>
      </w:r>
    </w:p>
    <w:p w14:paraId="17722BC1">
      <w:pPr>
        <w:spacing w:line="360" w:lineRule="auto"/>
        <w:ind w:firstLine="480" w:firstLineChars="200"/>
        <w:rPr>
          <w:kern w:val="0"/>
          <w:sz w:val="24"/>
          <w:szCs w:val="24"/>
        </w:rPr>
      </w:pPr>
      <w:r>
        <w:rPr>
          <w:kern w:val="0"/>
          <w:sz w:val="24"/>
          <w:szCs w:val="24"/>
        </w:rPr>
        <w:t>随着脱脂与烧结关键技术的持续迭代，国内钛合金MIM产业已成功突破“高强低塑”的技术瓶颈，实现了材料在高强度与高延伸率上的综合平衡。现行 YS/T 1532-2022标准仅收录了TA4G与TC4两个牌号，且力学性能准入门槛较为保守（例如 TC4 的抗拉强度仅要求 ≥780 MPa，断后伸长率 ≥5%）。这一界定已明显滞后于当前产业内TC4抗拉强度稳定突破900MPa、断后伸长率超10%的真实规模化量产水平，无法为高强韧钛合金产品在高端场景下的质量分级和采购验收提供有效支撑</w:t>
      </w:r>
      <w:r>
        <w:rPr>
          <w:rFonts w:hint="eastAsia"/>
          <w:kern w:val="0"/>
          <w:sz w:val="24"/>
          <w:szCs w:val="24"/>
        </w:rPr>
        <w:t>。</w:t>
      </w:r>
    </w:p>
    <w:p w14:paraId="7B08B565">
      <w:pPr>
        <w:spacing w:line="360" w:lineRule="auto"/>
        <w:ind w:firstLine="480" w:firstLineChars="200"/>
        <w:rPr>
          <w:kern w:val="0"/>
          <w:sz w:val="24"/>
          <w:szCs w:val="24"/>
        </w:rPr>
      </w:pPr>
      <w:r>
        <w:rPr>
          <w:kern w:val="0"/>
          <w:sz w:val="24"/>
          <w:szCs w:val="24"/>
        </w:rPr>
        <w:t>本次修订立足于国内金属注射成形产业的实际技术跨越，对产品评价体系进行了全面升级，</w:t>
      </w:r>
      <w:r>
        <w:rPr>
          <w:rFonts w:hint="eastAsia"/>
          <w:kern w:val="0"/>
          <w:sz w:val="24"/>
          <w:szCs w:val="24"/>
        </w:rPr>
        <w:t>主要包含</w:t>
      </w:r>
      <w:r>
        <w:rPr>
          <w:kern w:val="0"/>
          <w:sz w:val="24"/>
          <w:szCs w:val="24"/>
        </w:rPr>
        <w:t>如下</w:t>
      </w:r>
      <w:r>
        <w:rPr>
          <w:rFonts w:hint="eastAsia"/>
          <w:kern w:val="0"/>
          <w:sz w:val="24"/>
          <w:szCs w:val="24"/>
        </w:rPr>
        <w:t>方面</w:t>
      </w:r>
      <w:r>
        <w:rPr>
          <w:kern w:val="0"/>
          <w:sz w:val="24"/>
          <w:szCs w:val="24"/>
        </w:rPr>
        <w:t>：</w:t>
      </w:r>
      <w:r>
        <w:rPr>
          <w:rFonts w:hint="eastAsia"/>
          <w:kern w:val="0"/>
          <w:sz w:val="24"/>
          <w:szCs w:val="24"/>
        </w:rPr>
        <w:t>（1）</w:t>
      </w:r>
      <w:r>
        <w:rPr>
          <w:kern w:val="0"/>
          <w:sz w:val="24"/>
          <w:szCs w:val="24"/>
        </w:rPr>
        <w:t>力学指标与测试规格升级：大幅提升了现有 TA4G和TC4的标定强度与塑性指标（如将TC4的抗拉强度基线提升至≥920 MPa，断后伸长率提升至≥10%）</w:t>
      </w:r>
      <w:r>
        <w:rPr>
          <w:rFonts w:hint="eastAsia"/>
          <w:kern w:val="0"/>
          <w:sz w:val="24"/>
          <w:szCs w:val="24"/>
        </w:rPr>
        <w:t>；（2）</w:t>
      </w:r>
      <w:r>
        <w:rPr>
          <w:kern w:val="0"/>
          <w:sz w:val="24"/>
          <w:szCs w:val="24"/>
        </w:rPr>
        <w:t>牌号体系扩充：为满足高端消费电子及高负荷结构件对更高强度、高硬度材料的需求，针对性地新增了TA15与TC11两个高性能钛合金牌号，进一步拓宽了MIM钛合金的市场应用边界</w:t>
      </w:r>
      <w:r>
        <w:rPr>
          <w:rFonts w:hint="eastAsia"/>
          <w:kern w:val="0"/>
          <w:sz w:val="24"/>
          <w:szCs w:val="24"/>
        </w:rPr>
        <w:t>；（3）</w:t>
      </w:r>
      <w:r>
        <w:rPr>
          <w:kern w:val="0"/>
          <w:sz w:val="24"/>
          <w:szCs w:val="24"/>
        </w:rPr>
        <w:t>多维评价体系完善：结合MIM工艺中特有的脱脂残留现象，科学优化了对碳、氧杂质元素的宽容度范围；新增了烧结态产品的显微硬度（HV1）量化考核指标；同时，对外观质量缺陷（如分层、划伤、压入物等）进行了更为具象的界定</w:t>
      </w:r>
      <w:r>
        <w:rPr>
          <w:rFonts w:hint="eastAsia"/>
          <w:kern w:val="0"/>
          <w:sz w:val="24"/>
          <w:szCs w:val="24"/>
        </w:rPr>
        <w:t>。</w:t>
      </w:r>
    </w:p>
    <w:p w14:paraId="7EE20592">
      <w:pPr>
        <w:spacing w:line="360" w:lineRule="auto"/>
        <w:ind w:firstLine="480" w:firstLineChars="200"/>
        <w:rPr>
          <w:sz w:val="24"/>
          <w:szCs w:val="24"/>
        </w:rPr>
      </w:pPr>
      <w:r>
        <w:rPr>
          <w:kern w:val="0"/>
          <w:sz w:val="24"/>
          <w:szCs w:val="24"/>
        </w:rPr>
        <w:t>修订后的标准框架将更精准地指导钛及钛合金异形件的生产过程控制，强力支撑相关产业链向高质量、高一致性与高附加值方向演进</w:t>
      </w:r>
      <w:r>
        <w:rPr>
          <w:sz w:val="24"/>
          <w:szCs w:val="24"/>
        </w:rPr>
        <w:t>。</w:t>
      </w:r>
    </w:p>
    <w:p w14:paraId="0A50BF0F">
      <w:pPr>
        <w:adjustRightInd w:val="0"/>
        <w:snapToGrid w:val="0"/>
        <w:spacing w:before="120" w:beforeLines="50" w:after="120" w:afterLines="50"/>
        <w:outlineLvl w:val="1"/>
        <w:rPr>
          <w:b/>
          <w:bCs/>
          <w:sz w:val="24"/>
          <w:szCs w:val="24"/>
        </w:rPr>
      </w:pPr>
      <w:bookmarkStart w:id="3" w:name="_Toc1035"/>
      <w:r>
        <w:rPr>
          <w:b/>
          <w:bCs/>
          <w:sz w:val="24"/>
          <w:szCs w:val="24"/>
        </w:rPr>
        <w:t>1.3 起草单位情况</w:t>
      </w:r>
      <w:bookmarkEnd w:id="3"/>
    </w:p>
    <w:p w14:paraId="0A50BF10">
      <w:pPr>
        <w:spacing w:line="360" w:lineRule="auto"/>
        <w:outlineLvl w:val="2"/>
        <w:rPr>
          <w:sz w:val="24"/>
          <w:szCs w:val="24"/>
        </w:rPr>
      </w:pPr>
      <w:r>
        <w:rPr>
          <w:b/>
          <w:bCs/>
          <w:sz w:val="24"/>
        </w:rPr>
        <w:t xml:space="preserve">1.3.1 </w:t>
      </w:r>
      <w:r>
        <w:rPr>
          <w:rFonts w:hint="eastAsia"/>
          <w:b/>
          <w:bCs/>
          <w:sz w:val="24"/>
        </w:rPr>
        <w:t>深圳艾利佳材料科技</w:t>
      </w:r>
      <w:r>
        <w:rPr>
          <w:b/>
          <w:bCs/>
          <w:sz w:val="24"/>
        </w:rPr>
        <w:t>有限公司</w:t>
      </w:r>
    </w:p>
    <w:p w14:paraId="072137B0">
      <w:pPr>
        <w:pStyle w:val="36"/>
        <w:spacing w:line="360" w:lineRule="auto"/>
        <w:ind w:firstLine="480"/>
        <w:jc w:val="left"/>
        <w:rPr>
          <w:rFonts w:ascii="Times New Roman" w:cs="Times New Roman"/>
          <w:sz w:val="24"/>
          <w:szCs w:val="24"/>
        </w:rPr>
      </w:pPr>
      <w:r>
        <w:rPr>
          <w:rFonts w:hint="eastAsia" w:ascii="Times New Roman" w:cs="Times New Roman"/>
          <w:sz w:val="24"/>
          <w:szCs w:val="24"/>
        </w:rPr>
        <w:t>深圳艾利佳材料科技有限公司成立于 2016 年，为国家高新技术企业、国家级专精特新 “小巨人” 企业，建有广东省高性能钛合金工程技术研究中心。公司打通喂料制备、模具开发、MIM 成形、脱脂烧结、后处理至模组装配完整产业链，具备粉末注射成形全制程自主研发与规模化生产能力。</w:t>
      </w:r>
    </w:p>
    <w:p w14:paraId="206220FF">
      <w:pPr>
        <w:pStyle w:val="36"/>
        <w:spacing w:line="360" w:lineRule="auto"/>
        <w:ind w:firstLine="480"/>
        <w:jc w:val="left"/>
        <w:rPr>
          <w:rFonts w:ascii="Times New Roman" w:cs="Times New Roman"/>
          <w:sz w:val="24"/>
          <w:szCs w:val="24"/>
        </w:rPr>
      </w:pPr>
      <w:r>
        <w:rPr>
          <w:rFonts w:hint="eastAsia" w:ascii="Times New Roman" w:cs="Times New Roman"/>
          <w:sz w:val="24"/>
          <w:szCs w:val="24"/>
        </w:rPr>
        <w:t>公司持续布局多元化注射成形材料体系，实现钛合金、不锈钢、热管理材料、稀土永磁材料等材料量产与迭代开发，核心产品涵盖 MIM 手表中框、手机中框、智能终端转轴及各类高端精密结构件，深度服务华为、小米、安费诺等行业头部客户。</w:t>
      </w:r>
    </w:p>
    <w:p w14:paraId="0A50BF11">
      <w:pPr>
        <w:pStyle w:val="36"/>
        <w:spacing w:line="360" w:lineRule="auto"/>
        <w:ind w:firstLine="480"/>
        <w:jc w:val="left"/>
        <w:rPr>
          <w:rFonts w:ascii="Times New Roman" w:cs="Times New Roman"/>
          <w:sz w:val="24"/>
          <w:szCs w:val="24"/>
        </w:rPr>
      </w:pPr>
      <w:r>
        <w:rPr>
          <w:rFonts w:hint="eastAsia" w:ascii="Times New Roman" w:cs="Times New Roman"/>
          <w:sz w:val="24"/>
          <w:szCs w:val="24"/>
        </w:rPr>
        <w:t>企业坚持创新驱动，现有研发人员 110 余人，研发团队由国家万人计划领军人才领衔，包含博士 3 名、硕士 26 名，技术研发实力雄厚。先后承担、参与国家及深圳市重大专项项目6 项，获得省部级奖项5项，持续突破精密粉末成形关键技术，不断推进新材料与新工艺国产化应用，致力于成为高端精密金属零部件领域领先的材料与制造解决方案服务商</w:t>
      </w:r>
      <w:r>
        <w:rPr>
          <w:rFonts w:ascii="Times New Roman" w:cs="Times New Roman"/>
          <w:sz w:val="24"/>
          <w:szCs w:val="24"/>
        </w:rPr>
        <w:t>。</w:t>
      </w:r>
    </w:p>
    <w:p w14:paraId="0A50BF12">
      <w:pPr>
        <w:pStyle w:val="36"/>
        <w:spacing w:line="360" w:lineRule="auto"/>
        <w:ind w:firstLine="0" w:firstLineChars="0"/>
        <w:jc w:val="left"/>
        <w:outlineLvl w:val="2"/>
        <w:rPr>
          <w:rFonts w:ascii="Times New Roman" w:cs="Times New Roman"/>
          <w:sz w:val="24"/>
          <w:szCs w:val="24"/>
        </w:rPr>
      </w:pPr>
      <w:r>
        <w:rPr>
          <w:rFonts w:ascii="Times New Roman" w:cs="Times New Roman"/>
          <w:b/>
          <w:bCs/>
          <w:sz w:val="24"/>
        </w:rPr>
        <w:t>1</w:t>
      </w:r>
      <w:r>
        <w:rPr>
          <w:rFonts w:ascii="Times New Roman" w:cs="Times New Roman"/>
          <w:b/>
          <w:bCs/>
          <w:kern w:val="2"/>
          <w:sz w:val="24"/>
        </w:rPr>
        <w:t xml:space="preserve">.3.2 </w:t>
      </w:r>
      <w:r>
        <w:rPr>
          <w:rFonts w:hint="eastAsia" w:ascii="Times New Roman" w:cs="Times New Roman"/>
          <w:b/>
          <w:bCs/>
          <w:kern w:val="2"/>
          <w:sz w:val="24"/>
        </w:rPr>
        <w:t>北京科技大学</w:t>
      </w:r>
    </w:p>
    <w:p w14:paraId="5760BC66">
      <w:pPr>
        <w:pStyle w:val="36"/>
        <w:spacing w:line="360" w:lineRule="auto"/>
        <w:ind w:firstLine="480"/>
        <w:jc w:val="left"/>
        <w:rPr>
          <w:rFonts w:ascii="Times New Roman" w:cs="Times New Roman"/>
          <w:sz w:val="24"/>
        </w:rPr>
      </w:pPr>
      <w:r>
        <w:rPr>
          <w:rFonts w:hint="eastAsia" w:ascii="Times New Roman" w:cs="Times New Roman"/>
          <w:sz w:val="24"/>
        </w:rPr>
        <w:t>北京科技大学的历史渊源可追溯至1895年北洋西学学堂创办的中国近代史上第一个矿冶学科，1952年，学校由天津大学（原北洋大学）、清华大学等6所国内著名大学的矿冶系科组建而成，名为北京钢铁工业学院，是新中国建立的第一所钢铁工业高等学府。1960年，更名为北京钢铁学院，并被批准为全国重点高等学校。1984年，成为全国首批正式成立研究生院的高等学校之一。1988年，更名为北京科技大学。1997年5月，学校首批进入国家“211工程”建设高校行列。2006年，学校成为首批“985工程”优势学科创新平台建设高校。2014年，学校牵头的“钢铁共性技术协同创新中心”成功入选国家“2011计划”。2017年，学校入选国家“双一流”建设高校。2018年，学校获批国防科工局、教育部共建高校。目前，学校已发展成为一所以工为主，工、理、管、文、经、法、农、交叉等多学科协调发展的教育部直属全国重点大学。</w:t>
      </w:r>
    </w:p>
    <w:p w14:paraId="35287E7B">
      <w:pPr>
        <w:pStyle w:val="36"/>
        <w:spacing w:line="360" w:lineRule="auto"/>
        <w:ind w:firstLine="480"/>
        <w:jc w:val="left"/>
        <w:rPr>
          <w:rFonts w:ascii="Times New Roman" w:cs="Times New Roman"/>
          <w:sz w:val="24"/>
        </w:rPr>
      </w:pPr>
      <w:r>
        <w:rPr>
          <w:rFonts w:hint="eastAsia" w:ascii="Times New Roman" w:cs="Times New Roman"/>
          <w:sz w:val="24"/>
        </w:rPr>
        <w:t>建校七十余年来，学校逐步形成了“求实鼎新”的校训精神、“学风严谨，崇尚实践”的优良传统和“追求卓越、勇于争先”的新时代北科精神新特质，为社会培养各类人才33万余人，50名校友当选为中国科学院或中国工程院院士，一大批校友走上航天科技、航天科工、中国一重、鞍钢、中国宝武、中国矿产、中铝集团、中国五矿、中国钢研、中国有色、中国有研、矿冶科技、中国黄金、北汽、河钢、中联重科、比亚迪、中天钢铁等世界500强企业及行业领军企业的重要领导岗位。学校为我国钢铁工业发展作出了积极贡献，被誉为“钢铁摇篮”。</w:t>
      </w:r>
    </w:p>
    <w:p w14:paraId="0A50BF13">
      <w:pPr>
        <w:pStyle w:val="36"/>
        <w:spacing w:line="360" w:lineRule="auto"/>
        <w:ind w:firstLine="480"/>
        <w:jc w:val="left"/>
        <w:rPr>
          <w:rFonts w:ascii="Times New Roman" w:cs="Times New Roman"/>
          <w:sz w:val="24"/>
        </w:rPr>
      </w:pPr>
      <w:r>
        <w:rPr>
          <w:rFonts w:hint="eastAsia" w:ascii="Times New Roman" w:cs="Times New Roman"/>
          <w:sz w:val="24"/>
        </w:rPr>
        <w:t>学校拥有一支由中国科学院、中国工程院院士领衔的高质量师资队伍。教职工总数3762人，其中专任教师2189人，具有正高级专业技术职务的专任教师797人，具有副高级专业技术职务的专任教师913人，在站博士后479人。现有国务院学位委员会学科评议组成员5人，全国专业学位研究生教育指导委员会委员1人，国家973项目首席科学家3人，国家级有突出贡献专家13人，省部级有突出贡献专家10人，国家杰出青年科学基金获得者18人，“万人计划”领军人才19人、青年拔尖人才4人，国家级教学名师4人，国家百千万人才工程人选20人，国家优秀青年科学基金获得者18人，北京市教学名师42人，北京市青年教学名师14人，教育部跨世纪人才/青年教师奖/新世纪优秀人才101人，其他国家重大人才工程（含青年项目）入选者130人次</w:t>
      </w:r>
      <w:r>
        <w:rPr>
          <w:rFonts w:ascii="Times New Roman" w:cs="Times New Roman"/>
          <w:sz w:val="24"/>
        </w:rPr>
        <w:t>。</w:t>
      </w:r>
    </w:p>
    <w:p w14:paraId="0A50BF14">
      <w:pPr>
        <w:pStyle w:val="36"/>
        <w:spacing w:line="360" w:lineRule="auto"/>
        <w:ind w:firstLine="0" w:firstLineChars="0"/>
        <w:jc w:val="left"/>
        <w:outlineLvl w:val="2"/>
        <w:rPr>
          <w:rFonts w:ascii="Times New Roman" w:cs="Times New Roman"/>
          <w:sz w:val="24"/>
        </w:rPr>
      </w:pPr>
      <w:r>
        <w:rPr>
          <w:rFonts w:ascii="Times New Roman" w:cs="Times New Roman"/>
          <w:b/>
          <w:bCs/>
          <w:sz w:val="24"/>
        </w:rPr>
        <w:t>1.3.3 广东科学院新材料研究所</w:t>
      </w:r>
    </w:p>
    <w:p w14:paraId="413F0246">
      <w:pPr>
        <w:spacing w:line="360" w:lineRule="auto"/>
        <w:ind w:firstLine="480" w:firstLineChars="200"/>
        <w:rPr>
          <w:sz w:val="24"/>
        </w:rPr>
      </w:pPr>
      <w:r>
        <w:rPr>
          <w:rFonts w:hint="eastAsia"/>
          <w:sz w:val="24"/>
        </w:rPr>
        <w:t>广东省科学院新材料研究所隶属广东省科学院，为其骨干科研院所，公益二类事业单位。研究所承担现代材料表面工程技术国家工程实验室、国家钛及稀有金属粉末冶金工程技术研究中心、广东省现代表面工程技术重点实验室、广东省金属强韧化技术与应用重点实验室等创新平台的建设，开展新材料领域基础性和关键共性技术研究，承担新材料研究开发及工程化验证、新材料领域科技创新平台建设，提供新材料领域的分析测试、产品试制、技术咨询、科技培训、学术交流、人才培养、科学传播等服务。</w:t>
      </w:r>
    </w:p>
    <w:p w14:paraId="29471F6F">
      <w:pPr>
        <w:spacing w:line="360" w:lineRule="auto"/>
        <w:ind w:firstLine="480" w:firstLineChars="200"/>
        <w:rPr>
          <w:sz w:val="24"/>
        </w:rPr>
      </w:pPr>
      <w:r>
        <w:rPr>
          <w:rFonts w:hint="eastAsia"/>
          <w:sz w:val="24"/>
        </w:rPr>
        <w:t>新材料所现有员工261人，其中中国工程院院士1人。</w:t>
      </w:r>
    </w:p>
    <w:p w14:paraId="288D9D4C">
      <w:pPr>
        <w:spacing w:line="360" w:lineRule="auto"/>
        <w:ind w:firstLine="480" w:firstLineChars="200"/>
        <w:rPr>
          <w:sz w:val="24"/>
        </w:rPr>
      </w:pPr>
      <w:r>
        <w:rPr>
          <w:rFonts w:hint="eastAsia"/>
          <w:sz w:val="24"/>
        </w:rPr>
        <w:t>研究所紧密围绕国家重大工程和广东省战略产业集群高质量发展，面向航空航天、海洋工程、能源化工、矿山冶金、轨道交通、生物医疗等领域，布局了热/冷喷涂、真空镀膜、激光制造、复合材料、有色金属材料、粉末冶金、材料计算和材料分析评价等优势特色研究方向。累计授权中国、美国专利超750件。荣获各类科技奖励130多项，其中国家级科技奖励3项、省部级科技奖励37项、中国有色金属工业科学技术奖等社会力量奖75项。制修订国标42项，行标19项。</w:t>
      </w:r>
    </w:p>
    <w:p w14:paraId="0A50BF15">
      <w:pPr>
        <w:spacing w:line="360" w:lineRule="auto"/>
        <w:ind w:firstLine="480" w:firstLineChars="200"/>
        <w:rPr>
          <w:sz w:val="24"/>
        </w:rPr>
      </w:pPr>
      <w:r>
        <w:rPr>
          <w:rFonts w:hint="eastAsia"/>
          <w:sz w:val="24"/>
        </w:rPr>
        <w:t>研究所通过ISO、AS9100D、科研机构知识产权、实验室CMA、CNAS等管理体系认证</w:t>
      </w:r>
      <w:r>
        <w:rPr>
          <w:sz w:val="24"/>
        </w:rPr>
        <w:t>。</w:t>
      </w:r>
    </w:p>
    <w:p w14:paraId="0A50BF16">
      <w:pPr>
        <w:spacing w:line="360" w:lineRule="auto"/>
        <w:outlineLvl w:val="2"/>
        <w:rPr>
          <w:sz w:val="24"/>
        </w:rPr>
      </w:pPr>
      <w:r>
        <w:rPr>
          <w:b/>
          <w:bCs/>
          <w:sz w:val="24"/>
        </w:rPr>
        <w:t>1.3.</w:t>
      </w:r>
      <w:r>
        <w:rPr>
          <w:rFonts w:hint="eastAsia"/>
          <w:b/>
          <w:bCs/>
          <w:sz w:val="24"/>
        </w:rPr>
        <w:t>4</w:t>
      </w:r>
      <w:r>
        <w:rPr>
          <w:b/>
          <w:bCs/>
          <w:sz w:val="24"/>
        </w:rPr>
        <w:t xml:space="preserve"> 深圳北理莫斯科大学</w:t>
      </w:r>
    </w:p>
    <w:p w14:paraId="0A50BF17">
      <w:pPr>
        <w:spacing w:line="360" w:lineRule="auto"/>
        <w:ind w:firstLine="480" w:firstLineChars="200"/>
        <w:rPr>
          <w:sz w:val="24"/>
        </w:rPr>
      </w:pPr>
      <w:r>
        <w:rPr>
          <w:sz w:val="24"/>
        </w:rPr>
        <w:t>深圳北理莫斯科大学是由深圳市人民政府、北京理工大学和莫斯科国立罗蒙诺索夫大学合作设立的具有独立法人资格的中外合作大学，面向国家和区域重大需求，开展高水平科学研究与创新型人才培养。学校材料科学与工程学科入选广东省高水平大学重点建设学科和省级一流本科专业建设点，具备较为完善的科研平台和实验条件。学校现有教学科研人员500余人，汇聚众多中外高层次人才，在材料科学与工程领域承担了多项国家级和省部级科研项目，形成了稳定的研究方向和持续的科研产出。学校建有多层级科研平台和专业实验室，能够满足材料制备、结构表征和力学性能测试等研究需求。在粉末冶金及相关领域开展了系统研究，重点围绕粉末冶金材料制备工艺、烧结致密化行为、显微组织调控及力学性能测试与评价方法等方面形成了较为扎实的技术积累，相关成果在工程应用和技术转化中得到验证。依托上述研究基础和实验条件，深圳北理莫斯科大学具备参与金属注射成形钛及钛合金异形件相关标准研究、试样制备与测试方法验证等工作的能力，可为标准的科学性、先进性和可操作性提供技术支撑。</w:t>
      </w:r>
    </w:p>
    <w:p w14:paraId="0A50BF18">
      <w:pPr>
        <w:spacing w:line="360" w:lineRule="auto"/>
        <w:outlineLvl w:val="2"/>
        <w:rPr>
          <w:sz w:val="24"/>
        </w:rPr>
      </w:pPr>
      <w:r>
        <w:rPr>
          <w:b/>
          <w:bCs/>
          <w:sz w:val="24"/>
        </w:rPr>
        <w:t>1.3.</w:t>
      </w:r>
      <w:r>
        <w:rPr>
          <w:rFonts w:hint="eastAsia"/>
          <w:b/>
          <w:bCs/>
          <w:sz w:val="24"/>
        </w:rPr>
        <w:t>5</w:t>
      </w:r>
      <w:r>
        <w:rPr>
          <w:b/>
          <w:bCs/>
          <w:sz w:val="24"/>
        </w:rPr>
        <w:t xml:space="preserve"> 歌尔股份有限公司</w:t>
      </w:r>
    </w:p>
    <w:p w14:paraId="6AF33101">
      <w:pPr>
        <w:spacing w:line="360" w:lineRule="auto"/>
        <w:ind w:firstLine="480" w:firstLineChars="200"/>
        <w:rPr>
          <w:sz w:val="24"/>
          <w:szCs w:val="24"/>
        </w:rPr>
      </w:pPr>
      <w:r>
        <w:rPr>
          <w:rFonts w:hint="eastAsia"/>
          <w:sz w:val="24"/>
          <w:szCs w:val="24"/>
        </w:rPr>
        <w:t>歌尔股份有限公司成立于2001年，2008年在深圳证券交易所上市，主要从事声学、光学、微电子、精密结构件等精密零组件，虚拟/增强现实、智能耳机、智能穿戴、智能家居等智能硬件，以及高端装备等产品的研发、制造与销售。是国家重点高新技术企业、国家技术创新示范企业、制造业单项冠军示范企业。2025年营收 965.50亿元，净利润39.40亿元，同比增长 47.85%。</w:t>
      </w:r>
    </w:p>
    <w:p w14:paraId="0A50BF19">
      <w:pPr>
        <w:spacing w:line="360" w:lineRule="auto"/>
        <w:ind w:firstLine="480" w:firstLineChars="200"/>
        <w:rPr>
          <w:sz w:val="24"/>
        </w:rPr>
      </w:pPr>
      <w:r>
        <w:rPr>
          <w:rFonts w:hint="eastAsia"/>
          <w:sz w:val="24"/>
          <w:szCs w:val="24"/>
        </w:rPr>
        <w:t>歌尔在多个细分领域占据行业领先地位，微型扬声器/受话器、MEMS声学传感器、虚拟/增强现实、智能穿戴出货量全球领先。中高端虚拟现实头显出货量占全球80%以上份额。与索尼、Meta、亚马逊、三星等国际一流企业建立了长期稳定的战略合作关系。与美国斯坦福大学、麻省理工学院、清华大学、浙江大学、中科院等知名高校和科研机构开展产学研合作。在潍坊、青岛、北京、上海、南京、西安、深圳等国内主要城市，以及美国、丹麦、日本、韩国、新加坡等国家设立研发中心，形成全球化研发体系。累计申请专利3.6万项，拥有14个国家级和省级研发平台，先后承担了20余项“国字号”重大专项，入选2025年《财富》中国科技50强</w:t>
      </w:r>
      <w:r>
        <w:rPr>
          <w:sz w:val="24"/>
          <w:szCs w:val="24"/>
        </w:rPr>
        <w:t>。</w:t>
      </w:r>
    </w:p>
    <w:p w14:paraId="0A50BF1A">
      <w:pPr>
        <w:spacing w:line="360" w:lineRule="auto"/>
        <w:outlineLvl w:val="2"/>
        <w:rPr>
          <w:b/>
          <w:bCs/>
          <w:sz w:val="24"/>
        </w:rPr>
      </w:pPr>
      <w:r>
        <w:rPr>
          <w:b/>
          <w:bCs/>
          <w:sz w:val="24"/>
        </w:rPr>
        <w:t>1.3.</w:t>
      </w:r>
      <w:r>
        <w:rPr>
          <w:rFonts w:hint="eastAsia"/>
          <w:b/>
          <w:bCs/>
          <w:sz w:val="24"/>
        </w:rPr>
        <w:t>6</w:t>
      </w:r>
      <w:r>
        <w:rPr>
          <w:b/>
          <w:bCs/>
          <w:sz w:val="24"/>
        </w:rPr>
        <w:t xml:space="preserve"> 小米通讯技术有限公司</w:t>
      </w:r>
    </w:p>
    <w:p w14:paraId="0A50BF1B">
      <w:pPr>
        <w:spacing w:line="360" w:lineRule="auto"/>
        <w:ind w:firstLine="480" w:firstLineChars="200"/>
        <w:rPr>
          <w:sz w:val="24"/>
        </w:rPr>
      </w:pPr>
      <w:r>
        <w:rPr>
          <w:sz w:val="24"/>
        </w:rPr>
        <w:t>小米集团正式成立于2010年4月，是一家以手机、智能硬件和IoT 平台为核心的互联网公司。小米的使命是，始终坚持做“感动人心、价格厚道”的好产品，让全球每个人都能享受科技带来的美好生活。2019年美国《财富》杂志发布世界500强排行榜，小米集团成为最快上榜的中国互联网以及科技企业，在上榜的全球互联网企业中排名第7。小米通讯技术有限公司，经营项目：开发手机技术、计算机软件及信息技术；销售自产产品及售后维修服务等。2020年9月10日，2020中国民营企业500强榜单发布，小米通讯技术有限公司位列第18名，营业收入20583868万元。2021年9月，入选“2021年中国民营企业500强”榜单，排名22位。</w:t>
      </w:r>
    </w:p>
    <w:p w14:paraId="0A50BF1C">
      <w:pPr>
        <w:pStyle w:val="36"/>
        <w:spacing w:line="360" w:lineRule="auto"/>
        <w:ind w:firstLine="0" w:firstLineChars="0"/>
        <w:jc w:val="left"/>
        <w:outlineLvl w:val="2"/>
        <w:rPr>
          <w:rFonts w:ascii="Times New Roman" w:cs="Times New Roman"/>
          <w:sz w:val="24"/>
        </w:rPr>
      </w:pPr>
      <w:r>
        <w:rPr>
          <w:rFonts w:ascii="Times New Roman" w:cs="Times New Roman"/>
          <w:b/>
          <w:bCs/>
          <w:sz w:val="24"/>
        </w:rPr>
        <w:t>1.3.</w:t>
      </w:r>
      <w:r>
        <w:rPr>
          <w:rFonts w:hint="eastAsia" w:ascii="Times New Roman" w:cs="Times New Roman"/>
          <w:b/>
          <w:bCs/>
          <w:sz w:val="24"/>
        </w:rPr>
        <w:t>7</w:t>
      </w:r>
      <w:r>
        <w:rPr>
          <w:rFonts w:ascii="Times New Roman" w:cs="Times New Roman"/>
          <w:b/>
          <w:bCs/>
          <w:sz w:val="24"/>
        </w:rPr>
        <w:t xml:space="preserve"> 立铠精密科技（盐城）有限公司</w:t>
      </w:r>
    </w:p>
    <w:p w14:paraId="2D94B894">
      <w:pPr>
        <w:spacing w:line="360" w:lineRule="auto"/>
        <w:ind w:firstLine="480" w:firstLineChars="200"/>
        <w:rPr>
          <w:sz w:val="24"/>
        </w:rPr>
      </w:pPr>
      <w:r>
        <w:rPr>
          <w:rFonts w:hint="eastAsia"/>
          <w:sz w:val="24"/>
        </w:rPr>
        <w:t>立铠精密科技（盐城）有限公司为立讯精密控股核心企业，前身为日铠电脑配件有限公司，2017年9月注册成立，坐落于江苏盐城亭湖区立讯智造产业园，注册资本62.64亿元，是全球领先的3C精密金属结构件智能制造企业。</w:t>
      </w:r>
    </w:p>
    <w:p w14:paraId="3D79D125">
      <w:pPr>
        <w:spacing w:line="360" w:lineRule="auto"/>
        <w:ind w:firstLine="480" w:firstLineChars="200"/>
        <w:rPr>
          <w:sz w:val="24"/>
        </w:rPr>
      </w:pPr>
      <w:r>
        <w:rPr>
          <w:rFonts w:hint="eastAsia"/>
          <w:sz w:val="24"/>
        </w:rPr>
        <w:t>公司坚持创新驱动发展，构建多层次科研创新平台，牵头共建江苏省3C增材制造与表面技术重点实验室，建有江苏省企业技术中心、江苏省博士后创新实践基地、CNAS认可实验室等创新载体。公司组建专业化研发团队，持续加大研发投入，聚焦精密模具设计、轻金属成型、增材制造、高端表面处理、智能视觉检测等关键技术攻关，深度推进产学研协同创新，联合高校开展新材料、新工艺前沿研究，累计拥有数百项发明及实用新型专利，掌握高端阳极氧化、送丝增材制造等核心工艺，具备产品方案开发、模具自主设计、材料工艺验证、样品试制到量产导入的全链条研发能力。</w:t>
      </w:r>
    </w:p>
    <w:p w14:paraId="055947F2">
      <w:pPr>
        <w:spacing w:line="360" w:lineRule="auto"/>
        <w:ind w:firstLine="480" w:firstLineChars="200"/>
        <w:rPr>
          <w:sz w:val="24"/>
        </w:rPr>
      </w:pPr>
      <w:r>
        <w:rPr>
          <w:rFonts w:hint="eastAsia"/>
          <w:sz w:val="24"/>
        </w:rPr>
        <w:t>公司拥有精密模具研发制造、轻金属锻造、CNC精密加工、五金冲压、塑胶嵌入成型、高端阳极氧化表面处理一体化完整制程，主营笔记本电脑、平板电脑、智能终端精密外壳、转轴、金属中框等结构零部件，是国际头部消费电子品牌核心供应商。集团在长三角布局盐城、嘉善、上海、如皋等多处智能化生产基地。</w:t>
      </w:r>
    </w:p>
    <w:p w14:paraId="4D29B7AD">
      <w:pPr>
        <w:spacing w:line="360" w:lineRule="auto"/>
        <w:ind w:firstLine="480" w:firstLineChars="200"/>
        <w:rPr>
          <w:sz w:val="24"/>
        </w:rPr>
      </w:pPr>
      <w:r>
        <w:rPr>
          <w:rFonts w:hint="eastAsia"/>
          <w:sz w:val="24"/>
        </w:rPr>
        <w:t>企业大力推进自动化、数字化、智能化转型升级，先后斩获多项重磅荣誉：国家级卓越级智能工厂、国家级智能制造示范工厂、国家级绿色工厂、工信部5G全连接工厂；同时获评江苏省独角兽企业、江苏省民营科技企业、全国五一劳动奖状，连续多年入选中国制造业民营企业500强。厂区大规模部署自动化设备与AI视觉检测系统，多条产线实现黑灯生产，依托数字化平台有效缩短新品研发周期、提升制造效能。</w:t>
      </w:r>
    </w:p>
    <w:p w14:paraId="0A50BF23">
      <w:pPr>
        <w:spacing w:line="360" w:lineRule="auto"/>
        <w:ind w:firstLine="480" w:firstLineChars="200"/>
        <w:rPr>
          <w:sz w:val="24"/>
        </w:rPr>
      </w:pPr>
      <w:r>
        <w:rPr>
          <w:rFonts w:hint="eastAsia"/>
          <w:sz w:val="24"/>
        </w:rPr>
        <w:t>公司坚持“智能化研发、数字化运营、精细化管控、自动化制造”发展理念，持续深耕高端精密制造领域，在稳固消费电子业务基础上，积极拓展汽车精密零部件等新兴业务板块，致力于成为全球一流精密结构件解决方案服务商</w:t>
      </w:r>
      <w:r>
        <w:rPr>
          <w:sz w:val="24"/>
        </w:rPr>
        <w:t>。</w:t>
      </w:r>
    </w:p>
    <w:p w14:paraId="282E0526">
      <w:pPr>
        <w:pStyle w:val="36"/>
        <w:spacing w:line="360" w:lineRule="auto"/>
        <w:ind w:firstLine="0" w:firstLineChars="0"/>
        <w:jc w:val="left"/>
        <w:outlineLvl w:val="2"/>
        <w:rPr>
          <w:rFonts w:ascii="Times New Roman" w:cs="Times New Roman"/>
          <w:sz w:val="24"/>
        </w:rPr>
      </w:pPr>
      <w:r>
        <w:rPr>
          <w:rFonts w:ascii="Times New Roman" w:cs="Times New Roman"/>
          <w:b/>
          <w:bCs/>
          <w:sz w:val="24"/>
        </w:rPr>
        <w:t>1.3.</w:t>
      </w:r>
      <w:r>
        <w:rPr>
          <w:rFonts w:hint="eastAsia" w:ascii="Times New Roman" w:cs="Times New Roman"/>
          <w:b/>
          <w:bCs/>
          <w:sz w:val="24"/>
        </w:rPr>
        <w:t>8</w:t>
      </w:r>
      <w:r>
        <w:rPr>
          <w:rFonts w:ascii="Times New Roman" w:cs="Times New Roman"/>
          <w:b/>
          <w:bCs/>
          <w:sz w:val="24"/>
        </w:rPr>
        <w:t xml:space="preserve"> 成都先进金属材料产业技术研究院股份有限公司</w:t>
      </w:r>
    </w:p>
    <w:p w14:paraId="1866C216">
      <w:pPr>
        <w:spacing w:line="360" w:lineRule="auto"/>
        <w:ind w:firstLine="480" w:firstLineChars="200"/>
        <w:rPr>
          <w:sz w:val="24"/>
        </w:rPr>
      </w:pPr>
      <w:r>
        <w:rPr>
          <w:sz w:val="24"/>
        </w:rPr>
        <w:t>成都先进金属材料产业技术研究院股份有限公司于2017年6月组建成立，是攀钢研究院控股子公司、鞍钢集团钒钛特钢新材料重要研发机构，是钒钛资源综合利用国家重点实验室、海洋装备用金属材料及其应用国家重点实验室等国家级创新平台的重要组成部分。2020年4月首批入选国家“科改示范企业”，2022年11月引进外部战略投资者，成为一家股权多元化科技型企业。2022年、2023年连续获评国务院国资委科改示范行动“标杆”。材料院围绕航空航天、海洋装备、能源交通等发展需求，开展钒钛新材料、特种金属材料及非传统新材料的应用基础、重大前沿技术、关键共性技术及工程化应用研究。累计开展国家级、省部级重点研发计划项目（课题）60余项。现有正式员工182人，其中科技人员142名，硕博人才占比72%。自主培养全国青年岗位能手标兵、天府青城计划、四川省学术和技术带头人等优秀青年人才23人。柔性引进中国工程院院士等国家级顶尖人才30余人。</w:t>
      </w:r>
    </w:p>
    <w:p w14:paraId="711B1008">
      <w:pPr>
        <w:pStyle w:val="36"/>
        <w:spacing w:line="360" w:lineRule="auto"/>
        <w:ind w:firstLine="0" w:firstLineChars="0"/>
        <w:jc w:val="left"/>
        <w:outlineLvl w:val="2"/>
        <w:rPr>
          <w:rFonts w:ascii="Times New Roman" w:cs="Times New Roman"/>
          <w:sz w:val="24"/>
        </w:rPr>
      </w:pPr>
      <w:r>
        <w:rPr>
          <w:rFonts w:ascii="Times New Roman" w:cs="Times New Roman"/>
          <w:b/>
          <w:bCs/>
          <w:sz w:val="24"/>
        </w:rPr>
        <w:t>1.3.</w:t>
      </w:r>
      <w:r>
        <w:rPr>
          <w:rFonts w:hint="eastAsia" w:ascii="Times New Roman" w:cs="Times New Roman"/>
          <w:b/>
          <w:bCs/>
          <w:sz w:val="24"/>
        </w:rPr>
        <w:t xml:space="preserve">9 </w:t>
      </w:r>
      <w:r>
        <w:rPr>
          <w:rFonts w:ascii="Times New Roman" w:cs="Times New Roman"/>
          <w:b/>
          <w:bCs/>
          <w:sz w:val="24"/>
        </w:rPr>
        <w:t>江苏精研科技股份有限公司</w:t>
      </w:r>
    </w:p>
    <w:p w14:paraId="1CF2C2F5">
      <w:pPr>
        <w:pStyle w:val="2"/>
        <w:spacing w:line="360" w:lineRule="auto"/>
        <w:ind w:firstLine="480" w:firstLineChars="200"/>
        <w:rPr>
          <w:szCs w:val="21"/>
        </w:rPr>
      </w:pPr>
      <w:r>
        <w:rPr>
          <w:szCs w:val="21"/>
        </w:rPr>
        <w:t>江苏精研科技股份有限公司成立于2004年，总部位于常州钟楼经开区，是创业板上市企业（股票代码：300709）。作为专业的金属粉末注射成形（MIM）产品生产商和解决方案提供商，公司不仅是国家制造业单项冠军示范企业，更是钛合金注射成型行业标准制定的引领者，拥有定义行业技术规范的核心话语权。公司构建了强大的技术创新体系，设有江苏省钛合金粉末注射成型技术工程中心、省企业技术中心等四大省级创新平台。凭借深厚的技术积淀，公司荣获国家技术发明奖二等奖、国家高新技术企业等殊荣，并通过IATF16949、ISO13485等国际权威认证。公司参与了3项国家重点项目《高性能小模数齿轮传动设计制造关键技术》、《高强轻质金属结构材料精密注射成形技术》、《新材料科技数据资源节点建设》。特别是在钛合金MIM领域，公司不仅掌握了关键核心技术，更主导制定了相关行业标准，确立了在高端精密制造领域的标杆地位。公司产品涵盖MIM零部件、精密塑胶组件及传动散热部件等超10000款定制产品，广泛应用于消费电子、汽车及高端装备领域。依托卓越的品质与标准制定能力，公司已进入三星、小米、本田、上汽通用等全球知名企业供应链。精研科技将持续发挥钛合金注射成型技术的领跑优势，以标准引领创新，为全球客户提供顶尖的精密制造解决方案</w:t>
      </w:r>
      <w:r>
        <w:rPr>
          <w:rFonts w:hint="eastAsia"/>
          <w:szCs w:val="21"/>
        </w:rPr>
        <w:t>。</w:t>
      </w:r>
    </w:p>
    <w:p w14:paraId="7C4EF965">
      <w:pPr>
        <w:pStyle w:val="36"/>
        <w:spacing w:line="360" w:lineRule="auto"/>
        <w:ind w:firstLine="0" w:firstLineChars="0"/>
        <w:jc w:val="left"/>
        <w:outlineLvl w:val="2"/>
        <w:rPr>
          <w:rFonts w:ascii="Times New Roman" w:cs="Times New Roman"/>
          <w:sz w:val="24"/>
        </w:rPr>
      </w:pPr>
      <w:r>
        <w:rPr>
          <w:rFonts w:ascii="Times New Roman" w:cs="Times New Roman"/>
          <w:b/>
          <w:bCs/>
          <w:sz w:val="24"/>
        </w:rPr>
        <w:t>1.3.</w:t>
      </w:r>
      <w:r>
        <w:rPr>
          <w:rFonts w:hint="eastAsia" w:ascii="Times New Roman" w:cs="Times New Roman"/>
          <w:b/>
          <w:bCs/>
          <w:sz w:val="24"/>
        </w:rPr>
        <w:t xml:space="preserve">10 </w:t>
      </w:r>
      <w:r>
        <w:rPr>
          <w:rFonts w:ascii="Times New Roman" w:cs="Times New Roman"/>
          <w:b/>
          <w:bCs/>
          <w:sz w:val="24"/>
        </w:rPr>
        <w:t>上海富驰高科技股份有限公司</w:t>
      </w:r>
    </w:p>
    <w:p w14:paraId="43000C6E">
      <w:pPr>
        <w:pStyle w:val="2"/>
        <w:spacing w:line="360" w:lineRule="auto"/>
        <w:ind w:firstLine="480" w:firstLineChars="200"/>
        <w:rPr>
          <w:szCs w:val="21"/>
        </w:rPr>
      </w:pPr>
      <w:r>
        <w:rPr>
          <w:rFonts w:hint="eastAsia"/>
          <w:szCs w:val="21"/>
        </w:rPr>
        <w:t>上海富驰高科技股份有限公司（简称“富驰高科”）成立于1999年，是中国长三角地区首家、国内排名前三的集MIM（金属粉末注射成型）、CIM（陶瓷粉末注射成型）、BMG（液态金属）及塑胶等工艺于一体的一站式解决方案集成提供商。</w:t>
      </w:r>
    </w:p>
    <w:p w14:paraId="698F90CC">
      <w:pPr>
        <w:pStyle w:val="2"/>
        <w:spacing w:line="360" w:lineRule="auto"/>
        <w:rPr>
          <w:szCs w:val="21"/>
          <w:highlight w:val="none"/>
        </w:rPr>
      </w:pPr>
      <w:r>
        <w:rPr>
          <w:rFonts w:hint="eastAsia"/>
          <w:szCs w:val="21"/>
        </w:rPr>
        <w:t>经过超过二十年的技术创新与工艺研发，富驰高科已建立起涵盖自主喂料研发、模具设计及加工、注射、脱脂、烧结、后加工、自动化设计与组装、焊接、组装等环节的综合性研发和量产能力。公司致力于为消费电子、汽车、医疗、工锁具、通讯、可穿戴等领域的头部客户提供高质量、</w:t>
      </w:r>
      <w:r>
        <w:rPr>
          <w:rFonts w:hint="eastAsia"/>
          <w:szCs w:val="21"/>
          <w:highlight w:val="none"/>
        </w:rPr>
        <w:t>低成本、及时、准确、高效的交付服务。</w:t>
      </w:r>
    </w:p>
    <w:p w14:paraId="0A50BF24">
      <w:pPr>
        <w:adjustRightInd w:val="0"/>
        <w:snapToGrid w:val="0"/>
        <w:spacing w:before="120" w:beforeLines="50" w:after="120" w:afterLines="50"/>
        <w:outlineLvl w:val="1"/>
        <w:rPr>
          <w:b/>
          <w:bCs/>
          <w:sz w:val="24"/>
          <w:szCs w:val="24"/>
          <w:highlight w:val="none"/>
        </w:rPr>
      </w:pPr>
      <w:bookmarkStart w:id="4" w:name="_Toc5950"/>
      <w:r>
        <w:rPr>
          <w:b/>
          <w:bCs/>
          <w:sz w:val="24"/>
          <w:szCs w:val="24"/>
          <w:highlight w:val="none"/>
        </w:rPr>
        <w:t>1.4起草单位及主要起草人工作情况</w:t>
      </w:r>
      <w:bookmarkEnd w:id="4"/>
    </w:p>
    <w:p w14:paraId="0A50BF25">
      <w:pPr>
        <w:tabs>
          <w:tab w:val="left" w:pos="670"/>
        </w:tabs>
        <w:spacing w:line="360" w:lineRule="auto"/>
        <w:ind w:firstLine="480" w:firstLineChars="200"/>
        <w:rPr>
          <w:sz w:val="24"/>
          <w:szCs w:val="24"/>
        </w:rPr>
      </w:pPr>
      <w:r>
        <w:rPr>
          <w:kern w:val="0"/>
          <w:sz w:val="24"/>
          <w:szCs w:val="24"/>
        </w:rPr>
        <w:t>整个标准修订过程中各参编单位给予了大力的支持帮助。江苏精研科技股份有限公司、上海富驰高科技股份有限公司提供了相关产品。其他单位提供了相关产品实验数据的验证工作以及标准稿校正工作。</w:t>
      </w:r>
      <w:bookmarkStart w:id="24" w:name="_GoBack"/>
      <w:bookmarkEnd w:id="24"/>
    </w:p>
    <w:p w14:paraId="0A50BF26">
      <w:pPr>
        <w:ind w:firstLine="480" w:firstLineChars="200"/>
        <w:rPr>
          <w:kern w:val="0"/>
          <w:sz w:val="24"/>
          <w:szCs w:val="24"/>
        </w:rPr>
      </w:pPr>
      <w:r>
        <w:rPr>
          <w:kern w:val="0"/>
          <w:sz w:val="24"/>
          <w:szCs w:val="24"/>
        </w:rPr>
        <w:t>标准主要起草人以及分工如表1所示。</w:t>
      </w:r>
    </w:p>
    <w:p w14:paraId="0A50BF27">
      <w:pPr>
        <w:adjustRightInd w:val="0"/>
        <w:snapToGrid w:val="0"/>
        <w:ind w:firstLine="200"/>
        <w:jc w:val="center"/>
      </w:pPr>
      <w:r>
        <w:t>表1 标准主要起草人及分工</w:t>
      </w:r>
    </w:p>
    <w:tbl>
      <w:tblPr>
        <w:tblStyle w:val="22"/>
        <w:tblW w:w="52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3413"/>
        <w:gridCol w:w="5024"/>
      </w:tblGrid>
      <w:tr w14:paraId="0A50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28">
            <w:pPr>
              <w:adjustRightInd w:val="0"/>
              <w:snapToGrid w:val="0"/>
              <w:jc w:val="center"/>
            </w:pPr>
            <w:bookmarkStart w:id="5" w:name="OLE_LINK4" w:colFirst="0" w:colLast="3"/>
            <w:bookmarkStart w:id="6" w:name="OLE_LINK3" w:colFirst="0" w:colLast="3"/>
            <w:bookmarkStart w:id="7" w:name="_Hlk517223113"/>
            <w:r>
              <w:t>姓名</w:t>
            </w:r>
          </w:p>
        </w:tc>
        <w:tc>
          <w:tcPr>
            <w:tcW w:w="1807" w:type="pct"/>
            <w:vAlign w:val="center"/>
          </w:tcPr>
          <w:p w14:paraId="0A50BF29">
            <w:pPr>
              <w:adjustRightInd w:val="0"/>
              <w:snapToGrid w:val="0"/>
              <w:jc w:val="center"/>
            </w:pPr>
            <w:r>
              <w:t>单位</w:t>
            </w:r>
          </w:p>
        </w:tc>
        <w:tc>
          <w:tcPr>
            <w:tcW w:w="2660" w:type="pct"/>
            <w:vAlign w:val="center"/>
          </w:tcPr>
          <w:p w14:paraId="0A50BF2A">
            <w:pPr>
              <w:adjustRightInd w:val="0"/>
              <w:snapToGrid w:val="0"/>
              <w:jc w:val="center"/>
            </w:pPr>
            <w:r>
              <w:t>分工</w:t>
            </w:r>
          </w:p>
        </w:tc>
      </w:tr>
      <w:bookmarkEnd w:id="5"/>
      <w:bookmarkEnd w:id="6"/>
      <w:bookmarkEnd w:id="7"/>
      <w:tr w14:paraId="0A50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2C">
            <w:pPr>
              <w:adjustRightInd w:val="0"/>
              <w:snapToGrid w:val="0"/>
              <w:jc w:val="center"/>
            </w:pPr>
            <w:r>
              <w:t>余鹏</w:t>
            </w:r>
          </w:p>
        </w:tc>
        <w:tc>
          <w:tcPr>
            <w:tcW w:w="1807" w:type="pct"/>
            <w:vAlign w:val="center"/>
          </w:tcPr>
          <w:p w14:paraId="0A50BF2D">
            <w:pPr>
              <w:adjustRightInd w:val="0"/>
              <w:snapToGrid w:val="0"/>
              <w:jc w:val="center"/>
            </w:pPr>
            <w:r>
              <w:rPr>
                <w:rFonts w:hint="eastAsia" w:ascii="宋体" w:hAnsi="宋体"/>
                <w:lang w:val="zh-CN"/>
              </w:rPr>
              <w:t>深圳艾利佳材料科技有限公司</w:t>
            </w:r>
          </w:p>
        </w:tc>
        <w:tc>
          <w:tcPr>
            <w:tcW w:w="2660" w:type="pct"/>
            <w:vAlign w:val="center"/>
          </w:tcPr>
          <w:p w14:paraId="0A50BF2E">
            <w:pPr>
              <w:adjustRightInd w:val="0"/>
              <w:snapToGrid w:val="0"/>
              <w:jc w:val="center"/>
            </w:pPr>
            <w:r>
              <w:rPr>
                <w:rFonts w:hint="eastAsia"/>
              </w:rPr>
              <w:t>负责</w:t>
            </w:r>
            <w:r>
              <w:t>标准修订，全过程的协调及标准审查</w:t>
            </w:r>
          </w:p>
        </w:tc>
      </w:tr>
      <w:tr w14:paraId="0A50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30">
            <w:pPr>
              <w:adjustRightInd w:val="0"/>
              <w:snapToGrid w:val="0"/>
              <w:jc w:val="center"/>
            </w:pPr>
            <w:r>
              <w:rPr>
                <w:rFonts w:hint="eastAsia"/>
              </w:rPr>
              <w:t>莫畏</w:t>
            </w:r>
          </w:p>
        </w:tc>
        <w:tc>
          <w:tcPr>
            <w:tcW w:w="1807" w:type="pct"/>
            <w:vAlign w:val="center"/>
          </w:tcPr>
          <w:p w14:paraId="0A50BF31">
            <w:pPr>
              <w:adjustRightInd w:val="0"/>
              <w:snapToGrid w:val="0"/>
              <w:jc w:val="center"/>
            </w:pPr>
            <w:r>
              <w:rPr>
                <w:rFonts w:hint="eastAsia" w:ascii="宋体" w:hAnsi="宋体"/>
                <w:lang w:val="zh-CN"/>
              </w:rPr>
              <w:t>深圳艾利佳材料科技有限公司</w:t>
            </w:r>
          </w:p>
        </w:tc>
        <w:tc>
          <w:tcPr>
            <w:tcW w:w="2660" w:type="pct"/>
            <w:vAlign w:val="center"/>
          </w:tcPr>
          <w:p w14:paraId="0A50BF32">
            <w:pPr>
              <w:adjustRightInd w:val="0"/>
              <w:snapToGrid w:val="0"/>
              <w:jc w:val="center"/>
            </w:pPr>
            <w:r>
              <w:t>负责调研、全过程的标准编制、验证、修订</w:t>
            </w:r>
          </w:p>
        </w:tc>
      </w:tr>
      <w:tr w14:paraId="0A50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34">
            <w:pPr>
              <w:adjustRightInd w:val="0"/>
              <w:snapToGrid w:val="0"/>
              <w:jc w:val="center"/>
            </w:pPr>
            <w:r>
              <w:t>曲选辉</w:t>
            </w:r>
          </w:p>
        </w:tc>
        <w:tc>
          <w:tcPr>
            <w:tcW w:w="1807" w:type="pct"/>
            <w:vAlign w:val="center"/>
          </w:tcPr>
          <w:p w14:paraId="0A50BF35">
            <w:pPr>
              <w:adjustRightInd w:val="0"/>
              <w:snapToGrid w:val="0"/>
              <w:jc w:val="center"/>
            </w:pPr>
            <w:r>
              <w:rPr>
                <w:rFonts w:hint="eastAsia" w:ascii="宋体" w:hAnsi="宋体"/>
                <w:lang w:val="zh-CN"/>
              </w:rPr>
              <w:t>北京科技大学</w:t>
            </w:r>
          </w:p>
        </w:tc>
        <w:tc>
          <w:tcPr>
            <w:tcW w:w="2660" w:type="pct"/>
            <w:vAlign w:val="center"/>
          </w:tcPr>
          <w:p w14:paraId="0A50BF36">
            <w:pPr>
              <w:adjustRightInd w:val="0"/>
              <w:snapToGrid w:val="0"/>
              <w:jc w:val="center"/>
            </w:pPr>
            <w:r>
              <w:t>参与标准修订，总体负责标准审查</w:t>
            </w:r>
          </w:p>
        </w:tc>
      </w:tr>
      <w:tr w14:paraId="0A50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38">
            <w:pPr>
              <w:adjustRightInd w:val="0"/>
              <w:snapToGrid w:val="0"/>
              <w:jc w:val="center"/>
            </w:pPr>
            <w:r>
              <w:t>路新</w:t>
            </w:r>
          </w:p>
        </w:tc>
        <w:tc>
          <w:tcPr>
            <w:tcW w:w="1807" w:type="pct"/>
            <w:vAlign w:val="center"/>
          </w:tcPr>
          <w:p w14:paraId="0A50BF39">
            <w:pPr>
              <w:adjustRightInd w:val="0"/>
              <w:snapToGrid w:val="0"/>
              <w:jc w:val="center"/>
            </w:pPr>
            <w:r>
              <w:rPr>
                <w:rFonts w:hint="eastAsia" w:ascii="宋体" w:hAnsi="宋体"/>
                <w:lang w:val="zh-CN"/>
              </w:rPr>
              <w:t>北京科技大学</w:t>
            </w:r>
          </w:p>
        </w:tc>
        <w:tc>
          <w:tcPr>
            <w:tcW w:w="2660" w:type="pct"/>
            <w:vAlign w:val="center"/>
          </w:tcPr>
          <w:p w14:paraId="0A50BF3A">
            <w:pPr>
              <w:adjustRightInd w:val="0"/>
              <w:snapToGrid w:val="0"/>
              <w:jc w:val="center"/>
            </w:pPr>
            <w:r>
              <w:t>参与标准修订，总体负责验证试验</w:t>
            </w:r>
          </w:p>
        </w:tc>
      </w:tr>
      <w:tr w14:paraId="0A50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3C">
            <w:pPr>
              <w:adjustRightInd w:val="0"/>
              <w:snapToGrid w:val="0"/>
              <w:jc w:val="center"/>
            </w:pPr>
            <w:r>
              <w:t>潘宇</w:t>
            </w:r>
          </w:p>
        </w:tc>
        <w:tc>
          <w:tcPr>
            <w:tcW w:w="1807" w:type="pct"/>
            <w:vAlign w:val="center"/>
          </w:tcPr>
          <w:p w14:paraId="0A50BF3D">
            <w:pPr>
              <w:adjustRightInd w:val="0"/>
              <w:snapToGrid w:val="0"/>
              <w:jc w:val="center"/>
            </w:pPr>
            <w:r>
              <w:rPr>
                <w:rFonts w:hint="eastAsia" w:ascii="宋体" w:hAnsi="宋体"/>
                <w:lang w:val="zh-CN"/>
              </w:rPr>
              <w:t>北京科技大学</w:t>
            </w:r>
          </w:p>
        </w:tc>
        <w:tc>
          <w:tcPr>
            <w:tcW w:w="2660" w:type="pct"/>
            <w:vAlign w:val="center"/>
          </w:tcPr>
          <w:p w14:paraId="0A50BF3E">
            <w:pPr>
              <w:adjustRightInd w:val="0"/>
              <w:snapToGrid w:val="0"/>
              <w:jc w:val="center"/>
            </w:pPr>
            <w:r>
              <w:t>提供样品，参与标准修订，提供验证及数据分析</w:t>
            </w:r>
          </w:p>
        </w:tc>
      </w:tr>
      <w:tr w14:paraId="0A50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40">
            <w:pPr>
              <w:adjustRightInd w:val="0"/>
              <w:snapToGrid w:val="0"/>
              <w:jc w:val="center"/>
            </w:pPr>
            <w:r>
              <w:t>刘辛</w:t>
            </w:r>
          </w:p>
        </w:tc>
        <w:tc>
          <w:tcPr>
            <w:tcW w:w="1807" w:type="pct"/>
            <w:vAlign w:val="center"/>
          </w:tcPr>
          <w:p w14:paraId="0A50BF41">
            <w:pPr>
              <w:adjustRightInd w:val="0"/>
              <w:snapToGrid w:val="0"/>
              <w:jc w:val="center"/>
            </w:pPr>
            <w:r>
              <w:rPr>
                <w:rFonts w:hint="eastAsia" w:ascii="宋体" w:hAnsi="宋体"/>
                <w:lang w:val="zh-CN"/>
              </w:rPr>
              <w:t>广东科学院新材料研究所</w:t>
            </w:r>
          </w:p>
        </w:tc>
        <w:tc>
          <w:tcPr>
            <w:tcW w:w="2660" w:type="pct"/>
            <w:vAlign w:val="center"/>
          </w:tcPr>
          <w:p w14:paraId="0A50BF42">
            <w:pPr>
              <w:adjustRightInd w:val="0"/>
              <w:snapToGrid w:val="0"/>
              <w:jc w:val="center"/>
            </w:pPr>
            <w:r>
              <w:t>提供样品，参与标准修订，提供验证及数据分析</w:t>
            </w:r>
          </w:p>
        </w:tc>
      </w:tr>
      <w:tr w14:paraId="0A50B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44">
            <w:pPr>
              <w:adjustRightInd w:val="0"/>
              <w:snapToGrid w:val="0"/>
              <w:jc w:val="center"/>
            </w:pPr>
            <w:r>
              <w:t>罗铁钢</w:t>
            </w:r>
          </w:p>
        </w:tc>
        <w:tc>
          <w:tcPr>
            <w:tcW w:w="1807" w:type="pct"/>
            <w:vAlign w:val="center"/>
          </w:tcPr>
          <w:p w14:paraId="0A50BF45">
            <w:pPr>
              <w:adjustRightInd w:val="0"/>
              <w:snapToGrid w:val="0"/>
              <w:jc w:val="center"/>
            </w:pPr>
            <w:r>
              <w:rPr>
                <w:rFonts w:hint="eastAsia" w:ascii="宋体" w:hAnsi="宋体"/>
                <w:lang w:val="zh-CN"/>
              </w:rPr>
              <w:t>广东科学院新材料研究所</w:t>
            </w:r>
          </w:p>
        </w:tc>
        <w:tc>
          <w:tcPr>
            <w:tcW w:w="2660" w:type="pct"/>
            <w:vAlign w:val="center"/>
          </w:tcPr>
          <w:p w14:paraId="0A50BF46">
            <w:pPr>
              <w:adjustRightInd w:val="0"/>
              <w:snapToGrid w:val="0"/>
              <w:jc w:val="center"/>
            </w:pPr>
            <w:r>
              <w:t>提供样品，参与标准修订，提供验证及数据分析</w:t>
            </w:r>
          </w:p>
        </w:tc>
      </w:tr>
      <w:tr w14:paraId="0A50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48">
            <w:pPr>
              <w:adjustRightInd w:val="0"/>
              <w:snapToGrid w:val="0"/>
              <w:jc w:val="center"/>
            </w:pPr>
            <w:r>
              <w:t>叶曙龙</w:t>
            </w:r>
          </w:p>
        </w:tc>
        <w:tc>
          <w:tcPr>
            <w:tcW w:w="1807" w:type="pct"/>
            <w:vAlign w:val="center"/>
          </w:tcPr>
          <w:p w14:paraId="0A50BF49">
            <w:pPr>
              <w:adjustRightInd w:val="0"/>
              <w:snapToGrid w:val="0"/>
              <w:jc w:val="center"/>
            </w:pPr>
            <w:r>
              <w:rPr>
                <w:rFonts w:hint="eastAsia" w:ascii="宋体" w:hAnsi="宋体"/>
                <w:lang w:val="zh-CN"/>
              </w:rPr>
              <w:t>深圳北理莫斯科大学</w:t>
            </w:r>
          </w:p>
        </w:tc>
        <w:tc>
          <w:tcPr>
            <w:tcW w:w="2660" w:type="pct"/>
            <w:vAlign w:val="center"/>
          </w:tcPr>
          <w:p w14:paraId="0A50BF4A">
            <w:pPr>
              <w:adjustRightInd w:val="0"/>
              <w:snapToGrid w:val="0"/>
              <w:jc w:val="center"/>
            </w:pPr>
            <w:r>
              <w:t>提供样品，参与标准修订，提供验证及数据分析</w:t>
            </w:r>
          </w:p>
        </w:tc>
      </w:tr>
      <w:tr w14:paraId="0A50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4C">
            <w:pPr>
              <w:adjustRightInd w:val="0"/>
              <w:snapToGrid w:val="0"/>
              <w:jc w:val="center"/>
            </w:pPr>
            <w:r>
              <w:t>李树奎</w:t>
            </w:r>
          </w:p>
        </w:tc>
        <w:tc>
          <w:tcPr>
            <w:tcW w:w="1807" w:type="pct"/>
            <w:vAlign w:val="center"/>
          </w:tcPr>
          <w:p w14:paraId="0A50BF4D">
            <w:pPr>
              <w:adjustRightInd w:val="0"/>
              <w:snapToGrid w:val="0"/>
              <w:jc w:val="center"/>
            </w:pPr>
            <w:r>
              <w:rPr>
                <w:rFonts w:hint="eastAsia" w:ascii="宋体" w:hAnsi="宋体"/>
                <w:lang w:val="zh-CN"/>
              </w:rPr>
              <w:t>深圳北理莫斯科大学</w:t>
            </w:r>
          </w:p>
        </w:tc>
        <w:tc>
          <w:tcPr>
            <w:tcW w:w="2660" w:type="pct"/>
            <w:vAlign w:val="center"/>
          </w:tcPr>
          <w:p w14:paraId="0A50BF4E">
            <w:pPr>
              <w:adjustRightInd w:val="0"/>
              <w:snapToGrid w:val="0"/>
              <w:jc w:val="center"/>
            </w:pPr>
            <w:r>
              <w:t>提供样品，参与标准修订，提供验证及数据分析</w:t>
            </w:r>
          </w:p>
        </w:tc>
      </w:tr>
      <w:tr w14:paraId="0A50B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50">
            <w:pPr>
              <w:adjustRightInd w:val="0"/>
              <w:snapToGrid w:val="0"/>
              <w:jc w:val="center"/>
            </w:pPr>
            <w:r>
              <w:t>吕永虎</w:t>
            </w:r>
          </w:p>
        </w:tc>
        <w:tc>
          <w:tcPr>
            <w:tcW w:w="1807" w:type="pct"/>
            <w:vAlign w:val="center"/>
          </w:tcPr>
          <w:p w14:paraId="0A50BF51">
            <w:pPr>
              <w:adjustRightInd w:val="0"/>
              <w:snapToGrid w:val="0"/>
              <w:jc w:val="center"/>
            </w:pPr>
            <w:r>
              <w:rPr>
                <w:rFonts w:hint="eastAsia" w:ascii="宋体" w:hAnsi="宋体"/>
                <w:lang w:val="zh-CN"/>
              </w:rPr>
              <w:t>深圳艾利佳材料科技有限公司</w:t>
            </w:r>
          </w:p>
        </w:tc>
        <w:tc>
          <w:tcPr>
            <w:tcW w:w="2660" w:type="pct"/>
            <w:vAlign w:val="center"/>
          </w:tcPr>
          <w:p w14:paraId="0A50BF52">
            <w:pPr>
              <w:adjustRightInd w:val="0"/>
              <w:snapToGrid w:val="0"/>
              <w:jc w:val="center"/>
            </w:pPr>
            <w:r>
              <w:t>提供样品，参与标准修订，提供验证及数据分析</w:t>
            </w:r>
          </w:p>
        </w:tc>
      </w:tr>
      <w:tr w14:paraId="0A50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54">
            <w:pPr>
              <w:adjustRightInd w:val="0"/>
              <w:snapToGrid w:val="0"/>
              <w:jc w:val="center"/>
            </w:pPr>
            <w:r>
              <w:t>于洋</w:t>
            </w:r>
          </w:p>
        </w:tc>
        <w:tc>
          <w:tcPr>
            <w:tcW w:w="1807" w:type="pct"/>
            <w:vAlign w:val="center"/>
          </w:tcPr>
          <w:p w14:paraId="0A50BF55">
            <w:pPr>
              <w:adjustRightInd w:val="0"/>
              <w:snapToGrid w:val="0"/>
              <w:jc w:val="center"/>
              <w:rPr>
                <w:rFonts w:hint="eastAsia" w:eastAsia="宋体"/>
                <w:lang w:val="en-US" w:eastAsia="zh-CN"/>
              </w:rPr>
            </w:pPr>
            <w:r>
              <w:rPr>
                <w:rFonts w:hint="eastAsia" w:eastAsia="宋体"/>
                <w:lang w:val="en-US" w:eastAsia="zh-CN"/>
              </w:rPr>
              <w:t>歌尔股份有限公司</w:t>
            </w:r>
          </w:p>
        </w:tc>
        <w:tc>
          <w:tcPr>
            <w:tcW w:w="2660" w:type="pct"/>
            <w:vAlign w:val="center"/>
          </w:tcPr>
          <w:p w14:paraId="0A50BF56">
            <w:pPr>
              <w:adjustRightInd w:val="0"/>
              <w:snapToGrid w:val="0"/>
              <w:jc w:val="center"/>
            </w:pPr>
            <w:r>
              <w:t>提供样品，参与标准修订，提供验证及数据分析</w:t>
            </w:r>
          </w:p>
        </w:tc>
      </w:tr>
      <w:tr w14:paraId="0A50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58">
            <w:pPr>
              <w:adjustRightInd w:val="0"/>
              <w:snapToGrid w:val="0"/>
              <w:jc w:val="center"/>
            </w:pPr>
            <w:r>
              <w:rPr>
                <w:rFonts w:hint="eastAsia"/>
              </w:rPr>
              <w:t>王雪锋</w:t>
            </w:r>
          </w:p>
        </w:tc>
        <w:tc>
          <w:tcPr>
            <w:tcW w:w="1807" w:type="pct"/>
            <w:vAlign w:val="center"/>
          </w:tcPr>
          <w:p w14:paraId="0A50BF59">
            <w:pPr>
              <w:adjustRightInd w:val="0"/>
              <w:snapToGrid w:val="0"/>
              <w:jc w:val="center"/>
            </w:pPr>
            <w:r>
              <w:t>小米通讯技术有限公司</w:t>
            </w:r>
          </w:p>
        </w:tc>
        <w:tc>
          <w:tcPr>
            <w:tcW w:w="2660" w:type="pct"/>
            <w:vAlign w:val="center"/>
          </w:tcPr>
          <w:p w14:paraId="0A50BF5A">
            <w:pPr>
              <w:adjustRightInd w:val="0"/>
              <w:snapToGrid w:val="0"/>
              <w:jc w:val="center"/>
            </w:pPr>
            <w:r>
              <w:t>提供样品，参与标准修订，提供验证及数据分析</w:t>
            </w:r>
          </w:p>
        </w:tc>
      </w:tr>
      <w:tr w14:paraId="0A50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5C">
            <w:pPr>
              <w:adjustRightInd w:val="0"/>
              <w:snapToGrid w:val="0"/>
              <w:jc w:val="center"/>
            </w:pPr>
            <w:r>
              <w:t>党卫东</w:t>
            </w:r>
          </w:p>
        </w:tc>
        <w:tc>
          <w:tcPr>
            <w:tcW w:w="1807" w:type="pct"/>
            <w:vAlign w:val="center"/>
          </w:tcPr>
          <w:p w14:paraId="0A50BF5D">
            <w:pPr>
              <w:adjustRightInd w:val="0"/>
              <w:snapToGrid w:val="0"/>
              <w:jc w:val="center"/>
            </w:pPr>
            <w:r>
              <w:rPr>
                <w:rFonts w:hint="eastAsia"/>
              </w:rPr>
              <w:t>立铠精密科技（盐城）有限公司</w:t>
            </w:r>
          </w:p>
        </w:tc>
        <w:tc>
          <w:tcPr>
            <w:tcW w:w="2660" w:type="pct"/>
            <w:vAlign w:val="center"/>
          </w:tcPr>
          <w:p w14:paraId="0A50BF5E">
            <w:pPr>
              <w:adjustRightInd w:val="0"/>
              <w:snapToGrid w:val="0"/>
              <w:jc w:val="center"/>
            </w:pPr>
            <w:r>
              <w:t>参与标准修订，提供相关验证</w:t>
            </w:r>
          </w:p>
        </w:tc>
      </w:tr>
      <w:tr w14:paraId="0A50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60">
            <w:pPr>
              <w:adjustRightInd w:val="0"/>
              <w:snapToGrid w:val="0"/>
              <w:jc w:val="center"/>
            </w:pPr>
            <w:r>
              <w:t>薛志宇</w:t>
            </w:r>
          </w:p>
        </w:tc>
        <w:tc>
          <w:tcPr>
            <w:tcW w:w="1807" w:type="pct"/>
            <w:vAlign w:val="center"/>
          </w:tcPr>
          <w:p w14:paraId="3A984F8C">
            <w:pPr>
              <w:adjustRightInd w:val="0"/>
              <w:snapToGrid w:val="0"/>
              <w:jc w:val="center"/>
            </w:pPr>
            <w:r>
              <w:rPr>
                <w:rFonts w:hint="eastAsia"/>
              </w:rPr>
              <w:t>成都先进金属材料产业技术研究院股份有限公司</w:t>
            </w:r>
          </w:p>
        </w:tc>
        <w:tc>
          <w:tcPr>
            <w:tcW w:w="2660" w:type="pct"/>
            <w:vAlign w:val="center"/>
          </w:tcPr>
          <w:p w14:paraId="0A50BF62">
            <w:pPr>
              <w:adjustRightInd w:val="0"/>
              <w:snapToGrid w:val="0"/>
              <w:jc w:val="center"/>
            </w:pPr>
            <w:r>
              <w:t>参与标准修订，提供相关验证</w:t>
            </w:r>
          </w:p>
        </w:tc>
      </w:tr>
      <w:tr w14:paraId="0A50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64">
            <w:pPr>
              <w:adjustRightInd w:val="0"/>
              <w:snapToGrid w:val="0"/>
              <w:jc w:val="center"/>
            </w:pPr>
            <w:r>
              <w:t>朱明露</w:t>
            </w:r>
          </w:p>
        </w:tc>
        <w:tc>
          <w:tcPr>
            <w:tcW w:w="1807" w:type="pct"/>
            <w:vAlign w:val="center"/>
          </w:tcPr>
          <w:p w14:paraId="0A50BF65">
            <w:pPr>
              <w:adjustRightInd w:val="0"/>
              <w:snapToGrid w:val="0"/>
              <w:jc w:val="center"/>
            </w:pPr>
            <w:r>
              <w:rPr>
                <w:rFonts w:hint="eastAsia"/>
              </w:rPr>
              <w:t>江苏精研科技股份有限公司</w:t>
            </w:r>
          </w:p>
        </w:tc>
        <w:tc>
          <w:tcPr>
            <w:tcW w:w="2660" w:type="pct"/>
            <w:vAlign w:val="center"/>
          </w:tcPr>
          <w:p w14:paraId="0A50BF66">
            <w:pPr>
              <w:adjustRightInd w:val="0"/>
              <w:snapToGrid w:val="0"/>
              <w:jc w:val="center"/>
            </w:pPr>
            <w:r>
              <w:t>提供样品，参与标准修订，提供验证及数据分析</w:t>
            </w:r>
          </w:p>
        </w:tc>
      </w:tr>
      <w:tr w14:paraId="0A50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68">
            <w:pPr>
              <w:adjustRightInd w:val="0"/>
              <w:snapToGrid w:val="0"/>
              <w:jc w:val="center"/>
            </w:pPr>
            <w:r>
              <w:t>段满堂</w:t>
            </w:r>
          </w:p>
        </w:tc>
        <w:tc>
          <w:tcPr>
            <w:tcW w:w="1807" w:type="pct"/>
            <w:vAlign w:val="center"/>
          </w:tcPr>
          <w:p w14:paraId="381A5861">
            <w:pPr>
              <w:adjustRightInd w:val="0"/>
              <w:snapToGrid w:val="0"/>
              <w:jc w:val="center"/>
            </w:pPr>
            <w:r>
              <w:rPr>
                <w:rFonts w:hint="eastAsia"/>
              </w:rPr>
              <w:t>上海富驰高科技股份有限公司</w:t>
            </w:r>
          </w:p>
        </w:tc>
        <w:tc>
          <w:tcPr>
            <w:tcW w:w="2660" w:type="pct"/>
            <w:vAlign w:val="center"/>
          </w:tcPr>
          <w:p w14:paraId="0A50BF6A">
            <w:pPr>
              <w:adjustRightInd w:val="0"/>
              <w:snapToGrid w:val="0"/>
              <w:jc w:val="center"/>
            </w:pPr>
            <w:r>
              <w:t>提供样品，参与标准修订，提供验证及数据分析</w:t>
            </w:r>
          </w:p>
        </w:tc>
      </w:tr>
      <w:tr w14:paraId="0A50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vAlign w:val="center"/>
          </w:tcPr>
          <w:p w14:paraId="0A50BF6C">
            <w:pPr>
              <w:adjustRightInd w:val="0"/>
              <w:snapToGrid w:val="0"/>
              <w:jc w:val="center"/>
            </w:pPr>
            <w:r>
              <w:t>王战华</w:t>
            </w:r>
          </w:p>
        </w:tc>
        <w:tc>
          <w:tcPr>
            <w:tcW w:w="1807" w:type="pct"/>
            <w:vAlign w:val="center"/>
          </w:tcPr>
          <w:p w14:paraId="0A50BF6D">
            <w:pPr>
              <w:adjustRightInd w:val="0"/>
              <w:snapToGrid w:val="0"/>
              <w:jc w:val="center"/>
            </w:pPr>
            <w:r>
              <w:rPr>
                <w:rFonts w:hint="eastAsia" w:ascii="宋体" w:hAnsi="宋体"/>
                <w:lang w:val="zh-CN"/>
              </w:rPr>
              <w:t>深圳艾利佳材料科技有限公司</w:t>
            </w:r>
          </w:p>
        </w:tc>
        <w:tc>
          <w:tcPr>
            <w:tcW w:w="2660" w:type="pct"/>
            <w:vAlign w:val="center"/>
          </w:tcPr>
          <w:p w14:paraId="0A50BF6E">
            <w:pPr>
              <w:adjustRightInd w:val="0"/>
              <w:snapToGrid w:val="0"/>
              <w:jc w:val="center"/>
            </w:pPr>
            <w:r>
              <w:t>参与标准修订，提供相关验证</w:t>
            </w:r>
          </w:p>
        </w:tc>
      </w:tr>
    </w:tbl>
    <w:p w14:paraId="0A50BF84">
      <w:pPr>
        <w:adjustRightInd w:val="0"/>
        <w:snapToGrid w:val="0"/>
        <w:spacing w:before="120" w:beforeLines="50" w:after="120" w:afterLines="50"/>
        <w:outlineLvl w:val="1"/>
        <w:rPr>
          <w:b/>
          <w:bCs/>
          <w:sz w:val="24"/>
          <w:szCs w:val="24"/>
        </w:rPr>
      </w:pPr>
      <w:bookmarkStart w:id="8" w:name="_Toc22323"/>
      <w:r>
        <w:rPr>
          <w:b/>
          <w:bCs/>
          <w:sz w:val="24"/>
          <w:szCs w:val="24"/>
        </w:rPr>
        <w:t>1.5主要工作过程</w:t>
      </w:r>
      <w:bookmarkEnd w:id="8"/>
    </w:p>
    <w:p w14:paraId="0A50BF85">
      <w:pPr>
        <w:spacing w:line="360" w:lineRule="auto"/>
        <w:outlineLvl w:val="2"/>
        <w:rPr>
          <w:sz w:val="24"/>
        </w:rPr>
      </w:pPr>
      <w:bookmarkStart w:id="9" w:name="_Toc29917"/>
      <w:r>
        <w:rPr>
          <w:b/>
          <w:bCs/>
          <w:sz w:val="24"/>
        </w:rPr>
        <w:t>1.5.1 起草阶段</w:t>
      </w:r>
      <w:bookmarkEnd w:id="9"/>
    </w:p>
    <w:p w14:paraId="0A50BF86">
      <w:pPr>
        <w:spacing w:line="360" w:lineRule="auto"/>
        <w:ind w:firstLine="480" w:firstLineChars="200"/>
        <w:rPr>
          <w:sz w:val="24"/>
          <w:szCs w:val="24"/>
        </w:rPr>
      </w:pPr>
      <w:r>
        <w:rPr>
          <w:sz w:val="24"/>
          <w:szCs w:val="24"/>
        </w:rPr>
        <w:t>接到YS/T 1532-2022《金属注射成形钛及钛合金异形件》标准的修订任务后，</w:t>
      </w:r>
      <w:r>
        <w:rPr>
          <w:rFonts w:hint="eastAsia"/>
          <w:sz w:val="24"/>
          <w:szCs w:val="24"/>
        </w:rPr>
        <w:t>深圳艾利佳材料科技有限公司</w:t>
      </w:r>
      <w:r>
        <w:rPr>
          <w:sz w:val="24"/>
          <w:szCs w:val="24"/>
        </w:rPr>
        <w:t>迅速成立了标准编制小组，组织专门人员对标准的相关资料进行查询和整理，包括国内外金属注射成形钛及钛合金异形件</w:t>
      </w:r>
      <w:r>
        <w:rPr>
          <w:rFonts w:hint="eastAsia"/>
          <w:sz w:val="24"/>
          <w:szCs w:val="24"/>
        </w:rPr>
        <w:t>方面的</w:t>
      </w:r>
      <w:r>
        <w:rPr>
          <w:sz w:val="24"/>
          <w:szCs w:val="24"/>
        </w:rPr>
        <w:t>标准，以及国内外高校、研究院所和企业多年科研试验、生产过程中产品的技术资料、质量检测记录等。</w:t>
      </w:r>
      <w:r>
        <w:rPr>
          <w:sz w:val="24"/>
        </w:rPr>
        <w:t>在此基础上，于2026年</w:t>
      </w:r>
      <w:r>
        <w:rPr>
          <w:rFonts w:hint="eastAsia"/>
          <w:sz w:val="24"/>
        </w:rPr>
        <w:t>8</w:t>
      </w:r>
      <w:r>
        <w:rPr>
          <w:sz w:val="24"/>
        </w:rPr>
        <w:t>月形成了标准的征求意见稿和编制说明。</w:t>
      </w:r>
    </w:p>
    <w:p w14:paraId="0A50BF87">
      <w:pPr>
        <w:spacing w:line="360" w:lineRule="auto"/>
        <w:outlineLvl w:val="2"/>
        <w:rPr>
          <w:sz w:val="24"/>
        </w:rPr>
      </w:pPr>
      <w:bookmarkStart w:id="10" w:name="_Toc25778"/>
      <w:r>
        <w:rPr>
          <w:b/>
          <w:bCs/>
          <w:sz w:val="24"/>
        </w:rPr>
        <w:t>1.5.2 征求意见阶段</w:t>
      </w:r>
      <w:bookmarkEnd w:id="10"/>
    </w:p>
    <w:p w14:paraId="0A50BF88">
      <w:pPr>
        <w:spacing w:line="360" w:lineRule="auto"/>
        <w:ind w:firstLine="470" w:firstLineChars="196"/>
        <w:rPr>
          <w:sz w:val="24"/>
        </w:rPr>
      </w:pPr>
      <w:r>
        <w:rPr>
          <w:sz w:val="24"/>
        </w:rPr>
        <w:t>2026年</w:t>
      </w:r>
      <w:r>
        <w:rPr>
          <w:rFonts w:hint="eastAsia"/>
          <w:sz w:val="24"/>
        </w:rPr>
        <w:t>8</w:t>
      </w:r>
      <w:r>
        <w:rPr>
          <w:sz w:val="24"/>
        </w:rPr>
        <w:t>月</w:t>
      </w:r>
      <w:r>
        <w:rPr>
          <w:rFonts w:hint="eastAsia"/>
          <w:sz w:val="24"/>
        </w:rPr>
        <w:t>12</w:t>
      </w:r>
      <w:r>
        <w:rPr>
          <w:sz w:val="24"/>
        </w:rPr>
        <w:t>日～</w:t>
      </w:r>
      <w:r>
        <w:rPr>
          <w:rFonts w:hint="eastAsia"/>
          <w:sz w:val="24"/>
        </w:rPr>
        <w:t>14</w:t>
      </w:r>
      <w:r>
        <w:rPr>
          <w:sz w:val="24"/>
        </w:rPr>
        <w:t>日，全国有色金属标准化技术委员会组织在</w:t>
      </w:r>
      <w:r>
        <w:rPr>
          <w:rFonts w:hint="eastAsia"/>
          <w:sz w:val="24"/>
        </w:rPr>
        <w:t>内蒙古包头市</w:t>
      </w:r>
      <w:r>
        <w:rPr>
          <w:sz w:val="24"/>
        </w:rPr>
        <w:t>召开本标准的讨论会，来自全国有色标准化技术委员会、</w:t>
      </w:r>
      <w:r>
        <w:rPr>
          <w:rFonts w:hint="eastAsia"/>
          <w:sz w:val="24"/>
        </w:rPr>
        <w:t>XX</w:t>
      </w:r>
      <w:r>
        <w:rPr>
          <w:sz w:val="24"/>
        </w:rPr>
        <w:t>等</w:t>
      </w:r>
      <w:r>
        <w:rPr>
          <w:rFonts w:hint="eastAsia"/>
          <w:sz w:val="24"/>
        </w:rPr>
        <w:t>XX</w:t>
      </w:r>
      <w:r>
        <w:rPr>
          <w:sz w:val="24"/>
        </w:rPr>
        <w:t>家单位对标准的征求意见稿和编制说明进行了充分、细致地讨论，提出修改意见及建议。</w:t>
      </w:r>
    </w:p>
    <w:p w14:paraId="0A50BF89">
      <w:pPr>
        <w:spacing w:line="360" w:lineRule="auto"/>
        <w:ind w:firstLine="470" w:firstLineChars="196"/>
        <w:rPr>
          <w:sz w:val="24"/>
        </w:rPr>
      </w:pPr>
      <w:r>
        <w:rPr>
          <w:sz w:val="24"/>
        </w:rPr>
        <w:t>2026年</w:t>
      </w:r>
      <w:r>
        <w:rPr>
          <w:rFonts w:hint="eastAsia"/>
          <w:sz w:val="24"/>
        </w:rPr>
        <w:t>X</w:t>
      </w:r>
      <w:r>
        <w:rPr>
          <w:sz w:val="24"/>
        </w:rPr>
        <w:t>月</w:t>
      </w:r>
      <w:r>
        <w:rPr>
          <w:rFonts w:hint="eastAsia"/>
          <w:sz w:val="24"/>
        </w:rPr>
        <w:t>X</w:t>
      </w:r>
      <w:r>
        <w:rPr>
          <w:sz w:val="24"/>
        </w:rPr>
        <w:t>日～</w:t>
      </w:r>
      <w:r>
        <w:rPr>
          <w:rFonts w:hint="eastAsia"/>
          <w:sz w:val="24"/>
        </w:rPr>
        <w:t>X</w:t>
      </w:r>
      <w:r>
        <w:rPr>
          <w:sz w:val="24"/>
        </w:rPr>
        <w:t>日，全国有色金属标准化技术委员会组织在</w:t>
      </w:r>
      <w:r>
        <w:rPr>
          <w:rFonts w:hint="eastAsia"/>
          <w:sz w:val="24"/>
        </w:rPr>
        <w:t>X</w:t>
      </w:r>
      <w:r>
        <w:rPr>
          <w:sz w:val="24"/>
        </w:rPr>
        <w:t>市召开本标准的预审会，来自全国有色标准化技术委员会、</w:t>
      </w:r>
      <w:r>
        <w:rPr>
          <w:rFonts w:hint="eastAsia"/>
          <w:sz w:val="24"/>
        </w:rPr>
        <w:t>XX</w:t>
      </w:r>
      <w:r>
        <w:rPr>
          <w:sz w:val="24"/>
        </w:rPr>
        <w:t>等</w:t>
      </w:r>
      <w:r>
        <w:rPr>
          <w:rFonts w:hint="eastAsia"/>
          <w:sz w:val="24"/>
        </w:rPr>
        <w:t>XX</w:t>
      </w:r>
      <w:r>
        <w:rPr>
          <w:sz w:val="24"/>
        </w:rPr>
        <w:t>家单位对标准的预审稿和编制说明进行了充分、细致地讨论，提出修改意见及建议。</w:t>
      </w:r>
    </w:p>
    <w:p w14:paraId="0A50BF8A">
      <w:pPr>
        <w:spacing w:line="360" w:lineRule="auto"/>
        <w:ind w:firstLine="470" w:firstLineChars="196"/>
        <w:rPr>
          <w:sz w:val="24"/>
        </w:rPr>
      </w:pPr>
      <w:r>
        <w:rPr>
          <w:sz w:val="24"/>
        </w:rPr>
        <w:t>2026年</w:t>
      </w:r>
      <w:r>
        <w:rPr>
          <w:rFonts w:hint="eastAsia"/>
          <w:sz w:val="24"/>
        </w:rPr>
        <w:t>X</w:t>
      </w:r>
      <w:r>
        <w:rPr>
          <w:sz w:val="24"/>
        </w:rPr>
        <w:t>月</w:t>
      </w:r>
      <w:r>
        <w:rPr>
          <w:rFonts w:hint="eastAsia"/>
          <w:sz w:val="24"/>
        </w:rPr>
        <w:t>X</w:t>
      </w:r>
      <w:r>
        <w:rPr>
          <w:sz w:val="24"/>
        </w:rPr>
        <w:t>日-2026年</w:t>
      </w:r>
      <w:r>
        <w:rPr>
          <w:rFonts w:hint="eastAsia"/>
          <w:sz w:val="24"/>
        </w:rPr>
        <w:t>X</w:t>
      </w:r>
      <w:r>
        <w:rPr>
          <w:sz w:val="24"/>
        </w:rPr>
        <w:t>月</w:t>
      </w:r>
      <w:r>
        <w:rPr>
          <w:rFonts w:hint="eastAsia"/>
          <w:sz w:val="24"/>
        </w:rPr>
        <w:t>X</w:t>
      </w:r>
      <w:r>
        <w:rPr>
          <w:sz w:val="24"/>
        </w:rPr>
        <w:t>日，全国有色金属标准化技术委员会将征求意见资料在国家标准化管理委员会的“公共信息服务平台”上挂网，向社会公开征求意见。同时，全国有色金属标准化技术委员会通过工作群、邮件向委员单位征求意见，并将征求意见资料在www.cnsmq.com 网站上挂网。征求意见的单位包括主要生产、经销、使用、科研、检验等单位及大专院校，征求意见单位广泛且具有代表性，征求意见时间大于 2 个月。发送《征求意见稿》的单位</w:t>
      </w:r>
      <w:r>
        <w:rPr>
          <w:rFonts w:hint="eastAsia"/>
          <w:sz w:val="24"/>
        </w:rPr>
        <w:t>XX</w:t>
      </w:r>
      <w:r>
        <w:rPr>
          <w:sz w:val="24"/>
        </w:rPr>
        <w:t>个，收到《征求意见稿》后，回函的单位</w:t>
      </w:r>
      <w:r>
        <w:rPr>
          <w:rFonts w:hint="eastAsia"/>
          <w:sz w:val="24"/>
        </w:rPr>
        <w:t>XX</w:t>
      </w:r>
      <w:r>
        <w:rPr>
          <w:sz w:val="24"/>
        </w:rPr>
        <w:t>个，且有建议或意见的单位</w:t>
      </w:r>
      <w:r>
        <w:rPr>
          <w:rFonts w:hint="eastAsia"/>
          <w:sz w:val="24"/>
        </w:rPr>
        <w:t>XX</w:t>
      </w:r>
      <w:r>
        <w:rPr>
          <w:sz w:val="24"/>
        </w:rPr>
        <w:t>个。形成了征求意见稿意见汇总处理表。2026年</w:t>
      </w:r>
      <w:r>
        <w:rPr>
          <w:rFonts w:hint="eastAsia"/>
          <w:sz w:val="24"/>
        </w:rPr>
        <w:t>X</w:t>
      </w:r>
      <w:r>
        <w:rPr>
          <w:sz w:val="24"/>
        </w:rPr>
        <w:t>月完成标准的送审稿和编制说明。</w:t>
      </w:r>
    </w:p>
    <w:p w14:paraId="0A50BF8B">
      <w:pPr>
        <w:spacing w:line="360" w:lineRule="auto"/>
        <w:outlineLvl w:val="2"/>
        <w:rPr>
          <w:sz w:val="24"/>
        </w:rPr>
      </w:pPr>
      <w:bookmarkStart w:id="11" w:name="_Toc22120"/>
      <w:r>
        <w:rPr>
          <w:b/>
          <w:bCs/>
          <w:sz w:val="24"/>
        </w:rPr>
        <w:t>1.5.3审查阶段</w:t>
      </w:r>
      <w:bookmarkEnd w:id="11"/>
    </w:p>
    <w:p w14:paraId="0A50BF8C">
      <w:pPr>
        <w:tabs>
          <w:tab w:val="left" w:pos="1617"/>
        </w:tabs>
        <w:spacing w:line="360" w:lineRule="auto"/>
        <w:ind w:firstLine="480" w:firstLineChars="200"/>
        <w:rPr>
          <w:sz w:val="24"/>
        </w:rPr>
      </w:pPr>
      <w:r>
        <w:rPr>
          <w:sz w:val="24"/>
        </w:rPr>
        <w:t>2026年</w:t>
      </w:r>
      <w:r>
        <w:rPr>
          <w:rFonts w:hint="eastAsia"/>
          <w:sz w:val="24"/>
        </w:rPr>
        <w:t>X</w:t>
      </w:r>
      <w:r>
        <w:rPr>
          <w:sz w:val="24"/>
        </w:rPr>
        <w:t>月</w:t>
      </w:r>
      <w:r>
        <w:rPr>
          <w:rFonts w:hint="eastAsia"/>
          <w:sz w:val="24"/>
        </w:rPr>
        <w:t>X</w:t>
      </w:r>
      <w:r>
        <w:rPr>
          <w:sz w:val="24"/>
        </w:rPr>
        <w:t>日-2026年</w:t>
      </w:r>
      <w:r>
        <w:rPr>
          <w:rFonts w:hint="eastAsia"/>
          <w:sz w:val="24"/>
        </w:rPr>
        <w:t>X</w:t>
      </w:r>
      <w:r>
        <w:rPr>
          <w:sz w:val="24"/>
        </w:rPr>
        <w:t>月</w:t>
      </w:r>
      <w:r>
        <w:rPr>
          <w:rFonts w:hint="eastAsia"/>
          <w:sz w:val="24"/>
        </w:rPr>
        <w:t>X</w:t>
      </w:r>
      <w:r>
        <w:rPr>
          <w:sz w:val="24"/>
        </w:rPr>
        <w:t>日，由全国有色金属标准化技术委员会在</w:t>
      </w:r>
      <w:r>
        <w:rPr>
          <w:rFonts w:hint="eastAsia"/>
          <w:sz w:val="24"/>
        </w:rPr>
        <w:t>XX</w:t>
      </w:r>
      <w:r>
        <w:rPr>
          <w:sz w:val="24"/>
        </w:rPr>
        <w:t>市组织召开</w:t>
      </w:r>
      <w:r>
        <w:rPr>
          <w:rFonts w:hint="eastAsia"/>
          <w:sz w:val="24"/>
        </w:rPr>
        <w:t>行业</w:t>
      </w:r>
      <w:r>
        <w:rPr>
          <w:sz w:val="24"/>
        </w:rPr>
        <w:t>标准《金属注射成形钛及钛合金异形件》审定会。来自全国有色标准化技术委员会、</w:t>
      </w:r>
      <w:r>
        <w:rPr>
          <w:rFonts w:hint="eastAsia"/>
          <w:sz w:val="24"/>
        </w:rPr>
        <w:t>XX</w:t>
      </w:r>
      <w:r>
        <w:rPr>
          <w:sz w:val="24"/>
        </w:rPr>
        <w:t>等</w:t>
      </w:r>
      <w:r>
        <w:rPr>
          <w:rFonts w:hint="eastAsia"/>
          <w:sz w:val="24"/>
        </w:rPr>
        <w:t>XX</w:t>
      </w:r>
      <w:r>
        <w:rPr>
          <w:sz w:val="24"/>
        </w:rPr>
        <w:t>家单位的</w:t>
      </w:r>
      <w:r>
        <w:rPr>
          <w:rFonts w:hint="eastAsia"/>
          <w:sz w:val="24"/>
        </w:rPr>
        <w:t>XX</w:t>
      </w:r>
      <w:r>
        <w:rPr>
          <w:sz w:val="24"/>
        </w:rPr>
        <w:t>位专家代表参加了会议，见《有色金属审定会参加单位及代表签名》。会议对</w:t>
      </w:r>
      <w:r>
        <w:rPr>
          <w:rFonts w:hint="eastAsia"/>
          <w:sz w:val="24"/>
        </w:rPr>
        <w:t>深圳艾利佳材料科技有限公司</w:t>
      </w:r>
      <w:r>
        <w:rPr>
          <w:sz w:val="24"/>
        </w:rPr>
        <w:t>负责修订的</w:t>
      </w:r>
      <w:r>
        <w:rPr>
          <w:rFonts w:hint="eastAsia"/>
          <w:sz w:val="24"/>
        </w:rPr>
        <w:t>行业</w:t>
      </w:r>
      <w:r>
        <w:rPr>
          <w:sz w:val="24"/>
        </w:rPr>
        <w:t>标准《金属注射成形钛及钛合金异形件》（送审稿）进行了认真细致的审定并提出修改意见，见《有色金属标准审定会会议纪要》。标准编制组采纳了审定会专家提出的意见，对标准送审稿进行了修改完善。</w:t>
      </w:r>
    </w:p>
    <w:p w14:paraId="0A50BF8D">
      <w:pPr>
        <w:spacing w:line="360" w:lineRule="auto"/>
        <w:outlineLvl w:val="2"/>
        <w:rPr>
          <w:b/>
          <w:bCs/>
          <w:sz w:val="24"/>
        </w:rPr>
      </w:pPr>
      <w:bookmarkStart w:id="12" w:name="_Toc10899"/>
      <w:r>
        <w:rPr>
          <w:b/>
          <w:bCs/>
          <w:sz w:val="24"/>
        </w:rPr>
        <w:t>1.5.4 报批阶段</w:t>
      </w:r>
      <w:bookmarkEnd w:id="12"/>
    </w:p>
    <w:p w14:paraId="0A50BF8E">
      <w:pPr>
        <w:spacing w:line="360" w:lineRule="auto"/>
        <w:ind w:firstLine="480" w:firstLineChars="200"/>
        <w:rPr>
          <w:sz w:val="24"/>
        </w:rPr>
      </w:pPr>
      <w:r>
        <w:rPr>
          <w:kern w:val="0"/>
          <w:sz w:val="24"/>
        </w:rPr>
        <w:t>标准编制组对标准文本和编制说明进行修改完善，形成标准报批稿报送至全国有色金属标准化技术委员会（SAC/TC 243），现上报至国家标准化管理委员会审批、发布。</w:t>
      </w:r>
    </w:p>
    <w:p w14:paraId="0A50BF8F">
      <w:pPr>
        <w:spacing w:line="360" w:lineRule="auto"/>
        <w:ind w:firstLine="480" w:firstLineChars="200"/>
        <w:rPr>
          <w:sz w:val="24"/>
        </w:rPr>
      </w:pPr>
      <w:r>
        <w:rPr>
          <w:kern w:val="0"/>
          <w:sz w:val="24"/>
        </w:rPr>
        <w:t>委员投票情况：2026年XX月XX日至2026年XX月XX日，由全国有色金属标准化技术委员会粉末冶金分标委会组织，在“全国专业标准化技术委员会工作平台”进行了委员投票，</w:t>
      </w:r>
      <w:r>
        <w:rPr>
          <w:sz w:val="24"/>
        </w:rPr>
        <w:t>本SC全体委员人数共有xx人，参与投票XX人，投票同意本标准通过审查XX人，其中，起草人员X人。</w:t>
      </w:r>
    </w:p>
    <w:p w14:paraId="0A50BF90">
      <w:pPr>
        <w:spacing w:line="360" w:lineRule="auto"/>
        <w:rPr>
          <w:sz w:val="24"/>
        </w:rPr>
      </w:pPr>
    </w:p>
    <w:p w14:paraId="0A50BF91">
      <w:pPr>
        <w:rPr>
          <w:b/>
          <w:bCs/>
          <w:sz w:val="24"/>
        </w:rPr>
      </w:pPr>
      <w:bookmarkStart w:id="13" w:name="_Toc11101"/>
      <w:r>
        <w:rPr>
          <w:b/>
          <w:bCs/>
          <w:sz w:val="24"/>
        </w:rPr>
        <w:br w:type="page"/>
      </w:r>
    </w:p>
    <w:p w14:paraId="0A50BF92">
      <w:pPr>
        <w:adjustRightInd w:val="0"/>
        <w:snapToGrid w:val="0"/>
        <w:spacing w:before="120" w:beforeLines="50" w:after="120" w:afterLines="50"/>
        <w:outlineLvl w:val="0"/>
        <w:rPr>
          <w:b/>
          <w:bCs/>
          <w:sz w:val="24"/>
        </w:rPr>
      </w:pPr>
      <w:r>
        <w:rPr>
          <w:b/>
          <w:bCs/>
          <w:sz w:val="24"/>
        </w:rPr>
        <w:t>二、</w:t>
      </w:r>
      <w:bookmarkEnd w:id="13"/>
      <w:r>
        <w:rPr>
          <w:b/>
          <w:bCs/>
          <w:sz w:val="24"/>
        </w:rPr>
        <w:t>标准的编制原则、主要内容与论据</w:t>
      </w:r>
    </w:p>
    <w:p w14:paraId="0A50BF93">
      <w:pPr>
        <w:spacing w:line="360" w:lineRule="auto"/>
        <w:outlineLvl w:val="1"/>
        <w:rPr>
          <w:b/>
          <w:bCs/>
          <w:sz w:val="24"/>
        </w:rPr>
      </w:pPr>
      <w:bookmarkStart w:id="14" w:name="_Toc1423"/>
      <w:r>
        <w:rPr>
          <w:b/>
          <w:bCs/>
          <w:sz w:val="24"/>
        </w:rPr>
        <w:t>2.1</w:t>
      </w:r>
      <w:r>
        <w:rPr>
          <w:rFonts w:hint="eastAsia"/>
          <w:b/>
          <w:bCs/>
          <w:sz w:val="24"/>
        </w:rPr>
        <w:t xml:space="preserve"> </w:t>
      </w:r>
      <w:r>
        <w:rPr>
          <w:b/>
          <w:bCs/>
          <w:sz w:val="24"/>
        </w:rPr>
        <w:t>标准编制原则</w:t>
      </w:r>
      <w:bookmarkEnd w:id="14"/>
    </w:p>
    <w:p w14:paraId="0A50BF94">
      <w:pPr>
        <w:spacing w:line="360" w:lineRule="auto"/>
        <w:ind w:firstLine="480" w:firstLineChars="200"/>
        <w:rPr>
          <w:sz w:val="24"/>
        </w:rPr>
      </w:pPr>
      <w:r>
        <w:rPr>
          <w:sz w:val="24"/>
        </w:rPr>
        <w:t>1）符合性</w:t>
      </w:r>
    </w:p>
    <w:p w14:paraId="0A50BF95">
      <w:pPr>
        <w:spacing w:line="360" w:lineRule="auto"/>
        <w:ind w:firstLine="480" w:firstLineChars="200"/>
        <w:rPr>
          <w:sz w:val="24"/>
        </w:rPr>
      </w:pPr>
      <w:r>
        <w:rPr>
          <w:sz w:val="24"/>
        </w:rPr>
        <w:t>本文件按照 GB/T 1.1-2020《标准化工作导则 第 1 部分：标准化文件的结构和起草规则》的要求进行编写。</w:t>
      </w:r>
    </w:p>
    <w:p w14:paraId="0A50BF96">
      <w:pPr>
        <w:spacing w:line="360" w:lineRule="auto"/>
        <w:ind w:firstLine="480" w:firstLineChars="200"/>
        <w:rPr>
          <w:sz w:val="24"/>
        </w:rPr>
      </w:pPr>
      <w:r>
        <w:rPr>
          <w:sz w:val="24"/>
        </w:rPr>
        <w:t>2）适用性</w:t>
      </w:r>
    </w:p>
    <w:p w14:paraId="0A50BF98">
      <w:pPr>
        <w:spacing w:line="360" w:lineRule="auto"/>
        <w:ind w:firstLine="480" w:firstLineChars="200"/>
        <w:rPr>
          <w:sz w:val="24"/>
        </w:rPr>
      </w:pPr>
      <w:r>
        <w:rPr>
          <w:sz w:val="24"/>
        </w:rPr>
        <w:t>本文件面向金属注射成形技术制备的钛及钛合金异形件，技术指标兼顾消费电子精密结构件、一般工业结构件以及航空航天、医疗等高端应用的质量控制需求，避免对具体企业工艺路线作不必要限制。</w:t>
      </w:r>
    </w:p>
    <w:p w14:paraId="0A50BF99">
      <w:pPr>
        <w:spacing w:line="360" w:lineRule="auto"/>
        <w:ind w:firstLine="480" w:firstLineChars="200"/>
        <w:rPr>
          <w:sz w:val="24"/>
        </w:rPr>
      </w:pPr>
      <w:r>
        <w:rPr>
          <w:sz w:val="24"/>
        </w:rPr>
        <w:t>3）先进性</w:t>
      </w:r>
    </w:p>
    <w:p w14:paraId="0A50BF9A">
      <w:pPr>
        <w:spacing w:line="360" w:lineRule="auto"/>
        <w:ind w:firstLine="480" w:firstLineChars="200"/>
        <w:rPr>
          <w:sz w:val="24"/>
        </w:rPr>
      </w:pPr>
      <w:r>
        <w:rPr>
          <w:sz w:val="24"/>
        </w:rPr>
        <w:t>本次修订吸收国内企业近年在高强韧 MIM-TC4、TA15、TC11 等材料方面的技术进步，提高强度和塑性指标，扩大牌号覆盖范围，使标准指标能够反映现阶段产业化水平，并为进一步提高产品质量提供引导。</w:t>
      </w:r>
    </w:p>
    <w:p w14:paraId="0A50BF9B">
      <w:pPr>
        <w:spacing w:line="360" w:lineRule="auto"/>
        <w:outlineLvl w:val="1"/>
        <w:rPr>
          <w:b/>
          <w:bCs/>
          <w:sz w:val="24"/>
        </w:rPr>
      </w:pPr>
      <w:bookmarkStart w:id="15" w:name="_Toc9206"/>
      <w:r>
        <w:rPr>
          <w:b/>
          <w:bCs/>
          <w:sz w:val="24"/>
        </w:rPr>
        <w:t>2.2</w:t>
      </w:r>
      <w:bookmarkEnd w:id="15"/>
      <w:r>
        <w:rPr>
          <w:rFonts w:hint="eastAsia"/>
          <w:b/>
          <w:bCs/>
          <w:sz w:val="24"/>
        </w:rPr>
        <w:t xml:space="preserve"> </w:t>
      </w:r>
      <w:r>
        <w:rPr>
          <w:b/>
          <w:bCs/>
          <w:sz w:val="24"/>
        </w:rPr>
        <w:t>修订的主要内容与论据</w:t>
      </w:r>
    </w:p>
    <w:p w14:paraId="0A50BF9C">
      <w:pPr>
        <w:spacing w:line="360" w:lineRule="auto"/>
        <w:ind w:firstLine="480" w:firstLineChars="200"/>
        <w:rPr>
          <w:sz w:val="24"/>
        </w:rPr>
      </w:pPr>
      <w:r>
        <w:rPr>
          <w:sz w:val="24"/>
        </w:rPr>
        <w:t>本文件代替YS/T 1532</w:t>
      </w:r>
      <w:r>
        <w:rPr>
          <w:rFonts w:hint="eastAsia" w:hAnsi="宋体"/>
          <w:sz w:val="24"/>
          <w:szCs w:val="24"/>
        </w:rPr>
        <w:t>-</w:t>
      </w:r>
      <w:r>
        <w:rPr>
          <w:sz w:val="24"/>
        </w:rPr>
        <w:t>2022</w:t>
      </w:r>
      <w:r>
        <w:rPr>
          <w:rFonts w:hint="eastAsia"/>
          <w:sz w:val="24"/>
        </w:rPr>
        <w:t xml:space="preserve"> </w:t>
      </w:r>
      <w:r>
        <w:rPr>
          <w:sz w:val="24"/>
        </w:rPr>
        <w:t>《金属注射成形钛及钛合金异形件》。与YS/T 1532</w:t>
      </w:r>
      <w:r>
        <w:rPr>
          <w:rFonts w:hint="eastAsia"/>
          <w:sz w:val="24"/>
        </w:rPr>
        <w:t>-</w:t>
      </w:r>
      <w:r>
        <w:rPr>
          <w:sz w:val="24"/>
        </w:rPr>
        <w:t>2022 相比，除结构调整和编辑性改动外，主要技术变化及修订论据如下</w:t>
      </w:r>
      <w:r>
        <w:rPr>
          <w:rFonts w:hint="eastAsia"/>
          <w:sz w:val="24"/>
        </w:rPr>
        <w:t>：</w:t>
      </w:r>
    </w:p>
    <w:p w14:paraId="51C70B81">
      <w:pPr>
        <w:pStyle w:val="36"/>
        <w:numPr>
          <w:ilvl w:val="0"/>
          <w:numId w:val="2"/>
        </w:numPr>
        <w:spacing w:line="360" w:lineRule="auto"/>
        <w:ind w:firstLineChars="0"/>
        <w:rPr>
          <w:rFonts w:hint="eastAsia" w:hAnsi="宋体"/>
          <w:sz w:val="24"/>
          <w:szCs w:val="24"/>
        </w:rPr>
      </w:pPr>
      <w:r>
        <w:rPr>
          <w:rFonts w:hint="eastAsia" w:hAnsi="宋体"/>
          <w:sz w:val="24"/>
          <w:szCs w:val="24"/>
        </w:rPr>
        <w:t>增加了规范性引用文件GB/T 4340.1 金属材料 维氏硬度试验 第1部分: 试验方法（见第1章）；</w:t>
      </w:r>
    </w:p>
    <w:p w14:paraId="5C113532">
      <w:pPr>
        <w:pStyle w:val="36"/>
        <w:numPr>
          <w:ilvl w:val="0"/>
          <w:numId w:val="2"/>
        </w:numPr>
        <w:spacing w:line="360" w:lineRule="auto"/>
        <w:ind w:firstLineChars="0"/>
        <w:rPr>
          <w:rFonts w:hint="eastAsia" w:hAnsi="宋体"/>
          <w:sz w:val="24"/>
          <w:szCs w:val="24"/>
        </w:rPr>
      </w:pPr>
      <w:r>
        <w:rPr>
          <w:rFonts w:hint="eastAsia" w:hAnsi="宋体"/>
          <w:sz w:val="24"/>
          <w:szCs w:val="24"/>
        </w:rPr>
        <w:t>增加了钛合金牌号TA15、TC11（见4.1）；</w:t>
      </w:r>
    </w:p>
    <w:p w14:paraId="1B329722">
      <w:pPr>
        <w:pStyle w:val="36"/>
        <w:numPr>
          <w:ilvl w:val="0"/>
          <w:numId w:val="2"/>
        </w:numPr>
        <w:spacing w:line="360" w:lineRule="auto"/>
        <w:ind w:firstLineChars="0"/>
        <w:rPr>
          <w:rFonts w:hint="eastAsia" w:hAnsi="宋体"/>
          <w:sz w:val="24"/>
          <w:szCs w:val="24"/>
        </w:rPr>
      </w:pPr>
      <w:r>
        <w:rPr>
          <w:rFonts w:hint="eastAsia" w:hAnsi="宋体"/>
          <w:sz w:val="24"/>
          <w:szCs w:val="24"/>
        </w:rPr>
        <w:t>修改杂质C、O含量的数值，删除备注说明“经供需双方协商，金属注射成形TC4产品的氧含量可放宽至不大于0.40%,但应在订货单中注明”（见4.1）</w:t>
      </w:r>
    </w:p>
    <w:p w14:paraId="7EDCB044">
      <w:pPr>
        <w:pStyle w:val="36"/>
        <w:numPr>
          <w:ilvl w:val="0"/>
          <w:numId w:val="2"/>
        </w:numPr>
        <w:spacing w:line="360" w:lineRule="auto"/>
        <w:ind w:firstLineChars="0"/>
        <w:rPr>
          <w:rFonts w:hint="eastAsia" w:hAnsi="宋体"/>
          <w:sz w:val="24"/>
          <w:szCs w:val="24"/>
        </w:rPr>
      </w:pPr>
      <w:r>
        <w:rPr>
          <w:rFonts w:hint="eastAsia" w:hAnsi="宋体"/>
          <w:sz w:val="24"/>
          <w:szCs w:val="24"/>
        </w:rPr>
        <w:t>修改力学性能指标（见4.2）</w:t>
      </w:r>
    </w:p>
    <w:p w14:paraId="73631464">
      <w:pPr>
        <w:pStyle w:val="36"/>
        <w:numPr>
          <w:ilvl w:val="0"/>
          <w:numId w:val="2"/>
        </w:numPr>
        <w:spacing w:line="360" w:lineRule="auto"/>
        <w:ind w:firstLineChars="0"/>
        <w:rPr>
          <w:rFonts w:hint="eastAsia" w:hAnsi="宋体"/>
          <w:sz w:val="24"/>
          <w:szCs w:val="24"/>
        </w:rPr>
      </w:pPr>
      <w:r>
        <w:rPr>
          <w:rFonts w:hint="eastAsia" w:hAnsi="宋体"/>
          <w:sz w:val="24"/>
          <w:szCs w:val="24"/>
        </w:rPr>
        <w:t>增加显微硬度测试数值（见4.4）</w:t>
      </w:r>
    </w:p>
    <w:p w14:paraId="3B122B8D">
      <w:pPr>
        <w:pStyle w:val="36"/>
        <w:numPr>
          <w:ilvl w:val="0"/>
          <w:numId w:val="2"/>
        </w:numPr>
        <w:spacing w:line="360" w:lineRule="auto"/>
        <w:ind w:firstLineChars="0"/>
        <w:rPr>
          <w:rFonts w:hint="eastAsia" w:hAnsi="宋体"/>
          <w:sz w:val="24"/>
          <w:szCs w:val="24"/>
        </w:rPr>
      </w:pPr>
      <w:r>
        <w:rPr>
          <w:rFonts w:hint="eastAsia" w:hAnsi="宋体"/>
          <w:sz w:val="24"/>
          <w:szCs w:val="24"/>
        </w:rPr>
        <w:t>修改外观质量的阐述（见4.6）</w:t>
      </w:r>
    </w:p>
    <w:p w14:paraId="0A50BFAF">
      <w:pPr>
        <w:pStyle w:val="36"/>
        <w:numPr>
          <w:ilvl w:val="0"/>
          <w:numId w:val="2"/>
        </w:numPr>
        <w:spacing w:line="360" w:lineRule="auto"/>
        <w:ind w:firstLineChars="0"/>
        <w:rPr>
          <w:rFonts w:hint="eastAsia" w:hAnsi="宋体"/>
          <w:sz w:val="24"/>
          <w:szCs w:val="24"/>
        </w:rPr>
      </w:pPr>
      <w:r>
        <w:rPr>
          <w:rFonts w:hint="eastAsia" w:hAnsi="宋体"/>
          <w:sz w:val="24"/>
          <w:szCs w:val="24"/>
        </w:rPr>
        <w:t>增加了显微硬度的试验方法（见5.4）</w:t>
      </w:r>
    </w:p>
    <w:p w14:paraId="0A50BFB0">
      <w:pPr>
        <w:widowControl/>
        <w:snapToGrid w:val="0"/>
        <w:spacing w:line="360" w:lineRule="auto"/>
        <w:jc w:val="left"/>
        <w:outlineLvl w:val="2"/>
        <w:rPr>
          <w:b/>
          <w:bCs/>
          <w:sz w:val="24"/>
          <w:szCs w:val="24"/>
        </w:rPr>
      </w:pPr>
      <w:r>
        <w:rPr>
          <w:b/>
          <w:bCs/>
          <w:sz w:val="24"/>
          <w:szCs w:val="24"/>
        </w:rPr>
        <w:t>2.2.</w:t>
      </w:r>
      <w:r>
        <w:rPr>
          <w:rFonts w:hint="eastAsia"/>
          <w:b/>
          <w:bCs/>
          <w:sz w:val="24"/>
          <w:szCs w:val="24"/>
        </w:rPr>
        <w:t xml:space="preserve">1 </w:t>
      </w:r>
      <w:r>
        <w:rPr>
          <w:b/>
          <w:bCs/>
          <w:sz w:val="24"/>
          <w:szCs w:val="24"/>
        </w:rPr>
        <w:t>规范性引用文件的更改</w:t>
      </w:r>
    </w:p>
    <w:p w14:paraId="0A50BFB2">
      <w:pPr>
        <w:widowControl/>
        <w:autoSpaceDE w:val="0"/>
        <w:autoSpaceDN w:val="0"/>
        <w:spacing w:line="360" w:lineRule="auto"/>
        <w:ind w:firstLine="480" w:firstLineChars="200"/>
        <w:rPr>
          <w:rStyle w:val="49"/>
          <w:sz w:val="24"/>
          <w:szCs w:val="24"/>
        </w:rPr>
      </w:pPr>
      <w:r>
        <w:rPr>
          <w:rFonts w:ascii="宋体" w:hAnsi="宋体" w:cs="宋体"/>
          <w:kern w:val="0"/>
          <w:sz w:val="24"/>
          <w:szCs w:val="24"/>
        </w:rPr>
        <w:t>增加了GB/T 4340.1《金属材料 维氏硬度试验 第1部分：试验方法》作为规范性引用文件</w:t>
      </w:r>
      <w:r>
        <w:rPr>
          <w:rFonts w:hint="eastAsia" w:ascii="宋体" w:hAnsi="宋体" w:cs="宋体"/>
          <w:kern w:val="0"/>
          <w:sz w:val="24"/>
          <w:szCs w:val="24"/>
        </w:rPr>
        <w:t>，</w:t>
      </w:r>
      <w:r>
        <w:rPr>
          <w:rFonts w:ascii="宋体" w:hAnsi="宋体" w:cs="宋体"/>
          <w:kern w:val="0"/>
          <w:sz w:val="24"/>
          <w:szCs w:val="24"/>
        </w:rPr>
        <w:t>配合本次修订新增的“显微硬度”指标，引入相应的国家底层测试标准，以确保各实验室间检测方法的一致性与数据的可追溯性</w:t>
      </w:r>
      <w:r>
        <w:rPr>
          <w:rFonts w:hint="eastAsia" w:ascii="宋体" w:hAnsi="宋体" w:cs="宋体"/>
          <w:spacing w:val="-3"/>
          <w:sz w:val="24"/>
          <w:szCs w:val="24"/>
        </w:rPr>
        <w:t>。</w:t>
      </w:r>
    </w:p>
    <w:p w14:paraId="0A50BFB3">
      <w:pPr>
        <w:widowControl/>
        <w:snapToGrid w:val="0"/>
        <w:spacing w:line="360" w:lineRule="auto"/>
        <w:jc w:val="left"/>
        <w:outlineLvl w:val="2"/>
        <w:rPr>
          <w:b/>
          <w:bCs/>
          <w:sz w:val="24"/>
          <w:szCs w:val="24"/>
        </w:rPr>
      </w:pPr>
      <w:bookmarkStart w:id="16" w:name="_Toc14779"/>
      <w:r>
        <w:rPr>
          <w:b/>
          <w:bCs/>
          <w:sz w:val="24"/>
          <w:szCs w:val="24"/>
        </w:rPr>
        <w:t>2.2.</w:t>
      </w:r>
      <w:r>
        <w:rPr>
          <w:rFonts w:hint="eastAsia"/>
          <w:b/>
          <w:bCs/>
          <w:sz w:val="24"/>
          <w:szCs w:val="24"/>
        </w:rPr>
        <w:t xml:space="preserve">2 </w:t>
      </w:r>
      <w:bookmarkEnd w:id="16"/>
      <w:r>
        <w:rPr>
          <w:b/>
          <w:bCs/>
          <w:sz w:val="24"/>
          <w:szCs w:val="24"/>
        </w:rPr>
        <w:t>增加合金牌号体系</w:t>
      </w:r>
    </w:p>
    <w:p w14:paraId="0A50BFC1">
      <w:pPr>
        <w:widowControl/>
        <w:snapToGrid w:val="0"/>
        <w:spacing w:line="360" w:lineRule="auto"/>
        <w:ind w:firstLine="480" w:firstLineChars="200"/>
        <w:jc w:val="left"/>
        <w:rPr>
          <w:sz w:val="24"/>
          <w:szCs w:val="24"/>
        </w:rPr>
      </w:pPr>
      <w:r>
        <w:rPr>
          <w:sz w:val="24"/>
          <w:szCs w:val="24"/>
        </w:rPr>
        <w:t>在原有的TA4G和TC4基础上，新增了TA15和TC11两个钛合金牌号。</w:t>
      </w:r>
      <w:r>
        <w:rPr>
          <w:rFonts w:hint="eastAsia"/>
          <w:sz w:val="24"/>
          <w:szCs w:val="24"/>
        </w:rPr>
        <w:t>增加牌号是因为</w:t>
      </w:r>
      <w:r>
        <w:rPr>
          <w:sz w:val="24"/>
          <w:szCs w:val="24"/>
        </w:rPr>
        <w:t>随着智能穿戴设备、折叠屏转轴、医疗器械等高端消费与工业级市场的快速扩容，原有的纯钛和常规TC4牌号已无法全面覆盖极端服役工况下的高强度与高耐磨需求。TA15与TC11作为更高强度的钛合金体系，其标准化将为相关终端应用提供更广泛的材料基准，有效拓宽MIM技术的市场应用边界</w:t>
      </w:r>
      <w:r>
        <w:rPr>
          <w:rFonts w:hint="eastAsia"/>
          <w:sz w:val="24"/>
          <w:szCs w:val="24"/>
        </w:rPr>
        <w:t>。</w:t>
      </w:r>
    </w:p>
    <w:p w14:paraId="0A50BFC2">
      <w:pPr>
        <w:spacing w:line="360" w:lineRule="auto"/>
        <w:outlineLvl w:val="2"/>
        <w:rPr>
          <w:b/>
          <w:bCs/>
          <w:sz w:val="24"/>
          <w:szCs w:val="24"/>
        </w:rPr>
      </w:pPr>
      <w:bookmarkStart w:id="17" w:name="_Toc22886"/>
      <w:r>
        <w:rPr>
          <w:b/>
          <w:bCs/>
          <w:sz w:val="24"/>
          <w:szCs w:val="24"/>
        </w:rPr>
        <w:t>2.2.</w:t>
      </w:r>
      <w:r>
        <w:rPr>
          <w:rFonts w:hint="eastAsia"/>
          <w:b/>
          <w:bCs/>
          <w:sz w:val="24"/>
          <w:szCs w:val="24"/>
        </w:rPr>
        <w:t>3</w:t>
      </w:r>
      <w:r>
        <w:rPr>
          <w:b/>
          <w:bCs/>
          <w:sz w:val="24"/>
          <w:szCs w:val="24"/>
        </w:rPr>
        <w:t xml:space="preserve"> </w:t>
      </w:r>
      <w:bookmarkEnd w:id="17"/>
      <w:r>
        <w:rPr>
          <w:b/>
          <w:bCs/>
          <w:sz w:val="24"/>
          <w:szCs w:val="24"/>
        </w:rPr>
        <w:t>调整化学成分及杂质限值</w:t>
      </w:r>
    </w:p>
    <w:p w14:paraId="0A50BFC3">
      <w:pPr>
        <w:spacing w:line="360" w:lineRule="auto"/>
        <w:ind w:firstLine="480" w:firstLineChars="200"/>
        <w:rPr>
          <w:rFonts w:hint="eastAsia" w:hAnsi="宋体"/>
          <w:sz w:val="24"/>
          <w:szCs w:val="24"/>
        </w:rPr>
      </w:pPr>
      <w:r>
        <w:rPr>
          <w:rFonts w:hAnsi="宋体"/>
          <w:sz w:val="24"/>
          <w:szCs w:val="24"/>
        </w:rPr>
        <w:t>将TA4G与TC4的碳（C）元素质量分数上限由0.08%放宽至0.15%</w:t>
      </w:r>
      <w:r>
        <w:rPr>
          <w:rFonts w:hint="eastAsia" w:hAnsi="宋体"/>
          <w:sz w:val="24"/>
          <w:szCs w:val="24"/>
        </w:rPr>
        <w:t>，</w:t>
      </w:r>
      <w:r>
        <w:rPr>
          <w:rFonts w:hAnsi="宋体"/>
          <w:sz w:val="24"/>
          <w:szCs w:val="24"/>
        </w:rPr>
        <w:t>将TC4的氧（O）元素质量分数上限修改为0.35%，并删除了“经供需双方协商，TC4产品的氧含量可放宽至不大于0.40%”的备注。</w:t>
      </w:r>
    </w:p>
    <w:p w14:paraId="23C792F6">
      <w:pPr>
        <w:spacing w:line="360" w:lineRule="auto"/>
        <w:ind w:firstLine="480" w:firstLineChars="200"/>
        <w:rPr>
          <w:rFonts w:hint="eastAsia" w:hAnsi="宋体"/>
          <w:sz w:val="24"/>
          <w:szCs w:val="24"/>
        </w:rPr>
      </w:pPr>
      <w:r>
        <w:rPr>
          <w:rFonts w:hint="eastAsia" w:hAnsi="宋体"/>
          <w:sz w:val="24"/>
          <w:szCs w:val="24"/>
        </w:rPr>
        <w:t>以上的调整是基于</w:t>
      </w:r>
      <w:r>
        <w:rPr>
          <w:rFonts w:hAnsi="宋体"/>
          <w:sz w:val="24"/>
          <w:szCs w:val="24"/>
        </w:rPr>
        <w:t>MIM工艺在脱脂气固相变阶段不可避免存在微量有机粘结剂的高温裂解残留。将碳、氧限值适当调整至0.15%和0.35%，更精准地契合了当前高活性</w:t>
      </w:r>
      <w:r>
        <w:rPr>
          <w:rFonts w:hint="eastAsia" w:hAnsi="宋体"/>
          <w:sz w:val="24"/>
          <w:szCs w:val="24"/>
        </w:rPr>
        <w:t>钛及钛合金粉末特性</w:t>
      </w:r>
      <w:r>
        <w:rPr>
          <w:rFonts w:hAnsi="宋体"/>
          <w:sz w:val="24"/>
          <w:szCs w:val="24"/>
        </w:rPr>
        <w:t>与主流脱脂烧结工艺的客观极限。同时，</w:t>
      </w:r>
      <w:r>
        <w:rPr>
          <w:rFonts w:hint="eastAsia" w:hAnsi="宋体"/>
          <w:sz w:val="24"/>
          <w:szCs w:val="24"/>
        </w:rPr>
        <w:t>近些年的学界研究和业界实践均表明，适当的碳氧含量通过固溶强化的机制可以提高钛及钛合金的力学性能</w:t>
      </w:r>
      <w:r>
        <w:rPr>
          <w:rFonts w:hAnsi="宋体"/>
          <w:sz w:val="24"/>
          <w:szCs w:val="24"/>
        </w:rPr>
        <w:t>。</w:t>
      </w:r>
    </w:p>
    <w:p w14:paraId="0A50BFC4">
      <w:pPr>
        <w:spacing w:line="360" w:lineRule="auto"/>
        <w:ind w:firstLine="480" w:firstLineChars="200"/>
        <w:rPr>
          <w:sz w:val="24"/>
          <w:szCs w:val="24"/>
        </w:rPr>
      </w:pPr>
      <w:r>
        <w:rPr>
          <w:rFonts w:hAnsi="宋体"/>
          <w:sz w:val="24"/>
          <w:szCs w:val="24"/>
        </w:rPr>
        <w:t>统一氧含量指标并取消协商条款，消除了行业交易中的模糊地带，增强了标准的强制规范力</w:t>
      </w:r>
      <w:r>
        <w:rPr>
          <w:sz w:val="24"/>
          <w:szCs w:val="24"/>
        </w:rPr>
        <w:t>。</w:t>
      </w:r>
    </w:p>
    <w:p w14:paraId="0A50BFC5">
      <w:pPr>
        <w:spacing w:line="360" w:lineRule="auto"/>
        <w:rPr>
          <w:rFonts w:hint="eastAsia" w:hAnsi="宋体"/>
          <w:sz w:val="24"/>
          <w:szCs w:val="24"/>
        </w:rPr>
      </w:pPr>
      <w:bookmarkStart w:id="18" w:name="_Toc26925"/>
      <w:r>
        <w:rPr>
          <w:b/>
          <w:bCs/>
          <w:sz w:val="24"/>
          <w:szCs w:val="24"/>
        </w:rPr>
        <w:t xml:space="preserve">2.2.4 </w:t>
      </w:r>
      <w:bookmarkEnd w:id="18"/>
      <w:r>
        <w:rPr>
          <w:b/>
          <w:bCs/>
          <w:sz w:val="24"/>
          <w:szCs w:val="24"/>
        </w:rPr>
        <w:t>大幅提升力学性能指标</w:t>
      </w:r>
    </w:p>
    <w:p w14:paraId="36453C66">
      <w:pPr>
        <w:spacing w:line="360" w:lineRule="auto"/>
        <w:ind w:firstLine="480" w:firstLineChars="200"/>
        <w:rPr>
          <w:rFonts w:hint="eastAsia" w:hAnsi="宋体"/>
          <w:sz w:val="24"/>
          <w:szCs w:val="24"/>
        </w:rPr>
      </w:pPr>
      <w:r>
        <w:rPr>
          <w:rFonts w:hAnsi="宋体"/>
          <w:sz w:val="24"/>
          <w:szCs w:val="24"/>
        </w:rPr>
        <w:t>TC4：抗拉强度由≥780MPa提升至≥920MPa；规定塑性延伸强度由≥680 MPa 提升至≥850 MPa；断后伸长率由≥5%提升至≥10%。</w:t>
      </w:r>
    </w:p>
    <w:p w14:paraId="1F71F16D">
      <w:pPr>
        <w:spacing w:line="360" w:lineRule="auto"/>
        <w:ind w:firstLine="480" w:firstLineChars="200"/>
        <w:rPr>
          <w:rFonts w:hint="eastAsia" w:hAnsi="宋体"/>
          <w:sz w:val="24"/>
          <w:szCs w:val="24"/>
        </w:rPr>
      </w:pPr>
      <w:r>
        <w:rPr>
          <w:rFonts w:hAnsi="宋体"/>
          <w:sz w:val="24"/>
          <w:szCs w:val="24"/>
        </w:rPr>
        <w:t xml:space="preserve">TA4G：断后伸长率由≥5%提升至≥10%。  </w:t>
      </w:r>
    </w:p>
    <w:p w14:paraId="18C65563">
      <w:pPr>
        <w:spacing w:line="360" w:lineRule="auto"/>
        <w:ind w:firstLine="480" w:firstLineChars="200"/>
        <w:rPr>
          <w:rFonts w:hint="eastAsia" w:hAnsi="宋体"/>
          <w:sz w:val="24"/>
          <w:szCs w:val="24"/>
        </w:rPr>
      </w:pPr>
      <w:r>
        <w:rPr>
          <w:rFonts w:hAnsi="宋体"/>
          <w:sz w:val="24"/>
          <w:szCs w:val="24"/>
        </w:rPr>
        <w:t xml:space="preserve">新增牌号：明确TA15抗拉强度≥980 MPa、伸长率≥8%；明确TC11抗拉强度 ≥1050 MPa、伸长率≥8%。  </w:t>
      </w:r>
    </w:p>
    <w:p w14:paraId="0A50BFC6">
      <w:pPr>
        <w:spacing w:line="360" w:lineRule="auto"/>
        <w:ind w:firstLine="480" w:firstLineChars="200"/>
        <w:rPr>
          <w:rFonts w:hint="eastAsia" w:hAnsi="宋体"/>
          <w:sz w:val="24"/>
          <w:szCs w:val="24"/>
        </w:rPr>
      </w:pPr>
      <w:r>
        <w:rPr>
          <w:rFonts w:hAnsi="宋体"/>
          <w:sz w:val="24"/>
          <w:szCs w:val="24"/>
        </w:rPr>
        <w:t>原标准的性能要求过于保守。近年来，国内头部企业通过优化粉末特性与烧结致密化模型，已彻底突破钛合金MIM制品“高强低塑”的工程瓶颈。将TC4核心指标提升至920 MPa / 10%，不仅真实反映了当前国内领军企业的产业化水平，更全面超越了部分国际通用的医疗及工业标准底线，极大地提升了国产异形件的国际竞争力</w:t>
      </w:r>
      <w:r>
        <w:rPr>
          <w:rFonts w:hint="eastAsia" w:hAnsi="宋体"/>
          <w:sz w:val="24"/>
          <w:szCs w:val="24"/>
        </w:rPr>
        <w:t>。</w:t>
      </w:r>
    </w:p>
    <w:p w14:paraId="0A50BFC7">
      <w:pPr>
        <w:spacing w:line="360" w:lineRule="auto"/>
        <w:rPr>
          <w:rFonts w:hint="eastAsia" w:ascii="宋体" w:hAnsi="宋体" w:cs="宋体"/>
          <w:sz w:val="24"/>
          <w:szCs w:val="24"/>
        </w:rPr>
      </w:pPr>
      <w:r>
        <w:rPr>
          <w:b/>
          <w:bCs/>
          <w:sz w:val="24"/>
          <w:szCs w:val="24"/>
        </w:rPr>
        <w:t>2.2.</w:t>
      </w:r>
      <w:r>
        <w:rPr>
          <w:rFonts w:hint="eastAsia"/>
          <w:b/>
          <w:bCs/>
          <w:sz w:val="24"/>
          <w:szCs w:val="24"/>
        </w:rPr>
        <w:t>5</w:t>
      </w:r>
      <w:r>
        <w:rPr>
          <w:b/>
          <w:bCs/>
          <w:sz w:val="24"/>
          <w:szCs w:val="24"/>
        </w:rPr>
        <w:t xml:space="preserve"> 新增显微硬度要求及试验方法</w:t>
      </w:r>
    </w:p>
    <w:p w14:paraId="7610C772">
      <w:pPr>
        <w:spacing w:line="360" w:lineRule="auto"/>
        <w:ind w:firstLine="480" w:firstLineChars="200"/>
        <w:rPr>
          <w:rFonts w:hint="eastAsia" w:ascii="宋体" w:hAnsi="宋体" w:cs="宋体"/>
          <w:sz w:val="24"/>
          <w:szCs w:val="24"/>
        </w:rPr>
      </w:pPr>
      <w:r>
        <w:rPr>
          <w:rFonts w:ascii="宋体" w:hAnsi="宋体" w:cs="宋体"/>
          <w:sz w:val="24"/>
          <w:szCs w:val="24"/>
        </w:rPr>
        <w:t>增加了4.4节显微硬度要求（规定TA4G</w:t>
      </w:r>
      <w:r>
        <w:rPr>
          <w:rFonts w:hint="eastAsia" w:ascii="宋体" w:hAnsi="宋体" w:cs="宋体"/>
          <w:sz w:val="24"/>
          <w:szCs w:val="24"/>
        </w:rPr>
        <w:t>：</w:t>
      </w:r>
      <w:r>
        <w:rPr>
          <w:rFonts w:ascii="宋体" w:hAnsi="宋体" w:cs="宋体"/>
          <w:sz w:val="24"/>
          <w:szCs w:val="24"/>
        </w:rPr>
        <w:t>180-240 HV1，TA15</w:t>
      </w:r>
      <w:r>
        <w:rPr>
          <w:rFonts w:hint="eastAsia" w:ascii="宋体" w:hAnsi="宋体" w:cs="宋体"/>
          <w:sz w:val="24"/>
          <w:szCs w:val="24"/>
        </w:rPr>
        <w:t>：</w:t>
      </w:r>
      <w:r>
        <w:rPr>
          <w:rFonts w:ascii="宋体" w:hAnsi="宋体" w:cs="宋体"/>
          <w:sz w:val="24"/>
          <w:szCs w:val="24"/>
        </w:rPr>
        <w:t>320-400 HV1，TC4</w:t>
      </w:r>
      <w:r>
        <w:rPr>
          <w:rFonts w:hint="eastAsia" w:ascii="宋体" w:hAnsi="宋体" w:cs="宋体"/>
          <w:sz w:val="24"/>
          <w:szCs w:val="24"/>
        </w:rPr>
        <w:t>：</w:t>
      </w:r>
      <w:r>
        <w:rPr>
          <w:rFonts w:ascii="宋体" w:hAnsi="宋体" w:cs="宋体"/>
          <w:sz w:val="24"/>
          <w:szCs w:val="24"/>
        </w:rPr>
        <w:t>300-380 HV1，TC11</w:t>
      </w:r>
      <w:r>
        <w:rPr>
          <w:rFonts w:hint="eastAsia" w:ascii="宋体" w:hAnsi="宋体" w:cs="宋体"/>
          <w:sz w:val="24"/>
          <w:szCs w:val="24"/>
        </w:rPr>
        <w:t>：</w:t>
      </w:r>
      <w:r>
        <w:rPr>
          <w:rFonts w:ascii="宋体" w:hAnsi="宋体" w:cs="宋体"/>
          <w:sz w:val="24"/>
          <w:szCs w:val="24"/>
        </w:rPr>
        <w:t xml:space="preserve">350-430 HV1），以及5.4节的试验方法。 </w:t>
      </w:r>
    </w:p>
    <w:p w14:paraId="0A50BFC9">
      <w:pPr>
        <w:spacing w:line="360" w:lineRule="auto"/>
        <w:ind w:firstLine="480" w:firstLineChars="200"/>
        <w:rPr>
          <w:rFonts w:hint="eastAsia" w:ascii="宋体" w:hAnsi="宋体" w:cs="宋体"/>
          <w:sz w:val="24"/>
          <w:szCs w:val="24"/>
        </w:rPr>
      </w:pPr>
      <w:r>
        <w:rPr>
          <w:rFonts w:ascii="宋体" w:hAnsi="宋体" w:cs="宋体"/>
          <w:sz w:val="24"/>
          <w:szCs w:val="24"/>
        </w:rPr>
        <w:t>金属注射成形件</w:t>
      </w:r>
      <w:r>
        <w:rPr>
          <w:rFonts w:hint="eastAsia" w:ascii="宋体" w:hAnsi="宋体" w:cs="宋体"/>
          <w:sz w:val="24"/>
          <w:szCs w:val="24"/>
        </w:rPr>
        <w:t>存在整体尺寸较小，壁厚较薄的特性</w:t>
      </w:r>
      <w:r>
        <w:rPr>
          <w:rFonts w:ascii="宋体" w:hAnsi="宋体" w:cs="宋体"/>
          <w:sz w:val="24"/>
          <w:szCs w:val="24"/>
        </w:rPr>
        <w:t>，宏观硬度（如洛氏或布氏硬度）往往由于压痕过大</w:t>
      </w:r>
      <w:r>
        <w:rPr>
          <w:rFonts w:hint="eastAsia" w:ascii="宋体" w:hAnsi="宋体" w:cs="宋体"/>
          <w:sz w:val="24"/>
          <w:szCs w:val="24"/>
        </w:rPr>
        <w:t>超过产品尺寸范围</w:t>
      </w:r>
      <w:r>
        <w:rPr>
          <w:rFonts w:ascii="宋体" w:hAnsi="宋体" w:cs="宋体"/>
          <w:sz w:val="24"/>
          <w:szCs w:val="24"/>
        </w:rPr>
        <w:t>而失真。引入显微维氏硬度（HV1），旨在</w:t>
      </w:r>
      <w:r>
        <w:rPr>
          <w:rFonts w:hint="eastAsia" w:ascii="宋体" w:hAnsi="宋体" w:cs="宋体"/>
          <w:sz w:val="24"/>
          <w:szCs w:val="24"/>
        </w:rPr>
        <w:t>产品尺寸范围内能准确测量出产品的硬度指标</w:t>
      </w:r>
      <w:r>
        <w:rPr>
          <w:rFonts w:ascii="宋体" w:hAnsi="宋体" w:cs="宋体"/>
          <w:sz w:val="24"/>
          <w:szCs w:val="24"/>
        </w:rPr>
        <w:t>。此项增量指标对于评估消费电子外观件（如表壳、中框）的抗划痕能力及耐用性具有关键的指导意义</w:t>
      </w:r>
      <w:r>
        <w:rPr>
          <w:rFonts w:hint="eastAsia" w:ascii="宋体" w:hAnsi="宋体" w:cs="宋体"/>
          <w:sz w:val="24"/>
          <w:szCs w:val="24"/>
        </w:rPr>
        <w:t>。</w:t>
      </w:r>
    </w:p>
    <w:p w14:paraId="0A50BFCA">
      <w:pPr>
        <w:widowControl/>
        <w:snapToGrid w:val="0"/>
        <w:spacing w:line="360" w:lineRule="auto"/>
        <w:jc w:val="left"/>
        <w:outlineLvl w:val="2"/>
        <w:rPr>
          <w:b/>
          <w:bCs/>
          <w:sz w:val="24"/>
          <w:szCs w:val="24"/>
        </w:rPr>
      </w:pPr>
      <w:r>
        <w:rPr>
          <w:b/>
          <w:bCs/>
          <w:sz w:val="24"/>
          <w:szCs w:val="24"/>
        </w:rPr>
        <w:t>2.2.</w:t>
      </w:r>
      <w:r>
        <w:rPr>
          <w:rFonts w:hint="eastAsia"/>
          <w:b/>
          <w:bCs/>
          <w:sz w:val="24"/>
          <w:szCs w:val="24"/>
        </w:rPr>
        <w:t>6</w:t>
      </w:r>
      <w:r>
        <w:rPr>
          <w:b/>
          <w:bCs/>
          <w:sz w:val="24"/>
          <w:szCs w:val="24"/>
        </w:rPr>
        <w:t xml:space="preserve"> 细化外观质量判定标准</w:t>
      </w:r>
    </w:p>
    <w:p w14:paraId="29792F62">
      <w:pPr>
        <w:spacing w:line="360" w:lineRule="auto"/>
        <w:ind w:firstLine="480" w:firstLineChars="200"/>
        <w:rPr>
          <w:rFonts w:hint="eastAsia" w:ascii="宋体" w:hAnsi="宋体" w:cs="宋体"/>
          <w:sz w:val="24"/>
          <w:szCs w:val="24"/>
        </w:rPr>
      </w:pPr>
      <w:r>
        <w:rPr>
          <w:rFonts w:ascii="宋体" w:hAnsi="宋体" w:cs="宋体"/>
          <w:sz w:val="24"/>
          <w:szCs w:val="24"/>
        </w:rPr>
        <w:t>将外观质量的描述由“无毛刺、飞边、裂纹、针孔等缺陷”，细化修改为“不应有影响使用的分层、划伤、腐蚀、油斑、印痕、起皮、金属或非金属压入物、黑条及其他影响进一步加工的缺陷”。</w:t>
      </w:r>
    </w:p>
    <w:p w14:paraId="0A50BFDC">
      <w:pPr>
        <w:spacing w:line="360" w:lineRule="auto"/>
        <w:ind w:firstLine="480" w:firstLineChars="200"/>
      </w:pPr>
      <w:r>
        <w:rPr>
          <w:rFonts w:ascii="宋体" w:hAnsi="宋体" w:cs="宋体"/>
          <w:sz w:val="24"/>
          <w:szCs w:val="24"/>
        </w:rPr>
        <w:t>现在的</w:t>
      </w:r>
      <w:r>
        <w:rPr>
          <w:rFonts w:hint="eastAsia" w:ascii="宋体" w:hAnsi="宋体" w:cs="宋体"/>
          <w:sz w:val="24"/>
          <w:szCs w:val="24"/>
        </w:rPr>
        <w:t>工业化生产，注塑</w:t>
      </w:r>
      <w:r>
        <w:rPr>
          <w:rFonts w:ascii="宋体" w:hAnsi="宋体" w:cs="宋体"/>
          <w:sz w:val="24"/>
          <w:szCs w:val="24"/>
        </w:rPr>
        <w:t xml:space="preserve">生坯一般都是潜水口，不用水口钳。产品生坯在注塑完一般用机械手夹取和吸嘴吸附，加上在烧结过程为规避结构变形广泛使用随形支撑，传统的人工飞边与水口剪切缺陷已不是主要矛盾。相反，自动化周转夹取、真空炉内支撑接触带来的摩擦印痕、划伤及压入物成为影响高精密异形件（尤其是需进行后续 </w:t>
      </w:r>
      <w:r>
        <w:rPr>
          <w:rFonts w:hint="eastAsia" w:ascii="宋体" w:hAnsi="宋体" w:cs="宋体"/>
          <w:sz w:val="24"/>
          <w:szCs w:val="24"/>
        </w:rPr>
        <w:t>表面处理</w:t>
      </w:r>
      <w:r>
        <w:rPr>
          <w:rFonts w:ascii="宋体" w:hAnsi="宋体" w:cs="宋体"/>
          <w:sz w:val="24"/>
          <w:szCs w:val="24"/>
        </w:rPr>
        <w:t>的外观件）良率的核心风险。外观缺陷标准的具象化升级，紧贴了现代自动化生产线的质控盲区</w:t>
      </w:r>
      <w:r>
        <w:rPr>
          <w:rFonts w:hint="eastAsia" w:ascii="宋体" w:hAnsi="宋体" w:cs="宋体"/>
          <w:sz w:val="24"/>
          <w:szCs w:val="24"/>
        </w:rPr>
        <w:t>。</w:t>
      </w:r>
    </w:p>
    <w:p w14:paraId="0A50BFDD">
      <w:pPr>
        <w:rPr>
          <w:b/>
          <w:bCs/>
          <w:sz w:val="24"/>
        </w:rPr>
      </w:pPr>
      <w:bookmarkStart w:id="19" w:name="_Toc15307"/>
      <w:r>
        <w:rPr>
          <w:b/>
          <w:bCs/>
          <w:sz w:val="24"/>
        </w:rPr>
        <w:br w:type="page"/>
      </w:r>
    </w:p>
    <w:p w14:paraId="0A50BFDE">
      <w:pPr>
        <w:adjustRightInd w:val="0"/>
        <w:snapToGrid w:val="0"/>
        <w:spacing w:before="120" w:beforeLines="50" w:after="120" w:afterLines="50"/>
        <w:outlineLvl w:val="0"/>
        <w:rPr>
          <w:b/>
          <w:bCs/>
          <w:sz w:val="24"/>
        </w:rPr>
      </w:pPr>
      <w:r>
        <w:rPr>
          <w:b/>
          <w:bCs/>
          <w:sz w:val="24"/>
        </w:rPr>
        <w:t>三、试验验证的分析、综述报告，技术经济论证，预期的经济效益、社会效益和生态效益</w:t>
      </w:r>
    </w:p>
    <w:p w14:paraId="0A50BFDF">
      <w:pPr>
        <w:widowControl/>
        <w:snapToGrid w:val="0"/>
        <w:spacing w:line="360" w:lineRule="auto"/>
        <w:jc w:val="left"/>
        <w:outlineLvl w:val="1"/>
        <w:rPr>
          <w:b/>
          <w:bCs/>
          <w:sz w:val="24"/>
        </w:rPr>
      </w:pPr>
      <w:r>
        <w:rPr>
          <w:b/>
          <w:bCs/>
          <w:sz w:val="24"/>
        </w:rPr>
        <w:t xml:space="preserve">3.1 </w:t>
      </w:r>
      <w:bookmarkEnd w:id="19"/>
      <w:r>
        <w:rPr>
          <w:b/>
          <w:bCs/>
          <w:sz w:val="24"/>
        </w:rPr>
        <w:t>产品情况调研</w:t>
      </w:r>
    </w:p>
    <w:p w14:paraId="0C73D9B3">
      <w:pPr>
        <w:spacing w:line="360" w:lineRule="auto"/>
        <w:ind w:firstLine="480" w:firstLineChars="200"/>
        <w:rPr>
          <w:kern w:val="0"/>
          <w:sz w:val="24"/>
          <w:szCs w:val="24"/>
        </w:rPr>
      </w:pPr>
      <w:r>
        <w:rPr>
          <w:rFonts w:hint="eastAsia"/>
          <w:kern w:val="0"/>
          <w:sz w:val="24"/>
          <w:szCs w:val="24"/>
        </w:rPr>
        <w:t>国内数十家粉末冶金生产单位、科研单位、终端应用厂商等均对金属注射成形钛及钛合金异形件有明确的规范化与高标准检测需求，产品应用广泛覆盖消费电子（如智能穿戴设备中框、折叠屏铰链）、航空航天非承力件、医疗器械等众多核心领域。为确保修订技术指标的科学性与落地性，标准编制组对深圳艾利佳材料科技有限公司、江苏精研科技股份有限公司、上海富驰高科技股份有限公司、北京科技大学等十余家骨干单位的主要钛及钛合金MIM制品进行了深度的多批次性能数据调研与统计。</w:t>
      </w:r>
    </w:p>
    <w:p w14:paraId="0A50BFE0">
      <w:pPr>
        <w:spacing w:line="360" w:lineRule="auto"/>
        <w:ind w:firstLine="480" w:firstLineChars="200"/>
        <w:rPr>
          <w:kern w:val="0"/>
          <w:sz w:val="24"/>
          <w:szCs w:val="24"/>
        </w:rPr>
      </w:pPr>
      <w:r>
        <w:rPr>
          <w:rFonts w:hint="eastAsia"/>
          <w:kern w:val="0"/>
          <w:sz w:val="24"/>
          <w:szCs w:val="24"/>
        </w:rPr>
        <w:t>调研产品全面覆盖了本标准规定的TA4G、TA15、TC4以及TC11等核心牌号。调研共收集了多批次产品的宏观力学性能与显微微观力学数据。统计结果显示，各牌号产品的抗拉强度、规定塑性延伸强度、断后伸长率以及维氏硬度（HV1）均表现出较好的工艺稳定性与批次一致性。以下为部分代表性起草单位的产品实测数据汇总汇总：</w:t>
      </w:r>
      <w:r>
        <w:rPr>
          <w:sz w:val="24"/>
          <w:szCs w:val="24"/>
        </w:rPr>
        <w:t xml:space="preserve"> </w:t>
      </w:r>
    </w:p>
    <w:p w14:paraId="0A50BFE1">
      <w:pPr>
        <w:spacing w:line="360" w:lineRule="auto"/>
        <w:ind w:firstLine="480" w:firstLineChars="200"/>
        <w:rPr>
          <w:sz w:val="24"/>
          <w:szCs w:val="24"/>
        </w:rPr>
      </w:pPr>
    </w:p>
    <w:p w14:paraId="0A50BFE2">
      <w:pPr>
        <w:spacing w:line="360" w:lineRule="auto"/>
        <w:jc w:val="center"/>
      </w:pPr>
      <w:r>
        <w:t>表</w:t>
      </w:r>
      <w:r>
        <w:rPr>
          <w:rFonts w:hint="eastAsia"/>
        </w:rPr>
        <w:t>2</w:t>
      </w:r>
      <w:r>
        <w:t xml:space="preserve"> </w:t>
      </w:r>
      <w:r>
        <w:rPr>
          <w:rFonts w:hint="eastAsia"/>
        </w:rPr>
        <w:t>XXX</w:t>
      </w:r>
      <w:r>
        <w:t>公司相关产品数据</w:t>
      </w:r>
    </w:p>
    <w:tbl>
      <w:tblPr>
        <w:tblStyle w:val="2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759"/>
        <w:gridCol w:w="1137"/>
        <w:gridCol w:w="686"/>
        <w:gridCol w:w="1466"/>
        <w:gridCol w:w="1130"/>
        <w:gridCol w:w="1269"/>
        <w:gridCol w:w="763"/>
      </w:tblGrid>
      <w:tr w14:paraId="0A50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pct"/>
            <w:vAlign w:val="center"/>
          </w:tcPr>
          <w:p w14:paraId="0A50BFE3">
            <w:pPr>
              <w:spacing w:line="360" w:lineRule="auto"/>
              <w:jc w:val="center"/>
            </w:pPr>
            <w:r>
              <w:t>序号</w:t>
            </w:r>
          </w:p>
        </w:tc>
        <w:tc>
          <w:tcPr>
            <w:tcW w:w="981" w:type="pct"/>
            <w:vAlign w:val="center"/>
          </w:tcPr>
          <w:p w14:paraId="0A50BFE4">
            <w:pPr>
              <w:spacing w:line="360" w:lineRule="auto"/>
              <w:jc w:val="center"/>
            </w:pPr>
          </w:p>
        </w:tc>
        <w:tc>
          <w:tcPr>
            <w:tcW w:w="634" w:type="pct"/>
            <w:vAlign w:val="center"/>
          </w:tcPr>
          <w:p w14:paraId="0A50BFE6">
            <w:pPr>
              <w:spacing w:line="360" w:lineRule="auto"/>
              <w:jc w:val="center"/>
            </w:pPr>
          </w:p>
        </w:tc>
        <w:tc>
          <w:tcPr>
            <w:tcW w:w="383" w:type="pct"/>
            <w:vAlign w:val="center"/>
          </w:tcPr>
          <w:p w14:paraId="0A50BFE7">
            <w:pPr>
              <w:spacing w:line="360" w:lineRule="auto"/>
              <w:jc w:val="center"/>
            </w:pPr>
          </w:p>
        </w:tc>
        <w:tc>
          <w:tcPr>
            <w:tcW w:w="819" w:type="pct"/>
            <w:vAlign w:val="center"/>
          </w:tcPr>
          <w:p w14:paraId="0A50BFE9">
            <w:pPr>
              <w:jc w:val="center"/>
            </w:pPr>
          </w:p>
        </w:tc>
        <w:tc>
          <w:tcPr>
            <w:tcW w:w="631" w:type="pct"/>
            <w:vAlign w:val="center"/>
          </w:tcPr>
          <w:p w14:paraId="0A50BFEB">
            <w:pPr>
              <w:jc w:val="center"/>
            </w:pPr>
          </w:p>
        </w:tc>
        <w:tc>
          <w:tcPr>
            <w:tcW w:w="709" w:type="pct"/>
            <w:vAlign w:val="center"/>
          </w:tcPr>
          <w:p w14:paraId="0A50BFEE">
            <w:pPr>
              <w:jc w:val="center"/>
            </w:pPr>
          </w:p>
        </w:tc>
        <w:tc>
          <w:tcPr>
            <w:tcW w:w="426" w:type="pct"/>
            <w:vAlign w:val="center"/>
          </w:tcPr>
          <w:p w14:paraId="0A50BFEF">
            <w:pPr>
              <w:spacing w:line="360" w:lineRule="auto"/>
              <w:jc w:val="center"/>
            </w:pPr>
          </w:p>
        </w:tc>
      </w:tr>
      <w:tr w14:paraId="0A50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pct"/>
            <w:vAlign w:val="center"/>
          </w:tcPr>
          <w:p w14:paraId="0A50BFF1">
            <w:pPr>
              <w:spacing w:line="360" w:lineRule="auto"/>
              <w:jc w:val="center"/>
            </w:pPr>
            <w:r>
              <w:rPr>
                <w:rFonts w:hint="eastAsia"/>
              </w:rPr>
              <w:t>1</w:t>
            </w:r>
          </w:p>
        </w:tc>
        <w:tc>
          <w:tcPr>
            <w:tcW w:w="981" w:type="pct"/>
            <w:vAlign w:val="center"/>
          </w:tcPr>
          <w:p w14:paraId="0A50BFF2">
            <w:pPr>
              <w:spacing w:line="360" w:lineRule="auto"/>
              <w:jc w:val="center"/>
            </w:pPr>
          </w:p>
        </w:tc>
        <w:tc>
          <w:tcPr>
            <w:tcW w:w="634" w:type="pct"/>
            <w:vAlign w:val="center"/>
          </w:tcPr>
          <w:p w14:paraId="0A50BFF3">
            <w:pPr>
              <w:spacing w:line="360" w:lineRule="auto"/>
              <w:jc w:val="center"/>
            </w:pPr>
          </w:p>
        </w:tc>
        <w:tc>
          <w:tcPr>
            <w:tcW w:w="383" w:type="pct"/>
            <w:vAlign w:val="center"/>
          </w:tcPr>
          <w:p w14:paraId="0A50BFF4">
            <w:pPr>
              <w:spacing w:line="360" w:lineRule="auto"/>
              <w:jc w:val="center"/>
            </w:pPr>
          </w:p>
        </w:tc>
        <w:tc>
          <w:tcPr>
            <w:tcW w:w="819" w:type="pct"/>
            <w:vAlign w:val="center"/>
          </w:tcPr>
          <w:p w14:paraId="0A50BFF5">
            <w:pPr>
              <w:spacing w:line="360" w:lineRule="auto"/>
              <w:jc w:val="center"/>
            </w:pPr>
          </w:p>
        </w:tc>
        <w:tc>
          <w:tcPr>
            <w:tcW w:w="631" w:type="pct"/>
            <w:vAlign w:val="center"/>
          </w:tcPr>
          <w:p w14:paraId="0A50BFF6">
            <w:pPr>
              <w:spacing w:line="360" w:lineRule="auto"/>
              <w:jc w:val="center"/>
            </w:pPr>
          </w:p>
        </w:tc>
        <w:tc>
          <w:tcPr>
            <w:tcW w:w="709" w:type="pct"/>
            <w:vAlign w:val="center"/>
          </w:tcPr>
          <w:p w14:paraId="0A50BFF7">
            <w:pPr>
              <w:spacing w:line="360" w:lineRule="auto"/>
              <w:jc w:val="center"/>
            </w:pPr>
          </w:p>
        </w:tc>
        <w:tc>
          <w:tcPr>
            <w:tcW w:w="426" w:type="pct"/>
            <w:vAlign w:val="center"/>
          </w:tcPr>
          <w:p w14:paraId="0A50BFF8">
            <w:pPr>
              <w:spacing w:line="360" w:lineRule="auto"/>
              <w:jc w:val="center"/>
            </w:pPr>
          </w:p>
        </w:tc>
      </w:tr>
      <w:tr w14:paraId="0A50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pct"/>
            <w:vAlign w:val="center"/>
          </w:tcPr>
          <w:p w14:paraId="0A50BFFA">
            <w:pPr>
              <w:spacing w:line="360" w:lineRule="auto"/>
              <w:jc w:val="center"/>
            </w:pPr>
            <w:r>
              <w:rPr>
                <w:rFonts w:hint="eastAsia"/>
              </w:rPr>
              <w:t>2</w:t>
            </w:r>
          </w:p>
        </w:tc>
        <w:tc>
          <w:tcPr>
            <w:tcW w:w="981" w:type="pct"/>
            <w:vAlign w:val="center"/>
          </w:tcPr>
          <w:p w14:paraId="0A50BFFB">
            <w:pPr>
              <w:spacing w:line="360" w:lineRule="auto"/>
              <w:jc w:val="center"/>
            </w:pPr>
          </w:p>
        </w:tc>
        <w:tc>
          <w:tcPr>
            <w:tcW w:w="634" w:type="pct"/>
            <w:vAlign w:val="center"/>
          </w:tcPr>
          <w:p w14:paraId="0A50BFFC">
            <w:pPr>
              <w:spacing w:line="360" w:lineRule="auto"/>
              <w:jc w:val="center"/>
            </w:pPr>
          </w:p>
        </w:tc>
        <w:tc>
          <w:tcPr>
            <w:tcW w:w="383" w:type="pct"/>
            <w:vAlign w:val="center"/>
          </w:tcPr>
          <w:p w14:paraId="0A50BFFD">
            <w:pPr>
              <w:spacing w:line="360" w:lineRule="auto"/>
              <w:jc w:val="center"/>
            </w:pPr>
          </w:p>
        </w:tc>
        <w:tc>
          <w:tcPr>
            <w:tcW w:w="819" w:type="pct"/>
            <w:vAlign w:val="center"/>
          </w:tcPr>
          <w:p w14:paraId="0A50BFFE">
            <w:pPr>
              <w:spacing w:line="360" w:lineRule="auto"/>
              <w:jc w:val="center"/>
            </w:pPr>
          </w:p>
        </w:tc>
        <w:tc>
          <w:tcPr>
            <w:tcW w:w="631" w:type="pct"/>
            <w:vAlign w:val="center"/>
          </w:tcPr>
          <w:p w14:paraId="0A50BFFF">
            <w:pPr>
              <w:spacing w:line="360" w:lineRule="auto"/>
              <w:jc w:val="center"/>
            </w:pPr>
          </w:p>
        </w:tc>
        <w:tc>
          <w:tcPr>
            <w:tcW w:w="709" w:type="pct"/>
            <w:vAlign w:val="center"/>
          </w:tcPr>
          <w:p w14:paraId="0A50C000">
            <w:pPr>
              <w:spacing w:line="360" w:lineRule="auto"/>
              <w:jc w:val="center"/>
            </w:pPr>
          </w:p>
        </w:tc>
        <w:tc>
          <w:tcPr>
            <w:tcW w:w="426" w:type="pct"/>
            <w:vAlign w:val="center"/>
          </w:tcPr>
          <w:p w14:paraId="0A50C001">
            <w:pPr>
              <w:spacing w:line="360" w:lineRule="auto"/>
              <w:jc w:val="center"/>
            </w:pPr>
          </w:p>
        </w:tc>
      </w:tr>
      <w:tr w14:paraId="0A50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pct"/>
            <w:vAlign w:val="center"/>
          </w:tcPr>
          <w:p w14:paraId="0A50C003">
            <w:pPr>
              <w:spacing w:line="360" w:lineRule="auto"/>
              <w:jc w:val="center"/>
            </w:pPr>
            <w:r>
              <w:rPr>
                <w:rFonts w:hint="eastAsia"/>
              </w:rPr>
              <w:t>3</w:t>
            </w:r>
          </w:p>
        </w:tc>
        <w:tc>
          <w:tcPr>
            <w:tcW w:w="981" w:type="pct"/>
            <w:vAlign w:val="center"/>
          </w:tcPr>
          <w:p w14:paraId="0A50C004">
            <w:pPr>
              <w:spacing w:line="360" w:lineRule="auto"/>
              <w:jc w:val="center"/>
            </w:pPr>
          </w:p>
        </w:tc>
        <w:tc>
          <w:tcPr>
            <w:tcW w:w="634" w:type="pct"/>
            <w:vAlign w:val="center"/>
          </w:tcPr>
          <w:p w14:paraId="0A50C005">
            <w:pPr>
              <w:spacing w:line="360" w:lineRule="auto"/>
              <w:jc w:val="center"/>
            </w:pPr>
          </w:p>
        </w:tc>
        <w:tc>
          <w:tcPr>
            <w:tcW w:w="383" w:type="pct"/>
            <w:vAlign w:val="center"/>
          </w:tcPr>
          <w:p w14:paraId="0A50C006">
            <w:pPr>
              <w:spacing w:line="360" w:lineRule="auto"/>
              <w:jc w:val="center"/>
            </w:pPr>
          </w:p>
        </w:tc>
        <w:tc>
          <w:tcPr>
            <w:tcW w:w="819" w:type="pct"/>
            <w:vAlign w:val="center"/>
          </w:tcPr>
          <w:p w14:paraId="0A50C007">
            <w:pPr>
              <w:spacing w:line="360" w:lineRule="auto"/>
              <w:jc w:val="center"/>
            </w:pPr>
          </w:p>
        </w:tc>
        <w:tc>
          <w:tcPr>
            <w:tcW w:w="631" w:type="pct"/>
            <w:vAlign w:val="center"/>
          </w:tcPr>
          <w:p w14:paraId="0A50C008">
            <w:pPr>
              <w:spacing w:line="360" w:lineRule="auto"/>
              <w:jc w:val="center"/>
            </w:pPr>
          </w:p>
        </w:tc>
        <w:tc>
          <w:tcPr>
            <w:tcW w:w="709" w:type="pct"/>
            <w:vAlign w:val="center"/>
          </w:tcPr>
          <w:p w14:paraId="0A50C009">
            <w:pPr>
              <w:spacing w:line="360" w:lineRule="auto"/>
              <w:jc w:val="center"/>
            </w:pPr>
          </w:p>
        </w:tc>
        <w:tc>
          <w:tcPr>
            <w:tcW w:w="426" w:type="pct"/>
            <w:vAlign w:val="center"/>
          </w:tcPr>
          <w:p w14:paraId="0A50C00A">
            <w:pPr>
              <w:spacing w:line="360" w:lineRule="auto"/>
              <w:jc w:val="center"/>
            </w:pPr>
          </w:p>
        </w:tc>
      </w:tr>
    </w:tbl>
    <w:p w14:paraId="0A50C00C">
      <w:pPr>
        <w:spacing w:line="360" w:lineRule="auto"/>
        <w:rPr>
          <w:szCs w:val="24"/>
        </w:rPr>
      </w:pPr>
    </w:p>
    <w:p w14:paraId="0A50C00D">
      <w:pPr>
        <w:spacing w:line="360" w:lineRule="auto"/>
        <w:jc w:val="center"/>
      </w:pPr>
      <w:r>
        <w:t>表</w:t>
      </w:r>
      <w:r>
        <w:rPr>
          <w:rFonts w:hint="eastAsia"/>
        </w:rPr>
        <w:t>3</w:t>
      </w:r>
      <w:r>
        <w:t xml:space="preserve"> XXX公司相关产品数据</w:t>
      </w:r>
    </w:p>
    <w:tbl>
      <w:tblPr>
        <w:tblStyle w:val="23"/>
        <w:tblW w:w="54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728"/>
        <w:gridCol w:w="1388"/>
        <w:gridCol w:w="1115"/>
        <w:gridCol w:w="1365"/>
        <w:gridCol w:w="1088"/>
        <w:gridCol w:w="1088"/>
        <w:gridCol w:w="1520"/>
        <w:gridCol w:w="660"/>
      </w:tblGrid>
      <w:tr w14:paraId="0A50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vAlign w:val="center"/>
          </w:tcPr>
          <w:p w14:paraId="7B7DC44A">
            <w:pPr>
              <w:spacing w:line="360" w:lineRule="auto"/>
              <w:jc w:val="center"/>
            </w:pPr>
            <w:r>
              <w:t>序号</w:t>
            </w:r>
          </w:p>
        </w:tc>
        <w:tc>
          <w:tcPr>
            <w:tcW w:w="376" w:type="pct"/>
            <w:vAlign w:val="center"/>
          </w:tcPr>
          <w:p w14:paraId="0A50C00E">
            <w:pPr>
              <w:spacing w:line="360" w:lineRule="auto"/>
              <w:jc w:val="center"/>
            </w:pPr>
          </w:p>
        </w:tc>
        <w:tc>
          <w:tcPr>
            <w:tcW w:w="717" w:type="pct"/>
            <w:vAlign w:val="center"/>
          </w:tcPr>
          <w:p w14:paraId="0A50C00F">
            <w:pPr>
              <w:spacing w:line="360" w:lineRule="auto"/>
              <w:jc w:val="center"/>
            </w:pPr>
          </w:p>
        </w:tc>
        <w:tc>
          <w:tcPr>
            <w:tcW w:w="576" w:type="pct"/>
            <w:vAlign w:val="center"/>
          </w:tcPr>
          <w:p w14:paraId="0A50C010">
            <w:pPr>
              <w:spacing w:line="360" w:lineRule="auto"/>
              <w:jc w:val="center"/>
            </w:pPr>
          </w:p>
        </w:tc>
        <w:tc>
          <w:tcPr>
            <w:tcW w:w="705" w:type="pct"/>
            <w:vAlign w:val="center"/>
          </w:tcPr>
          <w:p w14:paraId="0A50C011">
            <w:pPr>
              <w:spacing w:line="360" w:lineRule="auto"/>
              <w:jc w:val="center"/>
            </w:pPr>
          </w:p>
        </w:tc>
        <w:tc>
          <w:tcPr>
            <w:tcW w:w="562" w:type="pct"/>
            <w:vAlign w:val="center"/>
          </w:tcPr>
          <w:p w14:paraId="0A50C013">
            <w:pPr>
              <w:jc w:val="center"/>
            </w:pPr>
          </w:p>
        </w:tc>
        <w:tc>
          <w:tcPr>
            <w:tcW w:w="562" w:type="pct"/>
            <w:vAlign w:val="center"/>
          </w:tcPr>
          <w:p w14:paraId="0A50C015">
            <w:pPr>
              <w:jc w:val="center"/>
            </w:pPr>
          </w:p>
        </w:tc>
        <w:tc>
          <w:tcPr>
            <w:tcW w:w="785" w:type="pct"/>
            <w:vAlign w:val="center"/>
          </w:tcPr>
          <w:p w14:paraId="0A50C018">
            <w:pPr>
              <w:jc w:val="center"/>
            </w:pPr>
          </w:p>
        </w:tc>
        <w:tc>
          <w:tcPr>
            <w:tcW w:w="341" w:type="pct"/>
            <w:vAlign w:val="center"/>
          </w:tcPr>
          <w:p w14:paraId="0A50C01A">
            <w:pPr>
              <w:spacing w:line="360" w:lineRule="auto"/>
              <w:jc w:val="center"/>
            </w:pPr>
          </w:p>
        </w:tc>
      </w:tr>
      <w:tr w14:paraId="0A50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vAlign w:val="center"/>
          </w:tcPr>
          <w:p w14:paraId="10AAA862">
            <w:pPr>
              <w:spacing w:line="360" w:lineRule="auto"/>
              <w:jc w:val="center"/>
              <w:rPr>
                <w:rFonts w:eastAsiaTheme="minorEastAsia"/>
              </w:rPr>
            </w:pPr>
            <w:r>
              <w:rPr>
                <w:rFonts w:hint="eastAsia"/>
              </w:rPr>
              <w:t>1</w:t>
            </w:r>
          </w:p>
        </w:tc>
        <w:tc>
          <w:tcPr>
            <w:tcW w:w="376" w:type="pct"/>
            <w:vAlign w:val="center"/>
          </w:tcPr>
          <w:p w14:paraId="0A50C01C">
            <w:pPr>
              <w:spacing w:line="360" w:lineRule="auto"/>
              <w:jc w:val="center"/>
              <w:rPr>
                <w:rFonts w:eastAsiaTheme="minorEastAsia"/>
              </w:rPr>
            </w:pPr>
          </w:p>
        </w:tc>
        <w:tc>
          <w:tcPr>
            <w:tcW w:w="717" w:type="pct"/>
            <w:vAlign w:val="center"/>
          </w:tcPr>
          <w:p w14:paraId="0A50C01D">
            <w:pPr>
              <w:spacing w:line="360" w:lineRule="auto"/>
              <w:jc w:val="center"/>
            </w:pPr>
          </w:p>
        </w:tc>
        <w:tc>
          <w:tcPr>
            <w:tcW w:w="576" w:type="pct"/>
            <w:vAlign w:val="center"/>
          </w:tcPr>
          <w:p w14:paraId="0A50C01E">
            <w:pPr>
              <w:spacing w:line="360" w:lineRule="auto"/>
              <w:jc w:val="center"/>
            </w:pPr>
          </w:p>
        </w:tc>
        <w:tc>
          <w:tcPr>
            <w:tcW w:w="705" w:type="pct"/>
            <w:vAlign w:val="center"/>
          </w:tcPr>
          <w:p w14:paraId="0A50C01F">
            <w:pPr>
              <w:spacing w:line="360" w:lineRule="auto"/>
              <w:jc w:val="center"/>
            </w:pPr>
          </w:p>
        </w:tc>
        <w:tc>
          <w:tcPr>
            <w:tcW w:w="562" w:type="pct"/>
            <w:vAlign w:val="center"/>
          </w:tcPr>
          <w:p w14:paraId="0A50C020">
            <w:pPr>
              <w:spacing w:line="360" w:lineRule="auto"/>
              <w:jc w:val="center"/>
            </w:pPr>
          </w:p>
        </w:tc>
        <w:tc>
          <w:tcPr>
            <w:tcW w:w="562" w:type="pct"/>
            <w:vAlign w:val="center"/>
          </w:tcPr>
          <w:p w14:paraId="0A50C021">
            <w:pPr>
              <w:spacing w:line="360" w:lineRule="auto"/>
              <w:jc w:val="center"/>
              <w:rPr>
                <w:rFonts w:eastAsiaTheme="minorEastAsia"/>
              </w:rPr>
            </w:pPr>
          </w:p>
        </w:tc>
        <w:tc>
          <w:tcPr>
            <w:tcW w:w="785" w:type="pct"/>
            <w:vAlign w:val="center"/>
          </w:tcPr>
          <w:p w14:paraId="0A50C022">
            <w:pPr>
              <w:spacing w:line="360" w:lineRule="auto"/>
              <w:jc w:val="center"/>
              <w:rPr>
                <w:rFonts w:eastAsiaTheme="minorEastAsia"/>
              </w:rPr>
            </w:pPr>
          </w:p>
        </w:tc>
        <w:tc>
          <w:tcPr>
            <w:tcW w:w="341" w:type="pct"/>
            <w:vAlign w:val="center"/>
          </w:tcPr>
          <w:p w14:paraId="0A50C023">
            <w:pPr>
              <w:spacing w:line="360" w:lineRule="auto"/>
              <w:jc w:val="center"/>
              <w:rPr>
                <w:rFonts w:eastAsiaTheme="minorEastAsia"/>
              </w:rPr>
            </w:pPr>
          </w:p>
        </w:tc>
      </w:tr>
      <w:tr w14:paraId="0A50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vAlign w:val="center"/>
          </w:tcPr>
          <w:p w14:paraId="6FCC1AAB">
            <w:pPr>
              <w:spacing w:line="360" w:lineRule="auto"/>
              <w:jc w:val="center"/>
              <w:rPr>
                <w:rFonts w:eastAsiaTheme="minorEastAsia"/>
              </w:rPr>
            </w:pPr>
            <w:r>
              <w:rPr>
                <w:rFonts w:hint="eastAsia"/>
              </w:rPr>
              <w:t>2</w:t>
            </w:r>
          </w:p>
        </w:tc>
        <w:tc>
          <w:tcPr>
            <w:tcW w:w="376" w:type="pct"/>
            <w:vAlign w:val="center"/>
          </w:tcPr>
          <w:p w14:paraId="0A50C025">
            <w:pPr>
              <w:spacing w:line="360" w:lineRule="auto"/>
              <w:jc w:val="center"/>
              <w:rPr>
                <w:rFonts w:eastAsiaTheme="minorEastAsia"/>
              </w:rPr>
            </w:pPr>
          </w:p>
        </w:tc>
        <w:tc>
          <w:tcPr>
            <w:tcW w:w="717" w:type="pct"/>
            <w:vAlign w:val="center"/>
          </w:tcPr>
          <w:p w14:paraId="0A50C026">
            <w:pPr>
              <w:spacing w:line="360" w:lineRule="auto"/>
              <w:jc w:val="center"/>
            </w:pPr>
          </w:p>
        </w:tc>
        <w:tc>
          <w:tcPr>
            <w:tcW w:w="576" w:type="pct"/>
            <w:vAlign w:val="center"/>
          </w:tcPr>
          <w:p w14:paraId="0A50C027">
            <w:pPr>
              <w:spacing w:line="360" w:lineRule="auto"/>
              <w:jc w:val="center"/>
              <w:rPr>
                <w:rFonts w:asciiTheme="minorHAnsi" w:hAnsiTheme="minorHAnsi" w:eastAsiaTheme="minorEastAsia" w:cstheme="minorBidi"/>
                <w:szCs w:val="24"/>
              </w:rPr>
            </w:pPr>
          </w:p>
        </w:tc>
        <w:tc>
          <w:tcPr>
            <w:tcW w:w="705" w:type="pct"/>
            <w:vAlign w:val="center"/>
          </w:tcPr>
          <w:p w14:paraId="0A50C028">
            <w:pPr>
              <w:spacing w:line="360" w:lineRule="auto"/>
              <w:jc w:val="center"/>
              <w:rPr>
                <w:rFonts w:asciiTheme="minorHAnsi" w:hAnsiTheme="minorHAnsi" w:eastAsiaTheme="minorEastAsia" w:cstheme="minorBidi"/>
                <w:szCs w:val="24"/>
              </w:rPr>
            </w:pPr>
          </w:p>
        </w:tc>
        <w:tc>
          <w:tcPr>
            <w:tcW w:w="562" w:type="pct"/>
            <w:vAlign w:val="center"/>
          </w:tcPr>
          <w:p w14:paraId="0A50C029">
            <w:pPr>
              <w:spacing w:line="360" w:lineRule="auto"/>
              <w:jc w:val="center"/>
              <w:rPr>
                <w:rFonts w:asciiTheme="minorHAnsi" w:hAnsiTheme="minorHAnsi" w:eastAsiaTheme="minorEastAsia" w:cstheme="minorBidi"/>
                <w:szCs w:val="24"/>
              </w:rPr>
            </w:pPr>
          </w:p>
        </w:tc>
        <w:tc>
          <w:tcPr>
            <w:tcW w:w="562" w:type="pct"/>
            <w:vAlign w:val="center"/>
          </w:tcPr>
          <w:p w14:paraId="0A50C02A">
            <w:pPr>
              <w:spacing w:line="360" w:lineRule="auto"/>
              <w:jc w:val="center"/>
              <w:rPr>
                <w:rFonts w:asciiTheme="minorHAnsi" w:hAnsiTheme="minorHAnsi" w:eastAsiaTheme="minorEastAsia" w:cstheme="minorBidi"/>
                <w:szCs w:val="24"/>
              </w:rPr>
            </w:pPr>
          </w:p>
        </w:tc>
        <w:tc>
          <w:tcPr>
            <w:tcW w:w="785" w:type="pct"/>
            <w:vAlign w:val="center"/>
          </w:tcPr>
          <w:p w14:paraId="0A50C02B">
            <w:pPr>
              <w:spacing w:line="360" w:lineRule="auto"/>
              <w:jc w:val="center"/>
              <w:rPr>
                <w:rFonts w:asciiTheme="minorHAnsi" w:hAnsiTheme="minorHAnsi" w:eastAsiaTheme="minorEastAsia" w:cstheme="minorBidi"/>
                <w:szCs w:val="24"/>
              </w:rPr>
            </w:pPr>
          </w:p>
        </w:tc>
        <w:tc>
          <w:tcPr>
            <w:tcW w:w="341" w:type="pct"/>
            <w:vAlign w:val="center"/>
          </w:tcPr>
          <w:p w14:paraId="0A50C02C">
            <w:pPr>
              <w:spacing w:line="360" w:lineRule="auto"/>
              <w:jc w:val="center"/>
            </w:pPr>
          </w:p>
        </w:tc>
      </w:tr>
      <w:tr w14:paraId="72B1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vAlign w:val="center"/>
          </w:tcPr>
          <w:p w14:paraId="14F0430D">
            <w:pPr>
              <w:spacing w:line="360" w:lineRule="auto"/>
              <w:jc w:val="center"/>
              <w:rPr>
                <w:rFonts w:hint="eastAsia"/>
              </w:rPr>
            </w:pPr>
            <w:r>
              <w:rPr>
                <w:rFonts w:hint="eastAsia"/>
              </w:rPr>
              <w:t>3</w:t>
            </w:r>
          </w:p>
        </w:tc>
        <w:tc>
          <w:tcPr>
            <w:tcW w:w="376" w:type="pct"/>
            <w:vAlign w:val="center"/>
          </w:tcPr>
          <w:p w14:paraId="60490823">
            <w:pPr>
              <w:spacing w:line="360" w:lineRule="auto"/>
              <w:jc w:val="center"/>
              <w:rPr>
                <w:rFonts w:eastAsiaTheme="minorEastAsia"/>
              </w:rPr>
            </w:pPr>
          </w:p>
        </w:tc>
        <w:tc>
          <w:tcPr>
            <w:tcW w:w="717" w:type="pct"/>
            <w:vAlign w:val="center"/>
          </w:tcPr>
          <w:p w14:paraId="6CCA0C51">
            <w:pPr>
              <w:spacing w:line="360" w:lineRule="auto"/>
              <w:jc w:val="center"/>
            </w:pPr>
          </w:p>
        </w:tc>
        <w:tc>
          <w:tcPr>
            <w:tcW w:w="576" w:type="pct"/>
            <w:vAlign w:val="center"/>
          </w:tcPr>
          <w:p w14:paraId="1E4764F5">
            <w:pPr>
              <w:spacing w:line="360" w:lineRule="auto"/>
              <w:jc w:val="center"/>
              <w:rPr>
                <w:rFonts w:asciiTheme="minorHAnsi" w:hAnsiTheme="minorHAnsi" w:eastAsiaTheme="minorEastAsia" w:cstheme="minorBidi"/>
                <w:szCs w:val="24"/>
              </w:rPr>
            </w:pPr>
          </w:p>
        </w:tc>
        <w:tc>
          <w:tcPr>
            <w:tcW w:w="705" w:type="pct"/>
            <w:vAlign w:val="center"/>
          </w:tcPr>
          <w:p w14:paraId="33F8C347">
            <w:pPr>
              <w:spacing w:line="360" w:lineRule="auto"/>
              <w:jc w:val="center"/>
              <w:rPr>
                <w:rFonts w:asciiTheme="minorHAnsi" w:hAnsiTheme="minorHAnsi" w:eastAsiaTheme="minorEastAsia" w:cstheme="minorBidi"/>
                <w:szCs w:val="24"/>
              </w:rPr>
            </w:pPr>
          </w:p>
        </w:tc>
        <w:tc>
          <w:tcPr>
            <w:tcW w:w="562" w:type="pct"/>
            <w:vAlign w:val="center"/>
          </w:tcPr>
          <w:p w14:paraId="69683E14">
            <w:pPr>
              <w:spacing w:line="360" w:lineRule="auto"/>
              <w:jc w:val="center"/>
              <w:rPr>
                <w:rFonts w:asciiTheme="minorHAnsi" w:hAnsiTheme="minorHAnsi" w:eastAsiaTheme="minorEastAsia" w:cstheme="minorBidi"/>
                <w:szCs w:val="24"/>
              </w:rPr>
            </w:pPr>
          </w:p>
        </w:tc>
        <w:tc>
          <w:tcPr>
            <w:tcW w:w="562" w:type="pct"/>
            <w:vAlign w:val="center"/>
          </w:tcPr>
          <w:p w14:paraId="5F226373">
            <w:pPr>
              <w:spacing w:line="360" w:lineRule="auto"/>
              <w:jc w:val="center"/>
              <w:rPr>
                <w:rFonts w:asciiTheme="minorHAnsi" w:hAnsiTheme="minorHAnsi" w:eastAsiaTheme="minorEastAsia" w:cstheme="minorBidi"/>
                <w:szCs w:val="24"/>
              </w:rPr>
            </w:pPr>
          </w:p>
        </w:tc>
        <w:tc>
          <w:tcPr>
            <w:tcW w:w="785" w:type="pct"/>
            <w:vAlign w:val="center"/>
          </w:tcPr>
          <w:p w14:paraId="454E18FB">
            <w:pPr>
              <w:spacing w:line="360" w:lineRule="auto"/>
              <w:jc w:val="center"/>
              <w:rPr>
                <w:rFonts w:asciiTheme="minorHAnsi" w:hAnsiTheme="minorHAnsi" w:eastAsiaTheme="minorEastAsia" w:cstheme="minorBidi"/>
                <w:szCs w:val="24"/>
              </w:rPr>
            </w:pPr>
          </w:p>
        </w:tc>
        <w:tc>
          <w:tcPr>
            <w:tcW w:w="341" w:type="pct"/>
            <w:vAlign w:val="center"/>
          </w:tcPr>
          <w:p w14:paraId="602125BB">
            <w:pPr>
              <w:spacing w:line="360" w:lineRule="auto"/>
              <w:jc w:val="center"/>
            </w:pPr>
          </w:p>
        </w:tc>
      </w:tr>
    </w:tbl>
    <w:p w14:paraId="0A50C02E">
      <w:pPr>
        <w:pStyle w:val="2"/>
        <w:spacing w:after="0" w:line="360" w:lineRule="auto"/>
        <w:rPr>
          <w:sz w:val="21"/>
          <w:szCs w:val="21"/>
        </w:rPr>
      </w:pPr>
    </w:p>
    <w:p w14:paraId="0A50C02F">
      <w:pPr>
        <w:pStyle w:val="2"/>
        <w:spacing w:after="0" w:line="360" w:lineRule="auto"/>
        <w:rPr>
          <w:sz w:val="21"/>
          <w:szCs w:val="21"/>
        </w:rPr>
      </w:pPr>
    </w:p>
    <w:p w14:paraId="0A50C030">
      <w:pPr>
        <w:pStyle w:val="2"/>
        <w:spacing w:after="0" w:line="360" w:lineRule="auto"/>
        <w:rPr>
          <w:sz w:val="21"/>
          <w:szCs w:val="21"/>
        </w:rPr>
      </w:pPr>
    </w:p>
    <w:p w14:paraId="0A50C031">
      <w:pPr>
        <w:pStyle w:val="2"/>
        <w:spacing w:after="0" w:line="360" w:lineRule="auto"/>
        <w:rPr>
          <w:sz w:val="21"/>
          <w:szCs w:val="21"/>
        </w:rPr>
      </w:pPr>
    </w:p>
    <w:p w14:paraId="0A50C032">
      <w:pPr>
        <w:pStyle w:val="2"/>
        <w:spacing w:after="0" w:line="360" w:lineRule="auto"/>
        <w:rPr>
          <w:sz w:val="21"/>
          <w:szCs w:val="21"/>
        </w:rPr>
      </w:pPr>
    </w:p>
    <w:p w14:paraId="0A50C033">
      <w:pPr>
        <w:spacing w:line="360" w:lineRule="auto"/>
        <w:jc w:val="center"/>
      </w:pPr>
      <w:r>
        <w:t>表</w:t>
      </w:r>
      <w:r>
        <w:rPr>
          <w:rFonts w:hint="eastAsia"/>
        </w:rPr>
        <w:t>4</w:t>
      </w:r>
      <w:r>
        <w:t xml:space="preserve"> XXX公司相关产品数据</w:t>
      </w:r>
    </w:p>
    <w:tbl>
      <w:tblPr>
        <w:tblStyle w:val="2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387"/>
        <w:gridCol w:w="1115"/>
        <w:gridCol w:w="1364"/>
        <w:gridCol w:w="1088"/>
        <w:gridCol w:w="1088"/>
        <w:gridCol w:w="1520"/>
        <w:gridCol w:w="661"/>
      </w:tblGrid>
      <w:tr w14:paraId="0A50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0A50C034">
            <w:pPr>
              <w:spacing w:line="360" w:lineRule="auto"/>
              <w:jc w:val="center"/>
            </w:pPr>
            <w:r>
              <w:t>序号</w:t>
            </w:r>
          </w:p>
        </w:tc>
        <w:tc>
          <w:tcPr>
            <w:tcW w:w="774" w:type="pct"/>
            <w:vAlign w:val="center"/>
          </w:tcPr>
          <w:p w14:paraId="0A50C035">
            <w:pPr>
              <w:spacing w:line="360" w:lineRule="auto"/>
              <w:jc w:val="center"/>
            </w:pPr>
          </w:p>
        </w:tc>
        <w:tc>
          <w:tcPr>
            <w:tcW w:w="622" w:type="pct"/>
            <w:vAlign w:val="center"/>
          </w:tcPr>
          <w:p w14:paraId="0A50C036">
            <w:pPr>
              <w:spacing w:line="360" w:lineRule="auto"/>
              <w:jc w:val="center"/>
            </w:pPr>
          </w:p>
        </w:tc>
        <w:tc>
          <w:tcPr>
            <w:tcW w:w="761" w:type="pct"/>
            <w:vAlign w:val="center"/>
          </w:tcPr>
          <w:p w14:paraId="0A50C037">
            <w:pPr>
              <w:spacing w:line="360" w:lineRule="auto"/>
              <w:jc w:val="center"/>
            </w:pPr>
          </w:p>
        </w:tc>
        <w:tc>
          <w:tcPr>
            <w:tcW w:w="607" w:type="pct"/>
            <w:vAlign w:val="center"/>
          </w:tcPr>
          <w:p w14:paraId="0A50C039">
            <w:pPr>
              <w:jc w:val="center"/>
            </w:pPr>
          </w:p>
        </w:tc>
        <w:tc>
          <w:tcPr>
            <w:tcW w:w="607" w:type="pct"/>
            <w:vAlign w:val="center"/>
          </w:tcPr>
          <w:p w14:paraId="0A50C03B">
            <w:pPr>
              <w:jc w:val="center"/>
            </w:pPr>
          </w:p>
        </w:tc>
        <w:tc>
          <w:tcPr>
            <w:tcW w:w="848" w:type="pct"/>
            <w:vAlign w:val="center"/>
          </w:tcPr>
          <w:p w14:paraId="0A50C03E">
            <w:pPr>
              <w:jc w:val="center"/>
            </w:pPr>
          </w:p>
        </w:tc>
        <w:tc>
          <w:tcPr>
            <w:tcW w:w="369" w:type="pct"/>
            <w:vAlign w:val="center"/>
          </w:tcPr>
          <w:p w14:paraId="0A50C040">
            <w:pPr>
              <w:spacing w:line="360" w:lineRule="auto"/>
              <w:jc w:val="center"/>
            </w:pPr>
          </w:p>
        </w:tc>
      </w:tr>
      <w:tr w14:paraId="0A50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07" w:type="pct"/>
            <w:vAlign w:val="center"/>
          </w:tcPr>
          <w:p w14:paraId="0A50C042">
            <w:pPr>
              <w:spacing w:line="360" w:lineRule="auto"/>
              <w:jc w:val="center"/>
              <w:rPr>
                <w:rFonts w:eastAsiaTheme="minorEastAsia"/>
              </w:rPr>
            </w:pPr>
            <w:r>
              <w:rPr>
                <w:rFonts w:hint="eastAsia"/>
              </w:rPr>
              <w:t>1</w:t>
            </w:r>
          </w:p>
        </w:tc>
        <w:tc>
          <w:tcPr>
            <w:tcW w:w="774" w:type="pct"/>
            <w:vAlign w:val="center"/>
          </w:tcPr>
          <w:p w14:paraId="0A50C043">
            <w:pPr>
              <w:spacing w:line="360" w:lineRule="auto"/>
              <w:jc w:val="center"/>
            </w:pPr>
          </w:p>
        </w:tc>
        <w:tc>
          <w:tcPr>
            <w:tcW w:w="622" w:type="pct"/>
            <w:vAlign w:val="center"/>
          </w:tcPr>
          <w:p w14:paraId="0A50C044">
            <w:pPr>
              <w:spacing w:line="360" w:lineRule="auto"/>
              <w:jc w:val="center"/>
            </w:pPr>
          </w:p>
        </w:tc>
        <w:tc>
          <w:tcPr>
            <w:tcW w:w="761" w:type="pct"/>
            <w:vAlign w:val="center"/>
          </w:tcPr>
          <w:p w14:paraId="0A50C045">
            <w:pPr>
              <w:spacing w:line="360" w:lineRule="auto"/>
              <w:jc w:val="center"/>
            </w:pPr>
          </w:p>
        </w:tc>
        <w:tc>
          <w:tcPr>
            <w:tcW w:w="607" w:type="pct"/>
            <w:vAlign w:val="center"/>
          </w:tcPr>
          <w:p w14:paraId="0A50C046">
            <w:pPr>
              <w:spacing w:line="360" w:lineRule="auto"/>
              <w:jc w:val="center"/>
            </w:pPr>
          </w:p>
        </w:tc>
        <w:tc>
          <w:tcPr>
            <w:tcW w:w="607" w:type="pct"/>
            <w:vAlign w:val="center"/>
          </w:tcPr>
          <w:p w14:paraId="0A50C047">
            <w:pPr>
              <w:spacing w:line="360" w:lineRule="auto"/>
              <w:jc w:val="center"/>
              <w:rPr>
                <w:rFonts w:eastAsiaTheme="minorEastAsia"/>
              </w:rPr>
            </w:pPr>
          </w:p>
        </w:tc>
        <w:tc>
          <w:tcPr>
            <w:tcW w:w="848" w:type="pct"/>
            <w:vAlign w:val="center"/>
          </w:tcPr>
          <w:p w14:paraId="0A50C048">
            <w:pPr>
              <w:spacing w:line="360" w:lineRule="auto"/>
              <w:jc w:val="center"/>
              <w:rPr>
                <w:rFonts w:eastAsiaTheme="minorEastAsia"/>
              </w:rPr>
            </w:pPr>
          </w:p>
        </w:tc>
        <w:tc>
          <w:tcPr>
            <w:tcW w:w="369" w:type="pct"/>
            <w:vAlign w:val="center"/>
          </w:tcPr>
          <w:p w14:paraId="0A50C049">
            <w:pPr>
              <w:spacing w:line="360" w:lineRule="auto"/>
              <w:jc w:val="center"/>
              <w:rPr>
                <w:rFonts w:eastAsiaTheme="minorEastAsia"/>
              </w:rPr>
            </w:pPr>
          </w:p>
        </w:tc>
      </w:tr>
      <w:tr w14:paraId="0A50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0A50C04B">
            <w:pPr>
              <w:spacing w:line="360" w:lineRule="auto"/>
              <w:jc w:val="center"/>
              <w:rPr>
                <w:rFonts w:eastAsiaTheme="minorEastAsia"/>
              </w:rPr>
            </w:pPr>
            <w:r>
              <w:rPr>
                <w:rFonts w:hint="eastAsia"/>
              </w:rPr>
              <w:t>2</w:t>
            </w:r>
          </w:p>
        </w:tc>
        <w:tc>
          <w:tcPr>
            <w:tcW w:w="774" w:type="pct"/>
            <w:vAlign w:val="center"/>
          </w:tcPr>
          <w:p w14:paraId="0A50C04C">
            <w:pPr>
              <w:spacing w:line="360" w:lineRule="auto"/>
              <w:jc w:val="center"/>
            </w:pPr>
          </w:p>
        </w:tc>
        <w:tc>
          <w:tcPr>
            <w:tcW w:w="622" w:type="pct"/>
            <w:vAlign w:val="center"/>
          </w:tcPr>
          <w:p w14:paraId="0A50C04D">
            <w:pPr>
              <w:spacing w:line="360" w:lineRule="auto"/>
              <w:jc w:val="center"/>
              <w:rPr>
                <w:rFonts w:asciiTheme="minorHAnsi" w:hAnsiTheme="minorHAnsi" w:eastAsiaTheme="minorEastAsia" w:cstheme="minorBidi"/>
                <w:szCs w:val="24"/>
              </w:rPr>
            </w:pPr>
          </w:p>
        </w:tc>
        <w:tc>
          <w:tcPr>
            <w:tcW w:w="761" w:type="pct"/>
            <w:vAlign w:val="center"/>
          </w:tcPr>
          <w:p w14:paraId="0A50C04E">
            <w:pPr>
              <w:spacing w:line="360" w:lineRule="auto"/>
              <w:jc w:val="center"/>
              <w:rPr>
                <w:rFonts w:asciiTheme="minorHAnsi" w:hAnsiTheme="minorHAnsi" w:eastAsiaTheme="minorEastAsia" w:cstheme="minorBidi"/>
                <w:szCs w:val="24"/>
              </w:rPr>
            </w:pPr>
          </w:p>
        </w:tc>
        <w:tc>
          <w:tcPr>
            <w:tcW w:w="607" w:type="pct"/>
            <w:vAlign w:val="center"/>
          </w:tcPr>
          <w:p w14:paraId="0A50C04F">
            <w:pPr>
              <w:spacing w:line="360" w:lineRule="auto"/>
              <w:jc w:val="center"/>
              <w:rPr>
                <w:rFonts w:asciiTheme="minorHAnsi" w:hAnsiTheme="minorHAnsi" w:eastAsiaTheme="minorEastAsia" w:cstheme="minorBidi"/>
                <w:szCs w:val="24"/>
              </w:rPr>
            </w:pPr>
          </w:p>
        </w:tc>
        <w:tc>
          <w:tcPr>
            <w:tcW w:w="607" w:type="pct"/>
            <w:vAlign w:val="center"/>
          </w:tcPr>
          <w:p w14:paraId="0A50C050">
            <w:pPr>
              <w:spacing w:line="360" w:lineRule="auto"/>
              <w:jc w:val="center"/>
              <w:rPr>
                <w:rFonts w:asciiTheme="minorHAnsi" w:hAnsiTheme="minorHAnsi" w:eastAsiaTheme="minorEastAsia" w:cstheme="minorBidi"/>
                <w:szCs w:val="24"/>
              </w:rPr>
            </w:pPr>
          </w:p>
        </w:tc>
        <w:tc>
          <w:tcPr>
            <w:tcW w:w="848" w:type="pct"/>
            <w:vAlign w:val="center"/>
          </w:tcPr>
          <w:p w14:paraId="0A50C051">
            <w:pPr>
              <w:spacing w:line="360" w:lineRule="auto"/>
              <w:jc w:val="center"/>
              <w:rPr>
                <w:rFonts w:asciiTheme="minorHAnsi" w:hAnsiTheme="minorHAnsi" w:eastAsiaTheme="minorEastAsia" w:cstheme="minorBidi"/>
                <w:szCs w:val="24"/>
              </w:rPr>
            </w:pPr>
          </w:p>
        </w:tc>
        <w:tc>
          <w:tcPr>
            <w:tcW w:w="369" w:type="pct"/>
            <w:vAlign w:val="center"/>
          </w:tcPr>
          <w:p w14:paraId="0A50C052">
            <w:pPr>
              <w:spacing w:line="360" w:lineRule="auto"/>
              <w:jc w:val="center"/>
            </w:pPr>
          </w:p>
        </w:tc>
      </w:tr>
    </w:tbl>
    <w:p w14:paraId="0A50C054">
      <w:pPr>
        <w:spacing w:line="360" w:lineRule="auto"/>
        <w:jc w:val="center"/>
      </w:pPr>
    </w:p>
    <w:p w14:paraId="0A50C055">
      <w:pPr>
        <w:spacing w:line="360" w:lineRule="auto"/>
        <w:jc w:val="center"/>
      </w:pPr>
      <w:r>
        <w:t>表</w:t>
      </w:r>
      <w:r>
        <w:rPr>
          <w:rFonts w:hint="eastAsia"/>
        </w:rPr>
        <w:t>5</w:t>
      </w:r>
      <w:r>
        <w:t xml:space="preserve"> XXX公司相关产品数据</w:t>
      </w:r>
    </w:p>
    <w:tbl>
      <w:tblPr>
        <w:tblStyle w:val="2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387"/>
        <w:gridCol w:w="1115"/>
        <w:gridCol w:w="1364"/>
        <w:gridCol w:w="1088"/>
        <w:gridCol w:w="1088"/>
        <w:gridCol w:w="1262"/>
        <w:gridCol w:w="919"/>
      </w:tblGrid>
      <w:tr w14:paraId="0A50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08" w:type="pct"/>
            <w:vAlign w:val="center"/>
          </w:tcPr>
          <w:p w14:paraId="0A50C056">
            <w:pPr>
              <w:spacing w:line="360" w:lineRule="auto"/>
              <w:jc w:val="center"/>
            </w:pPr>
            <w:r>
              <w:t>序号</w:t>
            </w:r>
          </w:p>
        </w:tc>
        <w:tc>
          <w:tcPr>
            <w:tcW w:w="774" w:type="pct"/>
            <w:vAlign w:val="center"/>
          </w:tcPr>
          <w:p w14:paraId="0A50C057">
            <w:pPr>
              <w:spacing w:line="360" w:lineRule="auto"/>
              <w:jc w:val="center"/>
            </w:pPr>
          </w:p>
        </w:tc>
        <w:tc>
          <w:tcPr>
            <w:tcW w:w="622" w:type="pct"/>
            <w:vAlign w:val="center"/>
          </w:tcPr>
          <w:p w14:paraId="0A50C058">
            <w:pPr>
              <w:spacing w:line="360" w:lineRule="auto"/>
              <w:jc w:val="center"/>
            </w:pPr>
          </w:p>
        </w:tc>
        <w:tc>
          <w:tcPr>
            <w:tcW w:w="761" w:type="pct"/>
            <w:vAlign w:val="center"/>
          </w:tcPr>
          <w:p w14:paraId="0A50C059">
            <w:pPr>
              <w:spacing w:line="360" w:lineRule="auto"/>
              <w:jc w:val="center"/>
            </w:pPr>
          </w:p>
        </w:tc>
        <w:tc>
          <w:tcPr>
            <w:tcW w:w="607" w:type="pct"/>
            <w:vAlign w:val="center"/>
          </w:tcPr>
          <w:p w14:paraId="0A50C05B">
            <w:pPr>
              <w:jc w:val="center"/>
            </w:pPr>
          </w:p>
        </w:tc>
        <w:tc>
          <w:tcPr>
            <w:tcW w:w="607" w:type="pct"/>
            <w:vAlign w:val="center"/>
          </w:tcPr>
          <w:p w14:paraId="0A50C05D">
            <w:pPr>
              <w:jc w:val="center"/>
            </w:pPr>
          </w:p>
        </w:tc>
        <w:tc>
          <w:tcPr>
            <w:tcW w:w="704" w:type="pct"/>
            <w:vAlign w:val="center"/>
          </w:tcPr>
          <w:p w14:paraId="0A50C060">
            <w:pPr>
              <w:jc w:val="center"/>
            </w:pPr>
          </w:p>
        </w:tc>
        <w:tc>
          <w:tcPr>
            <w:tcW w:w="513" w:type="pct"/>
            <w:vAlign w:val="center"/>
          </w:tcPr>
          <w:p w14:paraId="0A50C062">
            <w:pPr>
              <w:spacing w:line="360" w:lineRule="auto"/>
              <w:jc w:val="center"/>
            </w:pPr>
          </w:p>
        </w:tc>
      </w:tr>
      <w:tr w14:paraId="0A50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Align w:val="center"/>
          </w:tcPr>
          <w:p w14:paraId="0A50C064">
            <w:pPr>
              <w:spacing w:line="360" w:lineRule="auto"/>
              <w:jc w:val="center"/>
              <w:rPr>
                <w:rFonts w:eastAsiaTheme="minorEastAsia"/>
              </w:rPr>
            </w:pPr>
            <w:r>
              <w:rPr>
                <w:rFonts w:hint="eastAsia"/>
              </w:rPr>
              <w:t>1</w:t>
            </w:r>
          </w:p>
        </w:tc>
        <w:tc>
          <w:tcPr>
            <w:tcW w:w="774" w:type="pct"/>
            <w:vAlign w:val="center"/>
          </w:tcPr>
          <w:p w14:paraId="0A50C065">
            <w:pPr>
              <w:spacing w:line="360" w:lineRule="auto"/>
              <w:jc w:val="center"/>
            </w:pPr>
          </w:p>
        </w:tc>
        <w:tc>
          <w:tcPr>
            <w:tcW w:w="622" w:type="pct"/>
            <w:vAlign w:val="center"/>
          </w:tcPr>
          <w:p w14:paraId="0A50C066">
            <w:pPr>
              <w:spacing w:line="360" w:lineRule="auto"/>
              <w:jc w:val="center"/>
            </w:pPr>
          </w:p>
        </w:tc>
        <w:tc>
          <w:tcPr>
            <w:tcW w:w="761" w:type="pct"/>
            <w:vAlign w:val="center"/>
          </w:tcPr>
          <w:p w14:paraId="0A50C067">
            <w:pPr>
              <w:spacing w:line="360" w:lineRule="auto"/>
              <w:jc w:val="center"/>
            </w:pPr>
          </w:p>
        </w:tc>
        <w:tc>
          <w:tcPr>
            <w:tcW w:w="607" w:type="pct"/>
            <w:vAlign w:val="center"/>
          </w:tcPr>
          <w:p w14:paraId="0A50C068">
            <w:pPr>
              <w:spacing w:line="360" w:lineRule="auto"/>
              <w:jc w:val="center"/>
            </w:pPr>
          </w:p>
        </w:tc>
        <w:tc>
          <w:tcPr>
            <w:tcW w:w="607" w:type="pct"/>
            <w:vAlign w:val="center"/>
          </w:tcPr>
          <w:p w14:paraId="0A50C069">
            <w:pPr>
              <w:spacing w:line="360" w:lineRule="auto"/>
              <w:jc w:val="center"/>
              <w:rPr>
                <w:rFonts w:eastAsiaTheme="minorEastAsia"/>
              </w:rPr>
            </w:pPr>
          </w:p>
        </w:tc>
        <w:tc>
          <w:tcPr>
            <w:tcW w:w="704" w:type="pct"/>
            <w:vAlign w:val="center"/>
          </w:tcPr>
          <w:p w14:paraId="0A50C06A">
            <w:pPr>
              <w:spacing w:line="360" w:lineRule="auto"/>
              <w:jc w:val="center"/>
              <w:rPr>
                <w:rFonts w:eastAsiaTheme="minorEastAsia"/>
              </w:rPr>
            </w:pPr>
          </w:p>
        </w:tc>
        <w:tc>
          <w:tcPr>
            <w:tcW w:w="513" w:type="pct"/>
            <w:vAlign w:val="center"/>
          </w:tcPr>
          <w:p w14:paraId="0A50C06B">
            <w:pPr>
              <w:spacing w:line="360" w:lineRule="auto"/>
              <w:jc w:val="center"/>
              <w:rPr>
                <w:rFonts w:eastAsiaTheme="minorEastAsia"/>
              </w:rPr>
            </w:pPr>
          </w:p>
        </w:tc>
      </w:tr>
      <w:tr w14:paraId="0A50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Align w:val="center"/>
          </w:tcPr>
          <w:p w14:paraId="0A50C06D">
            <w:pPr>
              <w:spacing w:line="360" w:lineRule="auto"/>
              <w:jc w:val="center"/>
              <w:rPr>
                <w:rFonts w:eastAsiaTheme="minorEastAsia"/>
              </w:rPr>
            </w:pPr>
            <w:r>
              <w:rPr>
                <w:rFonts w:hint="eastAsia"/>
              </w:rPr>
              <w:t>2</w:t>
            </w:r>
          </w:p>
        </w:tc>
        <w:tc>
          <w:tcPr>
            <w:tcW w:w="774" w:type="pct"/>
            <w:vAlign w:val="center"/>
          </w:tcPr>
          <w:p w14:paraId="0A50C06E">
            <w:pPr>
              <w:spacing w:line="360" w:lineRule="auto"/>
              <w:jc w:val="center"/>
            </w:pPr>
          </w:p>
        </w:tc>
        <w:tc>
          <w:tcPr>
            <w:tcW w:w="622" w:type="pct"/>
            <w:vAlign w:val="center"/>
          </w:tcPr>
          <w:p w14:paraId="0A50C06F">
            <w:pPr>
              <w:spacing w:line="360" w:lineRule="auto"/>
              <w:jc w:val="center"/>
            </w:pPr>
          </w:p>
        </w:tc>
        <w:tc>
          <w:tcPr>
            <w:tcW w:w="761" w:type="pct"/>
            <w:vAlign w:val="center"/>
          </w:tcPr>
          <w:p w14:paraId="0A50C070">
            <w:pPr>
              <w:spacing w:line="360" w:lineRule="auto"/>
              <w:jc w:val="center"/>
              <w:rPr>
                <w:rFonts w:eastAsiaTheme="minorEastAsia"/>
              </w:rPr>
            </w:pPr>
          </w:p>
        </w:tc>
        <w:tc>
          <w:tcPr>
            <w:tcW w:w="607" w:type="pct"/>
            <w:vAlign w:val="center"/>
          </w:tcPr>
          <w:p w14:paraId="0A50C071">
            <w:pPr>
              <w:spacing w:line="360" w:lineRule="auto"/>
              <w:jc w:val="center"/>
              <w:rPr>
                <w:rFonts w:eastAsiaTheme="minorEastAsia"/>
              </w:rPr>
            </w:pPr>
          </w:p>
        </w:tc>
        <w:tc>
          <w:tcPr>
            <w:tcW w:w="607" w:type="pct"/>
            <w:vAlign w:val="center"/>
          </w:tcPr>
          <w:p w14:paraId="0A50C072">
            <w:pPr>
              <w:spacing w:line="360" w:lineRule="auto"/>
              <w:jc w:val="center"/>
              <w:rPr>
                <w:rFonts w:eastAsiaTheme="minorEastAsia"/>
              </w:rPr>
            </w:pPr>
          </w:p>
        </w:tc>
        <w:tc>
          <w:tcPr>
            <w:tcW w:w="704" w:type="pct"/>
            <w:vAlign w:val="center"/>
          </w:tcPr>
          <w:p w14:paraId="0A50C073">
            <w:pPr>
              <w:spacing w:line="360" w:lineRule="auto"/>
              <w:jc w:val="center"/>
              <w:rPr>
                <w:rFonts w:eastAsiaTheme="minorEastAsia"/>
              </w:rPr>
            </w:pPr>
          </w:p>
        </w:tc>
        <w:tc>
          <w:tcPr>
            <w:tcW w:w="513" w:type="pct"/>
            <w:vAlign w:val="center"/>
          </w:tcPr>
          <w:p w14:paraId="0A50C074">
            <w:pPr>
              <w:spacing w:line="360" w:lineRule="auto"/>
              <w:jc w:val="center"/>
            </w:pPr>
          </w:p>
        </w:tc>
      </w:tr>
    </w:tbl>
    <w:p w14:paraId="0A50C076">
      <w:pPr>
        <w:spacing w:line="360" w:lineRule="auto"/>
      </w:pPr>
    </w:p>
    <w:p w14:paraId="0A50C077">
      <w:pPr>
        <w:spacing w:line="360" w:lineRule="auto"/>
        <w:jc w:val="center"/>
      </w:pPr>
      <w:r>
        <w:t>表</w:t>
      </w:r>
      <w:r>
        <w:rPr>
          <w:rFonts w:hint="eastAsia"/>
        </w:rPr>
        <w:t>6</w:t>
      </w:r>
      <w:r>
        <w:t xml:space="preserve"> XXX公司相关产品数据</w:t>
      </w:r>
    </w:p>
    <w:tbl>
      <w:tblPr>
        <w:tblStyle w:val="2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659"/>
        <w:gridCol w:w="1186"/>
        <w:gridCol w:w="715"/>
        <w:gridCol w:w="1412"/>
        <w:gridCol w:w="1186"/>
        <w:gridCol w:w="1364"/>
        <w:gridCol w:w="716"/>
      </w:tblGrid>
      <w:tr w14:paraId="0A50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399" w:type="pct"/>
            <w:vAlign w:val="center"/>
          </w:tcPr>
          <w:p w14:paraId="0A50C078">
            <w:pPr>
              <w:spacing w:line="360" w:lineRule="auto"/>
              <w:jc w:val="center"/>
            </w:pPr>
            <w:r>
              <w:t>序号</w:t>
            </w:r>
          </w:p>
        </w:tc>
        <w:tc>
          <w:tcPr>
            <w:tcW w:w="926" w:type="pct"/>
            <w:vAlign w:val="center"/>
          </w:tcPr>
          <w:p w14:paraId="0A50C079">
            <w:pPr>
              <w:spacing w:line="360" w:lineRule="auto"/>
              <w:jc w:val="center"/>
            </w:pPr>
          </w:p>
        </w:tc>
        <w:tc>
          <w:tcPr>
            <w:tcW w:w="662" w:type="pct"/>
            <w:vAlign w:val="center"/>
          </w:tcPr>
          <w:p w14:paraId="0A50C07A">
            <w:pPr>
              <w:spacing w:line="360" w:lineRule="auto"/>
              <w:jc w:val="center"/>
            </w:pPr>
          </w:p>
        </w:tc>
        <w:tc>
          <w:tcPr>
            <w:tcW w:w="399" w:type="pct"/>
            <w:vAlign w:val="center"/>
          </w:tcPr>
          <w:p w14:paraId="0A50C07B">
            <w:pPr>
              <w:spacing w:line="360" w:lineRule="auto"/>
              <w:jc w:val="center"/>
            </w:pPr>
          </w:p>
        </w:tc>
        <w:tc>
          <w:tcPr>
            <w:tcW w:w="788" w:type="pct"/>
            <w:vAlign w:val="center"/>
          </w:tcPr>
          <w:p w14:paraId="0A50C07D">
            <w:pPr>
              <w:jc w:val="center"/>
            </w:pPr>
          </w:p>
        </w:tc>
        <w:tc>
          <w:tcPr>
            <w:tcW w:w="662" w:type="pct"/>
            <w:vAlign w:val="center"/>
          </w:tcPr>
          <w:p w14:paraId="0A50C07F">
            <w:pPr>
              <w:jc w:val="center"/>
            </w:pPr>
          </w:p>
        </w:tc>
        <w:tc>
          <w:tcPr>
            <w:tcW w:w="761" w:type="pct"/>
            <w:vAlign w:val="center"/>
          </w:tcPr>
          <w:p w14:paraId="0A50C082">
            <w:pPr>
              <w:jc w:val="center"/>
            </w:pPr>
          </w:p>
        </w:tc>
        <w:tc>
          <w:tcPr>
            <w:tcW w:w="399" w:type="pct"/>
            <w:vAlign w:val="center"/>
          </w:tcPr>
          <w:p w14:paraId="0A50C084">
            <w:pPr>
              <w:spacing w:line="360" w:lineRule="auto"/>
              <w:jc w:val="center"/>
            </w:pPr>
          </w:p>
        </w:tc>
      </w:tr>
      <w:tr w14:paraId="0A50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vAlign w:val="center"/>
          </w:tcPr>
          <w:p w14:paraId="0A50C086">
            <w:pPr>
              <w:spacing w:line="360" w:lineRule="auto"/>
              <w:jc w:val="center"/>
            </w:pPr>
            <w:r>
              <w:rPr>
                <w:rFonts w:hint="eastAsia"/>
              </w:rPr>
              <w:t>1</w:t>
            </w:r>
          </w:p>
        </w:tc>
        <w:tc>
          <w:tcPr>
            <w:tcW w:w="926" w:type="pct"/>
            <w:vMerge w:val="restart"/>
            <w:vAlign w:val="center"/>
          </w:tcPr>
          <w:p w14:paraId="0A50C087">
            <w:pPr>
              <w:spacing w:line="360" w:lineRule="auto"/>
              <w:jc w:val="center"/>
            </w:pPr>
          </w:p>
        </w:tc>
        <w:tc>
          <w:tcPr>
            <w:tcW w:w="662" w:type="pct"/>
            <w:vMerge w:val="restart"/>
            <w:vAlign w:val="center"/>
          </w:tcPr>
          <w:p w14:paraId="0A50C088">
            <w:pPr>
              <w:spacing w:line="360" w:lineRule="auto"/>
              <w:jc w:val="center"/>
            </w:pPr>
          </w:p>
        </w:tc>
        <w:tc>
          <w:tcPr>
            <w:tcW w:w="399" w:type="pct"/>
            <w:vAlign w:val="center"/>
          </w:tcPr>
          <w:p w14:paraId="0A50C089">
            <w:pPr>
              <w:spacing w:line="360" w:lineRule="auto"/>
              <w:jc w:val="center"/>
            </w:pPr>
          </w:p>
        </w:tc>
        <w:tc>
          <w:tcPr>
            <w:tcW w:w="788" w:type="pct"/>
            <w:vAlign w:val="center"/>
          </w:tcPr>
          <w:p w14:paraId="0A50C08A">
            <w:pPr>
              <w:spacing w:line="360" w:lineRule="auto"/>
              <w:jc w:val="center"/>
            </w:pPr>
          </w:p>
        </w:tc>
        <w:tc>
          <w:tcPr>
            <w:tcW w:w="662" w:type="pct"/>
            <w:vAlign w:val="center"/>
          </w:tcPr>
          <w:p w14:paraId="0A50C08B">
            <w:pPr>
              <w:spacing w:line="360" w:lineRule="auto"/>
              <w:jc w:val="center"/>
            </w:pPr>
          </w:p>
        </w:tc>
        <w:tc>
          <w:tcPr>
            <w:tcW w:w="761" w:type="pct"/>
            <w:vAlign w:val="center"/>
          </w:tcPr>
          <w:p w14:paraId="0A50C08C">
            <w:pPr>
              <w:spacing w:line="360" w:lineRule="auto"/>
              <w:jc w:val="center"/>
            </w:pPr>
          </w:p>
        </w:tc>
        <w:tc>
          <w:tcPr>
            <w:tcW w:w="399" w:type="pct"/>
            <w:vAlign w:val="center"/>
          </w:tcPr>
          <w:p w14:paraId="0A50C08D">
            <w:pPr>
              <w:spacing w:line="360" w:lineRule="auto"/>
              <w:jc w:val="center"/>
            </w:pPr>
          </w:p>
        </w:tc>
      </w:tr>
      <w:tr w14:paraId="0A50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vAlign w:val="center"/>
          </w:tcPr>
          <w:p w14:paraId="0A50C08F">
            <w:pPr>
              <w:spacing w:line="360" w:lineRule="auto"/>
              <w:jc w:val="center"/>
            </w:pPr>
            <w:r>
              <w:rPr>
                <w:rFonts w:hint="eastAsia"/>
              </w:rPr>
              <w:t>2</w:t>
            </w:r>
          </w:p>
        </w:tc>
        <w:tc>
          <w:tcPr>
            <w:tcW w:w="926" w:type="pct"/>
            <w:vMerge w:val="continue"/>
            <w:vAlign w:val="center"/>
          </w:tcPr>
          <w:p w14:paraId="0A50C090">
            <w:pPr>
              <w:spacing w:line="360" w:lineRule="auto"/>
              <w:jc w:val="center"/>
            </w:pPr>
          </w:p>
        </w:tc>
        <w:tc>
          <w:tcPr>
            <w:tcW w:w="662" w:type="pct"/>
            <w:vMerge w:val="continue"/>
            <w:vAlign w:val="center"/>
          </w:tcPr>
          <w:p w14:paraId="0A50C091">
            <w:pPr>
              <w:spacing w:line="360" w:lineRule="auto"/>
              <w:jc w:val="center"/>
            </w:pPr>
          </w:p>
        </w:tc>
        <w:tc>
          <w:tcPr>
            <w:tcW w:w="399" w:type="pct"/>
            <w:vAlign w:val="center"/>
          </w:tcPr>
          <w:p w14:paraId="0A50C092">
            <w:pPr>
              <w:spacing w:line="360" w:lineRule="auto"/>
              <w:jc w:val="center"/>
            </w:pPr>
          </w:p>
        </w:tc>
        <w:tc>
          <w:tcPr>
            <w:tcW w:w="788" w:type="pct"/>
            <w:vAlign w:val="center"/>
          </w:tcPr>
          <w:p w14:paraId="0A50C093">
            <w:pPr>
              <w:spacing w:line="360" w:lineRule="auto"/>
              <w:jc w:val="center"/>
            </w:pPr>
          </w:p>
        </w:tc>
        <w:tc>
          <w:tcPr>
            <w:tcW w:w="662" w:type="pct"/>
            <w:vAlign w:val="center"/>
          </w:tcPr>
          <w:p w14:paraId="0A50C094">
            <w:pPr>
              <w:spacing w:line="360" w:lineRule="auto"/>
              <w:jc w:val="center"/>
            </w:pPr>
          </w:p>
        </w:tc>
        <w:tc>
          <w:tcPr>
            <w:tcW w:w="761" w:type="pct"/>
            <w:vAlign w:val="center"/>
          </w:tcPr>
          <w:p w14:paraId="0A50C095">
            <w:pPr>
              <w:spacing w:line="360" w:lineRule="auto"/>
              <w:jc w:val="center"/>
            </w:pPr>
          </w:p>
        </w:tc>
        <w:tc>
          <w:tcPr>
            <w:tcW w:w="399" w:type="pct"/>
            <w:vAlign w:val="center"/>
          </w:tcPr>
          <w:p w14:paraId="0A50C096">
            <w:pPr>
              <w:spacing w:line="360" w:lineRule="auto"/>
              <w:jc w:val="center"/>
            </w:pPr>
          </w:p>
        </w:tc>
      </w:tr>
      <w:tr w14:paraId="0A50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9" w:type="pct"/>
            <w:vAlign w:val="center"/>
          </w:tcPr>
          <w:p w14:paraId="0A50C098">
            <w:pPr>
              <w:spacing w:line="360" w:lineRule="auto"/>
              <w:jc w:val="center"/>
            </w:pPr>
            <w:r>
              <w:rPr>
                <w:rFonts w:hint="eastAsia"/>
              </w:rPr>
              <w:t>3</w:t>
            </w:r>
          </w:p>
        </w:tc>
        <w:tc>
          <w:tcPr>
            <w:tcW w:w="926" w:type="pct"/>
            <w:vMerge w:val="continue"/>
            <w:vAlign w:val="center"/>
          </w:tcPr>
          <w:p w14:paraId="0A50C099">
            <w:pPr>
              <w:spacing w:line="360" w:lineRule="auto"/>
              <w:jc w:val="center"/>
            </w:pPr>
          </w:p>
        </w:tc>
        <w:tc>
          <w:tcPr>
            <w:tcW w:w="662" w:type="pct"/>
            <w:vMerge w:val="continue"/>
            <w:vAlign w:val="center"/>
          </w:tcPr>
          <w:p w14:paraId="0A50C09A">
            <w:pPr>
              <w:spacing w:line="360" w:lineRule="auto"/>
              <w:jc w:val="center"/>
            </w:pPr>
          </w:p>
        </w:tc>
        <w:tc>
          <w:tcPr>
            <w:tcW w:w="399" w:type="pct"/>
            <w:vAlign w:val="center"/>
          </w:tcPr>
          <w:p w14:paraId="0A50C09B">
            <w:pPr>
              <w:spacing w:line="360" w:lineRule="auto"/>
              <w:jc w:val="center"/>
            </w:pPr>
          </w:p>
        </w:tc>
        <w:tc>
          <w:tcPr>
            <w:tcW w:w="788" w:type="pct"/>
            <w:vAlign w:val="center"/>
          </w:tcPr>
          <w:p w14:paraId="0A50C09C">
            <w:pPr>
              <w:spacing w:line="360" w:lineRule="auto"/>
              <w:jc w:val="center"/>
            </w:pPr>
          </w:p>
        </w:tc>
        <w:tc>
          <w:tcPr>
            <w:tcW w:w="662" w:type="pct"/>
            <w:vAlign w:val="center"/>
          </w:tcPr>
          <w:p w14:paraId="0A50C09D">
            <w:pPr>
              <w:spacing w:line="360" w:lineRule="auto"/>
              <w:jc w:val="center"/>
            </w:pPr>
          </w:p>
        </w:tc>
        <w:tc>
          <w:tcPr>
            <w:tcW w:w="761" w:type="pct"/>
            <w:vAlign w:val="center"/>
          </w:tcPr>
          <w:p w14:paraId="0A50C09E">
            <w:pPr>
              <w:spacing w:line="360" w:lineRule="auto"/>
              <w:jc w:val="center"/>
            </w:pPr>
          </w:p>
        </w:tc>
        <w:tc>
          <w:tcPr>
            <w:tcW w:w="399" w:type="pct"/>
            <w:vAlign w:val="center"/>
          </w:tcPr>
          <w:p w14:paraId="0A50C09F">
            <w:pPr>
              <w:spacing w:line="360" w:lineRule="auto"/>
              <w:jc w:val="center"/>
            </w:pPr>
          </w:p>
        </w:tc>
      </w:tr>
      <w:tr w14:paraId="0A50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99" w:type="pct"/>
            <w:vAlign w:val="center"/>
          </w:tcPr>
          <w:p w14:paraId="0A50C0A1">
            <w:pPr>
              <w:spacing w:line="360" w:lineRule="auto"/>
              <w:jc w:val="center"/>
            </w:pPr>
            <w:r>
              <w:rPr>
                <w:rFonts w:hint="eastAsia"/>
              </w:rPr>
              <w:t>4</w:t>
            </w:r>
          </w:p>
        </w:tc>
        <w:tc>
          <w:tcPr>
            <w:tcW w:w="926" w:type="pct"/>
            <w:vMerge w:val="restart"/>
            <w:vAlign w:val="center"/>
          </w:tcPr>
          <w:p w14:paraId="0A50C0A2">
            <w:pPr>
              <w:spacing w:line="360" w:lineRule="auto"/>
              <w:jc w:val="center"/>
            </w:pPr>
          </w:p>
        </w:tc>
        <w:tc>
          <w:tcPr>
            <w:tcW w:w="662" w:type="pct"/>
            <w:vMerge w:val="restart"/>
            <w:vAlign w:val="center"/>
          </w:tcPr>
          <w:p w14:paraId="0A50C0A3">
            <w:pPr>
              <w:spacing w:line="360" w:lineRule="auto"/>
              <w:jc w:val="center"/>
            </w:pPr>
          </w:p>
        </w:tc>
        <w:tc>
          <w:tcPr>
            <w:tcW w:w="399" w:type="pct"/>
            <w:vAlign w:val="center"/>
          </w:tcPr>
          <w:p w14:paraId="0A50C0A4">
            <w:pPr>
              <w:spacing w:line="360" w:lineRule="auto"/>
              <w:jc w:val="center"/>
            </w:pPr>
          </w:p>
        </w:tc>
        <w:tc>
          <w:tcPr>
            <w:tcW w:w="788" w:type="pct"/>
            <w:vAlign w:val="center"/>
          </w:tcPr>
          <w:p w14:paraId="0A50C0A5">
            <w:pPr>
              <w:spacing w:line="360" w:lineRule="auto"/>
              <w:jc w:val="center"/>
            </w:pPr>
          </w:p>
        </w:tc>
        <w:tc>
          <w:tcPr>
            <w:tcW w:w="662" w:type="pct"/>
            <w:vAlign w:val="center"/>
          </w:tcPr>
          <w:p w14:paraId="0A50C0A6">
            <w:pPr>
              <w:spacing w:line="360" w:lineRule="auto"/>
              <w:jc w:val="center"/>
            </w:pPr>
          </w:p>
        </w:tc>
        <w:tc>
          <w:tcPr>
            <w:tcW w:w="761" w:type="pct"/>
            <w:vAlign w:val="center"/>
          </w:tcPr>
          <w:p w14:paraId="0A50C0A7">
            <w:pPr>
              <w:spacing w:line="360" w:lineRule="auto"/>
              <w:jc w:val="center"/>
            </w:pPr>
          </w:p>
        </w:tc>
        <w:tc>
          <w:tcPr>
            <w:tcW w:w="399" w:type="pct"/>
            <w:vAlign w:val="center"/>
          </w:tcPr>
          <w:p w14:paraId="0A50C0A8">
            <w:pPr>
              <w:spacing w:line="360" w:lineRule="auto"/>
              <w:jc w:val="center"/>
            </w:pPr>
          </w:p>
        </w:tc>
      </w:tr>
      <w:tr w14:paraId="0A50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vAlign w:val="center"/>
          </w:tcPr>
          <w:p w14:paraId="0A50C0AA">
            <w:pPr>
              <w:spacing w:line="360" w:lineRule="auto"/>
              <w:jc w:val="center"/>
            </w:pPr>
            <w:r>
              <w:rPr>
                <w:rFonts w:hint="eastAsia"/>
              </w:rPr>
              <w:t>5</w:t>
            </w:r>
          </w:p>
        </w:tc>
        <w:tc>
          <w:tcPr>
            <w:tcW w:w="926" w:type="pct"/>
            <w:vMerge w:val="continue"/>
            <w:vAlign w:val="center"/>
          </w:tcPr>
          <w:p w14:paraId="0A50C0AB">
            <w:pPr>
              <w:spacing w:line="360" w:lineRule="auto"/>
              <w:jc w:val="center"/>
            </w:pPr>
          </w:p>
        </w:tc>
        <w:tc>
          <w:tcPr>
            <w:tcW w:w="662" w:type="pct"/>
            <w:vMerge w:val="continue"/>
            <w:vAlign w:val="center"/>
          </w:tcPr>
          <w:p w14:paraId="0A50C0AC">
            <w:pPr>
              <w:spacing w:line="360" w:lineRule="auto"/>
              <w:jc w:val="center"/>
            </w:pPr>
          </w:p>
        </w:tc>
        <w:tc>
          <w:tcPr>
            <w:tcW w:w="399" w:type="pct"/>
            <w:vAlign w:val="center"/>
          </w:tcPr>
          <w:p w14:paraId="0A50C0AD">
            <w:pPr>
              <w:spacing w:line="360" w:lineRule="auto"/>
              <w:jc w:val="center"/>
            </w:pPr>
          </w:p>
        </w:tc>
        <w:tc>
          <w:tcPr>
            <w:tcW w:w="788" w:type="pct"/>
            <w:vAlign w:val="center"/>
          </w:tcPr>
          <w:p w14:paraId="0A50C0AE">
            <w:pPr>
              <w:spacing w:line="360" w:lineRule="auto"/>
              <w:jc w:val="center"/>
            </w:pPr>
          </w:p>
        </w:tc>
        <w:tc>
          <w:tcPr>
            <w:tcW w:w="662" w:type="pct"/>
            <w:vAlign w:val="center"/>
          </w:tcPr>
          <w:p w14:paraId="0A50C0AF">
            <w:pPr>
              <w:spacing w:line="360" w:lineRule="auto"/>
              <w:jc w:val="center"/>
            </w:pPr>
          </w:p>
        </w:tc>
        <w:tc>
          <w:tcPr>
            <w:tcW w:w="761" w:type="pct"/>
            <w:vAlign w:val="center"/>
          </w:tcPr>
          <w:p w14:paraId="0A50C0B0">
            <w:pPr>
              <w:spacing w:line="360" w:lineRule="auto"/>
              <w:jc w:val="center"/>
            </w:pPr>
          </w:p>
        </w:tc>
        <w:tc>
          <w:tcPr>
            <w:tcW w:w="399" w:type="pct"/>
            <w:vAlign w:val="center"/>
          </w:tcPr>
          <w:p w14:paraId="0A50C0B1">
            <w:pPr>
              <w:spacing w:line="360" w:lineRule="auto"/>
              <w:jc w:val="center"/>
            </w:pPr>
          </w:p>
        </w:tc>
      </w:tr>
      <w:tr w14:paraId="0A50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vAlign w:val="center"/>
          </w:tcPr>
          <w:p w14:paraId="0A50C0B3">
            <w:pPr>
              <w:spacing w:line="360" w:lineRule="auto"/>
              <w:jc w:val="center"/>
            </w:pPr>
            <w:r>
              <w:rPr>
                <w:rFonts w:hint="eastAsia"/>
              </w:rPr>
              <w:t>6</w:t>
            </w:r>
          </w:p>
        </w:tc>
        <w:tc>
          <w:tcPr>
            <w:tcW w:w="926" w:type="pct"/>
            <w:vMerge w:val="continue"/>
            <w:vAlign w:val="center"/>
          </w:tcPr>
          <w:p w14:paraId="0A50C0B4">
            <w:pPr>
              <w:spacing w:line="360" w:lineRule="auto"/>
              <w:jc w:val="center"/>
            </w:pPr>
          </w:p>
        </w:tc>
        <w:tc>
          <w:tcPr>
            <w:tcW w:w="662" w:type="pct"/>
            <w:vMerge w:val="continue"/>
            <w:vAlign w:val="center"/>
          </w:tcPr>
          <w:p w14:paraId="0A50C0B5">
            <w:pPr>
              <w:spacing w:line="360" w:lineRule="auto"/>
              <w:jc w:val="center"/>
            </w:pPr>
          </w:p>
        </w:tc>
        <w:tc>
          <w:tcPr>
            <w:tcW w:w="399" w:type="pct"/>
            <w:vAlign w:val="center"/>
          </w:tcPr>
          <w:p w14:paraId="0A50C0B6">
            <w:pPr>
              <w:spacing w:line="360" w:lineRule="auto"/>
              <w:jc w:val="center"/>
            </w:pPr>
          </w:p>
        </w:tc>
        <w:tc>
          <w:tcPr>
            <w:tcW w:w="788" w:type="pct"/>
            <w:vAlign w:val="center"/>
          </w:tcPr>
          <w:p w14:paraId="0A50C0B7">
            <w:pPr>
              <w:spacing w:line="360" w:lineRule="auto"/>
              <w:jc w:val="center"/>
            </w:pPr>
          </w:p>
        </w:tc>
        <w:tc>
          <w:tcPr>
            <w:tcW w:w="662" w:type="pct"/>
            <w:vAlign w:val="center"/>
          </w:tcPr>
          <w:p w14:paraId="0A50C0B8">
            <w:pPr>
              <w:spacing w:line="360" w:lineRule="auto"/>
              <w:jc w:val="center"/>
            </w:pPr>
          </w:p>
        </w:tc>
        <w:tc>
          <w:tcPr>
            <w:tcW w:w="761" w:type="pct"/>
            <w:vAlign w:val="center"/>
          </w:tcPr>
          <w:p w14:paraId="0A50C0B9">
            <w:pPr>
              <w:spacing w:line="360" w:lineRule="auto"/>
              <w:jc w:val="center"/>
            </w:pPr>
          </w:p>
        </w:tc>
        <w:tc>
          <w:tcPr>
            <w:tcW w:w="399" w:type="pct"/>
            <w:vAlign w:val="center"/>
          </w:tcPr>
          <w:p w14:paraId="0A50C0BA">
            <w:pPr>
              <w:spacing w:line="360" w:lineRule="auto"/>
              <w:jc w:val="center"/>
            </w:pPr>
          </w:p>
        </w:tc>
      </w:tr>
    </w:tbl>
    <w:p w14:paraId="0A50C0BC">
      <w:pPr>
        <w:spacing w:line="360" w:lineRule="auto"/>
      </w:pPr>
    </w:p>
    <w:p w14:paraId="0A50C0BD">
      <w:pPr>
        <w:spacing w:line="360" w:lineRule="auto"/>
        <w:jc w:val="center"/>
      </w:pPr>
      <w:r>
        <w:t>表</w:t>
      </w:r>
      <w:r>
        <w:rPr>
          <w:rFonts w:hint="eastAsia"/>
        </w:rPr>
        <w:t>7</w:t>
      </w:r>
      <w:r>
        <w:t xml:space="preserve"> XXX公司相关产品数据</w:t>
      </w:r>
    </w:p>
    <w:tbl>
      <w:tblPr>
        <w:tblStyle w:val="2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325"/>
        <w:gridCol w:w="911"/>
        <w:gridCol w:w="936"/>
        <w:gridCol w:w="1059"/>
        <w:gridCol w:w="909"/>
        <w:gridCol w:w="1364"/>
        <w:gridCol w:w="1769"/>
      </w:tblGrid>
      <w:tr w14:paraId="0A50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0BE">
            <w:pPr>
              <w:spacing w:line="360" w:lineRule="auto"/>
              <w:jc w:val="center"/>
            </w:pPr>
            <w:r>
              <w:t>序号</w:t>
            </w:r>
          </w:p>
        </w:tc>
        <w:tc>
          <w:tcPr>
            <w:tcW w:w="739" w:type="pct"/>
            <w:vAlign w:val="center"/>
          </w:tcPr>
          <w:p w14:paraId="0A50C0BF">
            <w:pPr>
              <w:spacing w:line="360" w:lineRule="auto"/>
              <w:jc w:val="center"/>
            </w:pPr>
          </w:p>
        </w:tc>
        <w:tc>
          <w:tcPr>
            <w:tcW w:w="508" w:type="pct"/>
            <w:vAlign w:val="center"/>
          </w:tcPr>
          <w:p w14:paraId="0A50C0C1">
            <w:pPr>
              <w:spacing w:line="360" w:lineRule="auto"/>
              <w:jc w:val="center"/>
            </w:pPr>
          </w:p>
        </w:tc>
        <w:tc>
          <w:tcPr>
            <w:tcW w:w="522" w:type="pct"/>
            <w:vAlign w:val="center"/>
          </w:tcPr>
          <w:p w14:paraId="0A50C0C2">
            <w:pPr>
              <w:spacing w:line="360" w:lineRule="auto"/>
              <w:jc w:val="center"/>
            </w:pPr>
          </w:p>
        </w:tc>
        <w:tc>
          <w:tcPr>
            <w:tcW w:w="591" w:type="pct"/>
            <w:vAlign w:val="center"/>
          </w:tcPr>
          <w:p w14:paraId="0A50C0C4">
            <w:pPr>
              <w:jc w:val="center"/>
            </w:pPr>
          </w:p>
        </w:tc>
        <w:tc>
          <w:tcPr>
            <w:tcW w:w="507" w:type="pct"/>
            <w:vAlign w:val="center"/>
          </w:tcPr>
          <w:p w14:paraId="0A50C0C6">
            <w:pPr>
              <w:jc w:val="center"/>
            </w:pPr>
          </w:p>
        </w:tc>
        <w:tc>
          <w:tcPr>
            <w:tcW w:w="761" w:type="pct"/>
            <w:vAlign w:val="center"/>
          </w:tcPr>
          <w:p w14:paraId="0A50C0C9">
            <w:pPr>
              <w:jc w:val="center"/>
            </w:pPr>
          </w:p>
        </w:tc>
        <w:tc>
          <w:tcPr>
            <w:tcW w:w="987" w:type="pct"/>
            <w:vAlign w:val="center"/>
          </w:tcPr>
          <w:p w14:paraId="0A50C0CA">
            <w:pPr>
              <w:spacing w:line="360" w:lineRule="auto"/>
              <w:jc w:val="center"/>
            </w:pPr>
          </w:p>
        </w:tc>
      </w:tr>
      <w:tr w14:paraId="0A50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0CC">
            <w:pPr>
              <w:spacing w:line="360" w:lineRule="auto"/>
              <w:jc w:val="center"/>
            </w:pPr>
            <w:r>
              <w:rPr>
                <w:rFonts w:hint="eastAsia"/>
              </w:rPr>
              <w:t>1</w:t>
            </w:r>
          </w:p>
        </w:tc>
        <w:tc>
          <w:tcPr>
            <w:tcW w:w="739" w:type="pct"/>
            <w:vAlign w:val="center"/>
          </w:tcPr>
          <w:p w14:paraId="0A50C0CD">
            <w:pPr>
              <w:spacing w:line="360" w:lineRule="auto"/>
              <w:jc w:val="center"/>
            </w:pPr>
          </w:p>
        </w:tc>
        <w:tc>
          <w:tcPr>
            <w:tcW w:w="508" w:type="pct"/>
            <w:vAlign w:val="center"/>
          </w:tcPr>
          <w:p w14:paraId="0A50C0CE">
            <w:pPr>
              <w:spacing w:line="360" w:lineRule="auto"/>
              <w:jc w:val="center"/>
            </w:pPr>
          </w:p>
        </w:tc>
        <w:tc>
          <w:tcPr>
            <w:tcW w:w="522" w:type="pct"/>
            <w:vAlign w:val="center"/>
          </w:tcPr>
          <w:p w14:paraId="0A50C0CF">
            <w:pPr>
              <w:spacing w:line="360" w:lineRule="auto"/>
              <w:jc w:val="center"/>
            </w:pPr>
          </w:p>
        </w:tc>
        <w:tc>
          <w:tcPr>
            <w:tcW w:w="591" w:type="pct"/>
            <w:vAlign w:val="center"/>
          </w:tcPr>
          <w:p w14:paraId="0A50C0D0">
            <w:pPr>
              <w:spacing w:line="360" w:lineRule="auto"/>
              <w:jc w:val="center"/>
            </w:pPr>
          </w:p>
        </w:tc>
        <w:tc>
          <w:tcPr>
            <w:tcW w:w="507" w:type="pct"/>
            <w:vAlign w:val="center"/>
          </w:tcPr>
          <w:p w14:paraId="0A50C0D1">
            <w:pPr>
              <w:spacing w:line="360" w:lineRule="auto"/>
              <w:jc w:val="center"/>
            </w:pPr>
          </w:p>
        </w:tc>
        <w:tc>
          <w:tcPr>
            <w:tcW w:w="761" w:type="pct"/>
            <w:vAlign w:val="center"/>
          </w:tcPr>
          <w:p w14:paraId="0A50C0D2">
            <w:pPr>
              <w:spacing w:line="360" w:lineRule="auto"/>
              <w:jc w:val="center"/>
            </w:pPr>
          </w:p>
        </w:tc>
        <w:tc>
          <w:tcPr>
            <w:tcW w:w="987" w:type="pct"/>
            <w:vAlign w:val="center"/>
          </w:tcPr>
          <w:p w14:paraId="0A50C0D4">
            <w:pPr>
              <w:spacing w:line="360" w:lineRule="auto"/>
              <w:jc w:val="center"/>
            </w:pPr>
          </w:p>
        </w:tc>
      </w:tr>
      <w:tr w14:paraId="0A50C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0D6">
            <w:pPr>
              <w:spacing w:line="360" w:lineRule="auto"/>
              <w:jc w:val="center"/>
            </w:pPr>
            <w:r>
              <w:rPr>
                <w:rFonts w:hint="eastAsia"/>
              </w:rPr>
              <w:t>2</w:t>
            </w:r>
          </w:p>
        </w:tc>
        <w:tc>
          <w:tcPr>
            <w:tcW w:w="739" w:type="pct"/>
            <w:vAlign w:val="center"/>
          </w:tcPr>
          <w:p w14:paraId="0A50C0D7">
            <w:pPr>
              <w:spacing w:line="360" w:lineRule="auto"/>
              <w:jc w:val="center"/>
            </w:pPr>
          </w:p>
        </w:tc>
        <w:tc>
          <w:tcPr>
            <w:tcW w:w="508" w:type="pct"/>
            <w:vAlign w:val="center"/>
          </w:tcPr>
          <w:p w14:paraId="0A50C0D8">
            <w:pPr>
              <w:spacing w:line="360" w:lineRule="auto"/>
              <w:jc w:val="center"/>
            </w:pPr>
          </w:p>
        </w:tc>
        <w:tc>
          <w:tcPr>
            <w:tcW w:w="522" w:type="pct"/>
            <w:vAlign w:val="center"/>
          </w:tcPr>
          <w:p w14:paraId="0A50C0D9">
            <w:pPr>
              <w:spacing w:line="360" w:lineRule="auto"/>
              <w:jc w:val="center"/>
            </w:pPr>
          </w:p>
        </w:tc>
        <w:tc>
          <w:tcPr>
            <w:tcW w:w="591" w:type="pct"/>
            <w:vAlign w:val="center"/>
          </w:tcPr>
          <w:p w14:paraId="0A50C0DA">
            <w:pPr>
              <w:spacing w:line="360" w:lineRule="auto"/>
              <w:jc w:val="center"/>
            </w:pPr>
          </w:p>
        </w:tc>
        <w:tc>
          <w:tcPr>
            <w:tcW w:w="507" w:type="pct"/>
            <w:vAlign w:val="center"/>
          </w:tcPr>
          <w:p w14:paraId="0A50C0DB">
            <w:pPr>
              <w:spacing w:line="360" w:lineRule="auto"/>
              <w:jc w:val="center"/>
            </w:pPr>
          </w:p>
        </w:tc>
        <w:tc>
          <w:tcPr>
            <w:tcW w:w="761" w:type="pct"/>
            <w:vAlign w:val="center"/>
          </w:tcPr>
          <w:p w14:paraId="0A50C0DC">
            <w:pPr>
              <w:spacing w:line="360" w:lineRule="auto"/>
              <w:jc w:val="center"/>
            </w:pPr>
          </w:p>
        </w:tc>
        <w:tc>
          <w:tcPr>
            <w:tcW w:w="987" w:type="pct"/>
            <w:vAlign w:val="center"/>
          </w:tcPr>
          <w:p w14:paraId="0A50C0DE">
            <w:pPr>
              <w:spacing w:line="360" w:lineRule="auto"/>
              <w:jc w:val="center"/>
            </w:pPr>
          </w:p>
        </w:tc>
      </w:tr>
      <w:tr w14:paraId="0A50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0E0">
            <w:pPr>
              <w:spacing w:line="360" w:lineRule="auto"/>
              <w:jc w:val="center"/>
            </w:pPr>
            <w:r>
              <w:rPr>
                <w:rFonts w:hint="eastAsia"/>
              </w:rPr>
              <w:t>3</w:t>
            </w:r>
          </w:p>
        </w:tc>
        <w:tc>
          <w:tcPr>
            <w:tcW w:w="739" w:type="pct"/>
            <w:vAlign w:val="center"/>
          </w:tcPr>
          <w:p w14:paraId="0A50C0E1">
            <w:pPr>
              <w:spacing w:line="360" w:lineRule="auto"/>
              <w:jc w:val="center"/>
            </w:pPr>
          </w:p>
        </w:tc>
        <w:tc>
          <w:tcPr>
            <w:tcW w:w="508" w:type="pct"/>
            <w:vAlign w:val="center"/>
          </w:tcPr>
          <w:p w14:paraId="0A50C0E2">
            <w:pPr>
              <w:spacing w:line="360" w:lineRule="auto"/>
              <w:jc w:val="center"/>
            </w:pPr>
          </w:p>
        </w:tc>
        <w:tc>
          <w:tcPr>
            <w:tcW w:w="522" w:type="pct"/>
            <w:vAlign w:val="center"/>
          </w:tcPr>
          <w:p w14:paraId="0A50C0E3">
            <w:pPr>
              <w:spacing w:line="360" w:lineRule="auto"/>
              <w:jc w:val="center"/>
            </w:pPr>
          </w:p>
        </w:tc>
        <w:tc>
          <w:tcPr>
            <w:tcW w:w="591" w:type="pct"/>
            <w:vAlign w:val="center"/>
          </w:tcPr>
          <w:p w14:paraId="0A50C0E4">
            <w:pPr>
              <w:spacing w:line="360" w:lineRule="auto"/>
              <w:jc w:val="center"/>
            </w:pPr>
          </w:p>
        </w:tc>
        <w:tc>
          <w:tcPr>
            <w:tcW w:w="507" w:type="pct"/>
            <w:vAlign w:val="center"/>
          </w:tcPr>
          <w:p w14:paraId="0A50C0E5">
            <w:pPr>
              <w:spacing w:line="360" w:lineRule="auto"/>
              <w:jc w:val="center"/>
            </w:pPr>
          </w:p>
        </w:tc>
        <w:tc>
          <w:tcPr>
            <w:tcW w:w="761" w:type="pct"/>
            <w:vAlign w:val="center"/>
          </w:tcPr>
          <w:p w14:paraId="0A50C0E6">
            <w:pPr>
              <w:spacing w:line="360" w:lineRule="auto"/>
              <w:jc w:val="center"/>
            </w:pPr>
          </w:p>
        </w:tc>
        <w:tc>
          <w:tcPr>
            <w:tcW w:w="987" w:type="pct"/>
            <w:vAlign w:val="center"/>
          </w:tcPr>
          <w:p w14:paraId="0A50C0E8">
            <w:pPr>
              <w:spacing w:line="360" w:lineRule="auto"/>
              <w:jc w:val="center"/>
            </w:pPr>
          </w:p>
        </w:tc>
      </w:tr>
      <w:tr w14:paraId="0A50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0EA">
            <w:pPr>
              <w:spacing w:line="360" w:lineRule="auto"/>
              <w:jc w:val="center"/>
            </w:pPr>
            <w:r>
              <w:rPr>
                <w:rFonts w:hint="eastAsia"/>
              </w:rPr>
              <w:t>4</w:t>
            </w:r>
          </w:p>
        </w:tc>
        <w:tc>
          <w:tcPr>
            <w:tcW w:w="739" w:type="pct"/>
            <w:vAlign w:val="center"/>
          </w:tcPr>
          <w:p w14:paraId="0A50C0EB">
            <w:pPr>
              <w:spacing w:line="360" w:lineRule="auto"/>
              <w:jc w:val="center"/>
            </w:pPr>
          </w:p>
        </w:tc>
        <w:tc>
          <w:tcPr>
            <w:tcW w:w="508" w:type="pct"/>
            <w:vAlign w:val="center"/>
          </w:tcPr>
          <w:p w14:paraId="0A50C0EC">
            <w:pPr>
              <w:spacing w:line="360" w:lineRule="auto"/>
              <w:jc w:val="center"/>
            </w:pPr>
          </w:p>
        </w:tc>
        <w:tc>
          <w:tcPr>
            <w:tcW w:w="522" w:type="pct"/>
            <w:vAlign w:val="center"/>
          </w:tcPr>
          <w:p w14:paraId="0A50C0ED">
            <w:pPr>
              <w:spacing w:line="360" w:lineRule="auto"/>
              <w:jc w:val="center"/>
            </w:pPr>
          </w:p>
        </w:tc>
        <w:tc>
          <w:tcPr>
            <w:tcW w:w="591" w:type="pct"/>
            <w:vAlign w:val="center"/>
          </w:tcPr>
          <w:p w14:paraId="0A50C0EE">
            <w:pPr>
              <w:spacing w:line="360" w:lineRule="auto"/>
              <w:jc w:val="center"/>
            </w:pPr>
          </w:p>
        </w:tc>
        <w:tc>
          <w:tcPr>
            <w:tcW w:w="507" w:type="pct"/>
            <w:vAlign w:val="center"/>
          </w:tcPr>
          <w:p w14:paraId="0A50C0EF">
            <w:pPr>
              <w:spacing w:line="360" w:lineRule="auto"/>
              <w:jc w:val="center"/>
            </w:pPr>
          </w:p>
        </w:tc>
        <w:tc>
          <w:tcPr>
            <w:tcW w:w="761" w:type="pct"/>
            <w:vAlign w:val="center"/>
          </w:tcPr>
          <w:p w14:paraId="0A50C0F0">
            <w:pPr>
              <w:spacing w:line="360" w:lineRule="auto"/>
              <w:jc w:val="center"/>
            </w:pPr>
          </w:p>
        </w:tc>
        <w:tc>
          <w:tcPr>
            <w:tcW w:w="987" w:type="pct"/>
            <w:vAlign w:val="center"/>
          </w:tcPr>
          <w:p w14:paraId="0A50C0F2">
            <w:pPr>
              <w:spacing w:line="360" w:lineRule="auto"/>
              <w:jc w:val="center"/>
            </w:pPr>
          </w:p>
        </w:tc>
      </w:tr>
      <w:tr w14:paraId="0A50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0F4">
            <w:pPr>
              <w:spacing w:line="360" w:lineRule="auto"/>
              <w:jc w:val="center"/>
            </w:pPr>
            <w:r>
              <w:rPr>
                <w:rFonts w:hint="eastAsia"/>
              </w:rPr>
              <w:t>5</w:t>
            </w:r>
          </w:p>
        </w:tc>
        <w:tc>
          <w:tcPr>
            <w:tcW w:w="739" w:type="pct"/>
            <w:vAlign w:val="center"/>
          </w:tcPr>
          <w:p w14:paraId="0A50C0F5">
            <w:pPr>
              <w:spacing w:line="360" w:lineRule="auto"/>
              <w:jc w:val="center"/>
            </w:pPr>
          </w:p>
        </w:tc>
        <w:tc>
          <w:tcPr>
            <w:tcW w:w="508" w:type="pct"/>
            <w:vAlign w:val="center"/>
          </w:tcPr>
          <w:p w14:paraId="0A50C0F6">
            <w:pPr>
              <w:spacing w:line="360" w:lineRule="auto"/>
              <w:jc w:val="center"/>
            </w:pPr>
          </w:p>
        </w:tc>
        <w:tc>
          <w:tcPr>
            <w:tcW w:w="522" w:type="pct"/>
            <w:vAlign w:val="center"/>
          </w:tcPr>
          <w:p w14:paraId="0A50C0F7">
            <w:pPr>
              <w:spacing w:line="360" w:lineRule="auto"/>
              <w:jc w:val="center"/>
            </w:pPr>
          </w:p>
        </w:tc>
        <w:tc>
          <w:tcPr>
            <w:tcW w:w="591" w:type="pct"/>
            <w:vAlign w:val="center"/>
          </w:tcPr>
          <w:p w14:paraId="0A50C0F8">
            <w:pPr>
              <w:spacing w:line="360" w:lineRule="auto"/>
              <w:jc w:val="center"/>
            </w:pPr>
          </w:p>
        </w:tc>
        <w:tc>
          <w:tcPr>
            <w:tcW w:w="507" w:type="pct"/>
            <w:vAlign w:val="center"/>
          </w:tcPr>
          <w:p w14:paraId="0A50C0F9">
            <w:pPr>
              <w:spacing w:line="360" w:lineRule="auto"/>
              <w:jc w:val="center"/>
            </w:pPr>
          </w:p>
        </w:tc>
        <w:tc>
          <w:tcPr>
            <w:tcW w:w="761" w:type="pct"/>
            <w:vAlign w:val="center"/>
          </w:tcPr>
          <w:p w14:paraId="0A50C0FA">
            <w:pPr>
              <w:spacing w:line="360" w:lineRule="auto"/>
              <w:jc w:val="center"/>
            </w:pPr>
          </w:p>
        </w:tc>
        <w:tc>
          <w:tcPr>
            <w:tcW w:w="987" w:type="pct"/>
            <w:vAlign w:val="center"/>
          </w:tcPr>
          <w:p w14:paraId="0A50C0FC">
            <w:pPr>
              <w:spacing w:line="360" w:lineRule="auto"/>
              <w:jc w:val="center"/>
            </w:pPr>
          </w:p>
        </w:tc>
      </w:tr>
      <w:tr w14:paraId="0A50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0FE">
            <w:pPr>
              <w:spacing w:line="360" w:lineRule="auto"/>
              <w:jc w:val="center"/>
            </w:pPr>
            <w:r>
              <w:rPr>
                <w:rFonts w:hint="eastAsia"/>
              </w:rPr>
              <w:t>6</w:t>
            </w:r>
          </w:p>
        </w:tc>
        <w:tc>
          <w:tcPr>
            <w:tcW w:w="739" w:type="pct"/>
            <w:vAlign w:val="center"/>
          </w:tcPr>
          <w:p w14:paraId="0A50C0FF">
            <w:pPr>
              <w:spacing w:line="360" w:lineRule="auto"/>
              <w:jc w:val="center"/>
            </w:pPr>
          </w:p>
        </w:tc>
        <w:tc>
          <w:tcPr>
            <w:tcW w:w="508" w:type="pct"/>
            <w:vAlign w:val="center"/>
          </w:tcPr>
          <w:p w14:paraId="0A50C100">
            <w:pPr>
              <w:spacing w:line="360" w:lineRule="auto"/>
              <w:jc w:val="center"/>
            </w:pPr>
          </w:p>
        </w:tc>
        <w:tc>
          <w:tcPr>
            <w:tcW w:w="522" w:type="pct"/>
            <w:vAlign w:val="center"/>
          </w:tcPr>
          <w:p w14:paraId="0A50C101">
            <w:pPr>
              <w:spacing w:line="360" w:lineRule="auto"/>
              <w:jc w:val="center"/>
            </w:pPr>
          </w:p>
        </w:tc>
        <w:tc>
          <w:tcPr>
            <w:tcW w:w="591" w:type="pct"/>
            <w:vAlign w:val="center"/>
          </w:tcPr>
          <w:p w14:paraId="0A50C102">
            <w:pPr>
              <w:spacing w:line="360" w:lineRule="auto"/>
              <w:jc w:val="center"/>
            </w:pPr>
          </w:p>
        </w:tc>
        <w:tc>
          <w:tcPr>
            <w:tcW w:w="507" w:type="pct"/>
            <w:vAlign w:val="center"/>
          </w:tcPr>
          <w:p w14:paraId="0A50C103">
            <w:pPr>
              <w:spacing w:line="360" w:lineRule="auto"/>
              <w:jc w:val="center"/>
            </w:pPr>
          </w:p>
        </w:tc>
        <w:tc>
          <w:tcPr>
            <w:tcW w:w="761" w:type="pct"/>
            <w:vAlign w:val="center"/>
          </w:tcPr>
          <w:p w14:paraId="0A50C104">
            <w:pPr>
              <w:spacing w:line="360" w:lineRule="auto"/>
              <w:jc w:val="center"/>
            </w:pPr>
          </w:p>
        </w:tc>
        <w:tc>
          <w:tcPr>
            <w:tcW w:w="987" w:type="pct"/>
            <w:vAlign w:val="center"/>
          </w:tcPr>
          <w:p w14:paraId="0A50C106">
            <w:pPr>
              <w:spacing w:line="360" w:lineRule="auto"/>
              <w:jc w:val="center"/>
            </w:pPr>
          </w:p>
        </w:tc>
      </w:tr>
      <w:tr w14:paraId="0A50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08">
            <w:pPr>
              <w:spacing w:line="360" w:lineRule="auto"/>
              <w:jc w:val="center"/>
            </w:pPr>
            <w:r>
              <w:rPr>
                <w:rFonts w:hint="eastAsia"/>
              </w:rPr>
              <w:t>7</w:t>
            </w:r>
          </w:p>
        </w:tc>
        <w:tc>
          <w:tcPr>
            <w:tcW w:w="739" w:type="pct"/>
            <w:vAlign w:val="center"/>
          </w:tcPr>
          <w:p w14:paraId="0A50C109">
            <w:pPr>
              <w:spacing w:line="360" w:lineRule="auto"/>
              <w:jc w:val="center"/>
            </w:pPr>
          </w:p>
        </w:tc>
        <w:tc>
          <w:tcPr>
            <w:tcW w:w="508" w:type="pct"/>
            <w:vAlign w:val="center"/>
          </w:tcPr>
          <w:p w14:paraId="0A50C10A">
            <w:pPr>
              <w:spacing w:line="360" w:lineRule="auto"/>
              <w:jc w:val="center"/>
            </w:pPr>
          </w:p>
        </w:tc>
        <w:tc>
          <w:tcPr>
            <w:tcW w:w="522" w:type="pct"/>
            <w:vAlign w:val="center"/>
          </w:tcPr>
          <w:p w14:paraId="0A50C10B">
            <w:pPr>
              <w:spacing w:line="360" w:lineRule="auto"/>
              <w:jc w:val="center"/>
            </w:pPr>
          </w:p>
        </w:tc>
        <w:tc>
          <w:tcPr>
            <w:tcW w:w="591" w:type="pct"/>
            <w:vAlign w:val="center"/>
          </w:tcPr>
          <w:p w14:paraId="0A50C10C">
            <w:pPr>
              <w:spacing w:line="360" w:lineRule="auto"/>
              <w:jc w:val="center"/>
            </w:pPr>
          </w:p>
        </w:tc>
        <w:tc>
          <w:tcPr>
            <w:tcW w:w="507" w:type="pct"/>
            <w:vAlign w:val="center"/>
          </w:tcPr>
          <w:p w14:paraId="0A50C10D">
            <w:pPr>
              <w:spacing w:line="360" w:lineRule="auto"/>
              <w:jc w:val="center"/>
            </w:pPr>
          </w:p>
        </w:tc>
        <w:tc>
          <w:tcPr>
            <w:tcW w:w="761" w:type="pct"/>
            <w:vAlign w:val="center"/>
          </w:tcPr>
          <w:p w14:paraId="0A50C10E">
            <w:pPr>
              <w:spacing w:line="360" w:lineRule="auto"/>
              <w:jc w:val="center"/>
            </w:pPr>
          </w:p>
        </w:tc>
        <w:tc>
          <w:tcPr>
            <w:tcW w:w="987" w:type="pct"/>
            <w:vAlign w:val="center"/>
          </w:tcPr>
          <w:p w14:paraId="0A50C110">
            <w:pPr>
              <w:spacing w:line="360" w:lineRule="auto"/>
              <w:jc w:val="center"/>
            </w:pPr>
          </w:p>
        </w:tc>
      </w:tr>
      <w:tr w14:paraId="0A50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12">
            <w:pPr>
              <w:spacing w:line="360" w:lineRule="auto"/>
              <w:jc w:val="center"/>
            </w:pPr>
            <w:r>
              <w:rPr>
                <w:rFonts w:hint="eastAsia"/>
              </w:rPr>
              <w:t>8</w:t>
            </w:r>
          </w:p>
        </w:tc>
        <w:tc>
          <w:tcPr>
            <w:tcW w:w="739" w:type="pct"/>
            <w:vAlign w:val="center"/>
          </w:tcPr>
          <w:p w14:paraId="0A50C113">
            <w:pPr>
              <w:spacing w:line="360" w:lineRule="auto"/>
              <w:jc w:val="center"/>
            </w:pPr>
          </w:p>
        </w:tc>
        <w:tc>
          <w:tcPr>
            <w:tcW w:w="508" w:type="pct"/>
            <w:vAlign w:val="center"/>
          </w:tcPr>
          <w:p w14:paraId="0A50C114">
            <w:pPr>
              <w:spacing w:line="360" w:lineRule="auto"/>
              <w:jc w:val="center"/>
            </w:pPr>
          </w:p>
        </w:tc>
        <w:tc>
          <w:tcPr>
            <w:tcW w:w="522" w:type="pct"/>
            <w:vAlign w:val="center"/>
          </w:tcPr>
          <w:p w14:paraId="0A50C115">
            <w:pPr>
              <w:spacing w:line="360" w:lineRule="auto"/>
              <w:jc w:val="center"/>
            </w:pPr>
          </w:p>
        </w:tc>
        <w:tc>
          <w:tcPr>
            <w:tcW w:w="591" w:type="pct"/>
            <w:vAlign w:val="center"/>
          </w:tcPr>
          <w:p w14:paraId="0A50C116">
            <w:pPr>
              <w:spacing w:line="360" w:lineRule="auto"/>
              <w:jc w:val="center"/>
            </w:pPr>
          </w:p>
        </w:tc>
        <w:tc>
          <w:tcPr>
            <w:tcW w:w="507" w:type="pct"/>
            <w:vAlign w:val="center"/>
          </w:tcPr>
          <w:p w14:paraId="0A50C117">
            <w:pPr>
              <w:spacing w:line="360" w:lineRule="auto"/>
              <w:jc w:val="center"/>
            </w:pPr>
          </w:p>
        </w:tc>
        <w:tc>
          <w:tcPr>
            <w:tcW w:w="761" w:type="pct"/>
            <w:vAlign w:val="center"/>
          </w:tcPr>
          <w:p w14:paraId="0A50C118">
            <w:pPr>
              <w:spacing w:line="360" w:lineRule="auto"/>
              <w:jc w:val="center"/>
            </w:pPr>
          </w:p>
        </w:tc>
        <w:tc>
          <w:tcPr>
            <w:tcW w:w="987" w:type="pct"/>
            <w:vAlign w:val="center"/>
          </w:tcPr>
          <w:p w14:paraId="0A50C11A">
            <w:pPr>
              <w:spacing w:line="360" w:lineRule="auto"/>
              <w:jc w:val="center"/>
            </w:pPr>
          </w:p>
        </w:tc>
      </w:tr>
      <w:tr w14:paraId="0A50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1C">
            <w:pPr>
              <w:spacing w:line="360" w:lineRule="auto"/>
              <w:jc w:val="center"/>
            </w:pPr>
            <w:r>
              <w:rPr>
                <w:rFonts w:hint="eastAsia"/>
              </w:rPr>
              <w:t>9</w:t>
            </w:r>
          </w:p>
        </w:tc>
        <w:tc>
          <w:tcPr>
            <w:tcW w:w="739" w:type="pct"/>
            <w:vAlign w:val="center"/>
          </w:tcPr>
          <w:p w14:paraId="0A50C11D">
            <w:pPr>
              <w:spacing w:line="360" w:lineRule="auto"/>
              <w:jc w:val="center"/>
            </w:pPr>
          </w:p>
        </w:tc>
        <w:tc>
          <w:tcPr>
            <w:tcW w:w="508" w:type="pct"/>
            <w:vAlign w:val="center"/>
          </w:tcPr>
          <w:p w14:paraId="0A50C11E">
            <w:pPr>
              <w:spacing w:line="360" w:lineRule="auto"/>
              <w:jc w:val="center"/>
            </w:pPr>
          </w:p>
        </w:tc>
        <w:tc>
          <w:tcPr>
            <w:tcW w:w="522" w:type="pct"/>
            <w:vAlign w:val="center"/>
          </w:tcPr>
          <w:p w14:paraId="0A50C11F">
            <w:pPr>
              <w:spacing w:line="360" w:lineRule="auto"/>
              <w:jc w:val="center"/>
            </w:pPr>
          </w:p>
        </w:tc>
        <w:tc>
          <w:tcPr>
            <w:tcW w:w="591" w:type="pct"/>
            <w:vAlign w:val="center"/>
          </w:tcPr>
          <w:p w14:paraId="0A50C120">
            <w:pPr>
              <w:spacing w:line="360" w:lineRule="auto"/>
              <w:jc w:val="center"/>
            </w:pPr>
          </w:p>
        </w:tc>
        <w:tc>
          <w:tcPr>
            <w:tcW w:w="507" w:type="pct"/>
            <w:vAlign w:val="center"/>
          </w:tcPr>
          <w:p w14:paraId="0A50C121">
            <w:pPr>
              <w:spacing w:line="360" w:lineRule="auto"/>
              <w:jc w:val="center"/>
            </w:pPr>
          </w:p>
        </w:tc>
        <w:tc>
          <w:tcPr>
            <w:tcW w:w="761" w:type="pct"/>
            <w:vAlign w:val="center"/>
          </w:tcPr>
          <w:p w14:paraId="0A50C122">
            <w:pPr>
              <w:spacing w:line="360" w:lineRule="auto"/>
              <w:jc w:val="center"/>
            </w:pPr>
          </w:p>
        </w:tc>
        <w:tc>
          <w:tcPr>
            <w:tcW w:w="987" w:type="pct"/>
            <w:vAlign w:val="center"/>
          </w:tcPr>
          <w:p w14:paraId="0A50C124">
            <w:pPr>
              <w:spacing w:line="360" w:lineRule="auto"/>
              <w:jc w:val="center"/>
            </w:pPr>
          </w:p>
        </w:tc>
      </w:tr>
      <w:tr w14:paraId="0A50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26">
            <w:pPr>
              <w:spacing w:line="360" w:lineRule="auto"/>
              <w:jc w:val="center"/>
            </w:pPr>
            <w:r>
              <w:rPr>
                <w:rFonts w:hint="eastAsia"/>
              </w:rPr>
              <w:t>10</w:t>
            </w:r>
          </w:p>
        </w:tc>
        <w:tc>
          <w:tcPr>
            <w:tcW w:w="739" w:type="pct"/>
            <w:vAlign w:val="center"/>
          </w:tcPr>
          <w:p w14:paraId="0A50C127">
            <w:pPr>
              <w:spacing w:line="360" w:lineRule="auto"/>
              <w:jc w:val="center"/>
            </w:pPr>
          </w:p>
        </w:tc>
        <w:tc>
          <w:tcPr>
            <w:tcW w:w="508" w:type="pct"/>
            <w:vAlign w:val="center"/>
          </w:tcPr>
          <w:p w14:paraId="0A50C128">
            <w:pPr>
              <w:spacing w:line="360" w:lineRule="auto"/>
              <w:jc w:val="center"/>
            </w:pPr>
          </w:p>
        </w:tc>
        <w:tc>
          <w:tcPr>
            <w:tcW w:w="522" w:type="pct"/>
            <w:vAlign w:val="center"/>
          </w:tcPr>
          <w:p w14:paraId="0A50C129">
            <w:pPr>
              <w:spacing w:line="360" w:lineRule="auto"/>
              <w:jc w:val="center"/>
            </w:pPr>
          </w:p>
        </w:tc>
        <w:tc>
          <w:tcPr>
            <w:tcW w:w="591" w:type="pct"/>
            <w:vAlign w:val="center"/>
          </w:tcPr>
          <w:p w14:paraId="0A50C12A">
            <w:pPr>
              <w:spacing w:line="360" w:lineRule="auto"/>
              <w:jc w:val="center"/>
            </w:pPr>
          </w:p>
        </w:tc>
        <w:tc>
          <w:tcPr>
            <w:tcW w:w="507" w:type="pct"/>
            <w:vAlign w:val="center"/>
          </w:tcPr>
          <w:p w14:paraId="0A50C12B">
            <w:pPr>
              <w:spacing w:line="360" w:lineRule="auto"/>
              <w:jc w:val="center"/>
            </w:pPr>
          </w:p>
        </w:tc>
        <w:tc>
          <w:tcPr>
            <w:tcW w:w="761" w:type="pct"/>
            <w:vAlign w:val="center"/>
          </w:tcPr>
          <w:p w14:paraId="0A50C12C">
            <w:pPr>
              <w:spacing w:line="360" w:lineRule="auto"/>
              <w:jc w:val="center"/>
            </w:pPr>
          </w:p>
        </w:tc>
        <w:tc>
          <w:tcPr>
            <w:tcW w:w="987" w:type="pct"/>
            <w:vAlign w:val="center"/>
          </w:tcPr>
          <w:p w14:paraId="0A50C12E">
            <w:pPr>
              <w:spacing w:line="360" w:lineRule="auto"/>
              <w:jc w:val="center"/>
            </w:pPr>
          </w:p>
        </w:tc>
      </w:tr>
      <w:tr w14:paraId="0A50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30">
            <w:pPr>
              <w:spacing w:line="360" w:lineRule="auto"/>
              <w:jc w:val="center"/>
            </w:pPr>
            <w:r>
              <w:rPr>
                <w:rFonts w:hint="eastAsia"/>
              </w:rPr>
              <w:t>11</w:t>
            </w:r>
          </w:p>
        </w:tc>
        <w:tc>
          <w:tcPr>
            <w:tcW w:w="739" w:type="pct"/>
            <w:vAlign w:val="center"/>
          </w:tcPr>
          <w:p w14:paraId="0A50C131">
            <w:pPr>
              <w:spacing w:line="360" w:lineRule="auto"/>
              <w:jc w:val="center"/>
            </w:pPr>
          </w:p>
        </w:tc>
        <w:tc>
          <w:tcPr>
            <w:tcW w:w="508" w:type="pct"/>
            <w:vAlign w:val="center"/>
          </w:tcPr>
          <w:p w14:paraId="0A50C132">
            <w:pPr>
              <w:spacing w:line="360" w:lineRule="auto"/>
              <w:jc w:val="center"/>
            </w:pPr>
          </w:p>
        </w:tc>
        <w:tc>
          <w:tcPr>
            <w:tcW w:w="522" w:type="pct"/>
            <w:vAlign w:val="center"/>
          </w:tcPr>
          <w:p w14:paraId="0A50C133">
            <w:pPr>
              <w:spacing w:line="360" w:lineRule="auto"/>
              <w:jc w:val="center"/>
            </w:pPr>
          </w:p>
        </w:tc>
        <w:tc>
          <w:tcPr>
            <w:tcW w:w="591" w:type="pct"/>
            <w:vAlign w:val="center"/>
          </w:tcPr>
          <w:p w14:paraId="0A50C134">
            <w:pPr>
              <w:spacing w:line="360" w:lineRule="auto"/>
              <w:jc w:val="center"/>
            </w:pPr>
          </w:p>
        </w:tc>
        <w:tc>
          <w:tcPr>
            <w:tcW w:w="507" w:type="pct"/>
            <w:vAlign w:val="center"/>
          </w:tcPr>
          <w:p w14:paraId="0A50C135">
            <w:pPr>
              <w:spacing w:line="360" w:lineRule="auto"/>
              <w:jc w:val="center"/>
            </w:pPr>
          </w:p>
        </w:tc>
        <w:tc>
          <w:tcPr>
            <w:tcW w:w="761" w:type="pct"/>
            <w:vAlign w:val="center"/>
          </w:tcPr>
          <w:p w14:paraId="0A50C136">
            <w:pPr>
              <w:spacing w:line="360" w:lineRule="auto"/>
              <w:jc w:val="center"/>
            </w:pPr>
          </w:p>
        </w:tc>
        <w:tc>
          <w:tcPr>
            <w:tcW w:w="987" w:type="pct"/>
            <w:vAlign w:val="center"/>
          </w:tcPr>
          <w:p w14:paraId="0A50C137">
            <w:pPr>
              <w:spacing w:line="360" w:lineRule="auto"/>
              <w:jc w:val="center"/>
            </w:pPr>
          </w:p>
        </w:tc>
      </w:tr>
      <w:tr w14:paraId="0A50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39">
            <w:pPr>
              <w:spacing w:line="360" w:lineRule="auto"/>
              <w:jc w:val="center"/>
            </w:pPr>
            <w:r>
              <w:rPr>
                <w:rFonts w:hint="eastAsia"/>
              </w:rPr>
              <w:t>12</w:t>
            </w:r>
          </w:p>
        </w:tc>
        <w:tc>
          <w:tcPr>
            <w:tcW w:w="739" w:type="pct"/>
            <w:vAlign w:val="center"/>
          </w:tcPr>
          <w:p w14:paraId="0A50C13A">
            <w:pPr>
              <w:spacing w:line="360" w:lineRule="auto"/>
              <w:jc w:val="center"/>
            </w:pPr>
          </w:p>
        </w:tc>
        <w:tc>
          <w:tcPr>
            <w:tcW w:w="508" w:type="pct"/>
            <w:vAlign w:val="center"/>
          </w:tcPr>
          <w:p w14:paraId="0A50C13B">
            <w:pPr>
              <w:spacing w:line="360" w:lineRule="auto"/>
              <w:jc w:val="center"/>
            </w:pPr>
          </w:p>
        </w:tc>
        <w:tc>
          <w:tcPr>
            <w:tcW w:w="522" w:type="pct"/>
            <w:vAlign w:val="center"/>
          </w:tcPr>
          <w:p w14:paraId="0A50C13C">
            <w:pPr>
              <w:spacing w:line="360" w:lineRule="auto"/>
              <w:jc w:val="center"/>
            </w:pPr>
          </w:p>
        </w:tc>
        <w:tc>
          <w:tcPr>
            <w:tcW w:w="591" w:type="pct"/>
            <w:vAlign w:val="center"/>
          </w:tcPr>
          <w:p w14:paraId="0A50C13D">
            <w:pPr>
              <w:spacing w:line="360" w:lineRule="auto"/>
              <w:jc w:val="center"/>
            </w:pPr>
          </w:p>
        </w:tc>
        <w:tc>
          <w:tcPr>
            <w:tcW w:w="507" w:type="pct"/>
            <w:vAlign w:val="center"/>
          </w:tcPr>
          <w:p w14:paraId="0A50C13E">
            <w:pPr>
              <w:spacing w:line="360" w:lineRule="auto"/>
              <w:jc w:val="center"/>
            </w:pPr>
          </w:p>
        </w:tc>
        <w:tc>
          <w:tcPr>
            <w:tcW w:w="761" w:type="pct"/>
            <w:vAlign w:val="center"/>
          </w:tcPr>
          <w:p w14:paraId="0A50C13F">
            <w:pPr>
              <w:spacing w:line="360" w:lineRule="auto"/>
              <w:jc w:val="center"/>
            </w:pPr>
          </w:p>
        </w:tc>
        <w:tc>
          <w:tcPr>
            <w:tcW w:w="987" w:type="pct"/>
            <w:vAlign w:val="center"/>
          </w:tcPr>
          <w:p w14:paraId="0A50C141">
            <w:pPr>
              <w:spacing w:line="360" w:lineRule="auto"/>
              <w:jc w:val="center"/>
            </w:pPr>
          </w:p>
        </w:tc>
      </w:tr>
      <w:tr w14:paraId="0A50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43">
            <w:pPr>
              <w:spacing w:line="360" w:lineRule="auto"/>
              <w:jc w:val="center"/>
            </w:pPr>
            <w:r>
              <w:rPr>
                <w:rFonts w:hint="eastAsia"/>
              </w:rPr>
              <w:t>13</w:t>
            </w:r>
          </w:p>
        </w:tc>
        <w:tc>
          <w:tcPr>
            <w:tcW w:w="739" w:type="pct"/>
            <w:vAlign w:val="center"/>
          </w:tcPr>
          <w:p w14:paraId="0A50C144">
            <w:pPr>
              <w:spacing w:line="360" w:lineRule="auto"/>
              <w:jc w:val="center"/>
            </w:pPr>
          </w:p>
        </w:tc>
        <w:tc>
          <w:tcPr>
            <w:tcW w:w="508" w:type="pct"/>
            <w:vAlign w:val="center"/>
          </w:tcPr>
          <w:p w14:paraId="0A50C145">
            <w:pPr>
              <w:spacing w:line="360" w:lineRule="auto"/>
              <w:jc w:val="center"/>
            </w:pPr>
          </w:p>
        </w:tc>
        <w:tc>
          <w:tcPr>
            <w:tcW w:w="522" w:type="pct"/>
            <w:vAlign w:val="center"/>
          </w:tcPr>
          <w:p w14:paraId="0A50C146">
            <w:pPr>
              <w:spacing w:line="360" w:lineRule="auto"/>
              <w:jc w:val="center"/>
            </w:pPr>
          </w:p>
        </w:tc>
        <w:tc>
          <w:tcPr>
            <w:tcW w:w="591" w:type="pct"/>
            <w:vAlign w:val="center"/>
          </w:tcPr>
          <w:p w14:paraId="0A50C147">
            <w:pPr>
              <w:spacing w:line="360" w:lineRule="auto"/>
              <w:jc w:val="center"/>
            </w:pPr>
          </w:p>
        </w:tc>
        <w:tc>
          <w:tcPr>
            <w:tcW w:w="507" w:type="pct"/>
            <w:vAlign w:val="center"/>
          </w:tcPr>
          <w:p w14:paraId="0A50C148">
            <w:pPr>
              <w:spacing w:line="360" w:lineRule="auto"/>
              <w:jc w:val="center"/>
            </w:pPr>
          </w:p>
        </w:tc>
        <w:tc>
          <w:tcPr>
            <w:tcW w:w="761" w:type="pct"/>
            <w:vAlign w:val="center"/>
          </w:tcPr>
          <w:p w14:paraId="0A50C149">
            <w:pPr>
              <w:spacing w:line="360" w:lineRule="auto"/>
              <w:jc w:val="center"/>
            </w:pPr>
          </w:p>
        </w:tc>
        <w:tc>
          <w:tcPr>
            <w:tcW w:w="987" w:type="pct"/>
            <w:vAlign w:val="center"/>
          </w:tcPr>
          <w:p w14:paraId="0A50C14B">
            <w:pPr>
              <w:spacing w:line="360" w:lineRule="auto"/>
              <w:jc w:val="center"/>
            </w:pPr>
          </w:p>
        </w:tc>
      </w:tr>
      <w:tr w14:paraId="0A50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4D">
            <w:pPr>
              <w:spacing w:line="360" w:lineRule="auto"/>
              <w:jc w:val="center"/>
            </w:pPr>
            <w:r>
              <w:rPr>
                <w:rFonts w:hint="eastAsia"/>
              </w:rPr>
              <w:t>14</w:t>
            </w:r>
          </w:p>
        </w:tc>
        <w:tc>
          <w:tcPr>
            <w:tcW w:w="739" w:type="pct"/>
            <w:vAlign w:val="center"/>
          </w:tcPr>
          <w:p w14:paraId="0A50C14E">
            <w:pPr>
              <w:spacing w:line="360" w:lineRule="auto"/>
              <w:jc w:val="center"/>
            </w:pPr>
          </w:p>
        </w:tc>
        <w:tc>
          <w:tcPr>
            <w:tcW w:w="508" w:type="pct"/>
            <w:vAlign w:val="center"/>
          </w:tcPr>
          <w:p w14:paraId="0A50C14F">
            <w:pPr>
              <w:spacing w:line="360" w:lineRule="auto"/>
              <w:jc w:val="center"/>
            </w:pPr>
          </w:p>
        </w:tc>
        <w:tc>
          <w:tcPr>
            <w:tcW w:w="522" w:type="pct"/>
            <w:vAlign w:val="center"/>
          </w:tcPr>
          <w:p w14:paraId="0A50C150">
            <w:pPr>
              <w:spacing w:line="360" w:lineRule="auto"/>
              <w:jc w:val="center"/>
            </w:pPr>
          </w:p>
        </w:tc>
        <w:tc>
          <w:tcPr>
            <w:tcW w:w="591" w:type="pct"/>
            <w:vAlign w:val="center"/>
          </w:tcPr>
          <w:p w14:paraId="0A50C151">
            <w:pPr>
              <w:spacing w:line="360" w:lineRule="auto"/>
              <w:jc w:val="center"/>
            </w:pPr>
          </w:p>
        </w:tc>
        <w:tc>
          <w:tcPr>
            <w:tcW w:w="507" w:type="pct"/>
            <w:vAlign w:val="center"/>
          </w:tcPr>
          <w:p w14:paraId="0A50C152">
            <w:pPr>
              <w:spacing w:line="360" w:lineRule="auto"/>
              <w:jc w:val="center"/>
            </w:pPr>
          </w:p>
        </w:tc>
        <w:tc>
          <w:tcPr>
            <w:tcW w:w="761" w:type="pct"/>
            <w:vAlign w:val="center"/>
          </w:tcPr>
          <w:p w14:paraId="0A50C153">
            <w:pPr>
              <w:spacing w:line="360" w:lineRule="auto"/>
              <w:jc w:val="center"/>
            </w:pPr>
          </w:p>
        </w:tc>
        <w:tc>
          <w:tcPr>
            <w:tcW w:w="987" w:type="pct"/>
            <w:vAlign w:val="center"/>
          </w:tcPr>
          <w:p w14:paraId="0A50C155">
            <w:pPr>
              <w:spacing w:line="360" w:lineRule="auto"/>
              <w:jc w:val="center"/>
            </w:pPr>
          </w:p>
        </w:tc>
      </w:tr>
      <w:tr w14:paraId="0A50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57">
            <w:pPr>
              <w:spacing w:line="360" w:lineRule="auto"/>
              <w:jc w:val="center"/>
            </w:pPr>
            <w:r>
              <w:rPr>
                <w:rFonts w:hint="eastAsia"/>
              </w:rPr>
              <w:t>15</w:t>
            </w:r>
          </w:p>
        </w:tc>
        <w:tc>
          <w:tcPr>
            <w:tcW w:w="739" w:type="pct"/>
            <w:vAlign w:val="center"/>
          </w:tcPr>
          <w:p w14:paraId="0A50C158">
            <w:pPr>
              <w:spacing w:line="360" w:lineRule="auto"/>
              <w:jc w:val="center"/>
            </w:pPr>
          </w:p>
        </w:tc>
        <w:tc>
          <w:tcPr>
            <w:tcW w:w="508" w:type="pct"/>
            <w:vAlign w:val="center"/>
          </w:tcPr>
          <w:p w14:paraId="0A50C159">
            <w:pPr>
              <w:spacing w:line="360" w:lineRule="auto"/>
              <w:jc w:val="center"/>
            </w:pPr>
          </w:p>
        </w:tc>
        <w:tc>
          <w:tcPr>
            <w:tcW w:w="522" w:type="pct"/>
            <w:vAlign w:val="center"/>
          </w:tcPr>
          <w:p w14:paraId="0A50C15A">
            <w:pPr>
              <w:spacing w:line="360" w:lineRule="auto"/>
              <w:jc w:val="center"/>
            </w:pPr>
          </w:p>
        </w:tc>
        <w:tc>
          <w:tcPr>
            <w:tcW w:w="591" w:type="pct"/>
            <w:vAlign w:val="center"/>
          </w:tcPr>
          <w:p w14:paraId="0A50C15B">
            <w:pPr>
              <w:spacing w:line="360" w:lineRule="auto"/>
              <w:jc w:val="center"/>
            </w:pPr>
          </w:p>
        </w:tc>
        <w:tc>
          <w:tcPr>
            <w:tcW w:w="507" w:type="pct"/>
            <w:vAlign w:val="center"/>
          </w:tcPr>
          <w:p w14:paraId="0A50C15C">
            <w:pPr>
              <w:spacing w:line="360" w:lineRule="auto"/>
              <w:jc w:val="center"/>
            </w:pPr>
          </w:p>
        </w:tc>
        <w:tc>
          <w:tcPr>
            <w:tcW w:w="761" w:type="pct"/>
            <w:vAlign w:val="center"/>
          </w:tcPr>
          <w:p w14:paraId="0A50C15D">
            <w:pPr>
              <w:spacing w:line="360" w:lineRule="auto"/>
              <w:jc w:val="center"/>
            </w:pPr>
          </w:p>
        </w:tc>
        <w:tc>
          <w:tcPr>
            <w:tcW w:w="987" w:type="pct"/>
            <w:vAlign w:val="center"/>
          </w:tcPr>
          <w:p w14:paraId="0A50C15F">
            <w:pPr>
              <w:spacing w:line="360" w:lineRule="auto"/>
              <w:jc w:val="center"/>
            </w:pPr>
          </w:p>
        </w:tc>
      </w:tr>
      <w:tr w14:paraId="0A50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61">
            <w:pPr>
              <w:spacing w:line="360" w:lineRule="auto"/>
              <w:jc w:val="center"/>
            </w:pPr>
            <w:r>
              <w:rPr>
                <w:rFonts w:hint="eastAsia"/>
              </w:rPr>
              <w:t>16</w:t>
            </w:r>
          </w:p>
        </w:tc>
        <w:tc>
          <w:tcPr>
            <w:tcW w:w="739" w:type="pct"/>
            <w:vAlign w:val="center"/>
          </w:tcPr>
          <w:p w14:paraId="0A50C162">
            <w:pPr>
              <w:spacing w:line="360" w:lineRule="auto"/>
              <w:jc w:val="center"/>
            </w:pPr>
          </w:p>
        </w:tc>
        <w:tc>
          <w:tcPr>
            <w:tcW w:w="508" w:type="pct"/>
            <w:vAlign w:val="center"/>
          </w:tcPr>
          <w:p w14:paraId="0A50C163">
            <w:pPr>
              <w:spacing w:line="360" w:lineRule="auto"/>
              <w:jc w:val="center"/>
            </w:pPr>
          </w:p>
        </w:tc>
        <w:tc>
          <w:tcPr>
            <w:tcW w:w="522" w:type="pct"/>
            <w:vAlign w:val="center"/>
          </w:tcPr>
          <w:p w14:paraId="0A50C164">
            <w:pPr>
              <w:spacing w:line="360" w:lineRule="auto"/>
              <w:jc w:val="center"/>
            </w:pPr>
          </w:p>
        </w:tc>
        <w:tc>
          <w:tcPr>
            <w:tcW w:w="591" w:type="pct"/>
            <w:vAlign w:val="center"/>
          </w:tcPr>
          <w:p w14:paraId="0A50C165">
            <w:pPr>
              <w:spacing w:line="360" w:lineRule="auto"/>
              <w:jc w:val="center"/>
            </w:pPr>
          </w:p>
        </w:tc>
        <w:tc>
          <w:tcPr>
            <w:tcW w:w="507" w:type="pct"/>
            <w:vAlign w:val="center"/>
          </w:tcPr>
          <w:p w14:paraId="0A50C166">
            <w:pPr>
              <w:spacing w:line="360" w:lineRule="auto"/>
              <w:jc w:val="center"/>
            </w:pPr>
          </w:p>
        </w:tc>
        <w:tc>
          <w:tcPr>
            <w:tcW w:w="761" w:type="pct"/>
            <w:vAlign w:val="center"/>
          </w:tcPr>
          <w:p w14:paraId="0A50C167">
            <w:pPr>
              <w:spacing w:line="360" w:lineRule="auto"/>
              <w:jc w:val="center"/>
            </w:pPr>
          </w:p>
        </w:tc>
        <w:tc>
          <w:tcPr>
            <w:tcW w:w="987" w:type="pct"/>
            <w:vAlign w:val="center"/>
          </w:tcPr>
          <w:p w14:paraId="0A50C169">
            <w:pPr>
              <w:spacing w:line="360" w:lineRule="auto"/>
              <w:jc w:val="center"/>
            </w:pPr>
          </w:p>
        </w:tc>
      </w:tr>
      <w:tr w14:paraId="0A50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6B">
            <w:pPr>
              <w:spacing w:line="360" w:lineRule="auto"/>
              <w:jc w:val="center"/>
            </w:pPr>
            <w:r>
              <w:rPr>
                <w:rFonts w:hint="eastAsia"/>
              </w:rPr>
              <w:t>17</w:t>
            </w:r>
          </w:p>
        </w:tc>
        <w:tc>
          <w:tcPr>
            <w:tcW w:w="739" w:type="pct"/>
            <w:vAlign w:val="center"/>
          </w:tcPr>
          <w:p w14:paraId="0A50C16C">
            <w:pPr>
              <w:spacing w:line="360" w:lineRule="auto"/>
              <w:jc w:val="center"/>
            </w:pPr>
          </w:p>
        </w:tc>
        <w:tc>
          <w:tcPr>
            <w:tcW w:w="508" w:type="pct"/>
            <w:vAlign w:val="center"/>
          </w:tcPr>
          <w:p w14:paraId="0A50C16D">
            <w:pPr>
              <w:spacing w:line="360" w:lineRule="auto"/>
              <w:jc w:val="center"/>
            </w:pPr>
          </w:p>
        </w:tc>
        <w:tc>
          <w:tcPr>
            <w:tcW w:w="522" w:type="pct"/>
            <w:vAlign w:val="center"/>
          </w:tcPr>
          <w:p w14:paraId="0A50C16E">
            <w:pPr>
              <w:spacing w:line="360" w:lineRule="auto"/>
              <w:jc w:val="center"/>
            </w:pPr>
          </w:p>
        </w:tc>
        <w:tc>
          <w:tcPr>
            <w:tcW w:w="591" w:type="pct"/>
            <w:vAlign w:val="center"/>
          </w:tcPr>
          <w:p w14:paraId="0A50C16F">
            <w:pPr>
              <w:spacing w:line="360" w:lineRule="auto"/>
              <w:jc w:val="center"/>
            </w:pPr>
          </w:p>
        </w:tc>
        <w:tc>
          <w:tcPr>
            <w:tcW w:w="507" w:type="pct"/>
            <w:vAlign w:val="center"/>
          </w:tcPr>
          <w:p w14:paraId="0A50C170">
            <w:pPr>
              <w:spacing w:line="360" w:lineRule="auto"/>
              <w:jc w:val="center"/>
            </w:pPr>
          </w:p>
        </w:tc>
        <w:tc>
          <w:tcPr>
            <w:tcW w:w="761" w:type="pct"/>
            <w:vAlign w:val="center"/>
          </w:tcPr>
          <w:p w14:paraId="0A50C171">
            <w:pPr>
              <w:spacing w:line="360" w:lineRule="auto"/>
              <w:jc w:val="center"/>
            </w:pPr>
          </w:p>
        </w:tc>
        <w:tc>
          <w:tcPr>
            <w:tcW w:w="987" w:type="pct"/>
            <w:vAlign w:val="center"/>
          </w:tcPr>
          <w:p w14:paraId="0A50C173">
            <w:pPr>
              <w:spacing w:line="360" w:lineRule="auto"/>
              <w:jc w:val="center"/>
            </w:pPr>
          </w:p>
        </w:tc>
      </w:tr>
      <w:tr w14:paraId="0A50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75">
            <w:pPr>
              <w:spacing w:line="360" w:lineRule="auto"/>
              <w:jc w:val="center"/>
            </w:pPr>
            <w:r>
              <w:rPr>
                <w:rFonts w:hint="eastAsia"/>
              </w:rPr>
              <w:t>18</w:t>
            </w:r>
          </w:p>
        </w:tc>
        <w:tc>
          <w:tcPr>
            <w:tcW w:w="739" w:type="pct"/>
            <w:vAlign w:val="center"/>
          </w:tcPr>
          <w:p w14:paraId="0A50C176">
            <w:pPr>
              <w:spacing w:line="360" w:lineRule="auto"/>
              <w:jc w:val="center"/>
            </w:pPr>
          </w:p>
        </w:tc>
        <w:tc>
          <w:tcPr>
            <w:tcW w:w="508" w:type="pct"/>
            <w:vAlign w:val="center"/>
          </w:tcPr>
          <w:p w14:paraId="0A50C177">
            <w:pPr>
              <w:spacing w:line="360" w:lineRule="auto"/>
              <w:jc w:val="center"/>
            </w:pPr>
          </w:p>
        </w:tc>
        <w:tc>
          <w:tcPr>
            <w:tcW w:w="522" w:type="pct"/>
            <w:vAlign w:val="center"/>
          </w:tcPr>
          <w:p w14:paraId="0A50C178">
            <w:pPr>
              <w:spacing w:line="360" w:lineRule="auto"/>
              <w:jc w:val="center"/>
            </w:pPr>
          </w:p>
        </w:tc>
        <w:tc>
          <w:tcPr>
            <w:tcW w:w="591" w:type="pct"/>
            <w:vAlign w:val="center"/>
          </w:tcPr>
          <w:p w14:paraId="0A50C179">
            <w:pPr>
              <w:spacing w:line="360" w:lineRule="auto"/>
              <w:jc w:val="center"/>
            </w:pPr>
          </w:p>
        </w:tc>
        <w:tc>
          <w:tcPr>
            <w:tcW w:w="507" w:type="pct"/>
            <w:vAlign w:val="center"/>
          </w:tcPr>
          <w:p w14:paraId="0A50C17A">
            <w:pPr>
              <w:spacing w:line="360" w:lineRule="auto"/>
              <w:jc w:val="center"/>
            </w:pPr>
          </w:p>
        </w:tc>
        <w:tc>
          <w:tcPr>
            <w:tcW w:w="761" w:type="pct"/>
            <w:vAlign w:val="center"/>
          </w:tcPr>
          <w:p w14:paraId="0A50C17B">
            <w:pPr>
              <w:spacing w:line="360" w:lineRule="auto"/>
              <w:jc w:val="center"/>
            </w:pPr>
          </w:p>
        </w:tc>
        <w:tc>
          <w:tcPr>
            <w:tcW w:w="987" w:type="pct"/>
            <w:vAlign w:val="center"/>
          </w:tcPr>
          <w:p w14:paraId="0A50C17D">
            <w:pPr>
              <w:spacing w:line="360" w:lineRule="auto"/>
              <w:jc w:val="center"/>
            </w:pPr>
          </w:p>
        </w:tc>
      </w:tr>
      <w:tr w14:paraId="0A50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7F">
            <w:pPr>
              <w:spacing w:line="360" w:lineRule="auto"/>
              <w:jc w:val="center"/>
            </w:pPr>
            <w:r>
              <w:rPr>
                <w:rFonts w:hint="eastAsia"/>
              </w:rPr>
              <w:t>19</w:t>
            </w:r>
          </w:p>
        </w:tc>
        <w:tc>
          <w:tcPr>
            <w:tcW w:w="739" w:type="pct"/>
            <w:vAlign w:val="center"/>
          </w:tcPr>
          <w:p w14:paraId="0A50C180">
            <w:pPr>
              <w:spacing w:line="360" w:lineRule="auto"/>
              <w:jc w:val="center"/>
            </w:pPr>
          </w:p>
        </w:tc>
        <w:tc>
          <w:tcPr>
            <w:tcW w:w="508" w:type="pct"/>
            <w:vAlign w:val="center"/>
          </w:tcPr>
          <w:p w14:paraId="0A50C181">
            <w:pPr>
              <w:spacing w:line="360" w:lineRule="auto"/>
              <w:jc w:val="center"/>
            </w:pPr>
          </w:p>
        </w:tc>
        <w:tc>
          <w:tcPr>
            <w:tcW w:w="522" w:type="pct"/>
            <w:vAlign w:val="center"/>
          </w:tcPr>
          <w:p w14:paraId="0A50C182">
            <w:pPr>
              <w:spacing w:line="360" w:lineRule="auto"/>
              <w:jc w:val="center"/>
            </w:pPr>
          </w:p>
        </w:tc>
        <w:tc>
          <w:tcPr>
            <w:tcW w:w="591" w:type="pct"/>
            <w:vAlign w:val="center"/>
          </w:tcPr>
          <w:p w14:paraId="0A50C183">
            <w:pPr>
              <w:spacing w:line="360" w:lineRule="auto"/>
              <w:jc w:val="center"/>
            </w:pPr>
          </w:p>
        </w:tc>
        <w:tc>
          <w:tcPr>
            <w:tcW w:w="507" w:type="pct"/>
            <w:vAlign w:val="center"/>
          </w:tcPr>
          <w:p w14:paraId="0A50C184">
            <w:pPr>
              <w:spacing w:line="360" w:lineRule="auto"/>
              <w:jc w:val="center"/>
            </w:pPr>
          </w:p>
        </w:tc>
        <w:tc>
          <w:tcPr>
            <w:tcW w:w="761" w:type="pct"/>
            <w:vAlign w:val="center"/>
          </w:tcPr>
          <w:p w14:paraId="0A50C185">
            <w:pPr>
              <w:spacing w:line="360" w:lineRule="auto"/>
              <w:jc w:val="center"/>
            </w:pPr>
          </w:p>
        </w:tc>
        <w:tc>
          <w:tcPr>
            <w:tcW w:w="987" w:type="pct"/>
            <w:vAlign w:val="center"/>
          </w:tcPr>
          <w:p w14:paraId="0A50C187">
            <w:pPr>
              <w:spacing w:line="360" w:lineRule="auto"/>
              <w:jc w:val="center"/>
            </w:pPr>
          </w:p>
        </w:tc>
      </w:tr>
      <w:tr w14:paraId="0A50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89">
            <w:pPr>
              <w:spacing w:line="360" w:lineRule="auto"/>
              <w:jc w:val="center"/>
            </w:pPr>
            <w:r>
              <w:rPr>
                <w:rFonts w:hint="eastAsia"/>
              </w:rPr>
              <w:t>20</w:t>
            </w:r>
          </w:p>
        </w:tc>
        <w:tc>
          <w:tcPr>
            <w:tcW w:w="739" w:type="pct"/>
            <w:vAlign w:val="center"/>
          </w:tcPr>
          <w:p w14:paraId="0A50C18A">
            <w:pPr>
              <w:spacing w:line="360" w:lineRule="auto"/>
              <w:jc w:val="center"/>
            </w:pPr>
          </w:p>
        </w:tc>
        <w:tc>
          <w:tcPr>
            <w:tcW w:w="508" w:type="pct"/>
            <w:vAlign w:val="center"/>
          </w:tcPr>
          <w:p w14:paraId="0A50C18B">
            <w:pPr>
              <w:spacing w:line="360" w:lineRule="auto"/>
              <w:jc w:val="center"/>
            </w:pPr>
          </w:p>
        </w:tc>
        <w:tc>
          <w:tcPr>
            <w:tcW w:w="522" w:type="pct"/>
            <w:vAlign w:val="center"/>
          </w:tcPr>
          <w:p w14:paraId="0A50C18C">
            <w:pPr>
              <w:spacing w:line="360" w:lineRule="auto"/>
              <w:jc w:val="center"/>
            </w:pPr>
          </w:p>
        </w:tc>
        <w:tc>
          <w:tcPr>
            <w:tcW w:w="591" w:type="pct"/>
            <w:vAlign w:val="center"/>
          </w:tcPr>
          <w:p w14:paraId="0A50C18D">
            <w:pPr>
              <w:spacing w:line="360" w:lineRule="auto"/>
              <w:jc w:val="center"/>
            </w:pPr>
          </w:p>
        </w:tc>
        <w:tc>
          <w:tcPr>
            <w:tcW w:w="507" w:type="pct"/>
            <w:vAlign w:val="center"/>
          </w:tcPr>
          <w:p w14:paraId="0A50C18E">
            <w:pPr>
              <w:spacing w:line="360" w:lineRule="auto"/>
              <w:jc w:val="center"/>
            </w:pPr>
          </w:p>
        </w:tc>
        <w:tc>
          <w:tcPr>
            <w:tcW w:w="761" w:type="pct"/>
            <w:vAlign w:val="center"/>
          </w:tcPr>
          <w:p w14:paraId="0A50C18F">
            <w:pPr>
              <w:spacing w:line="360" w:lineRule="auto"/>
              <w:jc w:val="center"/>
            </w:pPr>
          </w:p>
        </w:tc>
        <w:tc>
          <w:tcPr>
            <w:tcW w:w="987" w:type="pct"/>
            <w:vAlign w:val="center"/>
          </w:tcPr>
          <w:p w14:paraId="0A50C191">
            <w:pPr>
              <w:spacing w:line="360" w:lineRule="auto"/>
              <w:jc w:val="center"/>
            </w:pPr>
          </w:p>
        </w:tc>
      </w:tr>
      <w:tr w14:paraId="0A50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93">
            <w:pPr>
              <w:spacing w:line="360" w:lineRule="auto"/>
              <w:jc w:val="center"/>
            </w:pPr>
            <w:r>
              <w:rPr>
                <w:rFonts w:hint="eastAsia"/>
              </w:rPr>
              <w:t>21</w:t>
            </w:r>
          </w:p>
        </w:tc>
        <w:tc>
          <w:tcPr>
            <w:tcW w:w="739" w:type="pct"/>
            <w:vAlign w:val="center"/>
          </w:tcPr>
          <w:p w14:paraId="0A50C194">
            <w:pPr>
              <w:spacing w:line="360" w:lineRule="auto"/>
              <w:jc w:val="center"/>
            </w:pPr>
          </w:p>
        </w:tc>
        <w:tc>
          <w:tcPr>
            <w:tcW w:w="508" w:type="pct"/>
            <w:vAlign w:val="center"/>
          </w:tcPr>
          <w:p w14:paraId="0A50C195">
            <w:pPr>
              <w:spacing w:line="360" w:lineRule="auto"/>
              <w:jc w:val="center"/>
            </w:pPr>
          </w:p>
        </w:tc>
        <w:tc>
          <w:tcPr>
            <w:tcW w:w="522" w:type="pct"/>
            <w:vAlign w:val="center"/>
          </w:tcPr>
          <w:p w14:paraId="0A50C196">
            <w:pPr>
              <w:spacing w:line="360" w:lineRule="auto"/>
              <w:jc w:val="center"/>
            </w:pPr>
          </w:p>
        </w:tc>
        <w:tc>
          <w:tcPr>
            <w:tcW w:w="591" w:type="pct"/>
            <w:vAlign w:val="center"/>
          </w:tcPr>
          <w:p w14:paraId="0A50C197">
            <w:pPr>
              <w:spacing w:line="360" w:lineRule="auto"/>
              <w:jc w:val="center"/>
            </w:pPr>
          </w:p>
        </w:tc>
        <w:tc>
          <w:tcPr>
            <w:tcW w:w="507" w:type="pct"/>
            <w:vAlign w:val="center"/>
          </w:tcPr>
          <w:p w14:paraId="0A50C198">
            <w:pPr>
              <w:spacing w:line="360" w:lineRule="auto"/>
              <w:jc w:val="center"/>
            </w:pPr>
          </w:p>
        </w:tc>
        <w:tc>
          <w:tcPr>
            <w:tcW w:w="761" w:type="pct"/>
            <w:vAlign w:val="center"/>
          </w:tcPr>
          <w:p w14:paraId="0A50C199">
            <w:pPr>
              <w:spacing w:line="360" w:lineRule="auto"/>
              <w:jc w:val="center"/>
            </w:pPr>
          </w:p>
        </w:tc>
        <w:tc>
          <w:tcPr>
            <w:tcW w:w="987" w:type="pct"/>
            <w:vAlign w:val="center"/>
          </w:tcPr>
          <w:p w14:paraId="0A50C19B">
            <w:pPr>
              <w:spacing w:line="360" w:lineRule="auto"/>
              <w:jc w:val="center"/>
            </w:pPr>
          </w:p>
        </w:tc>
      </w:tr>
      <w:tr w14:paraId="0A50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0A50C19D">
            <w:pPr>
              <w:spacing w:line="360" w:lineRule="auto"/>
              <w:jc w:val="center"/>
            </w:pPr>
            <w:r>
              <w:rPr>
                <w:rFonts w:hint="eastAsia"/>
              </w:rPr>
              <w:t>22</w:t>
            </w:r>
          </w:p>
        </w:tc>
        <w:tc>
          <w:tcPr>
            <w:tcW w:w="739" w:type="pct"/>
            <w:vAlign w:val="center"/>
          </w:tcPr>
          <w:p w14:paraId="0A50C19E">
            <w:pPr>
              <w:spacing w:line="360" w:lineRule="auto"/>
              <w:jc w:val="center"/>
            </w:pPr>
          </w:p>
        </w:tc>
        <w:tc>
          <w:tcPr>
            <w:tcW w:w="508" w:type="pct"/>
            <w:vAlign w:val="center"/>
          </w:tcPr>
          <w:p w14:paraId="0A50C19F">
            <w:pPr>
              <w:spacing w:line="360" w:lineRule="auto"/>
              <w:jc w:val="center"/>
            </w:pPr>
          </w:p>
        </w:tc>
        <w:tc>
          <w:tcPr>
            <w:tcW w:w="522" w:type="pct"/>
            <w:vAlign w:val="center"/>
          </w:tcPr>
          <w:p w14:paraId="0A50C1A0">
            <w:pPr>
              <w:spacing w:line="360" w:lineRule="auto"/>
              <w:jc w:val="center"/>
            </w:pPr>
          </w:p>
        </w:tc>
        <w:tc>
          <w:tcPr>
            <w:tcW w:w="591" w:type="pct"/>
            <w:vAlign w:val="center"/>
          </w:tcPr>
          <w:p w14:paraId="0A50C1A1">
            <w:pPr>
              <w:spacing w:line="360" w:lineRule="auto"/>
              <w:jc w:val="center"/>
            </w:pPr>
          </w:p>
        </w:tc>
        <w:tc>
          <w:tcPr>
            <w:tcW w:w="507" w:type="pct"/>
            <w:vAlign w:val="center"/>
          </w:tcPr>
          <w:p w14:paraId="0A50C1A2">
            <w:pPr>
              <w:spacing w:line="360" w:lineRule="auto"/>
              <w:jc w:val="center"/>
            </w:pPr>
          </w:p>
        </w:tc>
        <w:tc>
          <w:tcPr>
            <w:tcW w:w="761" w:type="pct"/>
            <w:vAlign w:val="center"/>
          </w:tcPr>
          <w:p w14:paraId="0A50C1A3">
            <w:pPr>
              <w:spacing w:line="360" w:lineRule="auto"/>
              <w:jc w:val="center"/>
            </w:pPr>
          </w:p>
        </w:tc>
        <w:tc>
          <w:tcPr>
            <w:tcW w:w="987" w:type="pct"/>
            <w:vAlign w:val="center"/>
          </w:tcPr>
          <w:p w14:paraId="0A50C1A4">
            <w:pPr>
              <w:spacing w:line="360" w:lineRule="auto"/>
              <w:jc w:val="center"/>
            </w:pPr>
          </w:p>
        </w:tc>
      </w:tr>
    </w:tbl>
    <w:p w14:paraId="0A50C1A6">
      <w:pPr>
        <w:spacing w:line="360" w:lineRule="auto"/>
      </w:pPr>
    </w:p>
    <w:p w14:paraId="0A50C1A7">
      <w:pPr>
        <w:spacing w:line="360" w:lineRule="auto"/>
        <w:jc w:val="center"/>
      </w:pPr>
      <w:r>
        <w:t>表</w:t>
      </w:r>
      <w:r>
        <w:rPr>
          <w:rFonts w:hint="eastAsia"/>
        </w:rPr>
        <w:t>8</w:t>
      </w:r>
      <w:r>
        <w:t xml:space="preserve"> XXX公司相关产品数据</w:t>
      </w:r>
    </w:p>
    <w:tbl>
      <w:tblPr>
        <w:tblStyle w:val="2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1385"/>
        <w:gridCol w:w="1114"/>
        <w:gridCol w:w="1365"/>
        <w:gridCol w:w="1089"/>
        <w:gridCol w:w="1089"/>
        <w:gridCol w:w="1091"/>
        <w:gridCol w:w="1091"/>
      </w:tblGrid>
      <w:tr w14:paraId="0A50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0A50C1A8">
            <w:pPr>
              <w:spacing w:line="360" w:lineRule="auto"/>
              <w:jc w:val="center"/>
            </w:pPr>
            <w:r>
              <w:t>序号</w:t>
            </w:r>
          </w:p>
        </w:tc>
        <w:tc>
          <w:tcPr>
            <w:tcW w:w="773" w:type="pct"/>
            <w:vAlign w:val="center"/>
          </w:tcPr>
          <w:p w14:paraId="0A50C1A9">
            <w:pPr>
              <w:spacing w:line="360" w:lineRule="auto"/>
              <w:jc w:val="center"/>
            </w:pPr>
          </w:p>
        </w:tc>
        <w:tc>
          <w:tcPr>
            <w:tcW w:w="622" w:type="pct"/>
            <w:vAlign w:val="center"/>
          </w:tcPr>
          <w:p w14:paraId="0A50C1AA">
            <w:pPr>
              <w:spacing w:line="360" w:lineRule="auto"/>
              <w:jc w:val="center"/>
            </w:pPr>
          </w:p>
        </w:tc>
        <w:tc>
          <w:tcPr>
            <w:tcW w:w="762" w:type="pct"/>
            <w:vAlign w:val="center"/>
          </w:tcPr>
          <w:p w14:paraId="0A50C1AB">
            <w:pPr>
              <w:spacing w:line="360" w:lineRule="auto"/>
              <w:jc w:val="center"/>
            </w:pPr>
          </w:p>
        </w:tc>
        <w:tc>
          <w:tcPr>
            <w:tcW w:w="608" w:type="pct"/>
            <w:vAlign w:val="center"/>
          </w:tcPr>
          <w:p w14:paraId="0A50C1AD">
            <w:pPr>
              <w:jc w:val="center"/>
            </w:pPr>
          </w:p>
        </w:tc>
        <w:tc>
          <w:tcPr>
            <w:tcW w:w="608" w:type="pct"/>
            <w:vAlign w:val="center"/>
          </w:tcPr>
          <w:p w14:paraId="0A50C1AF">
            <w:pPr>
              <w:jc w:val="center"/>
            </w:pPr>
          </w:p>
        </w:tc>
        <w:tc>
          <w:tcPr>
            <w:tcW w:w="609" w:type="pct"/>
            <w:vAlign w:val="center"/>
          </w:tcPr>
          <w:p w14:paraId="0A50C1B2">
            <w:pPr>
              <w:jc w:val="center"/>
            </w:pPr>
          </w:p>
        </w:tc>
        <w:tc>
          <w:tcPr>
            <w:tcW w:w="609" w:type="pct"/>
            <w:vAlign w:val="center"/>
          </w:tcPr>
          <w:p w14:paraId="0A50C1B4">
            <w:pPr>
              <w:spacing w:line="360" w:lineRule="auto"/>
              <w:jc w:val="center"/>
            </w:pPr>
          </w:p>
        </w:tc>
      </w:tr>
      <w:tr w14:paraId="0A50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0A50C1B6">
            <w:pPr>
              <w:spacing w:line="360" w:lineRule="auto"/>
              <w:jc w:val="center"/>
            </w:pPr>
            <w:r>
              <w:rPr>
                <w:rFonts w:hint="eastAsia"/>
              </w:rPr>
              <w:t>1</w:t>
            </w:r>
          </w:p>
        </w:tc>
        <w:tc>
          <w:tcPr>
            <w:tcW w:w="773" w:type="pct"/>
            <w:vAlign w:val="center"/>
          </w:tcPr>
          <w:p w14:paraId="0A50C1B7">
            <w:pPr>
              <w:spacing w:line="360" w:lineRule="auto"/>
              <w:jc w:val="center"/>
            </w:pPr>
          </w:p>
        </w:tc>
        <w:tc>
          <w:tcPr>
            <w:tcW w:w="622" w:type="pct"/>
            <w:vAlign w:val="center"/>
          </w:tcPr>
          <w:p w14:paraId="0A50C1B8">
            <w:pPr>
              <w:spacing w:line="360" w:lineRule="auto"/>
              <w:jc w:val="center"/>
            </w:pPr>
          </w:p>
        </w:tc>
        <w:tc>
          <w:tcPr>
            <w:tcW w:w="762" w:type="pct"/>
            <w:vAlign w:val="center"/>
          </w:tcPr>
          <w:p w14:paraId="0A50C1B9">
            <w:pPr>
              <w:spacing w:line="360" w:lineRule="auto"/>
              <w:jc w:val="center"/>
            </w:pPr>
          </w:p>
        </w:tc>
        <w:tc>
          <w:tcPr>
            <w:tcW w:w="608" w:type="pct"/>
            <w:vAlign w:val="center"/>
          </w:tcPr>
          <w:p w14:paraId="0A50C1BA">
            <w:pPr>
              <w:spacing w:line="360" w:lineRule="auto"/>
              <w:jc w:val="center"/>
            </w:pPr>
          </w:p>
        </w:tc>
        <w:tc>
          <w:tcPr>
            <w:tcW w:w="608" w:type="pct"/>
            <w:vAlign w:val="center"/>
          </w:tcPr>
          <w:p w14:paraId="0A50C1BB">
            <w:pPr>
              <w:spacing w:line="360" w:lineRule="auto"/>
              <w:jc w:val="center"/>
            </w:pPr>
          </w:p>
        </w:tc>
        <w:tc>
          <w:tcPr>
            <w:tcW w:w="609" w:type="pct"/>
            <w:vAlign w:val="center"/>
          </w:tcPr>
          <w:p w14:paraId="0A50C1BC">
            <w:pPr>
              <w:spacing w:line="360" w:lineRule="auto"/>
              <w:jc w:val="center"/>
            </w:pPr>
          </w:p>
        </w:tc>
        <w:tc>
          <w:tcPr>
            <w:tcW w:w="609" w:type="pct"/>
            <w:vAlign w:val="center"/>
          </w:tcPr>
          <w:p w14:paraId="0A50C1BD">
            <w:pPr>
              <w:spacing w:line="360" w:lineRule="auto"/>
              <w:jc w:val="center"/>
            </w:pPr>
          </w:p>
        </w:tc>
      </w:tr>
      <w:tr w14:paraId="0A50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0A50C1BF">
            <w:pPr>
              <w:spacing w:line="360" w:lineRule="auto"/>
              <w:jc w:val="center"/>
            </w:pPr>
            <w:r>
              <w:rPr>
                <w:rFonts w:hint="eastAsia"/>
              </w:rPr>
              <w:t>2</w:t>
            </w:r>
          </w:p>
        </w:tc>
        <w:tc>
          <w:tcPr>
            <w:tcW w:w="773" w:type="pct"/>
            <w:vAlign w:val="center"/>
          </w:tcPr>
          <w:p w14:paraId="0A50C1C0">
            <w:pPr>
              <w:spacing w:line="360" w:lineRule="auto"/>
              <w:jc w:val="center"/>
            </w:pPr>
          </w:p>
        </w:tc>
        <w:tc>
          <w:tcPr>
            <w:tcW w:w="622" w:type="pct"/>
            <w:vAlign w:val="center"/>
          </w:tcPr>
          <w:p w14:paraId="0A50C1C1">
            <w:pPr>
              <w:spacing w:line="360" w:lineRule="auto"/>
              <w:jc w:val="center"/>
            </w:pPr>
          </w:p>
        </w:tc>
        <w:tc>
          <w:tcPr>
            <w:tcW w:w="762" w:type="pct"/>
            <w:vAlign w:val="center"/>
          </w:tcPr>
          <w:p w14:paraId="0A50C1C2">
            <w:pPr>
              <w:spacing w:line="360" w:lineRule="auto"/>
              <w:jc w:val="center"/>
            </w:pPr>
          </w:p>
        </w:tc>
        <w:tc>
          <w:tcPr>
            <w:tcW w:w="608" w:type="pct"/>
            <w:vAlign w:val="center"/>
          </w:tcPr>
          <w:p w14:paraId="0A50C1C3">
            <w:pPr>
              <w:spacing w:line="360" w:lineRule="auto"/>
              <w:jc w:val="center"/>
            </w:pPr>
          </w:p>
        </w:tc>
        <w:tc>
          <w:tcPr>
            <w:tcW w:w="608" w:type="pct"/>
            <w:vAlign w:val="center"/>
          </w:tcPr>
          <w:p w14:paraId="0A50C1C4">
            <w:pPr>
              <w:spacing w:line="360" w:lineRule="auto"/>
              <w:jc w:val="center"/>
            </w:pPr>
          </w:p>
        </w:tc>
        <w:tc>
          <w:tcPr>
            <w:tcW w:w="609" w:type="pct"/>
            <w:vAlign w:val="center"/>
          </w:tcPr>
          <w:p w14:paraId="0A50C1C5">
            <w:pPr>
              <w:spacing w:line="360" w:lineRule="auto"/>
              <w:jc w:val="center"/>
            </w:pPr>
          </w:p>
        </w:tc>
        <w:tc>
          <w:tcPr>
            <w:tcW w:w="609" w:type="pct"/>
            <w:vAlign w:val="center"/>
          </w:tcPr>
          <w:p w14:paraId="0A50C1C6">
            <w:pPr>
              <w:spacing w:line="360" w:lineRule="auto"/>
              <w:jc w:val="center"/>
            </w:pPr>
          </w:p>
        </w:tc>
      </w:tr>
      <w:tr w14:paraId="0A50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0A50C1C8">
            <w:pPr>
              <w:spacing w:line="360" w:lineRule="auto"/>
              <w:jc w:val="center"/>
            </w:pPr>
            <w:r>
              <w:rPr>
                <w:rFonts w:hint="eastAsia"/>
              </w:rPr>
              <w:t>3</w:t>
            </w:r>
          </w:p>
        </w:tc>
        <w:tc>
          <w:tcPr>
            <w:tcW w:w="773" w:type="pct"/>
            <w:vAlign w:val="center"/>
          </w:tcPr>
          <w:p w14:paraId="0A50C1C9">
            <w:pPr>
              <w:spacing w:line="360" w:lineRule="auto"/>
              <w:jc w:val="center"/>
            </w:pPr>
          </w:p>
        </w:tc>
        <w:tc>
          <w:tcPr>
            <w:tcW w:w="622" w:type="pct"/>
            <w:vAlign w:val="center"/>
          </w:tcPr>
          <w:p w14:paraId="0A50C1CA">
            <w:pPr>
              <w:spacing w:line="360" w:lineRule="auto"/>
              <w:jc w:val="center"/>
            </w:pPr>
          </w:p>
        </w:tc>
        <w:tc>
          <w:tcPr>
            <w:tcW w:w="762" w:type="pct"/>
            <w:vAlign w:val="center"/>
          </w:tcPr>
          <w:p w14:paraId="0A50C1CB">
            <w:pPr>
              <w:spacing w:line="360" w:lineRule="auto"/>
              <w:jc w:val="center"/>
            </w:pPr>
          </w:p>
        </w:tc>
        <w:tc>
          <w:tcPr>
            <w:tcW w:w="608" w:type="pct"/>
            <w:vAlign w:val="center"/>
          </w:tcPr>
          <w:p w14:paraId="0A50C1CC">
            <w:pPr>
              <w:spacing w:line="360" w:lineRule="auto"/>
              <w:jc w:val="center"/>
            </w:pPr>
          </w:p>
        </w:tc>
        <w:tc>
          <w:tcPr>
            <w:tcW w:w="608" w:type="pct"/>
            <w:vAlign w:val="center"/>
          </w:tcPr>
          <w:p w14:paraId="0A50C1CD">
            <w:pPr>
              <w:spacing w:line="360" w:lineRule="auto"/>
              <w:jc w:val="center"/>
            </w:pPr>
          </w:p>
        </w:tc>
        <w:tc>
          <w:tcPr>
            <w:tcW w:w="609" w:type="pct"/>
            <w:vAlign w:val="center"/>
          </w:tcPr>
          <w:p w14:paraId="0A50C1CE">
            <w:pPr>
              <w:spacing w:line="360" w:lineRule="auto"/>
              <w:jc w:val="center"/>
            </w:pPr>
          </w:p>
        </w:tc>
        <w:tc>
          <w:tcPr>
            <w:tcW w:w="609" w:type="pct"/>
            <w:vAlign w:val="center"/>
          </w:tcPr>
          <w:p w14:paraId="0A50C1CF">
            <w:pPr>
              <w:spacing w:line="360" w:lineRule="auto"/>
              <w:jc w:val="center"/>
            </w:pPr>
          </w:p>
        </w:tc>
      </w:tr>
      <w:tr w14:paraId="0A50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0A50C1D1">
            <w:pPr>
              <w:spacing w:line="360" w:lineRule="auto"/>
              <w:jc w:val="center"/>
            </w:pPr>
            <w:r>
              <w:rPr>
                <w:rFonts w:hint="eastAsia"/>
              </w:rPr>
              <w:t>4</w:t>
            </w:r>
          </w:p>
        </w:tc>
        <w:tc>
          <w:tcPr>
            <w:tcW w:w="773" w:type="pct"/>
            <w:vAlign w:val="center"/>
          </w:tcPr>
          <w:p w14:paraId="0A50C1D2">
            <w:pPr>
              <w:spacing w:line="360" w:lineRule="auto"/>
              <w:jc w:val="center"/>
            </w:pPr>
          </w:p>
        </w:tc>
        <w:tc>
          <w:tcPr>
            <w:tcW w:w="622" w:type="pct"/>
            <w:vAlign w:val="center"/>
          </w:tcPr>
          <w:p w14:paraId="0A50C1D3">
            <w:pPr>
              <w:spacing w:line="360" w:lineRule="auto"/>
              <w:jc w:val="center"/>
            </w:pPr>
          </w:p>
        </w:tc>
        <w:tc>
          <w:tcPr>
            <w:tcW w:w="762" w:type="pct"/>
            <w:vAlign w:val="center"/>
          </w:tcPr>
          <w:p w14:paraId="0A50C1D4">
            <w:pPr>
              <w:spacing w:line="360" w:lineRule="auto"/>
              <w:jc w:val="center"/>
            </w:pPr>
          </w:p>
        </w:tc>
        <w:tc>
          <w:tcPr>
            <w:tcW w:w="608" w:type="pct"/>
            <w:vAlign w:val="center"/>
          </w:tcPr>
          <w:p w14:paraId="0A50C1D5">
            <w:pPr>
              <w:spacing w:line="360" w:lineRule="auto"/>
              <w:jc w:val="center"/>
            </w:pPr>
          </w:p>
        </w:tc>
        <w:tc>
          <w:tcPr>
            <w:tcW w:w="608" w:type="pct"/>
            <w:vAlign w:val="center"/>
          </w:tcPr>
          <w:p w14:paraId="0A50C1D6">
            <w:pPr>
              <w:spacing w:line="360" w:lineRule="auto"/>
              <w:jc w:val="center"/>
            </w:pPr>
          </w:p>
        </w:tc>
        <w:tc>
          <w:tcPr>
            <w:tcW w:w="609" w:type="pct"/>
            <w:vAlign w:val="center"/>
          </w:tcPr>
          <w:p w14:paraId="0A50C1D7">
            <w:pPr>
              <w:spacing w:line="360" w:lineRule="auto"/>
              <w:jc w:val="center"/>
            </w:pPr>
          </w:p>
        </w:tc>
        <w:tc>
          <w:tcPr>
            <w:tcW w:w="609" w:type="pct"/>
            <w:vAlign w:val="center"/>
          </w:tcPr>
          <w:p w14:paraId="0A50C1D8">
            <w:pPr>
              <w:spacing w:line="360" w:lineRule="auto"/>
              <w:jc w:val="center"/>
            </w:pPr>
          </w:p>
        </w:tc>
      </w:tr>
      <w:tr w14:paraId="0A50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0A50C1DA">
            <w:pPr>
              <w:spacing w:line="360" w:lineRule="auto"/>
              <w:jc w:val="center"/>
            </w:pPr>
            <w:r>
              <w:rPr>
                <w:rFonts w:hint="eastAsia"/>
              </w:rPr>
              <w:t>5</w:t>
            </w:r>
          </w:p>
        </w:tc>
        <w:tc>
          <w:tcPr>
            <w:tcW w:w="773" w:type="pct"/>
            <w:vAlign w:val="center"/>
          </w:tcPr>
          <w:p w14:paraId="0A50C1DB">
            <w:pPr>
              <w:spacing w:line="360" w:lineRule="auto"/>
              <w:jc w:val="center"/>
            </w:pPr>
          </w:p>
        </w:tc>
        <w:tc>
          <w:tcPr>
            <w:tcW w:w="622" w:type="pct"/>
            <w:vAlign w:val="center"/>
          </w:tcPr>
          <w:p w14:paraId="0A50C1DC">
            <w:pPr>
              <w:spacing w:line="360" w:lineRule="auto"/>
              <w:jc w:val="center"/>
            </w:pPr>
          </w:p>
        </w:tc>
        <w:tc>
          <w:tcPr>
            <w:tcW w:w="762" w:type="pct"/>
            <w:vAlign w:val="center"/>
          </w:tcPr>
          <w:p w14:paraId="0A50C1DD">
            <w:pPr>
              <w:spacing w:line="360" w:lineRule="auto"/>
              <w:jc w:val="center"/>
            </w:pPr>
          </w:p>
        </w:tc>
        <w:tc>
          <w:tcPr>
            <w:tcW w:w="608" w:type="pct"/>
            <w:vAlign w:val="center"/>
          </w:tcPr>
          <w:p w14:paraId="0A50C1DE">
            <w:pPr>
              <w:spacing w:line="360" w:lineRule="auto"/>
              <w:jc w:val="center"/>
            </w:pPr>
          </w:p>
        </w:tc>
        <w:tc>
          <w:tcPr>
            <w:tcW w:w="608" w:type="pct"/>
            <w:vAlign w:val="center"/>
          </w:tcPr>
          <w:p w14:paraId="0A50C1DF">
            <w:pPr>
              <w:spacing w:line="360" w:lineRule="auto"/>
              <w:jc w:val="center"/>
            </w:pPr>
          </w:p>
        </w:tc>
        <w:tc>
          <w:tcPr>
            <w:tcW w:w="609" w:type="pct"/>
            <w:vAlign w:val="center"/>
          </w:tcPr>
          <w:p w14:paraId="0A50C1E0">
            <w:pPr>
              <w:spacing w:line="360" w:lineRule="auto"/>
              <w:jc w:val="center"/>
            </w:pPr>
          </w:p>
        </w:tc>
        <w:tc>
          <w:tcPr>
            <w:tcW w:w="609" w:type="pct"/>
            <w:vAlign w:val="center"/>
          </w:tcPr>
          <w:p w14:paraId="0A50C1E1">
            <w:pPr>
              <w:spacing w:line="360" w:lineRule="auto"/>
              <w:jc w:val="center"/>
            </w:pPr>
          </w:p>
        </w:tc>
      </w:tr>
    </w:tbl>
    <w:p w14:paraId="0A50C1E3">
      <w:pPr>
        <w:spacing w:line="360" w:lineRule="auto"/>
      </w:pPr>
    </w:p>
    <w:p w14:paraId="0A50C1E4">
      <w:pPr>
        <w:spacing w:line="360" w:lineRule="auto"/>
        <w:jc w:val="center"/>
      </w:pPr>
      <w:r>
        <w:t>表</w:t>
      </w:r>
      <w:r>
        <w:rPr>
          <w:rFonts w:hint="eastAsia"/>
        </w:rPr>
        <w:t>9</w:t>
      </w:r>
      <w:r>
        <w:t xml:space="preserve"> XXX公司相关产品数据</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387"/>
        <w:gridCol w:w="1115"/>
        <w:gridCol w:w="1364"/>
        <w:gridCol w:w="1088"/>
        <w:gridCol w:w="1088"/>
        <w:gridCol w:w="1090"/>
        <w:gridCol w:w="1091"/>
      </w:tblGrid>
      <w:tr w14:paraId="0A50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Align w:val="center"/>
          </w:tcPr>
          <w:p w14:paraId="0A50C1E5">
            <w:pPr>
              <w:spacing w:line="360" w:lineRule="auto"/>
              <w:jc w:val="center"/>
            </w:pPr>
            <w:r>
              <w:t>序号</w:t>
            </w:r>
          </w:p>
        </w:tc>
        <w:tc>
          <w:tcPr>
            <w:tcW w:w="774" w:type="pct"/>
            <w:vAlign w:val="center"/>
          </w:tcPr>
          <w:p w14:paraId="0A50C1E6">
            <w:pPr>
              <w:spacing w:line="360" w:lineRule="auto"/>
              <w:jc w:val="center"/>
            </w:pPr>
          </w:p>
        </w:tc>
        <w:tc>
          <w:tcPr>
            <w:tcW w:w="622" w:type="pct"/>
            <w:vAlign w:val="center"/>
          </w:tcPr>
          <w:p w14:paraId="0A50C1E7">
            <w:pPr>
              <w:spacing w:line="360" w:lineRule="auto"/>
              <w:jc w:val="center"/>
            </w:pPr>
          </w:p>
        </w:tc>
        <w:tc>
          <w:tcPr>
            <w:tcW w:w="761" w:type="pct"/>
            <w:vAlign w:val="center"/>
          </w:tcPr>
          <w:p w14:paraId="0A50C1E8">
            <w:pPr>
              <w:spacing w:line="360" w:lineRule="auto"/>
              <w:jc w:val="center"/>
            </w:pPr>
          </w:p>
        </w:tc>
        <w:tc>
          <w:tcPr>
            <w:tcW w:w="607" w:type="pct"/>
            <w:vAlign w:val="center"/>
          </w:tcPr>
          <w:p w14:paraId="0A50C1EA">
            <w:pPr>
              <w:jc w:val="center"/>
            </w:pPr>
          </w:p>
        </w:tc>
        <w:tc>
          <w:tcPr>
            <w:tcW w:w="607" w:type="pct"/>
            <w:vAlign w:val="center"/>
          </w:tcPr>
          <w:p w14:paraId="0A50C1EC">
            <w:pPr>
              <w:jc w:val="center"/>
            </w:pPr>
          </w:p>
        </w:tc>
        <w:tc>
          <w:tcPr>
            <w:tcW w:w="608" w:type="pct"/>
            <w:vAlign w:val="center"/>
          </w:tcPr>
          <w:p w14:paraId="0A50C1EF">
            <w:pPr>
              <w:jc w:val="center"/>
            </w:pPr>
          </w:p>
        </w:tc>
        <w:tc>
          <w:tcPr>
            <w:tcW w:w="608" w:type="pct"/>
            <w:vAlign w:val="center"/>
          </w:tcPr>
          <w:p w14:paraId="0A50C1F1">
            <w:pPr>
              <w:spacing w:line="360" w:lineRule="auto"/>
              <w:jc w:val="center"/>
            </w:pPr>
          </w:p>
        </w:tc>
      </w:tr>
      <w:tr w14:paraId="0A50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Align w:val="center"/>
          </w:tcPr>
          <w:p w14:paraId="0A50C1F3">
            <w:pPr>
              <w:spacing w:line="360" w:lineRule="auto"/>
              <w:jc w:val="center"/>
            </w:pPr>
            <w:r>
              <w:rPr>
                <w:rFonts w:hint="eastAsia"/>
              </w:rPr>
              <w:t>1</w:t>
            </w:r>
          </w:p>
        </w:tc>
        <w:tc>
          <w:tcPr>
            <w:tcW w:w="774" w:type="pct"/>
            <w:vAlign w:val="center"/>
          </w:tcPr>
          <w:p w14:paraId="0A50C1F4">
            <w:pPr>
              <w:spacing w:line="360" w:lineRule="auto"/>
              <w:jc w:val="center"/>
            </w:pPr>
          </w:p>
        </w:tc>
        <w:tc>
          <w:tcPr>
            <w:tcW w:w="622" w:type="pct"/>
            <w:vAlign w:val="center"/>
          </w:tcPr>
          <w:p w14:paraId="0A50C1F5">
            <w:pPr>
              <w:spacing w:line="360" w:lineRule="auto"/>
              <w:jc w:val="center"/>
            </w:pPr>
          </w:p>
        </w:tc>
        <w:tc>
          <w:tcPr>
            <w:tcW w:w="761" w:type="pct"/>
            <w:vAlign w:val="center"/>
          </w:tcPr>
          <w:p w14:paraId="0A50C1F6">
            <w:pPr>
              <w:spacing w:line="360" w:lineRule="auto"/>
              <w:jc w:val="center"/>
            </w:pPr>
          </w:p>
        </w:tc>
        <w:tc>
          <w:tcPr>
            <w:tcW w:w="607" w:type="pct"/>
            <w:vAlign w:val="center"/>
          </w:tcPr>
          <w:p w14:paraId="0A50C1F7">
            <w:pPr>
              <w:spacing w:line="360" w:lineRule="auto"/>
              <w:jc w:val="center"/>
            </w:pPr>
          </w:p>
        </w:tc>
        <w:tc>
          <w:tcPr>
            <w:tcW w:w="607" w:type="pct"/>
            <w:vAlign w:val="center"/>
          </w:tcPr>
          <w:p w14:paraId="0A50C1F8">
            <w:pPr>
              <w:spacing w:line="360" w:lineRule="auto"/>
              <w:jc w:val="center"/>
            </w:pPr>
          </w:p>
        </w:tc>
        <w:tc>
          <w:tcPr>
            <w:tcW w:w="608" w:type="pct"/>
            <w:vAlign w:val="center"/>
          </w:tcPr>
          <w:p w14:paraId="0A50C1F9">
            <w:pPr>
              <w:spacing w:line="360" w:lineRule="auto"/>
              <w:jc w:val="center"/>
            </w:pPr>
          </w:p>
        </w:tc>
        <w:tc>
          <w:tcPr>
            <w:tcW w:w="608" w:type="pct"/>
            <w:vAlign w:val="center"/>
          </w:tcPr>
          <w:p w14:paraId="0A50C1FA">
            <w:pPr>
              <w:spacing w:line="360" w:lineRule="auto"/>
              <w:jc w:val="center"/>
            </w:pPr>
          </w:p>
        </w:tc>
      </w:tr>
      <w:tr w14:paraId="0A50C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Align w:val="center"/>
          </w:tcPr>
          <w:p w14:paraId="0A50C1FC">
            <w:pPr>
              <w:spacing w:line="360" w:lineRule="auto"/>
              <w:jc w:val="center"/>
            </w:pPr>
            <w:r>
              <w:rPr>
                <w:rFonts w:hint="eastAsia"/>
              </w:rPr>
              <w:t>2</w:t>
            </w:r>
          </w:p>
        </w:tc>
        <w:tc>
          <w:tcPr>
            <w:tcW w:w="774" w:type="pct"/>
            <w:vAlign w:val="center"/>
          </w:tcPr>
          <w:p w14:paraId="0A50C1FD">
            <w:pPr>
              <w:spacing w:line="360" w:lineRule="auto"/>
              <w:jc w:val="center"/>
            </w:pPr>
          </w:p>
        </w:tc>
        <w:tc>
          <w:tcPr>
            <w:tcW w:w="622" w:type="pct"/>
            <w:vAlign w:val="center"/>
          </w:tcPr>
          <w:p w14:paraId="0A50C1FE">
            <w:pPr>
              <w:spacing w:line="360" w:lineRule="auto"/>
              <w:jc w:val="center"/>
            </w:pPr>
          </w:p>
        </w:tc>
        <w:tc>
          <w:tcPr>
            <w:tcW w:w="761" w:type="pct"/>
            <w:vAlign w:val="center"/>
          </w:tcPr>
          <w:p w14:paraId="0A50C1FF">
            <w:pPr>
              <w:spacing w:line="360" w:lineRule="auto"/>
              <w:jc w:val="center"/>
            </w:pPr>
          </w:p>
        </w:tc>
        <w:tc>
          <w:tcPr>
            <w:tcW w:w="607" w:type="pct"/>
            <w:vAlign w:val="center"/>
          </w:tcPr>
          <w:p w14:paraId="0A50C200">
            <w:pPr>
              <w:spacing w:line="360" w:lineRule="auto"/>
              <w:jc w:val="center"/>
            </w:pPr>
          </w:p>
        </w:tc>
        <w:tc>
          <w:tcPr>
            <w:tcW w:w="607" w:type="pct"/>
            <w:vAlign w:val="center"/>
          </w:tcPr>
          <w:p w14:paraId="0A50C201">
            <w:pPr>
              <w:spacing w:line="360" w:lineRule="auto"/>
              <w:jc w:val="center"/>
            </w:pPr>
          </w:p>
        </w:tc>
        <w:tc>
          <w:tcPr>
            <w:tcW w:w="608" w:type="pct"/>
            <w:vAlign w:val="center"/>
          </w:tcPr>
          <w:p w14:paraId="0A50C202">
            <w:pPr>
              <w:spacing w:line="360" w:lineRule="auto"/>
              <w:jc w:val="center"/>
            </w:pPr>
          </w:p>
        </w:tc>
        <w:tc>
          <w:tcPr>
            <w:tcW w:w="608" w:type="pct"/>
            <w:vAlign w:val="center"/>
          </w:tcPr>
          <w:p w14:paraId="0A50C203">
            <w:pPr>
              <w:spacing w:line="360" w:lineRule="auto"/>
              <w:jc w:val="center"/>
            </w:pPr>
          </w:p>
        </w:tc>
      </w:tr>
      <w:tr w14:paraId="0A50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Align w:val="center"/>
          </w:tcPr>
          <w:p w14:paraId="0A50C205">
            <w:pPr>
              <w:spacing w:line="360" w:lineRule="auto"/>
              <w:jc w:val="center"/>
            </w:pPr>
            <w:r>
              <w:rPr>
                <w:rFonts w:hint="eastAsia"/>
              </w:rPr>
              <w:t>3</w:t>
            </w:r>
          </w:p>
        </w:tc>
        <w:tc>
          <w:tcPr>
            <w:tcW w:w="774" w:type="pct"/>
            <w:vAlign w:val="center"/>
          </w:tcPr>
          <w:p w14:paraId="0A50C206">
            <w:pPr>
              <w:spacing w:line="360" w:lineRule="auto"/>
              <w:jc w:val="center"/>
            </w:pPr>
          </w:p>
        </w:tc>
        <w:tc>
          <w:tcPr>
            <w:tcW w:w="622" w:type="pct"/>
            <w:vAlign w:val="center"/>
          </w:tcPr>
          <w:p w14:paraId="0A50C207">
            <w:pPr>
              <w:spacing w:line="360" w:lineRule="auto"/>
              <w:jc w:val="center"/>
            </w:pPr>
          </w:p>
        </w:tc>
        <w:tc>
          <w:tcPr>
            <w:tcW w:w="761" w:type="pct"/>
            <w:vAlign w:val="center"/>
          </w:tcPr>
          <w:p w14:paraId="0A50C208">
            <w:pPr>
              <w:spacing w:line="360" w:lineRule="auto"/>
              <w:jc w:val="center"/>
            </w:pPr>
          </w:p>
        </w:tc>
        <w:tc>
          <w:tcPr>
            <w:tcW w:w="607" w:type="pct"/>
            <w:vAlign w:val="center"/>
          </w:tcPr>
          <w:p w14:paraId="0A50C209">
            <w:pPr>
              <w:spacing w:line="360" w:lineRule="auto"/>
              <w:jc w:val="center"/>
            </w:pPr>
          </w:p>
        </w:tc>
        <w:tc>
          <w:tcPr>
            <w:tcW w:w="607" w:type="pct"/>
            <w:vAlign w:val="center"/>
          </w:tcPr>
          <w:p w14:paraId="0A50C20A">
            <w:pPr>
              <w:spacing w:line="360" w:lineRule="auto"/>
              <w:jc w:val="center"/>
            </w:pPr>
          </w:p>
        </w:tc>
        <w:tc>
          <w:tcPr>
            <w:tcW w:w="608" w:type="pct"/>
            <w:vAlign w:val="center"/>
          </w:tcPr>
          <w:p w14:paraId="0A50C20B">
            <w:pPr>
              <w:spacing w:line="360" w:lineRule="auto"/>
              <w:jc w:val="center"/>
            </w:pPr>
          </w:p>
        </w:tc>
        <w:tc>
          <w:tcPr>
            <w:tcW w:w="608" w:type="pct"/>
            <w:vAlign w:val="center"/>
          </w:tcPr>
          <w:p w14:paraId="0A50C20C">
            <w:pPr>
              <w:spacing w:line="360" w:lineRule="auto"/>
              <w:jc w:val="center"/>
            </w:pPr>
          </w:p>
        </w:tc>
      </w:tr>
      <w:tr w14:paraId="0A50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Align w:val="center"/>
          </w:tcPr>
          <w:p w14:paraId="0A50C20E">
            <w:pPr>
              <w:spacing w:line="360" w:lineRule="auto"/>
              <w:jc w:val="center"/>
            </w:pPr>
            <w:r>
              <w:rPr>
                <w:rFonts w:hint="eastAsia"/>
              </w:rPr>
              <w:t>4</w:t>
            </w:r>
          </w:p>
        </w:tc>
        <w:tc>
          <w:tcPr>
            <w:tcW w:w="774" w:type="pct"/>
            <w:vAlign w:val="center"/>
          </w:tcPr>
          <w:p w14:paraId="0A50C20F">
            <w:pPr>
              <w:spacing w:line="360" w:lineRule="auto"/>
              <w:jc w:val="center"/>
            </w:pPr>
          </w:p>
        </w:tc>
        <w:tc>
          <w:tcPr>
            <w:tcW w:w="622" w:type="pct"/>
            <w:vAlign w:val="center"/>
          </w:tcPr>
          <w:p w14:paraId="0A50C210">
            <w:pPr>
              <w:spacing w:line="360" w:lineRule="auto"/>
              <w:jc w:val="center"/>
            </w:pPr>
          </w:p>
        </w:tc>
        <w:tc>
          <w:tcPr>
            <w:tcW w:w="761" w:type="pct"/>
            <w:vAlign w:val="center"/>
          </w:tcPr>
          <w:p w14:paraId="0A50C211">
            <w:pPr>
              <w:spacing w:line="360" w:lineRule="auto"/>
              <w:jc w:val="center"/>
            </w:pPr>
          </w:p>
        </w:tc>
        <w:tc>
          <w:tcPr>
            <w:tcW w:w="607" w:type="pct"/>
            <w:vAlign w:val="center"/>
          </w:tcPr>
          <w:p w14:paraId="0A50C212">
            <w:pPr>
              <w:spacing w:line="360" w:lineRule="auto"/>
              <w:jc w:val="center"/>
            </w:pPr>
          </w:p>
        </w:tc>
        <w:tc>
          <w:tcPr>
            <w:tcW w:w="607" w:type="pct"/>
            <w:vAlign w:val="center"/>
          </w:tcPr>
          <w:p w14:paraId="0A50C213">
            <w:pPr>
              <w:spacing w:line="360" w:lineRule="auto"/>
              <w:jc w:val="center"/>
            </w:pPr>
          </w:p>
        </w:tc>
        <w:tc>
          <w:tcPr>
            <w:tcW w:w="608" w:type="pct"/>
            <w:vAlign w:val="center"/>
          </w:tcPr>
          <w:p w14:paraId="0A50C214">
            <w:pPr>
              <w:spacing w:line="360" w:lineRule="auto"/>
              <w:jc w:val="center"/>
            </w:pPr>
          </w:p>
        </w:tc>
        <w:tc>
          <w:tcPr>
            <w:tcW w:w="608" w:type="pct"/>
            <w:vAlign w:val="center"/>
          </w:tcPr>
          <w:p w14:paraId="0A50C215">
            <w:pPr>
              <w:spacing w:line="360" w:lineRule="auto"/>
              <w:jc w:val="center"/>
            </w:pPr>
          </w:p>
        </w:tc>
      </w:tr>
    </w:tbl>
    <w:p w14:paraId="0A50C217">
      <w:pPr>
        <w:spacing w:line="360" w:lineRule="auto"/>
        <w:jc w:val="center"/>
      </w:pPr>
      <w:r>
        <w:t>表</w:t>
      </w:r>
      <w:r>
        <w:rPr>
          <w:rFonts w:hint="eastAsia"/>
        </w:rPr>
        <w:t>10</w:t>
      </w:r>
      <w:r>
        <w:t xml:space="preserve"> XXX公司相关产品数据</w:t>
      </w:r>
    </w:p>
    <w:tbl>
      <w:tblPr>
        <w:tblStyle w:val="2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056"/>
        <w:gridCol w:w="1058"/>
        <w:gridCol w:w="1513"/>
        <w:gridCol w:w="939"/>
        <w:gridCol w:w="1147"/>
        <w:gridCol w:w="1495"/>
        <w:gridCol w:w="1041"/>
      </w:tblGrid>
      <w:tr w14:paraId="0A50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Align w:val="center"/>
          </w:tcPr>
          <w:p w14:paraId="0A50C218">
            <w:pPr>
              <w:spacing w:line="360" w:lineRule="auto"/>
              <w:jc w:val="center"/>
            </w:pPr>
            <w:r>
              <w:t>序号</w:t>
            </w:r>
          </w:p>
        </w:tc>
        <w:tc>
          <w:tcPr>
            <w:tcW w:w="589" w:type="pct"/>
            <w:vAlign w:val="center"/>
          </w:tcPr>
          <w:p w14:paraId="0A50C219">
            <w:pPr>
              <w:spacing w:line="360" w:lineRule="auto"/>
              <w:jc w:val="center"/>
            </w:pPr>
          </w:p>
        </w:tc>
        <w:tc>
          <w:tcPr>
            <w:tcW w:w="590" w:type="pct"/>
            <w:vAlign w:val="center"/>
          </w:tcPr>
          <w:p w14:paraId="0A50C21B">
            <w:pPr>
              <w:spacing w:line="360" w:lineRule="auto"/>
              <w:jc w:val="center"/>
            </w:pPr>
          </w:p>
        </w:tc>
        <w:tc>
          <w:tcPr>
            <w:tcW w:w="844" w:type="pct"/>
            <w:vAlign w:val="center"/>
          </w:tcPr>
          <w:p w14:paraId="0A50C21C">
            <w:pPr>
              <w:spacing w:line="360" w:lineRule="auto"/>
              <w:jc w:val="center"/>
            </w:pPr>
          </w:p>
        </w:tc>
        <w:tc>
          <w:tcPr>
            <w:tcW w:w="524" w:type="pct"/>
            <w:vAlign w:val="center"/>
          </w:tcPr>
          <w:p w14:paraId="0A50C21E">
            <w:pPr>
              <w:jc w:val="center"/>
            </w:pPr>
          </w:p>
        </w:tc>
        <w:tc>
          <w:tcPr>
            <w:tcW w:w="640" w:type="pct"/>
            <w:vAlign w:val="center"/>
          </w:tcPr>
          <w:p w14:paraId="0A50C220">
            <w:pPr>
              <w:jc w:val="center"/>
            </w:pPr>
          </w:p>
        </w:tc>
        <w:tc>
          <w:tcPr>
            <w:tcW w:w="834" w:type="pct"/>
            <w:vAlign w:val="center"/>
          </w:tcPr>
          <w:p w14:paraId="0A50C223">
            <w:pPr>
              <w:jc w:val="center"/>
            </w:pPr>
          </w:p>
        </w:tc>
        <w:tc>
          <w:tcPr>
            <w:tcW w:w="581" w:type="pct"/>
            <w:vAlign w:val="center"/>
          </w:tcPr>
          <w:p w14:paraId="0A50C225">
            <w:pPr>
              <w:spacing w:line="360" w:lineRule="auto"/>
              <w:jc w:val="center"/>
            </w:pPr>
          </w:p>
        </w:tc>
      </w:tr>
      <w:tr w14:paraId="0A50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Align w:val="center"/>
          </w:tcPr>
          <w:p w14:paraId="0A50C227">
            <w:pPr>
              <w:spacing w:line="360" w:lineRule="auto"/>
              <w:jc w:val="center"/>
            </w:pPr>
            <w:r>
              <w:rPr>
                <w:rFonts w:hint="eastAsia"/>
              </w:rPr>
              <w:t>1</w:t>
            </w:r>
          </w:p>
        </w:tc>
        <w:tc>
          <w:tcPr>
            <w:tcW w:w="589" w:type="pct"/>
          </w:tcPr>
          <w:p w14:paraId="0A50C228">
            <w:pPr>
              <w:spacing w:line="360" w:lineRule="auto"/>
              <w:jc w:val="center"/>
            </w:pPr>
          </w:p>
        </w:tc>
        <w:tc>
          <w:tcPr>
            <w:tcW w:w="590" w:type="pct"/>
            <w:vAlign w:val="center"/>
          </w:tcPr>
          <w:p w14:paraId="0A50C229">
            <w:pPr>
              <w:spacing w:line="360" w:lineRule="auto"/>
              <w:jc w:val="center"/>
            </w:pPr>
          </w:p>
        </w:tc>
        <w:tc>
          <w:tcPr>
            <w:tcW w:w="844" w:type="pct"/>
            <w:vAlign w:val="center"/>
          </w:tcPr>
          <w:p w14:paraId="0A50C22A">
            <w:pPr>
              <w:spacing w:line="360" w:lineRule="auto"/>
              <w:jc w:val="center"/>
            </w:pPr>
          </w:p>
        </w:tc>
        <w:tc>
          <w:tcPr>
            <w:tcW w:w="524" w:type="pct"/>
            <w:vAlign w:val="center"/>
          </w:tcPr>
          <w:p w14:paraId="0A50C22B">
            <w:pPr>
              <w:spacing w:line="360" w:lineRule="auto"/>
              <w:jc w:val="center"/>
            </w:pPr>
          </w:p>
        </w:tc>
        <w:tc>
          <w:tcPr>
            <w:tcW w:w="640" w:type="pct"/>
            <w:vAlign w:val="center"/>
          </w:tcPr>
          <w:p w14:paraId="0A50C22C">
            <w:pPr>
              <w:spacing w:line="360" w:lineRule="auto"/>
              <w:jc w:val="center"/>
            </w:pPr>
          </w:p>
        </w:tc>
        <w:tc>
          <w:tcPr>
            <w:tcW w:w="834" w:type="pct"/>
            <w:vAlign w:val="center"/>
          </w:tcPr>
          <w:p w14:paraId="0A50C22D">
            <w:pPr>
              <w:spacing w:line="360" w:lineRule="auto"/>
              <w:jc w:val="center"/>
            </w:pPr>
          </w:p>
        </w:tc>
        <w:tc>
          <w:tcPr>
            <w:tcW w:w="581" w:type="pct"/>
            <w:vAlign w:val="center"/>
          </w:tcPr>
          <w:p w14:paraId="0A50C22E">
            <w:pPr>
              <w:spacing w:line="360" w:lineRule="auto"/>
              <w:jc w:val="center"/>
            </w:pPr>
          </w:p>
        </w:tc>
      </w:tr>
    </w:tbl>
    <w:p w14:paraId="0A50C230">
      <w:pPr>
        <w:spacing w:line="360" w:lineRule="auto"/>
        <w:rPr>
          <w:sz w:val="24"/>
          <w:szCs w:val="24"/>
        </w:rPr>
      </w:pPr>
    </w:p>
    <w:p w14:paraId="0A50C231">
      <w:pPr>
        <w:spacing w:line="360" w:lineRule="auto"/>
        <w:ind w:firstLine="480" w:firstLineChars="200"/>
        <w:rPr>
          <w:b/>
          <w:bCs/>
          <w:sz w:val="24"/>
        </w:rPr>
      </w:pPr>
      <w:r>
        <w:rPr>
          <w:sz w:val="24"/>
          <w:szCs w:val="24"/>
        </w:rPr>
        <w:t>本标准修订以测定粉末</w:t>
      </w:r>
      <w:r>
        <w:rPr>
          <w:rFonts w:hint="eastAsia"/>
          <w:sz w:val="24"/>
          <w:szCs w:val="24"/>
        </w:rPr>
        <w:t>冶金制品表面粗糙度</w:t>
      </w:r>
      <w:r>
        <w:rPr>
          <w:sz w:val="24"/>
          <w:szCs w:val="24"/>
        </w:rPr>
        <w:t>的</w:t>
      </w:r>
      <w:r>
        <w:rPr>
          <w:rStyle w:val="49"/>
          <w:sz w:val="24"/>
          <w:szCs w:val="24"/>
        </w:rPr>
        <w:t>国内外标准、国内各高校研院所对科研试验及国内主要生产厂家的对产品质量的检测需求为重要依据，结合行业技术发展，试验设备和试验方法更新换代，形成适用于</w:t>
      </w:r>
      <w:r>
        <w:rPr>
          <w:kern w:val="0"/>
          <w:sz w:val="24"/>
          <w:szCs w:val="24"/>
        </w:rPr>
        <w:t>我国国情的</w:t>
      </w:r>
      <w:r>
        <w:rPr>
          <w:sz w:val="24"/>
          <w:szCs w:val="24"/>
        </w:rPr>
        <w:t>测定粉末</w:t>
      </w:r>
      <w:r>
        <w:rPr>
          <w:rFonts w:hint="eastAsia"/>
          <w:sz w:val="24"/>
          <w:szCs w:val="24"/>
        </w:rPr>
        <w:t>冶金制品表面粗糙度参数及其数值</w:t>
      </w:r>
      <w:r>
        <w:rPr>
          <w:sz w:val="24"/>
          <w:szCs w:val="24"/>
        </w:rPr>
        <w:t>标准，以提高产品质检的统一性和先进性。</w:t>
      </w:r>
    </w:p>
    <w:p w14:paraId="0A50C232">
      <w:pPr>
        <w:adjustRightInd w:val="0"/>
        <w:snapToGrid w:val="0"/>
        <w:spacing w:before="120" w:beforeLines="50" w:after="120" w:afterLines="50"/>
        <w:outlineLvl w:val="1"/>
        <w:rPr>
          <w:b/>
          <w:bCs/>
          <w:sz w:val="24"/>
        </w:rPr>
      </w:pPr>
      <w:bookmarkStart w:id="20" w:name="_Toc26521"/>
      <w:r>
        <w:rPr>
          <w:b/>
          <w:bCs/>
          <w:sz w:val="24"/>
        </w:rPr>
        <w:t>3.2主要试验验证情况</w:t>
      </w:r>
      <w:bookmarkEnd w:id="20"/>
    </w:p>
    <w:p w14:paraId="0A50C233">
      <w:pPr>
        <w:adjustRightInd w:val="0"/>
        <w:snapToGrid w:val="0"/>
        <w:spacing w:line="360" w:lineRule="auto"/>
        <w:ind w:firstLine="482" w:firstLineChars="200"/>
        <w:outlineLvl w:val="2"/>
        <w:rPr>
          <w:sz w:val="24"/>
          <w:szCs w:val="24"/>
        </w:rPr>
      </w:pPr>
      <w:bookmarkStart w:id="21" w:name="_Toc25135"/>
      <w:r>
        <w:rPr>
          <w:b/>
          <w:sz w:val="24"/>
          <w:szCs w:val="24"/>
        </w:rPr>
        <w:t xml:space="preserve">3.2.1 </w:t>
      </w:r>
      <w:bookmarkEnd w:id="21"/>
      <w:r>
        <w:rPr>
          <w:rFonts w:hint="eastAsia"/>
          <w:b/>
          <w:sz w:val="24"/>
          <w:szCs w:val="24"/>
        </w:rPr>
        <w:t>试验设备</w:t>
      </w:r>
    </w:p>
    <w:tbl>
      <w:tblPr>
        <w:tblStyle w:val="2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76"/>
        <w:gridCol w:w="4366"/>
      </w:tblGrid>
      <w:tr w14:paraId="0A50C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76" w:type="dxa"/>
            <w:vAlign w:val="center"/>
          </w:tcPr>
          <w:p w14:paraId="0A50C234">
            <w:pPr>
              <w:spacing w:line="360" w:lineRule="auto"/>
              <w:jc w:val="center"/>
              <w:rPr>
                <w:sz w:val="24"/>
                <w:szCs w:val="24"/>
              </w:rPr>
            </w:pPr>
          </w:p>
        </w:tc>
        <w:tc>
          <w:tcPr>
            <w:tcW w:w="4366" w:type="dxa"/>
            <w:vAlign w:val="center"/>
          </w:tcPr>
          <w:p w14:paraId="0A50C235">
            <w:pPr>
              <w:spacing w:line="360" w:lineRule="auto"/>
              <w:jc w:val="center"/>
              <w:rPr>
                <w:sz w:val="24"/>
                <w:szCs w:val="24"/>
              </w:rPr>
            </w:pPr>
          </w:p>
        </w:tc>
      </w:tr>
      <w:tr w14:paraId="0A50C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76" w:type="dxa"/>
            <w:vAlign w:val="center"/>
          </w:tcPr>
          <w:p w14:paraId="0A50C237">
            <w:pPr>
              <w:spacing w:line="360" w:lineRule="auto"/>
              <w:jc w:val="center"/>
              <w:rPr>
                <w:sz w:val="24"/>
                <w:szCs w:val="24"/>
              </w:rPr>
            </w:pPr>
          </w:p>
        </w:tc>
        <w:tc>
          <w:tcPr>
            <w:tcW w:w="4366" w:type="dxa"/>
            <w:vAlign w:val="center"/>
          </w:tcPr>
          <w:p w14:paraId="0A50C238">
            <w:pPr>
              <w:spacing w:line="360" w:lineRule="auto"/>
              <w:jc w:val="center"/>
            </w:pPr>
          </w:p>
        </w:tc>
      </w:tr>
      <w:tr w14:paraId="0A50C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76" w:type="dxa"/>
            <w:vAlign w:val="center"/>
          </w:tcPr>
          <w:p w14:paraId="0A50C23A">
            <w:pPr>
              <w:spacing w:line="360" w:lineRule="auto"/>
              <w:jc w:val="center"/>
            </w:pPr>
          </w:p>
        </w:tc>
        <w:tc>
          <w:tcPr>
            <w:tcW w:w="4366" w:type="dxa"/>
            <w:vAlign w:val="center"/>
          </w:tcPr>
          <w:p w14:paraId="0A50C23B">
            <w:pPr>
              <w:spacing w:line="360" w:lineRule="auto"/>
              <w:jc w:val="center"/>
            </w:pPr>
          </w:p>
        </w:tc>
      </w:tr>
    </w:tbl>
    <w:p w14:paraId="0A50C240">
      <w:pPr>
        <w:spacing w:line="360" w:lineRule="auto"/>
        <w:rPr>
          <w:rFonts w:hint="eastAsia"/>
          <w:b/>
          <w:bCs/>
          <w:sz w:val="24"/>
        </w:rPr>
      </w:pPr>
    </w:p>
    <w:p w14:paraId="0A50C241">
      <w:pPr>
        <w:spacing w:line="360" w:lineRule="auto"/>
        <w:outlineLvl w:val="2"/>
        <w:rPr>
          <w:b/>
          <w:bCs/>
          <w:sz w:val="24"/>
        </w:rPr>
      </w:pPr>
      <w:bookmarkStart w:id="22" w:name="_Toc14108"/>
      <w:r>
        <w:rPr>
          <w:b/>
          <w:bCs/>
          <w:sz w:val="24"/>
        </w:rPr>
        <w:t>3.2.2 试验验证情况</w:t>
      </w:r>
      <w:bookmarkEnd w:id="22"/>
    </w:p>
    <w:p w14:paraId="0A50C242">
      <w:pPr>
        <w:spacing w:line="360" w:lineRule="auto"/>
        <w:ind w:firstLine="496" w:firstLineChars="200"/>
        <w:rPr>
          <w:color w:val="000000"/>
          <w:spacing w:val="4"/>
          <w:sz w:val="24"/>
        </w:rPr>
      </w:pPr>
      <w:r>
        <w:rPr>
          <w:color w:val="000000"/>
          <w:spacing w:val="4"/>
          <w:sz w:val="24"/>
        </w:rPr>
        <w:t>试验验证分别采用</w:t>
      </w:r>
      <w:r>
        <w:rPr>
          <w:rFonts w:hint="eastAsia"/>
          <w:color w:val="000000"/>
          <w:spacing w:val="4"/>
          <w:sz w:val="24"/>
        </w:rPr>
        <w:t>XX</w:t>
      </w:r>
      <w:r>
        <w:rPr>
          <w:color w:val="000000"/>
          <w:spacing w:val="4"/>
          <w:sz w:val="24"/>
        </w:rPr>
        <w:t>、</w:t>
      </w:r>
      <w:r>
        <w:rPr>
          <w:rFonts w:hint="eastAsia"/>
          <w:color w:val="000000"/>
          <w:spacing w:val="4"/>
          <w:sz w:val="24"/>
        </w:rPr>
        <w:t>XX</w:t>
      </w:r>
      <w:r>
        <w:rPr>
          <w:color w:val="000000"/>
          <w:spacing w:val="4"/>
          <w:sz w:val="24"/>
        </w:rPr>
        <w:t>、</w:t>
      </w:r>
      <w:r>
        <w:rPr>
          <w:rFonts w:hint="eastAsia"/>
          <w:color w:val="000000"/>
          <w:spacing w:val="4"/>
          <w:sz w:val="24"/>
        </w:rPr>
        <w:t>XX</w:t>
      </w:r>
      <w:r>
        <w:rPr>
          <w:color w:val="000000"/>
          <w:spacing w:val="4"/>
          <w:sz w:val="24"/>
        </w:rPr>
        <w:t>、</w:t>
      </w:r>
      <w:r>
        <w:rPr>
          <w:rFonts w:hint="eastAsia"/>
          <w:color w:val="000000"/>
          <w:spacing w:val="4"/>
          <w:sz w:val="24"/>
        </w:rPr>
        <w:t>XX</w:t>
      </w:r>
      <w:r>
        <w:rPr>
          <w:color w:val="000000"/>
          <w:spacing w:val="4"/>
          <w:sz w:val="24"/>
        </w:rPr>
        <w:t>，由</w:t>
      </w:r>
      <w:r>
        <w:rPr>
          <w:rFonts w:hint="eastAsia"/>
          <w:color w:val="000000"/>
          <w:spacing w:val="4"/>
          <w:sz w:val="24"/>
        </w:rPr>
        <w:t>XXX</w:t>
      </w:r>
      <w:r>
        <w:rPr>
          <w:color w:val="000000"/>
          <w:spacing w:val="4"/>
          <w:sz w:val="24"/>
        </w:rPr>
        <w:t>公司提供</w:t>
      </w:r>
      <w:r>
        <w:rPr>
          <w:rFonts w:hint="eastAsia"/>
          <w:color w:val="000000"/>
          <w:spacing w:val="4"/>
          <w:sz w:val="24"/>
        </w:rPr>
        <w:t>XX</w:t>
      </w:r>
      <w:r>
        <w:rPr>
          <w:color w:val="000000"/>
          <w:spacing w:val="4"/>
          <w:sz w:val="24"/>
        </w:rPr>
        <w:t>样品。</w:t>
      </w:r>
    </w:p>
    <w:p w14:paraId="0A50C243">
      <w:pPr>
        <w:spacing w:line="360" w:lineRule="auto"/>
        <w:ind w:firstLine="496" w:firstLineChars="200"/>
        <w:rPr>
          <w:color w:val="000000"/>
          <w:spacing w:val="4"/>
          <w:sz w:val="24"/>
        </w:rPr>
      </w:pPr>
      <w:r>
        <w:rPr>
          <w:color w:val="000000"/>
          <w:spacing w:val="4"/>
          <w:sz w:val="24"/>
        </w:rPr>
        <w:t>参加验证单位有</w:t>
      </w:r>
      <w:r>
        <w:rPr>
          <w:sz w:val="24"/>
          <w:szCs w:val="24"/>
        </w:rPr>
        <w:t>北京钢研高纳科技股份有限公司、钢铁研究总院有限公司、北矿新材科技有限公司、</w:t>
      </w:r>
      <w:r>
        <w:rPr>
          <w:rFonts w:hint="eastAsia" w:ascii="宋体" w:hAnsi="宋体" w:cs="宋体"/>
          <w:color w:val="000000"/>
          <w:sz w:val="24"/>
          <w:szCs w:val="24"/>
        </w:rPr>
        <w:t>东睦新材料集团股份有限公司</w:t>
      </w:r>
      <w:r>
        <w:rPr>
          <w:rFonts w:hint="eastAsia" w:hAnsi="宋体" w:cs="宋体"/>
          <w:color w:val="000000"/>
          <w:sz w:val="24"/>
          <w:szCs w:val="24"/>
        </w:rPr>
        <w:t>、</w:t>
      </w:r>
      <w:r>
        <w:rPr>
          <w:rFonts w:hint="eastAsia" w:ascii="宋体" w:hAnsi="宋体" w:cs="宋体"/>
          <w:color w:val="000000"/>
          <w:kern w:val="0"/>
          <w:sz w:val="24"/>
          <w:lang w:bidi="ar"/>
        </w:rPr>
        <w:t>厦门金鹭硬质合金有限公司</w:t>
      </w:r>
      <w:r>
        <w:rPr>
          <w:rFonts w:hint="eastAsia" w:hAnsi="宋体" w:cs="宋体"/>
          <w:color w:val="000000"/>
          <w:kern w:val="0"/>
          <w:sz w:val="24"/>
          <w:lang w:bidi="ar"/>
        </w:rPr>
        <w:t>、</w:t>
      </w:r>
      <w:r>
        <w:rPr>
          <w:rFonts w:hint="eastAsia"/>
          <w:color w:val="000000"/>
          <w:sz w:val="24"/>
        </w:rPr>
        <w:t>沈阳航空航天大学、</w:t>
      </w:r>
      <w:r>
        <w:rPr>
          <w:sz w:val="24"/>
          <w:szCs w:val="24"/>
        </w:rPr>
        <w:t>西安欧中材料科技股份有限公司、</w:t>
      </w:r>
      <w:r>
        <w:rPr>
          <w:rFonts w:hint="eastAsia" w:ascii="宋体" w:hAnsi="宋体" w:cs="宋体"/>
          <w:color w:val="000000"/>
          <w:kern w:val="0"/>
          <w:sz w:val="24"/>
          <w:lang w:bidi="ar"/>
        </w:rPr>
        <w:t>深圳艾利佳材料科技有限公司</w:t>
      </w:r>
      <w:r>
        <w:rPr>
          <w:sz w:val="24"/>
          <w:szCs w:val="24"/>
        </w:rPr>
        <w:t>、国标（北京）检验认证有限公司</w:t>
      </w:r>
      <w:r>
        <w:rPr>
          <w:color w:val="000000"/>
          <w:spacing w:val="4"/>
          <w:sz w:val="24"/>
        </w:rPr>
        <w:t>等</w:t>
      </w:r>
      <w:r>
        <w:rPr>
          <w:rFonts w:hint="eastAsia"/>
          <w:color w:val="000000"/>
          <w:spacing w:val="4"/>
          <w:sz w:val="24"/>
        </w:rPr>
        <w:t>9</w:t>
      </w:r>
      <w:r>
        <w:rPr>
          <w:color w:val="000000"/>
          <w:spacing w:val="4"/>
          <w:sz w:val="24"/>
        </w:rPr>
        <w:t>家单位。</w:t>
      </w:r>
      <w:r>
        <w:rPr>
          <w:sz w:val="24"/>
          <w:szCs w:val="24"/>
        </w:rPr>
        <w:t>四川钢研高纳锻造有限责任公司负责试验验证数据分析工作。</w:t>
      </w:r>
    </w:p>
    <w:p w14:paraId="0A50C244">
      <w:pPr>
        <w:jc w:val="center"/>
      </w:pPr>
      <w:r>
        <w:t>表1</w:t>
      </w:r>
      <w:r>
        <w:rPr>
          <w:rFonts w:hint="eastAsia"/>
        </w:rPr>
        <w:t>1</w:t>
      </w:r>
      <w:r>
        <w:t xml:space="preserve"> </w:t>
      </w:r>
      <w:r>
        <w:rPr>
          <w:rFonts w:hint="eastAsia"/>
        </w:rPr>
        <w:t>XX</w:t>
      </w:r>
      <w:r>
        <w:t>试验验证表</w:t>
      </w:r>
    </w:p>
    <w:tbl>
      <w:tblPr>
        <w:tblStyle w:val="23"/>
        <w:tblW w:w="55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583"/>
        <w:gridCol w:w="1746"/>
        <w:gridCol w:w="994"/>
        <w:gridCol w:w="1105"/>
        <w:gridCol w:w="1156"/>
        <w:gridCol w:w="584"/>
        <w:gridCol w:w="584"/>
        <w:gridCol w:w="584"/>
        <w:gridCol w:w="580"/>
        <w:gridCol w:w="872"/>
        <w:gridCol w:w="515"/>
      </w:tblGrid>
      <w:tr w14:paraId="0A50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14:paraId="0A50C245">
            <w:pPr>
              <w:jc w:val="center"/>
              <w:rPr>
                <w:b/>
                <w:sz w:val="18"/>
                <w:szCs w:val="18"/>
              </w:rPr>
            </w:pPr>
            <w:r>
              <w:rPr>
                <w:b/>
                <w:sz w:val="18"/>
                <w:szCs w:val="18"/>
              </w:rPr>
              <w:t>提供粉末单位</w:t>
            </w:r>
          </w:p>
        </w:tc>
        <w:tc>
          <w:tcPr>
            <w:tcW w:w="290" w:type="pct"/>
            <w:vAlign w:val="center"/>
          </w:tcPr>
          <w:p w14:paraId="0A50C246">
            <w:pPr>
              <w:jc w:val="center"/>
              <w:rPr>
                <w:b/>
                <w:sz w:val="18"/>
                <w:szCs w:val="18"/>
              </w:rPr>
            </w:pPr>
            <w:r>
              <w:rPr>
                <w:b/>
                <w:sz w:val="18"/>
                <w:szCs w:val="18"/>
              </w:rPr>
              <w:t>序号</w:t>
            </w:r>
          </w:p>
        </w:tc>
        <w:tc>
          <w:tcPr>
            <w:tcW w:w="870" w:type="pct"/>
            <w:vAlign w:val="center"/>
          </w:tcPr>
          <w:p w14:paraId="0A50C247">
            <w:pPr>
              <w:jc w:val="center"/>
              <w:rPr>
                <w:b/>
                <w:sz w:val="18"/>
                <w:szCs w:val="18"/>
              </w:rPr>
            </w:pPr>
            <w:r>
              <w:rPr>
                <w:b/>
                <w:sz w:val="18"/>
                <w:szCs w:val="18"/>
              </w:rPr>
              <w:t>试验验证单位</w:t>
            </w:r>
          </w:p>
        </w:tc>
        <w:tc>
          <w:tcPr>
            <w:tcW w:w="496" w:type="pct"/>
            <w:vAlign w:val="center"/>
          </w:tcPr>
          <w:p w14:paraId="0A50C248">
            <w:pPr>
              <w:jc w:val="center"/>
              <w:rPr>
                <w:b/>
                <w:sz w:val="18"/>
                <w:szCs w:val="18"/>
              </w:rPr>
            </w:pPr>
            <w:r>
              <w:rPr>
                <w:b/>
                <w:sz w:val="18"/>
                <w:szCs w:val="18"/>
              </w:rPr>
              <w:t>材料种类</w:t>
            </w:r>
            <w:r>
              <w:rPr>
                <w:rFonts w:hint="eastAsia"/>
                <w:b/>
                <w:sz w:val="18"/>
                <w:szCs w:val="18"/>
              </w:rPr>
              <w:t>及牌号</w:t>
            </w:r>
          </w:p>
        </w:tc>
        <w:tc>
          <w:tcPr>
            <w:tcW w:w="550" w:type="pct"/>
            <w:vAlign w:val="center"/>
          </w:tcPr>
          <w:p w14:paraId="0A50C249">
            <w:pPr>
              <w:jc w:val="center"/>
              <w:rPr>
                <w:b/>
                <w:bCs/>
                <w:sz w:val="18"/>
                <w:szCs w:val="18"/>
              </w:rPr>
            </w:pPr>
            <w:r>
              <w:rPr>
                <w:rFonts w:hint="eastAsia"/>
                <w:b/>
                <w:bCs/>
                <w:sz w:val="18"/>
                <w:szCs w:val="18"/>
              </w:rPr>
              <w:t>取样长度</w:t>
            </w:r>
          </w:p>
          <w:p w14:paraId="0A50C24A">
            <w:pPr>
              <w:jc w:val="center"/>
              <w:rPr>
                <w:b/>
                <w:bCs/>
                <w:sz w:val="18"/>
                <w:szCs w:val="18"/>
              </w:rPr>
            </w:pPr>
            <w:r>
              <w:rPr>
                <w:b/>
                <w:bCs/>
                <w:i/>
                <w:iCs/>
                <w:sz w:val="18"/>
                <w:szCs w:val="18"/>
              </w:rPr>
              <w:t xml:space="preserve">lr </w:t>
            </w:r>
            <w:r>
              <w:rPr>
                <w:b/>
                <w:bCs/>
                <w:sz w:val="18"/>
                <w:szCs w:val="18"/>
              </w:rPr>
              <w:t>/mm</w:t>
            </w:r>
          </w:p>
        </w:tc>
        <w:tc>
          <w:tcPr>
            <w:tcW w:w="576" w:type="pct"/>
            <w:vAlign w:val="center"/>
          </w:tcPr>
          <w:p w14:paraId="0A50C24B">
            <w:pPr>
              <w:jc w:val="center"/>
              <w:rPr>
                <w:b/>
                <w:bCs/>
                <w:sz w:val="18"/>
                <w:szCs w:val="18"/>
              </w:rPr>
            </w:pPr>
            <w:r>
              <w:rPr>
                <w:rFonts w:hint="eastAsia"/>
                <w:b/>
                <w:bCs/>
                <w:sz w:val="18"/>
                <w:szCs w:val="18"/>
              </w:rPr>
              <w:t>评定长度</w:t>
            </w:r>
          </w:p>
          <w:p w14:paraId="0A50C24C">
            <w:pPr>
              <w:jc w:val="center"/>
              <w:rPr>
                <w:b/>
                <w:bCs/>
                <w:sz w:val="18"/>
                <w:szCs w:val="18"/>
              </w:rPr>
            </w:pPr>
            <w:r>
              <w:rPr>
                <w:b/>
                <w:bCs/>
                <w:i/>
                <w:iCs/>
                <w:sz w:val="18"/>
                <w:szCs w:val="18"/>
              </w:rPr>
              <w:t xml:space="preserve">ln </w:t>
            </w:r>
            <w:r>
              <w:rPr>
                <w:b/>
                <w:bCs/>
                <w:sz w:val="18"/>
                <w:szCs w:val="18"/>
              </w:rPr>
              <w:t>/mm</w:t>
            </w:r>
          </w:p>
          <w:p w14:paraId="0A50C24D">
            <w:pPr>
              <w:jc w:val="center"/>
              <w:rPr>
                <w:b/>
                <w:bCs/>
                <w:color w:val="000000"/>
                <w:spacing w:val="4"/>
                <w:sz w:val="18"/>
                <w:szCs w:val="18"/>
              </w:rPr>
            </w:pPr>
            <w:r>
              <w:rPr>
                <w:b/>
                <w:bCs/>
                <w:sz w:val="18"/>
                <w:szCs w:val="18"/>
              </w:rPr>
              <w:t>(</w:t>
            </w:r>
            <w:r>
              <w:rPr>
                <w:b/>
                <w:bCs/>
                <w:i/>
                <w:iCs/>
                <w:sz w:val="18"/>
                <w:szCs w:val="18"/>
              </w:rPr>
              <w:t>ln</w:t>
            </w:r>
            <w:r>
              <w:rPr>
                <w:rFonts w:hint="eastAsia"/>
                <w:b/>
                <w:bCs/>
                <w:i/>
                <w:iCs/>
                <w:sz w:val="18"/>
                <w:szCs w:val="18"/>
              </w:rPr>
              <w:t xml:space="preserve"> </w:t>
            </w:r>
            <w:r>
              <w:rPr>
                <w:b/>
                <w:bCs/>
                <w:sz w:val="18"/>
                <w:szCs w:val="18"/>
              </w:rPr>
              <w:t>=</w:t>
            </w:r>
            <w:r>
              <w:rPr>
                <w:rFonts w:hint="eastAsia"/>
                <w:b/>
                <w:bCs/>
                <w:sz w:val="18"/>
                <w:szCs w:val="18"/>
              </w:rPr>
              <w:t xml:space="preserve"> </w:t>
            </w:r>
            <w:r>
              <w:rPr>
                <w:b/>
                <w:bCs/>
                <w:sz w:val="18"/>
                <w:szCs w:val="18"/>
              </w:rPr>
              <w:t>5</w:t>
            </w:r>
            <w:r>
              <w:rPr>
                <w:rFonts w:hint="eastAsia"/>
                <w:b/>
                <w:bCs/>
                <w:sz w:val="18"/>
                <w:szCs w:val="18"/>
              </w:rPr>
              <w:t xml:space="preserve"> </w:t>
            </w:r>
            <w:r>
              <w:rPr>
                <w:b/>
                <w:bCs/>
                <w:sz w:val="18"/>
                <w:szCs w:val="18"/>
              </w:rPr>
              <w:t>×</w:t>
            </w:r>
            <w:r>
              <w:rPr>
                <w:rFonts w:hint="eastAsia"/>
                <w:b/>
                <w:bCs/>
                <w:sz w:val="18"/>
                <w:szCs w:val="18"/>
              </w:rPr>
              <w:t xml:space="preserve"> </w:t>
            </w:r>
            <w:r>
              <w:rPr>
                <w:b/>
                <w:bCs/>
                <w:i/>
                <w:iCs/>
                <w:sz w:val="18"/>
                <w:szCs w:val="18"/>
              </w:rPr>
              <w:t>lr</w:t>
            </w:r>
            <w:r>
              <w:rPr>
                <w:b/>
                <w:bCs/>
                <w:sz w:val="18"/>
                <w:szCs w:val="18"/>
              </w:rPr>
              <w:t>)</w:t>
            </w:r>
          </w:p>
        </w:tc>
        <w:tc>
          <w:tcPr>
            <w:tcW w:w="873" w:type="pct"/>
            <w:gridSpan w:val="3"/>
            <w:vAlign w:val="center"/>
          </w:tcPr>
          <w:p w14:paraId="0A50C24E">
            <w:pPr>
              <w:jc w:val="center"/>
              <w:rPr>
                <w:rFonts w:hint="eastAsia" w:ascii="宋体" w:hAnsi="宋体" w:cs="宋体"/>
                <w:b/>
                <w:bCs/>
                <w:spacing w:val="-1"/>
                <w:sz w:val="18"/>
                <w:szCs w:val="18"/>
              </w:rPr>
            </w:pPr>
            <w:r>
              <w:rPr>
                <w:rFonts w:ascii="宋体" w:hAnsi="宋体" w:cs="宋体"/>
                <w:b/>
                <w:bCs/>
                <w:spacing w:val="-1"/>
                <w:sz w:val="18"/>
                <w:szCs w:val="18"/>
              </w:rPr>
              <w:t>表面粗糙度</w:t>
            </w:r>
          </w:p>
          <w:p w14:paraId="0A50C24F">
            <w:pPr>
              <w:jc w:val="center"/>
              <w:rPr>
                <w:b/>
                <w:bCs/>
                <w:sz w:val="18"/>
                <w:szCs w:val="18"/>
              </w:rPr>
            </w:pPr>
            <w:r>
              <w:rPr>
                <w:b/>
                <w:bCs/>
                <w:sz w:val="18"/>
                <w:szCs w:val="18"/>
              </w:rPr>
              <w:t>测试结果（3次）</w:t>
            </w:r>
          </w:p>
          <w:p w14:paraId="0A50C250">
            <w:pPr>
              <w:jc w:val="center"/>
              <w:rPr>
                <w:b/>
                <w:sz w:val="18"/>
                <w:szCs w:val="18"/>
              </w:rPr>
            </w:pPr>
            <w:r>
              <w:rPr>
                <w:b/>
                <w:bCs/>
                <w:i/>
                <w:iCs/>
                <w:sz w:val="18"/>
                <w:szCs w:val="18"/>
              </w:rPr>
              <w:t>Ra</w:t>
            </w:r>
            <w:r>
              <w:rPr>
                <w:b/>
                <w:bCs/>
                <w:sz w:val="18"/>
                <w:szCs w:val="18"/>
              </w:rPr>
              <w:t xml:space="preserve"> /μm</w:t>
            </w:r>
          </w:p>
        </w:tc>
        <w:tc>
          <w:tcPr>
            <w:tcW w:w="289" w:type="pct"/>
            <w:vAlign w:val="center"/>
          </w:tcPr>
          <w:p w14:paraId="0A50C251">
            <w:pPr>
              <w:jc w:val="center"/>
              <w:rPr>
                <w:b/>
                <w:sz w:val="18"/>
                <w:szCs w:val="18"/>
              </w:rPr>
            </w:pPr>
            <w:r>
              <w:rPr>
                <w:b/>
                <w:sz w:val="18"/>
                <w:szCs w:val="18"/>
              </w:rPr>
              <w:t>平均值</w:t>
            </w:r>
          </w:p>
        </w:tc>
        <w:tc>
          <w:tcPr>
            <w:tcW w:w="435" w:type="pct"/>
            <w:vAlign w:val="center"/>
          </w:tcPr>
          <w:p w14:paraId="0A50C252">
            <w:pPr>
              <w:jc w:val="center"/>
              <w:rPr>
                <w:b/>
                <w:sz w:val="18"/>
                <w:szCs w:val="18"/>
              </w:rPr>
            </w:pPr>
            <w:r>
              <w:rPr>
                <w:b/>
                <w:sz w:val="18"/>
                <w:szCs w:val="18"/>
              </w:rPr>
              <w:t>标准</w:t>
            </w:r>
          </w:p>
          <w:p w14:paraId="0A50C253">
            <w:pPr>
              <w:jc w:val="center"/>
              <w:rPr>
                <w:b/>
                <w:sz w:val="18"/>
                <w:szCs w:val="18"/>
              </w:rPr>
            </w:pPr>
            <w:r>
              <w:rPr>
                <w:b/>
                <w:sz w:val="18"/>
                <w:szCs w:val="18"/>
              </w:rPr>
              <w:t>偏差</w:t>
            </w:r>
          </w:p>
          <w:p w14:paraId="0A50C254">
            <w:pPr>
              <w:jc w:val="center"/>
              <w:rPr>
                <w:b/>
                <w:sz w:val="18"/>
                <w:szCs w:val="18"/>
              </w:rPr>
            </w:pPr>
            <w:r>
              <w:rPr>
                <w:b/>
                <w:i/>
                <w:sz w:val="18"/>
                <w:szCs w:val="18"/>
              </w:rPr>
              <w:t>S</w:t>
            </w:r>
            <w:r>
              <w:rPr>
                <w:b/>
                <w:sz w:val="18"/>
                <w:szCs w:val="18"/>
                <w:vertAlign w:val="subscript"/>
              </w:rPr>
              <w:t>i</w:t>
            </w:r>
          </w:p>
        </w:tc>
        <w:tc>
          <w:tcPr>
            <w:tcW w:w="257" w:type="pct"/>
            <w:vAlign w:val="center"/>
          </w:tcPr>
          <w:p w14:paraId="0A50C255">
            <w:pPr>
              <w:jc w:val="center"/>
              <w:rPr>
                <w:b/>
                <w:i/>
                <w:sz w:val="18"/>
                <w:szCs w:val="18"/>
              </w:rPr>
            </w:pPr>
            <w:r>
              <w:rPr>
                <w:rFonts w:hint="eastAsia"/>
                <w:b/>
                <w:i/>
                <w:sz w:val="18"/>
                <w:szCs w:val="18"/>
              </w:rPr>
              <w:t>备注</w:t>
            </w:r>
          </w:p>
        </w:tc>
      </w:tr>
      <w:tr w14:paraId="0A50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restart"/>
            <w:vAlign w:val="center"/>
          </w:tcPr>
          <w:p w14:paraId="0A50C257">
            <w:pPr>
              <w:jc w:val="center"/>
              <w:rPr>
                <w:sz w:val="18"/>
                <w:szCs w:val="18"/>
              </w:rPr>
            </w:pPr>
            <w:r>
              <w:rPr>
                <w:rFonts w:hint="eastAsia"/>
                <w:sz w:val="18"/>
                <w:szCs w:val="18"/>
              </w:rPr>
              <w:t>钢铁研究总院有限公司</w:t>
            </w:r>
          </w:p>
        </w:tc>
        <w:tc>
          <w:tcPr>
            <w:tcW w:w="290" w:type="pct"/>
            <w:vAlign w:val="center"/>
          </w:tcPr>
          <w:p w14:paraId="0A50C258">
            <w:pPr>
              <w:jc w:val="center"/>
              <w:rPr>
                <w:sz w:val="18"/>
                <w:szCs w:val="18"/>
              </w:rPr>
            </w:pPr>
            <w:r>
              <w:rPr>
                <w:sz w:val="18"/>
                <w:szCs w:val="18"/>
              </w:rPr>
              <w:t>1-1</w:t>
            </w:r>
          </w:p>
        </w:tc>
        <w:tc>
          <w:tcPr>
            <w:tcW w:w="870" w:type="pct"/>
            <w:vAlign w:val="center"/>
          </w:tcPr>
          <w:p w14:paraId="0A50C259">
            <w:pPr>
              <w:jc w:val="center"/>
              <w:rPr>
                <w:sz w:val="18"/>
                <w:szCs w:val="18"/>
              </w:rPr>
            </w:pPr>
            <w:r>
              <w:rPr>
                <w:sz w:val="18"/>
                <w:szCs w:val="18"/>
              </w:rPr>
              <w:t>北京钢研高纳科技股份有限公司</w:t>
            </w:r>
          </w:p>
        </w:tc>
        <w:tc>
          <w:tcPr>
            <w:tcW w:w="496" w:type="pct"/>
            <w:vMerge w:val="restart"/>
            <w:vAlign w:val="center"/>
          </w:tcPr>
          <w:p w14:paraId="0A50C25A">
            <w:pPr>
              <w:jc w:val="center"/>
              <w:rPr>
                <w:sz w:val="18"/>
                <w:szCs w:val="18"/>
              </w:rPr>
            </w:pPr>
            <w:r>
              <w:rPr>
                <w:rFonts w:hint="eastAsia"/>
                <w:sz w:val="18"/>
                <w:szCs w:val="18"/>
              </w:rPr>
              <w:t>XX</w:t>
            </w:r>
          </w:p>
        </w:tc>
        <w:tc>
          <w:tcPr>
            <w:tcW w:w="550" w:type="pct"/>
            <w:vAlign w:val="center"/>
          </w:tcPr>
          <w:p w14:paraId="0A50C25B">
            <w:pPr>
              <w:jc w:val="center"/>
              <w:rPr>
                <w:sz w:val="18"/>
                <w:szCs w:val="18"/>
              </w:rPr>
            </w:pPr>
          </w:p>
        </w:tc>
        <w:tc>
          <w:tcPr>
            <w:tcW w:w="576" w:type="pct"/>
            <w:vAlign w:val="center"/>
          </w:tcPr>
          <w:p w14:paraId="0A50C25C">
            <w:pPr>
              <w:jc w:val="center"/>
              <w:rPr>
                <w:sz w:val="18"/>
                <w:szCs w:val="18"/>
              </w:rPr>
            </w:pPr>
          </w:p>
        </w:tc>
        <w:tc>
          <w:tcPr>
            <w:tcW w:w="291" w:type="pct"/>
            <w:vAlign w:val="center"/>
          </w:tcPr>
          <w:p w14:paraId="0A50C25D">
            <w:pPr>
              <w:jc w:val="center"/>
              <w:rPr>
                <w:sz w:val="18"/>
                <w:szCs w:val="18"/>
              </w:rPr>
            </w:pPr>
          </w:p>
        </w:tc>
        <w:tc>
          <w:tcPr>
            <w:tcW w:w="291" w:type="pct"/>
            <w:vAlign w:val="center"/>
          </w:tcPr>
          <w:p w14:paraId="0A50C25E">
            <w:pPr>
              <w:jc w:val="center"/>
              <w:rPr>
                <w:sz w:val="18"/>
                <w:szCs w:val="18"/>
              </w:rPr>
            </w:pPr>
          </w:p>
        </w:tc>
        <w:tc>
          <w:tcPr>
            <w:tcW w:w="291" w:type="pct"/>
            <w:vAlign w:val="center"/>
          </w:tcPr>
          <w:p w14:paraId="0A50C25F">
            <w:pPr>
              <w:jc w:val="center"/>
              <w:rPr>
                <w:sz w:val="18"/>
                <w:szCs w:val="18"/>
              </w:rPr>
            </w:pPr>
          </w:p>
        </w:tc>
        <w:tc>
          <w:tcPr>
            <w:tcW w:w="289" w:type="pct"/>
            <w:vAlign w:val="center"/>
          </w:tcPr>
          <w:p w14:paraId="0A50C260">
            <w:pPr>
              <w:jc w:val="center"/>
              <w:rPr>
                <w:sz w:val="18"/>
                <w:szCs w:val="18"/>
              </w:rPr>
            </w:pPr>
          </w:p>
        </w:tc>
        <w:tc>
          <w:tcPr>
            <w:tcW w:w="435" w:type="pct"/>
            <w:vAlign w:val="center"/>
          </w:tcPr>
          <w:p w14:paraId="0A50C261">
            <w:pPr>
              <w:jc w:val="center"/>
              <w:rPr>
                <w:sz w:val="18"/>
                <w:szCs w:val="18"/>
              </w:rPr>
            </w:pPr>
          </w:p>
        </w:tc>
        <w:tc>
          <w:tcPr>
            <w:tcW w:w="257" w:type="pct"/>
            <w:vMerge w:val="restart"/>
            <w:vAlign w:val="center"/>
          </w:tcPr>
          <w:p w14:paraId="0A50C262">
            <w:pPr>
              <w:jc w:val="center"/>
              <w:rPr>
                <w:sz w:val="18"/>
                <w:szCs w:val="18"/>
              </w:rPr>
            </w:pPr>
          </w:p>
        </w:tc>
      </w:tr>
      <w:tr w14:paraId="0A50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264">
            <w:pPr>
              <w:jc w:val="center"/>
              <w:rPr>
                <w:sz w:val="18"/>
                <w:szCs w:val="18"/>
              </w:rPr>
            </w:pPr>
          </w:p>
        </w:tc>
        <w:tc>
          <w:tcPr>
            <w:tcW w:w="290" w:type="pct"/>
            <w:vAlign w:val="center"/>
          </w:tcPr>
          <w:p w14:paraId="0A50C265">
            <w:pPr>
              <w:jc w:val="center"/>
              <w:rPr>
                <w:sz w:val="18"/>
                <w:szCs w:val="18"/>
              </w:rPr>
            </w:pPr>
            <w:r>
              <w:rPr>
                <w:sz w:val="18"/>
                <w:szCs w:val="18"/>
              </w:rPr>
              <w:t>1-2</w:t>
            </w:r>
          </w:p>
        </w:tc>
        <w:tc>
          <w:tcPr>
            <w:tcW w:w="870" w:type="pct"/>
            <w:vAlign w:val="center"/>
          </w:tcPr>
          <w:p w14:paraId="0A50C266">
            <w:pPr>
              <w:jc w:val="center"/>
              <w:rPr>
                <w:sz w:val="18"/>
                <w:szCs w:val="18"/>
              </w:rPr>
            </w:pPr>
            <w:r>
              <w:rPr>
                <w:sz w:val="18"/>
                <w:szCs w:val="18"/>
              </w:rPr>
              <w:t>北京钢研高纳科技股份有限公司</w:t>
            </w:r>
          </w:p>
        </w:tc>
        <w:tc>
          <w:tcPr>
            <w:tcW w:w="496" w:type="pct"/>
            <w:vMerge w:val="continue"/>
            <w:vAlign w:val="center"/>
          </w:tcPr>
          <w:p w14:paraId="0A50C267">
            <w:pPr>
              <w:jc w:val="center"/>
              <w:rPr>
                <w:sz w:val="18"/>
                <w:szCs w:val="18"/>
              </w:rPr>
            </w:pPr>
          </w:p>
        </w:tc>
        <w:tc>
          <w:tcPr>
            <w:tcW w:w="550" w:type="pct"/>
            <w:vAlign w:val="center"/>
          </w:tcPr>
          <w:p w14:paraId="0A50C268">
            <w:pPr>
              <w:jc w:val="center"/>
              <w:rPr>
                <w:sz w:val="18"/>
                <w:szCs w:val="18"/>
              </w:rPr>
            </w:pPr>
          </w:p>
        </w:tc>
        <w:tc>
          <w:tcPr>
            <w:tcW w:w="576" w:type="pct"/>
            <w:vAlign w:val="center"/>
          </w:tcPr>
          <w:p w14:paraId="0A50C269">
            <w:pPr>
              <w:jc w:val="center"/>
              <w:rPr>
                <w:sz w:val="18"/>
                <w:szCs w:val="18"/>
              </w:rPr>
            </w:pPr>
          </w:p>
        </w:tc>
        <w:tc>
          <w:tcPr>
            <w:tcW w:w="291" w:type="pct"/>
            <w:vAlign w:val="center"/>
          </w:tcPr>
          <w:p w14:paraId="0A50C26A">
            <w:pPr>
              <w:jc w:val="center"/>
              <w:rPr>
                <w:sz w:val="18"/>
                <w:szCs w:val="18"/>
              </w:rPr>
            </w:pPr>
          </w:p>
        </w:tc>
        <w:tc>
          <w:tcPr>
            <w:tcW w:w="291" w:type="pct"/>
            <w:vAlign w:val="center"/>
          </w:tcPr>
          <w:p w14:paraId="0A50C26B">
            <w:pPr>
              <w:jc w:val="center"/>
              <w:rPr>
                <w:sz w:val="18"/>
                <w:szCs w:val="18"/>
              </w:rPr>
            </w:pPr>
          </w:p>
        </w:tc>
        <w:tc>
          <w:tcPr>
            <w:tcW w:w="291" w:type="pct"/>
            <w:vAlign w:val="center"/>
          </w:tcPr>
          <w:p w14:paraId="0A50C26C">
            <w:pPr>
              <w:jc w:val="center"/>
              <w:rPr>
                <w:sz w:val="18"/>
                <w:szCs w:val="18"/>
              </w:rPr>
            </w:pPr>
          </w:p>
        </w:tc>
        <w:tc>
          <w:tcPr>
            <w:tcW w:w="289" w:type="pct"/>
            <w:vAlign w:val="center"/>
          </w:tcPr>
          <w:p w14:paraId="0A50C26D">
            <w:pPr>
              <w:jc w:val="center"/>
              <w:rPr>
                <w:sz w:val="18"/>
                <w:szCs w:val="18"/>
              </w:rPr>
            </w:pPr>
          </w:p>
        </w:tc>
        <w:tc>
          <w:tcPr>
            <w:tcW w:w="435" w:type="pct"/>
            <w:vAlign w:val="center"/>
          </w:tcPr>
          <w:p w14:paraId="0A50C26E">
            <w:pPr>
              <w:jc w:val="center"/>
              <w:rPr>
                <w:sz w:val="18"/>
                <w:szCs w:val="18"/>
              </w:rPr>
            </w:pPr>
          </w:p>
        </w:tc>
        <w:tc>
          <w:tcPr>
            <w:tcW w:w="257" w:type="pct"/>
            <w:vMerge w:val="continue"/>
            <w:vAlign w:val="center"/>
          </w:tcPr>
          <w:p w14:paraId="0A50C26F">
            <w:pPr>
              <w:jc w:val="center"/>
              <w:rPr>
                <w:sz w:val="18"/>
                <w:szCs w:val="18"/>
              </w:rPr>
            </w:pPr>
          </w:p>
        </w:tc>
      </w:tr>
      <w:tr w14:paraId="0A50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271">
            <w:pPr>
              <w:jc w:val="center"/>
              <w:rPr>
                <w:sz w:val="18"/>
                <w:szCs w:val="18"/>
              </w:rPr>
            </w:pPr>
          </w:p>
        </w:tc>
        <w:tc>
          <w:tcPr>
            <w:tcW w:w="290" w:type="pct"/>
            <w:vAlign w:val="center"/>
          </w:tcPr>
          <w:p w14:paraId="0A50C272">
            <w:pPr>
              <w:jc w:val="center"/>
              <w:rPr>
                <w:sz w:val="18"/>
                <w:szCs w:val="18"/>
              </w:rPr>
            </w:pPr>
            <w:r>
              <w:rPr>
                <w:sz w:val="18"/>
                <w:szCs w:val="18"/>
              </w:rPr>
              <w:t>1-3</w:t>
            </w:r>
          </w:p>
        </w:tc>
        <w:tc>
          <w:tcPr>
            <w:tcW w:w="870" w:type="pct"/>
            <w:vAlign w:val="center"/>
          </w:tcPr>
          <w:p w14:paraId="0A50C273">
            <w:pPr>
              <w:jc w:val="center"/>
              <w:rPr>
                <w:sz w:val="18"/>
                <w:szCs w:val="18"/>
              </w:rPr>
            </w:pPr>
            <w:r>
              <w:rPr>
                <w:sz w:val="18"/>
                <w:szCs w:val="18"/>
              </w:rPr>
              <w:t>北京钢研高纳科技股份有限公司</w:t>
            </w:r>
          </w:p>
        </w:tc>
        <w:tc>
          <w:tcPr>
            <w:tcW w:w="496" w:type="pct"/>
            <w:vMerge w:val="continue"/>
            <w:vAlign w:val="center"/>
          </w:tcPr>
          <w:p w14:paraId="0A50C274">
            <w:pPr>
              <w:jc w:val="center"/>
              <w:rPr>
                <w:sz w:val="18"/>
                <w:szCs w:val="18"/>
              </w:rPr>
            </w:pPr>
          </w:p>
        </w:tc>
        <w:tc>
          <w:tcPr>
            <w:tcW w:w="550" w:type="pct"/>
            <w:vAlign w:val="center"/>
          </w:tcPr>
          <w:p w14:paraId="0A50C275">
            <w:pPr>
              <w:jc w:val="center"/>
              <w:rPr>
                <w:sz w:val="18"/>
                <w:szCs w:val="18"/>
              </w:rPr>
            </w:pPr>
          </w:p>
        </w:tc>
        <w:tc>
          <w:tcPr>
            <w:tcW w:w="576" w:type="pct"/>
            <w:vAlign w:val="center"/>
          </w:tcPr>
          <w:p w14:paraId="0A50C276">
            <w:pPr>
              <w:jc w:val="center"/>
              <w:rPr>
                <w:sz w:val="18"/>
                <w:szCs w:val="18"/>
              </w:rPr>
            </w:pPr>
          </w:p>
        </w:tc>
        <w:tc>
          <w:tcPr>
            <w:tcW w:w="291" w:type="pct"/>
            <w:vAlign w:val="center"/>
          </w:tcPr>
          <w:p w14:paraId="0A50C277">
            <w:pPr>
              <w:jc w:val="center"/>
              <w:rPr>
                <w:sz w:val="18"/>
                <w:szCs w:val="18"/>
              </w:rPr>
            </w:pPr>
          </w:p>
        </w:tc>
        <w:tc>
          <w:tcPr>
            <w:tcW w:w="291" w:type="pct"/>
            <w:vAlign w:val="center"/>
          </w:tcPr>
          <w:p w14:paraId="0A50C278">
            <w:pPr>
              <w:jc w:val="center"/>
              <w:rPr>
                <w:sz w:val="18"/>
                <w:szCs w:val="18"/>
              </w:rPr>
            </w:pPr>
          </w:p>
        </w:tc>
        <w:tc>
          <w:tcPr>
            <w:tcW w:w="291" w:type="pct"/>
            <w:vAlign w:val="center"/>
          </w:tcPr>
          <w:p w14:paraId="0A50C279">
            <w:pPr>
              <w:jc w:val="center"/>
              <w:rPr>
                <w:sz w:val="18"/>
                <w:szCs w:val="18"/>
              </w:rPr>
            </w:pPr>
          </w:p>
        </w:tc>
        <w:tc>
          <w:tcPr>
            <w:tcW w:w="289" w:type="pct"/>
            <w:vAlign w:val="center"/>
          </w:tcPr>
          <w:p w14:paraId="0A50C27A">
            <w:pPr>
              <w:jc w:val="center"/>
              <w:rPr>
                <w:sz w:val="18"/>
                <w:szCs w:val="18"/>
              </w:rPr>
            </w:pPr>
          </w:p>
        </w:tc>
        <w:tc>
          <w:tcPr>
            <w:tcW w:w="435" w:type="pct"/>
            <w:vAlign w:val="center"/>
          </w:tcPr>
          <w:p w14:paraId="0A50C27B">
            <w:pPr>
              <w:jc w:val="center"/>
              <w:rPr>
                <w:sz w:val="18"/>
                <w:szCs w:val="18"/>
              </w:rPr>
            </w:pPr>
          </w:p>
        </w:tc>
        <w:tc>
          <w:tcPr>
            <w:tcW w:w="257" w:type="pct"/>
            <w:vMerge w:val="continue"/>
            <w:vAlign w:val="center"/>
          </w:tcPr>
          <w:p w14:paraId="0A50C27C">
            <w:pPr>
              <w:jc w:val="center"/>
              <w:rPr>
                <w:sz w:val="18"/>
                <w:szCs w:val="18"/>
              </w:rPr>
            </w:pPr>
          </w:p>
        </w:tc>
      </w:tr>
      <w:tr w14:paraId="0A50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27E">
            <w:pPr>
              <w:jc w:val="center"/>
              <w:rPr>
                <w:sz w:val="18"/>
                <w:szCs w:val="18"/>
              </w:rPr>
            </w:pPr>
          </w:p>
        </w:tc>
        <w:tc>
          <w:tcPr>
            <w:tcW w:w="290" w:type="pct"/>
            <w:vAlign w:val="center"/>
          </w:tcPr>
          <w:p w14:paraId="0A50C27F">
            <w:pPr>
              <w:jc w:val="center"/>
              <w:rPr>
                <w:sz w:val="18"/>
                <w:szCs w:val="18"/>
              </w:rPr>
            </w:pPr>
            <w:r>
              <w:rPr>
                <w:sz w:val="18"/>
                <w:szCs w:val="18"/>
              </w:rPr>
              <w:t>2-1</w:t>
            </w:r>
          </w:p>
        </w:tc>
        <w:tc>
          <w:tcPr>
            <w:tcW w:w="870" w:type="pct"/>
            <w:vAlign w:val="center"/>
          </w:tcPr>
          <w:p w14:paraId="0A50C280">
            <w:pPr>
              <w:jc w:val="center"/>
              <w:rPr>
                <w:sz w:val="18"/>
                <w:szCs w:val="18"/>
              </w:rPr>
            </w:pPr>
            <w:r>
              <w:rPr>
                <w:rFonts w:hint="eastAsia"/>
                <w:sz w:val="18"/>
                <w:szCs w:val="18"/>
              </w:rPr>
              <w:t>钢铁研究总院有限公司</w:t>
            </w:r>
          </w:p>
        </w:tc>
        <w:tc>
          <w:tcPr>
            <w:tcW w:w="496" w:type="pct"/>
            <w:vMerge w:val="continue"/>
            <w:vAlign w:val="center"/>
          </w:tcPr>
          <w:p w14:paraId="0A50C281">
            <w:pPr>
              <w:jc w:val="center"/>
              <w:rPr>
                <w:sz w:val="18"/>
                <w:szCs w:val="18"/>
              </w:rPr>
            </w:pPr>
          </w:p>
        </w:tc>
        <w:tc>
          <w:tcPr>
            <w:tcW w:w="550" w:type="pct"/>
            <w:vAlign w:val="center"/>
          </w:tcPr>
          <w:p w14:paraId="0A50C282">
            <w:pPr>
              <w:jc w:val="center"/>
            </w:pPr>
          </w:p>
        </w:tc>
        <w:tc>
          <w:tcPr>
            <w:tcW w:w="576" w:type="pct"/>
            <w:vAlign w:val="center"/>
          </w:tcPr>
          <w:p w14:paraId="0A50C283">
            <w:pPr>
              <w:jc w:val="center"/>
            </w:pPr>
          </w:p>
        </w:tc>
        <w:tc>
          <w:tcPr>
            <w:tcW w:w="291" w:type="pct"/>
            <w:vAlign w:val="center"/>
          </w:tcPr>
          <w:p w14:paraId="0A50C284">
            <w:pPr>
              <w:jc w:val="center"/>
              <w:rPr>
                <w:sz w:val="18"/>
                <w:szCs w:val="18"/>
              </w:rPr>
            </w:pPr>
          </w:p>
        </w:tc>
        <w:tc>
          <w:tcPr>
            <w:tcW w:w="291" w:type="pct"/>
            <w:vAlign w:val="center"/>
          </w:tcPr>
          <w:p w14:paraId="0A50C285">
            <w:pPr>
              <w:jc w:val="center"/>
              <w:rPr>
                <w:sz w:val="18"/>
                <w:szCs w:val="18"/>
              </w:rPr>
            </w:pPr>
          </w:p>
        </w:tc>
        <w:tc>
          <w:tcPr>
            <w:tcW w:w="291" w:type="pct"/>
            <w:vAlign w:val="center"/>
          </w:tcPr>
          <w:p w14:paraId="0A50C286">
            <w:pPr>
              <w:jc w:val="center"/>
              <w:rPr>
                <w:sz w:val="18"/>
                <w:szCs w:val="18"/>
              </w:rPr>
            </w:pPr>
          </w:p>
        </w:tc>
        <w:tc>
          <w:tcPr>
            <w:tcW w:w="289" w:type="pct"/>
            <w:vAlign w:val="center"/>
          </w:tcPr>
          <w:p w14:paraId="0A50C287">
            <w:pPr>
              <w:jc w:val="center"/>
              <w:rPr>
                <w:sz w:val="18"/>
                <w:szCs w:val="18"/>
              </w:rPr>
            </w:pPr>
          </w:p>
        </w:tc>
        <w:tc>
          <w:tcPr>
            <w:tcW w:w="435" w:type="pct"/>
            <w:vAlign w:val="center"/>
          </w:tcPr>
          <w:p w14:paraId="0A50C288">
            <w:pPr>
              <w:jc w:val="center"/>
              <w:rPr>
                <w:sz w:val="18"/>
                <w:szCs w:val="18"/>
              </w:rPr>
            </w:pPr>
          </w:p>
        </w:tc>
        <w:tc>
          <w:tcPr>
            <w:tcW w:w="257" w:type="pct"/>
            <w:vMerge w:val="continue"/>
            <w:vAlign w:val="center"/>
          </w:tcPr>
          <w:p w14:paraId="0A50C289">
            <w:pPr>
              <w:jc w:val="center"/>
              <w:rPr>
                <w:sz w:val="18"/>
                <w:szCs w:val="18"/>
              </w:rPr>
            </w:pPr>
          </w:p>
        </w:tc>
      </w:tr>
      <w:tr w14:paraId="0A50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28B">
            <w:pPr>
              <w:jc w:val="center"/>
              <w:rPr>
                <w:sz w:val="18"/>
                <w:szCs w:val="18"/>
              </w:rPr>
            </w:pPr>
          </w:p>
        </w:tc>
        <w:tc>
          <w:tcPr>
            <w:tcW w:w="290" w:type="pct"/>
            <w:vAlign w:val="center"/>
          </w:tcPr>
          <w:p w14:paraId="0A50C28C">
            <w:pPr>
              <w:jc w:val="center"/>
              <w:rPr>
                <w:sz w:val="18"/>
                <w:szCs w:val="18"/>
              </w:rPr>
            </w:pPr>
            <w:r>
              <w:rPr>
                <w:sz w:val="18"/>
                <w:szCs w:val="18"/>
              </w:rPr>
              <w:t>2-2</w:t>
            </w:r>
          </w:p>
        </w:tc>
        <w:tc>
          <w:tcPr>
            <w:tcW w:w="870" w:type="pct"/>
            <w:vAlign w:val="center"/>
          </w:tcPr>
          <w:p w14:paraId="0A50C28D">
            <w:pPr>
              <w:jc w:val="center"/>
              <w:rPr>
                <w:sz w:val="18"/>
                <w:szCs w:val="18"/>
              </w:rPr>
            </w:pPr>
            <w:r>
              <w:rPr>
                <w:rFonts w:hint="eastAsia"/>
                <w:sz w:val="18"/>
                <w:szCs w:val="18"/>
              </w:rPr>
              <w:t>钢铁研究总院有限公司</w:t>
            </w:r>
          </w:p>
        </w:tc>
        <w:tc>
          <w:tcPr>
            <w:tcW w:w="496" w:type="pct"/>
            <w:vMerge w:val="continue"/>
            <w:vAlign w:val="center"/>
          </w:tcPr>
          <w:p w14:paraId="0A50C28E">
            <w:pPr>
              <w:jc w:val="center"/>
              <w:rPr>
                <w:sz w:val="18"/>
                <w:szCs w:val="18"/>
              </w:rPr>
            </w:pPr>
          </w:p>
        </w:tc>
        <w:tc>
          <w:tcPr>
            <w:tcW w:w="550" w:type="pct"/>
            <w:vAlign w:val="center"/>
          </w:tcPr>
          <w:p w14:paraId="0A50C28F">
            <w:pPr>
              <w:jc w:val="center"/>
              <w:rPr>
                <w:sz w:val="18"/>
                <w:szCs w:val="18"/>
              </w:rPr>
            </w:pPr>
          </w:p>
        </w:tc>
        <w:tc>
          <w:tcPr>
            <w:tcW w:w="576" w:type="pct"/>
            <w:vAlign w:val="center"/>
          </w:tcPr>
          <w:p w14:paraId="0A50C290">
            <w:pPr>
              <w:jc w:val="center"/>
              <w:rPr>
                <w:sz w:val="18"/>
                <w:szCs w:val="18"/>
              </w:rPr>
            </w:pPr>
          </w:p>
        </w:tc>
        <w:tc>
          <w:tcPr>
            <w:tcW w:w="291" w:type="pct"/>
            <w:vAlign w:val="center"/>
          </w:tcPr>
          <w:p w14:paraId="0A50C291">
            <w:pPr>
              <w:jc w:val="center"/>
              <w:rPr>
                <w:sz w:val="18"/>
                <w:szCs w:val="18"/>
              </w:rPr>
            </w:pPr>
          </w:p>
        </w:tc>
        <w:tc>
          <w:tcPr>
            <w:tcW w:w="291" w:type="pct"/>
            <w:vAlign w:val="center"/>
          </w:tcPr>
          <w:p w14:paraId="0A50C292">
            <w:pPr>
              <w:jc w:val="center"/>
              <w:rPr>
                <w:sz w:val="18"/>
                <w:szCs w:val="18"/>
              </w:rPr>
            </w:pPr>
          </w:p>
        </w:tc>
        <w:tc>
          <w:tcPr>
            <w:tcW w:w="291" w:type="pct"/>
            <w:vAlign w:val="center"/>
          </w:tcPr>
          <w:p w14:paraId="0A50C293">
            <w:pPr>
              <w:jc w:val="center"/>
              <w:rPr>
                <w:sz w:val="18"/>
                <w:szCs w:val="18"/>
              </w:rPr>
            </w:pPr>
          </w:p>
        </w:tc>
        <w:tc>
          <w:tcPr>
            <w:tcW w:w="289" w:type="pct"/>
            <w:vAlign w:val="center"/>
          </w:tcPr>
          <w:p w14:paraId="0A50C294">
            <w:pPr>
              <w:jc w:val="center"/>
              <w:rPr>
                <w:sz w:val="18"/>
                <w:szCs w:val="18"/>
              </w:rPr>
            </w:pPr>
          </w:p>
        </w:tc>
        <w:tc>
          <w:tcPr>
            <w:tcW w:w="435" w:type="pct"/>
            <w:vAlign w:val="center"/>
          </w:tcPr>
          <w:p w14:paraId="0A50C295">
            <w:pPr>
              <w:jc w:val="center"/>
              <w:rPr>
                <w:sz w:val="18"/>
                <w:szCs w:val="18"/>
              </w:rPr>
            </w:pPr>
          </w:p>
        </w:tc>
        <w:tc>
          <w:tcPr>
            <w:tcW w:w="257" w:type="pct"/>
            <w:vMerge w:val="continue"/>
            <w:vAlign w:val="center"/>
          </w:tcPr>
          <w:p w14:paraId="0A50C296">
            <w:pPr>
              <w:jc w:val="center"/>
              <w:rPr>
                <w:sz w:val="18"/>
                <w:szCs w:val="18"/>
              </w:rPr>
            </w:pPr>
          </w:p>
        </w:tc>
      </w:tr>
      <w:tr w14:paraId="0A50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298">
            <w:pPr>
              <w:jc w:val="center"/>
              <w:rPr>
                <w:sz w:val="18"/>
                <w:szCs w:val="18"/>
              </w:rPr>
            </w:pPr>
          </w:p>
        </w:tc>
        <w:tc>
          <w:tcPr>
            <w:tcW w:w="290" w:type="pct"/>
            <w:vAlign w:val="center"/>
          </w:tcPr>
          <w:p w14:paraId="0A50C299">
            <w:pPr>
              <w:jc w:val="center"/>
              <w:rPr>
                <w:sz w:val="18"/>
                <w:szCs w:val="18"/>
              </w:rPr>
            </w:pPr>
            <w:r>
              <w:rPr>
                <w:sz w:val="18"/>
                <w:szCs w:val="18"/>
              </w:rPr>
              <w:t>2-3</w:t>
            </w:r>
          </w:p>
        </w:tc>
        <w:tc>
          <w:tcPr>
            <w:tcW w:w="870" w:type="pct"/>
            <w:vAlign w:val="center"/>
          </w:tcPr>
          <w:p w14:paraId="0A50C29A">
            <w:pPr>
              <w:jc w:val="center"/>
              <w:rPr>
                <w:sz w:val="18"/>
                <w:szCs w:val="18"/>
              </w:rPr>
            </w:pPr>
            <w:r>
              <w:rPr>
                <w:rFonts w:hint="eastAsia"/>
                <w:sz w:val="18"/>
                <w:szCs w:val="18"/>
              </w:rPr>
              <w:t>钢铁研究总院有限公司</w:t>
            </w:r>
          </w:p>
        </w:tc>
        <w:tc>
          <w:tcPr>
            <w:tcW w:w="496" w:type="pct"/>
            <w:vMerge w:val="continue"/>
            <w:vAlign w:val="center"/>
          </w:tcPr>
          <w:p w14:paraId="0A50C29B">
            <w:pPr>
              <w:jc w:val="center"/>
              <w:rPr>
                <w:sz w:val="18"/>
                <w:szCs w:val="18"/>
              </w:rPr>
            </w:pPr>
          </w:p>
        </w:tc>
        <w:tc>
          <w:tcPr>
            <w:tcW w:w="550" w:type="pct"/>
            <w:vAlign w:val="center"/>
          </w:tcPr>
          <w:p w14:paraId="0A50C29C">
            <w:pPr>
              <w:jc w:val="center"/>
              <w:rPr>
                <w:sz w:val="18"/>
                <w:szCs w:val="18"/>
              </w:rPr>
            </w:pPr>
          </w:p>
        </w:tc>
        <w:tc>
          <w:tcPr>
            <w:tcW w:w="576" w:type="pct"/>
            <w:vAlign w:val="center"/>
          </w:tcPr>
          <w:p w14:paraId="0A50C29D">
            <w:pPr>
              <w:jc w:val="center"/>
              <w:rPr>
                <w:sz w:val="18"/>
                <w:szCs w:val="18"/>
              </w:rPr>
            </w:pPr>
          </w:p>
        </w:tc>
        <w:tc>
          <w:tcPr>
            <w:tcW w:w="291" w:type="pct"/>
            <w:vAlign w:val="center"/>
          </w:tcPr>
          <w:p w14:paraId="0A50C29E">
            <w:pPr>
              <w:jc w:val="center"/>
              <w:rPr>
                <w:sz w:val="18"/>
                <w:szCs w:val="18"/>
              </w:rPr>
            </w:pPr>
          </w:p>
        </w:tc>
        <w:tc>
          <w:tcPr>
            <w:tcW w:w="291" w:type="pct"/>
            <w:vAlign w:val="center"/>
          </w:tcPr>
          <w:p w14:paraId="0A50C29F">
            <w:pPr>
              <w:jc w:val="center"/>
              <w:rPr>
                <w:sz w:val="18"/>
                <w:szCs w:val="18"/>
              </w:rPr>
            </w:pPr>
          </w:p>
        </w:tc>
        <w:tc>
          <w:tcPr>
            <w:tcW w:w="291" w:type="pct"/>
            <w:vAlign w:val="center"/>
          </w:tcPr>
          <w:p w14:paraId="0A50C2A0">
            <w:pPr>
              <w:jc w:val="center"/>
              <w:rPr>
                <w:sz w:val="18"/>
                <w:szCs w:val="18"/>
              </w:rPr>
            </w:pPr>
          </w:p>
        </w:tc>
        <w:tc>
          <w:tcPr>
            <w:tcW w:w="289" w:type="pct"/>
            <w:vAlign w:val="center"/>
          </w:tcPr>
          <w:p w14:paraId="0A50C2A1">
            <w:pPr>
              <w:jc w:val="center"/>
              <w:rPr>
                <w:sz w:val="18"/>
                <w:szCs w:val="18"/>
              </w:rPr>
            </w:pPr>
          </w:p>
        </w:tc>
        <w:tc>
          <w:tcPr>
            <w:tcW w:w="435" w:type="pct"/>
            <w:vAlign w:val="center"/>
          </w:tcPr>
          <w:p w14:paraId="0A50C2A2">
            <w:pPr>
              <w:jc w:val="center"/>
              <w:rPr>
                <w:sz w:val="18"/>
                <w:szCs w:val="18"/>
              </w:rPr>
            </w:pPr>
          </w:p>
        </w:tc>
        <w:tc>
          <w:tcPr>
            <w:tcW w:w="257" w:type="pct"/>
            <w:vMerge w:val="continue"/>
            <w:vAlign w:val="center"/>
          </w:tcPr>
          <w:p w14:paraId="0A50C2A3">
            <w:pPr>
              <w:jc w:val="center"/>
              <w:rPr>
                <w:sz w:val="18"/>
                <w:szCs w:val="18"/>
              </w:rPr>
            </w:pPr>
          </w:p>
        </w:tc>
      </w:tr>
      <w:tr w14:paraId="0A50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2A5">
            <w:pPr>
              <w:jc w:val="center"/>
              <w:rPr>
                <w:sz w:val="18"/>
                <w:szCs w:val="18"/>
              </w:rPr>
            </w:pPr>
          </w:p>
        </w:tc>
        <w:tc>
          <w:tcPr>
            <w:tcW w:w="290" w:type="pct"/>
            <w:vAlign w:val="center"/>
          </w:tcPr>
          <w:p w14:paraId="0A50C2A6">
            <w:pPr>
              <w:jc w:val="center"/>
              <w:rPr>
                <w:sz w:val="18"/>
                <w:szCs w:val="18"/>
              </w:rPr>
            </w:pPr>
            <w:r>
              <w:rPr>
                <w:sz w:val="18"/>
                <w:szCs w:val="18"/>
              </w:rPr>
              <w:t>3-1</w:t>
            </w:r>
          </w:p>
        </w:tc>
        <w:tc>
          <w:tcPr>
            <w:tcW w:w="870" w:type="pct"/>
            <w:vAlign w:val="center"/>
          </w:tcPr>
          <w:p w14:paraId="0A50C2A7">
            <w:pPr>
              <w:jc w:val="center"/>
              <w:rPr>
                <w:sz w:val="18"/>
                <w:szCs w:val="18"/>
              </w:rPr>
            </w:pPr>
            <w:r>
              <w:rPr>
                <w:sz w:val="18"/>
                <w:szCs w:val="18"/>
              </w:rPr>
              <w:t>北矿新材科技有限公司</w:t>
            </w:r>
          </w:p>
        </w:tc>
        <w:tc>
          <w:tcPr>
            <w:tcW w:w="496" w:type="pct"/>
            <w:vMerge w:val="continue"/>
            <w:vAlign w:val="center"/>
          </w:tcPr>
          <w:p w14:paraId="0A50C2A8">
            <w:pPr>
              <w:jc w:val="center"/>
              <w:rPr>
                <w:sz w:val="18"/>
                <w:szCs w:val="18"/>
              </w:rPr>
            </w:pPr>
          </w:p>
        </w:tc>
        <w:tc>
          <w:tcPr>
            <w:tcW w:w="550" w:type="pct"/>
            <w:vAlign w:val="center"/>
          </w:tcPr>
          <w:p w14:paraId="0A50C2A9">
            <w:pPr>
              <w:jc w:val="center"/>
            </w:pPr>
          </w:p>
        </w:tc>
        <w:tc>
          <w:tcPr>
            <w:tcW w:w="576" w:type="pct"/>
            <w:vAlign w:val="center"/>
          </w:tcPr>
          <w:p w14:paraId="0A50C2AA">
            <w:pPr>
              <w:jc w:val="center"/>
            </w:pPr>
          </w:p>
        </w:tc>
        <w:tc>
          <w:tcPr>
            <w:tcW w:w="291" w:type="pct"/>
            <w:vAlign w:val="center"/>
          </w:tcPr>
          <w:p w14:paraId="0A50C2AB">
            <w:pPr>
              <w:jc w:val="center"/>
              <w:rPr>
                <w:sz w:val="18"/>
                <w:szCs w:val="18"/>
              </w:rPr>
            </w:pPr>
          </w:p>
        </w:tc>
        <w:tc>
          <w:tcPr>
            <w:tcW w:w="291" w:type="pct"/>
            <w:vAlign w:val="center"/>
          </w:tcPr>
          <w:p w14:paraId="0A50C2AC">
            <w:pPr>
              <w:jc w:val="center"/>
              <w:rPr>
                <w:sz w:val="18"/>
                <w:szCs w:val="18"/>
              </w:rPr>
            </w:pPr>
          </w:p>
        </w:tc>
        <w:tc>
          <w:tcPr>
            <w:tcW w:w="291" w:type="pct"/>
            <w:vAlign w:val="center"/>
          </w:tcPr>
          <w:p w14:paraId="0A50C2AD">
            <w:pPr>
              <w:jc w:val="center"/>
              <w:rPr>
                <w:sz w:val="18"/>
                <w:szCs w:val="18"/>
              </w:rPr>
            </w:pPr>
          </w:p>
        </w:tc>
        <w:tc>
          <w:tcPr>
            <w:tcW w:w="289" w:type="pct"/>
            <w:vAlign w:val="center"/>
          </w:tcPr>
          <w:p w14:paraId="0A50C2AE">
            <w:pPr>
              <w:jc w:val="center"/>
              <w:rPr>
                <w:sz w:val="18"/>
                <w:szCs w:val="18"/>
              </w:rPr>
            </w:pPr>
          </w:p>
        </w:tc>
        <w:tc>
          <w:tcPr>
            <w:tcW w:w="435" w:type="pct"/>
            <w:vAlign w:val="center"/>
          </w:tcPr>
          <w:p w14:paraId="0A50C2AF">
            <w:pPr>
              <w:jc w:val="center"/>
              <w:rPr>
                <w:sz w:val="18"/>
                <w:szCs w:val="18"/>
              </w:rPr>
            </w:pPr>
          </w:p>
        </w:tc>
        <w:tc>
          <w:tcPr>
            <w:tcW w:w="257" w:type="pct"/>
            <w:vMerge w:val="continue"/>
            <w:vAlign w:val="center"/>
          </w:tcPr>
          <w:p w14:paraId="0A50C2B0">
            <w:pPr>
              <w:jc w:val="center"/>
              <w:rPr>
                <w:sz w:val="18"/>
                <w:szCs w:val="18"/>
              </w:rPr>
            </w:pPr>
          </w:p>
        </w:tc>
      </w:tr>
      <w:tr w14:paraId="0A50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2B2">
            <w:pPr>
              <w:jc w:val="center"/>
              <w:rPr>
                <w:sz w:val="18"/>
                <w:szCs w:val="18"/>
              </w:rPr>
            </w:pPr>
          </w:p>
        </w:tc>
        <w:tc>
          <w:tcPr>
            <w:tcW w:w="290" w:type="pct"/>
            <w:vAlign w:val="center"/>
          </w:tcPr>
          <w:p w14:paraId="0A50C2B3">
            <w:pPr>
              <w:jc w:val="center"/>
              <w:rPr>
                <w:sz w:val="18"/>
                <w:szCs w:val="18"/>
              </w:rPr>
            </w:pPr>
            <w:r>
              <w:rPr>
                <w:sz w:val="18"/>
                <w:szCs w:val="18"/>
              </w:rPr>
              <w:t>3-2</w:t>
            </w:r>
          </w:p>
        </w:tc>
        <w:tc>
          <w:tcPr>
            <w:tcW w:w="870" w:type="pct"/>
            <w:vAlign w:val="center"/>
          </w:tcPr>
          <w:p w14:paraId="0A50C2B4">
            <w:pPr>
              <w:jc w:val="center"/>
              <w:rPr>
                <w:sz w:val="18"/>
                <w:szCs w:val="18"/>
              </w:rPr>
            </w:pPr>
            <w:r>
              <w:rPr>
                <w:sz w:val="18"/>
                <w:szCs w:val="18"/>
              </w:rPr>
              <w:t>北矿新材科技有限公司</w:t>
            </w:r>
          </w:p>
        </w:tc>
        <w:tc>
          <w:tcPr>
            <w:tcW w:w="496" w:type="pct"/>
            <w:vMerge w:val="continue"/>
            <w:vAlign w:val="center"/>
          </w:tcPr>
          <w:p w14:paraId="0A50C2B5">
            <w:pPr>
              <w:jc w:val="center"/>
              <w:rPr>
                <w:sz w:val="18"/>
                <w:szCs w:val="18"/>
              </w:rPr>
            </w:pPr>
          </w:p>
        </w:tc>
        <w:tc>
          <w:tcPr>
            <w:tcW w:w="550" w:type="pct"/>
            <w:vAlign w:val="center"/>
          </w:tcPr>
          <w:p w14:paraId="0A50C2B6">
            <w:pPr>
              <w:jc w:val="center"/>
              <w:rPr>
                <w:sz w:val="18"/>
                <w:szCs w:val="18"/>
              </w:rPr>
            </w:pPr>
          </w:p>
        </w:tc>
        <w:tc>
          <w:tcPr>
            <w:tcW w:w="576" w:type="pct"/>
            <w:vAlign w:val="center"/>
          </w:tcPr>
          <w:p w14:paraId="0A50C2B7">
            <w:pPr>
              <w:jc w:val="center"/>
              <w:rPr>
                <w:sz w:val="18"/>
                <w:szCs w:val="18"/>
              </w:rPr>
            </w:pPr>
          </w:p>
        </w:tc>
        <w:tc>
          <w:tcPr>
            <w:tcW w:w="291" w:type="pct"/>
            <w:vAlign w:val="center"/>
          </w:tcPr>
          <w:p w14:paraId="0A50C2B8">
            <w:pPr>
              <w:jc w:val="center"/>
              <w:rPr>
                <w:sz w:val="18"/>
                <w:szCs w:val="18"/>
              </w:rPr>
            </w:pPr>
          </w:p>
        </w:tc>
        <w:tc>
          <w:tcPr>
            <w:tcW w:w="291" w:type="pct"/>
            <w:vAlign w:val="center"/>
          </w:tcPr>
          <w:p w14:paraId="0A50C2B9">
            <w:pPr>
              <w:jc w:val="center"/>
              <w:rPr>
                <w:sz w:val="18"/>
                <w:szCs w:val="18"/>
              </w:rPr>
            </w:pPr>
          </w:p>
        </w:tc>
        <w:tc>
          <w:tcPr>
            <w:tcW w:w="291" w:type="pct"/>
            <w:vAlign w:val="center"/>
          </w:tcPr>
          <w:p w14:paraId="0A50C2BA">
            <w:pPr>
              <w:jc w:val="center"/>
              <w:rPr>
                <w:sz w:val="18"/>
                <w:szCs w:val="18"/>
              </w:rPr>
            </w:pPr>
          </w:p>
        </w:tc>
        <w:tc>
          <w:tcPr>
            <w:tcW w:w="289" w:type="pct"/>
            <w:vAlign w:val="center"/>
          </w:tcPr>
          <w:p w14:paraId="0A50C2BB">
            <w:pPr>
              <w:jc w:val="center"/>
              <w:rPr>
                <w:sz w:val="18"/>
                <w:szCs w:val="18"/>
              </w:rPr>
            </w:pPr>
          </w:p>
        </w:tc>
        <w:tc>
          <w:tcPr>
            <w:tcW w:w="435" w:type="pct"/>
            <w:vAlign w:val="center"/>
          </w:tcPr>
          <w:p w14:paraId="0A50C2BC">
            <w:pPr>
              <w:jc w:val="center"/>
              <w:rPr>
                <w:sz w:val="18"/>
                <w:szCs w:val="18"/>
              </w:rPr>
            </w:pPr>
          </w:p>
        </w:tc>
        <w:tc>
          <w:tcPr>
            <w:tcW w:w="257" w:type="pct"/>
            <w:vMerge w:val="continue"/>
            <w:vAlign w:val="center"/>
          </w:tcPr>
          <w:p w14:paraId="0A50C2BD">
            <w:pPr>
              <w:jc w:val="center"/>
              <w:rPr>
                <w:sz w:val="18"/>
                <w:szCs w:val="18"/>
              </w:rPr>
            </w:pPr>
          </w:p>
        </w:tc>
      </w:tr>
      <w:tr w14:paraId="0A50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2BF">
            <w:pPr>
              <w:jc w:val="center"/>
              <w:rPr>
                <w:sz w:val="18"/>
                <w:szCs w:val="18"/>
              </w:rPr>
            </w:pPr>
          </w:p>
        </w:tc>
        <w:tc>
          <w:tcPr>
            <w:tcW w:w="290" w:type="pct"/>
            <w:vAlign w:val="center"/>
          </w:tcPr>
          <w:p w14:paraId="0A50C2C0">
            <w:pPr>
              <w:jc w:val="center"/>
              <w:rPr>
                <w:sz w:val="18"/>
                <w:szCs w:val="18"/>
              </w:rPr>
            </w:pPr>
            <w:r>
              <w:rPr>
                <w:sz w:val="18"/>
                <w:szCs w:val="18"/>
              </w:rPr>
              <w:t>3-3</w:t>
            </w:r>
          </w:p>
        </w:tc>
        <w:tc>
          <w:tcPr>
            <w:tcW w:w="870" w:type="pct"/>
            <w:vAlign w:val="center"/>
          </w:tcPr>
          <w:p w14:paraId="0A50C2C1">
            <w:pPr>
              <w:jc w:val="center"/>
              <w:rPr>
                <w:sz w:val="18"/>
                <w:szCs w:val="18"/>
              </w:rPr>
            </w:pPr>
            <w:r>
              <w:rPr>
                <w:sz w:val="18"/>
                <w:szCs w:val="18"/>
              </w:rPr>
              <w:t>北矿新材科技有限公司</w:t>
            </w:r>
          </w:p>
        </w:tc>
        <w:tc>
          <w:tcPr>
            <w:tcW w:w="496" w:type="pct"/>
            <w:vMerge w:val="continue"/>
            <w:vAlign w:val="center"/>
          </w:tcPr>
          <w:p w14:paraId="0A50C2C2">
            <w:pPr>
              <w:jc w:val="center"/>
              <w:rPr>
                <w:sz w:val="18"/>
                <w:szCs w:val="18"/>
              </w:rPr>
            </w:pPr>
          </w:p>
        </w:tc>
        <w:tc>
          <w:tcPr>
            <w:tcW w:w="550" w:type="pct"/>
            <w:vAlign w:val="center"/>
          </w:tcPr>
          <w:p w14:paraId="0A50C2C3">
            <w:pPr>
              <w:jc w:val="center"/>
              <w:rPr>
                <w:sz w:val="18"/>
                <w:szCs w:val="18"/>
              </w:rPr>
            </w:pPr>
          </w:p>
        </w:tc>
        <w:tc>
          <w:tcPr>
            <w:tcW w:w="576" w:type="pct"/>
            <w:vAlign w:val="center"/>
          </w:tcPr>
          <w:p w14:paraId="0A50C2C4">
            <w:pPr>
              <w:jc w:val="center"/>
              <w:rPr>
                <w:sz w:val="18"/>
                <w:szCs w:val="18"/>
              </w:rPr>
            </w:pPr>
          </w:p>
        </w:tc>
        <w:tc>
          <w:tcPr>
            <w:tcW w:w="291" w:type="pct"/>
            <w:vAlign w:val="center"/>
          </w:tcPr>
          <w:p w14:paraId="0A50C2C5">
            <w:pPr>
              <w:jc w:val="center"/>
              <w:rPr>
                <w:sz w:val="18"/>
                <w:szCs w:val="18"/>
              </w:rPr>
            </w:pPr>
          </w:p>
        </w:tc>
        <w:tc>
          <w:tcPr>
            <w:tcW w:w="291" w:type="pct"/>
            <w:vAlign w:val="center"/>
          </w:tcPr>
          <w:p w14:paraId="0A50C2C6">
            <w:pPr>
              <w:jc w:val="center"/>
              <w:rPr>
                <w:sz w:val="18"/>
                <w:szCs w:val="18"/>
              </w:rPr>
            </w:pPr>
          </w:p>
        </w:tc>
        <w:tc>
          <w:tcPr>
            <w:tcW w:w="291" w:type="pct"/>
            <w:vAlign w:val="center"/>
          </w:tcPr>
          <w:p w14:paraId="0A50C2C7">
            <w:pPr>
              <w:jc w:val="center"/>
              <w:rPr>
                <w:sz w:val="18"/>
                <w:szCs w:val="18"/>
              </w:rPr>
            </w:pPr>
          </w:p>
        </w:tc>
        <w:tc>
          <w:tcPr>
            <w:tcW w:w="289" w:type="pct"/>
            <w:vAlign w:val="center"/>
          </w:tcPr>
          <w:p w14:paraId="0A50C2C8">
            <w:pPr>
              <w:jc w:val="center"/>
              <w:rPr>
                <w:sz w:val="18"/>
                <w:szCs w:val="18"/>
              </w:rPr>
            </w:pPr>
          </w:p>
        </w:tc>
        <w:tc>
          <w:tcPr>
            <w:tcW w:w="435" w:type="pct"/>
            <w:vAlign w:val="center"/>
          </w:tcPr>
          <w:p w14:paraId="0A50C2C9">
            <w:pPr>
              <w:jc w:val="center"/>
              <w:rPr>
                <w:sz w:val="18"/>
                <w:szCs w:val="18"/>
              </w:rPr>
            </w:pPr>
          </w:p>
        </w:tc>
        <w:tc>
          <w:tcPr>
            <w:tcW w:w="257" w:type="pct"/>
            <w:vMerge w:val="continue"/>
            <w:vAlign w:val="center"/>
          </w:tcPr>
          <w:p w14:paraId="0A50C2CA">
            <w:pPr>
              <w:jc w:val="center"/>
              <w:rPr>
                <w:sz w:val="18"/>
                <w:szCs w:val="18"/>
              </w:rPr>
            </w:pPr>
          </w:p>
        </w:tc>
      </w:tr>
    </w:tbl>
    <w:p w14:paraId="0A50C2CC">
      <w:pPr>
        <w:rPr>
          <w:highlight w:val="yellow"/>
        </w:rPr>
      </w:pPr>
    </w:p>
    <w:p w14:paraId="0A50C2CD">
      <w:pPr>
        <w:spacing w:line="360" w:lineRule="auto"/>
        <w:ind w:firstLine="496" w:firstLineChars="200"/>
        <w:rPr>
          <w:color w:val="000000"/>
          <w:spacing w:val="4"/>
          <w:sz w:val="24"/>
        </w:rPr>
      </w:pPr>
      <w:r>
        <w:rPr>
          <w:color w:val="000000"/>
          <w:spacing w:val="4"/>
          <w:sz w:val="24"/>
        </w:rPr>
        <w:t>第一组验证由</w:t>
      </w:r>
      <w:r>
        <w:rPr>
          <w:rFonts w:hint="eastAsia"/>
          <w:color w:val="000000"/>
          <w:spacing w:val="4"/>
          <w:sz w:val="24"/>
        </w:rPr>
        <w:t>钢铁研究总院</w:t>
      </w:r>
      <w:r>
        <w:rPr>
          <w:color w:val="000000"/>
          <w:spacing w:val="4"/>
          <w:sz w:val="24"/>
        </w:rPr>
        <w:t>有限公司提供</w:t>
      </w:r>
      <w:r>
        <w:rPr>
          <w:rFonts w:hint="eastAsia"/>
          <w:color w:val="000000"/>
          <w:spacing w:val="4"/>
          <w:sz w:val="24"/>
        </w:rPr>
        <w:t>XX</w:t>
      </w:r>
      <w:r>
        <w:rPr>
          <w:color w:val="000000"/>
          <w:spacing w:val="4"/>
          <w:sz w:val="24"/>
        </w:rPr>
        <w:t>样品，</w:t>
      </w:r>
      <w:r>
        <w:rPr>
          <w:rFonts w:hint="eastAsia"/>
          <w:color w:val="000000"/>
          <w:spacing w:val="4"/>
          <w:sz w:val="24"/>
        </w:rPr>
        <w:t>表面粗糙度</w:t>
      </w:r>
      <w:r>
        <w:rPr>
          <w:color w:val="000000"/>
          <w:spacing w:val="4"/>
          <w:sz w:val="24"/>
        </w:rPr>
        <w:t>约为</w:t>
      </w:r>
      <w:r>
        <w:rPr>
          <w:rFonts w:hint="eastAsia"/>
          <w:color w:val="000000"/>
          <w:spacing w:val="4"/>
          <w:sz w:val="24"/>
        </w:rPr>
        <w:t>XX</w:t>
      </w:r>
      <w:r>
        <w:rPr>
          <w:sz w:val="24"/>
          <w:szCs w:val="24"/>
        </w:rPr>
        <w:t>μm</w:t>
      </w:r>
      <w:r>
        <w:rPr>
          <w:color w:val="000000"/>
          <w:spacing w:val="4"/>
          <w:sz w:val="24"/>
        </w:rPr>
        <w:t>。由北京钢研高纳科技股份有限公司、</w:t>
      </w:r>
      <w:r>
        <w:rPr>
          <w:rFonts w:hint="eastAsia"/>
          <w:color w:val="000000"/>
          <w:spacing w:val="4"/>
          <w:sz w:val="24"/>
        </w:rPr>
        <w:t>钢铁研究总院</w:t>
      </w:r>
      <w:r>
        <w:rPr>
          <w:color w:val="000000"/>
          <w:spacing w:val="4"/>
          <w:sz w:val="24"/>
        </w:rPr>
        <w:t>有限公司、北矿新材科技有限公司</w:t>
      </w:r>
      <w:r>
        <w:rPr>
          <w:rFonts w:hint="eastAsia"/>
          <w:color w:val="000000"/>
          <w:spacing w:val="4"/>
          <w:sz w:val="24"/>
        </w:rPr>
        <w:t>3</w:t>
      </w:r>
      <w:r>
        <w:rPr>
          <w:color w:val="000000"/>
          <w:spacing w:val="4"/>
          <w:sz w:val="24"/>
        </w:rPr>
        <w:t>家单位进行验证。</w:t>
      </w:r>
    </w:p>
    <w:p w14:paraId="0A50C2CE">
      <w:pPr>
        <w:spacing w:line="360" w:lineRule="auto"/>
        <w:ind w:firstLine="496" w:firstLineChars="200"/>
        <w:rPr>
          <w:color w:val="000000"/>
          <w:spacing w:val="4"/>
          <w:sz w:val="24"/>
        </w:rPr>
      </w:pPr>
      <w:r>
        <w:rPr>
          <w:color w:val="000000"/>
          <w:spacing w:val="4"/>
          <w:sz w:val="24"/>
        </w:rPr>
        <w:t>经计算，总测试次数为</w:t>
      </w:r>
      <w:r>
        <w:rPr>
          <w:rFonts w:hint="eastAsia"/>
          <w:color w:val="000000"/>
          <w:spacing w:val="4"/>
          <w:sz w:val="24"/>
        </w:rPr>
        <w:t>27</w:t>
      </w:r>
      <w:r>
        <w:rPr>
          <w:color w:val="000000"/>
          <w:spacing w:val="4"/>
          <w:sz w:val="24"/>
        </w:rPr>
        <w:t>次，</w:t>
      </w:r>
      <w:r>
        <w:rPr>
          <w:rFonts w:hint="eastAsia"/>
          <w:color w:val="000000"/>
          <w:spacing w:val="4"/>
          <w:sz w:val="24"/>
        </w:rPr>
        <w:t>3</w:t>
      </w:r>
      <w:r>
        <w:rPr>
          <w:color w:val="000000"/>
          <w:spacing w:val="4"/>
          <w:sz w:val="24"/>
        </w:rPr>
        <w:t xml:space="preserve">家单位测试结果平均值在 </w:t>
      </w:r>
      <w:r>
        <w:rPr>
          <w:rFonts w:hint="eastAsia"/>
          <w:color w:val="000000"/>
          <w:spacing w:val="4"/>
          <w:sz w:val="24"/>
        </w:rPr>
        <w:t xml:space="preserve">XX </w:t>
      </w:r>
      <w:r>
        <w:rPr>
          <w:color w:val="000000"/>
          <w:spacing w:val="4"/>
          <w:sz w:val="24"/>
        </w:rPr>
        <w:t>~</w:t>
      </w:r>
      <w:r>
        <w:rPr>
          <w:rFonts w:hint="eastAsia"/>
          <w:color w:val="000000"/>
          <w:spacing w:val="4"/>
          <w:sz w:val="24"/>
        </w:rPr>
        <w:t xml:space="preserve"> XX </w:t>
      </w:r>
      <w:r>
        <w:rPr>
          <w:sz w:val="24"/>
          <w:szCs w:val="24"/>
        </w:rPr>
        <w:t>μm</w:t>
      </w:r>
      <w:r>
        <w:rPr>
          <w:color w:val="000000"/>
          <w:spacing w:val="4"/>
          <w:sz w:val="24"/>
        </w:rPr>
        <w:t xml:space="preserve"> 之间，数据分布相对集中。</w:t>
      </w:r>
    </w:p>
    <w:p w14:paraId="0A50C2CF">
      <w:pPr>
        <w:spacing w:line="360" w:lineRule="auto"/>
        <w:ind w:firstLine="496" w:firstLineChars="200"/>
        <w:rPr>
          <w:color w:val="000000"/>
          <w:spacing w:val="4"/>
          <w:sz w:val="24"/>
        </w:rPr>
      </w:pPr>
      <w:r>
        <w:rPr>
          <w:color w:val="000000"/>
          <w:spacing w:val="4"/>
          <w:sz w:val="24"/>
        </w:rPr>
        <w:t>各单位内部标准偏差不大于</w:t>
      </w:r>
      <w:r>
        <w:rPr>
          <w:rFonts w:hint="eastAsia"/>
          <w:color w:val="000000"/>
          <w:spacing w:val="4"/>
          <w:sz w:val="24"/>
        </w:rPr>
        <w:t>XX</w:t>
      </w:r>
      <w:r>
        <w:rPr>
          <w:color w:val="000000"/>
          <w:spacing w:val="4"/>
          <w:sz w:val="24"/>
        </w:rPr>
        <w:t>，测试稳定性优秀，操作规范性强；单位间差异在合理范围内，测试方法具有较好的通用性和再现性。</w:t>
      </w:r>
    </w:p>
    <w:p w14:paraId="0A50C2D0">
      <w:pPr>
        <w:jc w:val="center"/>
      </w:pPr>
      <w:r>
        <w:t>表1</w:t>
      </w:r>
      <w:r>
        <w:rPr>
          <w:rFonts w:hint="eastAsia"/>
        </w:rPr>
        <w:t>2</w:t>
      </w:r>
      <w:r>
        <w:t xml:space="preserve"> </w:t>
      </w:r>
      <w:r>
        <w:rPr>
          <w:rFonts w:hint="eastAsia"/>
        </w:rPr>
        <w:t>XX</w:t>
      </w:r>
      <w:r>
        <w:t>试验验证表</w:t>
      </w:r>
    </w:p>
    <w:tbl>
      <w:tblPr>
        <w:tblStyle w:val="23"/>
        <w:tblW w:w="55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583"/>
        <w:gridCol w:w="1746"/>
        <w:gridCol w:w="994"/>
        <w:gridCol w:w="1105"/>
        <w:gridCol w:w="1156"/>
        <w:gridCol w:w="584"/>
        <w:gridCol w:w="584"/>
        <w:gridCol w:w="584"/>
        <w:gridCol w:w="580"/>
        <w:gridCol w:w="872"/>
        <w:gridCol w:w="515"/>
      </w:tblGrid>
      <w:tr w14:paraId="0A50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14:paraId="0A50C2D1">
            <w:pPr>
              <w:jc w:val="center"/>
              <w:rPr>
                <w:b/>
                <w:sz w:val="18"/>
                <w:szCs w:val="18"/>
              </w:rPr>
            </w:pPr>
            <w:r>
              <w:rPr>
                <w:b/>
                <w:sz w:val="18"/>
                <w:szCs w:val="18"/>
              </w:rPr>
              <w:t>提供粉末单位</w:t>
            </w:r>
          </w:p>
        </w:tc>
        <w:tc>
          <w:tcPr>
            <w:tcW w:w="290" w:type="pct"/>
            <w:vAlign w:val="center"/>
          </w:tcPr>
          <w:p w14:paraId="0A50C2D2">
            <w:pPr>
              <w:jc w:val="center"/>
              <w:rPr>
                <w:b/>
                <w:sz w:val="18"/>
                <w:szCs w:val="18"/>
              </w:rPr>
            </w:pPr>
            <w:r>
              <w:rPr>
                <w:b/>
                <w:sz w:val="18"/>
                <w:szCs w:val="18"/>
              </w:rPr>
              <w:t>序号</w:t>
            </w:r>
          </w:p>
        </w:tc>
        <w:tc>
          <w:tcPr>
            <w:tcW w:w="870" w:type="pct"/>
            <w:vAlign w:val="center"/>
          </w:tcPr>
          <w:p w14:paraId="0A50C2D3">
            <w:pPr>
              <w:jc w:val="center"/>
              <w:rPr>
                <w:b/>
                <w:sz w:val="18"/>
                <w:szCs w:val="18"/>
              </w:rPr>
            </w:pPr>
            <w:r>
              <w:rPr>
                <w:b/>
                <w:sz w:val="18"/>
                <w:szCs w:val="18"/>
              </w:rPr>
              <w:t>试验验证单位</w:t>
            </w:r>
          </w:p>
        </w:tc>
        <w:tc>
          <w:tcPr>
            <w:tcW w:w="496" w:type="pct"/>
            <w:vAlign w:val="center"/>
          </w:tcPr>
          <w:p w14:paraId="0A50C2D4">
            <w:pPr>
              <w:jc w:val="center"/>
              <w:rPr>
                <w:b/>
                <w:sz w:val="18"/>
                <w:szCs w:val="18"/>
              </w:rPr>
            </w:pPr>
            <w:r>
              <w:rPr>
                <w:b/>
                <w:sz w:val="18"/>
                <w:szCs w:val="18"/>
              </w:rPr>
              <w:t>材料种类</w:t>
            </w:r>
            <w:r>
              <w:rPr>
                <w:rFonts w:hint="eastAsia"/>
                <w:b/>
                <w:sz w:val="18"/>
                <w:szCs w:val="18"/>
              </w:rPr>
              <w:t>及牌号</w:t>
            </w:r>
          </w:p>
        </w:tc>
        <w:tc>
          <w:tcPr>
            <w:tcW w:w="550" w:type="pct"/>
            <w:vAlign w:val="center"/>
          </w:tcPr>
          <w:p w14:paraId="0A50C2D5">
            <w:pPr>
              <w:jc w:val="center"/>
              <w:rPr>
                <w:b/>
                <w:bCs/>
                <w:sz w:val="18"/>
                <w:szCs w:val="18"/>
              </w:rPr>
            </w:pPr>
            <w:r>
              <w:rPr>
                <w:rFonts w:hint="eastAsia"/>
                <w:b/>
                <w:bCs/>
                <w:sz w:val="18"/>
                <w:szCs w:val="18"/>
              </w:rPr>
              <w:t>取样长度</w:t>
            </w:r>
          </w:p>
          <w:p w14:paraId="0A50C2D6">
            <w:pPr>
              <w:jc w:val="center"/>
              <w:rPr>
                <w:b/>
                <w:bCs/>
                <w:sz w:val="18"/>
                <w:szCs w:val="18"/>
              </w:rPr>
            </w:pPr>
            <w:r>
              <w:rPr>
                <w:b/>
                <w:bCs/>
                <w:i/>
                <w:iCs/>
                <w:sz w:val="18"/>
                <w:szCs w:val="18"/>
              </w:rPr>
              <w:t xml:space="preserve">lr </w:t>
            </w:r>
            <w:r>
              <w:rPr>
                <w:b/>
                <w:bCs/>
                <w:sz w:val="18"/>
                <w:szCs w:val="18"/>
              </w:rPr>
              <w:t>/mm</w:t>
            </w:r>
          </w:p>
        </w:tc>
        <w:tc>
          <w:tcPr>
            <w:tcW w:w="576" w:type="pct"/>
            <w:vAlign w:val="center"/>
          </w:tcPr>
          <w:p w14:paraId="0A50C2D7">
            <w:pPr>
              <w:jc w:val="center"/>
              <w:rPr>
                <w:b/>
                <w:bCs/>
                <w:sz w:val="18"/>
                <w:szCs w:val="18"/>
              </w:rPr>
            </w:pPr>
            <w:r>
              <w:rPr>
                <w:rFonts w:hint="eastAsia"/>
                <w:b/>
                <w:bCs/>
                <w:sz w:val="18"/>
                <w:szCs w:val="18"/>
              </w:rPr>
              <w:t>评定长度</w:t>
            </w:r>
          </w:p>
          <w:p w14:paraId="0A50C2D8">
            <w:pPr>
              <w:jc w:val="center"/>
              <w:rPr>
                <w:b/>
                <w:bCs/>
                <w:sz w:val="18"/>
                <w:szCs w:val="18"/>
              </w:rPr>
            </w:pPr>
            <w:r>
              <w:rPr>
                <w:b/>
                <w:bCs/>
                <w:i/>
                <w:iCs/>
                <w:sz w:val="18"/>
                <w:szCs w:val="18"/>
              </w:rPr>
              <w:t xml:space="preserve">ln </w:t>
            </w:r>
            <w:r>
              <w:rPr>
                <w:b/>
                <w:bCs/>
                <w:sz w:val="18"/>
                <w:szCs w:val="18"/>
              </w:rPr>
              <w:t>/mm</w:t>
            </w:r>
          </w:p>
          <w:p w14:paraId="0A50C2D9">
            <w:pPr>
              <w:jc w:val="center"/>
              <w:rPr>
                <w:b/>
                <w:bCs/>
                <w:color w:val="000000"/>
                <w:spacing w:val="4"/>
                <w:sz w:val="18"/>
                <w:szCs w:val="18"/>
              </w:rPr>
            </w:pPr>
            <w:r>
              <w:rPr>
                <w:b/>
                <w:bCs/>
                <w:sz w:val="18"/>
                <w:szCs w:val="18"/>
              </w:rPr>
              <w:t>(</w:t>
            </w:r>
            <w:r>
              <w:rPr>
                <w:b/>
                <w:bCs/>
                <w:i/>
                <w:iCs/>
                <w:sz w:val="18"/>
                <w:szCs w:val="18"/>
              </w:rPr>
              <w:t>ln</w:t>
            </w:r>
            <w:r>
              <w:rPr>
                <w:rFonts w:hint="eastAsia"/>
                <w:b/>
                <w:bCs/>
                <w:i/>
                <w:iCs/>
                <w:sz w:val="18"/>
                <w:szCs w:val="18"/>
              </w:rPr>
              <w:t xml:space="preserve"> </w:t>
            </w:r>
            <w:r>
              <w:rPr>
                <w:b/>
                <w:bCs/>
                <w:sz w:val="18"/>
                <w:szCs w:val="18"/>
              </w:rPr>
              <w:t>=</w:t>
            </w:r>
            <w:r>
              <w:rPr>
                <w:rFonts w:hint="eastAsia"/>
                <w:b/>
                <w:bCs/>
                <w:sz w:val="18"/>
                <w:szCs w:val="18"/>
              </w:rPr>
              <w:t xml:space="preserve"> </w:t>
            </w:r>
            <w:r>
              <w:rPr>
                <w:b/>
                <w:bCs/>
                <w:sz w:val="18"/>
                <w:szCs w:val="18"/>
              </w:rPr>
              <w:t>5</w:t>
            </w:r>
            <w:r>
              <w:rPr>
                <w:rFonts w:hint="eastAsia"/>
                <w:b/>
                <w:bCs/>
                <w:sz w:val="18"/>
                <w:szCs w:val="18"/>
              </w:rPr>
              <w:t xml:space="preserve"> </w:t>
            </w:r>
            <w:r>
              <w:rPr>
                <w:b/>
                <w:bCs/>
                <w:sz w:val="18"/>
                <w:szCs w:val="18"/>
              </w:rPr>
              <w:t>×</w:t>
            </w:r>
            <w:r>
              <w:rPr>
                <w:rFonts w:hint="eastAsia"/>
                <w:b/>
                <w:bCs/>
                <w:sz w:val="18"/>
                <w:szCs w:val="18"/>
              </w:rPr>
              <w:t xml:space="preserve"> </w:t>
            </w:r>
            <w:r>
              <w:rPr>
                <w:b/>
                <w:bCs/>
                <w:i/>
                <w:iCs/>
                <w:sz w:val="18"/>
                <w:szCs w:val="18"/>
              </w:rPr>
              <w:t>lr</w:t>
            </w:r>
            <w:r>
              <w:rPr>
                <w:b/>
                <w:bCs/>
                <w:sz w:val="18"/>
                <w:szCs w:val="18"/>
              </w:rPr>
              <w:t>)</w:t>
            </w:r>
          </w:p>
        </w:tc>
        <w:tc>
          <w:tcPr>
            <w:tcW w:w="873" w:type="pct"/>
            <w:gridSpan w:val="3"/>
            <w:vAlign w:val="center"/>
          </w:tcPr>
          <w:p w14:paraId="0A50C2DA">
            <w:pPr>
              <w:jc w:val="center"/>
              <w:rPr>
                <w:rFonts w:hint="eastAsia" w:ascii="宋体" w:hAnsi="宋体" w:cs="宋体"/>
                <w:b/>
                <w:bCs/>
                <w:spacing w:val="-1"/>
                <w:sz w:val="18"/>
                <w:szCs w:val="18"/>
              </w:rPr>
            </w:pPr>
            <w:r>
              <w:rPr>
                <w:rFonts w:ascii="宋体" w:hAnsi="宋体" w:cs="宋体"/>
                <w:b/>
                <w:bCs/>
                <w:spacing w:val="-1"/>
                <w:sz w:val="18"/>
                <w:szCs w:val="18"/>
              </w:rPr>
              <w:t>表面粗糙度</w:t>
            </w:r>
          </w:p>
          <w:p w14:paraId="0A50C2DB">
            <w:pPr>
              <w:jc w:val="center"/>
              <w:rPr>
                <w:b/>
                <w:bCs/>
                <w:sz w:val="18"/>
                <w:szCs w:val="18"/>
              </w:rPr>
            </w:pPr>
            <w:r>
              <w:rPr>
                <w:b/>
                <w:bCs/>
                <w:sz w:val="18"/>
                <w:szCs w:val="18"/>
              </w:rPr>
              <w:t>测试结果（3次）</w:t>
            </w:r>
          </w:p>
          <w:p w14:paraId="0A50C2DC">
            <w:pPr>
              <w:jc w:val="center"/>
              <w:rPr>
                <w:b/>
                <w:sz w:val="18"/>
                <w:szCs w:val="18"/>
              </w:rPr>
            </w:pPr>
            <w:r>
              <w:rPr>
                <w:b/>
                <w:bCs/>
                <w:i/>
                <w:iCs/>
                <w:sz w:val="18"/>
                <w:szCs w:val="18"/>
              </w:rPr>
              <w:t>Ra</w:t>
            </w:r>
            <w:r>
              <w:rPr>
                <w:b/>
                <w:bCs/>
                <w:sz w:val="18"/>
                <w:szCs w:val="18"/>
              </w:rPr>
              <w:t xml:space="preserve"> /μm</w:t>
            </w:r>
          </w:p>
        </w:tc>
        <w:tc>
          <w:tcPr>
            <w:tcW w:w="289" w:type="pct"/>
            <w:vAlign w:val="center"/>
          </w:tcPr>
          <w:p w14:paraId="0A50C2DD">
            <w:pPr>
              <w:jc w:val="center"/>
              <w:rPr>
                <w:b/>
                <w:sz w:val="18"/>
                <w:szCs w:val="18"/>
              </w:rPr>
            </w:pPr>
            <w:r>
              <w:rPr>
                <w:b/>
                <w:sz w:val="18"/>
                <w:szCs w:val="18"/>
              </w:rPr>
              <w:t>平均值</w:t>
            </w:r>
          </w:p>
        </w:tc>
        <w:tc>
          <w:tcPr>
            <w:tcW w:w="435" w:type="pct"/>
            <w:vAlign w:val="center"/>
          </w:tcPr>
          <w:p w14:paraId="0A50C2DE">
            <w:pPr>
              <w:jc w:val="center"/>
              <w:rPr>
                <w:b/>
                <w:sz w:val="18"/>
                <w:szCs w:val="18"/>
              </w:rPr>
            </w:pPr>
            <w:r>
              <w:rPr>
                <w:b/>
                <w:sz w:val="18"/>
                <w:szCs w:val="18"/>
              </w:rPr>
              <w:t>标准</w:t>
            </w:r>
          </w:p>
          <w:p w14:paraId="0A50C2DF">
            <w:pPr>
              <w:jc w:val="center"/>
              <w:rPr>
                <w:b/>
                <w:sz w:val="18"/>
                <w:szCs w:val="18"/>
              </w:rPr>
            </w:pPr>
            <w:r>
              <w:rPr>
                <w:b/>
                <w:sz w:val="18"/>
                <w:szCs w:val="18"/>
              </w:rPr>
              <w:t>偏差</w:t>
            </w:r>
          </w:p>
          <w:p w14:paraId="0A50C2E0">
            <w:pPr>
              <w:jc w:val="center"/>
              <w:rPr>
                <w:b/>
                <w:sz w:val="18"/>
                <w:szCs w:val="18"/>
              </w:rPr>
            </w:pPr>
            <w:r>
              <w:rPr>
                <w:b/>
                <w:i/>
                <w:sz w:val="18"/>
                <w:szCs w:val="18"/>
              </w:rPr>
              <w:t>S</w:t>
            </w:r>
            <w:r>
              <w:rPr>
                <w:b/>
                <w:sz w:val="18"/>
                <w:szCs w:val="18"/>
                <w:vertAlign w:val="subscript"/>
              </w:rPr>
              <w:t>i</w:t>
            </w:r>
          </w:p>
        </w:tc>
        <w:tc>
          <w:tcPr>
            <w:tcW w:w="257" w:type="pct"/>
            <w:vAlign w:val="center"/>
          </w:tcPr>
          <w:p w14:paraId="0A50C2E1">
            <w:pPr>
              <w:jc w:val="center"/>
              <w:rPr>
                <w:b/>
                <w:i/>
                <w:sz w:val="18"/>
                <w:szCs w:val="18"/>
              </w:rPr>
            </w:pPr>
            <w:r>
              <w:rPr>
                <w:rFonts w:hint="eastAsia"/>
                <w:b/>
                <w:i/>
                <w:sz w:val="18"/>
                <w:szCs w:val="18"/>
              </w:rPr>
              <w:t>备注</w:t>
            </w:r>
          </w:p>
        </w:tc>
      </w:tr>
      <w:tr w14:paraId="0A50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restart"/>
            <w:vAlign w:val="center"/>
          </w:tcPr>
          <w:p w14:paraId="0A50C2E3">
            <w:pPr>
              <w:jc w:val="center"/>
              <w:rPr>
                <w:sz w:val="18"/>
                <w:szCs w:val="18"/>
              </w:rPr>
            </w:pPr>
            <w:r>
              <w:rPr>
                <w:rFonts w:hint="eastAsia"/>
                <w:sz w:val="18"/>
                <w:szCs w:val="18"/>
              </w:rPr>
              <w:t>东睦新材料集团股份有限公司</w:t>
            </w:r>
          </w:p>
        </w:tc>
        <w:tc>
          <w:tcPr>
            <w:tcW w:w="290" w:type="pct"/>
            <w:vAlign w:val="center"/>
          </w:tcPr>
          <w:p w14:paraId="0A50C2E4">
            <w:pPr>
              <w:jc w:val="center"/>
              <w:rPr>
                <w:sz w:val="18"/>
                <w:szCs w:val="18"/>
              </w:rPr>
            </w:pPr>
            <w:r>
              <w:rPr>
                <w:sz w:val="18"/>
                <w:szCs w:val="18"/>
              </w:rPr>
              <w:t>1-1</w:t>
            </w:r>
          </w:p>
        </w:tc>
        <w:tc>
          <w:tcPr>
            <w:tcW w:w="870" w:type="pct"/>
            <w:vAlign w:val="center"/>
          </w:tcPr>
          <w:p w14:paraId="0A50C2E5">
            <w:pPr>
              <w:jc w:val="center"/>
              <w:rPr>
                <w:sz w:val="18"/>
                <w:szCs w:val="18"/>
              </w:rPr>
            </w:pPr>
            <w:r>
              <w:rPr>
                <w:rFonts w:hint="eastAsia"/>
                <w:sz w:val="18"/>
                <w:szCs w:val="18"/>
              </w:rPr>
              <w:t>东睦新材料集团股份有限公司</w:t>
            </w:r>
          </w:p>
        </w:tc>
        <w:tc>
          <w:tcPr>
            <w:tcW w:w="496" w:type="pct"/>
            <w:vMerge w:val="restart"/>
            <w:vAlign w:val="center"/>
          </w:tcPr>
          <w:p w14:paraId="0A50C2E6">
            <w:pPr>
              <w:jc w:val="center"/>
              <w:rPr>
                <w:sz w:val="18"/>
                <w:szCs w:val="18"/>
              </w:rPr>
            </w:pPr>
            <w:r>
              <w:rPr>
                <w:rFonts w:hint="eastAsia"/>
                <w:sz w:val="18"/>
                <w:szCs w:val="18"/>
              </w:rPr>
              <w:t>XX</w:t>
            </w:r>
          </w:p>
        </w:tc>
        <w:tc>
          <w:tcPr>
            <w:tcW w:w="550" w:type="pct"/>
            <w:vAlign w:val="center"/>
          </w:tcPr>
          <w:p w14:paraId="0A50C2E7">
            <w:pPr>
              <w:jc w:val="center"/>
              <w:rPr>
                <w:sz w:val="18"/>
                <w:szCs w:val="18"/>
              </w:rPr>
            </w:pPr>
          </w:p>
        </w:tc>
        <w:tc>
          <w:tcPr>
            <w:tcW w:w="576" w:type="pct"/>
            <w:vAlign w:val="center"/>
          </w:tcPr>
          <w:p w14:paraId="0A50C2E8">
            <w:pPr>
              <w:jc w:val="center"/>
              <w:rPr>
                <w:sz w:val="18"/>
                <w:szCs w:val="18"/>
              </w:rPr>
            </w:pPr>
          </w:p>
        </w:tc>
        <w:tc>
          <w:tcPr>
            <w:tcW w:w="291" w:type="pct"/>
            <w:vAlign w:val="center"/>
          </w:tcPr>
          <w:p w14:paraId="0A50C2E9">
            <w:pPr>
              <w:jc w:val="center"/>
              <w:rPr>
                <w:sz w:val="18"/>
                <w:szCs w:val="18"/>
              </w:rPr>
            </w:pPr>
          </w:p>
        </w:tc>
        <w:tc>
          <w:tcPr>
            <w:tcW w:w="291" w:type="pct"/>
            <w:vAlign w:val="center"/>
          </w:tcPr>
          <w:p w14:paraId="0A50C2EA">
            <w:pPr>
              <w:jc w:val="center"/>
              <w:rPr>
                <w:sz w:val="18"/>
                <w:szCs w:val="18"/>
              </w:rPr>
            </w:pPr>
          </w:p>
        </w:tc>
        <w:tc>
          <w:tcPr>
            <w:tcW w:w="291" w:type="pct"/>
            <w:vAlign w:val="center"/>
          </w:tcPr>
          <w:p w14:paraId="0A50C2EB">
            <w:pPr>
              <w:jc w:val="center"/>
              <w:rPr>
                <w:sz w:val="18"/>
                <w:szCs w:val="18"/>
              </w:rPr>
            </w:pPr>
          </w:p>
        </w:tc>
        <w:tc>
          <w:tcPr>
            <w:tcW w:w="289" w:type="pct"/>
            <w:vAlign w:val="center"/>
          </w:tcPr>
          <w:p w14:paraId="0A50C2EC">
            <w:pPr>
              <w:jc w:val="center"/>
              <w:rPr>
                <w:sz w:val="18"/>
                <w:szCs w:val="18"/>
              </w:rPr>
            </w:pPr>
          </w:p>
        </w:tc>
        <w:tc>
          <w:tcPr>
            <w:tcW w:w="435" w:type="pct"/>
            <w:vAlign w:val="center"/>
          </w:tcPr>
          <w:p w14:paraId="0A50C2ED">
            <w:pPr>
              <w:jc w:val="center"/>
              <w:rPr>
                <w:sz w:val="18"/>
                <w:szCs w:val="18"/>
              </w:rPr>
            </w:pPr>
          </w:p>
        </w:tc>
        <w:tc>
          <w:tcPr>
            <w:tcW w:w="257" w:type="pct"/>
            <w:vMerge w:val="restart"/>
            <w:vAlign w:val="center"/>
          </w:tcPr>
          <w:p w14:paraId="0A50C2EE">
            <w:pPr>
              <w:jc w:val="center"/>
              <w:rPr>
                <w:sz w:val="18"/>
                <w:szCs w:val="18"/>
              </w:rPr>
            </w:pPr>
          </w:p>
        </w:tc>
      </w:tr>
      <w:tr w14:paraId="0A50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2F0">
            <w:pPr>
              <w:jc w:val="center"/>
              <w:rPr>
                <w:sz w:val="18"/>
                <w:szCs w:val="18"/>
              </w:rPr>
            </w:pPr>
          </w:p>
        </w:tc>
        <w:tc>
          <w:tcPr>
            <w:tcW w:w="290" w:type="pct"/>
            <w:vAlign w:val="center"/>
          </w:tcPr>
          <w:p w14:paraId="0A50C2F1">
            <w:pPr>
              <w:jc w:val="center"/>
              <w:rPr>
                <w:sz w:val="18"/>
                <w:szCs w:val="18"/>
              </w:rPr>
            </w:pPr>
            <w:r>
              <w:rPr>
                <w:sz w:val="18"/>
                <w:szCs w:val="18"/>
              </w:rPr>
              <w:t>1-2</w:t>
            </w:r>
          </w:p>
        </w:tc>
        <w:tc>
          <w:tcPr>
            <w:tcW w:w="870" w:type="pct"/>
            <w:vAlign w:val="center"/>
          </w:tcPr>
          <w:p w14:paraId="0A50C2F2">
            <w:pPr>
              <w:jc w:val="center"/>
              <w:rPr>
                <w:sz w:val="18"/>
                <w:szCs w:val="18"/>
              </w:rPr>
            </w:pPr>
            <w:r>
              <w:rPr>
                <w:rFonts w:hint="eastAsia"/>
                <w:sz w:val="18"/>
                <w:szCs w:val="18"/>
              </w:rPr>
              <w:t>东睦新材料集团股份有限公司</w:t>
            </w:r>
          </w:p>
        </w:tc>
        <w:tc>
          <w:tcPr>
            <w:tcW w:w="496" w:type="pct"/>
            <w:vMerge w:val="continue"/>
            <w:vAlign w:val="center"/>
          </w:tcPr>
          <w:p w14:paraId="0A50C2F3">
            <w:pPr>
              <w:jc w:val="center"/>
              <w:rPr>
                <w:sz w:val="18"/>
                <w:szCs w:val="18"/>
              </w:rPr>
            </w:pPr>
          </w:p>
        </w:tc>
        <w:tc>
          <w:tcPr>
            <w:tcW w:w="550" w:type="pct"/>
            <w:vAlign w:val="center"/>
          </w:tcPr>
          <w:p w14:paraId="0A50C2F4">
            <w:pPr>
              <w:jc w:val="center"/>
              <w:rPr>
                <w:sz w:val="18"/>
                <w:szCs w:val="18"/>
              </w:rPr>
            </w:pPr>
          </w:p>
        </w:tc>
        <w:tc>
          <w:tcPr>
            <w:tcW w:w="576" w:type="pct"/>
            <w:vAlign w:val="center"/>
          </w:tcPr>
          <w:p w14:paraId="0A50C2F5">
            <w:pPr>
              <w:jc w:val="center"/>
              <w:rPr>
                <w:sz w:val="18"/>
                <w:szCs w:val="18"/>
              </w:rPr>
            </w:pPr>
          </w:p>
        </w:tc>
        <w:tc>
          <w:tcPr>
            <w:tcW w:w="291" w:type="pct"/>
            <w:vAlign w:val="center"/>
          </w:tcPr>
          <w:p w14:paraId="0A50C2F6">
            <w:pPr>
              <w:jc w:val="center"/>
              <w:rPr>
                <w:sz w:val="18"/>
                <w:szCs w:val="18"/>
              </w:rPr>
            </w:pPr>
          </w:p>
        </w:tc>
        <w:tc>
          <w:tcPr>
            <w:tcW w:w="291" w:type="pct"/>
            <w:vAlign w:val="center"/>
          </w:tcPr>
          <w:p w14:paraId="0A50C2F7">
            <w:pPr>
              <w:jc w:val="center"/>
              <w:rPr>
                <w:sz w:val="18"/>
                <w:szCs w:val="18"/>
              </w:rPr>
            </w:pPr>
          </w:p>
        </w:tc>
        <w:tc>
          <w:tcPr>
            <w:tcW w:w="291" w:type="pct"/>
            <w:vAlign w:val="center"/>
          </w:tcPr>
          <w:p w14:paraId="0A50C2F8">
            <w:pPr>
              <w:jc w:val="center"/>
              <w:rPr>
                <w:sz w:val="18"/>
                <w:szCs w:val="18"/>
              </w:rPr>
            </w:pPr>
          </w:p>
        </w:tc>
        <w:tc>
          <w:tcPr>
            <w:tcW w:w="289" w:type="pct"/>
            <w:vAlign w:val="center"/>
          </w:tcPr>
          <w:p w14:paraId="0A50C2F9">
            <w:pPr>
              <w:jc w:val="center"/>
              <w:rPr>
                <w:sz w:val="18"/>
                <w:szCs w:val="18"/>
              </w:rPr>
            </w:pPr>
          </w:p>
        </w:tc>
        <w:tc>
          <w:tcPr>
            <w:tcW w:w="435" w:type="pct"/>
            <w:vAlign w:val="center"/>
          </w:tcPr>
          <w:p w14:paraId="0A50C2FA">
            <w:pPr>
              <w:jc w:val="center"/>
              <w:rPr>
                <w:sz w:val="18"/>
                <w:szCs w:val="18"/>
              </w:rPr>
            </w:pPr>
          </w:p>
        </w:tc>
        <w:tc>
          <w:tcPr>
            <w:tcW w:w="257" w:type="pct"/>
            <w:vMerge w:val="continue"/>
            <w:vAlign w:val="center"/>
          </w:tcPr>
          <w:p w14:paraId="0A50C2FB">
            <w:pPr>
              <w:jc w:val="center"/>
              <w:rPr>
                <w:sz w:val="18"/>
                <w:szCs w:val="18"/>
              </w:rPr>
            </w:pPr>
          </w:p>
        </w:tc>
      </w:tr>
      <w:tr w14:paraId="0A50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2FD">
            <w:pPr>
              <w:jc w:val="center"/>
              <w:rPr>
                <w:sz w:val="18"/>
                <w:szCs w:val="18"/>
              </w:rPr>
            </w:pPr>
          </w:p>
        </w:tc>
        <w:tc>
          <w:tcPr>
            <w:tcW w:w="290" w:type="pct"/>
            <w:vAlign w:val="center"/>
          </w:tcPr>
          <w:p w14:paraId="0A50C2FE">
            <w:pPr>
              <w:jc w:val="center"/>
              <w:rPr>
                <w:sz w:val="18"/>
                <w:szCs w:val="18"/>
              </w:rPr>
            </w:pPr>
            <w:r>
              <w:rPr>
                <w:sz w:val="18"/>
                <w:szCs w:val="18"/>
              </w:rPr>
              <w:t>1-3</w:t>
            </w:r>
          </w:p>
        </w:tc>
        <w:tc>
          <w:tcPr>
            <w:tcW w:w="870" w:type="pct"/>
            <w:vAlign w:val="center"/>
          </w:tcPr>
          <w:p w14:paraId="0A50C2FF">
            <w:pPr>
              <w:jc w:val="center"/>
              <w:rPr>
                <w:sz w:val="18"/>
                <w:szCs w:val="18"/>
              </w:rPr>
            </w:pPr>
            <w:r>
              <w:rPr>
                <w:rFonts w:hint="eastAsia"/>
                <w:sz w:val="18"/>
                <w:szCs w:val="18"/>
              </w:rPr>
              <w:t>东睦新材料集团股份有限公司</w:t>
            </w:r>
          </w:p>
        </w:tc>
        <w:tc>
          <w:tcPr>
            <w:tcW w:w="496" w:type="pct"/>
            <w:vMerge w:val="continue"/>
            <w:vAlign w:val="center"/>
          </w:tcPr>
          <w:p w14:paraId="0A50C300">
            <w:pPr>
              <w:jc w:val="center"/>
              <w:rPr>
                <w:sz w:val="18"/>
                <w:szCs w:val="18"/>
              </w:rPr>
            </w:pPr>
          </w:p>
        </w:tc>
        <w:tc>
          <w:tcPr>
            <w:tcW w:w="550" w:type="pct"/>
            <w:vAlign w:val="center"/>
          </w:tcPr>
          <w:p w14:paraId="0A50C301">
            <w:pPr>
              <w:jc w:val="center"/>
              <w:rPr>
                <w:sz w:val="18"/>
                <w:szCs w:val="18"/>
              </w:rPr>
            </w:pPr>
          </w:p>
        </w:tc>
        <w:tc>
          <w:tcPr>
            <w:tcW w:w="576" w:type="pct"/>
            <w:vAlign w:val="center"/>
          </w:tcPr>
          <w:p w14:paraId="0A50C302">
            <w:pPr>
              <w:jc w:val="center"/>
              <w:rPr>
                <w:sz w:val="18"/>
                <w:szCs w:val="18"/>
              </w:rPr>
            </w:pPr>
          </w:p>
        </w:tc>
        <w:tc>
          <w:tcPr>
            <w:tcW w:w="291" w:type="pct"/>
            <w:vAlign w:val="center"/>
          </w:tcPr>
          <w:p w14:paraId="0A50C303">
            <w:pPr>
              <w:jc w:val="center"/>
              <w:rPr>
                <w:sz w:val="18"/>
                <w:szCs w:val="18"/>
              </w:rPr>
            </w:pPr>
          </w:p>
        </w:tc>
        <w:tc>
          <w:tcPr>
            <w:tcW w:w="291" w:type="pct"/>
            <w:vAlign w:val="center"/>
          </w:tcPr>
          <w:p w14:paraId="0A50C304">
            <w:pPr>
              <w:jc w:val="center"/>
              <w:rPr>
                <w:sz w:val="18"/>
                <w:szCs w:val="18"/>
              </w:rPr>
            </w:pPr>
          </w:p>
        </w:tc>
        <w:tc>
          <w:tcPr>
            <w:tcW w:w="291" w:type="pct"/>
            <w:vAlign w:val="center"/>
          </w:tcPr>
          <w:p w14:paraId="0A50C305">
            <w:pPr>
              <w:jc w:val="center"/>
              <w:rPr>
                <w:sz w:val="18"/>
                <w:szCs w:val="18"/>
              </w:rPr>
            </w:pPr>
          </w:p>
        </w:tc>
        <w:tc>
          <w:tcPr>
            <w:tcW w:w="289" w:type="pct"/>
            <w:vAlign w:val="center"/>
          </w:tcPr>
          <w:p w14:paraId="0A50C306">
            <w:pPr>
              <w:jc w:val="center"/>
              <w:rPr>
                <w:sz w:val="18"/>
                <w:szCs w:val="18"/>
              </w:rPr>
            </w:pPr>
          </w:p>
        </w:tc>
        <w:tc>
          <w:tcPr>
            <w:tcW w:w="435" w:type="pct"/>
            <w:vAlign w:val="center"/>
          </w:tcPr>
          <w:p w14:paraId="0A50C307">
            <w:pPr>
              <w:jc w:val="center"/>
              <w:rPr>
                <w:sz w:val="18"/>
                <w:szCs w:val="18"/>
              </w:rPr>
            </w:pPr>
          </w:p>
        </w:tc>
        <w:tc>
          <w:tcPr>
            <w:tcW w:w="257" w:type="pct"/>
            <w:vMerge w:val="continue"/>
            <w:vAlign w:val="center"/>
          </w:tcPr>
          <w:p w14:paraId="0A50C308">
            <w:pPr>
              <w:jc w:val="center"/>
              <w:rPr>
                <w:sz w:val="18"/>
                <w:szCs w:val="18"/>
              </w:rPr>
            </w:pPr>
          </w:p>
        </w:tc>
      </w:tr>
      <w:tr w14:paraId="0A50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59" w:type="pct"/>
            <w:vMerge w:val="continue"/>
            <w:vAlign w:val="center"/>
          </w:tcPr>
          <w:p w14:paraId="0A50C30A">
            <w:pPr>
              <w:jc w:val="center"/>
              <w:rPr>
                <w:sz w:val="18"/>
                <w:szCs w:val="18"/>
              </w:rPr>
            </w:pPr>
          </w:p>
        </w:tc>
        <w:tc>
          <w:tcPr>
            <w:tcW w:w="290" w:type="pct"/>
            <w:vAlign w:val="center"/>
          </w:tcPr>
          <w:p w14:paraId="0A50C30B">
            <w:pPr>
              <w:jc w:val="center"/>
              <w:rPr>
                <w:sz w:val="18"/>
                <w:szCs w:val="18"/>
              </w:rPr>
            </w:pPr>
            <w:r>
              <w:rPr>
                <w:sz w:val="18"/>
                <w:szCs w:val="18"/>
              </w:rPr>
              <w:t>2-1</w:t>
            </w:r>
          </w:p>
        </w:tc>
        <w:tc>
          <w:tcPr>
            <w:tcW w:w="870" w:type="pct"/>
            <w:vAlign w:val="center"/>
          </w:tcPr>
          <w:p w14:paraId="0A50C30C">
            <w:pPr>
              <w:jc w:val="center"/>
              <w:rPr>
                <w:sz w:val="18"/>
                <w:szCs w:val="18"/>
              </w:rPr>
            </w:pPr>
            <w:r>
              <w:rPr>
                <w:rFonts w:hint="eastAsia"/>
                <w:sz w:val="18"/>
                <w:szCs w:val="18"/>
              </w:rPr>
              <w:t>沈阳航空航天大学</w:t>
            </w:r>
          </w:p>
        </w:tc>
        <w:tc>
          <w:tcPr>
            <w:tcW w:w="496" w:type="pct"/>
            <w:vMerge w:val="continue"/>
            <w:vAlign w:val="center"/>
          </w:tcPr>
          <w:p w14:paraId="0A50C30D">
            <w:pPr>
              <w:jc w:val="center"/>
              <w:rPr>
                <w:sz w:val="18"/>
                <w:szCs w:val="18"/>
              </w:rPr>
            </w:pPr>
          </w:p>
        </w:tc>
        <w:tc>
          <w:tcPr>
            <w:tcW w:w="550" w:type="pct"/>
            <w:vAlign w:val="center"/>
          </w:tcPr>
          <w:p w14:paraId="0A50C30E">
            <w:pPr>
              <w:jc w:val="center"/>
            </w:pPr>
          </w:p>
        </w:tc>
        <w:tc>
          <w:tcPr>
            <w:tcW w:w="576" w:type="pct"/>
            <w:vAlign w:val="center"/>
          </w:tcPr>
          <w:p w14:paraId="0A50C30F">
            <w:pPr>
              <w:jc w:val="center"/>
            </w:pPr>
          </w:p>
        </w:tc>
        <w:tc>
          <w:tcPr>
            <w:tcW w:w="291" w:type="pct"/>
            <w:vAlign w:val="center"/>
          </w:tcPr>
          <w:p w14:paraId="0A50C310">
            <w:pPr>
              <w:jc w:val="center"/>
              <w:rPr>
                <w:sz w:val="18"/>
                <w:szCs w:val="18"/>
              </w:rPr>
            </w:pPr>
          </w:p>
        </w:tc>
        <w:tc>
          <w:tcPr>
            <w:tcW w:w="291" w:type="pct"/>
            <w:vAlign w:val="center"/>
          </w:tcPr>
          <w:p w14:paraId="0A50C311">
            <w:pPr>
              <w:jc w:val="center"/>
              <w:rPr>
                <w:sz w:val="18"/>
                <w:szCs w:val="18"/>
              </w:rPr>
            </w:pPr>
          </w:p>
        </w:tc>
        <w:tc>
          <w:tcPr>
            <w:tcW w:w="291" w:type="pct"/>
            <w:vAlign w:val="center"/>
          </w:tcPr>
          <w:p w14:paraId="0A50C312">
            <w:pPr>
              <w:jc w:val="center"/>
              <w:rPr>
                <w:sz w:val="18"/>
                <w:szCs w:val="18"/>
              </w:rPr>
            </w:pPr>
          </w:p>
        </w:tc>
        <w:tc>
          <w:tcPr>
            <w:tcW w:w="289" w:type="pct"/>
            <w:vAlign w:val="center"/>
          </w:tcPr>
          <w:p w14:paraId="0A50C313">
            <w:pPr>
              <w:jc w:val="center"/>
              <w:rPr>
                <w:sz w:val="18"/>
                <w:szCs w:val="18"/>
              </w:rPr>
            </w:pPr>
          </w:p>
        </w:tc>
        <w:tc>
          <w:tcPr>
            <w:tcW w:w="435" w:type="pct"/>
            <w:vAlign w:val="center"/>
          </w:tcPr>
          <w:p w14:paraId="0A50C314">
            <w:pPr>
              <w:jc w:val="center"/>
              <w:rPr>
                <w:sz w:val="18"/>
                <w:szCs w:val="18"/>
              </w:rPr>
            </w:pPr>
          </w:p>
        </w:tc>
        <w:tc>
          <w:tcPr>
            <w:tcW w:w="257" w:type="pct"/>
            <w:vMerge w:val="continue"/>
            <w:vAlign w:val="center"/>
          </w:tcPr>
          <w:p w14:paraId="0A50C315">
            <w:pPr>
              <w:jc w:val="center"/>
              <w:rPr>
                <w:sz w:val="18"/>
                <w:szCs w:val="18"/>
              </w:rPr>
            </w:pPr>
          </w:p>
        </w:tc>
      </w:tr>
      <w:tr w14:paraId="0A50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317">
            <w:pPr>
              <w:jc w:val="center"/>
              <w:rPr>
                <w:sz w:val="18"/>
                <w:szCs w:val="18"/>
              </w:rPr>
            </w:pPr>
          </w:p>
        </w:tc>
        <w:tc>
          <w:tcPr>
            <w:tcW w:w="290" w:type="pct"/>
            <w:vAlign w:val="center"/>
          </w:tcPr>
          <w:p w14:paraId="0A50C318">
            <w:pPr>
              <w:jc w:val="center"/>
              <w:rPr>
                <w:sz w:val="18"/>
                <w:szCs w:val="18"/>
              </w:rPr>
            </w:pPr>
            <w:r>
              <w:rPr>
                <w:sz w:val="18"/>
                <w:szCs w:val="18"/>
              </w:rPr>
              <w:t>2-2</w:t>
            </w:r>
          </w:p>
        </w:tc>
        <w:tc>
          <w:tcPr>
            <w:tcW w:w="870" w:type="pct"/>
            <w:vAlign w:val="center"/>
          </w:tcPr>
          <w:p w14:paraId="0A50C319">
            <w:pPr>
              <w:jc w:val="center"/>
              <w:rPr>
                <w:sz w:val="18"/>
                <w:szCs w:val="18"/>
              </w:rPr>
            </w:pPr>
            <w:r>
              <w:rPr>
                <w:rFonts w:hint="eastAsia"/>
                <w:sz w:val="18"/>
                <w:szCs w:val="18"/>
              </w:rPr>
              <w:t>沈阳航空航天大学</w:t>
            </w:r>
          </w:p>
        </w:tc>
        <w:tc>
          <w:tcPr>
            <w:tcW w:w="496" w:type="pct"/>
            <w:vMerge w:val="continue"/>
            <w:vAlign w:val="center"/>
          </w:tcPr>
          <w:p w14:paraId="0A50C31A">
            <w:pPr>
              <w:jc w:val="center"/>
              <w:rPr>
                <w:sz w:val="18"/>
                <w:szCs w:val="18"/>
              </w:rPr>
            </w:pPr>
          </w:p>
        </w:tc>
        <w:tc>
          <w:tcPr>
            <w:tcW w:w="550" w:type="pct"/>
            <w:vAlign w:val="center"/>
          </w:tcPr>
          <w:p w14:paraId="0A50C31B">
            <w:pPr>
              <w:jc w:val="center"/>
              <w:rPr>
                <w:sz w:val="18"/>
                <w:szCs w:val="18"/>
              </w:rPr>
            </w:pPr>
          </w:p>
        </w:tc>
        <w:tc>
          <w:tcPr>
            <w:tcW w:w="576" w:type="pct"/>
            <w:vAlign w:val="center"/>
          </w:tcPr>
          <w:p w14:paraId="0A50C31C">
            <w:pPr>
              <w:jc w:val="center"/>
              <w:rPr>
                <w:sz w:val="18"/>
                <w:szCs w:val="18"/>
              </w:rPr>
            </w:pPr>
          </w:p>
        </w:tc>
        <w:tc>
          <w:tcPr>
            <w:tcW w:w="291" w:type="pct"/>
            <w:vAlign w:val="center"/>
          </w:tcPr>
          <w:p w14:paraId="0A50C31D">
            <w:pPr>
              <w:jc w:val="center"/>
              <w:rPr>
                <w:sz w:val="18"/>
                <w:szCs w:val="18"/>
              </w:rPr>
            </w:pPr>
          </w:p>
        </w:tc>
        <w:tc>
          <w:tcPr>
            <w:tcW w:w="291" w:type="pct"/>
            <w:vAlign w:val="center"/>
          </w:tcPr>
          <w:p w14:paraId="0A50C31E">
            <w:pPr>
              <w:jc w:val="center"/>
              <w:rPr>
                <w:sz w:val="18"/>
                <w:szCs w:val="18"/>
              </w:rPr>
            </w:pPr>
          </w:p>
        </w:tc>
        <w:tc>
          <w:tcPr>
            <w:tcW w:w="291" w:type="pct"/>
            <w:vAlign w:val="center"/>
          </w:tcPr>
          <w:p w14:paraId="0A50C31F">
            <w:pPr>
              <w:jc w:val="center"/>
              <w:rPr>
                <w:sz w:val="18"/>
                <w:szCs w:val="18"/>
              </w:rPr>
            </w:pPr>
          </w:p>
        </w:tc>
        <w:tc>
          <w:tcPr>
            <w:tcW w:w="289" w:type="pct"/>
            <w:vAlign w:val="center"/>
          </w:tcPr>
          <w:p w14:paraId="0A50C320">
            <w:pPr>
              <w:jc w:val="center"/>
              <w:rPr>
                <w:sz w:val="18"/>
                <w:szCs w:val="18"/>
              </w:rPr>
            </w:pPr>
          </w:p>
        </w:tc>
        <w:tc>
          <w:tcPr>
            <w:tcW w:w="435" w:type="pct"/>
            <w:vAlign w:val="center"/>
          </w:tcPr>
          <w:p w14:paraId="0A50C321">
            <w:pPr>
              <w:jc w:val="center"/>
              <w:rPr>
                <w:sz w:val="18"/>
                <w:szCs w:val="18"/>
              </w:rPr>
            </w:pPr>
          </w:p>
        </w:tc>
        <w:tc>
          <w:tcPr>
            <w:tcW w:w="257" w:type="pct"/>
            <w:vMerge w:val="continue"/>
            <w:vAlign w:val="center"/>
          </w:tcPr>
          <w:p w14:paraId="0A50C322">
            <w:pPr>
              <w:jc w:val="center"/>
              <w:rPr>
                <w:sz w:val="18"/>
                <w:szCs w:val="18"/>
              </w:rPr>
            </w:pPr>
          </w:p>
        </w:tc>
      </w:tr>
      <w:tr w14:paraId="0A50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59" w:type="pct"/>
            <w:vMerge w:val="continue"/>
            <w:vAlign w:val="center"/>
          </w:tcPr>
          <w:p w14:paraId="0A50C324">
            <w:pPr>
              <w:jc w:val="center"/>
              <w:rPr>
                <w:sz w:val="18"/>
                <w:szCs w:val="18"/>
              </w:rPr>
            </w:pPr>
          </w:p>
        </w:tc>
        <w:tc>
          <w:tcPr>
            <w:tcW w:w="290" w:type="pct"/>
            <w:vAlign w:val="center"/>
          </w:tcPr>
          <w:p w14:paraId="0A50C325">
            <w:pPr>
              <w:jc w:val="center"/>
              <w:rPr>
                <w:sz w:val="18"/>
                <w:szCs w:val="18"/>
              </w:rPr>
            </w:pPr>
            <w:r>
              <w:rPr>
                <w:sz w:val="18"/>
                <w:szCs w:val="18"/>
              </w:rPr>
              <w:t>2-3</w:t>
            </w:r>
          </w:p>
        </w:tc>
        <w:tc>
          <w:tcPr>
            <w:tcW w:w="870" w:type="pct"/>
            <w:vAlign w:val="center"/>
          </w:tcPr>
          <w:p w14:paraId="0A50C326">
            <w:pPr>
              <w:jc w:val="center"/>
              <w:rPr>
                <w:sz w:val="18"/>
                <w:szCs w:val="18"/>
              </w:rPr>
            </w:pPr>
            <w:r>
              <w:rPr>
                <w:rFonts w:hint="eastAsia"/>
                <w:sz w:val="18"/>
                <w:szCs w:val="18"/>
              </w:rPr>
              <w:t>沈阳航空航天大学</w:t>
            </w:r>
          </w:p>
        </w:tc>
        <w:tc>
          <w:tcPr>
            <w:tcW w:w="496" w:type="pct"/>
            <w:vMerge w:val="continue"/>
            <w:vAlign w:val="center"/>
          </w:tcPr>
          <w:p w14:paraId="0A50C327">
            <w:pPr>
              <w:jc w:val="center"/>
              <w:rPr>
                <w:sz w:val="18"/>
                <w:szCs w:val="18"/>
              </w:rPr>
            </w:pPr>
          </w:p>
        </w:tc>
        <w:tc>
          <w:tcPr>
            <w:tcW w:w="550" w:type="pct"/>
            <w:vAlign w:val="center"/>
          </w:tcPr>
          <w:p w14:paraId="0A50C328">
            <w:pPr>
              <w:jc w:val="center"/>
              <w:rPr>
                <w:sz w:val="18"/>
                <w:szCs w:val="18"/>
              </w:rPr>
            </w:pPr>
          </w:p>
        </w:tc>
        <w:tc>
          <w:tcPr>
            <w:tcW w:w="576" w:type="pct"/>
            <w:vAlign w:val="center"/>
          </w:tcPr>
          <w:p w14:paraId="0A50C329">
            <w:pPr>
              <w:jc w:val="center"/>
              <w:rPr>
                <w:sz w:val="18"/>
                <w:szCs w:val="18"/>
              </w:rPr>
            </w:pPr>
          </w:p>
        </w:tc>
        <w:tc>
          <w:tcPr>
            <w:tcW w:w="291" w:type="pct"/>
            <w:vAlign w:val="center"/>
          </w:tcPr>
          <w:p w14:paraId="0A50C32A">
            <w:pPr>
              <w:jc w:val="center"/>
              <w:rPr>
                <w:sz w:val="18"/>
                <w:szCs w:val="18"/>
              </w:rPr>
            </w:pPr>
          </w:p>
        </w:tc>
        <w:tc>
          <w:tcPr>
            <w:tcW w:w="291" w:type="pct"/>
            <w:vAlign w:val="center"/>
          </w:tcPr>
          <w:p w14:paraId="0A50C32B">
            <w:pPr>
              <w:jc w:val="center"/>
              <w:rPr>
                <w:sz w:val="18"/>
                <w:szCs w:val="18"/>
              </w:rPr>
            </w:pPr>
          </w:p>
        </w:tc>
        <w:tc>
          <w:tcPr>
            <w:tcW w:w="291" w:type="pct"/>
            <w:vAlign w:val="center"/>
          </w:tcPr>
          <w:p w14:paraId="0A50C32C">
            <w:pPr>
              <w:jc w:val="center"/>
              <w:rPr>
                <w:sz w:val="18"/>
                <w:szCs w:val="18"/>
              </w:rPr>
            </w:pPr>
          </w:p>
        </w:tc>
        <w:tc>
          <w:tcPr>
            <w:tcW w:w="289" w:type="pct"/>
            <w:vAlign w:val="center"/>
          </w:tcPr>
          <w:p w14:paraId="0A50C32D">
            <w:pPr>
              <w:jc w:val="center"/>
              <w:rPr>
                <w:sz w:val="18"/>
                <w:szCs w:val="18"/>
              </w:rPr>
            </w:pPr>
          </w:p>
        </w:tc>
        <w:tc>
          <w:tcPr>
            <w:tcW w:w="435" w:type="pct"/>
            <w:vAlign w:val="center"/>
          </w:tcPr>
          <w:p w14:paraId="0A50C32E">
            <w:pPr>
              <w:jc w:val="center"/>
              <w:rPr>
                <w:sz w:val="18"/>
                <w:szCs w:val="18"/>
              </w:rPr>
            </w:pPr>
          </w:p>
        </w:tc>
        <w:tc>
          <w:tcPr>
            <w:tcW w:w="257" w:type="pct"/>
            <w:vMerge w:val="continue"/>
            <w:vAlign w:val="center"/>
          </w:tcPr>
          <w:p w14:paraId="0A50C32F">
            <w:pPr>
              <w:jc w:val="center"/>
              <w:rPr>
                <w:sz w:val="18"/>
                <w:szCs w:val="18"/>
              </w:rPr>
            </w:pPr>
          </w:p>
        </w:tc>
      </w:tr>
      <w:tr w14:paraId="0A50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331">
            <w:pPr>
              <w:jc w:val="center"/>
              <w:rPr>
                <w:sz w:val="18"/>
                <w:szCs w:val="18"/>
              </w:rPr>
            </w:pPr>
          </w:p>
        </w:tc>
        <w:tc>
          <w:tcPr>
            <w:tcW w:w="290" w:type="pct"/>
            <w:vAlign w:val="center"/>
          </w:tcPr>
          <w:p w14:paraId="0A50C332">
            <w:pPr>
              <w:jc w:val="center"/>
              <w:rPr>
                <w:sz w:val="18"/>
                <w:szCs w:val="18"/>
              </w:rPr>
            </w:pPr>
            <w:r>
              <w:rPr>
                <w:sz w:val="18"/>
                <w:szCs w:val="18"/>
              </w:rPr>
              <w:t>3-1</w:t>
            </w:r>
          </w:p>
        </w:tc>
        <w:tc>
          <w:tcPr>
            <w:tcW w:w="870" w:type="pct"/>
            <w:vAlign w:val="center"/>
          </w:tcPr>
          <w:p w14:paraId="0A50C333">
            <w:pPr>
              <w:jc w:val="center"/>
              <w:rPr>
                <w:sz w:val="18"/>
                <w:szCs w:val="18"/>
              </w:rPr>
            </w:pPr>
            <w:r>
              <w:rPr>
                <w:sz w:val="18"/>
                <w:szCs w:val="18"/>
              </w:rPr>
              <w:t>西安欧中材料科技股份有限公司</w:t>
            </w:r>
          </w:p>
        </w:tc>
        <w:tc>
          <w:tcPr>
            <w:tcW w:w="496" w:type="pct"/>
            <w:vMerge w:val="continue"/>
            <w:vAlign w:val="center"/>
          </w:tcPr>
          <w:p w14:paraId="0A50C334">
            <w:pPr>
              <w:jc w:val="center"/>
              <w:rPr>
                <w:sz w:val="18"/>
                <w:szCs w:val="18"/>
              </w:rPr>
            </w:pPr>
          </w:p>
        </w:tc>
        <w:tc>
          <w:tcPr>
            <w:tcW w:w="550" w:type="pct"/>
            <w:vAlign w:val="center"/>
          </w:tcPr>
          <w:p w14:paraId="0A50C335">
            <w:pPr>
              <w:jc w:val="center"/>
            </w:pPr>
          </w:p>
        </w:tc>
        <w:tc>
          <w:tcPr>
            <w:tcW w:w="576" w:type="pct"/>
            <w:vAlign w:val="center"/>
          </w:tcPr>
          <w:p w14:paraId="0A50C336">
            <w:pPr>
              <w:jc w:val="center"/>
            </w:pPr>
          </w:p>
        </w:tc>
        <w:tc>
          <w:tcPr>
            <w:tcW w:w="291" w:type="pct"/>
            <w:vAlign w:val="center"/>
          </w:tcPr>
          <w:p w14:paraId="0A50C337">
            <w:pPr>
              <w:jc w:val="center"/>
              <w:rPr>
                <w:sz w:val="18"/>
                <w:szCs w:val="18"/>
              </w:rPr>
            </w:pPr>
          </w:p>
        </w:tc>
        <w:tc>
          <w:tcPr>
            <w:tcW w:w="291" w:type="pct"/>
            <w:vAlign w:val="center"/>
          </w:tcPr>
          <w:p w14:paraId="0A50C338">
            <w:pPr>
              <w:jc w:val="center"/>
              <w:rPr>
                <w:sz w:val="18"/>
                <w:szCs w:val="18"/>
              </w:rPr>
            </w:pPr>
          </w:p>
        </w:tc>
        <w:tc>
          <w:tcPr>
            <w:tcW w:w="291" w:type="pct"/>
            <w:vAlign w:val="center"/>
          </w:tcPr>
          <w:p w14:paraId="0A50C339">
            <w:pPr>
              <w:jc w:val="center"/>
              <w:rPr>
                <w:sz w:val="18"/>
                <w:szCs w:val="18"/>
              </w:rPr>
            </w:pPr>
          </w:p>
        </w:tc>
        <w:tc>
          <w:tcPr>
            <w:tcW w:w="289" w:type="pct"/>
            <w:vAlign w:val="center"/>
          </w:tcPr>
          <w:p w14:paraId="0A50C33A">
            <w:pPr>
              <w:jc w:val="center"/>
              <w:rPr>
                <w:sz w:val="18"/>
                <w:szCs w:val="18"/>
              </w:rPr>
            </w:pPr>
          </w:p>
        </w:tc>
        <w:tc>
          <w:tcPr>
            <w:tcW w:w="435" w:type="pct"/>
            <w:vAlign w:val="center"/>
          </w:tcPr>
          <w:p w14:paraId="0A50C33B">
            <w:pPr>
              <w:jc w:val="center"/>
              <w:rPr>
                <w:sz w:val="18"/>
                <w:szCs w:val="18"/>
              </w:rPr>
            </w:pPr>
          </w:p>
        </w:tc>
        <w:tc>
          <w:tcPr>
            <w:tcW w:w="257" w:type="pct"/>
            <w:vMerge w:val="continue"/>
            <w:vAlign w:val="center"/>
          </w:tcPr>
          <w:p w14:paraId="0A50C33C">
            <w:pPr>
              <w:jc w:val="center"/>
              <w:rPr>
                <w:sz w:val="18"/>
                <w:szCs w:val="18"/>
              </w:rPr>
            </w:pPr>
          </w:p>
        </w:tc>
      </w:tr>
      <w:tr w14:paraId="0A50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33E">
            <w:pPr>
              <w:jc w:val="center"/>
              <w:rPr>
                <w:sz w:val="18"/>
                <w:szCs w:val="18"/>
              </w:rPr>
            </w:pPr>
          </w:p>
        </w:tc>
        <w:tc>
          <w:tcPr>
            <w:tcW w:w="290" w:type="pct"/>
            <w:vAlign w:val="center"/>
          </w:tcPr>
          <w:p w14:paraId="0A50C33F">
            <w:pPr>
              <w:jc w:val="center"/>
              <w:rPr>
                <w:sz w:val="18"/>
                <w:szCs w:val="18"/>
              </w:rPr>
            </w:pPr>
            <w:r>
              <w:rPr>
                <w:sz w:val="18"/>
                <w:szCs w:val="18"/>
              </w:rPr>
              <w:t>3-2</w:t>
            </w:r>
          </w:p>
        </w:tc>
        <w:tc>
          <w:tcPr>
            <w:tcW w:w="870" w:type="pct"/>
            <w:vAlign w:val="center"/>
          </w:tcPr>
          <w:p w14:paraId="0A50C340">
            <w:pPr>
              <w:jc w:val="center"/>
              <w:rPr>
                <w:sz w:val="18"/>
                <w:szCs w:val="18"/>
              </w:rPr>
            </w:pPr>
            <w:r>
              <w:rPr>
                <w:sz w:val="18"/>
                <w:szCs w:val="18"/>
              </w:rPr>
              <w:t>西安欧中材料科技股份有限公司</w:t>
            </w:r>
          </w:p>
        </w:tc>
        <w:tc>
          <w:tcPr>
            <w:tcW w:w="496" w:type="pct"/>
            <w:vMerge w:val="continue"/>
            <w:vAlign w:val="center"/>
          </w:tcPr>
          <w:p w14:paraId="0A50C341">
            <w:pPr>
              <w:jc w:val="center"/>
              <w:rPr>
                <w:sz w:val="18"/>
                <w:szCs w:val="18"/>
              </w:rPr>
            </w:pPr>
          </w:p>
        </w:tc>
        <w:tc>
          <w:tcPr>
            <w:tcW w:w="550" w:type="pct"/>
            <w:vAlign w:val="center"/>
          </w:tcPr>
          <w:p w14:paraId="0A50C342">
            <w:pPr>
              <w:jc w:val="center"/>
              <w:rPr>
                <w:sz w:val="18"/>
                <w:szCs w:val="18"/>
              </w:rPr>
            </w:pPr>
          </w:p>
        </w:tc>
        <w:tc>
          <w:tcPr>
            <w:tcW w:w="576" w:type="pct"/>
            <w:vAlign w:val="center"/>
          </w:tcPr>
          <w:p w14:paraId="0A50C343">
            <w:pPr>
              <w:jc w:val="center"/>
              <w:rPr>
                <w:sz w:val="18"/>
                <w:szCs w:val="18"/>
              </w:rPr>
            </w:pPr>
          </w:p>
        </w:tc>
        <w:tc>
          <w:tcPr>
            <w:tcW w:w="291" w:type="pct"/>
            <w:vAlign w:val="center"/>
          </w:tcPr>
          <w:p w14:paraId="0A50C344">
            <w:pPr>
              <w:jc w:val="center"/>
              <w:rPr>
                <w:sz w:val="18"/>
                <w:szCs w:val="18"/>
              </w:rPr>
            </w:pPr>
          </w:p>
        </w:tc>
        <w:tc>
          <w:tcPr>
            <w:tcW w:w="291" w:type="pct"/>
            <w:vAlign w:val="center"/>
          </w:tcPr>
          <w:p w14:paraId="0A50C345">
            <w:pPr>
              <w:jc w:val="center"/>
              <w:rPr>
                <w:sz w:val="18"/>
                <w:szCs w:val="18"/>
              </w:rPr>
            </w:pPr>
          </w:p>
        </w:tc>
        <w:tc>
          <w:tcPr>
            <w:tcW w:w="291" w:type="pct"/>
            <w:vAlign w:val="center"/>
          </w:tcPr>
          <w:p w14:paraId="0A50C346">
            <w:pPr>
              <w:jc w:val="center"/>
              <w:rPr>
                <w:sz w:val="18"/>
                <w:szCs w:val="18"/>
              </w:rPr>
            </w:pPr>
          </w:p>
        </w:tc>
        <w:tc>
          <w:tcPr>
            <w:tcW w:w="289" w:type="pct"/>
            <w:vAlign w:val="center"/>
          </w:tcPr>
          <w:p w14:paraId="0A50C347">
            <w:pPr>
              <w:jc w:val="center"/>
              <w:rPr>
                <w:sz w:val="18"/>
                <w:szCs w:val="18"/>
              </w:rPr>
            </w:pPr>
          </w:p>
        </w:tc>
        <w:tc>
          <w:tcPr>
            <w:tcW w:w="435" w:type="pct"/>
            <w:vAlign w:val="center"/>
          </w:tcPr>
          <w:p w14:paraId="0A50C348">
            <w:pPr>
              <w:jc w:val="center"/>
              <w:rPr>
                <w:sz w:val="18"/>
                <w:szCs w:val="18"/>
              </w:rPr>
            </w:pPr>
          </w:p>
        </w:tc>
        <w:tc>
          <w:tcPr>
            <w:tcW w:w="257" w:type="pct"/>
            <w:vMerge w:val="continue"/>
            <w:vAlign w:val="center"/>
          </w:tcPr>
          <w:p w14:paraId="0A50C349">
            <w:pPr>
              <w:jc w:val="center"/>
              <w:rPr>
                <w:sz w:val="18"/>
                <w:szCs w:val="18"/>
              </w:rPr>
            </w:pPr>
          </w:p>
        </w:tc>
      </w:tr>
      <w:tr w14:paraId="0A50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34B">
            <w:pPr>
              <w:jc w:val="center"/>
              <w:rPr>
                <w:sz w:val="18"/>
                <w:szCs w:val="18"/>
              </w:rPr>
            </w:pPr>
          </w:p>
        </w:tc>
        <w:tc>
          <w:tcPr>
            <w:tcW w:w="290" w:type="pct"/>
            <w:vAlign w:val="center"/>
          </w:tcPr>
          <w:p w14:paraId="0A50C34C">
            <w:pPr>
              <w:jc w:val="center"/>
              <w:rPr>
                <w:sz w:val="18"/>
                <w:szCs w:val="18"/>
              </w:rPr>
            </w:pPr>
            <w:r>
              <w:rPr>
                <w:sz w:val="18"/>
                <w:szCs w:val="18"/>
              </w:rPr>
              <w:t>3-3</w:t>
            </w:r>
          </w:p>
        </w:tc>
        <w:tc>
          <w:tcPr>
            <w:tcW w:w="870" w:type="pct"/>
            <w:vAlign w:val="center"/>
          </w:tcPr>
          <w:p w14:paraId="0A50C34D">
            <w:pPr>
              <w:jc w:val="center"/>
              <w:rPr>
                <w:sz w:val="18"/>
                <w:szCs w:val="18"/>
              </w:rPr>
            </w:pPr>
            <w:r>
              <w:rPr>
                <w:sz w:val="18"/>
                <w:szCs w:val="18"/>
              </w:rPr>
              <w:t>西安欧中材料科技股份有限公司</w:t>
            </w:r>
          </w:p>
        </w:tc>
        <w:tc>
          <w:tcPr>
            <w:tcW w:w="496" w:type="pct"/>
            <w:vMerge w:val="continue"/>
            <w:vAlign w:val="center"/>
          </w:tcPr>
          <w:p w14:paraId="0A50C34E">
            <w:pPr>
              <w:jc w:val="center"/>
              <w:rPr>
                <w:sz w:val="18"/>
                <w:szCs w:val="18"/>
              </w:rPr>
            </w:pPr>
          </w:p>
        </w:tc>
        <w:tc>
          <w:tcPr>
            <w:tcW w:w="550" w:type="pct"/>
            <w:vAlign w:val="center"/>
          </w:tcPr>
          <w:p w14:paraId="0A50C34F">
            <w:pPr>
              <w:jc w:val="center"/>
              <w:rPr>
                <w:sz w:val="18"/>
                <w:szCs w:val="18"/>
              </w:rPr>
            </w:pPr>
          </w:p>
        </w:tc>
        <w:tc>
          <w:tcPr>
            <w:tcW w:w="576" w:type="pct"/>
            <w:vAlign w:val="center"/>
          </w:tcPr>
          <w:p w14:paraId="0A50C350">
            <w:pPr>
              <w:jc w:val="center"/>
              <w:rPr>
                <w:sz w:val="18"/>
                <w:szCs w:val="18"/>
              </w:rPr>
            </w:pPr>
          </w:p>
        </w:tc>
        <w:tc>
          <w:tcPr>
            <w:tcW w:w="291" w:type="pct"/>
            <w:vAlign w:val="center"/>
          </w:tcPr>
          <w:p w14:paraId="0A50C351">
            <w:pPr>
              <w:jc w:val="center"/>
              <w:rPr>
                <w:sz w:val="18"/>
                <w:szCs w:val="18"/>
              </w:rPr>
            </w:pPr>
          </w:p>
        </w:tc>
        <w:tc>
          <w:tcPr>
            <w:tcW w:w="291" w:type="pct"/>
            <w:vAlign w:val="center"/>
          </w:tcPr>
          <w:p w14:paraId="0A50C352">
            <w:pPr>
              <w:jc w:val="center"/>
              <w:rPr>
                <w:sz w:val="18"/>
                <w:szCs w:val="18"/>
              </w:rPr>
            </w:pPr>
          </w:p>
        </w:tc>
        <w:tc>
          <w:tcPr>
            <w:tcW w:w="291" w:type="pct"/>
            <w:vAlign w:val="center"/>
          </w:tcPr>
          <w:p w14:paraId="0A50C353">
            <w:pPr>
              <w:jc w:val="center"/>
              <w:rPr>
                <w:sz w:val="18"/>
                <w:szCs w:val="18"/>
              </w:rPr>
            </w:pPr>
          </w:p>
        </w:tc>
        <w:tc>
          <w:tcPr>
            <w:tcW w:w="289" w:type="pct"/>
            <w:vAlign w:val="center"/>
          </w:tcPr>
          <w:p w14:paraId="0A50C354">
            <w:pPr>
              <w:jc w:val="center"/>
              <w:rPr>
                <w:sz w:val="18"/>
                <w:szCs w:val="18"/>
              </w:rPr>
            </w:pPr>
          </w:p>
        </w:tc>
        <w:tc>
          <w:tcPr>
            <w:tcW w:w="435" w:type="pct"/>
            <w:vAlign w:val="center"/>
          </w:tcPr>
          <w:p w14:paraId="0A50C355">
            <w:pPr>
              <w:jc w:val="center"/>
              <w:rPr>
                <w:sz w:val="18"/>
                <w:szCs w:val="18"/>
              </w:rPr>
            </w:pPr>
          </w:p>
        </w:tc>
        <w:tc>
          <w:tcPr>
            <w:tcW w:w="257" w:type="pct"/>
            <w:vMerge w:val="continue"/>
            <w:vAlign w:val="center"/>
          </w:tcPr>
          <w:p w14:paraId="0A50C356">
            <w:pPr>
              <w:jc w:val="center"/>
              <w:rPr>
                <w:sz w:val="18"/>
                <w:szCs w:val="18"/>
              </w:rPr>
            </w:pPr>
          </w:p>
        </w:tc>
      </w:tr>
    </w:tbl>
    <w:p w14:paraId="0A50C358">
      <w:pPr>
        <w:rPr>
          <w:highlight w:val="yellow"/>
        </w:rPr>
      </w:pPr>
    </w:p>
    <w:p w14:paraId="0A50C359">
      <w:pPr>
        <w:spacing w:line="360" w:lineRule="auto"/>
        <w:ind w:firstLine="496" w:firstLineChars="200"/>
        <w:rPr>
          <w:color w:val="000000"/>
          <w:spacing w:val="4"/>
          <w:sz w:val="24"/>
        </w:rPr>
      </w:pPr>
      <w:r>
        <w:rPr>
          <w:color w:val="000000"/>
          <w:spacing w:val="4"/>
          <w:sz w:val="24"/>
        </w:rPr>
        <w:t>第二组验证由东睦新材料集团股份有限公司提供</w:t>
      </w:r>
      <w:r>
        <w:rPr>
          <w:rFonts w:hint="eastAsia"/>
          <w:color w:val="000000"/>
          <w:spacing w:val="4"/>
          <w:sz w:val="24"/>
        </w:rPr>
        <w:t>XX</w:t>
      </w:r>
      <w:r>
        <w:rPr>
          <w:color w:val="000000"/>
          <w:spacing w:val="4"/>
          <w:sz w:val="24"/>
        </w:rPr>
        <w:t>样品，</w:t>
      </w:r>
      <w:r>
        <w:rPr>
          <w:rFonts w:hint="eastAsia"/>
          <w:color w:val="000000"/>
          <w:spacing w:val="4"/>
          <w:sz w:val="24"/>
        </w:rPr>
        <w:t>表面粗糙度</w:t>
      </w:r>
      <w:r>
        <w:rPr>
          <w:color w:val="000000"/>
          <w:spacing w:val="4"/>
          <w:sz w:val="24"/>
        </w:rPr>
        <w:t>约为</w:t>
      </w:r>
      <w:r>
        <w:rPr>
          <w:rFonts w:hint="eastAsia"/>
          <w:color w:val="000000"/>
          <w:spacing w:val="4"/>
          <w:sz w:val="24"/>
        </w:rPr>
        <w:t>XX</w:t>
      </w:r>
      <w:r>
        <w:rPr>
          <w:sz w:val="24"/>
          <w:szCs w:val="24"/>
        </w:rPr>
        <w:t>μm</w:t>
      </w:r>
      <w:r>
        <w:rPr>
          <w:color w:val="000000"/>
          <w:spacing w:val="4"/>
          <w:sz w:val="24"/>
        </w:rPr>
        <w:t>。</w:t>
      </w:r>
      <w:bookmarkStart w:id="23" w:name="OLE_LINK2"/>
      <w:r>
        <w:rPr>
          <w:color w:val="000000"/>
          <w:spacing w:val="4"/>
          <w:sz w:val="24"/>
        </w:rPr>
        <w:t>由东睦新材料集团股份有限公司、沈阳航空航天大学</w:t>
      </w:r>
      <w:r>
        <w:rPr>
          <w:rFonts w:hint="eastAsia"/>
          <w:color w:val="000000"/>
          <w:spacing w:val="4"/>
          <w:sz w:val="24"/>
        </w:rPr>
        <w:t>、西安欧中材料科技股份有限公司3</w:t>
      </w:r>
      <w:r>
        <w:rPr>
          <w:color w:val="000000"/>
          <w:spacing w:val="4"/>
          <w:sz w:val="24"/>
        </w:rPr>
        <w:t>家单位进行验证。</w:t>
      </w:r>
    </w:p>
    <w:p w14:paraId="0A50C35A">
      <w:pPr>
        <w:spacing w:line="360" w:lineRule="auto"/>
        <w:ind w:firstLine="496" w:firstLineChars="200"/>
        <w:rPr>
          <w:color w:val="000000"/>
          <w:spacing w:val="4"/>
          <w:sz w:val="24"/>
        </w:rPr>
      </w:pPr>
      <w:r>
        <w:rPr>
          <w:color w:val="000000"/>
          <w:spacing w:val="4"/>
          <w:sz w:val="24"/>
        </w:rPr>
        <w:t>经计算，总测试次数为</w:t>
      </w:r>
      <w:r>
        <w:rPr>
          <w:rFonts w:hint="eastAsia"/>
          <w:color w:val="000000"/>
          <w:spacing w:val="4"/>
          <w:sz w:val="24"/>
        </w:rPr>
        <w:t>27</w:t>
      </w:r>
      <w:r>
        <w:rPr>
          <w:color w:val="000000"/>
          <w:spacing w:val="4"/>
          <w:sz w:val="24"/>
        </w:rPr>
        <w:t>次，</w:t>
      </w:r>
      <w:r>
        <w:rPr>
          <w:rFonts w:hint="eastAsia"/>
          <w:color w:val="000000"/>
          <w:spacing w:val="4"/>
          <w:sz w:val="24"/>
        </w:rPr>
        <w:t>3</w:t>
      </w:r>
      <w:r>
        <w:rPr>
          <w:color w:val="000000"/>
          <w:spacing w:val="4"/>
          <w:sz w:val="24"/>
        </w:rPr>
        <w:t xml:space="preserve">家单位测试结果平均值在 </w:t>
      </w:r>
      <w:r>
        <w:rPr>
          <w:rFonts w:hint="eastAsia"/>
          <w:color w:val="000000"/>
          <w:spacing w:val="4"/>
          <w:sz w:val="24"/>
        </w:rPr>
        <w:t xml:space="preserve">XX </w:t>
      </w:r>
      <w:r>
        <w:rPr>
          <w:color w:val="000000"/>
          <w:spacing w:val="4"/>
          <w:sz w:val="24"/>
        </w:rPr>
        <w:t>~</w:t>
      </w:r>
      <w:r>
        <w:rPr>
          <w:rFonts w:hint="eastAsia"/>
          <w:color w:val="000000"/>
          <w:spacing w:val="4"/>
          <w:sz w:val="24"/>
        </w:rPr>
        <w:t xml:space="preserve"> XX </w:t>
      </w:r>
      <w:r>
        <w:rPr>
          <w:sz w:val="24"/>
          <w:szCs w:val="24"/>
        </w:rPr>
        <w:t>μm</w:t>
      </w:r>
      <w:r>
        <w:rPr>
          <w:color w:val="000000"/>
          <w:spacing w:val="4"/>
          <w:sz w:val="24"/>
        </w:rPr>
        <w:t xml:space="preserve"> 之间，数据分布相对集中。</w:t>
      </w:r>
      <w:bookmarkEnd w:id="23"/>
    </w:p>
    <w:p w14:paraId="0A50C35B">
      <w:pPr>
        <w:spacing w:line="360" w:lineRule="auto"/>
        <w:ind w:firstLine="496" w:firstLineChars="200"/>
      </w:pPr>
      <w:r>
        <w:rPr>
          <w:color w:val="000000"/>
          <w:spacing w:val="4"/>
          <w:sz w:val="24"/>
        </w:rPr>
        <w:t>各单位内部标准偏差不大于</w:t>
      </w:r>
      <w:r>
        <w:rPr>
          <w:rFonts w:hint="eastAsia"/>
          <w:color w:val="000000"/>
          <w:spacing w:val="4"/>
          <w:sz w:val="24"/>
        </w:rPr>
        <w:t>XX</w:t>
      </w:r>
      <w:r>
        <w:rPr>
          <w:color w:val="000000"/>
          <w:spacing w:val="4"/>
          <w:sz w:val="24"/>
        </w:rPr>
        <w:t>，测试稳定性优秀，操作规范性强；单位间差异在合理范围内，测试方法具有较好的通用性和再现性。</w:t>
      </w:r>
    </w:p>
    <w:p w14:paraId="0A50C35C">
      <w:pPr>
        <w:jc w:val="center"/>
      </w:pPr>
      <w:r>
        <w:t>表1</w:t>
      </w:r>
      <w:r>
        <w:rPr>
          <w:rFonts w:hint="eastAsia"/>
        </w:rPr>
        <w:t>3</w:t>
      </w:r>
      <w:r>
        <w:t xml:space="preserve"> </w:t>
      </w:r>
      <w:r>
        <w:rPr>
          <w:rFonts w:hint="eastAsia"/>
        </w:rPr>
        <w:t>XX</w:t>
      </w:r>
      <w:r>
        <w:t>试验验证表</w:t>
      </w:r>
    </w:p>
    <w:tbl>
      <w:tblPr>
        <w:tblStyle w:val="23"/>
        <w:tblW w:w="55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583"/>
        <w:gridCol w:w="1746"/>
        <w:gridCol w:w="994"/>
        <w:gridCol w:w="1105"/>
        <w:gridCol w:w="1156"/>
        <w:gridCol w:w="584"/>
        <w:gridCol w:w="584"/>
        <w:gridCol w:w="584"/>
        <w:gridCol w:w="580"/>
        <w:gridCol w:w="872"/>
        <w:gridCol w:w="515"/>
      </w:tblGrid>
      <w:tr w14:paraId="0A50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14:paraId="0A50C35D">
            <w:pPr>
              <w:jc w:val="center"/>
              <w:rPr>
                <w:b/>
                <w:sz w:val="18"/>
                <w:szCs w:val="18"/>
              </w:rPr>
            </w:pPr>
            <w:r>
              <w:rPr>
                <w:b/>
                <w:sz w:val="18"/>
                <w:szCs w:val="18"/>
              </w:rPr>
              <w:t>提供粉末单位</w:t>
            </w:r>
          </w:p>
        </w:tc>
        <w:tc>
          <w:tcPr>
            <w:tcW w:w="290" w:type="pct"/>
            <w:vAlign w:val="center"/>
          </w:tcPr>
          <w:p w14:paraId="0A50C35E">
            <w:pPr>
              <w:jc w:val="center"/>
              <w:rPr>
                <w:b/>
                <w:sz w:val="18"/>
                <w:szCs w:val="18"/>
              </w:rPr>
            </w:pPr>
            <w:r>
              <w:rPr>
                <w:b/>
                <w:sz w:val="18"/>
                <w:szCs w:val="18"/>
              </w:rPr>
              <w:t>序号</w:t>
            </w:r>
          </w:p>
        </w:tc>
        <w:tc>
          <w:tcPr>
            <w:tcW w:w="870" w:type="pct"/>
            <w:vAlign w:val="center"/>
          </w:tcPr>
          <w:p w14:paraId="0A50C35F">
            <w:pPr>
              <w:jc w:val="center"/>
              <w:rPr>
                <w:b/>
                <w:sz w:val="18"/>
                <w:szCs w:val="18"/>
              </w:rPr>
            </w:pPr>
            <w:r>
              <w:rPr>
                <w:b/>
                <w:sz w:val="18"/>
                <w:szCs w:val="18"/>
              </w:rPr>
              <w:t>试验验证单位</w:t>
            </w:r>
          </w:p>
        </w:tc>
        <w:tc>
          <w:tcPr>
            <w:tcW w:w="496" w:type="pct"/>
            <w:vAlign w:val="center"/>
          </w:tcPr>
          <w:p w14:paraId="0A50C360">
            <w:pPr>
              <w:jc w:val="center"/>
              <w:rPr>
                <w:b/>
                <w:sz w:val="18"/>
                <w:szCs w:val="18"/>
              </w:rPr>
            </w:pPr>
            <w:r>
              <w:rPr>
                <w:b/>
                <w:sz w:val="18"/>
                <w:szCs w:val="18"/>
              </w:rPr>
              <w:t>材料种类</w:t>
            </w:r>
            <w:r>
              <w:rPr>
                <w:rFonts w:hint="eastAsia"/>
                <w:b/>
                <w:sz w:val="18"/>
                <w:szCs w:val="18"/>
              </w:rPr>
              <w:t>及牌号</w:t>
            </w:r>
          </w:p>
        </w:tc>
        <w:tc>
          <w:tcPr>
            <w:tcW w:w="550" w:type="pct"/>
            <w:vAlign w:val="center"/>
          </w:tcPr>
          <w:p w14:paraId="0A50C361">
            <w:pPr>
              <w:jc w:val="center"/>
              <w:rPr>
                <w:b/>
                <w:bCs/>
                <w:sz w:val="18"/>
                <w:szCs w:val="18"/>
              </w:rPr>
            </w:pPr>
            <w:r>
              <w:rPr>
                <w:rFonts w:hint="eastAsia"/>
                <w:b/>
                <w:bCs/>
                <w:sz w:val="18"/>
                <w:szCs w:val="18"/>
              </w:rPr>
              <w:t>取样长度</w:t>
            </w:r>
          </w:p>
          <w:p w14:paraId="0A50C362">
            <w:pPr>
              <w:jc w:val="center"/>
              <w:rPr>
                <w:b/>
                <w:bCs/>
                <w:sz w:val="18"/>
                <w:szCs w:val="18"/>
              </w:rPr>
            </w:pPr>
            <w:r>
              <w:rPr>
                <w:b/>
                <w:bCs/>
                <w:i/>
                <w:iCs/>
                <w:sz w:val="18"/>
                <w:szCs w:val="18"/>
              </w:rPr>
              <w:t xml:space="preserve">lr </w:t>
            </w:r>
            <w:r>
              <w:rPr>
                <w:b/>
                <w:bCs/>
                <w:sz w:val="18"/>
                <w:szCs w:val="18"/>
              </w:rPr>
              <w:t>/mm</w:t>
            </w:r>
          </w:p>
        </w:tc>
        <w:tc>
          <w:tcPr>
            <w:tcW w:w="576" w:type="pct"/>
            <w:vAlign w:val="center"/>
          </w:tcPr>
          <w:p w14:paraId="0A50C363">
            <w:pPr>
              <w:jc w:val="center"/>
              <w:rPr>
                <w:b/>
                <w:bCs/>
                <w:sz w:val="18"/>
                <w:szCs w:val="18"/>
              </w:rPr>
            </w:pPr>
            <w:r>
              <w:rPr>
                <w:rFonts w:hint="eastAsia"/>
                <w:b/>
                <w:bCs/>
                <w:sz w:val="18"/>
                <w:szCs w:val="18"/>
              </w:rPr>
              <w:t>评定长度</w:t>
            </w:r>
          </w:p>
          <w:p w14:paraId="0A50C364">
            <w:pPr>
              <w:jc w:val="center"/>
              <w:rPr>
                <w:b/>
                <w:bCs/>
                <w:sz w:val="18"/>
                <w:szCs w:val="18"/>
              </w:rPr>
            </w:pPr>
            <w:r>
              <w:rPr>
                <w:b/>
                <w:bCs/>
                <w:i/>
                <w:iCs/>
                <w:sz w:val="18"/>
                <w:szCs w:val="18"/>
              </w:rPr>
              <w:t xml:space="preserve">ln </w:t>
            </w:r>
            <w:r>
              <w:rPr>
                <w:b/>
                <w:bCs/>
                <w:sz w:val="18"/>
                <w:szCs w:val="18"/>
              </w:rPr>
              <w:t>/mm</w:t>
            </w:r>
          </w:p>
          <w:p w14:paraId="0A50C365">
            <w:pPr>
              <w:jc w:val="center"/>
              <w:rPr>
                <w:b/>
                <w:bCs/>
                <w:color w:val="000000"/>
                <w:spacing w:val="4"/>
                <w:sz w:val="18"/>
                <w:szCs w:val="18"/>
              </w:rPr>
            </w:pPr>
            <w:r>
              <w:rPr>
                <w:b/>
                <w:bCs/>
                <w:sz w:val="18"/>
                <w:szCs w:val="18"/>
              </w:rPr>
              <w:t>(</w:t>
            </w:r>
            <w:r>
              <w:rPr>
                <w:b/>
                <w:bCs/>
                <w:i/>
                <w:iCs/>
                <w:sz w:val="18"/>
                <w:szCs w:val="18"/>
              </w:rPr>
              <w:t>ln</w:t>
            </w:r>
            <w:r>
              <w:rPr>
                <w:rFonts w:hint="eastAsia"/>
                <w:b/>
                <w:bCs/>
                <w:i/>
                <w:iCs/>
                <w:sz w:val="18"/>
                <w:szCs w:val="18"/>
              </w:rPr>
              <w:t xml:space="preserve"> </w:t>
            </w:r>
            <w:r>
              <w:rPr>
                <w:b/>
                <w:bCs/>
                <w:sz w:val="18"/>
                <w:szCs w:val="18"/>
              </w:rPr>
              <w:t>=</w:t>
            </w:r>
            <w:r>
              <w:rPr>
                <w:rFonts w:hint="eastAsia"/>
                <w:b/>
                <w:bCs/>
                <w:sz w:val="18"/>
                <w:szCs w:val="18"/>
              </w:rPr>
              <w:t xml:space="preserve"> </w:t>
            </w:r>
            <w:r>
              <w:rPr>
                <w:b/>
                <w:bCs/>
                <w:sz w:val="18"/>
                <w:szCs w:val="18"/>
              </w:rPr>
              <w:t>5</w:t>
            </w:r>
            <w:r>
              <w:rPr>
                <w:rFonts w:hint="eastAsia"/>
                <w:b/>
                <w:bCs/>
                <w:sz w:val="18"/>
                <w:szCs w:val="18"/>
              </w:rPr>
              <w:t xml:space="preserve"> </w:t>
            </w:r>
            <w:r>
              <w:rPr>
                <w:b/>
                <w:bCs/>
                <w:sz w:val="18"/>
                <w:szCs w:val="18"/>
              </w:rPr>
              <w:t>×</w:t>
            </w:r>
            <w:r>
              <w:rPr>
                <w:rFonts w:hint="eastAsia"/>
                <w:b/>
                <w:bCs/>
                <w:sz w:val="18"/>
                <w:szCs w:val="18"/>
              </w:rPr>
              <w:t xml:space="preserve"> </w:t>
            </w:r>
            <w:r>
              <w:rPr>
                <w:b/>
                <w:bCs/>
                <w:i/>
                <w:iCs/>
                <w:sz w:val="18"/>
                <w:szCs w:val="18"/>
              </w:rPr>
              <w:t>lr</w:t>
            </w:r>
            <w:r>
              <w:rPr>
                <w:b/>
                <w:bCs/>
                <w:sz w:val="18"/>
                <w:szCs w:val="18"/>
              </w:rPr>
              <w:t>)</w:t>
            </w:r>
          </w:p>
        </w:tc>
        <w:tc>
          <w:tcPr>
            <w:tcW w:w="873" w:type="pct"/>
            <w:gridSpan w:val="3"/>
            <w:vAlign w:val="center"/>
          </w:tcPr>
          <w:p w14:paraId="0A50C366">
            <w:pPr>
              <w:jc w:val="center"/>
              <w:rPr>
                <w:rFonts w:hint="eastAsia" w:ascii="宋体" w:hAnsi="宋体" w:cs="宋体"/>
                <w:b/>
                <w:bCs/>
                <w:spacing w:val="-1"/>
                <w:sz w:val="18"/>
                <w:szCs w:val="18"/>
              </w:rPr>
            </w:pPr>
            <w:r>
              <w:rPr>
                <w:rFonts w:ascii="宋体" w:hAnsi="宋体" w:cs="宋体"/>
                <w:b/>
                <w:bCs/>
                <w:spacing w:val="-1"/>
                <w:sz w:val="18"/>
                <w:szCs w:val="18"/>
              </w:rPr>
              <w:t>表面粗糙度</w:t>
            </w:r>
          </w:p>
          <w:p w14:paraId="0A50C367">
            <w:pPr>
              <w:jc w:val="center"/>
              <w:rPr>
                <w:b/>
                <w:bCs/>
                <w:sz w:val="18"/>
                <w:szCs w:val="18"/>
              </w:rPr>
            </w:pPr>
            <w:r>
              <w:rPr>
                <w:b/>
                <w:bCs/>
                <w:sz w:val="18"/>
                <w:szCs w:val="18"/>
              </w:rPr>
              <w:t>测试结果（3次）</w:t>
            </w:r>
          </w:p>
          <w:p w14:paraId="0A50C368">
            <w:pPr>
              <w:jc w:val="center"/>
              <w:rPr>
                <w:b/>
                <w:sz w:val="18"/>
                <w:szCs w:val="18"/>
              </w:rPr>
            </w:pPr>
            <w:r>
              <w:rPr>
                <w:b/>
                <w:bCs/>
                <w:i/>
                <w:iCs/>
                <w:sz w:val="18"/>
                <w:szCs w:val="18"/>
              </w:rPr>
              <w:t>Ra</w:t>
            </w:r>
            <w:r>
              <w:rPr>
                <w:b/>
                <w:bCs/>
                <w:sz w:val="18"/>
                <w:szCs w:val="18"/>
              </w:rPr>
              <w:t xml:space="preserve"> /μm</w:t>
            </w:r>
          </w:p>
        </w:tc>
        <w:tc>
          <w:tcPr>
            <w:tcW w:w="289" w:type="pct"/>
            <w:vAlign w:val="center"/>
          </w:tcPr>
          <w:p w14:paraId="0A50C369">
            <w:pPr>
              <w:jc w:val="center"/>
              <w:rPr>
                <w:b/>
                <w:sz w:val="18"/>
                <w:szCs w:val="18"/>
              </w:rPr>
            </w:pPr>
            <w:r>
              <w:rPr>
                <w:b/>
                <w:sz w:val="18"/>
                <w:szCs w:val="18"/>
              </w:rPr>
              <w:t>平均值</w:t>
            </w:r>
          </w:p>
        </w:tc>
        <w:tc>
          <w:tcPr>
            <w:tcW w:w="435" w:type="pct"/>
            <w:vAlign w:val="center"/>
          </w:tcPr>
          <w:p w14:paraId="0A50C36A">
            <w:pPr>
              <w:jc w:val="center"/>
              <w:rPr>
                <w:b/>
                <w:sz w:val="18"/>
                <w:szCs w:val="18"/>
              </w:rPr>
            </w:pPr>
            <w:r>
              <w:rPr>
                <w:b/>
                <w:sz w:val="18"/>
                <w:szCs w:val="18"/>
              </w:rPr>
              <w:t>标准</w:t>
            </w:r>
          </w:p>
          <w:p w14:paraId="0A50C36B">
            <w:pPr>
              <w:jc w:val="center"/>
              <w:rPr>
                <w:b/>
                <w:sz w:val="18"/>
                <w:szCs w:val="18"/>
              </w:rPr>
            </w:pPr>
            <w:r>
              <w:rPr>
                <w:b/>
                <w:sz w:val="18"/>
                <w:szCs w:val="18"/>
              </w:rPr>
              <w:t>偏差</w:t>
            </w:r>
          </w:p>
          <w:p w14:paraId="0A50C36C">
            <w:pPr>
              <w:jc w:val="center"/>
              <w:rPr>
                <w:b/>
                <w:sz w:val="18"/>
                <w:szCs w:val="18"/>
              </w:rPr>
            </w:pPr>
            <w:r>
              <w:rPr>
                <w:b/>
                <w:i/>
                <w:sz w:val="18"/>
                <w:szCs w:val="18"/>
              </w:rPr>
              <w:t>S</w:t>
            </w:r>
            <w:r>
              <w:rPr>
                <w:b/>
                <w:sz w:val="18"/>
                <w:szCs w:val="18"/>
                <w:vertAlign w:val="subscript"/>
              </w:rPr>
              <w:t>i</w:t>
            </w:r>
          </w:p>
        </w:tc>
        <w:tc>
          <w:tcPr>
            <w:tcW w:w="257" w:type="pct"/>
            <w:vAlign w:val="center"/>
          </w:tcPr>
          <w:p w14:paraId="0A50C36D">
            <w:pPr>
              <w:jc w:val="center"/>
              <w:rPr>
                <w:b/>
                <w:i/>
                <w:sz w:val="18"/>
                <w:szCs w:val="18"/>
              </w:rPr>
            </w:pPr>
            <w:r>
              <w:rPr>
                <w:rFonts w:hint="eastAsia"/>
                <w:b/>
                <w:i/>
                <w:sz w:val="18"/>
                <w:szCs w:val="18"/>
              </w:rPr>
              <w:t>备注</w:t>
            </w:r>
          </w:p>
        </w:tc>
      </w:tr>
      <w:tr w14:paraId="0A50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restart"/>
            <w:vAlign w:val="center"/>
          </w:tcPr>
          <w:p w14:paraId="0A50C36F">
            <w:pPr>
              <w:jc w:val="center"/>
              <w:rPr>
                <w:sz w:val="18"/>
                <w:szCs w:val="18"/>
              </w:rPr>
            </w:pPr>
            <w:r>
              <w:rPr>
                <w:rFonts w:hint="eastAsia"/>
                <w:sz w:val="18"/>
                <w:szCs w:val="18"/>
              </w:rPr>
              <w:t>厦门金鹭硬质合金有限公司</w:t>
            </w:r>
          </w:p>
        </w:tc>
        <w:tc>
          <w:tcPr>
            <w:tcW w:w="290" w:type="pct"/>
            <w:vAlign w:val="center"/>
          </w:tcPr>
          <w:p w14:paraId="0A50C370">
            <w:pPr>
              <w:jc w:val="center"/>
              <w:rPr>
                <w:sz w:val="18"/>
                <w:szCs w:val="18"/>
              </w:rPr>
            </w:pPr>
            <w:r>
              <w:rPr>
                <w:sz w:val="18"/>
                <w:szCs w:val="18"/>
              </w:rPr>
              <w:t>1-1</w:t>
            </w:r>
          </w:p>
        </w:tc>
        <w:tc>
          <w:tcPr>
            <w:tcW w:w="870" w:type="pct"/>
            <w:vAlign w:val="center"/>
          </w:tcPr>
          <w:p w14:paraId="0A50C371">
            <w:pPr>
              <w:jc w:val="center"/>
              <w:rPr>
                <w:sz w:val="18"/>
                <w:szCs w:val="18"/>
              </w:rPr>
            </w:pPr>
            <w:r>
              <w:rPr>
                <w:rFonts w:hint="eastAsia"/>
                <w:sz w:val="18"/>
                <w:szCs w:val="18"/>
              </w:rPr>
              <w:t>厦门金鹭硬质合金有限公司</w:t>
            </w:r>
          </w:p>
        </w:tc>
        <w:tc>
          <w:tcPr>
            <w:tcW w:w="496" w:type="pct"/>
            <w:vMerge w:val="restart"/>
            <w:vAlign w:val="center"/>
          </w:tcPr>
          <w:p w14:paraId="0A50C372">
            <w:pPr>
              <w:jc w:val="center"/>
              <w:rPr>
                <w:sz w:val="18"/>
                <w:szCs w:val="18"/>
              </w:rPr>
            </w:pPr>
            <w:r>
              <w:rPr>
                <w:rFonts w:hint="eastAsia"/>
                <w:sz w:val="18"/>
                <w:szCs w:val="18"/>
              </w:rPr>
              <w:t>XX</w:t>
            </w:r>
          </w:p>
        </w:tc>
        <w:tc>
          <w:tcPr>
            <w:tcW w:w="550" w:type="pct"/>
            <w:vAlign w:val="center"/>
          </w:tcPr>
          <w:p w14:paraId="0A50C373">
            <w:pPr>
              <w:jc w:val="center"/>
              <w:rPr>
                <w:sz w:val="18"/>
                <w:szCs w:val="18"/>
              </w:rPr>
            </w:pPr>
          </w:p>
        </w:tc>
        <w:tc>
          <w:tcPr>
            <w:tcW w:w="576" w:type="pct"/>
            <w:vAlign w:val="center"/>
          </w:tcPr>
          <w:p w14:paraId="0A50C374">
            <w:pPr>
              <w:jc w:val="center"/>
              <w:rPr>
                <w:sz w:val="18"/>
                <w:szCs w:val="18"/>
              </w:rPr>
            </w:pPr>
          </w:p>
        </w:tc>
        <w:tc>
          <w:tcPr>
            <w:tcW w:w="291" w:type="pct"/>
            <w:vAlign w:val="center"/>
          </w:tcPr>
          <w:p w14:paraId="0A50C375">
            <w:pPr>
              <w:jc w:val="center"/>
              <w:rPr>
                <w:sz w:val="18"/>
                <w:szCs w:val="18"/>
              </w:rPr>
            </w:pPr>
          </w:p>
        </w:tc>
        <w:tc>
          <w:tcPr>
            <w:tcW w:w="291" w:type="pct"/>
            <w:vAlign w:val="center"/>
          </w:tcPr>
          <w:p w14:paraId="0A50C376">
            <w:pPr>
              <w:jc w:val="center"/>
              <w:rPr>
                <w:sz w:val="18"/>
                <w:szCs w:val="18"/>
              </w:rPr>
            </w:pPr>
          </w:p>
        </w:tc>
        <w:tc>
          <w:tcPr>
            <w:tcW w:w="291" w:type="pct"/>
            <w:vAlign w:val="center"/>
          </w:tcPr>
          <w:p w14:paraId="0A50C377">
            <w:pPr>
              <w:jc w:val="center"/>
              <w:rPr>
                <w:sz w:val="18"/>
                <w:szCs w:val="18"/>
              </w:rPr>
            </w:pPr>
          </w:p>
        </w:tc>
        <w:tc>
          <w:tcPr>
            <w:tcW w:w="289" w:type="pct"/>
            <w:vAlign w:val="center"/>
          </w:tcPr>
          <w:p w14:paraId="0A50C378">
            <w:pPr>
              <w:jc w:val="center"/>
              <w:rPr>
                <w:sz w:val="18"/>
                <w:szCs w:val="18"/>
              </w:rPr>
            </w:pPr>
          </w:p>
        </w:tc>
        <w:tc>
          <w:tcPr>
            <w:tcW w:w="435" w:type="pct"/>
            <w:vAlign w:val="center"/>
          </w:tcPr>
          <w:p w14:paraId="0A50C379">
            <w:pPr>
              <w:jc w:val="center"/>
              <w:rPr>
                <w:sz w:val="18"/>
                <w:szCs w:val="18"/>
              </w:rPr>
            </w:pPr>
          </w:p>
        </w:tc>
        <w:tc>
          <w:tcPr>
            <w:tcW w:w="257" w:type="pct"/>
            <w:vMerge w:val="restart"/>
            <w:vAlign w:val="center"/>
          </w:tcPr>
          <w:p w14:paraId="0A50C37A">
            <w:pPr>
              <w:jc w:val="center"/>
              <w:rPr>
                <w:sz w:val="18"/>
                <w:szCs w:val="18"/>
              </w:rPr>
            </w:pPr>
          </w:p>
        </w:tc>
      </w:tr>
      <w:tr w14:paraId="0A50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37C">
            <w:pPr>
              <w:jc w:val="center"/>
              <w:rPr>
                <w:sz w:val="18"/>
                <w:szCs w:val="18"/>
              </w:rPr>
            </w:pPr>
          </w:p>
        </w:tc>
        <w:tc>
          <w:tcPr>
            <w:tcW w:w="290" w:type="pct"/>
            <w:vAlign w:val="center"/>
          </w:tcPr>
          <w:p w14:paraId="0A50C37D">
            <w:pPr>
              <w:jc w:val="center"/>
              <w:rPr>
                <w:sz w:val="18"/>
                <w:szCs w:val="18"/>
              </w:rPr>
            </w:pPr>
            <w:r>
              <w:rPr>
                <w:sz w:val="18"/>
                <w:szCs w:val="18"/>
              </w:rPr>
              <w:t>1-2</w:t>
            </w:r>
          </w:p>
        </w:tc>
        <w:tc>
          <w:tcPr>
            <w:tcW w:w="870" w:type="pct"/>
            <w:vAlign w:val="center"/>
          </w:tcPr>
          <w:p w14:paraId="0A50C37E">
            <w:pPr>
              <w:jc w:val="center"/>
              <w:rPr>
                <w:sz w:val="18"/>
                <w:szCs w:val="18"/>
              </w:rPr>
            </w:pPr>
            <w:r>
              <w:rPr>
                <w:rFonts w:hint="eastAsia"/>
                <w:sz w:val="18"/>
                <w:szCs w:val="18"/>
              </w:rPr>
              <w:t>厦门金鹭硬质合金有限公司</w:t>
            </w:r>
          </w:p>
        </w:tc>
        <w:tc>
          <w:tcPr>
            <w:tcW w:w="496" w:type="pct"/>
            <w:vMerge w:val="continue"/>
            <w:vAlign w:val="center"/>
          </w:tcPr>
          <w:p w14:paraId="0A50C37F">
            <w:pPr>
              <w:jc w:val="center"/>
              <w:rPr>
                <w:sz w:val="18"/>
                <w:szCs w:val="18"/>
              </w:rPr>
            </w:pPr>
          </w:p>
        </w:tc>
        <w:tc>
          <w:tcPr>
            <w:tcW w:w="550" w:type="pct"/>
            <w:vAlign w:val="center"/>
          </w:tcPr>
          <w:p w14:paraId="0A50C380">
            <w:pPr>
              <w:jc w:val="center"/>
              <w:rPr>
                <w:sz w:val="18"/>
                <w:szCs w:val="18"/>
              </w:rPr>
            </w:pPr>
          </w:p>
        </w:tc>
        <w:tc>
          <w:tcPr>
            <w:tcW w:w="576" w:type="pct"/>
            <w:vAlign w:val="center"/>
          </w:tcPr>
          <w:p w14:paraId="0A50C381">
            <w:pPr>
              <w:jc w:val="center"/>
              <w:rPr>
                <w:sz w:val="18"/>
                <w:szCs w:val="18"/>
              </w:rPr>
            </w:pPr>
          </w:p>
        </w:tc>
        <w:tc>
          <w:tcPr>
            <w:tcW w:w="291" w:type="pct"/>
            <w:vAlign w:val="center"/>
          </w:tcPr>
          <w:p w14:paraId="0A50C382">
            <w:pPr>
              <w:jc w:val="center"/>
              <w:rPr>
                <w:sz w:val="18"/>
                <w:szCs w:val="18"/>
              </w:rPr>
            </w:pPr>
          </w:p>
        </w:tc>
        <w:tc>
          <w:tcPr>
            <w:tcW w:w="291" w:type="pct"/>
            <w:vAlign w:val="center"/>
          </w:tcPr>
          <w:p w14:paraId="0A50C383">
            <w:pPr>
              <w:jc w:val="center"/>
              <w:rPr>
                <w:sz w:val="18"/>
                <w:szCs w:val="18"/>
              </w:rPr>
            </w:pPr>
          </w:p>
        </w:tc>
        <w:tc>
          <w:tcPr>
            <w:tcW w:w="291" w:type="pct"/>
            <w:vAlign w:val="center"/>
          </w:tcPr>
          <w:p w14:paraId="0A50C384">
            <w:pPr>
              <w:jc w:val="center"/>
              <w:rPr>
                <w:sz w:val="18"/>
                <w:szCs w:val="18"/>
              </w:rPr>
            </w:pPr>
          </w:p>
        </w:tc>
        <w:tc>
          <w:tcPr>
            <w:tcW w:w="289" w:type="pct"/>
            <w:vAlign w:val="center"/>
          </w:tcPr>
          <w:p w14:paraId="0A50C385">
            <w:pPr>
              <w:jc w:val="center"/>
              <w:rPr>
                <w:sz w:val="18"/>
                <w:szCs w:val="18"/>
              </w:rPr>
            </w:pPr>
          </w:p>
        </w:tc>
        <w:tc>
          <w:tcPr>
            <w:tcW w:w="435" w:type="pct"/>
            <w:vAlign w:val="center"/>
          </w:tcPr>
          <w:p w14:paraId="0A50C386">
            <w:pPr>
              <w:jc w:val="center"/>
              <w:rPr>
                <w:sz w:val="18"/>
                <w:szCs w:val="18"/>
              </w:rPr>
            </w:pPr>
          </w:p>
        </w:tc>
        <w:tc>
          <w:tcPr>
            <w:tcW w:w="257" w:type="pct"/>
            <w:vMerge w:val="continue"/>
            <w:vAlign w:val="center"/>
          </w:tcPr>
          <w:p w14:paraId="0A50C387">
            <w:pPr>
              <w:jc w:val="center"/>
              <w:rPr>
                <w:sz w:val="18"/>
                <w:szCs w:val="18"/>
              </w:rPr>
            </w:pPr>
          </w:p>
        </w:tc>
      </w:tr>
      <w:tr w14:paraId="0A50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389">
            <w:pPr>
              <w:jc w:val="center"/>
              <w:rPr>
                <w:sz w:val="18"/>
                <w:szCs w:val="18"/>
              </w:rPr>
            </w:pPr>
          </w:p>
        </w:tc>
        <w:tc>
          <w:tcPr>
            <w:tcW w:w="290" w:type="pct"/>
            <w:vAlign w:val="center"/>
          </w:tcPr>
          <w:p w14:paraId="0A50C38A">
            <w:pPr>
              <w:jc w:val="center"/>
              <w:rPr>
                <w:sz w:val="18"/>
                <w:szCs w:val="18"/>
              </w:rPr>
            </w:pPr>
            <w:r>
              <w:rPr>
                <w:sz w:val="18"/>
                <w:szCs w:val="18"/>
              </w:rPr>
              <w:t>1-3</w:t>
            </w:r>
          </w:p>
        </w:tc>
        <w:tc>
          <w:tcPr>
            <w:tcW w:w="870" w:type="pct"/>
            <w:vAlign w:val="center"/>
          </w:tcPr>
          <w:p w14:paraId="0A50C38B">
            <w:pPr>
              <w:jc w:val="center"/>
              <w:rPr>
                <w:sz w:val="18"/>
                <w:szCs w:val="18"/>
              </w:rPr>
            </w:pPr>
            <w:r>
              <w:rPr>
                <w:rFonts w:hint="eastAsia"/>
                <w:sz w:val="18"/>
                <w:szCs w:val="18"/>
              </w:rPr>
              <w:t>厦门金鹭硬质合金有限公司</w:t>
            </w:r>
          </w:p>
        </w:tc>
        <w:tc>
          <w:tcPr>
            <w:tcW w:w="496" w:type="pct"/>
            <w:vMerge w:val="continue"/>
            <w:vAlign w:val="center"/>
          </w:tcPr>
          <w:p w14:paraId="0A50C38C">
            <w:pPr>
              <w:jc w:val="center"/>
              <w:rPr>
                <w:sz w:val="18"/>
                <w:szCs w:val="18"/>
              </w:rPr>
            </w:pPr>
          </w:p>
        </w:tc>
        <w:tc>
          <w:tcPr>
            <w:tcW w:w="550" w:type="pct"/>
            <w:vAlign w:val="center"/>
          </w:tcPr>
          <w:p w14:paraId="0A50C38D">
            <w:pPr>
              <w:jc w:val="center"/>
              <w:rPr>
                <w:sz w:val="18"/>
                <w:szCs w:val="18"/>
              </w:rPr>
            </w:pPr>
          </w:p>
        </w:tc>
        <w:tc>
          <w:tcPr>
            <w:tcW w:w="576" w:type="pct"/>
            <w:vAlign w:val="center"/>
          </w:tcPr>
          <w:p w14:paraId="0A50C38E">
            <w:pPr>
              <w:jc w:val="center"/>
              <w:rPr>
                <w:sz w:val="18"/>
                <w:szCs w:val="18"/>
              </w:rPr>
            </w:pPr>
          </w:p>
        </w:tc>
        <w:tc>
          <w:tcPr>
            <w:tcW w:w="291" w:type="pct"/>
            <w:vAlign w:val="center"/>
          </w:tcPr>
          <w:p w14:paraId="0A50C38F">
            <w:pPr>
              <w:jc w:val="center"/>
              <w:rPr>
                <w:sz w:val="18"/>
                <w:szCs w:val="18"/>
              </w:rPr>
            </w:pPr>
          </w:p>
        </w:tc>
        <w:tc>
          <w:tcPr>
            <w:tcW w:w="291" w:type="pct"/>
            <w:vAlign w:val="center"/>
          </w:tcPr>
          <w:p w14:paraId="0A50C390">
            <w:pPr>
              <w:jc w:val="center"/>
              <w:rPr>
                <w:sz w:val="18"/>
                <w:szCs w:val="18"/>
              </w:rPr>
            </w:pPr>
          </w:p>
        </w:tc>
        <w:tc>
          <w:tcPr>
            <w:tcW w:w="291" w:type="pct"/>
            <w:vAlign w:val="center"/>
          </w:tcPr>
          <w:p w14:paraId="0A50C391">
            <w:pPr>
              <w:jc w:val="center"/>
              <w:rPr>
                <w:sz w:val="18"/>
                <w:szCs w:val="18"/>
              </w:rPr>
            </w:pPr>
          </w:p>
        </w:tc>
        <w:tc>
          <w:tcPr>
            <w:tcW w:w="289" w:type="pct"/>
            <w:vAlign w:val="center"/>
          </w:tcPr>
          <w:p w14:paraId="0A50C392">
            <w:pPr>
              <w:jc w:val="center"/>
              <w:rPr>
                <w:sz w:val="18"/>
                <w:szCs w:val="18"/>
              </w:rPr>
            </w:pPr>
          </w:p>
        </w:tc>
        <w:tc>
          <w:tcPr>
            <w:tcW w:w="435" w:type="pct"/>
            <w:vAlign w:val="center"/>
          </w:tcPr>
          <w:p w14:paraId="0A50C393">
            <w:pPr>
              <w:jc w:val="center"/>
              <w:rPr>
                <w:sz w:val="18"/>
                <w:szCs w:val="18"/>
              </w:rPr>
            </w:pPr>
          </w:p>
        </w:tc>
        <w:tc>
          <w:tcPr>
            <w:tcW w:w="257" w:type="pct"/>
            <w:vMerge w:val="continue"/>
            <w:vAlign w:val="center"/>
          </w:tcPr>
          <w:p w14:paraId="0A50C394">
            <w:pPr>
              <w:jc w:val="center"/>
              <w:rPr>
                <w:sz w:val="18"/>
                <w:szCs w:val="18"/>
              </w:rPr>
            </w:pPr>
          </w:p>
        </w:tc>
      </w:tr>
      <w:tr w14:paraId="0A50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396">
            <w:pPr>
              <w:jc w:val="center"/>
              <w:rPr>
                <w:sz w:val="18"/>
                <w:szCs w:val="18"/>
              </w:rPr>
            </w:pPr>
          </w:p>
        </w:tc>
        <w:tc>
          <w:tcPr>
            <w:tcW w:w="290" w:type="pct"/>
            <w:vAlign w:val="center"/>
          </w:tcPr>
          <w:p w14:paraId="0A50C397">
            <w:pPr>
              <w:jc w:val="center"/>
              <w:rPr>
                <w:sz w:val="18"/>
                <w:szCs w:val="18"/>
              </w:rPr>
            </w:pPr>
            <w:r>
              <w:rPr>
                <w:sz w:val="18"/>
                <w:szCs w:val="18"/>
              </w:rPr>
              <w:t>2-1</w:t>
            </w:r>
          </w:p>
        </w:tc>
        <w:tc>
          <w:tcPr>
            <w:tcW w:w="870" w:type="pct"/>
            <w:vAlign w:val="center"/>
          </w:tcPr>
          <w:p w14:paraId="0A50C398">
            <w:pPr>
              <w:jc w:val="center"/>
              <w:rPr>
                <w:sz w:val="18"/>
                <w:szCs w:val="18"/>
              </w:rPr>
            </w:pPr>
            <w:r>
              <w:rPr>
                <w:rFonts w:hint="eastAsia"/>
                <w:sz w:val="18"/>
                <w:szCs w:val="18"/>
              </w:rPr>
              <w:t>深圳艾利佳材料科技有限公司</w:t>
            </w:r>
          </w:p>
        </w:tc>
        <w:tc>
          <w:tcPr>
            <w:tcW w:w="496" w:type="pct"/>
            <w:vMerge w:val="continue"/>
            <w:vAlign w:val="center"/>
          </w:tcPr>
          <w:p w14:paraId="0A50C399">
            <w:pPr>
              <w:jc w:val="center"/>
              <w:rPr>
                <w:sz w:val="18"/>
                <w:szCs w:val="18"/>
              </w:rPr>
            </w:pPr>
          </w:p>
        </w:tc>
        <w:tc>
          <w:tcPr>
            <w:tcW w:w="550" w:type="pct"/>
            <w:vAlign w:val="center"/>
          </w:tcPr>
          <w:p w14:paraId="0A50C39A">
            <w:pPr>
              <w:jc w:val="center"/>
            </w:pPr>
          </w:p>
        </w:tc>
        <w:tc>
          <w:tcPr>
            <w:tcW w:w="576" w:type="pct"/>
            <w:vAlign w:val="center"/>
          </w:tcPr>
          <w:p w14:paraId="0A50C39B">
            <w:pPr>
              <w:jc w:val="center"/>
            </w:pPr>
          </w:p>
        </w:tc>
        <w:tc>
          <w:tcPr>
            <w:tcW w:w="291" w:type="pct"/>
            <w:vAlign w:val="center"/>
          </w:tcPr>
          <w:p w14:paraId="0A50C39C">
            <w:pPr>
              <w:jc w:val="center"/>
              <w:rPr>
                <w:sz w:val="18"/>
                <w:szCs w:val="18"/>
              </w:rPr>
            </w:pPr>
          </w:p>
        </w:tc>
        <w:tc>
          <w:tcPr>
            <w:tcW w:w="291" w:type="pct"/>
            <w:vAlign w:val="center"/>
          </w:tcPr>
          <w:p w14:paraId="0A50C39D">
            <w:pPr>
              <w:jc w:val="center"/>
              <w:rPr>
                <w:sz w:val="18"/>
                <w:szCs w:val="18"/>
              </w:rPr>
            </w:pPr>
          </w:p>
        </w:tc>
        <w:tc>
          <w:tcPr>
            <w:tcW w:w="291" w:type="pct"/>
            <w:vAlign w:val="center"/>
          </w:tcPr>
          <w:p w14:paraId="0A50C39E">
            <w:pPr>
              <w:jc w:val="center"/>
              <w:rPr>
                <w:sz w:val="18"/>
                <w:szCs w:val="18"/>
              </w:rPr>
            </w:pPr>
          </w:p>
        </w:tc>
        <w:tc>
          <w:tcPr>
            <w:tcW w:w="289" w:type="pct"/>
            <w:vAlign w:val="center"/>
          </w:tcPr>
          <w:p w14:paraId="0A50C39F">
            <w:pPr>
              <w:jc w:val="center"/>
              <w:rPr>
                <w:sz w:val="18"/>
                <w:szCs w:val="18"/>
              </w:rPr>
            </w:pPr>
          </w:p>
        </w:tc>
        <w:tc>
          <w:tcPr>
            <w:tcW w:w="435" w:type="pct"/>
            <w:vAlign w:val="center"/>
          </w:tcPr>
          <w:p w14:paraId="0A50C3A0">
            <w:pPr>
              <w:jc w:val="center"/>
              <w:rPr>
                <w:sz w:val="18"/>
                <w:szCs w:val="18"/>
              </w:rPr>
            </w:pPr>
          </w:p>
        </w:tc>
        <w:tc>
          <w:tcPr>
            <w:tcW w:w="257" w:type="pct"/>
            <w:vMerge w:val="continue"/>
            <w:vAlign w:val="center"/>
          </w:tcPr>
          <w:p w14:paraId="0A50C3A1">
            <w:pPr>
              <w:jc w:val="center"/>
              <w:rPr>
                <w:sz w:val="18"/>
                <w:szCs w:val="18"/>
              </w:rPr>
            </w:pPr>
          </w:p>
        </w:tc>
      </w:tr>
      <w:tr w14:paraId="0A50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3A3">
            <w:pPr>
              <w:jc w:val="center"/>
              <w:rPr>
                <w:sz w:val="18"/>
                <w:szCs w:val="18"/>
              </w:rPr>
            </w:pPr>
          </w:p>
        </w:tc>
        <w:tc>
          <w:tcPr>
            <w:tcW w:w="290" w:type="pct"/>
            <w:vAlign w:val="center"/>
          </w:tcPr>
          <w:p w14:paraId="0A50C3A4">
            <w:pPr>
              <w:jc w:val="center"/>
              <w:rPr>
                <w:sz w:val="18"/>
                <w:szCs w:val="18"/>
              </w:rPr>
            </w:pPr>
            <w:r>
              <w:rPr>
                <w:sz w:val="18"/>
                <w:szCs w:val="18"/>
              </w:rPr>
              <w:t>2-2</w:t>
            </w:r>
          </w:p>
        </w:tc>
        <w:tc>
          <w:tcPr>
            <w:tcW w:w="870" w:type="pct"/>
            <w:vAlign w:val="center"/>
          </w:tcPr>
          <w:p w14:paraId="0A50C3A5">
            <w:pPr>
              <w:jc w:val="center"/>
              <w:rPr>
                <w:sz w:val="18"/>
                <w:szCs w:val="18"/>
              </w:rPr>
            </w:pPr>
            <w:r>
              <w:rPr>
                <w:rFonts w:hint="eastAsia"/>
                <w:sz w:val="18"/>
                <w:szCs w:val="18"/>
              </w:rPr>
              <w:t>深圳艾利佳材料科技有限公司</w:t>
            </w:r>
          </w:p>
        </w:tc>
        <w:tc>
          <w:tcPr>
            <w:tcW w:w="496" w:type="pct"/>
            <w:vMerge w:val="continue"/>
            <w:vAlign w:val="center"/>
          </w:tcPr>
          <w:p w14:paraId="0A50C3A6">
            <w:pPr>
              <w:jc w:val="center"/>
              <w:rPr>
                <w:sz w:val="18"/>
                <w:szCs w:val="18"/>
              </w:rPr>
            </w:pPr>
          </w:p>
        </w:tc>
        <w:tc>
          <w:tcPr>
            <w:tcW w:w="550" w:type="pct"/>
            <w:vAlign w:val="center"/>
          </w:tcPr>
          <w:p w14:paraId="0A50C3A7">
            <w:pPr>
              <w:jc w:val="center"/>
              <w:rPr>
                <w:sz w:val="18"/>
                <w:szCs w:val="18"/>
              </w:rPr>
            </w:pPr>
          </w:p>
        </w:tc>
        <w:tc>
          <w:tcPr>
            <w:tcW w:w="576" w:type="pct"/>
            <w:vAlign w:val="center"/>
          </w:tcPr>
          <w:p w14:paraId="0A50C3A8">
            <w:pPr>
              <w:jc w:val="center"/>
              <w:rPr>
                <w:sz w:val="18"/>
                <w:szCs w:val="18"/>
              </w:rPr>
            </w:pPr>
          </w:p>
        </w:tc>
        <w:tc>
          <w:tcPr>
            <w:tcW w:w="291" w:type="pct"/>
            <w:vAlign w:val="center"/>
          </w:tcPr>
          <w:p w14:paraId="0A50C3A9">
            <w:pPr>
              <w:jc w:val="center"/>
              <w:rPr>
                <w:sz w:val="18"/>
                <w:szCs w:val="18"/>
              </w:rPr>
            </w:pPr>
          </w:p>
        </w:tc>
        <w:tc>
          <w:tcPr>
            <w:tcW w:w="291" w:type="pct"/>
            <w:vAlign w:val="center"/>
          </w:tcPr>
          <w:p w14:paraId="0A50C3AA">
            <w:pPr>
              <w:jc w:val="center"/>
              <w:rPr>
                <w:sz w:val="18"/>
                <w:szCs w:val="18"/>
              </w:rPr>
            </w:pPr>
          </w:p>
        </w:tc>
        <w:tc>
          <w:tcPr>
            <w:tcW w:w="291" w:type="pct"/>
            <w:vAlign w:val="center"/>
          </w:tcPr>
          <w:p w14:paraId="0A50C3AB">
            <w:pPr>
              <w:jc w:val="center"/>
              <w:rPr>
                <w:sz w:val="18"/>
                <w:szCs w:val="18"/>
              </w:rPr>
            </w:pPr>
          </w:p>
        </w:tc>
        <w:tc>
          <w:tcPr>
            <w:tcW w:w="289" w:type="pct"/>
            <w:vAlign w:val="center"/>
          </w:tcPr>
          <w:p w14:paraId="0A50C3AC">
            <w:pPr>
              <w:jc w:val="center"/>
              <w:rPr>
                <w:sz w:val="18"/>
                <w:szCs w:val="18"/>
              </w:rPr>
            </w:pPr>
          </w:p>
        </w:tc>
        <w:tc>
          <w:tcPr>
            <w:tcW w:w="435" w:type="pct"/>
            <w:vAlign w:val="center"/>
          </w:tcPr>
          <w:p w14:paraId="0A50C3AD">
            <w:pPr>
              <w:jc w:val="center"/>
              <w:rPr>
                <w:sz w:val="18"/>
                <w:szCs w:val="18"/>
              </w:rPr>
            </w:pPr>
          </w:p>
        </w:tc>
        <w:tc>
          <w:tcPr>
            <w:tcW w:w="257" w:type="pct"/>
            <w:vMerge w:val="continue"/>
            <w:vAlign w:val="center"/>
          </w:tcPr>
          <w:p w14:paraId="0A50C3AE">
            <w:pPr>
              <w:jc w:val="center"/>
              <w:rPr>
                <w:sz w:val="18"/>
                <w:szCs w:val="18"/>
              </w:rPr>
            </w:pPr>
          </w:p>
        </w:tc>
      </w:tr>
      <w:tr w14:paraId="0A50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3B0">
            <w:pPr>
              <w:jc w:val="center"/>
              <w:rPr>
                <w:sz w:val="18"/>
                <w:szCs w:val="18"/>
              </w:rPr>
            </w:pPr>
          </w:p>
        </w:tc>
        <w:tc>
          <w:tcPr>
            <w:tcW w:w="290" w:type="pct"/>
            <w:vAlign w:val="center"/>
          </w:tcPr>
          <w:p w14:paraId="0A50C3B1">
            <w:pPr>
              <w:jc w:val="center"/>
              <w:rPr>
                <w:sz w:val="18"/>
                <w:szCs w:val="18"/>
              </w:rPr>
            </w:pPr>
            <w:r>
              <w:rPr>
                <w:sz w:val="18"/>
                <w:szCs w:val="18"/>
              </w:rPr>
              <w:t>2-3</w:t>
            </w:r>
          </w:p>
        </w:tc>
        <w:tc>
          <w:tcPr>
            <w:tcW w:w="870" w:type="pct"/>
            <w:vAlign w:val="center"/>
          </w:tcPr>
          <w:p w14:paraId="0A50C3B2">
            <w:pPr>
              <w:jc w:val="center"/>
              <w:rPr>
                <w:sz w:val="18"/>
                <w:szCs w:val="18"/>
              </w:rPr>
            </w:pPr>
            <w:r>
              <w:rPr>
                <w:rFonts w:hint="eastAsia"/>
                <w:sz w:val="18"/>
                <w:szCs w:val="18"/>
              </w:rPr>
              <w:t>深圳艾利佳材料科技有限公司</w:t>
            </w:r>
          </w:p>
        </w:tc>
        <w:tc>
          <w:tcPr>
            <w:tcW w:w="496" w:type="pct"/>
            <w:vMerge w:val="continue"/>
            <w:vAlign w:val="center"/>
          </w:tcPr>
          <w:p w14:paraId="0A50C3B3">
            <w:pPr>
              <w:jc w:val="center"/>
              <w:rPr>
                <w:sz w:val="18"/>
                <w:szCs w:val="18"/>
              </w:rPr>
            </w:pPr>
          </w:p>
        </w:tc>
        <w:tc>
          <w:tcPr>
            <w:tcW w:w="550" w:type="pct"/>
            <w:vAlign w:val="center"/>
          </w:tcPr>
          <w:p w14:paraId="0A50C3B4">
            <w:pPr>
              <w:jc w:val="center"/>
              <w:rPr>
                <w:sz w:val="18"/>
                <w:szCs w:val="18"/>
              </w:rPr>
            </w:pPr>
          </w:p>
        </w:tc>
        <w:tc>
          <w:tcPr>
            <w:tcW w:w="576" w:type="pct"/>
            <w:vAlign w:val="center"/>
          </w:tcPr>
          <w:p w14:paraId="0A50C3B5">
            <w:pPr>
              <w:jc w:val="center"/>
              <w:rPr>
                <w:sz w:val="18"/>
                <w:szCs w:val="18"/>
              </w:rPr>
            </w:pPr>
          </w:p>
        </w:tc>
        <w:tc>
          <w:tcPr>
            <w:tcW w:w="291" w:type="pct"/>
            <w:vAlign w:val="center"/>
          </w:tcPr>
          <w:p w14:paraId="0A50C3B6">
            <w:pPr>
              <w:jc w:val="center"/>
              <w:rPr>
                <w:sz w:val="18"/>
                <w:szCs w:val="18"/>
              </w:rPr>
            </w:pPr>
          </w:p>
        </w:tc>
        <w:tc>
          <w:tcPr>
            <w:tcW w:w="291" w:type="pct"/>
            <w:vAlign w:val="center"/>
          </w:tcPr>
          <w:p w14:paraId="0A50C3B7">
            <w:pPr>
              <w:jc w:val="center"/>
              <w:rPr>
                <w:sz w:val="18"/>
                <w:szCs w:val="18"/>
              </w:rPr>
            </w:pPr>
          </w:p>
        </w:tc>
        <w:tc>
          <w:tcPr>
            <w:tcW w:w="291" w:type="pct"/>
            <w:vAlign w:val="center"/>
          </w:tcPr>
          <w:p w14:paraId="0A50C3B8">
            <w:pPr>
              <w:jc w:val="center"/>
              <w:rPr>
                <w:sz w:val="18"/>
                <w:szCs w:val="18"/>
              </w:rPr>
            </w:pPr>
          </w:p>
        </w:tc>
        <w:tc>
          <w:tcPr>
            <w:tcW w:w="289" w:type="pct"/>
            <w:vAlign w:val="center"/>
          </w:tcPr>
          <w:p w14:paraId="0A50C3B9">
            <w:pPr>
              <w:jc w:val="center"/>
              <w:rPr>
                <w:sz w:val="18"/>
                <w:szCs w:val="18"/>
              </w:rPr>
            </w:pPr>
          </w:p>
        </w:tc>
        <w:tc>
          <w:tcPr>
            <w:tcW w:w="435" w:type="pct"/>
            <w:vAlign w:val="center"/>
          </w:tcPr>
          <w:p w14:paraId="0A50C3BA">
            <w:pPr>
              <w:jc w:val="center"/>
              <w:rPr>
                <w:sz w:val="18"/>
                <w:szCs w:val="18"/>
              </w:rPr>
            </w:pPr>
          </w:p>
        </w:tc>
        <w:tc>
          <w:tcPr>
            <w:tcW w:w="257" w:type="pct"/>
            <w:vMerge w:val="continue"/>
            <w:vAlign w:val="center"/>
          </w:tcPr>
          <w:p w14:paraId="0A50C3BB">
            <w:pPr>
              <w:jc w:val="center"/>
              <w:rPr>
                <w:sz w:val="18"/>
                <w:szCs w:val="18"/>
              </w:rPr>
            </w:pPr>
          </w:p>
        </w:tc>
      </w:tr>
      <w:tr w14:paraId="0A50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3BD">
            <w:pPr>
              <w:jc w:val="center"/>
              <w:rPr>
                <w:sz w:val="18"/>
                <w:szCs w:val="18"/>
              </w:rPr>
            </w:pPr>
          </w:p>
        </w:tc>
        <w:tc>
          <w:tcPr>
            <w:tcW w:w="290" w:type="pct"/>
            <w:vAlign w:val="center"/>
          </w:tcPr>
          <w:p w14:paraId="0A50C3BE">
            <w:pPr>
              <w:jc w:val="center"/>
              <w:rPr>
                <w:sz w:val="18"/>
                <w:szCs w:val="18"/>
              </w:rPr>
            </w:pPr>
            <w:r>
              <w:rPr>
                <w:sz w:val="18"/>
                <w:szCs w:val="18"/>
              </w:rPr>
              <w:t>3-1</w:t>
            </w:r>
          </w:p>
        </w:tc>
        <w:tc>
          <w:tcPr>
            <w:tcW w:w="870" w:type="pct"/>
            <w:vAlign w:val="center"/>
          </w:tcPr>
          <w:p w14:paraId="0A50C3BF">
            <w:pPr>
              <w:jc w:val="center"/>
              <w:rPr>
                <w:sz w:val="18"/>
                <w:szCs w:val="18"/>
              </w:rPr>
            </w:pPr>
            <w:r>
              <w:rPr>
                <w:sz w:val="18"/>
                <w:szCs w:val="18"/>
              </w:rPr>
              <w:t>国标（北京）检验认证有限公司</w:t>
            </w:r>
          </w:p>
        </w:tc>
        <w:tc>
          <w:tcPr>
            <w:tcW w:w="496" w:type="pct"/>
            <w:vMerge w:val="continue"/>
            <w:vAlign w:val="center"/>
          </w:tcPr>
          <w:p w14:paraId="0A50C3C0">
            <w:pPr>
              <w:jc w:val="center"/>
              <w:rPr>
                <w:sz w:val="18"/>
                <w:szCs w:val="18"/>
              </w:rPr>
            </w:pPr>
          </w:p>
        </w:tc>
        <w:tc>
          <w:tcPr>
            <w:tcW w:w="550" w:type="pct"/>
            <w:vAlign w:val="center"/>
          </w:tcPr>
          <w:p w14:paraId="0A50C3C1">
            <w:pPr>
              <w:jc w:val="center"/>
            </w:pPr>
          </w:p>
        </w:tc>
        <w:tc>
          <w:tcPr>
            <w:tcW w:w="576" w:type="pct"/>
            <w:vAlign w:val="center"/>
          </w:tcPr>
          <w:p w14:paraId="0A50C3C2">
            <w:pPr>
              <w:jc w:val="center"/>
            </w:pPr>
          </w:p>
        </w:tc>
        <w:tc>
          <w:tcPr>
            <w:tcW w:w="291" w:type="pct"/>
            <w:vAlign w:val="center"/>
          </w:tcPr>
          <w:p w14:paraId="0A50C3C3">
            <w:pPr>
              <w:jc w:val="center"/>
              <w:rPr>
                <w:sz w:val="18"/>
                <w:szCs w:val="18"/>
              </w:rPr>
            </w:pPr>
          </w:p>
        </w:tc>
        <w:tc>
          <w:tcPr>
            <w:tcW w:w="291" w:type="pct"/>
            <w:vAlign w:val="center"/>
          </w:tcPr>
          <w:p w14:paraId="0A50C3C4">
            <w:pPr>
              <w:jc w:val="center"/>
              <w:rPr>
                <w:sz w:val="18"/>
                <w:szCs w:val="18"/>
              </w:rPr>
            </w:pPr>
          </w:p>
        </w:tc>
        <w:tc>
          <w:tcPr>
            <w:tcW w:w="291" w:type="pct"/>
            <w:vAlign w:val="center"/>
          </w:tcPr>
          <w:p w14:paraId="0A50C3C5">
            <w:pPr>
              <w:jc w:val="center"/>
              <w:rPr>
                <w:sz w:val="18"/>
                <w:szCs w:val="18"/>
              </w:rPr>
            </w:pPr>
          </w:p>
        </w:tc>
        <w:tc>
          <w:tcPr>
            <w:tcW w:w="289" w:type="pct"/>
            <w:vAlign w:val="center"/>
          </w:tcPr>
          <w:p w14:paraId="0A50C3C6">
            <w:pPr>
              <w:jc w:val="center"/>
              <w:rPr>
                <w:sz w:val="18"/>
                <w:szCs w:val="18"/>
              </w:rPr>
            </w:pPr>
          </w:p>
        </w:tc>
        <w:tc>
          <w:tcPr>
            <w:tcW w:w="435" w:type="pct"/>
            <w:vAlign w:val="center"/>
          </w:tcPr>
          <w:p w14:paraId="0A50C3C7">
            <w:pPr>
              <w:jc w:val="center"/>
              <w:rPr>
                <w:sz w:val="18"/>
                <w:szCs w:val="18"/>
              </w:rPr>
            </w:pPr>
          </w:p>
        </w:tc>
        <w:tc>
          <w:tcPr>
            <w:tcW w:w="257" w:type="pct"/>
            <w:vMerge w:val="continue"/>
            <w:vAlign w:val="center"/>
          </w:tcPr>
          <w:p w14:paraId="0A50C3C8">
            <w:pPr>
              <w:jc w:val="center"/>
              <w:rPr>
                <w:sz w:val="18"/>
                <w:szCs w:val="18"/>
              </w:rPr>
            </w:pPr>
          </w:p>
        </w:tc>
      </w:tr>
      <w:tr w14:paraId="0A50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3CA">
            <w:pPr>
              <w:jc w:val="center"/>
              <w:rPr>
                <w:sz w:val="18"/>
                <w:szCs w:val="18"/>
              </w:rPr>
            </w:pPr>
          </w:p>
        </w:tc>
        <w:tc>
          <w:tcPr>
            <w:tcW w:w="290" w:type="pct"/>
            <w:vAlign w:val="center"/>
          </w:tcPr>
          <w:p w14:paraId="0A50C3CB">
            <w:pPr>
              <w:jc w:val="center"/>
              <w:rPr>
                <w:sz w:val="18"/>
                <w:szCs w:val="18"/>
              </w:rPr>
            </w:pPr>
            <w:r>
              <w:rPr>
                <w:sz w:val="18"/>
                <w:szCs w:val="18"/>
              </w:rPr>
              <w:t>3-2</w:t>
            </w:r>
          </w:p>
        </w:tc>
        <w:tc>
          <w:tcPr>
            <w:tcW w:w="870" w:type="pct"/>
            <w:vAlign w:val="center"/>
          </w:tcPr>
          <w:p w14:paraId="0A50C3CC">
            <w:pPr>
              <w:jc w:val="center"/>
              <w:rPr>
                <w:sz w:val="18"/>
                <w:szCs w:val="18"/>
              </w:rPr>
            </w:pPr>
            <w:r>
              <w:rPr>
                <w:sz w:val="18"/>
                <w:szCs w:val="18"/>
              </w:rPr>
              <w:t>国标（北京）检验认证有限公司</w:t>
            </w:r>
          </w:p>
        </w:tc>
        <w:tc>
          <w:tcPr>
            <w:tcW w:w="496" w:type="pct"/>
            <w:vMerge w:val="continue"/>
            <w:vAlign w:val="center"/>
          </w:tcPr>
          <w:p w14:paraId="0A50C3CD">
            <w:pPr>
              <w:jc w:val="center"/>
              <w:rPr>
                <w:sz w:val="18"/>
                <w:szCs w:val="18"/>
              </w:rPr>
            </w:pPr>
          </w:p>
        </w:tc>
        <w:tc>
          <w:tcPr>
            <w:tcW w:w="550" w:type="pct"/>
            <w:vAlign w:val="center"/>
          </w:tcPr>
          <w:p w14:paraId="0A50C3CE">
            <w:pPr>
              <w:jc w:val="center"/>
              <w:rPr>
                <w:sz w:val="18"/>
                <w:szCs w:val="18"/>
              </w:rPr>
            </w:pPr>
          </w:p>
        </w:tc>
        <w:tc>
          <w:tcPr>
            <w:tcW w:w="576" w:type="pct"/>
            <w:vAlign w:val="center"/>
          </w:tcPr>
          <w:p w14:paraId="0A50C3CF">
            <w:pPr>
              <w:jc w:val="center"/>
              <w:rPr>
                <w:sz w:val="18"/>
                <w:szCs w:val="18"/>
              </w:rPr>
            </w:pPr>
          </w:p>
        </w:tc>
        <w:tc>
          <w:tcPr>
            <w:tcW w:w="291" w:type="pct"/>
            <w:vAlign w:val="center"/>
          </w:tcPr>
          <w:p w14:paraId="0A50C3D0">
            <w:pPr>
              <w:jc w:val="center"/>
              <w:rPr>
                <w:sz w:val="18"/>
                <w:szCs w:val="18"/>
              </w:rPr>
            </w:pPr>
          </w:p>
        </w:tc>
        <w:tc>
          <w:tcPr>
            <w:tcW w:w="291" w:type="pct"/>
            <w:vAlign w:val="center"/>
          </w:tcPr>
          <w:p w14:paraId="0A50C3D1">
            <w:pPr>
              <w:jc w:val="center"/>
              <w:rPr>
                <w:sz w:val="18"/>
                <w:szCs w:val="18"/>
              </w:rPr>
            </w:pPr>
          </w:p>
        </w:tc>
        <w:tc>
          <w:tcPr>
            <w:tcW w:w="291" w:type="pct"/>
            <w:vAlign w:val="center"/>
          </w:tcPr>
          <w:p w14:paraId="0A50C3D2">
            <w:pPr>
              <w:jc w:val="center"/>
              <w:rPr>
                <w:sz w:val="18"/>
                <w:szCs w:val="18"/>
              </w:rPr>
            </w:pPr>
          </w:p>
        </w:tc>
        <w:tc>
          <w:tcPr>
            <w:tcW w:w="289" w:type="pct"/>
            <w:vAlign w:val="center"/>
          </w:tcPr>
          <w:p w14:paraId="0A50C3D3">
            <w:pPr>
              <w:jc w:val="center"/>
              <w:rPr>
                <w:sz w:val="18"/>
                <w:szCs w:val="18"/>
              </w:rPr>
            </w:pPr>
          </w:p>
        </w:tc>
        <w:tc>
          <w:tcPr>
            <w:tcW w:w="435" w:type="pct"/>
            <w:vAlign w:val="center"/>
          </w:tcPr>
          <w:p w14:paraId="0A50C3D4">
            <w:pPr>
              <w:jc w:val="center"/>
              <w:rPr>
                <w:sz w:val="18"/>
                <w:szCs w:val="18"/>
              </w:rPr>
            </w:pPr>
          </w:p>
        </w:tc>
        <w:tc>
          <w:tcPr>
            <w:tcW w:w="257" w:type="pct"/>
            <w:vMerge w:val="continue"/>
            <w:vAlign w:val="center"/>
          </w:tcPr>
          <w:p w14:paraId="0A50C3D5">
            <w:pPr>
              <w:jc w:val="center"/>
              <w:rPr>
                <w:sz w:val="18"/>
                <w:szCs w:val="18"/>
              </w:rPr>
            </w:pPr>
          </w:p>
        </w:tc>
      </w:tr>
      <w:tr w14:paraId="0A50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Merge w:val="continue"/>
            <w:vAlign w:val="center"/>
          </w:tcPr>
          <w:p w14:paraId="0A50C3D7">
            <w:pPr>
              <w:jc w:val="center"/>
              <w:rPr>
                <w:sz w:val="18"/>
                <w:szCs w:val="18"/>
              </w:rPr>
            </w:pPr>
          </w:p>
        </w:tc>
        <w:tc>
          <w:tcPr>
            <w:tcW w:w="290" w:type="pct"/>
            <w:vAlign w:val="center"/>
          </w:tcPr>
          <w:p w14:paraId="0A50C3D8">
            <w:pPr>
              <w:jc w:val="center"/>
              <w:rPr>
                <w:sz w:val="18"/>
                <w:szCs w:val="18"/>
              </w:rPr>
            </w:pPr>
            <w:r>
              <w:rPr>
                <w:sz w:val="18"/>
                <w:szCs w:val="18"/>
              </w:rPr>
              <w:t>3-3</w:t>
            </w:r>
          </w:p>
        </w:tc>
        <w:tc>
          <w:tcPr>
            <w:tcW w:w="870" w:type="pct"/>
            <w:vAlign w:val="center"/>
          </w:tcPr>
          <w:p w14:paraId="0A50C3D9">
            <w:pPr>
              <w:jc w:val="center"/>
              <w:rPr>
                <w:sz w:val="18"/>
                <w:szCs w:val="18"/>
              </w:rPr>
            </w:pPr>
            <w:r>
              <w:rPr>
                <w:sz w:val="18"/>
                <w:szCs w:val="18"/>
              </w:rPr>
              <w:t>国标（北京）检验认证有限公司</w:t>
            </w:r>
          </w:p>
        </w:tc>
        <w:tc>
          <w:tcPr>
            <w:tcW w:w="496" w:type="pct"/>
            <w:vMerge w:val="continue"/>
            <w:vAlign w:val="center"/>
          </w:tcPr>
          <w:p w14:paraId="0A50C3DA">
            <w:pPr>
              <w:jc w:val="center"/>
              <w:rPr>
                <w:sz w:val="18"/>
                <w:szCs w:val="18"/>
              </w:rPr>
            </w:pPr>
          </w:p>
        </w:tc>
        <w:tc>
          <w:tcPr>
            <w:tcW w:w="550" w:type="pct"/>
            <w:vAlign w:val="center"/>
          </w:tcPr>
          <w:p w14:paraId="0A50C3DB">
            <w:pPr>
              <w:jc w:val="center"/>
              <w:rPr>
                <w:sz w:val="18"/>
                <w:szCs w:val="18"/>
              </w:rPr>
            </w:pPr>
          </w:p>
        </w:tc>
        <w:tc>
          <w:tcPr>
            <w:tcW w:w="576" w:type="pct"/>
            <w:vAlign w:val="center"/>
          </w:tcPr>
          <w:p w14:paraId="0A50C3DC">
            <w:pPr>
              <w:jc w:val="center"/>
              <w:rPr>
                <w:sz w:val="18"/>
                <w:szCs w:val="18"/>
              </w:rPr>
            </w:pPr>
          </w:p>
        </w:tc>
        <w:tc>
          <w:tcPr>
            <w:tcW w:w="291" w:type="pct"/>
            <w:vAlign w:val="center"/>
          </w:tcPr>
          <w:p w14:paraId="0A50C3DD">
            <w:pPr>
              <w:jc w:val="center"/>
              <w:rPr>
                <w:sz w:val="18"/>
                <w:szCs w:val="18"/>
              </w:rPr>
            </w:pPr>
          </w:p>
        </w:tc>
        <w:tc>
          <w:tcPr>
            <w:tcW w:w="291" w:type="pct"/>
            <w:vAlign w:val="center"/>
          </w:tcPr>
          <w:p w14:paraId="0A50C3DE">
            <w:pPr>
              <w:jc w:val="center"/>
              <w:rPr>
                <w:sz w:val="18"/>
                <w:szCs w:val="18"/>
              </w:rPr>
            </w:pPr>
          </w:p>
        </w:tc>
        <w:tc>
          <w:tcPr>
            <w:tcW w:w="291" w:type="pct"/>
            <w:vAlign w:val="center"/>
          </w:tcPr>
          <w:p w14:paraId="0A50C3DF">
            <w:pPr>
              <w:jc w:val="center"/>
              <w:rPr>
                <w:sz w:val="18"/>
                <w:szCs w:val="18"/>
              </w:rPr>
            </w:pPr>
          </w:p>
        </w:tc>
        <w:tc>
          <w:tcPr>
            <w:tcW w:w="289" w:type="pct"/>
            <w:vAlign w:val="center"/>
          </w:tcPr>
          <w:p w14:paraId="0A50C3E0">
            <w:pPr>
              <w:jc w:val="center"/>
              <w:rPr>
                <w:sz w:val="18"/>
                <w:szCs w:val="18"/>
              </w:rPr>
            </w:pPr>
          </w:p>
        </w:tc>
        <w:tc>
          <w:tcPr>
            <w:tcW w:w="435" w:type="pct"/>
            <w:vAlign w:val="center"/>
          </w:tcPr>
          <w:p w14:paraId="0A50C3E1">
            <w:pPr>
              <w:jc w:val="center"/>
              <w:rPr>
                <w:sz w:val="18"/>
                <w:szCs w:val="18"/>
              </w:rPr>
            </w:pPr>
          </w:p>
        </w:tc>
        <w:tc>
          <w:tcPr>
            <w:tcW w:w="257" w:type="pct"/>
            <w:vMerge w:val="continue"/>
            <w:vAlign w:val="center"/>
          </w:tcPr>
          <w:p w14:paraId="0A50C3E2">
            <w:pPr>
              <w:jc w:val="center"/>
              <w:rPr>
                <w:sz w:val="18"/>
                <w:szCs w:val="18"/>
              </w:rPr>
            </w:pPr>
          </w:p>
        </w:tc>
      </w:tr>
    </w:tbl>
    <w:p w14:paraId="0A50C3E4">
      <w:pPr>
        <w:rPr>
          <w:highlight w:val="yellow"/>
        </w:rPr>
      </w:pPr>
    </w:p>
    <w:p w14:paraId="0A50C3E5">
      <w:pPr>
        <w:spacing w:line="360" w:lineRule="auto"/>
        <w:ind w:firstLine="496" w:firstLineChars="200"/>
        <w:rPr>
          <w:color w:val="000000"/>
          <w:spacing w:val="4"/>
          <w:sz w:val="24"/>
        </w:rPr>
      </w:pPr>
      <w:r>
        <w:rPr>
          <w:color w:val="000000"/>
          <w:spacing w:val="4"/>
          <w:sz w:val="24"/>
        </w:rPr>
        <w:t>第</w:t>
      </w:r>
      <w:r>
        <w:rPr>
          <w:rFonts w:hint="eastAsia"/>
          <w:color w:val="000000"/>
          <w:spacing w:val="4"/>
          <w:sz w:val="24"/>
        </w:rPr>
        <w:t>三</w:t>
      </w:r>
      <w:r>
        <w:rPr>
          <w:color w:val="000000"/>
          <w:spacing w:val="4"/>
          <w:sz w:val="24"/>
        </w:rPr>
        <w:t>组验证由厦门金鹭硬质合金有限公司提供</w:t>
      </w:r>
      <w:r>
        <w:rPr>
          <w:rFonts w:hint="eastAsia"/>
          <w:color w:val="000000"/>
          <w:spacing w:val="4"/>
          <w:sz w:val="24"/>
        </w:rPr>
        <w:t>XX</w:t>
      </w:r>
      <w:r>
        <w:rPr>
          <w:color w:val="000000"/>
          <w:spacing w:val="4"/>
          <w:sz w:val="24"/>
        </w:rPr>
        <w:t>样品，</w:t>
      </w:r>
      <w:r>
        <w:rPr>
          <w:rFonts w:hint="eastAsia"/>
          <w:color w:val="000000"/>
          <w:spacing w:val="4"/>
          <w:sz w:val="24"/>
        </w:rPr>
        <w:t>表面粗糙度</w:t>
      </w:r>
      <w:r>
        <w:rPr>
          <w:color w:val="000000"/>
          <w:spacing w:val="4"/>
          <w:sz w:val="24"/>
        </w:rPr>
        <w:t>约为</w:t>
      </w:r>
      <w:r>
        <w:rPr>
          <w:rFonts w:hint="eastAsia"/>
          <w:color w:val="000000"/>
          <w:spacing w:val="4"/>
          <w:sz w:val="24"/>
        </w:rPr>
        <w:t>XX</w:t>
      </w:r>
      <w:r>
        <w:rPr>
          <w:sz w:val="24"/>
          <w:szCs w:val="24"/>
        </w:rPr>
        <w:t>μm</w:t>
      </w:r>
      <w:r>
        <w:rPr>
          <w:color w:val="000000"/>
          <w:spacing w:val="4"/>
          <w:sz w:val="24"/>
        </w:rPr>
        <w:t>。由厦门金鹭硬质合金有限公司、深圳艾利佳材料科技有限公司</w:t>
      </w:r>
      <w:r>
        <w:rPr>
          <w:rFonts w:hint="eastAsia"/>
          <w:color w:val="000000"/>
          <w:spacing w:val="4"/>
          <w:sz w:val="24"/>
        </w:rPr>
        <w:t>、国标（北京）检验认证有限公司3</w:t>
      </w:r>
      <w:r>
        <w:rPr>
          <w:color w:val="000000"/>
          <w:spacing w:val="4"/>
          <w:sz w:val="24"/>
        </w:rPr>
        <w:t>家单位进行验证。</w:t>
      </w:r>
    </w:p>
    <w:p w14:paraId="0A50C3E6">
      <w:pPr>
        <w:spacing w:line="360" w:lineRule="auto"/>
        <w:ind w:firstLine="496" w:firstLineChars="200"/>
        <w:rPr>
          <w:color w:val="000000"/>
          <w:spacing w:val="4"/>
          <w:sz w:val="24"/>
        </w:rPr>
      </w:pPr>
      <w:r>
        <w:rPr>
          <w:color w:val="000000"/>
          <w:spacing w:val="4"/>
          <w:sz w:val="24"/>
        </w:rPr>
        <w:t>经计算，总测试次数为</w:t>
      </w:r>
      <w:r>
        <w:rPr>
          <w:rFonts w:hint="eastAsia"/>
          <w:color w:val="000000"/>
          <w:spacing w:val="4"/>
          <w:sz w:val="24"/>
        </w:rPr>
        <w:t>27</w:t>
      </w:r>
      <w:r>
        <w:rPr>
          <w:color w:val="000000"/>
          <w:spacing w:val="4"/>
          <w:sz w:val="24"/>
        </w:rPr>
        <w:t>次，</w:t>
      </w:r>
      <w:r>
        <w:rPr>
          <w:rFonts w:hint="eastAsia"/>
          <w:color w:val="000000"/>
          <w:spacing w:val="4"/>
          <w:sz w:val="24"/>
        </w:rPr>
        <w:t>3</w:t>
      </w:r>
      <w:r>
        <w:rPr>
          <w:color w:val="000000"/>
          <w:spacing w:val="4"/>
          <w:sz w:val="24"/>
        </w:rPr>
        <w:t xml:space="preserve">家单位测试结果平均值在 </w:t>
      </w:r>
      <w:r>
        <w:rPr>
          <w:rFonts w:hint="eastAsia"/>
          <w:color w:val="000000"/>
          <w:spacing w:val="4"/>
          <w:sz w:val="24"/>
        </w:rPr>
        <w:t xml:space="preserve">XX </w:t>
      </w:r>
      <w:r>
        <w:rPr>
          <w:color w:val="000000"/>
          <w:spacing w:val="4"/>
          <w:sz w:val="24"/>
        </w:rPr>
        <w:t>~</w:t>
      </w:r>
      <w:r>
        <w:rPr>
          <w:rFonts w:hint="eastAsia"/>
          <w:color w:val="000000"/>
          <w:spacing w:val="4"/>
          <w:sz w:val="24"/>
        </w:rPr>
        <w:t xml:space="preserve"> XX </w:t>
      </w:r>
      <w:r>
        <w:rPr>
          <w:sz w:val="24"/>
          <w:szCs w:val="24"/>
        </w:rPr>
        <w:t>μm</w:t>
      </w:r>
      <w:r>
        <w:rPr>
          <w:color w:val="000000"/>
          <w:spacing w:val="4"/>
          <w:sz w:val="24"/>
        </w:rPr>
        <w:t xml:space="preserve"> 之间，数据分布相对集中。</w:t>
      </w:r>
    </w:p>
    <w:p w14:paraId="0A50C3E7">
      <w:pPr>
        <w:spacing w:line="360" w:lineRule="auto"/>
        <w:ind w:firstLine="496" w:firstLineChars="200"/>
        <w:rPr>
          <w:color w:val="000000"/>
          <w:spacing w:val="4"/>
          <w:sz w:val="24"/>
        </w:rPr>
      </w:pPr>
      <w:r>
        <w:rPr>
          <w:color w:val="000000"/>
          <w:spacing w:val="4"/>
          <w:sz w:val="24"/>
        </w:rPr>
        <w:t>各单位内部标准偏差不大于</w:t>
      </w:r>
      <w:r>
        <w:rPr>
          <w:rFonts w:hint="eastAsia"/>
          <w:color w:val="000000"/>
          <w:spacing w:val="4"/>
          <w:sz w:val="24"/>
        </w:rPr>
        <w:t>XX</w:t>
      </w:r>
      <w:r>
        <w:rPr>
          <w:color w:val="000000"/>
          <w:spacing w:val="4"/>
          <w:sz w:val="24"/>
        </w:rPr>
        <w:t>，测试稳定性优秀，操作规范性强；单位间差异在合理范围内，测试方法具有较好的通用性和再现性。</w:t>
      </w:r>
      <w:r>
        <w:rPr>
          <w:color w:val="000000"/>
          <w:spacing w:val="4"/>
          <w:sz w:val="24"/>
        </w:rPr>
        <w:br w:type="page"/>
      </w:r>
    </w:p>
    <w:p w14:paraId="0A50C3E8">
      <w:pPr>
        <w:spacing w:line="360" w:lineRule="auto"/>
        <w:ind w:firstLine="435"/>
        <w:rPr>
          <w:sz w:val="24"/>
          <w:szCs w:val="24"/>
        </w:rPr>
      </w:pPr>
      <w:r>
        <w:rPr>
          <w:sz w:val="24"/>
          <w:szCs w:val="24"/>
        </w:rPr>
        <w:t>表1</w:t>
      </w:r>
      <w:r>
        <w:rPr>
          <w:rFonts w:hint="eastAsia"/>
          <w:sz w:val="24"/>
          <w:szCs w:val="24"/>
        </w:rPr>
        <w:t>4</w:t>
      </w:r>
      <w:r>
        <w:rPr>
          <w:sz w:val="24"/>
          <w:szCs w:val="24"/>
        </w:rPr>
        <w:t>和表</w:t>
      </w:r>
      <w:r>
        <w:rPr>
          <w:rFonts w:hint="eastAsia"/>
          <w:sz w:val="24"/>
          <w:szCs w:val="24"/>
        </w:rPr>
        <w:t>15</w:t>
      </w:r>
      <w:r>
        <w:rPr>
          <w:sz w:val="24"/>
          <w:szCs w:val="24"/>
        </w:rPr>
        <w:t>给出了测试结果的标准偏差，展示了其重复性和再现性。</w:t>
      </w:r>
    </w:p>
    <w:p w14:paraId="0A50C3E9">
      <w:pPr>
        <w:spacing w:line="360" w:lineRule="auto"/>
        <w:ind w:firstLine="435"/>
        <w:rPr>
          <w:sz w:val="24"/>
          <w:szCs w:val="24"/>
        </w:rPr>
      </w:pPr>
    </w:p>
    <w:p w14:paraId="0A50C3EA">
      <w:pPr>
        <w:jc w:val="center"/>
      </w:pPr>
      <w:r>
        <w:t xml:space="preserve">             表1</w:t>
      </w:r>
      <w:r>
        <w:rPr>
          <w:rFonts w:hint="eastAsia"/>
        </w:rPr>
        <w:t>4</w:t>
      </w:r>
      <w:r>
        <w:t xml:space="preserve"> 置信度为95%时重复性和再现性的标准偏差         单位为克每立方厘米</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4"/>
        <w:gridCol w:w="3007"/>
        <w:gridCol w:w="3007"/>
      </w:tblGrid>
      <w:tr w14:paraId="0A50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43" w:type="pct"/>
            <w:vAlign w:val="center"/>
          </w:tcPr>
          <w:p w14:paraId="0A50C3EB">
            <w:pPr>
              <w:jc w:val="center"/>
            </w:pPr>
            <w:r>
              <w:t>试验</w:t>
            </w:r>
            <w:r>
              <w:rPr>
                <w:rFonts w:hint="eastAsia"/>
              </w:rPr>
              <w:t>样品</w:t>
            </w:r>
          </w:p>
        </w:tc>
        <w:tc>
          <w:tcPr>
            <w:tcW w:w="1678" w:type="pct"/>
            <w:vAlign w:val="center"/>
          </w:tcPr>
          <w:p w14:paraId="0A50C3EC">
            <w:pPr>
              <w:jc w:val="center"/>
            </w:pPr>
            <w:r>
              <w:t>重复性（</w:t>
            </w:r>
            <w:r>
              <w:rPr>
                <w:i/>
              </w:rPr>
              <w:t>S</w:t>
            </w:r>
            <w:r>
              <w:rPr>
                <w:vertAlign w:val="subscript"/>
              </w:rPr>
              <w:t>r</w:t>
            </w:r>
            <w:r>
              <w:t>）</w:t>
            </w:r>
          </w:p>
          <w:p w14:paraId="0A50C3ED">
            <w:pPr>
              <w:jc w:val="center"/>
            </w:pPr>
            <w:r>
              <w:t>标准偏差</w:t>
            </w:r>
          </w:p>
        </w:tc>
        <w:tc>
          <w:tcPr>
            <w:tcW w:w="1678" w:type="pct"/>
            <w:vAlign w:val="center"/>
          </w:tcPr>
          <w:p w14:paraId="0A50C3EE">
            <w:pPr>
              <w:jc w:val="center"/>
            </w:pPr>
            <w:r>
              <w:t>再现性（</w:t>
            </w:r>
            <w:r>
              <w:rPr>
                <w:i/>
              </w:rPr>
              <w:t>S</w:t>
            </w:r>
            <w:r>
              <w:rPr>
                <w:vertAlign w:val="subscript"/>
              </w:rPr>
              <w:t>R</w:t>
            </w:r>
            <w:r>
              <w:t>）</w:t>
            </w:r>
          </w:p>
          <w:p w14:paraId="0A50C3EF">
            <w:pPr>
              <w:jc w:val="center"/>
            </w:pPr>
            <w:r>
              <w:t>标准偏差</w:t>
            </w:r>
          </w:p>
        </w:tc>
      </w:tr>
      <w:tr w14:paraId="0A50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3" w:type="pct"/>
          </w:tcPr>
          <w:p w14:paraId="0A50C3F1">
            <w:pPr>
              <w:jc w:val="center"/>
            </w:pPr>
          </w:p>
        </w:tc>
        <w:tc>
          <w:tcPr>
            <w:tcW w:w="1678" w:type="pct"/>
          </w:tcPr>
          <w:p w14:paraId="0A50C3F2">
            <w:pPr>
              <w:jc w:val="center"/>
            </w:pPr>
          </w:p>
        </w:tc>
        <w:tc>
          <w:tcPr>
            <w:tcW w:w="1678" w:type="pct"/>
          </w:tcPr>
          <w:p w14:paraId="0A50C3F3">
            <w:pPr>
              <w:jc w:val="center"/>
            </w:pPr>
          </w:p>
        </w:tc>
      </w:tr>
      <w:tr w14:paraId="0A50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3" w:type="pct"/>
          </w:tcPr>
          <w:p w14:paraId="0A50C3F5">
            <w:pPr>
              <w:jc w:val="center"/>
            </w:pPr>
          </w:p>
        </w:tc>
        <w:tc>
          <w:tcPr>
            <w:tcW w:w="1678" w:type="pct"/>
          </w:tcPr>
          <w:p w14:paraId="0A50C3F6">
            <w:pPr>
              <w:jc w:val="center"/>
            </w:pPr>
          </w:p>
        </w:tc>
        <w:tc>
          <w:tcPr>
            <w:tcW w:w="1678" w:type="pct"/>
          </w:tcPr>
          <w:p w14:paraId="0A50C3F7">
            <w:pPr>
              <w:jc w:val="center"/>
            </w:pPr>
          </w:p>
        </w:tc>
      </w:tr>
      <w:tr w14:paraId="0A50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3" w:type="pct"/>
          </w:tcPr>
          <w:p w14:paraId="0A50C3F9">
            <w:pPr>
              <w:jc w:val="center"/>
            </w:pPr>
          </w:p>
        </w:tc>
        <w:tc>
          <w:tcPr>
            <w:tcW w:w="1678" w:type="pct"/>
          </w:tcPr>
          <w:p w14:paraId="0A50C3FA">
            <w:pPr>
              <w:jc w:val="center"/>
            </w:pPr>
          </w:p>
        </w:tc>
        <w:tc>
          <w:tcPr>
            <w:tcW w:w="1678" w:type="pct"/>
          </w:tcPr>
          <w:p w14:paraId="0A50C3FB">
            <w:pPr>
              <w:jc w:val="center"/>
            </w:pPr>
          </w:p>
        </w:tc>
      </w:tr>
    </w:tbl>
    <w:p w14:paraId="0A50C3FD">
      <w:pPr>
        <w:spacing w:line="360" w:lineRule="auto"/>
        <w:ind w:firstLine="496" w:firstLineChars="200"/>
        <w:rPr>
          <w:color w:val="000000"/>
          <w:spacing w:val="4"/>
          <w:sz w:val="24"/>
        </w:rPr>
      </w:pPr>
    </w:p>
    <w:p w14:paraId="0A50C3FE">
      <w:pPr>
        <w:widowControl/>
        <w:jc w:val="center"/>
      </w:pPr>
      <w:r>
        <w:t xml:space="preserve">            表</w:t>
      </w:r>
      <w:r>
        <w:rPr>
          <w:rFonts w:hint="eastAsia"/>
        </w:rPr>
        <w:t>15</w:t>
      </w:r>
      <w:r>
        <w:t xml:space="preserve"> 置信度为95%时不同两个试验的重复性和再现性      单位为克每立方厘米</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0"/>
        <w:gridCol w:w="3003"/>
        <w:gridCol w:w="3005"/>
      </w:tblGrid>
      <w:tr w14:paraId="0A50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646" w:type="pct"/>
            <w:vAlign w:val="center"/>
          </w:tcPr>
          <w:p w14:paraId="0A50C3FF">
            <w:pPr>
              <w:jc w:val="center"/>
            </w:pPr>
            <w:r>
              <w:t>试验</w:t>
            </w:r>
            <w:r>
              <w:rPr>
                <w:rFonts w:hint="eastAsia"/>
              </w:rPr>
              <w:t>样品</w:t>
            </w:r>
          </w:p>
        </w:tc>
        <w:tc>
          <w:tcPr>
            <w:tcW w:w="1676" w:type="pct"/>
            <w:vAlign w:val="center"/>
          </w:tcPr>
          <w:p w14:paraId="0A50C400">
            <w:pPr>
              <w:jc w:val="center"/>
            </w:pPr>
            <w:r>
              <w:t>重复性限（</w:t>
            </w:r>
            <w:r>
              <w:rPr>
                <w:i/>
              </w:rPr>
              <w:t>r</w:t>
            </w:r>
            <w:r>
              <w:t>）</w:t>
            </w:r>
          </w:p>
        </w:tc>
        <w:tc>
          <w:tcPr>
            <w:tcW w:w="1677" w:type="pct"/>
            <w:vAlign w:val="center"/>
          </w:tcPr>
          <w:p w14:paraId="0A50C401">
            <w:pPr>
              <w:jc w:val="center"/>
            </w:pPr>
            <w:r>
              <w:t>再现性限（</w:t>
            </w:r>
            <w:r>
              <w:rPr>
                <w:i/>
              </w:rPr>
              <w:t>R</w:t>
            </w:r>
            <w:r>
              <w:t>）</w:t>
            </w:r>
          </w:p>
        </w:tc>
      </w:tr>
      <w:tr w14:paraId="0A50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6" w:type="pct"/>
          </w:tcPr>
          <w:p w14:paraId="0A50C403">
            <w:pPr>
              <w:jc w:val="center"/>
            </w:pPr>
          </w:p>
        </w:tc>
        <w:tc>
          <w:tcPr>
            <w:tcW w:w="1676" w:type="pct"/>
          </w:tcPr>
          <w:p w14:paraId="0A50C404">
            <w:pPr>
              <w:jc w:val="center"/>
            </w:pPr>
          </w:p>
        </w:tc>
        <w:tc>
          <w:tcPr>
            <w:tcW w:w="1677" w:type="pct"/>
          </w:tcPr>
          <w:p w14:paraId="0A50C405">
            <w:pPr>
              <w:jc w:val="center"/>
            </w:pPr>
          </w:p>
        </w:tc>
      </w:tr>
      <w:tr w14:paraId="0A50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6" w:type="pct"/>
          </w:tcPr>
          <w:p w14:paraId="0A50C407">
            <w:pPr>
              <w:jc w:val="center"/>
            </w:pPr>
          </w:p>
        </w:tc>
        <w:tc>
          <w:tcPr>
            <w:tcW w:w="1676" w:type="pct"/>
          </w:tcPr>
          <w:p w14:paraId="0A50C408">
            <w:pPr>
              <w:jc w:val="center"/>
            </w:pPr>
          </w:p>
        </w:tc>
        <w:tc>
          <w:tcPr>
            <w:tcW w:w="1677" w:type="pct"/>
          </w:tcPr>
          <w:p w14:paraId="0A50C409">
            <w:pPr>
              <w:jc w:val="center"/>
            </w:pPr>
          </w:p>
        </w:tc>
      </w:tr>
      <w:tr w14:paraId="0A50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6" w:type="pct"/>
          </w:tcPr>
          <w:p w14:paraId="0A50C40B">
            <w:pPr>
              <w:jc w:val="center"/>
            </w:pPr>
          </w:p>
        </w:tc>
        <w:tc>
          <w:tcPr>
            <w:tcW w:w="1676" w:type="pct"/>
          </w:tcPr>
          <w:p w14:paraId="0A50C40C">
            <w:pPr>
              <w:jc w:val="center"/>
            </w:pPr>
          </w:p>
        </w:tc>
        <w:tc>
          <w:tcPr>
            <w:tcW w:w="1677" w:type="pct"/>
          </w:tcPr>
          <w:p w14:paraId="0A50C40D">
            <w:pPr>
              <w:jc w:val="center"/>
            </w:pPr>
          </w:p>
        </w:tc>
      </w:tr>
    </w:tbl>
    <w:p w14:paraId="0A50C40F">
      <w:pPr>
        <w:spacing w:line="360" w:lineRule="auto"/>
        <w:ind w:firstLine="496" w:firstLineChars="200"/>
        <w:rPr>
          <w:color w:val="000000"/>
          <w:spacing w:val="4"/>
          <w:sz w:val="24"/>
        </w:rPr>
      </w:pPr>
    </w:p>
    <w:p w14:paraId="0A50C410">
      <w:pPr>
        <w:spacing w:line="360" w:lineRule="auto"/>
        <w:ind w:firstLine="496" w:firstLineChars="200"/>
        <w:rPr>
          <w:color w:val="000000"/>
          <w:spacing w:val="4"/>
          <w:sz w:val="24"/>
        </w:rPr>
      </w:pPr>
      <w:r>
        <w:rPr>
          <w:color w:val="000000"/>
          <w:spacing w:val="4"/>
          <w:sz w:val="24"/>
        </w:rPr>
        <w:t>本标准规定对于同一设备，同一操作者，同一批粉末，在95 %的置信度下，其两次测量结果差值</w:t>
      </w:r>
      <w:r>
        <w:rPr>
          <w:rFonts w:hint="eastAsia"/>
          <w:color w:val="000000"/>
          <w:spacing w:val="4"/>
          <w:sz w:val="24"/>
        </w:rPr>
        <w:t>XXXX</w:t>
      </w:r>
      <w:r>
        <w:rPr>
          <w:color w:val="000000"/>
          <w:spacing w:val="4"/>
          <w:sz w:val="24"/>
        </w:rPr>
        <w:t>；对于两个不同实验室，同一批粉末，在95 %的置信度下，其测量结果差值</w:t>
      </w:r>
      <w:r>
        <w:rPr>
          <w:rFonts w:hint="eastAsia"/>
          <w:color w:val="000000"/>
          <w:spacing w:val="4"/>
          <w:sz w:val="24"/>
        </w:rPr>
        <w:t>XXXX</w:t>
      </w:r>
      <w:r>
        <w:rPr>
          <w:color w:val="000000"/>
          <w:spacing w:val="4"/>
          <w:sz w:val="24"/>
        </w:rPr>
        <w:t>。</w:t>
      </w:r>
    </w:p>
    <w:p w14:paraId="0A50C411">
      <w:pPr>
        <w:spacing w:line="360" w:lineRule="auto"/>
        <w:outlineLvl w:val="1"/>
        <w:rPr>
          <w:b/>
          <w:bCs/>
          <w:sz w:val="24"/>
        </w:rPr>
      </w:pPr>
      <w:r>
        <w:rPr>
          <w:b/>
          <w:bCs/>
          <w:sz w:val="24"/>
        </w:rPr>
        <w:t>3.3 结论</w:t>
      </w:r>
    </w:p>
    <w:p w14:paraId="0A50C412">
      <w:pPr>
        <w:spacing w:line="360" w:lineRule="auto"/>
        <w:ind w:firstLine="496" w:firstLineChars="200"/>
        <w:rPr>
          <w:color w:val="000000"/>
          <w:spacing w:val="4"/>
          <w:sz w:val="24"/>
        </w:rPr>
      </w:pPr>
      <w:r>
        <w:rPr>
          <w:color w:val="000000"/>
          <w:spacing w:val="4"/>
          <w:sz w:val="24"/>
        </w:rPr>
        <w:t>由北京钢研高纳科技股份有限公司组织和分析了涉及</w:t>
      </w:r>
      <w:r>
        <w:rPr>
          <w:rFonts w:hint="eastAsia"/>
          <w:color w:val="000000"/>
          <w:spacing w:val="4"/>
          <w:sz w:val="24"/>
        </w:rPr>
        <w:t>9</w:t>
      </w:r>
      <w:r>
        <w:rPr>
          <w:color w:val="000000"/>
          <w:spacing w:val="4"/>
          <w:sz w:val="24"/>
        </w:rPr>
        <w:t>个实验室的实验，确定了准确性数据。</w:t>
      </w:r>
    </w:p>
    <w:p w14:paraId="0A50C413">
      <w:pPr>
        <w:spacing w:line="360" w:lineRule="auto"/>
        <w:ind w:firstLine="496" w:firstLineChars="200"/>
        <w:rPr>
          <w:color w:val="000000"/>
          <w:spacing w:val="4"/>
          <w:sz w:val="24"/>
        </w:rPr>
      </w:pPr>
      <w:r>
        <w:rPr>
          <w:color w:val="000000"/>
          <w:spacing w:val="4"/>
          <w:sz w:val="24"/>
        </w:rPr>
        <w:t>经对</w:t>
      </w:r>
      <w:r>
        <w:rPr>
          <w:rFonts w:hint="eastAsia"/>
          <w:color w:val="000000"/>
          <w:spacing w:val="4"/>
          <w:sz w:val="24"/>
        </w:rPr>
        <w:t>XXXX</w:t>
      </w:r>
      <w:r>
        <w:rPr>
          <w:color w:val="000000"/>
          <w:spacing w:val="4"/>
          <w:sz w:val="24"/>
        </w:rPr>
        <w:t>、</w:t>
      </w:r>
      <w:r>
        <w:rPr>
          <w:rFonts w:hint="eastAsia"/>
          <w:color w:val="000000"/>
          <w:spacing w:val="4"/>
          <w:sz w:val="24"/>
        </w:rPr>
        <w:t>XXXX</w:t>
      </w:r>
      <w:r>
        <w:rPr>
          <w:color w:val="000000"/>
          <w:spacing w:val="4"/>
          <w:sz w:val="24"/>
        </w:rPr>
        <w:t>、</w:t>
      </w:r>
      <w:r>
        <w:rPr>
          <w:rFonts w:hint="eastAsia"/>
          <w:color w:val="000000"/>
          <w:spacing w:val="4"/>
          <w:sz w:val="24"/>
        </w:rPr>
        <w:t>XXXX</w:t>
      </w:r>
      <w:r>
        <w:rPr>
          <w:color w:val="000000"/>
          <w:spacing w:val="4"/>
          <w:sz w:val="24"/>
        </w:rPr>
        <w:t>的验证结果发现，对于本标准，</w:t>
      </w:r>
      <w:r>
        <w:rPr>
          <w:rFonts w:hint="eastAsia"/>
          <w:color w:val="000000"/>
          <w:spacing w:val="4"/>
          <w:sz w:val="24"/>
        </w:rPr>
        <w:t>3</w:t>
      </w:r>
      <w:r>
        <w:rPr>
          <w:color w:val="000000"/>
          <w:spacing w:val="4"/>
          <w:sz w:val="24"/>
        </w:rPr>
        <w:t>种材料都具有较好的重复性和再现性，完全验证了本标准内容的合理性。</w:t>
      </w:r>
    </w:p>
    <w:p w14:paraId="0A50C414">
      <w:pPr>
        <w:spacing w:line="360" w:lineRule="auto"/>
        <w:outlineLvl w:val="1"/>
        <w:rPr>
          <w:b/>
          <w:bCs/>
          <w:sz w:val="24"/>
        </w:rPr>
      </w:pPr>
      <w:r>
        <w:rPr>
          <w:b/>
          <w:bCs/>
          <w:sz w:val="24"/>
        </w:rPr>
        <w:t>3.4 预期效果</w:t>
      </w:r>
    </w:p>
    <w:p w14:paraId="0A50C415">
      <w:pPr>
        <w:spacing w:line="360" w:lineRule="auto"/>
        <w:ind w:firstLine="496" w:firstLineChars="200"/>
        <w:rPr>
          <w:color w:val="000000"/>
          <w:spacing w:val="4"/>
          <w:sz w:val="24"/>
        </w:rPr>
      </w:pPr>
      <w:r>
        <w:rPr>
          <w:color w:val="000000"/>
          <w:spacing w:val="4"/>
          <w:sz w:val="24"/>
        </w:rPr>
        <w:t>本次修订结合了</w:t>
      </w:r>
      <w:r>
        <w:rPr>
          <w:rFonts w:hint="eastAsia"/>
          <w:color w:val="000000"/>
          <w:spacing w:val="4"/>
          <w:sz w:val="24"/>
        </w:rPr>
        <w:t>XXX</w:t>
      </w:r>
      <w:r>
        <w:rPr>
          <w:color w:val="000000"/>
          <w:spacing w:val="4"/>
          <w:sz w:val="24"/>
        </w:rPr>
        <w:t>对提升产品质量控制和检测水平具有十分重要的意义。</w:t>
      </w:r>
    </w:p>
    <w:p w14:paraId="0A50C416">
      <w:pPr>
        <w:spacing w:line="360" w:lineRule="auto"/>
        <w:ind w:firstLine="496" w:firstLineChars="200"/>
        <w:rPr>
          <w:color w:val="000000"/>
          <w:spacing w:val="4"/>
          <w:sz w:val="24"/>
        </w:rPr>
      </w:pPr>
      <w:r>
        <w:rPr>
          <w:color w:val="000000"/>
          <w:spacing w:val="4"/>
          <w:sz w:val="24"/>
        </w:rPr>
        <w:t>《金属注射成形钛及钛合金异形件》</w:t>
      </w:r>
      <w:r>
        <w:rPr>
          <w:rFonts w:hint="eastAsia"/>
          <w:color w:val="000000"/>
          <w:spacing w:val="4"/>
          <w:sz w:val="24"/>
        </w:rPr>
        <w:t>行业</w:t>
      </w:r>
      <w:r>
        <w:rPr>
          <w:color w:val="000000"/>
          <w:spacing w:val="4"/>
          <w:sz w:val="24"/>
        </w:rPr>
        <w:t>标准的修订，使标准更加满足各单位的要求，将为科研、试验、生产、应用、贸易等方面提供最基本的技术标准依据，在该标准的基础之上促使试验、产品与国际接轨。</w:t>
      </w:r>
    </w:p>
    <w:p w14:paraId="0A50C417">
      <w:pPr>
        <w:spacing w:line="360" w:lineRule="auto"/>
        <w:ind w:firstLine="496" w:firstLineChars="200"/>
        <w:rPr>
          <w:color w:val="000000"/>
          <w:spacing w:val="4"/>
          <w:sz w:val="24"/>
        </w:rPr>
      </w:pPr>
    </w:p>
    <w:p w14:paraId="0A50C418">
      <w:pPr>
        <w:rPr>
          <w:b/>
          <w:bCs/>
          <w:sz w:val="24"/>
        </w:rPr>
      </w:pPr>
      <w:r>
        <w:rPr>
          <w:b/>
          <w:bCs/>
          <w:sz w:val="24"/>
        </w:rPr>
        <w:br w:type="page"/>
      </w:r>
    </w:p>
    <w:p w14:paraId="0A50C419">
      <w:pPr>
        <w:spacing w:line="360" w:lineRule="auto"/>
        <w:outlineLvl w:val="0"/>
        <w:rPr>
          <w:b/>
          <w:bCs/>
          <w:sz w:val="24"/>
        </w:rPr>
      </w:pPr>
      <w:r>
        <w:rPr>
          <w:b/>
          <w:bCs/>
          <w:sz w:val="24"/>
        </w:rPr>
        <w:t xml:space="preserve">四、与国际、国外同类标准技术内容的对比情况，或者与测试的国外样品、样机的有关数据对比情况。 </w:t>
      </w:r>
    </w:p>
    <w:p w14:paraId="0A50C41A">
      <w:pPr>
        <w:spacing w:line="360" w:lineRule="auto"/>
        <w:ind w:firstLine="496" w:firstLineChars="200"/>
        <w:rPr>
          <w:color w:val="000000"/>
          <w:spacing w:val="4"/>
          <w:sz w:val="24"/>
        </w:rPr>
      </w:pPr>
      <w:r>
        <w:rPr>
          <w:color w:val="000000"/>
          <w:spacing w:val="4"/>
          <w:sz w:val="24"/>
        </w:rPr>
        <w:t>经过检测论证分析本标准的主要技术指标达到</w:t>
      </w:r>
      <w:r>
        <w:rPr>
          <w:rFonts w:hint="eastAsia"/>
          <w:color w:val="000000"/>
          <w:spacing w:val="4"/>
          <w:sz w:val="24"/>
        </w:rPr>
        <w:t>或超过</w:t>
      </w:r>
      <w:r>
        <w:rPr>
          <w:color w:val="000000"/>
          <w:spacing w:val="4"/>
          <w:sz w:val="24"/>
        </w:rPr>
        <w:t xml:space="preserve">国际先进水平。 </w:t>
      </w:r>
    </w:p>
    <w:p w14:paraId="0A50C41B">
      <w:pPr>
        <w:spacing w:line="360" w:lineRule="auto"/>
        <w:ind w:firstLine="496" w:firstLineChars="200"/>
        <w:rPr>
          <w:color w:val="000000"/>
          <w:spacing w:val="4"/>
          <w:sz w:val="24"/>
        </w:rPr>
      </w:pPr>
    </w:p>
    <w:p w14:paraId="0A50C41C">
      <w:pPr>
        <w:spacing w:line="360" w:lineRule="auto"/>
        <w:outlineLvl w:val="0"/>
        <w:rPr>
          <w:color w:val="000000"/>
          <w:spacing w:val="4"/>
          <w:sz w:val="24"/>
        </w:rPr>
      </w:pPr>
      <w:r>
        <w:rPr>
          <w:b/>
          <w:bCs/>
          <w:sz w:val="24"/>
        </w:rPr>
        <w:t>五、以国际标准为基础的起草情况，以及是否合规引用或者采用国际国外标准，并说明未采用国际标准的原因</w:t>
      </w:r>
      <w:r>
        <w:rPr>
          <w:color w:val="000000"/>
          <w:spacing w:val="4"/>
          <w:sz w:val="24"/>
        </w:rPr>
        <w:t>。</w:t>
      </w:r>
    </w:p>
    <w:p w14:paraId="0A50C41D">
      <w:pPr>
        <w:spacing w:line="360" w:lineRule="auto"/>
        <w:ind w:firstLine="496" w:firstLineChars="200"/>
        <w:rPr>
          <w:color w:val="000000"/>
          <w:spacing w:val="4"/>
          <w:sz w:val="24"/>
          <w:szCs w:val="24"/>
        </w:rPr>
      </w:pPr>
      <w:r>
        <w:rPr>
          <w:rFonts w:hint="eastAsia"/>
          <w:color w:val="000000"/>
          <w:spacing w:val="4"/>
          <w:sz w:val="24"/>
          <w:szCs w:val="24"/>
        </w:rPr>
        <w:t>无对应的国际标准</w:t>
      </w:r>
      <w:r>
        <w:rPr>
          <w:color w:val="000000"/>
          <w:spacing w:val="4"/>
          <w:sz w:val="24"/>
          <w:szCs w:val="24"/>
        </w:rPr>
        <w:t xml:space="preserve">。 </w:t>
      </w:r>
    </w:p>
    <w:p w14:paraId="0A50C41E">
      <w:pPr>
        <w:spacing w:line="360" w:lineRule="auto"/>
        <w:ind w:firstLine="496" w:firstLineChars="200"/>
        <w:rPr>
          <w:color w:val="000000"/>
          <w:spacing w:val="4"/>
          <w:sz w:val="24"/>
          <w:szCs w:val="24"/>
        </w:rPr>
      </w:pPr>
    </w:p>
    <w:p w14:paraId="0A50C41F">
      <w:pPr>
        <w:spacing w:line="360" w:lineRule="auto"/>
        <w:outlineLvl w:val="0"/>
        <w:rPr>
          <w:b/>
          <w:bCs/>
          <w:sz w:val="24"/>
        </w:rPr>
      </w:pPr>
      <w:r>
        <w:rPr>
          <w:b/>
          <w:bCs/>
          <w:sz w:val="24"/>
        </w:rPr>
        <w:t xml:space="preserve">六、与有关法律、行政法规及相关标准的关系 </w:t>
      </w:r>
    </w:p>
    <w:p w14:paraId="0A50C420">
      <w:pPr>
        <w:pStyle w:val="55"/>
        <w:widowControl/>
        <w:autoSpaceDE w:val="0"/>
        <w:autoSpaceDN w:val="0"/>
        <w:spacing w:line="360" w:lineRule="auto"/>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本标准与有关的现行法律、法规和强制性国家标准及其他有关标准具有一致性，无冲突之处。 </w:t>
      </w:r>
    </w:p>
    <w:p w14:paraId="0A50C421">
      <w:pPr>
        <w:pStyle w:val="55"/>
        <w:widowControl/>
        <w:autoSpaceDE w:val="0"/>
        <w:autoSpaceDN w:val="0"/>
        <w:spacing w:line="360" w:lineRule="auto"/>
        <w:ind w:firstLine="480"/>
        <w:rPr>
          <w:color w:val="000000" w:themeColor="text1"/>
          <w:sz w:val="24"/>
          <w:szCs w:val="24"/>
          <w14:textFill>
            <w14:solidFill>
              <w14:schemeClr w14:val="tx1"/>
            </w14:solidFill>
          </w14:textFill>
        </w:rPr>
      </w:pPr>
    </w:p>
    <w:p w14:paraId="0A50C422">
      <w:pPr>
        <w:spacing w:line="360" w:lineRule="auto"/>
        <w:outlineLvl w:val="0"/>
        <w:rPr>
          <w:b/>
          <w:bCs/>
          <w:sz w:val="24"/>
        </w:rPr>
      </w:pPr>
      <w:r>
        <w:rPr>
          <w:b/>
          <w:bCs/>
          <w:sz w:val="24"/>
        </w:rPr>
        <w:t xml:space="preserve">七、重大分歧意见的处理经过和依据 </w:t>
      </w:r>
    </w:p>
    <w:p w14:paraId="0A50C423">
      <w:pPr>
        <w:pStyle w:val="55"/>
        <w:widowControl/>
        <w:autoSpaceDE w:val="0"/>
        <w:autoSpaceDN w:val="0"/>
        <w:spacing w:line="360" w:lineRule="auto"/>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本标准制定过程中，无重大分歧意见。</w:t>
      </w:r>
    </w:p>
    <w:p w14:paraId="0A50C424">
      <w:pPr>
        <w:pStyle w:val="55"/>
        <w:widowControl/>
        <w:autoSpaceDE w:val="0"/>
        <w:autoSpaceDN w:val="0"/>
        <w:spacing w:line="360" w:lineRule="auto"/>
        <w:ind w:firstLine="480"/>
        <w:rPr>
          <w:color w:val="000000" w:themeColor="text1"/>
          <w:sz w:val="24"/>
          <w:szCs w:val="24"/>
          <w14:textFill>
            <w14:solidFill>
              <w14:schemeClr w14:val="tx1"/>
            </w14:solidFill>
          </w14:textFill>
        </w:rPr>
      </w:pPr>
    </w:p>
    <w:p w14:paraId="0A50C425">
      <w:pPr>
        <w:spacing w:line="360" w:lineRule="auto"/>
        <w:outlineLvl w:val="0"/>
        <w:rPr>
          <w:b/>
          <w:bCs/>
          <w:sz w:val="24"/>
        </w:rPr>
      </w:pPr>
      <w:r>
        <w:rPr>
          <w:b/>
          <w:bCs/>
          <w:sz w:val="24"/>
        </w:rPr>
        <w:t xml:space="preserve">八、涉及专利的有关说明。 </w:t>
      </w:r>
    </w:p>
    <w:p w14:paraId="0A50C426">
      <w:pPr>
        <w:pStyle w:val="55"/>
        <w:widowControl/>
        <w:autoSpaceDE w:val="0"/>
        <w:autoSpaceDN w:val="0"/>
        <w:spacing w:line="360" w:lineRule="auto"/>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经过检索，本标准不涉及国内外专利。 </w:t>
      </w:r>
    </w:p>
    <w:p w14:paraId="0A50C427">
      <w:pPr>
        <w:pStyle w:val="55"/>
        <w:widowControl/>
        <w:autoSpaceDE w:val="0"/>
        <w:autoSpaceDN w:val="0"/>
        <w:spacing w:line="360" w:lineRule="auto"/>
        <w:ind w:firstLine="480"/>
        <w:rPr>
          <w:color w:val="000000" w:themeColor="text1"/>
          <w:sz w:val="24"/>
          <w:szCs w:val="24"/>
          <w14:textFill>
            <w14:solidFill>
              <w14:schemeClr w14:val="tx1"/>
            </w14:solidFill>
          </w14:textFill>
        </w:rPr>
      </w:pPr>
    </w:p>
    <w:p w14:paraId="0A50C428">
      <w:pPr>
        <w:spacing w:line="360" w:lineRule="auto"/>
        <w:outlineLvl w:val="0"/>
      </w:pPr>
      <w:r>
        <w:rPr>
          <w:b/>
          <w:bCs/>
          <w:sz w:val="24"/>
        </w:rPr>
        <w:t>九、实施国家标准的要求，以及组织措施、技术措施、过渡期和实施日期的建议等措施建</w:t>
      </w:r>
      <w:r>
        <w:rPr>
          <w:b/>
          <w:bCs/>
          <w:color w:val="000000"/>
          <w:kern w:val="0"/>
          <w:sz w:val="24"/>
          <w:szCs w:val="24"/>
          <w:lang w:bidi="ar"/>
        </w:rPr>
        <w:t>议。</w:t>
      </w:r>
    </w:p>
    <w:p w14:paraId="0A50C429">
      <w:pPr>
        <w:pStyle w:val="55"/>
        <w:widowControl/>
        <w:autoSpaceDE w:val="0"/>
        <w:autoSpaceDN w:val="0"/>
        <w:spacing w:line="360" w:lineRule="auto"/>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标准颁布后通过公众号等互联网工具发布标准信息，组织开展标准的宣贯，介绍标准的特点、试验方法和实施情况等，让用户、企业等深入了解该标准，从而使标准得到更好的贯彻和实施。本标准为</w:t>
      </w:r>
      <w:r>
        <w:rPr>
          <w:rFonts w:hint="eastAsia"/>
          <w:color w:val="000000" w:themeColor="text1"/>
          <w:sz w:val="24"/>
          <w:szCs w:val="24"/>
          <w14:textFill>
            <w14:solidFill>
              <w14:schemeClr w14:val="tx1"/>
            </w14:solidFill>
          </w14:textFill>
        </w:rPr>
        <w:t>行业</w:t>
      </w:r>
      <w:r>
        <w:rPr>
          <w:color w:val="000000" w:themeColor="text1"/>
          <w:sz w:val="24"/>
          <w:szCs w:val="24"/>
          <w14:textFill>
            <w14:solidFill>
              <w14:schemeClr w14:val="tx1"/>
            </w14:solidFill>
          </w14:textFill>
        </w:rPr>
        <w:t>标准，建议发布后6个月实施。建议废止现行标准</w:t>
      </w:r>
      <w:r>
        <w:rPr>
          <w:sz w:val="24"/>
          <w:szCs w:val="24"/>
        </w:rPr>
        <w:t>YS</w:t>
      </w:r>
      <w:r>
        <w:rPr>
          <w:rFonts w:hint="eastAsia"/>
          <w:sz w:val="24"/>
          <w:szCs w:val="24"/>
        </w:rPr>
        <w:t>/</w:t>
      </w:r>
      <w:r>
        <w:rPr>
          <w:sz w:val="24"/>
          <w:szCs w:val="24"/>
        </w:rPr>
        <w:t>T 1532-2022</w:t>
      </w:r>
      <w:r>
        <w:rPr>
          <w:color w:val="000000" w:themeColor="text1"/>
          <w:sz w:val="24"/>
          <w:szCs w:val="24"/>
          <w14:textFill>
            <w14:solidFill>
              <w14:schemeClr w14:val="tx1"/>
            </w14:solidFill>
          </w14:textFill>
        </w:rPr>
        <w:t xml:space="preserve">。 </w:t>
      </w:r>
    </w:p>
    <w:p w14:paraId="0A50C42A">
      <w:pPr>
        <w:pStyle w:val="55"/>
        <w:widowControl/>
        <w:autoSpaceDE w:val="0"/>
        <w:autoSpaceDN w:val="0"/>
        <w:spacing w:line="360" w:lineRule="auto"/>
        <w:ind w:firstLine="480"/>
        <w:rPr>
          <w:color w:val="000000" w:themeColor="text1"/>
          <w:sz w:val="24"/>
          <w:szCs w:val="24"/>
          <w14:textFill>
            <w14:solidFill>
              <w14:schemeClr w14:val="tx1"/>
            </w14:solidFill>
          </w14:textFill>
        </w:rPr>
      </w:pPr>
    </w:p>
    <w:p w14:paraId="0A50C42B">
      <w:pPr>
        <w:spacing w:line="360" w:lineRule="auto"/>
        <w:outlineLvl w:val="0"/>
        <w:rPr>
          <w:b/>
          <w:bCs/>
          <w:sz w:val="24"/>
        </w:rPr>
      </w:pPr>
      <w:r>
        <w:rPr>
          <w:b/>
          <w:bCs/>
          <w:sz w:val="24"/>
        </w:rPr>
        <w:t xml:space="preserve">十、关于公平竞争的说明 </w:t>
      </w:r>
    </w:p>
    <w:p w14:paraId="0A50C42C">
      <w:pPr>
        <w:pStyle w:val="55"/>
        <w:widowControl/>
        <w:autoSpaceDE w:val="0"/>
        <w:autoSpaceDN w:val="0"/>
        <w:spacing w:line="360" w:lineRule="auto"/>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经审查本标准未违反《公平竞争审查条例》。 </w:t>
      </w:r>
    </w:p>
    <w:p w14:paraId="0A50C42D">
      <w:pPr>
        <w:pStyle w:val="55"/>
        <w:widowControl/>
        <w:autoSpaceDE w:val="0"/>
        <w:autoSpaceDN w:val="0"/>
        <w:spacing w:line="360" w:lineRule="auto"/>
        <w:ind w:firstLine="480"/>
        <w:rPr>
          <w:color w:val="000000" w:themeColor="text1"/>
          <w:sz w:val="24"/>
          <w:szCs w:val="24"/>
          <w14:textFill>
            <w14:solidFill>
              <w14:schemeClr w14:val="tx1"/>
            </w14:solidFill>
          </w14:textFill>
        </w:rPr>
      </w:pPr>
    </w:p>
    <w:p w14:paraId="0A50C42E">
      <w:pPr>
        <w:spacing w:line="360" w:lineRule="auto"/>
        <w:outlineLvl w:val="0"/>
        <w:rPr>
          <w:b/>
          <w:bCs/>
          <w:sz w:val="24"/>
        </w:rPr>
      </w:pPr>
      <w:r>
        <w:rPr>
          <w:b/>
          <w:bCs/>
          <w:sz w:val="24"/>
        </w:rPr>
        <w:t xml:space="preserve">十一、其他应当说明的事项。 </w:t>
      </w:r>
    </w:p>
    <w:p w14:paraId="0A50C42F">
      <w:pPr>
        <w:pStyle w:val="55"/>
        <w:widowControl/>
        <w:autoSpaceDE w:val="0"/>
        <w:autoSpaceDN w:val="0"/>
        <w:spacing w:line="360" w:lineRule="auto"/>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本文件不存在侵犯相关国际、国外、国内机构版权的情况。</w:t>
      </w:r>
    </w:p>
    <w:p w14:paraId="0A50C430">
      <w:pPr>
        <w:pStyle w:val="2"/>
        <w:spacing w:line="360" w:lineRule="auto"/>
        <w:ind w:firstLine="482"/>
      </w:pPr>
    </w:p>
    <w:p w14:paraId="0A50C431">
      <w:pPr>
        <w:tabs>
          <w:tab w:val="left" w:pos="670"/>
        </w:tabs>
        <w:spacing w:line="360" w:lineRule="auto"/>
        <w:ind w:firstLine="354" w:firstLineChars="147"/>
        <w:jc w:val="center"/>
        <w:rPr>
          <w:b/>
          <w:sz w:val="24"/>
        </w:rPr>
      </w:pPr>
      <w:r>
        <w:rPr>
          <w:b/>
          <w:sz w:val="24"/>
        </w:rPr>
        <w:t xml:space="preserve">                    </w:t>
      </w:r>
    </w:p>
    <w:p w14:paraId="0A50C432">
      <w:pPr>
        <w:tabs>
          <w:tab w:val="left" w:pos="670"/>
        </w:tabs>
        <w:spacing w:line="360" w:lineRule="auto"/>
        <w:ind w:firstLine="354" w:firstLineChars="147"/>
        <w:jc w:val="center"/>
        <w:rPr>
          <w:b/>
          <w:sz w:val="24"/>
        </w:rPr>
      </w:pPr>
      <w:r>
        <w:rPr>
          <w:b/>
          <w:sz w:val="24"/>
        </w:rPr>
        <w:t xml:space="preserve">       《金属注射成形钛及钛合金异形件》标准编制组</w:t>
      </w:r>
    </w:p>
    <w:p w14:paraId="0A50C433">
      <w:pPr>
        <w:tabs>
          <w:tab w:val="left" w:pos="670"/>
        </w:tabs>
        <w:spacing w:line="360" w:lineRule="auto"/>
        <w:ind w:firstLine="354" w:firstLineChars="147"/>
        <w:jc w:val="center"/>
        <w:rPr>
          <w:sz w:val="24"/>
          <w:szCs w:val="24"/>
        </w:rPr>
      </w:pPr>
      <w:r>
        <w:rPr>
          <w:b/>
          <w:sz w:val="24"/>
        </w:rPr>
        <w:t xml:space="preserve">                   2026年</w:t>
      </w:r>
      <w:r>
        <w:rPr>
          <w:rFonts w:hint="eastAsia"/>
          <w:b/>
          <w:sz w:val="24"/>
        </w:rPr>
        <w:t>8</w:t>
      </w:r>
      <w:r>
        <w:rPr>
          <w:b/>
          <w:sz w:val="24"/>
        </w:rPr>
        <w:t>月</w:t>
      </w:r>
      <w:r>
        <w:rPr>
          <w:rFonts w:hint="eastAsia"/>
          <w:b/>
          <w:sz w:val="24"/>
        </w:rPr>
        <w:t>5</w:t>
      </w:r>
      <w:r>
        <w:rPr>
          <w:b/>
          <w:sz w:val="24"/>
        </w:rPr>
        <w:t>日</w:t>
      </w:r>
      <w:r>
        <w:rPr>
          <w:sz w:val="24"/>
          <w:szCs w:val="24"/>
        </w:rPr>
        <w:tab/>
      </w:r>
    </w:p>
    <w:p w14:paraId="0A50C434">
      <w:pPr>
        <w:tabs>
          <w:tab w:val="left" w:pos="5265"/>
        </w:tabs>
        <w:spacing w:line="360" w:lineRule="auto"/>
        <w:jc w:val="right"/>
        <w:rPr>
          <w:sz w:val="24"/>
          <w:szCs w:val="24"/>
        </w:rPr>
      </w:pPr>
    </w:p>
    <w:p w14:paraId="0A50C435">
      <w:pPr>
        <w:widowControl/>
        <w:jc w:val="left"/>
        <w:rPr>
          <w:sz w:val="24"/>
          <w:szCs w:val="24"/>
        </w:rPr>
      </w:pPr>
    </w:p>
    <w:p w14:paraId="0A50C436">
      <w:pPr>
        <w:jc w:val="center"/>
        <w:rPr>
          <w:b/>
          <w:color w:val="000000" w:themeColor="text1"/>
          <w:sz w:val="44"/>
          <w:szCs w:val="44"/>
          <w14:textFill>
            <w14:solidFill>
              <w14:schemeClr w14:val="tx1"/>
            </w14:solidFill>
          </w14:textFill>
        </w:rPr>
        <w:sectPr>
          <w:footerReference r:id="rId7" w:type="first"/>
          <w:footerReference r:id="rId6" w:type="default"/>
          <w:pgSz w:w="11906" w:h="16838"/>
          <w:pgMar w:top="1440" w:right="1440" w:bottom="1440" w:left="1440" w:header="851" w:footer="992" w:gutter="284"/>
          <w:pgNumType w:start="1"/>
          <w:cols w:space="425" w:num="1"/>
          <w:titlePg/>
          <w:docGrid w:linePitch="312" w:charSpace="0"/>
        </w:sectPr>
      </w:pPr>
    </w:p>
    <w:p w14:paraId="0A50C437">
      <w:pPr>
        <w:jc w:val="center"/>
        <w:rPr>
          <w:b/>
          <w:color w:val="000000" w:themeColor="text1"/>
          <w:sz w:val="44"/>
          <w:szCs w:val="44"/>
          <w14:textFill>
            <w14:solidFill>
              <w14:schemeClr w14:val="tx1"/>
            </w14:solidFill>
          </w14:textFill>
        </w:rPr>
      </w:pPr>
      <w:r>
        <w:rPr>
          <w:b/>
          <w:color w:val="000000" w:themeColor="text1"/>
          <w:sz w:val="44"/>
          <w:szCs w:val="44"/>
          <w14:textFill>
            <w14:solidFill>
              <w14:schemeClr w14:val="tx1"/>
            </w14:solidFill>
          </w14:textFill>
        </w:rPr>
        <w:t xml:space="preserve">标准征求意见稿意见汇总处理表 </w:t>
      </w:r>
      <w:r>
        <w:rPr>
          <w:color w:val="000000" w:themeColor="text1"/>
          <w14:textFill>
            <w14:solidFill>
              <w14:schemeClr w14:val="tx1"/>
            </w14:solidFill>
          </w14:textFill>
        </w:rPr>
        <w:t>第1页 共1页</w:t>
      </w:r>
    </w:p>
    <w:p w14:paraId="0A50C438">
      <w:pPr>
        <w:tabs>
          <w:tab w:val="left" w:pos="4950"/>
        </w:tabs>
        <w:spacing w:line="260" w:lineRule="exact"/>
        <w:ind w:left="-359" w:leftChars="-171" w:right="-693" w:rightChars="-330" w:firstLine="315" w:firstLineChars="150"/>
        <w:rPr>
          <w:color w:val="000000" w:themeColor="text1"/>
          <w14:textFill>
            <w14:solidFill>
              <w14:schemeClr w14:val="tx1"/>
            </w14:solidFill>
          </w14:textFill>
        </w:rPr>
      </w:pPr>
      <w:r>
        <w:rPr>
          <w:color w:val="000000" w:themeColor="text1"/>
          <w14:textFill>
            <w14:solidFill>
              <w14:schemeClr w14:val="tx1"/>
            </w14:solidFill>
          </w14:textFill>
        </w:rPr>
        <w:t>标准项目名称：《</w:t>
      </w:r>
      <w:r>
        <w:rPr>
          <w:rFonts w:hint="eastAsia"/>
          <w:color w:val="000000" w:themeColor="text1"/>
          <w14:textFill>
            <w14:solidFill>
              <w14:schemeClr w14:val="tx1"/>
            </w14:solidFill>
          </w14:textFill>
        </w:rPr>
        <w:t>粉末冶金制品  表面粗糙度  参数及其数值</w:t>
      </w:r>
      <w:r>
        <w:rPr>
          <w:color w:val="000000" w:themeColor="text1"/>
          <w14:textFill>
            <w14:solidFill>
              <w14:schemeClr w14:val="tx1"/>
            </w14:solidFill>
          </w14:textFill>
        </w:rPr>
        <w:t xml:space="preserve">》   承办人：罗志强    </w:t>
      </w:r>
    </w:p>
    <w:p w14:paraId="0A50C439">
      <w:pPr>
        <w:tabs>
          <w:tab w:val="left" w:pos="4950"/>
        </w:tabs>
        <w:spacing w:line="260" w:lineRule="exact"/>
        <w:ind w:left="-359" w:leftChars="-171" w:right="-693" w:rightChars="-330" w:firstLine="315" w:firstLineChars="150"/>
        <w:rPr>
          <w:color w:val="000000" w:themeColor="text1"/>
          <w14:textFill>
            <w14:solidFill>
              <w14:schemeClr w14:val="tx1"/>
            </w14:solidFill>
          </w14:textFill>
        </w:rPr>
      </w:pPr>
      <w:r>
        <w:rPr>
          <w:color w:val="000000" w:themeColor="text1"/>
          <w14:textFill>
            <w14:solidFill>
              <w14:schemeClr w14:val="tx1"/>
            </w14:solidFill>
          </w14:textFill>
        </w:rPr>
        <w:t>标准项目负责起草单位：北京钢研高纳科技股份有限公司  电话：13581707267  2026年</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月21日填写</w:t>
      </w:r>
    </w:p>
    <w:tbl>
      <w:tblPr>
        <w:tblStyle w:val="22"/>
        <w:tblpPr w:leftFromText="180" w:rightFromText="180" w:vertAnchor="text" w:horzAnchor="margin" w:tblpY="310"/>
        <w:tblW w:w="92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939"/>
        <w:gridCol w:w="3030"/>
        <w:gridCol w:w="2977"/>
        <w:gridCol w:w="992"/>
        <w:gridCol w:w="772"/>
      </w:tblGrid>
      <w:tr w14:paraId="0A50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2" w:type="dxa"/>
            <w:vAlign w:val="center"/>
          </w:tcPr>
          <w:p w14:paraId="0A50C43A">
            <w:pPr>
              <w:jc w:val="center"/>
              <w:rPr>
                <w:sz w:val="18"/>
                <w:szCs w:val="18"/>
              </w:rPr>
            </w:pPr>
            <w:r>
              <w:rPr>
                <w:sz w:val="18"/>
                <w:szCs w:val="18"/>
              </w:rPr>
              <w:t>序号</w:t>
            </w:r>
          </w:p>
        </w:tc>
        <w:tc>
          <w:tcPr>
            <w:tcW w:w="939" w:type="dxa"/>
            <w:vAlign w:val="center"/>
          </w:tcPr>
          <w:p w14:paraId="0A50C43B">
            <w:pPr>
              <w:jc w:val="center"/>
              <w:rPr>
                <w:sz w:val="18"/>
                <w:szCs w:val="18"/>
              </w:rPr>
            </w:pPr>
            <w:r>
              <w:rPr>
                <w:sz w:val="18"/>
                <w:szCs w:val="18"/>
              </w:rPr>
              <w:t>标准章</w:t>
            </w:r>
          </w:p>
          <w:p w14:paraId="0A50C43C">
            <w:pPr>
              <w:jc w:val="center"/>
              <w:rPr>
                <w:sz w:val="18"/>
                <w:szCs w:val="18"/>
              </w:rPr>
            </w:pPr>
            <w:r>
              <w:rPr>
                <w:sz w:val="18"/>
                <w:szCs w:val="18"/>
              </w:rPr>
              <w:t>条编号</w:t>
            </w:r>
          </w:p>
        </w:tc>
        <w:tc>
          <w:tcPr>
            <w:tcW w:w="3030" w:type="dxa"/>
            <w:vAlign w:val="center"/>
          </w:tcPr>
          <w:p w14:paraId="0A50C43D">
            <w:pPr>
              <w:jc w:val="center"/>
              <w:rPr>
                <w:sz w:val="18"/>
                <w:szCs w:val="18"/>
              </w:rPr>
            </w:pPr>
            <w:r>
              <w:rPr>
                <w:sz w:val="18"/>
                <w:szCs w:val="18"/>
              </w:rPr>
              <w:t>意见内容</w:t>
            </w:r>
          </w:p>
        </w:tc>
        <w:tc>
          <w:tcPr>
            <w:tcW w:w="2977" w:type="dxa"/>
            <w:vAlign w:val="center"/>
          </w:tcPr>
          <w:p w14:paraId="0A50C43E">
            <w:pPr>
              <w:jc w:val="center"/>
              <w:rPr>
                <w:sz w:val="18"/>
                <w:szCs w:val="18"/>
              </w:rPr>
            </w:pPr>
            <w:r>
              <w:rPr>
                <w:sz w:val="18"/>
                <w:szCs w:val="18"/>
              </w:rPr>
              <w:t>提出单位</w:t>
            </w:r>
          </w:p>
        </w:tc>
        <w:tc>
          <w:tcPr>
            <w:tcW w:w="992" w:type="dxa"/>
            <w:vAlign w:val="center"/>
          </w:tcPr>
          <w:p w14:paraId="0A50C43F">
            <w:pPr>
              <w:jc w:val="center"/>
              <w:rPr>
                <w:sz w:val="18"/>
                <w:szCs w:val="18"/>
              </w:rPr>
            </w:pPr>
            <w:r>
              <w:rPr>
                <w:sz w:val="18"/>
                <w:szCs w:val="18"/>
              </w:rPr>
              <w:t>处理意见</w:t>
            </w:r>
          </w:p>
        </w:tc>
        <w:tc>
          <w:tcPr>
            <w:tcW w:w="772" w:type="dxa"/>
            <w:vAlign w:val="center"/>
          </w:tcPr>
          <w:p w14:paraId="0A50C440">
            <w:pPr>
              <w:jc w:val="center"/>
              <w:rPr>
                <w:sz w:val="18"/>
                <w:szCs w:val="18"/>
              </w:rPr>
            </w:pPr>
            <w:r>
              <w:rPr>
                <w:sz w:val="18"/>
                <w:szCs w:val="18"/>
              </w:rPr>
              <w:t>备注</w:t>
            </w:r>
          </w:p>
        </w:tc>
      </w:tr>
      <w:tr w14:paraId="0A50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2" w:type="dxa"/>
            <w:vAlign w:val="center"/>
          </w:tcPr>
          <w:p w14:paraId="0A50C442">
            <w:pPr>
              <w:spacing w:line="300" w:lineRule="exact"/>
              <w:jc w:val="center"/>
              <w:rPr>
                <w:sz w:val="18"/>
                <w:szCs w:val="18"/>
              </w:rPr>
            </w:pPr>
            <w:r>
              <w:rPr>
                <w:sz w:val="18"/>
                <w:szCs w:val="18"/>
              </w:rPr>
              <w:t>1</w:t>
            </w:r>
          </w:p>
        </w:tc>
        <w:tc>
          <w:tcPr>
            <w:tcW w:w="939" w:type="dxa"/>
            <w:vAlign w:val="center"/>
          </w:tcPr>
          <w:p w14:paraId="0A50C443">
            <w:pPr>
              <w:spacing w:line="300" w:lineRule="exact"/>
              <w:jc w:val="center"/>
              <w:rPr>
                <w:sz w:val="18"/>
                <w:szCs w:val="18"/>
              </w:rPr>
            </w:pPr>
          </w:p>
        </w:tc>
        <w:tc>
          <w:tcPr>
            <w:tcW w:w="3030" w:type="dxa"/>
            <w:vAlign w:val="center"/>
          </w:tcPr>
          <w:p w14:paraId="0A50C444">
            <w:pPr>
              <w:spacing w:line="300" w:lineRule="exact"/>
              <w:jc w:val="center"/>
              <w:rPr>
                <w:sz w:val="18"/>
                <w:szCs w:val="18"/>
              </w:rPr>
            </w:pPr>
          </w:p>
        </w:tc>
        <w:tc>
          <w:tcPr>
            <w:tcW w:w="2977" w:type="dxa"/>
            <w:vAlign w:val="center"/>
          </w:tcPr>
          <w:p w14:paraId="0A50C445">
            <w:pPr>
              <w:spacing w:line="300" w:lineRule="exact"/>
              <w:jc w:val="center"/>
              <w:rPr>
                <w:sz w:val="18"/>
                <w:szCs w:val="18"/>
              </w:rPr>
            </w:pPr>
          </w:p>
        </w:tc>
        <w:tc>
          <w:tcPr>
            <w:tcW w:w="992" w:type="dxa"/>
            <w:vAlign w:val="center"/>
          </w:tcPr>
          <w:p w14:paraId="0A50C446">
            <w:pPr>
              <w:spacing w:line="300" w:lineRule="exact"/>
              <w:jc w:val="center"/>
              <w:rPr>
                <w:sz w:val="18"/>
                <w:szCs w:val="18"/>
              </w:rPr>
            </w:pPr>
          </w:p>
        </w:tc>
        <w:tc>
          <w:tcPr>
            <w:tcW w:w="772" w:type="dxa"/>
            <w:vAlign w:val="center"/>
          </w:tcPr>
          <w:p w14:paraId="0A50C447">
            <w:pPr>
              <w:spacing w:line="300" w:lineRule="exact"/>
              <w:jc w:val="center"/>
              <w:rPr>
                <w:sz w:val="18"/>
                <w:szCs w:val="18"/>
              </w:rPr>
            </w:pPr>
          </w:p>
        </w:tc>
      </w:tr>
      <w:tr w14:paraId="0A50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2" w:type="dxa"/>
            <w:vAlign w:val="center"/>
          </w:tcPr>
          <w:p w14:paraId="0A50C449">
            <w:pPr>
              <w:spacing w:line="300" w:lineRule="exact"/>
              <w:jc w:val="center"/>
              <w:rPr>
                <w:sz w:val="18"/>
                <w:szCs w:val="18"/>
              </w:rPr>
            </w:pPr>
            <w:r>
              <w:rPr>
                <w:sz w:val="18"/>
                <w:szCs w:val="18"/>
              </w:rPr>
              <w:t>2</w:t>
            </w:r>
          </w:p>
        </w:tc>
        <w:tc>
          <w:tcPr>
            <w:tcW w:w="939" w:type="dxa"/>
            <w:vAlign w:val="center"/>
          </w:tcPr>
          <w:p w14:paraId="0A50C44A">
            <w:pPr>
              <w:spacing w:line="300" w:lineRule="exact"/>
              <w:jc w:val="center"/>
              <w:rPr>
                <w:sz w:val="18"/>
                <w:szCs w:val="18"/>
              </w:rPr>
            </w:pPr>
          </w:p>
        </w:tc>
        <w:tc>
          <w:tcPr>
            <w:tcW w:w="3030" w:type="dxa"/>
            <w:vAlign w:val="center"/>
          </w:tcPr>
          <w:p w14:paraId="0A50C44B">
            <w:pPr>
              <w:spacing w:line="300" w:lineRule="exact"/>
              <w:jc w:val="center"/>
              <w:rPr>
                <w:sz w:val="18"/>
                <w:szCs w:val="18"/>
              </w:rPr>
            </w:pPr>
          </w:p>
        </w:tc>
        <w:tc>
          <w:tcPr>
            <w:tcW w:w="2977" w:type="dxa"/>
            <w:vAlign w:val="center"/>
          </w:tcPr>
          <w:p w14:paraId="0A50C44C">
            <w:pPr>
              <w:spacing w:line="300" w:lineRule="exact"/>
              <w:jc w:val="center"/>
              <w:rPr>
                <w:sz w:val="18"/>
                <w:szCs w:val="18"/>
              </w:rPr>
            </w:pPr>
          </w:p>
        </w:tc>
        <w:tc>
          <w:tcPr>
            <w:tcW w:w="992" w:type="dxa"/>
            <w:vAlign w:val="center"/>
          </w:tcPr>
          <w:p w14:paraId="0A50C44D">
            <w:pPr>
              <w:spacing w:line="300" w:lineRule="exact"/>
              <w:jc w:val="center"/>
              <w:rPr>
                <w:sz w:val="18"/>
                <w:szCs w:val="18"/>
              </w:rPr>
            </w:pPr>
          </w:p>
        </w:tc>
        <w:tc>
          <w:tcPr>
            <w:tcW w:w="772" w:type="dxa"/>
            <w:vAlign w:val="center"/>
          </w:tcPr>
          <w:p w14:paraId="0A50C44E">
            <w:pPr>
              <w:spacing w:line="300" w:lineRule="exact"/>
              <w:jc w:val="center"/>
              <w:rPr>
                <w:sz w:val="18"/>
                <w:szCs w:val="18"/>
              </w:rPr>
            </w:pPr>
          </w:p>
        </w:tc>
      </w:tr>
      <w:tr w14:paraId="0A50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2" w:type="dxa"/>
            <w:vAlign w:val="center"/>
          </w:tcPr>
          <w:p w14:paraId="0A50C450">
            <w:pPr>
              <w:spacing w:line="300" w:lineRule="exact"/>
              <w:jc w:val="center"/>
              <w:rPr>
                <w:sz w:val="18"/>
                <w:szCs w:val="18"/>
              </w:rPr>
            </w:pPr>
            <w:r>
              <w:rPr>
                <w:sz w:val="18"/>
                <w:szCs w:val="18"/>
              </w:rPr>
              <w:t>3</w:t>
            </w:r>
          </w:p>
        </w:tc>
        <w:tc>
          <w:tcPr>
            <w:tcW w:w="939" w:type="dxa"/>
            <w:vAlign w:val="center"/>
          </w:tcPr>
          <w:p w14:paraId="0A50C451">
            <w:pPr>
              <w:spacing w:line="300" w:lineRule="exact"/>
              <w:jc w:val="center"/>
              <w:rPr>
                <w:sz w:val="18"/>
                <w:szCs w:val="18"/>
              </w:rPr>
            </w:pPr>
          </w:p>
        </w:tc>
        <w:tc>
          <w:tcPr>
            <w:tcW w:w="3030" w:type="dxa"/>
            <w:vAlign w:val="center"/>
          </w:tcPr>
          <w:p w14:paraId="0A50C452">
            <w:pPr>
              <w:ind w:firstLine="360" w:firstLineChars="200"/>
              <w:jc w:val="center"/>
              <w:rPr>
                <w:sz w:val="18"/>
                <w:szCs w:val="18"/>
              </w:rPr>
            </w:pPr>
          </w:p>
        </w:tc>
        <w:tc>
          <w:tcPr>
            <w:tcW w:w="2977" w:type="dxa"/>
            <w:vAlign w:val="center"/>
          </w:tcPr>
          <w:p w14:paraId="0A50C453">
            <w:pPr>
              <w:spacing w:line="300" w:lineRule="exact"/>
              <w:jc w:val="center"/>
              <w:rPr>
                <w:sz w:val="18"/>
                <w:szCs w:val="18"/>
              </w:rPr>
            </w:pPr>
          </w:p>
        </w:tc>
        <w:tc>
          <w:tcPr>
            <w:tcW w:w="992" w:type="dxa"/>
            <w:vAlign w:val="center"/>
          </w:tcPr>
          <w:p w14:paraId="0A50C454">
            <w:pPr>
              <w:spacing w:line="300" w:lineRule="exact"/>
              <w:jc w:val="center"/>
              <w:rPr>
                <w:sz w:val="18"/>
                <w:szCs w:val="18"/>
              </w:rPr>
            </w:pPr>
          </w:p>
        </w:tc>
        <w:tc>
          <w:tcPr>
            <w:tcW w:w="772" w:type="dxa"/>
            <w:vAlign w:val="center"/>
          </w:tcPr>
          <w:p w14:paraId="0A50C455">
            <w:pPr>
              <w:spacing w:line="300" w:lineRule="exact"/>
              <w:jc w:val="center"/>
              <w:rPr>
                <w:sz w:val="18"/>
                <w:szCs w:val="18"/>
              </w:rPr>
            </w:pPr>
          </w:p>
        </w:tc>
      </w:tr>
      <w:tr w14:paraId="0A50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2" w:type="dxa"/>
            <w:vAlign w:val="center"/>
          </w:tcPr>
          <w:p w14:paraId="0A50C457">
            <w:pPr>
              <w:spacing w:line="300" w:lineRule="exact"/>
              <w:jc w:val="center"/>
              <w:rPr>
                <w:sz w:val="18"/>
                <w:szCs w:val="18"/>
              </w:rPr>
            </w:pPr>
            <w:r>
              <w:rPr>
                <w:sz w:val="18"/>
                <w:szCs w:val="18"/>
              </w:rPr>
              <w:t>4</w:t>
            </w:r>
          </w:p>
        </w:tc>
        <w:tc>
          <w:tcPr>
            <w:tcW w:w="939" w:type="dxa"/>
            <w:vAlign w:val="center"/>
          </w:tcPr>
          <w:p w14:paraId="0A50C458">
            <w:pPr>
              <w:spacing w:line="300" w:lineRule="exact"/>
              <w:jc w:val="center"/>
              <w:rPr>
                <w:sz w:val="18"/>
                <w:szCs w:val="18"/>
              </w:rPr>
            </w:pPr>
          </w:p>
        </w:tc>
        <w:tc>
          <w:tcPr>
            <w:tcW w:w="3030" w:type="dxa"/>
            <w:vAlign w:val="center"/>
          </w:tcPr>
          <w:p w14:paraId="0A50C459">
            <w:pPr>
              <w:ind w:firstLine="360" w:firstLineChars="200"/>
              <w:jc w:val="center"/>
              <w:rPr>
                <w:sz w:val="18"/>
                <w:szCs w:val="18"/>
              </w:rPr>
            </w:pPr>
          </w:p>
        </w:tc>
        <w:tc>
          <w:tcPr>
            <w:tcW w:w="2977" w:type="dxa"/>
            <w:vAlign w:val="center"/>
          </w:tcPr>
          <w:p w14:paraId="0A50C45A">
            <w:pPr>
              <w:spacing w:line="300" w:lineRule="exact"/>
              <w:jc w:val="center"/>
              <w:rPr>
                <w:sz w:val="18"/>
                <w:szCs w:val="18"/>
              </w:rPr>
            </w:pPr>
          </w:p>
        </w:tc>
        <w:tc>
          <w:tcPr>
            <w:tcW w:w="992" w:type="dxa"/>
            <w:vAlign w:val="center"/>
          </w:tcPr>
          <w:p w14:paraId="0A50C45B">
            <w:pPr>
              <w:spacing w:line="300" w:lineRule="exact"/>
              <w:jc w:val="center"/>
              <w:rPr>
                <w:sz w:val="18"/>
                <w:szCs w:val="18"/>
              </w:rPr>
            </w:pPr>
          </w:p>
        </w:tc>
        <w:tc>
          <w:tcPr>
            <w:tcW w:w="772" w:type="dxa"/>
            <w:vAlign w:val="center"/>
          </w:tcPr>
          <w:p w14:paraId="0A50C45C">
            <w:pPr>
              <w:spacing w:line="300" w:lineRule="exact"/>
              <w:jc w:val="center"/>
              <w:rPr>
                <w:sz w:val="18"/>
                <w:szCs w:val="18"/>
              </w:rPr>
            </w:pPr>
          </w:p>
        </w:tc>
      </w:tr>
      <w:tr w14:paraId="0A50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2" w:type="dxa"/>
            <w:vAlign w:val="center"/>
          </w:tcPr>
          <w:p w14:paraId="0A50C45E">
            <w:pPr>
              <w:spacing w:line="300" w:lineRule="exact"/>
              <w:jc w:val="center"/>
              <w:rPr>
                <w:sz w:val="18"/>
                <w:szCs w:val="18"/>
              </w:rPr>
            </w:pPr>
            <w:r>
              <w:rPr>
                <w:sz w:val="18"/>
                <w:szCs w:val="18"/>
              </w:rPr>
              <w:t>5</w:t>
            </w:r>
          </w:p>
        </w:tc>
        <w:tc>
          <w:tcPr>
            <w:tcW w:w="939" w:type="dxa"/>
            <w:vAlign w:val="center"/>
          </w:tcPr>
          <w:p w14:paraId="0A50C45F">
            <w:pPr>
              <w:spacing w:line="300" w:lineRule="exact"/>
              <w:jc w:val="center"/>
              <w:rPr>
                <w:sz w:val="18"/>
                <w:szCs w:val="18"/>
              </w:rPr>
            </w:pPr>
          </w:p>
        </w:tc>
        <w:tc>
          <w:tcPr>
            <w:tcW w:w="3030" w:type="dxa"/>
            <w:vAlign w:val="center"/>
          </w:tcPr>
          <w:p w14:paraId="0A50C460">
            <w:pPr>
              <w:spacing w:line="300" w:lineRule="exact"/>
              <w:jc w:val="center"/>
              <w:rPr>
                <w:sz w:val="18"/>
                <w:szCs w:val="18"/>
              </w:rPr>
            </w:pPr>
          </w:p>
        </w:tc>
        <w:tc>
          <w:tcPr>
            <w:tcW w:w="2977" w:type="dxa"/>
            <w:vAlign w:val="center"/>
          </w:tcPr>
          <w:p w14:paraId="0A50C461">
            <w:pPr>
              <w:spacing w:line="300" w:lineRule="exact"/>
              <w:jc w:val="center"/>
              <w:rPr>
                <w:sz w:val="18"/>
                <w:szCs w:val="18"/>
              </w:rPr>
            </w:pPr>
          </w:p>
        </w:tc>
        <w:tc>
          <w:tcPr>
            <w:tcW w:w="992" w:type="dxa"/>
            <w:vAlign w:val="center"/>
          </w:tcPr>
          <w:p w14:paraId="0A50C462">
            <w:pPr>
              <w:spacing w:line="300" w:lineRule="exact"/>
              <w:jc w:val="center"/>
              <w:rPr>
                <w:sz w:val="18"/>
                <w:szCs w:val="18"/>
              </w:rPr>
            </w:pPr>
          </w:p>
        </w:tc>
        <w:tc>
          <w:tcPr>
            <w:tcW w:w="772" w:type="dxa"/>
            <w:vAlign w:val="center"/>
          </w:tcPr>
          <w:p w14:paraId="0A50C463">
            <w:pPr>
              <w:spacing w:line="300" w:lineRule="exact"/>
              <w:jc w:val="center"/>
              <w:rPr>
                <w:sz w:val="18"/>
                <w:szCs w:val="18"/>
              </w:rPr>
            </w:pPr>
          </w:p>
        </w:tc>
      </w:tr>
      <w:tr w14:paraId="0A50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2" w:type="dxa"/>
            <w:vAlign w:val="center"/>
          </w:tcPr>
          <w:p w14:paraId="0A50C465">
            <w:pPr>
              <w:spacing w:line="300" w:lineRule="exact"/>
              <w:jc w:val="center"/>
              <w:rPr>
                <w:sz w:val="18"/>
                <w:szCs w:val="18"/>
              </w:rPr>
            </w:pPr>
            <w:r>
              <w:rPr>
                <w:sz w:val="18"/>
                <w:szCs w:val="18"/>
              </w:rPr>
              <w:t>6</w:t>
            </w:r>
          </w:p>
        </w:tc>
        <w:tc>
          <w:tcPr>
            <w:tcW w:w="939" w:type="dxa"/>
            <w:vAlign w:val="center"/>
          </w:tcPr>
          <w:p w14:paraId="0A50C466">
            <w:pPr>
              <w:spacing w:line="300" w:lineRule="exact"/>
              <w:jc w:val="center"/>
              <w:rPr>
                <w:sz w:val="18"/>
                <w:szCs w:val="18"/>
              </w:rPr>
            </w:pPr>
          </w:p>
        </w:tc>
        <w:tc>
          <w:tcPr>
            <w:tcW w:w="3030" w:type="dxa"/>
            <w:vAlign w:val="center"/>
          </w:tcPr>
          <w:p w14:paraId="0A50C467">
            <w:pPr>
              <w:spacing w:line="300" w:lineRule="exact"/>
              <w:jc w:val="center"/>
              <w:rPr>
                <w:sz w:val="18"/>
                <w:szCs w:val="18"/>
              </w:rPr>
            </w:pPr>
          </w:p>
        </w:tc>
        <w:tc>
          <w:tcPr>
            <w:tcW w:w="2977" w:type="dxa"/>
            <w:vAlign w:val="center"/>
          </w:tcPr>
          <w:p w14:paraId="0A50C468">
            <w:pPr>
              <w:spacing w:line="300" w:lineRule="exact"/>
              <w:jc w:val="center"/>
              <w:rPr>
                <w:sz w:val="18"/>
                <w:szCs w:val="18"/>
              </w:rPr>
            </w:pPr>
          </w:p>
        </w:tc>
        <w:tc>
          <w:tcPr>
            <w:tcW w:w="992" w:type="dxa"/>
            <w:vAlign w:val="center"/>
          </w:tcPr>
          <w:p w14:paraId="0A50C469">
            <w:pPr>
              <w:spacing w:line="300" w:lineRule="exact"/>
              <w:jc w:val="center"/>
              <w:rPr>
                <w:sz w:val="18"/>
                <w:szCs w:val="18"/>
              </w:rPr>
            </w:pPr>
          </w:p>
        </w:tc>
        <w:tc>
          <w:tcPr>
            <w:tcW w:w="772" w:type="dxa"/>
            <w:vAlign w:val="center"/>
          </w:tcPr>
          <w:p w14:paraId="0A50C46A">
            <w:pPr>
              <w:spacing w:line="300" w:lineRule="exact"/>
              <w:jc w:val="center"/>
              <w:rPr>
                <w:sz w:val="18"/>
                <w:szCs w:val="18"/>
              </w:rPr>
            </w:pPr>
          </w:p>
        </w:tc>
      </w:tr>
      <w:tr w14:paraId="0A50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562" w:type="dxa"/>
            <w:vAlign w:val="center"/>
          </w:tcPr>
          <w:p w14:paraId="0A50C46C">
            <w:pPr>
              <w:spacing w:line="300" w:lineRule="exact"/>
              <w:jc w:val="center"/>
              <w:rPr>
                <w:sz w:val="18"/>
                <w:szCs w:val="18"/>
              </w:rPr>
            </w:pPr>
            <w:r>
              <w:rPr>
                <w:sz w:val="18"/>
                <w:szCs w:val="18"/>
              </w:rPr>
              <w:t>7</w:t>
            </w:r>
          </w:p>
        </w:tc>
        <w:tc>
          <w:tcPr>
            <w:tcW w:w="939" w:type="dxa"/>
            <w:vAlign w:val="center"/>
          </w:tcPr>
          <w:p w14:paraId="0A50C46D">
            <w:pPr>
              <w:jc w:val="center"/>
              <w:rPr>
                <w:sz w:val="18"/>
                <w:szCs w:val="18"/>
              </w:rPr>
            </w:pPr>
          </w:p>
        </w:tc>
        <w:tc>
          <w:tcPr>
            <w:tcW w:w="3030" w:type="dxa"/>
            <w:vAlign w:val="center"/>
          </w:tcPr>
          <w:p w14:paraId="0A50C46E">
            <w:pPr>
              <w:spacing w:line="300" w:lineRule="exact"/>
              <w:jc w:val="center"/>
              <w:rPr>
                <w:sz w:val="18"/>
                <w:szCs w:val="18"/>
              </w:rPr>
            </w:pPr>
          </w:p>
        </w:tc>
        <w:tc>
          <w:tcPr>
            <w:tcW w:w="2977" w:type="dxa"/>
            <w:vAlign w:val="center"/>
          </w:tcPr>
          <w:p w14:paraId="0A50C46F">
            <w:pPr>
              <w:spacing w:line="300" w:lineRule="exact"/>
              <w:jc w:val="center"/>
              <w:rPr>
                <w:sz w:val="18"/>
                <w:szCs w:val="18"/>
              </w:rPr>
            </w:pPr>
          </w:p>
        </w:tc>
        <w:tc>
          <w:tcPr>
            <w:tcW w:w="992" w:type="dxa"/>
            <w:vAlign w:val="center"/>
          </w:tcPr>
          <w:p w14:paraId="0A50C470">
            <w:pPr>
              <w:spacing w:line="300" w:lineRule="exact"/>
              <w:jc w:val="center"/>
              <w:rPr>
                <w:sz w:val="18"/>
                <w:szCs w:val="18"/>
              </w:rPr>
            </w:pPr>
          </w:p>
        </w:tc>
        <w:tc>
          <w:tcPr>
            <w:tcW w:w="772" w:type="dxa"/>
            <w:vAlign w:val="center"/>
          </w:tcPr>
          <w:p w14:paraId="0A50C471">
            <w:pPr>
              <w:spacing w:line="300" w:lineRule="exact"/>
              <w:jc w:val="center"/>
              <w:rPr>
                <w:sz w:val="18"/>
                <w:szCs w:val="18"/>
              </w:rPr>
            </w:pPr>
          </w:p>
        </w:tc>
      </w:tr>
      <w:tr w14:paraId="0A50C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2" w:type="dxa"/>
            <w:vAlign w:val="center"/>
          </w:tcPr>
          <w:p w14:paraId="0A50C473">
            <w:pPr>
              <w:spacing w:line="300" w:lineRule="exact"/>
              <w:jc w:val="center"/>
              <w:rPr>
                <w:sz w:val="18"/>
                <w:szCs w:val="18"/>
              </w:rPr>
            </w:pPr>
            <w:r>
              <w:rPr>
                <w:sz w:val="18"/>
                <w:szCs w:val="18"/>
              </w:rPr>
              <w:t>8</w:t>
            </w:r>
          </w:p>
        </w:tc>
        <w:tc>
          <w:tcPr>
            <w:tcW w:w="939" w:type="dxa"/>
            <w:vAlign w:val="center"/>
          </w:tcPr>
          <w:p w14:paraId="0A50C474">
            <w:pPr>
              <w:spacing w:line="300" w:lineRule="exact"/>
              <w:jc w:val="center"/>
              <w:rPr>
                <w:sz w:val="18"/>
                <w:szCs w:val="18"/>
              </w:rPr>
            </w:pPr>
          </w:p>
        </w:tc>
        <w:tc>
          <w:tcPr>
            <w:tcW w:w="3030" w:type="dxa"/>
            <w:vAlign w:val="center"/>
          </w:tcPr>
          <w:p w14:paraId="0A50C475">
            <w:pPr>
              <w:spacing w:line="300" w:lineRule="exact"/>
              <w:jc w:val="center"/>
              <w:rPr>
                <w:sz w:val="18"/>
                <w:szCs w:val="18"/>
              </w:rPr>
            </w:pPr>
          </w:p>
        </w:tc>
        <w:tc>
          <w:tcPr>
            <w:tcW w:w="2977" w:type="dxa"/>
            <w:vAlign w:val="center"/>
          </w:tcPr>
          <w:p w14:paraId="0A50C476">
            <w:pPr>
              <w:spacing w:line="300" w:lineRule="exact"/>
              <w:jc w:val="center"/>
              <w:rPr>
                <w:sz w:val="18"/>
                <w:szCs w:val="18"/>
              </w:rPr>
            </w:pPr>
          </w:p>
        </w:tc>
        <w:tc>
          <w:tcPr>
            <w:tcW w:w="992" w:type="dxa"/>
            <w:vAlign w:val="center"/>
          </w:tcPr>
          <w:p w14:paraId="0A50C477">
            <w:pPr>
              <w:spacing w:line="300" w:lineRule="exact"/>
              <w:jc w:val="center"/>
              <w:rPr>
                <w:sz w:val="18"/>
                <w:szCs w:val="18"/>
              </w:rPr>
            </w:pPr>
          </w:p>
        </w:tc>
        <w:tc>
          <w:tcPr>
            <w:tcW w:w="772" w:type="dxa"/>
            <w:vAlign w:val="center"/>
          </w:tcPr>
          <w:p w14:paraId="0A50C478">
            <w:pPr>
              <w:spacing w:line="300" w:lineRule="exact"/>
              <w:jc w:val="center"/>
              <w:rPr>
                <w:sz w:val="18"/>
                <w:szCs w:val="18"/>
              </w:rPr>
            </w:pPr>
          </w:p>
        </w:tc>
      </w:tr>
      <w:tr w14:paraId="0A50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2" w:type="dxa"/>
            <w:vAlign w:val="center"/>
          </w:tcPr>
          <w:p w14:paraId="0A50C47A">
            <w:pPr>
              <w:spacing w:line="300" w:lineRule="exact"/>
              <w:jc w:val="center"/>
              <w:rPr>
                <w:sz w:val="18"/>
                <w:szCs w:val="18"/>
              </w:rPr>
            </w:pPr>
            <w:r>
              <w:rPr>
                <w:sz w:val="18"/>
                <w:szCs w:val="18"/>
              </w:rPr>
              <w:t>9</w:t>
            </w:r>
          </w:p>
        </w:tc>
        <w:tc>
          <w:tcPr>
            <w:tcW w:w="939" w:type="dxa"/>
            <w:vAlign w:val="center"/>
          </w:tcPr>
          <w:p w14:paraId="0A50C47B">
            <w:pPr>
              <w:spacing w:line="300" w:lineRule="exact"/>
              <w:jc w:val="center"/>
              <w:rPr>
                <w:sz w:val="18"/>
                <w:szCs w:val="18"/>
              </w:rPr>
            </w:pPr>
          </w:p>
        </w:tc>
        <w:tc>
          <w:tcPr>
            <w:tcW w:w="3030" w:type="dxa"/>
            <w:vAlign w:val="center"/>
          </w:tcPr>
          <w:p w14:paraId="0A50C47C">
            <w:pPr>
              <w:spacing w:line="300" w:lineRule="exact"/>
              <w:jc w:val="center"/>
              <w:rPr>
                <w:sz w:val="18"/>
                <w:szCs w:val="18"/>
              </w:rPr>
            </w:pPr>
          </w:p>
        </w:tc>
        <w:tc>
          <w:tcPr>
            <w:tcW w:w="2977" w:type="dxa"/>
            <w:vAlign w:val="center"/>
          </w:tcPr>
          <w:p w14:paraId="0A50C47D">
            <w:pPr>
              <w:spacing w:line="300" w:lineRule="exact"/>
              <w:jc w:val="center"/>
              <w:rPr>
                <w:sz w:val="18"/>
                <w:szCs w:val="18"/>
                <w:highlight w:val="yellow"/>
              </w:rPr>
            </w:pPr>
          </w:p>
        </w:tc>
        <w:tc>
          <w:tcPr>
            <w:tcW w:w="992" w:type="dxa"/>
            <w:vAlign w:val="center"/>
          </w:tcPr>
          <w:p w14:paraId="0A50C47E">
            <w:pPr>
              <w:spacing w:line="300" w:lineRule="exact"/>
              <w:jc w:val="center"/>
              <w:rPr>
                <w:sz w:val="18"/>
                <w:szCs w:val="18"/>
              </w:rPr>
            </w:pPr>
          </w:p>
        </w:tc>
        <w:tc>
          <w:tcPr>
            <w:tcW w:w="772" w:type="dxa"/>
            <w:vAlign w:val="center"/>
          </w:tcPr>
          <w:p w14:paraId="0A50C47F">
            <w:pPr>
              <w:spacing w:line="300" w:lineRule="exact"/>
              <w:jc w:val="center"/>
              <w:rPr>
                <w:sz w:val="18"/>
                <w:szCs w:val="18"/>
              </w:rPr>
            </w:pPr>
          </w:p>
        </w:tc>
      </w:tr>
      <w:tr w14:paraId="0A50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2" w:type="dxa"/>
            <w:vAlign w:val="center"/>
          </w:tcPr>
          <w:p w14:paraId="0A50C481">
            <w:pPr>
              <w:spacing w:line="300" w:lineRule="exact"/>
              <w:jc w:val="center"/>
              <w:rPr>
                <w:sz w:val="18"/>
                <w:szCs w:val="18"/>
              </w:rPr>
            </w:pPr>
            <w:r>
              <w:rPr>
                <w:sz w:val="18"/>
                <w:szCs w:val="18"/>
              </w:rPr>
              <w:t>10</w:t>
            </w:r>
          </w:p>
        </w:tc>
        <w:tc>
          <w:tcPr>
            <w:tcW w:w="939" w:type="dxa"/>
            <w:vAlign w:val="center"/>
          </w:tcPr>
          <w:p w14:paraId="0A50C482">
            <w:pPr>
              <w:spacing w:line="300" w:lineRule="exact"/>
              <w:jc w:val="center"/>
              <w:rPr>
                <w:sz w:val="18"/>
                <w:szCs w:val="18"/>
              </w:rPr>
            </w:pPr>
          </w:p>
        </w:tc>
        <w:tc>
          <w:tcPr>
            <w:tcW w:w="3030" w:type="dxa"/>
            <w:vAlign w:val="center"/>
          </w:tcPr>
          <w:p w14:paraId="0A50C483">
            <w:pPr>
              <w:spacing w:line="300" w:lineRule="exact"/>
              <w:jc w:val="center"/>
              <w:rPr>
                <w:sz w:val="18"/>
                <w:szCs w:val="18"/>
              </w:rPr>
            </w:pPr>
          </w:p>
        </w:tc>
        <w:tc>
          <w:tcPr>
            <w:tcW w:w="2977" w:type="dxa"/>
            <w:vAlign w:val="center"/>
          </w:tcPr>
          <w:p w14:paraId="0A50C484">
            <w:pPr>
              <w:spacing w:line="300" w:lineRule="exact"/>
              <w:jc w:val="center"/>
              <w:rPr>
                <w:sz w:val="18"/>
                <w:szCs w:val="18"/>
              </w:rPr>
            </w:pPr>
          </w:p>
        </w:tc>
        <w:tc>
          <w:tcPr>
            <w:tcW w:w="992" w:type="dxa"/>
            <w:vAlign w:val="center"/>
          </w:tcPr>
          <w:p w14:paraId="0A50C485">
            <w:pPr>
              <w:spacing w:line="300" w:lineRule="exact"/>
              <w:jc w:val="center"/>
              <w:rPr>
                <w:sz w:val="18"/>
                <w:szCs w:val="18"/>
              </w:rPr>
            </w:pPr>
          </w:p>
        </w:tc>
        <w:tc>
          <w:tcPr>
            <w:tcW w:w="772" w:type="dxa"/>
            <w:vAlign w:val="center"/>
          </w:tcPr>
          <w:p w14:paraId="0A50C486">
            <w:pPr>
              <w:spacing w:line="300" w:lineRule="exact"/>
              <w:jc w:val="center"/>
              <w:rPr>
                <w:sz w:val="18"/>
                <w:szCs w:val="18"/>
              </w:rPr>
            </w:pPr>
          </w:p>
        </w:tc>
      </w:tr>
      <w:tr w14:paraId="0A50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2" w:type="dxa"/>
            <w:vAlign w:val="center"/>
          </w:tcPr>
          <w:p w14:paraId="0A50C488">
            <w:pPr>
              <w:spacing w:line="300" w:lineRule="exact"/>
              <w:jc w:val="center"/>
              <w:rPr>
                <w:sz w:val="18"/>
                <w:szCs w:val="18"/>
              </w:rPr>
            </w:pPr>
            <w:r>
              <w:rPr>
                <w:sz w:val="18"/>
                <w:szCs w:val="18"/>
              </w:rPr>
              <w:t>11</w:t>
            </w:r>
          </w:p>
        </w:tc>
        <w:tc>
          <w:tcPr>
            <w:tcW w:w="939" w:type="dxa"/>
            <w:vAlign w:val="center"/>
          </w:tcPr>
          <w:p w14:paraId="0A50C489">
            <w:pPr>
              <w:spacing w:line="300" w:lineRule="exact"/>
              <w:jc w:val="center"/>
              <w:rPr>
                <w:sz w:val="18"/>
                <w:szCs w:val="18"/>
              </w:rPr>
            </w:pPr>
          </w:p>
        </w:tc>
        <w:tc>
          <w:tcPr>
            <w:tcW w:w="3030" w:type="dxa"/>
            <w:vAlign w:val="center"/>
          </w:tcPr>
          <w:p w14:paraId="0A50C48A">
            <w:pPr>
              <w:spacing w:line="300" w:lineRule="exact"/>
              <w:jc w:val="center"/>
              <w:rPr>
                <w:sz w:val="18"/>
                <w:szCs w:val="18"/>
              </w:rPr>
            </w:pPr>
          </w:p>
        </w:tc>
        <w:tc>
          <w:tcPr>
            <w:tcW w:w="2977" w:type="dxa"/>
            <w:vAlign w:val="center"/>
          </w:tcPr>
          <w:p w14:paraId="0A50C48B">
            <w:pPr>
              <w:spacing w:line="300" w:lineRule="exact"/>
              <w:jc w:val="center"/>
              <w:rPr>
                <w:sz w:val="18"/>
                <w:szCs w:val="18"/>
              </w:rPr>
            </w:pPr>
          </w:p>
        </w:tc>
        <w:tc>
          <w:tcPr>
            <w:tcW w:w="992" w:type="dxa"/>
            <w:vAlign w:val="center"/>
          </w:tcPr>
          <w:p w14:paraId="0A50C48C">
            <w:pPr>
              <w:spacing w:line="300" w:lineRule="exact"/>
              <w:jc w:val="center"/>
              <w:rPr>
                <w:sz w:val="18"/>
                <w:szCs w:val="18"/>
              </w:rPr>
            </w:pPr>
          </w:p>
        </w:tc>
        <w:tc>
          <w:tcPr>
            <w:tcW w:w="772" w:type="dxa"/>
            <w:vAlign w:val="center"/>
          </w:tcPr>
          <w:p w14:paraId="0A50C48D">
            <w:pPr>
              <w:spacing w:line="300" w:lineRule="exact"/>
              <w:jc w:val="center"/>
              <w:rPr>
                <w:sz w:val="18"/>
                <w:szCs w:val="18"/>
              </w:rPr>
            </w:pPr>
          </w:p>
        </w:tc>
      </w:tr>
      <w:tr w14:paraId="0A50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2" w:type="dxa"/>
            <w:vAlign w:val="center"/>
          </w:tcPr>
          <w:p w14:paraId="0A50C48F">
            <w:pPr>
              <w:spacing w:line="300" w:lineRule="exact"/>
              <w:jc w:val="center"/>
              <w:rPr>
                <w:sz w:val="18"/>
                <w:szCs w:val="18"/>
              </w:rPr>
            </w:pPr>
            <w:r>
              <w:rPr>
                <w:sz w:val="18"/>
                <w:szCs w:val="18"/>
              </w:rPr>
              <w:t>12</w:t>
            </w:r>
          </w:p>
        </w:tc>
        <w:tc>
          <w:tcPr>
            <w:tcW w:w="939" w:type="dxa"/>
            <w:vAlign w:val="center"/>
          </w:tcPr>
          <w:p w14:paraId="0A50C490">
            <w:pPr>
              <w:spacing w:line="300" w:lineRule="exact"/>
              <w:jc w:val="center"/>
              <w:rPr>
                <w:sz w:val="18"/>
                <w:szCs w:val="18"/>
              </w:rPr>
            </w:pPr>
          </w:p>
        </w:tc>
        <w:tc>
          <w:tcPr>
            <w:tcW w:w="3030" w:type="dxa"/>
            <w:vAlign w:val="center"/>
          </w:tcPr>
          <w:p w14:paraId="0A50C491">
            <w:pPr>
              <w:spacing w:line="300" w:lineRule="exact"/>
              <w:jc w:val="center"/>
              <w:rPr>
                <w:sz w:val="18"/>
                <w:szCs w:val="18"/>
              </w:rPr>
            </w:pPr>
          </w:p>
        </w:tc>
        <w:tc>
          <w:tcPr>
            <w:tcW w:w="2977" w:type="dxa"/>
            <w:vAlign w:val="center"/>
          </w:tcPr>
          <w:p w14:paraId="0A50C492">
            <w:pPr>
              <w:spacing w:line="300" w:lineRule="exact"/>
              <w:jc w:val="center"/>
              <w:rPr>
                <w:sz w:val="18"/>
                <w:szCs w:val="18"/>
              </w:rPr>
            </w:pPr>
          </w:p>
        </w:tc>
        <w:tc>
          <w:tcPr>
            <w:tcW w:w="992" w:type="dxa"/>
            <w:vAlign w:val="center"/>
          </w:tcPr>
          <w:p w14:paraId="0A50C493">
            <w:pPr>
              <w:spacing w:line="300" w:lineRule="exact"/>
              <w:jc w:val="center"/>
              <w:rPr>
                <w:sz w:val="18"/>
                <w:szCs w:val="18"/>
              </w:rPr>
            </w:pPr>
          </w:p>
        </w:tc>
        <w:tc>
          <w:tcPr>
            <w:tcW w:w="772" w:type="dxa"/>
            <w:vAlign w:val="center"/>
          </w:tcPr>
          <w:p w14:paraId="0A50C494">
            <w:pPr>
              <w:spacing w:line="300" w:lineRule="exact"/>
              <w:jc w:val="center"/>
              <w:rPr>
                <w:sz w:val="18"/>
                <w:szCs w:val="18"/>
              </w:rPr>
            </w:pPr>
          </w:p>
        </w:tc>
      </w:tr>
      <w:tr w14:paraId="0A50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2" w:type="dxa"/>
            <w:vAlign w:val="center"/>
          </w:tcPr>
          <w:p w14:paraId="0A50C496">
            <w:pPr>
              <w:spacing w:line="300" w:lineRule="exact"/>
              <w:jc w:val="center"/>
              <w:rPr>
                <w:sz w:val="18"/>
                <w:szCs w:val="18"/>
              </w:rPr>
            </w:pPr>
            <w:r>
              <w:rPr>
                <w:sz w:val="18"/>
                <w:szCs w:val="18"/>
              </w:rPr>
              <w:t>13</w:t>
            </w:r>
          </w:p>
        </w:tc>
        <w:tc>
          <w:tcPr>
            <w:tcW w:w="939" w:type="dxa"/>
            <w:vAlign w:val="center"/>
          </w:tcPr>
          <w:p w14:paraId="0A50C497">
            <w:pPr>
              <w:spacing w:line="300" w:lineRule="exact"/>
              <w:jc w:val="center"/>
              <w:rPr>
                <w:sz w:val="18"/>
                <w:szCs w:val="18"/>
              </w:rPr>
            </w:pPr>
          </w:p>
        </w:tc>
        <w:tc>
          <w:tcPr>
            <w:tcW w:w="3030" w:type="dxa"/>
            <w:vAlign w:val="center"/>
          </w:tcPr>
          <w:p w14:paraId="0A50C498">
            <w:pPr>
              <w:spacing w:line="300" w:lineRule="exact"/>
              <w:jc w:val="center"/>
              <w:rPr>
                <w:sz w:val="18"/>
                <w:szCs w:val="18"/>
              </w:rPr>
            </w:pPr>
          </w:p>
        </w:tc>
        <w:tc>
          <w:tcPr>
            <w:tcW w:w="2977" w:type="dxa"/>
            <w:vAlign w:val="center"/>
          </w:tcPr>
          <w:p w14:paraId="0A50C499">
            <w:pPr>
              <w:spacing w:line="300" w:lineRule="exact"/>
              <w:jc w:val="center"/>
              <w:rPr>
                <w:sz w:val="18"/>
                <w:szCs w:val="18"/>
              </w:rPr>
            </w:pPr>
          </w:p>
        </w:tc>
        <w:tc>
          <w:tcPr>
            <w:tcW w:w="992" w:type="dxa"/>
            <w:vAlign w:val="center"/>
          </w:tcPr>
          <w:p w14:paraId="0A50C49A">
            <w:pPr>
              <w:spacing w:line="300" w:lineRule="exact"/>
              <w:jc w:val="center"/>
              <w:rPr>
                <w:sz w:val="18"/>
                <w:szCs w:val="18"/>
              </w:rPr>
            </w:pPr>
          </w:p>
        </w:tc>
        <w:tc>
          <w:tcPr>
            <w:tcW w:w="772" w:type="dxa"/>
            <w:vAlign w:val="center"/>
          </w:tcPr>
          <w:p w14:paraId="0A50C49B">
            <w:pPr>
              <w:spacing w:line="300" w:lineRule="exact"/>
              <w:jc w:val="center"/>
              <w:rPr>
                <w:sz w:val="18"/>
                <w:szCs w:val="18"/>
              </w:rPr>
            </w:pPr>
          </w:p>
        </w:tc>
      </w:tr>
    </w:tbl>
    <w:p w14:paraId="0A50C49D">
      <w:pPr>
        <w:jc w:val="left"/>
        <w:rPr>
          <w:color w:val="000000" w:themeColor="text1"/>
          <w14:textFill>
            <w14:solidFill>
              <w14:schemeClr w14:val="tx1"/>
            </w14:solidFill>
          </w14:textFill>
        </w:rPr>
      </w:pPr>
    </w:p>
    <w:p w14:paraId="0A50C49E">
      <w:pPr>
        <w:jc w:val="left"/>
        <w:rPr>
          <w:color w:val="000000" w:themeColor="text1"/>
          <w14:textFill>
            <w14:solidFill>
              <w14:schemeClr w14:val="tx1"/>
            </w14:solidFill>
          </w14:textFill>
        </w:rPr>
      </w:pPr>
    </w:p>
    <w:p w14:paraId="0A50C49F">
      <w:pPr>
        <w:jc w:val="left"/>
        <w:rPr>
          <w:color w:val="000000" w:themeColor="text1"/>
          <w14:textFill>
            <w14:solidFill>
              <w14:schemeClr w14:val="tx1"/>
            </w14:solidFill>
          </w14:textFill>
        </w:rPr>
      </w:pPr>
    </w:p>
    <w:p w14:paraId="0A50C4A0">
      <w:pPr>
        <w:jc w:val="left"/>
        <w:rPr>
          <w:color w:val="000000" w:themeColor="text1"/>
          <w14:textFill>
            <w14:solidFill>
              <w14:schemeClr w14:val="tx1"/>
            </w14:solidFill>
          </w14:textFill>
        </w:rPr>
      </w:pPr>
      <w:r>
        <w:rPr>
          <w:color w:val="000000" w:themeColor="text1"/>
          <w14:textFill>
            <w14:solidFill>
              <w14:schemeClr w14:val="tx1"/>
            </w14:solidFill>
          </w14:textFill>
        </w:rPr>
        <w:t>说明：①发送《征求意见稿》的单位数：</w:t>
      </w:r>
      <w:r>
        <w:rPr>
          <w:rFonts w:hint="eastAsia"/>
          <w:color w:val="000000" w:themeColor="text1"/>
          <w14:textFill>
            <w14:solidFill>
              <w14:schemeClr w14:val="tx1"/>
            </w14:solidFill>
          </w14:textFill>
        </w:rPr>
        <w:t>XX</w:t>
      </w:r>
      <w:r>
        <w:rPr>
          <w:color w:val="000000" w:themeColor="text1"/>
          <w14:textFill>
            <w14:solidFill>
              <w14:schemeClr w14:val="tx1"/>
            </w14:solidFill>
          </w14:textFill>
        </w:rPr>
        <w:t>个；</w:t>
      </w:r>
    </w:p>
    <w:p w14:paraId="0A50C4A1">
      <w:pPr>
        <w:jc w:val="left"/>
        <w:rPr>
          <w:color w:val="000000" w:themeColor="text1"/>
          <w14:textFill>
            <w14:solidFill>
              <w14:schemeClr w14:val="tx1"/>
            </w14:solidFill>
          </w14:textFill>
        </w:rPr>
      </w:pPr>
      <w:r>
        <w:rPr>
          <w:color w:val="000000" w:themeColor="text1"/>
          <w14:textFill>
            <w14:solidFill>
              <w14:schemeClr w14:val="tx1"/>
            </w14:solidFill>
          </w14:textFill>
        </w:rPr>
        <w:t xml:space="preserve">      ②收到《征求意见稿》后，回函的单位数：</w:t>
      </w:r>
      <w:r>
        <w:rPr>
          <w:rFonts w:hint="eastAsia"/>
          <w:color w:val="000000" w:themeColor="text1"/>
          <w14:textFill>
            <w14:solidFill>
              <w14:schemeClr w14:val="tx1"/>
            </w14:solidFill>
          </w14:textFill>
        </w:rPr>
        <w:t>XX</w:t>
      </w:r>
      <w:r>
        <w:rPr>
          <w:color w:val="000000" w:themeColor="text1"/>
          <w14:textFill>
            <w14:solidFill>
              <w14:schemeClr w14:val="tx1"/>
            </w14:solidFill>
          </w14:textFill>
        </w:rPr>
        <w:t>个；</w:t>
      </w:r>
    </w:p>
    <w:p w14:paraId="0A50C4A2">
      <w:pPr>
        <w:jc w:val="left"/>
        <w:rPr>
          <w:color w:val="000000" w:themeColor="text1"/>
          <w14:textFill>
            <w14:solidFill>
              <w14:schemeClr w14:val="tx1"/>
            </w14:solidFill>
          </w14:textFill>
        </w:rPr>
      </w:pPr>
      <w:r>
        <w:rPr>
          <w:color w:val="000000" w:themeColor="text1"/>
          <w14:textFill>
            <w14:solidFill>
              <w14:schemeClr w14:val="tx1"/>
            </w14:solidFill>
          </w14:textFill>
        </w:rPr>
        <w:t xml:space="preserve">      ③收到《征求意见稿》后，回函并有建议或意见的单位数：</w:t>
      </w:r>
      <w:r>
        <w:rPr>
          <w:rFonts w:hint="eastAsia"/>
          <w:color w:val="000000" w:themeColor="text1"/>
          <w14:textFill>
            <w14:solidFill>
              <w14:schemeClr w14:val="tx1"/>
            </w14:solidFill>
          </w14:textFill>
        </w:rPr>
        <w:t>XX</w:t>
      </w:r>
      <w:r>
        <w:rPr>
          <w:color w:val="000000" w:themeColor="text1"/>
          <w14:textFill>
            <w14:solidFill>
              <w14:schemeClr w14:val="tx1"/>
            </w14:solidFill>
          </w14:textFill>
        </w:rPr>
        <w:t>个；</w:t>
      </w:r>
    </w:p>
    <w:p w14:paraId="0A50C4A3">
      <w:pPr>
        <w:jc w:val="left"/>
        <w:rPr>
          <w:color w:val="000000" w:themeColor="text1"/>
          <w:sz w:val="24"/>
          <w:szCs w:val="24"/>
          <w14:textFill>
            <w14:solidFill>
              <w14:schemeClr w14:val="tx1"/>
            </w14:solidFill>
          </w14:textFill>
        </w:rPr>
      </w:pPr>
      <w:r>
        <w:rPr>
          <w:color w:val="000000" w:themeColor="text1"/>
          <w14:textFill>
            <w14:solidFill>
              <w14:schemeClr w14:val="tx1"/>
            </w14:solidFill>
          </w14:textFill>
        </w:rPr>
        <w:t xml:space="preserve">      ④没有回函的单位数：</w:t>
      </w:r>
      <w:r>
        <w:rPr>
          <w:rFonts w:hint="eastAsia"/>
          <w:color w:val="000000" w:themeColor="text1"/>
          <w14:textFill>
            <w14:solidFill>
              <w14:schemeClr w14:val="tx1"/>
            </w14:solidFill>
          </w14:textFill>
        </w:rPr>
        <w:t>XX</w:t>
      </w:r>
      <w:r>
        <w:rPr>
          <w:color w:val="000000" w:themeColor="text1"/>
          <w14:textFill>
            <w14:solidFill>
              <w14:schemeClr w14:val="tx1"/>
            </w14:solidFill>
          </w14:textFill>
        </w:rPr>
        <w:t>个。</w:t>
      </w:r>
    </w:p>
    <w:p w14:paraId="0A50C4A4">
      <w:pPr>
        <w:rPr>
          <w:sz w:val="24"/>
          <w:szCs w:val="24"/>
        </w:rPr>
      </w:pPr>
    </w:p>
    <w:sectPr>
      <w:pgSz w:w="11906" w:h="16838"/>
      <w:pgMar w:top="1440" w:right="1440" w:bottom="1440" w:left="1440" w:header="851" w:footer="992" w:gutter="284"/>
      <w:pgNumType w:start="1"/>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0C4AE">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0C4B0">
    <w:pPr>
      <w:pStyle w:val="13"/>
      <w:jc w:val="center"/>
    </w:pPr>
    <w:r>
      <w:rPr>
        <w:rStyle w:val="26"/>
      </w:rPr>
      <w:fldChar w:fldCharType="begin"/>
    </w:r>
    <w:r>
      <w:rPr>
        <w:rStyle w:val="26"/>
      </w:rPr>
      <w:instrText xml:space="preserve"> PAGE </w:instrText>
    </w:r>
    <w:r>
      <w:rPr>
        <w:rStyle w:val="26"/>
      </w:rPr>
      <w:fldChar w:fldCharType="separate"/>
    </w:r>
    <w:r>
      <w:rPr>
        <w:rStyle w:val="26"/>
      </w:rPr>
      <w:t>6</w:t>
    </w:r>
    <w:r>
      <w:rPr>
        <w:rStyle w:val="2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0C4B1">
    <w:pPr>
      <w:pStyle w:val="13"/>
      <w:jc w:val="center"/>
    </w:pPr>
    <w:r>
      <w:rPr>
        <w:rStyle w:val="26"/>
      </w:rPr>
      <w:fldChar w:fldCharType="begin"/>
    </w:r>
    <w:r>
      <w:rPr>
        <w:rStyle w:val="26"/>
      </w:rPr>
      <w:instrText xml:space="preserve"> PAGE </w:instrText>
    </w:r>
    <w:r>
      <w:rPr>
        <w:rStyle w:val="26"/>
      </w:rPr>
      <w:fldChar w:fldCharType="separate"/>
    </w:r>
    <w:r>
      <w:rPr>
        <w:rStyle w:val="26"/>
      </w:rPr>
      <w:t>1</w:t>
    </w:r>
    <w:r>
      <w:rPr>
        <w:rStyle w:val="2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0C4AD">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0C4AF">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4E22FB"/>
    <w:multiLevelType w:val="multilevel"/>
    <w:tmpl w:val="2E4E22FB"/>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CEA2025"/>
    <w:multiLevelType w:val="multilevel"/>
    <w:tmpl w:val="6CEA2025"/>
    <w:lvl w:ilvl="0" w:tentative="0">
      <w:start w:val="1"/>
      <w:numFmt w:val="none"/>
      <w:pStyle w:val="56"/>
      <w:suff w:val="nothing"/>
      <w:lvlText w:val="%1"/>
      <w:lvlJc w:val="left"/>
      <w:pPr>
        <w:ind w:left="0" w:firstLine="0"/>
      </w:pPr>
      <w:rPr>
        <w:rFonts w:hint="default" w:ascii="Times New Roman" w:hAnsi="Times New Roman"/>
        <w:b/>
        <w:i w:val="0"/>
        <w:sz w:val="21"/>
      </w:rPr>
    </w:lvl>
    <w:lvl w:ilvl="1" w:tentative="0">
      <w:start w:val="1"/>
      <w:numFmt w:val="decimal"/>
      <w:pStyle w:val="57"/>
      <w:suff w:val="nothing"/>
      <w:lvlText w:val="%1%2　"/>
      <w:lvlJc w:val="left"/>
      <w:pPr>
        <w:ind w:left="0" w:firstLine="0"/>
      </w:pPr>
      <w:rPr>
        <w:rFonts w:hint="eastAsia" w:ascii="黑体" w:hAnsi="Times New Roman" w:eastAsia="黑体"/>
        <w:b w:val="0"/>
        <w:i w:val="0"/>
        <w:sz w:val="21"/>
      </w:rPr>
    </w:lvl>
    <w:lvl w:ilvl="2" w:tentative="0">
      <w:start w:val="1"/>
      <w:numFmt w:val="decimal"/>
      <w:pStyle w:val="58"/>
      <w:suff w:val="nothing"/>
      <w:lvlText w:val="%1%2.%3　"/>
      <w:lvlJc w:val="left"/>
      <w:pPr>
        <w:ind w:left="0" w:firstLine="0"/>
      </w:pPr>
      <w:rPr>
        <w:rFonts w:hint="eastAsia" w:ascii="黑体" w:hAnsi="Times New Roman" w:eastAsia="黑体"/>
        <w:b w:val="0"/>
        <w:i w:val="0"/>
        <w:sz w:val="21"/>
      </w:rPr>
    </w:lvl>
    <w:lvl w:ilvl="3" w:tentative="0">
      <w:start w:val="1"/>
      <w:numFmt w:val="decimal"/>
      <w:pStyle w:val="59"/>
      <w:suff w:val="nothing"/>
      <w:lvlText w:val="%1%2.%3.%4　"/>
      <w:lvlJc w:val="left"/>
      <w:pPr>
        <w:ind w:left="0" w:firstLine="0"/>
      </w:pPr>
      <w:rPr>
        <w:rFonts w:hint="eastAsia" w:ascii="黑体" w:hAnsi="Times New Roman" w:eastAsia="黑体"/>
        <w:b w:val="0"/>
        <w:i w:val="0"/>
        <w:sz w:val="21"/>
      </w:rPr>
    </w:lvl>
    <w:lvl w:ilvl="4" w:tentative="0">
      <w:start w:val="1"/>
      <w:numFmt w:val="decimal"/>
      <w:pStyle w:val="60"/>
      <w:suff w:val="nothing"/>
      <w:lvlText w:val="%1%2.%3.%4.%5　"/>
      <w:lvlJc w:val="left"/>
      <w:pPr>
        <w:ind w:left="0" w:firstLine="0"/>
      </w:pPr>
      <w:rPr>
        <w:rFonts w:hint="eastAsia" w:ascii="黑体" w:hAnsi="Times New Roman" w:eastAsia="黑体"/>
        <w:b w:val="0"/>
        <w:i w:val="0"/>
        <w:sz w:val="21"/>
      </w:rPr>
    </w:lvl>
    <w:lvl w:ilvl="5" w:tentative="0">
      <w:start w:val="1"/>
      <w:numFmt w:val="decimal"/>
      <w:pStyle w:val="61"/>
      <w:suff w:val="nothing"/>
      <w:lvlText w:val="%1%2.%3.%4.%5.%6　"/>
      <w:lvlJc w:val="left"/>
      <w:pPr>
        <w:ind w:left="0" w:firstLine="0"/>
      </w:pPr>
      <w:rPr>
        <w:rFonts w:hint="eastAsia" w:ascii="黑体" w:hAnsi="Times New Roman" w:eastAsia="黑体"/>
        <w:b w:val="0"/>
        <w:i w:val="0"/>
        <w:sz w:val="21"/>
      </w:rPr>
    </w:lvl>
    <w:lvl w:ilvl="6" w:tentative="0">
      <w:start w:val="1"/>
      <w:numFmt w:val="decimal"/>
      <w:pStyle w:val="6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391"/>
    <w:rsid w:val="000046E9"/>
    <w:rsid w:val="0000627F"/>
    <w:rsid w:val="000065FF"/>
    <w:rsid w:val="000069BF"/>
    <w:rsid w:val="000103A7"/>
    <w:rsid w:val="00011673"/>
    <w:rsid w:val="00013D95"/>
    <w:rsid w:val="000203B8"/>
    <w:rsid w:val="000208B6"/>
    <w:rsid w:val="00020EC9"/>
    <w:rsid w:val="00023F1E"/>
    <w:rsid w:val="000246B4"/>
    <w:rsid w:val="0002694D"/>
    <w:rsid w:val="00027ACA"/>
    <w:rsid w:val="00031667"/>
    <w:rsid w:val="0003197F"/>
    <w:rsid w:val="00031FB4"/>
    <w:rsid w:val="00032E69"/>
    <w:rsid w:val="00037036"/>
    <w:rsid w:val="00040169"/>
    <w:rsid w:val="00042AF3"/>
    <w:rsid w:val="00050BD5"/>
    <w:rsid w:val="00052272"/>
    <w:rsid w:val="000523C2"/>
    <w:rsid w:val="00054CB6"/>
    <w:rsid w:val="00060ACB"/>
    <w:rsid w:val="00060CA1"/>
    <w:rsid w:val="00064F8E"/>
    <w:rsid w:val="000670DD"/>
    <w:rsid w:val="00067E0E"/>
    <w:rsid w:val="00076271"/>
    <w:rsid w:val="00077885"/>
    <w:rsid w:val="0008196F"/>
    <w:rsid w:val="0008322D"/>
    <w:rsid w:val="00084237"/>
    <w:rsid w:val="00085051"/>
    <w:rsid w:val="000876D8"/>
    <w:rsid w:val="00087AB3"/>
    <w:rsid w:val="00090C88"/>
    <w:rsid w:val="000912D2"/>
    <w:rsid w:val="00093C42"/>
    <w:rsid w:val="00094C3A"/>
    <w:rsid w:val="00095509"/>
    <w:rsid w:val="00095952"/>
    <w:rsid w:val="00097F47"/>
    <w:rsid w:val="000A127F"/>
    <w:rsid w:val="000A1CF7"/>
    <w:rsid w:val="000A40E2"/>
    <w:rsid w:val="000A4DCB"/>
    <w:rsid w:val="000B024B"/>
    <w:rsid w:val="000B1475"/>
    <w:rsid w:val="000B3A6D"/>
    <w:rsid w:val="000B7639"/>
    <w:rsid w:val="000C03C6"/>
    <w:rsid w:val="000C119F"/>
    <w:rsid w:val="000C1D62"/>
    <w:rsid w:val="000C2275"/>
    <w:rsid w:val="000C3559"/>
    <w:rsid w:val="000C5E00"/>
    <w:rsid w:val="000C5F91"/>
    <w:rsid w:val="000D1596"/>
    <w:rsid w:val="000E012E"/>
    <w:rsid w:val="000E3086"/>
    <w:rsid w:val="000E3465"/>
    <w:rsid w:val="000E374F"/>
    <w:rsid w:val="000E4254"/>
    <w:rsid w:val="000E5E8B"/>
    <w:rsid w:val="000E6195"/>
    <w:rsid w:val="000E6B3A"/>
    <w:rsid w:val="000F1314"/>
    <w:rsid w:val="000F4251"/>
    <w:rsid w:val="000F44B8"/>
    <w:rsid w:val="000F4BE3"/>
    <w:rsid w:val="000F6B19"/>
    <w:rsid w:val="00101925"/>
    <w:rsid w:val="00103167"/>
    <w:rsid w:val="00103FBC"/>
    <w:rsid w:val="001056D0"/>
    <w:rsid w:val="00112C47"/>
    <w:rsid w:val="0011693F"/>
    <w:rsid w:val="00120BA8"/>
    <w:rsid w:val="00120BCD"/>
    <w:rsid w:val="00123138"/>
    <w:rsid w:val="00123FDE"/>
    <w:rsid w:val="001244F1"/>
    <w:rsid w:val="00124A0C"/>
    <w:rsid w:val="0012567B"/>
    <w:rsid w:val="00131D22"/>
    <w:rsid w:val="00133DAF"/>
    <w:rsid w:val="0013604B"/>
    <w:rsid w:val="00141DAE"/>
    <w:rsid w:val="00143D9A"/>
    <w:rsid w:val="00146631"/>
    <w:rsid w:val="00146AF4"/>
    <w:rsid w:val="00146C09"/>
    <w:rsid w:val="00151BA5"/>
    <w:rsid w:val="00151BA6"/>
    <w:rsid w:val="00152077"/>
    <w:rsid w:val="00152092"/>
    <w:rsid w:val="00152A86"/>
    <w:rsid w:val="00152F4E"/>
    <w:rsid w:val="001530CB"/>
    <w:rsid w:val="00155B2F"/>
    <w:rsid w:val="00157AE8"/>
    <w:rsid w:val="00161835"/>
    <w:rsid w:val="001650F8"/>
    <w:rsid w:val="001664B1"/>
    <w:rsid w:val="0016676A"/>
    <w:rsid w:val="00166B91"/>
    <w:rsid w:val="00166E44"/>
    <w:rsid w:val="00174744"/>
    <w:rsid w:val="00177A43"/>
    <w:rsid w:val="00177C84"/>
    <w:rsid w:val="001832B1"/>
    <w:rsid w:val="00186215"/>
    <w:rsid w:val="001866F3"/>
    <w:rsid w:val="00186E9E"/>
    <w:rsid w:val="001874D6"/>
    <w:rsid w:val="00187FB3"/>
    <w:rsid w:val="00191E51"/>
    <w:rsid w:val="001933BB"/>
    <w:rsid w:val="0019495F"/>
    <w:rsid w:val="00195AAF"/>
    <w:rsid w:val="001A0483"/>
    <w:rsid w:val="001B0583"/>
    <w:rsid w:val="001B188D"/>
    <w:rsid w:val="001B386A"/>
    <w:rsid w:val="001B45A2"/>
    <w:rsid w:val="001B6828"/>
    <w:rsid w:val="001B742F"/>
    <w:rsid w:val="001C103A"/>
    <w:rsid w:val="001C45BA"/>
    <w:rsid w:val="001C58D9"/>
    <w:rsid w:val="001C5E5B"/>
    <w:rsid w:val="001C67B0"/>
    <w:rsid w:val="001D07AF"/>
    <w:rsid w:val="001D0DC0"/>
    <w:rsid w:val="001D25B3"/>
    <w:rsid w:val="001D3B37"/>
    <w:rsid w:val="001D570B"/>
    <w:rsid w:val="001D574E"/>
    <w:rsid w:val="001E14EA"/>
    <w:rsid w:val="001E7FC9"/>
    <w:rsid w:val="001F0283"/>
    <w:rsid w:val="001F53EB"/>
    <w:rsid w:val="001F54FA"/>
    <w:rsid w:val="001F6461"/>
    <w:rsid w:val="001F6EDE"/>
    <w:rsid w:val="002001F6"/>
    <w:rsid w:val="0020325B"/>
    <w:rsid w:val="002057E4"/>
    <w:rsid w:val="00211B16"/>
    <w:rsid w:val="00211D7F"/>
    <w:rsid w:val="00211FFE"/>
    <w:rsid w:val="002138BA"/>
    <w:rsid w:val="00214295"/>
    <w:rsid w:val="00215CAE"/>
    <w:rsid w:val="00216102"/>
    <w:rsid w:val="002177CA"/>
    <w:rsid w:val="00221001"/>
    <w:rsid w:val="0022296B"/>
    <w:rsid w:val="00230A46"/>
    <w:rsid w:val="00232A51"/>
    <w:rsid w:val="00234ED7"/>
    <w:rsid w:val="002379E2"/>
    <w:rsid w:val="00240429"/>
    <w:rsid w:val="00241F90"/>
    <w:rsid w:val="00243C26"/>
    <w:rsid w:val="00244180"/>
    <w:rsid w:val="00247299"/>
    <w:rsid w:val="0025462A"/>
    <w:rsid w:val="00257DFA"/>
    <w:rsid w:val="00263761"/>
    <w:rsid w:val="00264B5B"/>
    <w:rsid w:val="00267C9C"/>
    <w:rsid w:val="00267DB0"/>
    <w:rsid w:val="00273B08"/>
    <w:rsid w:val="00274084"/>
    <w:rsid w:val="00275624"/>
    <w:rsid w:val="00280356"/>
    <w:rsid w:val="00282AED"/>
    <w:rsid w:val="0028418C"/>
    <w:rsid w:val="00285EF1"/>
    <w:rsid w:val="00290D4D"/>
    <w:rsid w:val="002925AC"/>
    <w:rsid w:val="00293393"/>
    <w:rsid w:val="0029399D"/>
    <w:rsid w:val="002940A7"/>
    <w:rsid w:val="0029526C"/>
    <w:rsid w:val="002A7FE5"/>
    <w:rsid w:val="002B09EF"/>
    <w:rsid w:val="002B0CE2"/>
    <w:rsid w:val="002B3198"/>
    <w:rsid w:val="002B7BE4"/>
    <w:rsid w:val="002C37E7"/>
    <w:rsid w:val="002C5425"/>
    <w:rsid w:val="002D2499"/>
    <w:rsid w:val="002D59D3"/>
    <w:rsid w:val="002D5A9C"/>
    <w:rsid w:val="002D6464"/>
    <w:rsid w:val="002E081C"/>
    <w:rsid w:val="002E205D"/>
    <w:rsid w:val="002E50CB"/>
    <w:rsid w:val="002E5CD5"/>
    <w:rsid w:val="002F10F0"/>
    <w:rsid w:val="002F3A75"/>
    <w:rsid w:val="002F3C7A"/>
    <w:rsid w:val="002F52CD"/>
    <w:rsid w:val="002F58AB"/>
    <w:rsid w:val="002F7029"/>
    <w:rsid w:val="00301D2E"/>
    <w:rsid w:val="0030317C"/>
    <w:rsid w:val="00304CE9"/>
    <w:rsid w:val="0031221F"/>
    <w:rsid w:val="0031224C"/>
    <w:rsid w:val="003123AA"/>
    <w:rsid w:val="003177DC"/>
    <w:rsid w:val="00325E43"/>
    <w:rsid w:val="00326279"/>
    <w:rsid w:val="00327327"/>
    <w:rsid w:val="00333CF0"/>
    <w:rsid w:val="00334FAD"/>
    <w:rsid w:val="00337177"/>
    <w:rsid w:val="00340F45"/>
    <w:rsid w:val="003430FF"/>
    <w:rsid w:val="003432A8"/>
    <w:rsid w:val="0034360F"/>
    <w:rsid w:val="00344F1B"/>
    <w:rsid w:val="00346C23"/>
    <w:rsid w:val="00347332"/>
    <w:rsid w:val="00350808"/>
    <w:rsid w:val="00354145"/>
    <w:rsid w:val="00360801"/>
    <w:rsid w:val="003612D4"/>
    <w:rsid w:val="003622AC"/>
    <w:rsid w:val="00362EA0"/>
    <w:rsid w:val="00364632"/>
    <w:rsid w:val="003653A6"/>
    <w:rsid w:val="0036638B"/>
    <w:rsid w:val="00366A73"/>
    <w:rsid w:val="00366FFA"/>
    <w:rsid w:val="00370C26"/>
    <w:rsid w:val="00371C56"/>
    <w:rsid w:val="0037251B"/>
    <w:rsid w:val="00380654"/>
    <w:rsid w:val="003913BF"/>
    <w:rsid w:val="00391D56"/>
    <w:rsid w:val="00394078"/>
    <w:rsid w:val="003963F7"/>
    <w:rsid w:val="003A19A9"/>
    <w:rsid w:val="003A3394"/>
    <w:rsid w:val="003A4422"/>
    <w:rsid w:val="003A5C87"/>
    <w:rsid w:val="003A70C6"/>
    <w:rsid w:val="003B026B"/>
    <w:rsid w:val="003B36D4"/>
    <w:rsid w:val="003B36E9"/>
    <w:rsid w:val="003B5623"/>
    <w:rsid w:val="003C0804"/>
    <w:rsid w:val="003C0827"/>
    <w:rsid w:val="003C0FCD"/>
    <w:rsid w:val="003C1A11"/>
    <w:rsid w:val="003C777A"/>
    <w:rsid w:val="003D4D85"/>
    <w:rsid w:val="003D66B7"/>
    <w:rsid w:val="003D74CD"/>
    <w:rsid w:val="003D7C65"/>
    <w:rsid w:val="003E1FAD"/>
    <w:rsid w:val="003E2022"/>
    <w:rsid w:val="003E5707"/>
    <w:rsid w:val="003E62CB"/>
    <w:rsid w:val="003F39F7"/>
    <w:rsid w:val="003F7E22"/>
    <w:rsid w:val="00401B8F"/>
    <w:rsid w:val="00401DD4"/>
    <w:rsid w:val="004042CC"/>
    <w:rsid w:val="00407FDE"/>
    <w:rsid w:val="004120D0"/>
    <w:rsid w:val="004132AE"/>
    <w:rsid w:val="0041375C"/>
    <w:rsid w:val="00414363"/>
    <w:rsid w:val="0042068C"/>
    <w:rsid w:val="00421842"/>
    <w:rsid w:val="00422A79"/>
    <w:rsid w:val="00424C60"/>
    <w:rsid w:val="00430A2C"/>
    <w:rsid w:val="00430BB0"/>
    <w:rsid w:val="00433679"/>
    <w:rsid w:val="00437E16"/>
    <w:rsid w:val="00440CA8"/>
    <w:rsid w:val="00440CF0"/>
    <w:rsid w:val="0044128B"/>
    <w:rsid w:val="00441DF1"/>
    <w:rsid w:val="00442F9E"/>
    <w:rsid w:val="004431D6"/>
    <w:rsid w:val="004445EC"/>
    <w:rsid w:val="00444963"/>
    <w:rsid w:val="004449C0"/>
    <w:rsid w:val="00452B31"/>
    <w:rsid w:val="00453846"/>
    <w:rsid w:val="00455BC4"/>
    <w:rsid w:val="00457C98"/>
    <w:rsid w:val="00460C2D"/>
    <w:rsid w:val="00460CFD"/>
    <w:rsid w:val="0046145B"/>
    <w:rsid w:val="004622E1"/>
    <w:rsid w:val="00462E6D"/>
    <w:rsid w:val="00463B9E"/>
    <w:rsid w:val="00467B1E"/>
    <w:rsid w:val="00470F92"/>
    <w:rsid w:val="004715DB"/>
    <w:rsid w:val="00472D48"/>
    <w:rsid w:val="004752F3"/>
    <w:rsid w:val="0048585A"/>
    <w:rsid w:val="00490222"/>
    <w:rsid w:val="00493D64"/>
    <w:rsid w:val="0049466B"/>
    <w:rsid w:val="00494C81"/>
    <w:rsid w:val="0049723F"/>
    <w:rsid w:val="004A603C"/>
    <w:rsid w:val="004A6DFB"/>
    <w:rsid w:val="004A74E6"/>
    <w:rsid w:val="004B02A8"/>
    <w:rsid w:val="004B1499"/>
    <w:rsid w:val="004B31AB"/>
    <w:rsid w:val="004B56DD"/>
    <w:rsid w:val="004C0BCF"/>
    <w:rsid w:val="004C4F10"/>
    <w:rsid w:val="004C5DB0"/>
    <w:rsid w:val="004D1535"/>
    <w:rsid w:val="004D16C7"/>
    <w:rsid w:val="004D7BD4"/>
    <w:rsid w:val="004E23EE"/>
    <w:rsid w:val="004E2C77"/>
    <w:rsid w:val="004E467B"/>
    <w:rsid w:val="004E4D27"/>
    <w:rsid w:val="004F022D"/>
    <w:rsid w:val="004F6A4D"/>
    <w:rsid w:val="00500709"/>
    <w:rsid w:val="0050085A"/>
    <w:rsid w:val="005011D5"/>
    <w:rsid w:val="00501416"/>
    <w:rsid w:val="0050168E"/>
    <w:rsid w:val="0050307C"/>
    <w:rsid w:val="00506637"/>
    <w:rsid w:val="00507993"/>
    <w:rsid w:val="0051315D"/>
    <w:rsid w:val="00513164"/>
    <w:rsid w:val="00513235"/>
    <w:rsid w:val="005154DC"/>
    <w:rsid w:val="00520BFA"/>
    <w:rsid w:val="00521683"/>
    <w:rsid w:val="00521A36"/>
    <w:rsid w:val="005230CF"/>
    <w:rsid w:val="005233DC"/>
    <w:rsid w:val="0052387C"/>
    <w:rsid w:val="0052790E"/>
    <w:rsid w:val="00533A8F"/>
    <w:rsid w:val="005407FF"/>
    <w:rsid w:val="00541667"/>
    <w:rsid w:val="00543C22"/>
    <w:rsid w:val="00545BEE"/>
    <w:rsid w:val="00547309"/>
    <w:rsid w:val="0054785D"/>
    <w:rsid w:val="005479B6"/>
    <w:rsid w:val="00550481"/>
    <w:rsid w:val="005518C2"/>
    <w:rsid w:val="005518D5"/>
    <w:rsid w:val="00551A5F"/>
    <w:rsid w:val="0055385D"/>
    <w:rsid w:val="00554184"/>
    <w:rsid w:val="005546A7"/>
    <w:rsid w:val="00557C27"/>
    <w:rsid w:val="00565254"/>
    <w:rsid w:val="005675D1"/>
    <w:rsid w:val="0057026C"/>
    <w:rsid w:val="005709F3"/>
    <w:rsid w:val="00573A8D"/>
    <w:rsid w:val="0057567D"/>
    <w:rsid w:val="0057668E"/>
    <w:rsid w:val="0057707F"/>
    <w:rsid w:val="00580EF3"/>
    <w:rsid w:val="005848FB"/>
    <w:rsid w:val="005862CD"/>
    <w:rsid w:val="00586BF9"/>
    <w:rsid w:val="005870C3"/>
    <w:rsid w:val="0058765B"/>
    <w:rsid w:val="0059044B"/>
    <w:rsid w:val="00591351"/>
    <w:rsid w:val="00594D3F"/>
    <w:rsid w:val="005A1CBB"/>
    <w:rsid w:val="005A3116"/>
    <w:rsid w:val="005A53A3"/>
    <w:rsid w:val="005A7FDD"/>
    <w:rsid w:val="005B0544"/>
    <w:rsid w:val="005B1686"/>
    <w:rsid w:val="005C1630"/>
    <w:rsid w:val="005C1F81"/>
    <w:rsid w:val="005C2242"/>
    <w:rsid w:val="005C573C"/>
    <w:rsid w:val="005C5E55"/>
    <w:rsid w:val="005C7852"/>
    <w:rsid w:val="005C78A0"/>
    <w:rsid w:val="005C7FE7"/>
    <w:rsid w:val="005D49AB"/>
    <w:rsid w:val="005E1A13"/>
    <w:rsid w:val="005E1F16"/>
    <w:rsid w:val="005E329F"/>
    <w:rsid w:val="005F0684"/>
    <w:rsid w:val="005F1045"/>
    <w:rsid w:val="005F1848"/>
    <w:rsid w:val="005F21A3"/>
    <w:rsid w:val="005F3A92"/>
    <w:rsid w:val="005F3F9E"/>
    <w:rsid w:val="005F4725"/>
    <w:rsid w:val="005F4A9A"/>
    <w:rsid w:val="005F4E49"/>
    <w:rsid w:val="005F5F29"/>
    <w:rsid w:val="00600065"/>
    <w:rsid w:val="0060209E"/>
    <w:rsid w:val="006020DB"/>
    <w:rsid w:val="00602347"/>
    <w:rsid w:val="006028B5"/>
    <w:rsid w:val="006032D8"/>
    <w:rsid w:val="0060500D"/>
    <w:rsid w:val="006056EE"/>
    <w:rsid w:val="0060657A"/>
    <w:rsid w:val="00610E9D"/>
    <w:rsid w:val="00611A0E"/>
    <w:rsid w:val="00613DA4"/>
    <w:rsid w:val="00614051"/>
    <w:rsid w:val="006157C1"/>
    <w:rsid w:val="0062044A"/>
    <w:rsid w:val="006225A8"/>
    <w:rsid w:val="00623E56"/>
    <w:rsid w:val="00627384"/>
    <w:rsid w:val="0063543B"/>
    <w:rsid w:val="00635EEB"/>
    <w:rsid w:val="00637CCD"/>
    <w:rsid w:val="006400A8"/>
    <w:rsid w:val="0064113C"/>
    <w:rsid w:val="00643CDB"/>
    <w:rsid w:val="006457C3"/>
    <w:rsid w:val="00645F29"/>
    <w:rsid w:val="0064625C"/>
    <w:rsid w:val="006476CD"/>
    <w:rsid w:val="006521C3"/>
    <w:rsid w:val="0065771B"/>
    <w:rsid w:val="00660147"/>
    <w:rsid w:val="00660B61"/>
    <w:rsid w:val="00660F0B"/>
    <w:rsid w:val="00661EE2"/>
    <w:rsid w:val="00662252"/>
    <w:rsid w:val="00665870"/>
    <w:rsid w:val="0066762B"/>
    <w:rsid w:val="00670DE8"/>
    <w:rsid w:val="00674D83"/>
    <w:rsid w:val="00677211"/>
    <w:rsid w:val="00684ECE"/>
    <w:rsid w:val="0068550A"/>
    <w:rsid w:val="00686A75"/>
    <w:rsid w:val="006917BD"/>
    <w:rsid w:val="00692468"/>
    <w:rsid w:val="006929ED"/>
    <w:rsid w:val="006948C4"/>
    <w:rsid w:val="006A0499"/>
    <w:rsid w:val="006A0CFC"/>
    <w:rsid w:val="006A2051"/>
    <w:rsid w:val="006A3647"/>
    <w:rsid w:val="006A5836"/>
    <w:rsid w:val="006A741D"/>
    <w:rsid w:val="006A7439"/>
    <w:rsid w:val="006A761C"/>
    <w:rsid w:val="006B4B25"/>
    <w:rsid w:val="006B5486"/>
    <w:rsid w:val="006B7081"/>
    <w:rsid w:val="006C34CD"/>
    <w:rsid w:val="006C3E6C"/>
    <w:rsid w:val="006C4A21"/>
    <w:rsid w:val="006C4AF5"/>
    <w:rsid w:val="006C5B81"/>
    <w:rsid w:val="006C6BF0"/>
    <w:rsid w:val="006D3055"/>
    <w:rsid w:val="006D67AB"/>
    <w:rsid w:val="006E04B2"/>
    <w:rsid w:val="006E3835"/>
    <w:rsid w:val="006E4A86"/>
    <w:rsid w:val="006E5863"/>
    <w:rsid w:val="006E6972"/>
    <w:rsid w:val="006E7F0C"/>
    <w:rsid w:val="006F0632"/>
    <w:rsid w:val="006F1050"/>
    <w:rsid w:val="006F3C84"/>
    <w:rsid w:val="006F4740"/>
    <w:rsid w:val="006F7D8B"/>
    <w:rsid w:val="007020AC"/>
    <w:rsid w:val="0070467E"/>
    <w:rsid w:val="007058AC"/>
    <w:rsid w:val="00706348"/>
    <w:rsid w:val="00711386"/>
    <w:rsid w:val="00713CA8"/>
    <w:rsid w:val="007156A4"/>
    <w:rsid w:val="00716106"/>
    <w:rsid w:val="00717801"/>
    <w:rsid w:val="007211FD"/>
    <w:rsid w:val="007234AD"/>
    <w:rsid w:val="007248C8"/>
    <w:rsid w:val="007261B7"/>
    <w:rsid w:val="00731AF1"/>
    <w:rsid w:val="0073458D"/>
    <w:rsid w:val="00741027"/>
    <w:rsid w:val="00741D9B"/>
    <w:rsid w:val="00743CD9"/>
    <w:rsid w:val="00744471"/>
    <w:rsid w:val="007451C1"/>
    <w:rsid w:val="00751B58"/>
    <w:rsid w:val="00751BAD"/>
    <w:rsid w:val="00751E5C"/>
    <w:rsid w:val="007564F1"/>
    <w:rsid w:val="00760BCC"/>
    <w:rsid w:val="00761F36"/>
    <w:rsid w:val="00764BE2"/>
    <w:rsid w:val="00765770"/>
    <w:rsid w:val="00765F28"/>
    <w:rsid w:val="00766E4E"/>
    <w:rsid w:val="00771722"/>
    <w:rsid w:val="007733D9"/>
    <w:rsid w:val="00774C1B"/>
    <w:rsid w:val="007755EE"/>
    <w:rsid w:val="0077669D"/>
    <w:rsid w:val="0078044B"/>
    <w:rsid w:val="00780CF0"/>
    <w:rsid w:val="007833BA"/>
    <w:rsid w:val="00783E85"/>
    <w:rsid w:val="00786DB2"/>
    <w:rsid w:val="007932D4"/>
    <w:rsid w:val="00794DC7"/>
    <w:rsid w:val="00796D69"/>
    <w:rsid w:val="007A0D2D"/>
    <w:rsid w:val="007A52C4"/>
    <w:rsid w:val="007B22F7"/>
    <w:rsid w:val="007B353C"/>
    <w:rsid w:val="007B4D33"/>
    <w:rsid w:val="007B79D8"/>
    <w:rsid w:val="007C0A40"/>
    <w:rsid w:val="007C4399"/>
    <w:rsid w:val="007C69DD"/>
    <w:rsid w:val="007D42A3"/>
    <w:rsid w:val="007D6451"/>
    <w:rsid w:val="007D7527"/>
    <w:rsid w:val="007D7F25"/>
    <w:rsid w:val="007E03E3"/>
    <w:rsid w:val="007E2BD4"/>
    <w:rsid w:val="007E4790"/>
    <w:rsid w:val="007E489D"/>
    <w:rsid w:val="007E59AF"/>
    <w:rsid w:val="007E6D64"/>
    <w:rsid w:val="007F00C1"/>
    <w:rsid w:val="007F07B9"/>
    <w:rsid w:val="007F1DEE"/>
    <w:rsid w:val="007F33C6"/>
    <w:rsid w:val="00800F3A"/>
    <w:rsid w:val="008049A3"/>
    <w:rsid w:val="0080653F"/>
    <w:rsid w:val="0081027A"/>
    <w:rsid w:val="0081169A"/>
    <w:rsid w:val="00812F1D"/>
    <w:rsid w:val="00813251"/>
    <w:rsid w:val="008155DC"/>
    <w:rsid w:val="0081681E"/>
    <w:rsid w:val="00823047"/>
    <w:rsid w:val="0082347B"/>
    <w:rsid w:val="0082491B"/>
    <w:rsid w:val="008256A8"/>
    <w:rsid w:val="008278BE"/>
    <w:rsid w:val="00827B80"/>
    <w:rsid w:val="008300B3"/>
    <w:rsid w:val="00832775"/>
    <w:rsid w:val="008331B0"/>
    <w:rsid w:val="00834186"/>
    <w:rsid w:val="00834273"/>
    <w:rsid w:val="0083477A"/>
    <w:rsid w:val="00836370"/>
    <w:rsid w:val="00837CB1"/>
    <w:rsid w:val="0084014C"/>
    <w:rsid w:val="008412C7"/>
    <w:rsid w:val="00846C83"/>
    <w:rsid w:val="00847B3E"/>
    <w:rsid w:val="008524F1"/>
    <w:rsid w:val="00852C29"/>
    <w:rsid w:val="00855777"/>
    <w:rsid w:val="008560E3"/>
    <w:rsid w:val="00861A27"/>
    <w:rsid w:val="00862989"/>
    <w:rsid w:val="00863230"/>
    <w:rsid w:val="008632A3"/>
    <w:rsid w:val="0086690A"/>
    <w:rsid w:val="00866A33"/>
    <w:rsid w:val="008676CA"/>
    <w:rsid w:val="008704D4"/>
    <w:rsid w:val="008705AE"/>
    <w:rsid w:val="00871599"/>
    <w:rsid w:val="0087181E"/>
    <w:rsid w:val="0088074B"/>
    <w:rsid w:val="00883776"/>
    <w:rsid w:val="00883CA6"/>
    <w:rsid w:val="0088408B"/>
    <w:rsid w:val="00884B51"/>
    <w:rsid w:val="00891411"/>
    <w:rsid w:val="00891A80"/>
    <w:rsid w:val="00896D6F"/>
    <w:rsid w:val="008A3F66"/>
    <w:rsid w:val="008B225C"/>
    <w:rsid w:val="008B45CA"/>
    <w:rsid w:val="008B5AD7"/>
    <w:rsid w:val="008B6FD8"/>
    <w:rsid w:val="008C0171"/>
    <w:rsid w:val="008C5F0C"/>
    <w:rsid w:val="008D50CF"/>
    <w:rsid w:val="008D5602"/>
    <w:rsid w:val="008D5FF2"/>
    <w:rsid w:val="008E370E"/>
    <w:rsid w:val="008E382B"/>
    <w:rsid w:val="008E4BCA"/>
    <w:rsid w:val="008F02D8"/>
    <w:rsid w:val="008F6BDD"/>
    <w:rsid w:val="009001A1"/>
    <w:rsid w:val="009022FA"/>
    <w:rsid w:val="00902B09"/>
    <w:rsid w:val="00904B4C"/>
    <w:rsid w:val="009065E8"/>
    <w:rsid w:val="00911ADC"/>
    <w:rsid w:val="00911D34"/>
    <w:rsid w:val="00913FA4"/>
    <w:rsid w:val="00915C58"/>
    <w:rsid w:val="00917729"/>
    <w:rsid w:val="00923047"/>
    <w:rsid w:val="00930ECA"/>
    <w:rsid w:val="00931255"/>
    <w:rsid w:val="00932C2F"/>
    <w:rsid w:val="009331AA"/>
    <w:rsid w:val="00934285"/>
    <w:rsid w:val="0093556B"/>
    <w:rsid w:val="00941DA7"/>
    <w:rsid w:val="009426CB"/>
    <w:rsid w:val="0094359E"/>
    <w:rsid w:val="00944167"/>
    <w:rsid w:val="0094643F"/>
    <w:rsid w:val="009469FB"/>
    <w:rsid w:val="009479E6"/>
    <w:rsid w:val="00952F40"/>
    <w:rsid w:val="00953AF7"/>
    <w:rsid w:val="00956703"/>
    <w:rsid w:val="00956DD3"/>
    <w:rsid w:val="009620EC"/>
    <w:rsid w:val="0096291E"/>
    <w:rsid w:val="00963104"/>
    <w:rsid w:val="009639F3"/>
    <w:rsid w:val="00964A48"/>
    <w:rsid w:val="0096691F"/>
    <w:rsid w:val="00967750"/>
    <w:rsid w:val="00971312"/>
    <w:rsid w:val="00972909"/>
    <w:rsid w:val="00982621"/>
    <w:rsid w:val="00986421"/>
    <w:rsid w:val="009A1235"/>
    <w:rsid w:val="009A637A"/>
    <w:rsid w:val="009A647B"/>
    <w:rsid w:val="009A64EE"/>
    <w:rsid w:val="009B0464"/>
    <w:rsid w:val="009B0B43"/>
    <w:rsid w:val="009B0C3E"/>
    <w:rsid w:val="009B1367"/>
    <w:rsid w:val="009B2617"/>
    <w:rsid w:val="009B2DE3"/>
    <w:rsid w:val="009B3C73"/>
    <w:rsid w:val="009B4331"/>
    <w:rsid w:val="009B4D1D"/>
    <w:rsid w:val="009C2BA4"/>
    <w:rsid w:val="009C4431"/>
    <w:rsid w:val="009D14B2"/>
    <w:rsid w:val="009D2A3D"/>
    <w:rsid w:val="009D645F"/>
    <w:rsid w:val="009D7130"/>
    <w:rsid w:val="009E0114"/>
    <w:rsid w:val="009E2AE2"/>
    <w:rsid w:val="009E573D"/>
    <w:rsid w:val="009F0120"/>
    <w:rsid w:val="009F0669"/>
    <w:rsid w:val="009F1C2C"/>
    <w:rsid w:val="009F2B8B"/>
    <w:rsid w:val="009F3591"/>
    <w:rsid w:val="009F7A80"/>
    <w:rsid w:val="00A025BF"/>
    <w:rsid w:val="00A03584"/>
    <w:rsid w:val="00A07E75"/>
    <w:rsid w:val="00A1042E"/>
    <w:rsid w:val="00A10682"/>
    <w:rsid w:val="00A13DAA"/>
    <w:rsid w:val="00A1448B"/>
    <w:rsid w:val="00A14C09"/>
    <w:rsid w:val="00A14CB6"/>
    <w:rsid w:val="00A16A6A"/>
    <w:rsid w:val="00A173C9"/>
    <w:rsid w:val="00A22984"/>
    <w:rsid w:val="00A23C2F"/>
    <w:rsid w:val="00A2426F"/>
    <w:rsid w:val="00A25D0F"/>
    <w:rsid w:val="00A26A03"/>
    <w:rsid w:val="00A27720"/>
    <w:rsid w:val="00A30DCA"/>
    <w:rsid w:val="00A31BCC"/>
    <w:rsid w:val="00A335E6"/>
    <w:rsid w:val="00A3409E"/>
    <w:rsid w:val="00A36945"/>
    <w:rsid w:val="00A36960"/>
    <w:rsid w:val="00A42F07"/>
    <w:rsid w:val="00A44D3D"/>
    <w:rsid w:val="00A4592A"/>
    <w:rsid w:val="00A47F3C"/>
    <w:rsid w:val="00A50CFB"/>
    <w:rsid w:val="00A50D11"/>
    <w:rsid w:val="00A520B3"/>
    <w:rsid w:val="00A52F32"/>
    <w:rsid w:val="00A547C5"/>
    <w:rsid w:val="00A560FC"/>
    <w:rsid w:val="00A56FAA"/>
    <w:rsid w:val="00A64D54"/>
    <w:rsid w:val="00A6502C"/>
    <w:rsid w:val="00A6520D"/>
    <w:rsid w:val="00A71A1A"/>
    <w:rsid w:val="00A74C0F"/>
    <w:rsid w:val="00A775BF"/>
    <w:rsid w:val="00A81005"/>
    <w:rsid w:val="00A82FE4"/>
    <w:rsid w:val="00A851C6"/>
    <w:rsid w:val="00A87AEC"/>
    <w:rsid w:val="00A9122D"/>
    <w:rsid w:val="00A916B1"/>
    <w:rsid w:val="00A91C61"/>
    <w:rsid w:val="00A91D0E"/>
    <w:rsid w:val="00A94E65"/>
    <w:rsid w:val="00A94EF7"/>
    <w:rsid w:val="00A963E4"/>
    <w:rsid w:val="00A96B4F"/>
    <w:rsid w:val="00AA15E0"/>
    <w:rsid w:val="00AA1C74"/>
    <w:rsid w:val="00AA3BCD"/>
    <w:rsid w:val="00AA3CDC"/>
    <w:rsid w:val="00AA4083"/>
    <w:rsid w:val="00AA5083"/>
    <w:rsid w:val="00AB0949"/>
    <w:rsid w:val="00AB1A1D"/>
    <w:rsid w:val="00AB2A08"/>
    <w:rsid w:val="00AB4005"/>
    <w:rsid w:val="00AB459D"/>
    <w:rsid w:val="00AC2384"/>
    <w:rsid w:val="00AC38E7"/>
    <w:rsid w:val="00AC3BD1"/>
    <w:rsid w:val="00AC667B"/>
    <w:rsid w:val="00AC7658"/>
    <w:rsid w:val="00AD1575"/>
    <w:rsid w:val="00AD1BF0"/>
    <w:rsid w:val="00AD3BAD"/>
    <w:rsid w:val="00AD5B6F"/>
    <w:rsid w:val="00AD6CFB"/>
    <w:rsid w:val="00AE40A0"/>
    <w:rsid w:val="00AE713D"/>
    <w:rsid w:val="00AF0949"/>
    <w:rsid w:val="00AF1927"/>
    <w:rsid w:val="00AF25D7"/>
    <w:rsid w:val="00AF4872"/>
    <w:rsid w:val="00AF4D9C"/>
    <w:rsid w:val="00AF6132"/>
    <w:rsid w:val="00AF67C2"/>
    <w:rsid w:val="00AF68AF"/>
    <w:rsid w:val="00B00F02"/>
    <w:rsid w:val="00B01D16"/>
    <w:rsid w:val="00B0305C"/>
    <w:rsid w:val="00B051AD"/>
    <w:rsid w:val="00B051BB"/>
    <w:rsid w:val="00B0765E"/>
    <w:rsid w:val="00B14FD0"/>
    <w:rsid w:val="00B1523C"/>
    <w:rsid w:val="00B20210"/>
    <w:rsid w:val="00B22B34"/>
    <w:rsid w:val="00B23D05"/>
    <w:rsid w:val="00B249A6"/>
    <w:rsid w:val="00B2501F"/>
    <w:rsid w:val="00B27391"/>
    <w:rsid w:val="00B278C5"/>
    <w:rsid w:val="00B31247"/>
    <w:rsid w:val="00B34FB3"/>
    <w:rsid w:val="00B369E2"/>
    <w:rsid w:val="00B36FFB"/>
    <w:rsid w:val="00B373D3"/>
    <w:rsid w:val="00B42309"/>
    <w:rsid w:val="00B43699"/>
    <w:rsid w:val="00B436F8"/>
    <w:rsid w:val="00B459C0"/>
    <w:rsid w:val="00B460FD"/>
    <w:rsid w:val="00B467B5"/>
    <w:rsid w:val="00B46E83"/>
    <w:rsid w:val="00B519D9"/>
    <w:rsid w:val="00B55D0A"/>
    <w:rsid w:val="00B55E3E"/>
    <w:rsid w:val="00B56EF7"/>
    <w:rsid w:val="00B5792C"/>
    <w:rsid w:val="00B6333A"/>
    <w:rsid w:val="00B67629"/>
    <w:rsid w:val="00B70817"/>
    <w:rsid w:val="00B70C99"/>
    <w:rsid w:val="00B71412"/>
    <w:rsid w:val="00B74FF4"/>
    <w:rsid w:val="00B77406"/>
    <w:rsid w:val="00B77630"/>
    <w:rsid w:val="00B779B6"/>
    <w:rsid w:val="00B83DB3"/>
    <w:rsid w:val="00B90988"/>
    <w:rsid w:val="00B93D29"/>
    <w:rsid w:val="00B9716D"/>
    <w:rsid w:val="00BA0954"/>
    <w:rsid w:val="00BA0B1E"/>
    <w:rsid w:val="00BA1DCF"/>
    <w:rsid w:val="00BA1EA0"/>
    <w:rsid w:val="00BA73F8"/>
    <w:rsid w:val="00BA7E62"/>
    <w:rsid w:val="00BB185A"/>
    <w:rsid w:val="00BB30EB"/>
    <w:rsid w:val="00BB5860"/>
    <w:rsid w:val="00BB6626"/>
    <w:rsid w:val="00BC2389"/>
    <w:rsid w:val="00BC3CCD"/>
    <w:rsid w:val="00BC3D8A"/>
    <w:rsid w:val="00BC4AFB"/>
    <w:rsid w:val="00BC6527"/>
    <w:rsid w:val="00BD062A"/>
    <w:rsid w:val="00BD1FB5"/>
    <w:rsid w:val="00BD2B7B"/>
    <w:rsid w:val="00BD502A"/>
    <w:rsid w:val="00BE1ADC"/>
    <w:rsid w:val="00BE2FCC"/>
    <w:rsid w:val="00BF25B4"/>
    <w:rsid w:val="00BF6CA9"/>
    <w:rsid w:val="00BF7420"/>
    <w:rsid w:val="00C0319B"/>
    <w:rsid w:val="00C05553"/>
    <w:rsid w:val="00C05FDC"/>
    <w:rsid w:val="00C10610"/>
    <w:rsid w:val="00C112F3"/>
    <w:rsid w:val="00C134F1"/>
    <w:rsid w:val="00C15A17"/>
    <w:rsid w:val="00C222CF"/>
    <w:rsid w:val="00C228F3"/>
    <w:rsid w:val="00C22E7F"/>
    <w:rsid w:val="00C24D05"/>
    <w:rsid w:val="00C26C6B"/>
    <w:rsid w:val="00C317CF"/>
    <w:rsid w:val="00C36983"/>
    <w:rsid w:val="00C40B76"/>
    <w:rsid w:val="00C40E26"/>
    <w:rsid w:val="00C41439"/>
    <w:rsid w:val="00C428F6"/>
    <w:rsid w:val="00C45F34"/>
    <w:rsid w:val="00C472DD"/>
    <w:rsid w:val="00C50F17"/>
    <w:rsid w:val="00C55488"/>
    <w:rsid w:val="00C610F1"/>
    <w:rsid w:val="00C62206"/>
    <w:rsid w:val="00C62777"/>
    <w:rsid w:val="00C640FC"/>
    <w:rsid w:val="00C67863"/>
    <w:rsid w:val="00C70F26"/>
    <w:rsid w:val="00C70F41"/>
    <w:rsid w:val="00C72EE5"/>
    <w:rsid w:val="00C74443"/>
    <w:rsid w:val="00C74942"/>
    <w:rsid w:val="00C764C8"/>
    <w:rsid w:val="00C76701"/>
    <w:rsid w:val="00C76F30"/>
    <w:rsid w:val="00C77BAB"/>
    <w:rsid w:val="00C77F44"/>
    <w:rsid w:val="00C80343"/>
    <w:rsid w:val="00C830AD"/>
    <w:rsid w:val="00C83AE3"/>
    <w:rsid w:val="00C8695D"/>
    <w:rsid w:val="00C87225"/>
    <w:rsid w:val="00C9084A"/>
    <w:rsid w:val="00C91297"/>
    <w:rsid w:val="00C972C9"/>
    <w:rsid w:val="00CA5F6C"/>
    <w:rsid w:val="00CB0922"/>
    <w:rsid w:val="00CB36DF"/>
    <w:rsid w:val="00CB4AD2"/>
    <w:rsid w:val="00CB5FDA"/>
    <w:rsid w:val="00CC0219"/>
    <w:rsid w:val="00CC0EE6"/>
    <w:rsid w:val="00CC1A20"/>
    <w:rsid w:val="00CC2675"/>
    <w:rsid w:val="00CC272D"/>
    <w:rsid w:val="00CC48AA"/>
    <w:rsid w:val="00CC7A45"/>
    <w:rsid w:val="00CD09BF"/>
    <w:rsid w:val="00CD7E5A"/>
    <w:rsid w:val="00CE0B9D"/>
    <w:rsid w:val="00CE1A03"/>
    <w:rsid w:val="00CE1B57"/>
    <w:rsid w:val="00CE61EB"/>
    <w:rsid w:val="00CE76C8"/>
    <w:rsid w:val="00CE794E"/>
    <w:rsid w:val="00CF4F08"/>
    <w:rsid w:val="00CF7266"/>
    <w:rsid w:val="00D0032E"/>
    <w:rsid w:val="00D00593"/>
    <w:rsid w:val="00D014B7"/>
    <w:rsid w:val="00D01537"/>
    <w:rsid w:val="00D05F12"/>
    <w:rsid w:val="00D071AC"/>
    <w:rsid w:val="00D11968"/>
    <w:rsid w:val="00D11CFF"/>
    <w:rsid w:val="00D15450"/>
    <w:rsid w:val="00D15D9E"/>
    <w:rsid w:val="00D16EC4"/>
    <w:rsid w:val="00D2323B"/>
    <w:rsid w:val="00D25B5F"/>
    <w:rsid w:val="00D2732A"/>
    <w:rsid w:val="00D33017"/>
    <w:rsid w:val="00D35218"/>
    <w:rsid w:val="00D3594A"/>
    <w:rsid w:val="00D40485"/>
    <w:rsid w:val="00D40618"/>
    <w:rsid w:val="00D42EA7"/>
    <w:rsid w:val="00D46CD8"/>
    <w:rsid w:val="00D47866"/>
    <w:rsid w:val="00D5052E"/>
    <w:rsid w:val="00D61F56"/>
    <w:rsid w:val="00D632C1"/>
    <w:rsid w:val="00D66410"/>
    <w:rsid w:val="00D70541"/>
    <w:rsid w:val="00D72E96"/>
    <w:rsid w:val="00D74230"/>
    <w:rsid w:val="00D75891"/>
    <w:rsid w:val="00D82BD7"/>
    <w:rsid w:val="00D854E1"/>
    <w:rsid w:val="00D85516"/>
    <w:rsid w:val="00D85EC2"/>
    <w:rsid w:val="00D87FCC"/>
    <w:rsid w:val="00D9038C"/>
    <w:rsid w:val="00D91CDD"/>
    <w:rsid w:val="00D91EF1"/>
    <w:rsid w:val="00D941D0"/>
    <w:rsid w:val="00D9467B"/>
    <w:rsid w:val="00D95AF2"/>
    <w:rsid w:val="00D97EB4"/>
    <w:rsid w:val="00DA1230"/>
    <w:rsid w:val="00DA1DD6"/>
    <w:rsid w:val="00DA5D58"/>
    <w:rsid w:val="00DA67E5"/>
    <w:rsid w:val="00DA78B9"/>
    <w:rsid w:val="00DB3A0B"/>
    <w:rsid w:val="00DB51BE"/>
    <w:rsid w:val="00DB54FE"/>
    <w:rsid w:val="00DC78C0"/>
    <w:rsid w:val="00DD00AD"/>
    <w:rsid w:val="00DD2388"/>
    <w:rsid w:val="00DD2A32"/>
    <w:rsid w:val="00DD65A0"/>
    <w:rsid w:val="00DD6B46"/>
    <w:rsid w:val="00DD773D"/>
    <w:rsid w:val="00DD7BDA"/>
    <w:rsid w:val="00DE2ED9"/>
    <w:rsid w:val="00DE67AD"/>
    <w:rsid w:val="00DF2BCC"/>
    <w:rsid w:val="00DF2C7B"/>
    <w:rsid w:val="00DF33EA"/>
    <w:rsid w:val="00DF5578"/>
    <w:rsid w:val="00DF7676"/>
    <w:rsid w:val="00E01469"/>
    <w:rsid w:val="00E03AFB"/>
    <w:rsid w:val="00E04454"/>
    <w:rsid w:val="00E10594"/>
    <w:rsid w:val="00E106C4"/>
    <w:rsid w:val="00E1090F"/>
    <w:rsid w:val="00E13F0E"/>
    <w:rsid w:val="00E209E8"/>
    <w:rsid w:val="00E2118C"/>
    <w:rsid w:val="00E21457"/>
    <w:rsid w:val="00E215A8"/>
    <w:rsid w:val="00E225C8"/>
    <w:rsid w:val="00E23F4B"/>
    <w:rsid w:val="00E2586E"/>
    <w:rsid w:val="00E31508"/>
    <w:rsid w:val="00E33825"/>
    <w:rsid w:val="00E371F3"/>
    <w:rsid w:val="00E373FC"/>
    <w:rsid w:val="00E3790F"/>
    <w:rsid w:val="00E37919"/>
    <w:rsid w:val="00E37A16"/>
    <w:rsid w:val="00E37B57"/>
    <w:rsid w:val="00E422BC"/>
    <w:rsid w:val="00E4364E"/>
    <w:rsid w:val="00E44544"/>
    <w:rsid w:val="00E45398"/>
    <w:rsid w:val="00E51D12"/>
    <w:rsid w:val="00E52080"/>
    <w:rsid w:val="00E537C2"/>
    <w:rsid w:val="00E54703"/>
    <w:rsid w:val="00E549CA"/>
    <w:rsid w:val="00E57D8B"/>
    <w:rsid w:val="00E6031F"/>
    <w:rsid w:val="00E6037C"/>
    <w:rsid w:val="00E628D8"/>
    <w:rsid w:val="00E66A80"/>
    <w:rsid w:val="00E71C3C"/>
    <w:rsid w:val="00E73731"/>
    <w:rsid w:val="00E73EBA"/>
    <w:rsid w:val="00E74FDA"/>
    <w:rsid w:val="00E764AB"/>
    <w:rsid w:val="00E80B6D"/>
    <w:rsid w:val="00E8113F"/>
    <w:rsid w:val="00E829F3"/>
    <w:rsid w:val="00E8593C"/>
    <w:rsid w:val="00E87646"/>
    <w:rsid w:val="00E900F5"/>
    <w:rsid w:val="00E9149B"/>
    <w:rsid w:val="00E92BC6"/>
    <w:rsid w:val="00E92D3F"/>
    <w:rsid w:val="00E96641"/>
    <w:rsid w:val="00E96A99"/>
    <w:rsid w:val="00E971AF"/>
    <w:rsid w:val="00EA2079"/>
    <w:rsid w:val="00EA275B"/>
    <w:rsid w:val="00EA3CFC"/>
    <w:rsid w:val="00EA42E5"/>
    <w:rsid w:val="00EA4A9F"/>
    <w:rsid w:val="00EA4EC4"/>
    <w:rsid w:val="00EA68AA"/>
    <w:rsid w:val="00EA6AE8"/>
    <w:rsid w:val="00EB0922"/>
    <w:rsid w:val="00EB188A"/>
    <w:rsid w:val="00EC16B1"/>
    <w:rsid w:val="00ED1D92"/>
    <w:rsid w:val="00ED5AB7"/>
    <w:rsid w:val="00ED5BF6"/>
    <w:rsid w:val="00ED7731"/>
    <w:rsid w:val="00EE0B3C"/>
    <w:rsid w:val="00EE112D"/>
    <w:rsid w:val="00EE1B4F"/>
    <w:rsid w:val="00EE4FC2"/>
    <w:rsid w:val="00EE4FD9"/>
    <w:rsid w:val="00EE62F3"/>
    <w:rsid w:val="00EE6865"/>
    <w:rsid w:val="00EE727A"/>
    <w:rsid w:val="00EF23B3"/>
    <w:rsid w:val="00EF2790"/>
    <w:rsid w:val="00EF2806"/>
    <w:rsid w:val="00EF29A0"/>
    <w:rsid w:val="00EF2DDC"/>
    <w:rsid w:val="00EF46BA"/>
    <w:rsid w:val="00EF6303"/>
    <w:rsid w:val="00EF7296"/>
    <w:rsid w:val="00F00BDE"/>
    <w:rsid w:val="00F028ED"/>
    <w:rsid w:val="00F0521C"/>
    <w:rsid w:val="00F05BE2"/>
    <w:rsid w:val="00F070C0"/>
    <w:rsid w:val="00F104EF"/>
    <w:rsid w:val="00F14BD9"/>
    <w:rsid w:val="00F1673B"/>
    <w:rsid w:val="00F173CE"/>
    <w:rsid w:val="00F2124D"/>
    <w:rsid w:val="00F216CF"/>
    <w:rsid w:val="00F2572E"/>
    <w:rsid w:val="00F26D1D"/>
    <w:rsid w:val="00F3043A"/>
    <w:rsid w:val="00F315D3"/>
    <w:rsid w:val="00F31D62"/>
    <w:rsid w:val="00F362DD"/>
    <w:rsid w:val="00F4131F"/>
    <w:rsid w:val="00F43BE0"/>
    <w:rsid w:val="00F457A9"/>
    <w:rsid w:val="00F45FB6"/>
    <w:rsid w:val="00F47909"/>
    <w:rsid w:val="00F50EF7"/>
    <w:rsid w:val="00F50F8C"/>
    <w:rsid w:val="00F52033"/>
    <w:rsid w:val="00F554B4"/>
    <w:rsid w:val="00F566B6"/>
    <w:rsid w:val="00F56C02"/>
    <w:rsid w:val="00F62A0B"/>
    <w:rsid w:val="00F630E7"/>
    <w:rsid w:val="00F6334D"/>
    <w:rsid w:val="00F64E84"/>
    <w:rsid w:val="00F66A5A"/>
    <w:rsid w:val="00F72A35"/>
    <w:rsid w:val="00F7419D"/>
    <w:rsid w:val="00F74A95"/>
    <w:rsid w:val="00F757BA"/>
    <w:rsid w:val="00F8358D"/>
    <w:rsid w:val="00F84468"/>
    <w:rsid w:val="00F84F94"/>
    <w:rsid w:val="00F8569A"/>
    <w:rsid w:val="00F86903"/>
    <w:rsid w:val="00F86E0A"/>
    <w:rsid w:val="00F92CC4"/>
    <w:rsid w:val="00F92E7B"/>
    <w:rsid w:val="00FA2E6C"/>
    <w:rsid w:val="00FA5F2D"/>
    <w:rsid w:val="00FB048F"/>
    <w:rsid w:val="00FB1933"/>
    <w:rsid w:val="00FB2610"/>
    <w:rsid w:val="00FB3ED6"/>
    <w:rsid w:val="00FB4318"/>
    <w:rsid w:val="00FC1084"/>
    <w:rsid w:val="00FC5054"/>
    <w:rsid w:val="00FD04D8"/>
    <w:rsid w:val="00FD1C9A"/>
    <w:rsid w:val="00FD1D14"/>
    <w:rsid w:val="00FD3CF6"/>
    <w:rsid w:val="00FD4AF5"/>
    <w:rsid w:val="00FD6B22"/>
    <w:rsid w:val="00FD7116"/>
    <w:rsid w:val="00FE026A"/>
    <w:rsid w:val="00FE1571"/>
    <w:rsid w:val="00FE1A2F"/>
    <w:rsid w:val="00FE6E68"/>
    <w:rsid w:val="00FE7FC8"/>
    <w:rsid w:val="00FF0EAD"/>
    <w:rsid w:val="00FF1DEA"/>
    <w:rsid w:val="00FF2983"/>
    <w:rsid w:val="00FF310D"/>
    <w:rsid w:val="00FF59FB"/>
    <w:rsid w:val="00FF68EE"/>
    <w:rsid w:val="00FF7255"/>
    <w:rsid w:val="011775B5"/>
    <w:rsid w:val="01F631BD"/>
    <w:rsid w:val="02C74B30"/>
    <w:rsid w:val="030D2863"/>
    <w:rsid w:val="03B60BF9"/>
    <w:rsid w:val="04B0389B"/>
    <w:rsid w:val="064F66FB"/>
    <w:rsid w:val="06620DE9"/>
    <w:rsid w:val="066F3121"/>
    <w:rsid w:val="069C2882"/>
    <w:rsid w:val="06B43AE4"/>
    <w:rsid w:val="06EC6D15"/>
    <w:rsid w:val="071D689A"/>
    <w:rsid w:val="08C66386"/>
    <w:rsid w:val="09F64BC4"/>
    <w:rsid w:val="0A6731E4"/>
    <w:rsid w:val="0AA50594"/>
    <w:rsid w:val="0AAD4CBB"/>
    <w:rsid w:val="0B3B060A"/>
    <w:rsid w:val="0B6C7DF0"/>
    <w:rsid w:val="0C2D4CF3"/>
    <w:rsid w:val="0D6A3E9C"/>
    <w:rsid w:val="109C751A"/>
    <w:rsid w:val="10ED7D13"/>
    <w:rsid w:val="135544A7"/>
    <w:rsid w:val="14DA32E2"/>
    <w:rsid w:val="15664250"/>
    <w:rsid w:val="16087BAF"/>
    <w:rsid w:val="160D2AA0"/>
    <w:rsid w:val="17F16529"/>
    <w:rsid w:val="198F0309"/>
    <w:rsid w:val="19DE65BB"/>
    <w:rsid w:val="1A493ED9"/>
    <w:rsid w:val="1B310B11"/>
    <w:rsid w:val="1EC76B73"/>
    <w:rsid w:val="21073655"/>
    <w:rsid w:val="21F84457"/>
    <w:rsid w:val="225B4C45"/>
    <w:rsid w:val="25C74A12"/>
    <w:rsid w:val="262E4120"/>
    <w:rsid w:val="26773DC1"/>
    <w:rsid w:val="27D7541B"/>
    <w:rsid w:val="29445972"/>
    <w:rsid w:val="2B747D35"/>
    <w:rsid w:val="2BA96401"/>
    <w:rsid w:val="2C624BCB"/>
    <w:rsid w:val="2E291E44"/>
    <w:rsid w:val="2E694859"/>
    <w:rsid w:val="2F67445A"/>
    <w:rsid w:val="2FB1045F"/>
    <w:rsid w:val="2FE654EF"/>
    <w:rsid w:val="30482903"/>
    <w:rsid w:val="30787AB0"/>
    <w:rsid w:val="31302105"/>
    <w:rsid w:val="32440B83"/>
    <w:rsid w:val="34C12DD7"/>
    <w:rsid w:val="35A66D8A"/>
    <w:rsid w:val="365F4572"/>
    <w:rsid w:val="36FD5C1C"/>
    <w:rsid w:val="37E65DFB"/>
    <w:rsid w:val="38BD7E3E"/>
    <w:rsid w:val="38FD5691"/>
    <w:rsid w:val="3A986C9B"/>
    <w:rsid w:val="3C4D31A2"/>
    <w:rsid w:val="3CBC3FC1"/>
    <w:rsid w:val="3D542D7F"/>
    <w:rsid w:val="3D9B642E"/>
    <w:rsid w:val="3E4A1697"/>
    <w:rsid w:val="3EB64188"/>
    <w:rsid w:val="3ED74FA5"/>
    <w:rsid w:val="3F894E00"/>
    <w:rsid w:val="42A2699E"/>
    <w:rsid w:val="434C5B20"/>
    <w:rsid w:val="439B0D3D"/>
    <w:rsid w:val="43F3462F"/>
    <w:rsid w:val="44D44FAE"/>
    <w:rsid w:val="45C868C6"/>
    <w:rsid w:val="45FC6909"/>
    <w:rsid w:val="46CA5589"/>
    <w:rsid w:val="47B77EF0"/>
    <w:rsid w:val="489E6B27"/>
    <w:rsid w:val="49641B2B"/>
    <w:rsid w:val="49B22DD7"/>
    <w:rsid w:val="49FE7751"/>
    <w:rsid w:val="4AB91165"/>
    <w:rsid w:val="4B664218"/>
    <w:rsid w:val="4C251A45"/>
    <w:rsid w:val="50465847"/>
    <w:rsid w:val="50CD6207"/>
    <w:rsid w:val="51553235"/>
    <w:rsid w:val="53E26015"/>
    <w:rsid w:val="55B24BB7"/>
    <w:rsid w:val="57676EDE"/>
    <w:rsid w:val="57752756"/>
    <w:rsid w:val="59A463F5"/>
    <w:rsid w:val="5DC741BE"/>
    <w:rsid w:val="5F73513A"/>
    <w:rsid w:val="6003562D"/>
    <w:rsid w:val="606854EF"/>
    <w:rsid w:val="618E4955"/>
    <w:rsid w:val="61EB2991"/>
    <w:rsid w:val="636C7B02"/>
    <w:rsid w:val="63AA5559"/>
    <w:rsid w:val="65573F52"/>
    <w:rsid w:val="67EA57D2"/>
    <w:rsid w:val="69313207"/>
    <w:rsid w:val="6A10026E"/>
    <w:rsid w:val="6A8E3BEB"/>
    <w:rsid w:val="6C674BE6"/>
    <w:rsid w:val="6DA542F8"/>
    <w:rsid w:val="6F2F7114"/>
    <w:rsid w:val="6F5A63F8"/>
    <w:rsid w:val="6FF60E7F"/>
    <w:rsid w:val="707B528D"/>
    <w:rsid w:val="70C62CF6"/>
    <w:rsid w:val="73541ACE"/>
    <w:rsid w:val="74051691"/>
    <w:rsid w:val="76B856B3"/>
    <w:rsid w:val="77CD6969"/>
    <w:rsid w:val="77F00ED7"/>
    <w:rsid w:val="784B36B5"/>
    <w:rsid w:val="78B2790D"/>
    <w:rsid w:val="7A1F19C3"/>
    <w:rsid w:val="7B96489B"/>
    <w:rsid w:val="7C917D7A"/>
    <w:rsid w:val="7DD26681"/>
    <w:rsid w:val="7EFF3D1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nhideWhenUsed="0" w:uiPriority="99" w:semiHidden="0" w:name="heading 4"/>
    <w:lsdException w:qFormat="1" w:unhideWhenUsed="0" w:uiPriority="99" w:semiHidden="0" w:name="heading 5"/>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name="toc 1" w:locked="1"/>
    <w:lsdException w:qFormat="1" w:uiPriority="0" w:name="toc 2" w:locked="1"/>
    <w:lsdException w:qFormat="1" w:uiPriority="0" w:name="toc 3" w:locked="1"/>
    <w:lsdException w:qFormat="1"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qFormat="1" w:unhideWhenUsed="0" w:uiPriority="99"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0"/>
    <w:qFormat/>
    <w:uiPriority w:val="99"/>
    <w:pPr>
      <w:keepNext/>
      <w:keepLines/>
      <w:spacing w:before="340" w:after="330" w:line="578" w:lineRule="auto"/>
      <w:outlineLvl w:val="0"/>
    </w:pPr>
    <w:rPr>
      <w:b/>
      <w:bCs/>
      <w:kern w:val="44"/>
      <w:sz w:val="44"/>
      <w:szCs w:val="44"/>
    </w:rPr>
  </w:style>
  <w:style w:type="paragraph" w:styleId="4">
    <w:name w:val="heading 4"/>
    <w:basedOn w:val="1"/>
    <w:next w:val="1"/>
    <w:link w:val="31"/>
    <w:qFormat/>
    <w:uiPriority w:val="99"/>
    <w:pPr>
      <w:keepNext/>
      <w:jc w:val="center"/>
      <w:outlineLvl w:val="3"/>
    </w:pPr>
    <w:rPr>
      <w:rFonts w:ascii="Cambria" w:hAnsi="Cambria" w:cs="Cambria"/>
      <w:b/>
      <w:bCs/>
      <w:kern w:val="0"/>
      <w:sz w:val="28"/>
      <w:szCs w:val="28"/>
    </w:rPr>
  </w:style>
  <w:style w:type="paragraph" w:styleId="5">
    <w:name w:val="heading 5"/>
    <w:basedOn w:val="1"/>
    <w:next w:val="1"/>
    <w:link w:val="32"/>
    <w:qFormat/>
    <w:uiPriority w:val="99"/>
    <w:pPr>
      <w:keepNext/>
      <w:ind w:left="459" w:hanging="459" w:hangingChars="254"/>
      <w:jc w:val="center"/>
      <w:outlineLvl w:val="4"/>
    </w:pPr>
    <w:rPr>
      <w:b/>
      <w:bCs/>
      <w:kern w:val="0"/>
      <w:sz w:val="28"/>
      <w:szCs w:val="28"/>
    </w:rPr>
  </w:style>
  <w:style w:type="character" w:default="1" w:styleId="25">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0"/>
    <w:qFormat/>
    <w:uiPriority w:val="99"/>
    <w:pPr>
      <w:spacing w:after="120"/>
    </w:pPr>
    <w:rPr>
      <w:sz w:val="24"/>
      <w:szCs w:val="24"/>
    </w:rPr>
  </w:style>
  <w:style w:type="paragraph" w:styleId="6">
    <w:name w:val="annotation text"/>
    <w:basedOn w:val="1"/>
    <w:link w:val="52"/>
    <w:semiHidden/>
    <w:qFormat/>
    <w:uiPriority w:val="99"/>
    <w:pPr>
      <w:jc w:val="left"/>
    </w:pPr>
    <w:rPr>
      <w:sz w:val="24"/>
      <w:szCs w:val="24"/>
    </w:rPr>
  </w:style>
  <w:style w:type="paragraph" w:styleId="7">
    <w:name w:val="Body Text Indent"/>
    <w:basedOn w:val="1"/>
    <w:link w:val="39"/>
    <w:qFormat/>
    <w:uiPriority w:val="99"/>
    <w:pPr>
      <w:autoSpaceDE w:val="0"/>
      <w:autoSpaceDN w:val="0"/>
      <w:adjustRightInd w:val="0"/>
      <w:spacing w:line="360" w:lineRule="auto"/>
      <w:ind w:firstLine="640" w:firstLineChars="200"/>
    </w:pPr>
    <w:rPr>
      <w:kern w:val="0"/>
    </w:rPr>
  </w:style>
  <w:style w:type="paragraph" w:styleId="8">
    <w:name w:val="toc 3"/>
    <w:basedOn w:val="1"/>
    <w:next w:val="1"/>
    <w:semiHidden/>
    <w:unhideWhenUsed/>
    <w:qFormat/>
    <w:locked/>
    <w:uiPriority w:val="0"/>
    <w:pPr>
      <w:ind w:left="840" w:leftChars="400"/>
    </w:pPr>
  </w:style>
  <w:style w:type="paragraph" w:styleId="9">
    <w:name w:val="Plain Text"/>
    <w:basedOn w:val="1"/>
    <w:link w:val="35"/>
    <w:qFormat/>
    <w:uiPriority w:val="99"/>
    <w:rPr>
      <w:rFonts w:ascii="宋体" w:hAnsi="Courier New" w:cs="宋体"/>
      <w:kern w:val="0"/>
    </w:rPr>
  </w:style>
  <w:style w:type="paragraph" w:styleId="10">
    <w:name w:val="Date"/>
    <w:basedOn w:val="1"/>
    <w:next w:val="1"/>
    <w:link w:val="44"/>
    <w:qFormat/>
    <w:uiPriority w:val="99"/>
    <w:pPr>
      <w:ind w:left="100" w:leftChars="2500"/>
    </w:pPr>
    <w:rPr>
      <w:kern w:val="0"/>
    </w:rPr>
  </w:style>
  <w:style w:type="paragraph" w:styleId="11">
    <w:name w:val="Body Text Indent 2"/>
    <w:basedOn w:val="1"/>
    <w:link w:val="40"/>
    <w:qFormat/>
    <w:uiPriority w:val="99"/>
    <w:pPr>
      <w:spacing w:after="120" w:line="480" w:lineRule="auto"/>
      <w:ind w:left="420" w:leftChars="200"/>
    </w:pPr>
    <w:rPr>
      <w:kern w:val="0"/>
    </w:rPr>
  </w:style>
  <w:style w:type="paragraph" w:styleId="12">
    <w:name w:val="Balloon Text"/>
    <w:basedOn w:val="1"/>
    <w:link w:val="54"/>
    <w:semiHidden/>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kern w:val="0"/>
      <w:sz w:val="18"/>
      <w:szCs w:val="18"/>
    </w:rPr>
  </w:style>
  <w:style w:type="paragraph" w:styleId="14">
    <w:name w:val="header"/>
    <w:basedOn w:val="1"/>
    <w:link w:val="33"/>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semiHidden/>
    <w:unhideWhenUsed/>
    <w:qFormat/>
    <w:locked/>
    <w:uiPriority w:val="0"/>
  </w:style>
  <w:style w:type="paragraph" w:styleId="16">
    <w:name w:val="toc 4"/>
    <w:basedOn w:val="1"/>
    <w:next w:val="1"/>
    <w:semiHidden/>
    <w:unhideWhenUsed/>
    <w:qFormat/>
    <w:locked/>
    <w:uiPriority w:val="0"/>
    <w:pPr>
      <w:ind w:left="1260" w:leftChars="600"/>
    </w:pPr>
  </w:style>
  <w:style w:type="paragraph" w:styleId="17">
    <w:name w:val="Subtitle"/>
    <w:basedOn w:val="1"/>
    <w:next w:val="1"/>
    <w:link w:val="51"/>
    <w:qFormat/>
    <w:uiPriority w:val="99"/>
    <w:pPr>
      <w:spacing w:before="120" w:after="120" w:line="360" w:lineRule="auto"/>
      <w:jc w:val="left"/>
      <w:outlineLvl w:val="1"/>
    </w:pPr>
    <w:rPr>
      <w:rFonts w:ascii="Cambria" w:hAnsi="Cambria" w:eastAsia="黑体" w:cs="Cambria"/>
      <w:b/>
      <w:bCs/>
      <w:kern w:val="28"/>
      <w:sz w:val="32"/>
      <w:szCs w:val="32"/>
    </w:rPr>
  </w:style>
  <w:style w:type="paragraph" w:styleId="18">
    <w:name w:val="toc 2"/>
    <w:basedOn w:val="1"/>
    <w:next w:val="1"/>
    <w:semiHidden/>
    <w:unhideWhenUsed/>
    <w:qFormat/>
    <w:locked/>
    <w:uiPriority w:val="0"/>
    <w:pPr>
      <w:ind w:left="420" w:leftChars="200"/>
    </w:pPr>
  </w:style>
  <w:style w:type="paragraph" w:styleId="19">
    <w:name w:val="HTML Preformatted"/>
    <w:basedOn w:val="1"/>
    <w:link w:val="4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paragraph" w:styleId="20">
    <w:name w:val="Normal (Web)"/>
    <w:basedOn w:val="1"/>
    <w:qFormat/>
    <w:uiPriority w:val="99"/>
    <w:pPr>
      <w:widowControl/>
      <w:spacing w:before="100" w:beforeAutospacing="1" w:after="100" w:afterAutospacing="1"/>
      <w:jc w:val="left"/>
    </w:pPr>
    <w:rPr>
      <w:rFonts w:ascii="Arial Unicode MS" w:hAnsi="Arial Unicode MS" w:cs="Arial Unicode MS"/>
      <w:kern w:val="0"/>
      <w:sz w:val="24"/>
      <w:szCs w:val="24"/>
    </w:rPr>
  </w:style>
  <w:style w:type="paragraph" w:styleId="21">
    <w:name w:val="annotation subject"/>
    <w:basedOn w:val="6"/>
    <w:next w:val="6"/>
    <w:link w:val="53"/>
    <w:semiHidden/>
    <w:qFormat/>
    <w:uiPriority w:val="99"/>
    <w:rPr>
      <w:b/>
      <w:bCs/>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4">
    <w:name w:val="Table Professional"/>
    <w:basedOn w:val="22"/>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b/>
        <w:bCs/>
        <w:color w:val="auto"/>
      </w:rPr>
      <w:tblPr/>
      <w:tcPr>
        <w:tcBorders>
          <w:tl2br w:val="nil"/>
          <w:tr2bl w:val="nil"/>
        </w:tcBorders>
        <w:shd w:val="solid" w:color="000000" w:fill="FFFFFF"/>
      </w:tcPr>
    </w:tblStylePr>
  </w:style>
  <w:style w:type="character" w:styleId="26">
    <w:name w:val="page number"/>
    <w:basedOn w:val="25"/>
    <w:qFormat/>
    <w:uiPriority w:val="99"/>
  </w:style>
  <w:style w:type="character" w:styleId="27">
    <w:name w:val="Emphasis"/>
    <w:qFormat/>
    <w:uiPriority w:val="99"/>
    <w:rPr>
      <w:i/>
      <w:iCs/>
    </w:rPr>
  </w:style>
  <w:style w:type="character" w:styleId="28">
    <w:name w:val="Hyperlink"/>
    <w:qFormat/>
    <w:uiPriority w:val="99"/>
    <w:rPr>
      <w:color w:val="0000FF"/>
      <w:u w:val="single"/>
    </w:rPr>
  </w:style>
  <w:style w:type="character" w:styleId="29">
    <w:name w:val="annotation reference"/>
    <w:semiHidden/>
    <w:qFormat/>
    <w:uiPriority w:val="99"/>
    <w:rPr>
      <w:sz w:val="21"/>
      <w:szCs w:val="21"/>
    </w:rPr>
  </w:style>
  <w:style w:type="character" w:customStyle="1" w:styleId="30">
    <w:name w:val="标题 1 字符"/>
    <w:link w:val="3"/>
    <w:qFormat/>
    <w:locked/>
    <w:uiPriority w:val="99"/>
    <w:rPr>
      <w:b/>
      <w:bCs/>
      <w:kern w:val="44"/>
      <w:sz w:val="44"/>
      <w:szCs w:val="44"/>
    </w:rPr>
  </w:style>
  <w:style w:type="character" w:customStyle="1" w:styleId="31">
    <w:name w:val="标题 4 字符"/>
    <w:link w:val="4"/>
    <w:semiHidden/>
    <w:qFormat/>
    <w:locked/>
    <w:uiPriority w:val="99"/>
    <w:rPr>
      <w:rFonts w:ascii="Cambria" w:hAnsi="Cambria" w:eastAsia="宋体" w:cs="Cambria"/>
      <w:b/>
      <w:bCs/>
      <w:sz w:val="28"/>
      <w:szCs w:val="28"/>
    </w:rPr>
  </w:style>
  <w:style w:type="character" w:customStyle="1" w:styleId="32">
    <w:name w:val="标题 5 字符"/>
    <w:link w:val="5"/>
    <w:semiHidden/>
    <w:qFormat/>
    <w:locked/>
    <w:uiPriority w:val="99"/>
    <w:rPr>
      <w:b/>
      <w:bCs/>
      <w:sz w:val="28"/>
      <w:szCs w:val="28"/>
    </w:rPr>
  </w:style>
  <w:style w:type="character" w:customStyle="1" w:styleId="33">
    <w:name w:val="页眉 字符"/>
    <w:link w:val="14"/>
    <w:semiHidden/>
    <w:qFormat/>
    <w:locked/>
    <w:uiPriority w:val="99"/>
    <w:rPr>
      <w:sz w:val="18"/>
      <w:szCs w:val="18"/>
    </w:rPr>
  </w:style>
  <w:style w:type="character" w:customStyle="1" w:styleId="34">
    <w:name w:val="页脚 字符"/>
    <w:link w:val="13"/>
    <w:semiHidden/>
    <w:qFormat/>
    <w:locked/>
    <w:uiPriority w:val="99"/>
    <w:rPr>
      <w:sz w:val="18"/>
      <w:szCs w:val="18"/>
    </w:rPr>
  </w:style>
  <w:style w:type="character" w:customStyle="1" w:styleId="35">
    <w:name w:val="纯文本 字符"/>
    <w:link w:val="9"/>
    <w:semiHidden/>
    <w:qFormat/>
    <w:locked/>
    <w:uiPriority w:val="99"/>
    <w:rPr>
      <w:rFonts w:ascii="宋体" w:hAnsi="Courier New" w:cs="宋体"/>
      <w:sz w:val="21"/>
      <w:szCs w:val="21"/>
    </w:rPr>
  </w:style>
  <w:style w:type="paragraph" w:customStyle="1" w:styleId="36">
    <w:name w:val="段"/>
    <w:link w:val="63"/>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37">
    <w:name w:val="xl36"/>
    <w:basedOn w:val="1"/>
    <w:qFormat/>
    <w:uiPriority w:val="99"/>
    <w:pPr>
      <w:widowControl/>
      <w:spacing w:before="100" w:beforeAutospacing="1" w:after="100" w:afterAutospacing="1"/>
      <w:jc w:val="center"/>
      <w:textAlignment w:val="top"/>
    </w:pPr>
    <w:rPr>
      <w:kern w:val="0"/>
    </w:rPr>
  </w:style>
  <w:style w:type="paragraph" w:customStyle="1" w:styleId="38">
    <w:name w:val="xl37"/>
    <w:basedOn w:val="1"/>
    <w:qFormat/>
    <w:uiPriority w:val="99"/>
    <w:pPr>
      <w:widowControl/>
      <w:spacing w:before="100" w:beforeAutospacing="1" w:after="100" w:afterAutospacing="1"/>
      <w:textAlignment w:val="top"/>
    </w:pPr>
    <w:rPr>
      <w:kern w:val="0"/>
    </w:rPr>
  </w:style>
  <w:style w:type="character" w:customStyle="1" w:styleId="39">
    <w:name w:val="正文文本缩进 字符"/>
    <w:link w:val="7"/>
    <w:semiHidden/>
    <w:qFormat/>
    <w:locked/>
    <w:uiPriority w:val="99"/>
    <w:rPr>
      <w:sz w:val="21"/>
      <w:szCs w:val="21"/>
    </w:rPr>
  </w:style>
  <w:style w:type="character" w:customStyle="1" w:styleId="40">
    <w:name w:val="正文文本缩进 2 字符"/>
    <w:link w:val="11"/>
    <w:semiHidden/>
    <w:qFormat/>
    <w:locked/>
    <w:uiPriority w:val="99"/>
    <w:rPr>
      <w:sz w:val="21"/>
      <w:szCs w:val="21"/>
    </w:rPr>
  </w:style>
  <w:style w:type="character" w:customStyle="1" w:styleId="41">
    <w:name w:val="e1 style1 style2 style3 style3 style4 style4"/>
    <w:basedOn w:val="25"/>
    <w:qFormat/>
    <w:uiPriority w:val="99"/>
  </w:style>
  <w:style w:type="character" w:customStyle="1" w:styleId="42">
    <w:name w:val="style81"/>
    <w:qFormat/>
    <w:uiPriority w:val="99"/>
    <w:rPr>
      <w:color w:val="auto"/>
    </w:rPr>
  </w:style>
  <w:style w:type="paragraph" w:customStyle="1" w:styleId="43">
    <w:name w:val="Char Char Char Char"/>
    <w:basedOn w:val="1"/>
    <w:qFormat/>
    <w:uiPriority w:val="99"/>
    <w:pPr>
      <w:widowControl/>
      <w:spacing w:after="160" w:line="240" w:lineRule="exact"/>
      <w:jc w:val="left"/>
    </w:pPr>
  </w:style>
  <w:style w:type="character" w:customStyle="1" w:styleId="44">
    <w:name w:val="日期 字符"/>
    <w:link w:val="10"/>
    <w:semiHidden/>
    <w:qFormat/>
    <w:locked/>
    <w:uiPriority w:val="99"/>
    <w:rPr>
      <w:sz w:val="21"/>
      <w:szCs w:val="21"/>
    </w:rPr>
  </w:style>
  <w:style w:type="character" w:customStyle="1" w:styleId="45">
    <w:name w:val="HTML 预设格式 字符"/>
    <w:link w:val="19"/>
    <w:semiHidden/>
    <w:qFormat/>
    <w:locked/>
    <w:uiPriority w:val="99"/>
    <w:rPr>
      <w:rFonts w:ascii="Courier New" w:hAnsi="Courier New" w:cs="Courier New"/>
      <w:sz w:val="20"/>
      <w:szCs w:val="20"/>
    </w:rPr>
  </w:style>
  <w:style w:type="paragraph" w:customStyle="1" w:styleId="46">
    <w:name w:val="p0"/>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47">
    <w:name w:val="apple-converted-space"/>
    <w:basedOn w:val="25"/>
    <w:qFormat/>
    <w:uiPriority w:val="99"/>
  </w:style>
  <w:style w:type="character" w:customStyle="1" w:styleId="48">
    <w:name w:val="news1"/>
    <w:qFormat/>
    <w:uiPriority w:val="99"/>
    <w:rPr>
      <w:color w:val="000000"/>
      <w:sz w:val="21"/>
      <w:szCs w:val="21"/>
      <w:u w:val="none"/>
    </w:rPr>
  </w:style>
  <w:style w:type="character" w:customStyle="1" w:styleId="49">
    <w:name w:val="warp"/>
    <w:basedOn w:val="25"/>
    <w:qFormat/>
    <w:uiPriority w:val="99"/>
  </w:style>
  <w:style w:type="character" w:customStyle="1" w:styleId="50">
    <w:name w:val="正文文本 字符"/>
    <w:link w:val="2"/>
    <w:qFormat/>
    <w:locked/>
    <w:uiPriority w:val="99"/>
    <w:rPr>
      <w:kern w:val="2"/>
      <w:sz w:val="24"/>
      <w:szCs w:val="24"/>
    </w:rPr>
  </w:style>
  <w:style w:type="character" w:customStyle="1" w:styleId="51">
    <w:name w:val="副标题 字符"/>
    <w:link w:val="17"/>
    <w:qFormat/>
    <w:locked/>
    <w:uiPriority w:val="99"/>
    <w:rPr>
      <w:rFonts w:ascii="Cambria" w:hAnsi="Cambria" w:eastAsia="黑体" w:cs="Cambria"/>
      <w:b/>
      <w:bCs/>
      <w:kern w:val="28"/>
      <w:sz w:val="32"/>
      <w:szCs w:val="32"/>
    </w:rPr>
  </w:style>
  <w:style w:type="character" w:customStyle="1" w:styleId="52">
    <w:name w:val="批注文字 字符"/>
    <w:link w:val="6"/>
    <w:qFormat/>
    <w:locked/>
    <w:uiPriority w:val="99"/>
    <w:rPr>
      <w:kern w:val="2"/>
      <w:sz w:val="24"/>
      <w:szCs w:val="24"/>
    </w:rPr>
  </w:style>
  <w:style w:type="character" w:customStyle="1" w:styleId="53">
    <w:name w:val="批注主题 字符"/>
    <w:link w:val="21"/>
    <w:qFormat/>
    <w:locked/>
    <w:uiPriority w:val="99"/>
    <w:rPr>
      <w:b/>
      <w:bCs/>
      <w:kern w:val="2"/>
      <w:sz w:val="24"/>
      <w:szCs w:val="24"/>
    </w:rPr>
  </w:style>
  <w:style w:type="character" w:customStyle="1" w:styleId="54">
    <w:name w:val="批注框文本 字符"/>
    <w:link w:val="12"/>
    <w:qFormat/>
    <w:locked/>
    <w:uiPriority w:val="99"/>
    <w:rPr>
      <w:kern w:val="2"/>
      <w:sz w:val="18"/>
      <w:szCs w:val="18"/>
    </w:rPr>
  </w:style>
  <w:style w:type="paragraph" w:styleId="55">
    <w:name w:val="List Paragraph"/>
    <w:basedOn w:val="1"/>
    <w:unhideWhenUsed/>
    <w:qFormat/>
    <w:uiPriority w:val="99"/>
    <w:pPr>
      <w:ind w:firstLine="420" w:firstLineChars="200"/>
    </w:pPr>
  </w:style>
  <w:style w:type="paragraph" w:customStyle="1" w:styleId="56">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7">
    <w:name w:val="章标题"/>
    <w:next w:val="36"/>
    <w:qFormat/>
    <w:uiPriority w:val="0"/>
    <w:pPr>
      <w:numPr>
        <w:ilvl w:val="1"/>
        <w:numId w:val="1"/>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58">
    <w:name w:val="一级条标题"/>
    <w:basedOn w:val="57"/>
    <w:next w:val="36"/>
    <w:qFormat/>
    <w:uiPriority w:val="0"/>
    <w:pPr>
      <w:numPr>
        <w:ilvl w:val="2"/>
      </w:numPr>
      <w:spacing w:before="0" w:beforeLines="0" w:after="0" w:afterLines="0"/>
      <w:outlineLvl w:val="2"/>
    </w:pPr>
  </w:style>
  <w:style w:type="paragraph" w:customStyle="1" w:styleId="59">
    <w:name w:val="二级条标题"/>
    <w:basedOn w:val="58"/>
    <w:next w:val="36"/>
    <w:qFormat/>
    <w:uiPriority w:val="0"/>
    <w:pPr>
      <w:numPr>
        <w:ilvl w:val="3"/>
      </w:numPr>
      <w:outlineLvl w:val="3"/>
    </w:pPr>
  </w:style>
  <w:style w:type="paragraph" w:customStyle="1" w:styleId="60">
    <w:name w:val="三级条标题"/>
    <w:basedOn w:val="59"/>
    <w:next w:val="36"/>
    <w:qFormat/>
    <w:uiPriority w:val="0"/>
    <w:pPr>
      <w:numPr>
        <w:ilvl w:val="4"/>
      </w:numPr>
      <w:outlineLvl w:val="4"/>
    </w:pPr>
  </w:style>
  <w:style w:type="paragraph" w:customStyle="1" w:styleId="61">
    <w:name w:val="四级条标题"/>
    <w:basedOn w:val="60"/>
    <w:next w:val="36"/>
    <w:qFormat/>
    <w:uiPriority w:val="0"/>
    <w:pPr>
      <w:numPr>
        <w:ilvl w:val="5"/>
      </w:numPr>
      <w:outlineLvl w:val="5"/>
    </w:pPr>
  </w:style>
  <w:style w:type="paragraph" w:customStyle="1" w:styleId="62">
    <w:name w:val="五级条标题"/>
    <w:basedOn w:val="61"/>
    <w:next w:val="36"/>
    <w:qFormat/>
    <w:uiPriority w:val="0"/>
    <w:pPr>
      <w:numPr>
        <w:ilvl w:val="6"/>
      </w:numPr>
      <w:outlineLvl w:val="6"/>
    </w:pPr>
  </w:style>
  <w:style w:type="character" w:customStyle="1" w:styleId="63">
    <w:name w:val="段 Char"/>
    <w:link w:val="36"/>
    <w:qFormat/>
    <w:uiPriority w:val="0"/>
    <w:rPr>
      <w:rFonts w:ascii="宋体" w:cs="宋体"/>
      <w:sz w:val="21"/>
      <w:szCs w:val="21"/>
    </w:rPr>
  </w:style>
  <w:style w:type="paragraph" w:customStyle="1" w:styleId="64">
    <w:name w:val="marklang-paragraph"/>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5">
    <w:name w:val="修订1"/>
    <w:hidden/>
    <w:unhideWhenUsed/>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BB44C-3109-40D6-9FDA-282492629E02}">
  <ds:schemaRefs/>
</ds:datastoreItem>
</file>

<file path=docProps/app.xml><?xml version="1.0" encoding="utf-8"?>
<Properties xmlns="http://schemas.openxmlformats.org/officeDocument/2006/extended-properties" xmlns:vt="http://schemas.openxmlformats.org/officeDocument/2006/docPropsVTypes">
  <Template>Normal</Template>
  <Company>采购部</Company>
  <Pages>23</Pages>
  <Words>10131</Words>
  <Characters>10972</Characters>
  <Lines>917</Lines>
  <Paragraphs>778</Paragraphs>
  <TotalTime>11</TotalTime>
  <ScaleCrop>false</ScaleCrop>
  <LinksUpToDate>false</LinksUpToDate>
  <CharactersWithSpaces>11079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2026-04-21T03:40:00Z</dcterms:created>
  <dc:creator>惠志恭</dc:creator>
  <cp:lastModifiedBy>古韵</cp:lastModifiedBy>
  <cp:lastPrinted>2022-03-23T09:29:00Z</cp:lastPrinted>
  <dcterms:modified xsi:type="dcterms:W3CDTF">2026-08-06T06:31:41Z</dcterms:modified>
  <dc:title>球形氢氧化镍国家标准修订说明</dc:title>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EC775A8457C64BADAC37B2EF0750C4CD_13</vt:lpwstr>
  </property>
  <property fmtid="{D5CDD505-2E9C-101B-9397-08002B2CF9AE}" pid="4" name="KSOTemplateDocerSaveRecord">
    <vt:lpwstr>eyJoZGlkIjoiMzEwNTM5NzYwMDRjMzkwZTVkZjY2ODkwMGIxNGU0OTUiLCJ1c2VySWQiOiIzMTExMDAyMzgifQ==</vt:lpwstr>
  </property>
</Properties>
</file>