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085A9F">
      <w:pPr>
        <w:spacing w:line="360" w:lineRule="auto"/>
        <w:jc w:val="center"/>
        <w:rPr>
          <w:rFonts w:ascii="宋体" w:hAnsi="宋体"/>
          <w:b/>
          <w:color w:val="auto"/>
          <w:sz w:val="24"/>
        </w:rPr>
      </w:pPr>
    </w:p>
    <w:p w14:paraId="6C89636B">
      <w:pPr>
        <w:spacing w:line="360" w:lineRule="auto"/>
        <w:jc w:val="center"/>
        <w:rPr>
          <w:rFonts w:ascii="宋体" w:hAnsi="宋体"/>
          <w:b/>
          <w:color w:val="auto"/>
          <w:sz w:val="24"/>
        </w:rPr>
      </w:pPr>
    </w:p>
    <w:p w14:paraId="6DB80205">
      <w:pPr>
        <w:spacing w:line="360" w:lineRule="auto"/>
        <w:jc w:val="center"/>
        <w:rPr>
          <w:rFonts w:ascii="宋体" w:hAnsi="宋体"/>
          <w:b/>
          <w:color w:val="auto"/>
          <w:sz w:val="24"/>
        </w:rPr>
      </w:pPr>
    </w:p>
    <w:p w14:paraId="47326749">
      <w:pPr>
        <w:spacing w:line="360" w:lineRule="auto"/>
        <w:jc w:val="center"/>
        <w:rPr>
          <w:rFonts w:ascii="宋体" w:hAnsi="宋体"/>
          <w:b/>
          <w:color w:val="auto"/>
          <w:sz w:val="44"/>
          <w:szCs w:val="44"/>
        </w:rPr>
      </w:pPr>
      <w:r>
        <w:rPr>
          <w:rFonts w:hint="eastAsia" w:ascii="宋体" w:hAnsi="宋体"/>
          <w:b/>
          <w:color w:val="auto"/>
          <w:sz w:val="44"/>
          <w:szCs w:val="44"/>
        </w:rPr>
        <w:t>国家标准《粉末冶金术语》</w:t>
      </w:r>
    </w:p>
    <w:p w14:paraId="73B143E4">
      <w:pPr>
        <w:spacing w:line="360" w:lineRule="auto"/>
        <w:jc w:val="center"/>
        <w:rPr>
          <w:rFonts w:ascii="宋体" w:hAnsi="宋体"/>
          <w:b/>
          <w:color w:val="auto"/>
          <w:sz w:val="44"/>
          <w:szCs w:val="44"/>
        </w:rPr>
      </w:pPr>
      <w:r>
        <w:rPr>
          <w:rFonts w:hint="eastAsia" w:ascii="宋体" w:hAnsi="宋体"/>
          <w:b/>
          <w:color w:val="auto"/>
          <w:sz w:val="44"/>
          <w:szCs w:val="44"/>
        </w:rPr>
        <w:t>编制说明</w:t>
      </w:r>
    </w:p>
    <w:p w14:paraId="72868300">
      <w:pPr>
        <w:spacing w:line="360" w:lineRule="auto"/>
        <w:jc w:val="center"/>
        <w:rPr>
          <w:rFonts w:ascii="宋体" w:hAnsi="宋体"/>
          <w:b/>
          <w:color w:val="auto"/>
          <w:sz w:val="44"/>
          <w:szCs w:val="44"/>
        </w:rPr>
      </w:pPr>
    </w:p>
    <w:p w14:paraId="2D5C9CE6">
      <w:pPr>
        <w:spacing w:line="360" w:lineRule="auto"/>
        <w:jc w:val="center"/>
        <w:rPr>
          <w:rFonts w:ascii="宋体" w:hAnsi="宋体"/>
          <w:b/>
          <w:color w:val="auto"/>
          <w:sz w:val="44"/>
          <w:szCs w:val="44"/>
        </w:rPr>
      </w:pPr>
    </w:p>
    <w:p w14:paraId="54FBEDCF">
      <w:pPr>
        <w:spacing w:line="360" w:lineRule="auto"/>
        <w:jc w:val="center"/>
        <w:rPr>
          <w:rFonts w:ascii="宋体" w:hAnsi="宋体"/>
          <w:b/>
          <w:color w:val="auto"/>
          <w:sz w:val="44"/>
          <w:szCs w:val="44"/>
        </w:rPr>
      </w:pPr>
      <w:r>
        <w:rPr>
          <w:rFonts w:hint="eastAsia" w:ascii="宋体" w:hAnsi="宋体"/>
          <w:b/>
          <w:color w:val="auto"/>
          <w:sz w:val="44"/>
          <w:szCs w:val="44"/>
        </w:rPr>
        <w:t>（</w:t>
      </w:r>
      <w:r>
        <w:rPr>
          <w:rFonts w:hint="eastAsia" w:ascii="宋体" w:hAnsi="宋体"/>
          <w:b/>
          <w:color w:val="auto"/>
          <w:sz w:val="44"/>
          <w:szCs w:val="44"/>
          <w:lang w:val="en-US" w:eastAsia="zh-CN"/>
        </w:rPr>
        <w:t>送审</w:t>
      </w:r>
      <w:r>
        <w:rPr>
          <w:rFonts w:hint="eastAsia" w:ascii="宋体" w:hAnsi="宋体"/>
          <w:b/>
          <w:color w:val="auto"/>
          <w:sz w:val="44"/>
          <w:szCs w:val="44"/>
        </w:rPr>
        <w:t>稿）</w:t>
      </w:r>
      <w:bookmarkStart w:id="54" w:name="_GoBack"/>
      <w:bookmarkEnd w:id="54"/>
    </w:p>
    <w:p w14:paraId="5FDEF843">
      <w:pPr>
        <w:spacing w:line="360" w:lineRule="auto"/>
        <w:jc w:val="center"/>
        <w:rPr>
          <w:rFonts w:ascii="宋体" w:hAnsi="宋体"/>
          <w:b/>
          <w:color w:val="auto"/>
          <w:sz w:val="24"/>
        </w:rPr>
      </w:pPr>
    </w:p>
    <w:p w14:paraId="07E708EC">
      <w:pPr>
        <w:spacing w:line="360" w:lineRule="auto"/>
        <w:jc w:val="center"/>
        <w:rPr>
          <w:rFonts w:ascii="宋体" w:hAnsi="宋体"/>
          <w:b/>
          <w:color w:val="auto"/>
          <w:sz w:val="24"/>
        </w:rPr>
      </w:pPr>
    </w:p>
    <w:p w14:paraId="454DEC66">
      <w:pPr>
        <w:spacing w:line="360" w:lineRule="auto"/>
        <w:jc w:val="center"/>
        <w:rPr>
          <w:rFonts w:ascii="宋体" w:hAnsi="宋体"/>
          <w:b/>
          <w:color w:val="auto"/>
          <w:sz w:val="24"/>
        </w:rPr>
      </w:pPr>
    </w:p>
    <w:p w14:paraId="5972D467">
      <w:pPr>
        <w:spacing w:line="360" w:lineRule="auto"/>
        <w:jc w:val="center"/>
        <w:rPr>
          <w:rFonts w:ascii="宋体" w:hAnsi="宋体"/>
          <w:b/>
          <w:color w:val="auto"/>
          <w:sz w:val="24"/>
        </w:rPr>
      </w:pPr>
    </w:p>
    <w:p w14:paraId="254B5AF9">
      <w:pPr>
        <w:spacing w:line="360" w:lineRule="auto"/>
        <w:jc w:val="center"/>
        <w:rPr>
          <w:rFonts w:ascii="宋体" w:hAnsi="宋体"/>
          <w:b/>
          <w:color w:val="auto"/>
          <w:sz w:val="24"/>
        </w:rPr>
      </w:pPr>
    </w:p>
    <w:p w14:paraId="56EDB6FB">
      <w:pPr>
        <w:spacing w:line="360" w:lineRule="auto"/>
        <w:jc w:val="center"/>
        <w:rPr>
          <w:rFonts w:ascii="宋体" w:hAnsi="宋体"/>
          <w:b/>
          <w:color w:val="auto"/>
          <w:sz w:val="24"/>
        </w:rPr>
      </w:pPr>
    </w:p>
    <w:p w14:paraId="7891A1AF">
      <w:pPr>
        <w:spacing w:line="360" w:lineRule="auto"/>
        <w:jc w:val="center"/>
        <w:rPr>
          <w:rFonts w:ascii="宋体" w:hAnsi="宋体"/>
          <w:b/>
          <w:color w:val="auto"/>
          <w:sz w:val="24"/>
        </w:rPr>
      </w:pPr>
    </w:p>
    <w:p w14:paraId="05F4A300">
      <w:pPr>
        <w:spacing w:line="360" w:lineRule="auto"/>
        <w:jc w:val="center"/>
        <w:rPr>
          <w:rFonts w:ascii="宋体" w:hAnsi="宋体"/>
          <w:b/>
          <w:color w:val="auto"/>
          <w:sz w:val="24"/>
        </w:rPr>
      </w:pPr>
    </w:p>
    <w:p w14:paraId="151DE42F">
      <w:pPr>
        <w:spacing w:line="360" w:lineRule="auto"/>
        <w:jc w:val="center"/>
        <w:rPr>
          <w:rFonts w:ascii="宋体" w:hAnsi="宋体"/>
          <w:b/>
          <w:color w:val="auto"/>
          <w:sz w:val="24"/>
        </w:rPr>
      </w:pPr>
    </w:p>
    <w:p w14:paraId="36C7A6DB">
      <w:pPr>
        <w:spacing w:line="360" w:lineRule="auto"/>
        <w:jc w:val="center"/>
        <w:rPr>
          <w:rFonts w:ascii="宋体" w:hAnsi="宋体"/>
          <w:b/>
          <w:color w:val="auto"/>
          <w:sz w:val="24"/>
        </w:rPr>
      </w:pPr>
    </w:p>
    <w:p w14:paraId="0250FFB0">
      <w:pPr>
        <w:spacing w:line="360" w:lineRule="auto"/>
        <w:jc w:val="center"/>
        <w:rPr>
          <w:rFonts w:ascii="宋体" w:hAnsi="宋体"/>
          <w:b/>
          <w:bCs/>
          <w:color w:val="auto"/>
          <w:sz w:val="24"/>
        </w:rPr>
      </w:pPr>
      <w:r>
        <w:rPr>
          <w:rFonts w:hint="eastAsia" w:ascii="宋体" w:hAnsi="宋体"/>
          <w:b/>
          <w:bCs/>
          <w:color w:val="auto"/>
          <w:sz w:val="24"/>
        </w:rPr>
        <w:t>编制单位：中南大学</w:t>
      </w:r>
      <w:r>
        <w:rPr>
          <w:rFonts w:ascii="宋体" w:hAnsi="宋体"/>
          <w:b/>
          <w:bCs/>
          <w:color w:val="auto"/>
          <w:sz w:val="24"/>
        </w:rPr>
        <w:t xml:space="preserve"> </w:t>
      </w:r>
    </w:p>
    <w:p w14:paraId="2458F9D9">
      <w:pPr>
        <w:spacing w:line="360" w:lineRule="auto"/>
        <w:jc w:val="center"/>
        <w:rPr>
          <w:rFonts w:ascii="宋体" w:hAnsi="宋体"/>
          <w:b/>
          <w:color w:val="auto"/>
          <w:sz w:val="24"/>
        </w:rPr>
      </w:pPr>
      <w:r>
        <w:rPr>
          <w:rFonts w:hint="eastAsia" w:ascii="宋体" w:hAnsi="宋体"/>
          <w:b/>
          <w:bCs/>
          <w:color w:val="auto"/>
          <w:sz w:val="24"/>
        </w:rPr>
        <w:t xml:space="preserve"> </w:t>
      </w:r>
      <w:r>
        <w:rPr>
          <w:rFonts w:ascii="宋体" w:hAnsi="宋体"/>
          <w:b/>
          <w:bCs/>
          <w:color w:val="auto"/>
          <w:sz w:val="24"/>
        </w:rPr>
        <w:t xml:space="preserve"> </w:t>
      </w:r>
      <w:r>
        <w:rPr>
          <w:rFonts w:hint="eastAsia" w:ascii="宋体" w:hAnsi="宋体"/>
          <w:b/>
          <w:bCs/>
          <w:color w:val="auto"/>
          <w:sz w:val="24"/>
        </w:rPr>
        <w:t>编制时间：</w:t>
      </w:r>
      <w:r>
        <w:rPr>
          <w:rFonts w:hint="eastAsia" w:ascii="宋体" w:hAnsi="宋体"/>
          <w:color w:val="auto"/>
          <w:sz w:val="24"/>
        </w:rPr>
        <w:t xml:space="preserve">2026 </w:t>
      </w:r>
      <w:r>
        <w:rPr>
          <w:rFonts w:hint="eastAsia" w:ascii="宋体" w:hAnsi="宋体"/>
          <w:b/>
          <w:bCs/>
          <w:color w:val="auto"/>
          <w:sz w:val="24"/>
        </w:rPr>
        <w:t>年</w:t>
      </w:r>
      <w:r>
        <w:rPr>
          <w:rFonts w:ascii="宋体" w:hAnsi="宋体"/>
          <w:b/>
          <w:bCs/>
          <w:color w:val="auto"/>
          <w:sz w:val="24"/>
        </w:rPr>
        <w:t xml:space="preserve"> </w:t>
      </w:r>
      <w:r>
        <w:rPr>
          <w:rFonts w:hint="eastAsia" w:ascii="宋体" w:hAnsi="宋体"/>
          <w:color w:val="auto"/>
          <w:sz w:val="24"/>
          <w:lang w:val="en-US" w:eastAsia="zh-CN"/>
        </w:rPr>
        <w:t>7</w:t>
      </w:r>
      <w:r>
        <w:rPr>
          <w:rFonts w:hint="eastAsia" w:ascii="宋体" w:hAnsi="宋体"/>
          <w:b/>
          <w:bCs/>
          <w:color w:val="auto"/>
          <w:sz w:val="24"/>
        </w:rPr>
        <w:t>月</w:t>
      </w:r>
      <w:r>
        <w:rPr>
          <w:rFonts w:hint="eastAsia" w:ascii="宋体" w:hAnsi="宋体"/>
          <w:color w:val="auto"/>
          <w:sz w:val="24"/>
        </w:rPr>
        <w:t> </w:t>
      </w:r>
    </w:p>
    <w:p w14:paraId="0475CEF4">
      <w:pPr>
        <w:spacing w:line="360" w:lineRule="auto"/>
        <w:jc w:val="center"/>
        <w:rPr>
          <w:rFonts w:ascii="宋体" w:hAnsi="宋体"/>
          <w:b/>
          <w:color w:val="auto"/>
          <w:sz w:val="24"/>
        </w:rPr>
      </w:pPr>
    </w:p>
    <w:p w14:paraId="3691274E">
      <w:pPr>
        <w:spacing w:line="360" w:lineRule="auto"/>
        <w:jc w:val="center"/>
        <w:rPr>
          <w:rFonts w:ascii="宋体" w:hAnsi="宋体"/>
          <w:b/>
          <w:color w:val="auto"/>
          <w:sz w:val="24"/>
        </w:rPr>
      </w:pPr>
    </w:p>
    <w:p w14:paraId="799DABCE">
      <w:pPr>
        <w:spacing w:line="360" w:lineRule="auto"/>
        <w:jc w:val="center"/>
        <w:rPr>
          <w:rFonts w:ascii="宋体" w:hAnsi="宋体"/>
          <w:b/>
          <w:color w:val="auto"/>
          <w:sz w:val="24"/>
        </w:rPr>
      </w:pPr>
    </w:p>
    <w:p w14:paraId="30D50130">
      <w:pPr>
        <w:spacing w:line="360" w:lineRule="auto"/>
        <w:jc w:val="center"/>
        <w:rPr>
          <w:rFonts w:ascii="宋体" w:hAnsi="宋体"/>
          <w:b/>
          <w:color w:val="auto"/>
          <w:sz w:val="24"/>
        </w:rPr>
      </w:pPr>
    </w:p>
    <w:p w14:paraId="769B51F2">
      <w:pPr>
        <w:spacing w:line="360" w:lineRule="auto"/>
        <w:jc w:val="center"/>
        <w:rPr>
          <w:rFonts w:ascii="宋体" w:hAnsi="宋体"/>
          <w:b/>
          <w:color w:val="auto"/>
          <w:sz w:val="24"/>
        </w:rPr>
      </w:pPr>
    </w:p>
    <w:p w14:paraId="3FA3A401">
      <w:pPr>
        <w:spacing w:line="360" w:lineRule="auto"/>
        <w:jc w:val="center"/>
        <w:rPr>
          <w:rFonts w:ascii="宋体" w:hAnsi="宋体"/>
          <w:b/>
          <w:color w:val="auto"/>
          <w:sz w:val="24"/>
        </w:rPr>
      </w:pPr>
    </w:p>
    <w:p w14:paraId="052A5DC0">
      <w:pPr>
        <w:spacing w:line="360" w:lineRule="auto"/>
        <w:rPr>
          <w:rFonts w:ascii="宋体" w:hAnsi="宋体"/>
          <w:color w:val="auto"/>
          <w:sz w:val="24"/>
        </w:rPr>
      </w:pPr>
    </w:p>
    <w:p w14:paraId="5972D7F5">
      <w:pPr>
        <w:spacing w:line="360" w:lineRule="auto"/>
        <w:rPr>
          <w:rFonts w:ascii="宋体" w:hAnsi="宋体"/>
          <w:color w:val="auto"/>
          <w:sz w:val="24"/>
        </w:rPr>
      </w:pPr>
    </w:p>
    <w:p w14:paraId="005D6091">
      <w:pPr>
        <w:spacing w:line="360" w:lineRule="auto"/>
        <w:rPr>
          <w:rFonts w:ascii="宋体" w:hAnsi="宋体"/>
          <w:b/>
          <w:color w:val="auto"/>
          <w:sz w:val="24"/>
        </w:rPr>
      </w:pPr>
      <w:r>
        <w:rPr>
          <w:rFonts w:hint="eastAsia" w:ascii="宋体" w:hAnsi="宋体"/>
          <w:b/>
          <w:color w:val="auto"/>
          <w:sz w:val="24"/>
        </w:rPr>
        <w:t>一、工作简况</w:t>
      </w:r>
    </w:p>
    <w:p w14:paraId="194E4DB4">
      <w:pPr>
        <w:spacing w:line="360" w:lineRule="auto"/>
        <w:rPr>
          <w:rFonts w:ascii="宋体" w:hAnsi="宋体"/>
          <w:b/>
          <w:color w:val="auto"/>
          <w:sz w:val="24"/>
        </w:rPr>
      </w:pPr>
      <w:r>
        <w:rPr>
          <w:rFonts w:ascii="宋体" w:hAnsi="宋体"/>
          <w:b/>
          <w:bCs/>
          <w:color w:val="auto"/>
          <w:sz w:val="24"/>
        </w:rPr>
        <w:t xml:space="preserve">1.1 </w:t>
      </w:r>
      <w:r>
        <w:rPr>
          <w:rFonts w:hint="eastAsia" w:ascii="宋体" w:hAnsi="宋体"/>
          <w:b/>
          <w:color w:val="auto"/>
          <w:sz w:val="24"/>
        </w:rPr>
        <w:t>任务来源</w:t>
      </w:r>
    </w:p>
    <w:p w14:paraId="207B75BA">
      <w:pPr>
        <w:spacing w:line="360" w:lineRule="auto"/>
        <w:ind w:firstLine="480" w:firstLineChars="200"/>
        <w:rPr>
          <w:rFonts w:ascii="宋体" w:hAnsi="宋体"/>
          <w:color w:val="auto"/>
          <w:sz w:val="24"/>
        </w:rPr>
      </w:pPr>
      <w:r>
        <w:rPr>
          <w:rFonts w:hint="eastAsia" w:ascii="宋体" w:hAnsi="宋体"/>
          <w:color w:val="auto"/>
          <w:sz w:val="24"/>
        </w:rPr>
        <w:t>根据国家标准化管理委员会《关于下达</w:t>
      </w:r>
      <w:r>
        <w:rPr>
          <w:rFonts w:ascii="宋体" w:hAnsi="宋体"/>
          <w:color w:val="auto"/>
          <w:sz w:val="24"/>
        </w:rPr>
        <w:t xml:space="preserve">2025 </w:t>
      </w:r>
      <w:r>
        <w:rPr>
          <w:rFonts w:hint="eastAsia" w:ascii="宋体" w:hAnsi="宋体"/>
          <w:color w:val="auto"/>
          <w:sz w:val="24"/>
        </w:rPr>
        <w:t>年第十批推荐性国家标准计划及相关标准外文版计划的通知》（国标委发〔</w:t>
      </w:r>
      <w:r>
        <w:rPr>
          <w:rFonts w:ascii="宋体" w:hAnsi="宋体"/>
          <w:color w:val="auto"/>
          <w:sz w:val="24"/>
        </w:rPr>
        <w:t>2025〕58号</w:t>
      </w:r>
      <w:r>
        <w:rPr>
          <w:rFonts w:hint="eastAsia" w:ascii="宋体" w:hAnsi="宋体"/>
          <w:color w:val="auto"/>
          <w:sz w:val="24"/>
        </w:rPr>
        <w:t>）及</w:t>
      </w:r>
      <w:bookmarkStart w:id="0" w:name="OLE_LINK69"/>
      <w:r>
        <w:rPr>
          <w:rFonts w:hint="eastAsia" w:ascii="宋体" w:hAnsi="宋体"/>
          <w:color w:val="auto"/>
          <w:sz w:val="24"/>
        </w:rPr>
        <w:t>全国有色金属标准化技术委员会</w:t>
      </w:r>
      <w:bookmarkEnd w:id="0"/>
      <w:r>
        <w:rPr>
          <w:rFonts w:hint="eastAsia" w:ascii="宋体" w:hAnsi="宋体"/>
          <w:color w:val="auto"/>
          <w:sz w:val="24"/>
        </w:rPr>
        <w:t>《关于转发</w:t>
      </w:r>
      <w:r>
        <w:rPr>
          <w:rFonts w:ascii="宋体" w:hAnsi="宋体"/>
          <w:color w:val="auto"/>
          <w:sz w:val="24"/>
        </w:rPr>
        <w:t xml:space="preserve"> 2025 </w:t>
      </w:r>
      <w:r>
        <w:rPr>
          <w:rFonts w:hint="eastAsia" w:ascii="宋体" w:hAnsi="宋体"/>
          <w:color w:val="auto"/>
          <w:sz w:val="24"/>
        </w:rPr>
        <w:t>年第四批有色金属国家标准制（修）订项目计划及征集起草单位的通知》（有色标委［</w:t>
      </w:r>
      <w:r>
        <w:rPr>
          <w:rFonts w:ascii="宋体" w:hAnsi="宋体"/>
          <w:color w:val="auto"/>
          <w:sz w:val="24"/>
        </w:rPr>
        <w:t>2025</w:t>
      </w:r>
      <w:r>
        <w:rPr>
          <w:rFonts w:hint="eastAsia" w:ascii="宋体" w:hAnsi="宋体"/>
          <w:color w:val="auto"/>
          <w:sz w:val="24"/>
        </w:rPr>
        <w:t>］</w:t>
      </w:r>
      <w:r>
        <w:rPr>
          <w:rFonts w:ascii="宋体" w:hAnsi="宋体"/>
          <w:color w:val="auto"/>
          <w:sz w:val="24"/>
        </w:rPr>
        <w:t xml:space="preserve">105 </w:t>
      </w:r>
      <w:r>
        <w:rPr>
          <w:rFonts w:hint="eastAsia" w:ascii="宋体" w:hAnsi="宋体"/>
          <w:color w:val="auto"/>
          <w:sz w:val="24"/>
        </w:rPr>
        <w:t>号）文的要求，国家标准《粉末冶金术语》由中南大学等负责修订，项目计划编号为</w:t>
      </w:r>
      <w:r>
        <w:rPr>
          <w:rFonts w:ascii="宋体" w:hAnsi="宋体"/>
          <w:color w:val="auto"/>
          <w:sz w:val="24"/>
        </w:rPr>
        <w:t xml:space="preserve"> 20256531-T-610</w:t>
      </w:r>
      <w:r>
        <w:rPr>
          <w:rFonts w:hint="eastAsia" w:ascii="宋体" w:hAnsi="宋体"/>
          <w:color w:val="auto"/>
          <w:sz w:val="24"/>
        </w:rPr>
        <w:t>，项目完成年限为</w:t>
      </w:r>
      <w:r>
        <w:rPr>
          <w:rFonts w:ascii="宋体" w:hAnsi="宋体"/>
          <w:color w:val="auto"/>
          <w:sz w:val="24"/>
        </w:rPr>
        <w:t xml:space="preserve"> 2026 </w:t>
      </w:r>
      <w:r>
        <w:rPr>
          <w:rFonts w:hint="eastAsia" w:ascii="宋体" w:hAnsi="宋体"/>
          <w:color w:val="auto"/>
          <w:sz w:val="24"/>
        </w:rPr>
        <w:t>年</w:t>
      </w:r>
      <w:r>
        <w:rPr>
          <w:rFonts w:ascii="宋体" w:hAnsi="宋体"/>
          <w:color w:val="auto"/>
          <w:sz w:val="24"/>
        </w:rPr>
        <w:t>12</w:t>
      </w:r>
      <w:r>
        <w:rPr>
          <w:rFonts w:hint="eastAsia" w:ascii="宋体" w:hAnsi="宋体"/>
          <w:color w:val="auto"/>
          <w:sz w:val="24"/>
        </w:rPr>
        <w:t>月。</w:t>
      </w:r>
    </w:p>
    <w:p w14:paraId="11280111">
      <w:pPr>
        <w:spacing w:line="360" w:lineRule="auto"/>
        <w:ind w:firstLine="482" w:firstLineChars="200"/>
        <w:rPr>
          <w:rFonts w:ascii="宋体" w:hAnsi="宋体"/>
          <w:b/>
          <w:color w:val="auto"/>
          <w:sz w:val="24"/>
        </w:rPr>
      </w:pPr>
    </w:p>
    <w:p w14:paraId="7472F160">
      <w:pPr>
        <w:spacing w:line="360" w:lineRule="auto"/>
        <w:rPr>
          <w:rFonts w:ascii="宋体" w:hAnsi="宋体"/>
          <w:color w:val="auto"/>
          <w:sz w:val="24"/>
        </w:rPr>
      </w:pPr>
      <w:r>
        <w:rPr>
          <w:rFonts w:ascii="宋体" w:hAnsi="宋体" w:eastAsia="黑体"/>
          <w:b/>
          <w:bCs/>
          <w:color w:val="auto"/>
          <w:sz w:val="24"/>
        </w:rPr>
        <w:t>1.2</w:t>
      </w:r>
      <w:r>
        <w:rPr>
          <w:rFonts w:ascii="宋体" w:hAnsi="宋体" w:eastAsia="黑体"/>
          <w:b/>
          <w:color w:val="auto"/>
          <w:sz w:val="24"/>
        </w:rPr>
        <w:t xml:space="preserve"> 承担单位情况</w:t>
      </w:r>
    </w:p>
    <w:p w14:paraId="18FB2955">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项目承担单位为中南大学粉末冶金研究院，中南大学粉末冶金研究院是集教学、科研和成果转化为一体的国家级新材料研究和高层次人才培养基地。本院建设有“材料科学与工程”国家一流建设学科、一级学科博士点和硕士点、博士后科研流动站。设有5个研究所和2个研究中心，现有教职工230余人，其中中国工程院院士1人、外籍院士1人，国家级特聘教授6人，国家杰出青年基金获得者4人，万人计划领军人才6人，“四青”人才10人，享受国务院政府特殊津贴专家21人，博士生导师81人，教授（研究员）79人。在籍学生1951人，其中本科生940人，硕士研究生514人，博士研究生497人(截至2025年3月15日)。</w:t>
      </w:r>
    </w:p>
    <w:p w14:paraId="766D6F47">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研究院主动对接国家重大需求，为我国材料领域战略新兴产业和自主创新突破了系列核心关键技术。从材料基础理论研究、应用基础研究、工程化研究到材料性能检测评价，建立了系统的材料研究体系，包含集成材料计算、难熔金属与硬质合金、摩擦减磨材料、粉末高温合金、特种陶瓷材料、轻质合金材料、电工电子材料和炭基复合材料等领域，研究的材料和系统广泛应用于相关国民经济建设部门。先后完成国家级科研项目500余项，获省部级以上科技奖励近100项，其中国家技术发明一等奖2项，国家科技进步一等奖3项，国家级教学成果二等奖2项，国家技术发明（科技进步）二等奖10余项，拥有发明专利1000余项。</w:t>
      </w:r>
    </w:p>
    <w:p w14:paraId="0AC0DE7F">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本院历年来主持起草了国标</w:t>
      </w:r>
      <w:r>
        <w:rPr>
          <w:rFonts w:ascii="宋体" w:hAnsi="宋体"/>
          <w:color w:val="auto"/>
          <w:sz w:val="24"/>
        </w:rPr>
        <w:t>16</w:t>
      </w:r>
      <w:r>
        <w:rPr>
          <w:rFonts w:hint="eastAsia" w:ascii="宋体" w:hAnsi="宋体"/>
          <w:color w:val="auto"/>
          <w:sz w:val="24"/>
        </w:rPr>
        <w:t>项</w:t>
      </w:r>
      <w:r>
        <w:rPr>
          <w:rFonts w:ascii="宋体" w:hAnsi="宋体"/>
          <w:color w:val="auto"/>
          <w:sz w:val="24"/>
        </w:rPr>
        <w:t>,国军标6</w:t>
      </w:r>
      <w:r>
        <w:rPr>
          <w:rFonts w:hint="eastAsia" w:ascii="宋体" w:hAnsi="宋体"/>
          <w:color w:val="auto"/>
          <w:sz w:val="24"/>
        </w:rPr>
        <w:t>项</w:t>
      </w:r>
      <w:r>
        <w:rPr>
          <w:rFonts w:ascii="宋体" w:hAnsi="宋体"/>
          <w:color w:val="auto"/>
          <w:sz w:val="24"/>
        </w:rPr>
        <w:t>,行业标准30</w:t>
      </w:r>
      <w:r>
        <w:rPr>
          <w:rFonts w:hint="eastAsia" w:ascii="宋体" w:hAnsi="宋体"/>
          <w:color w:val="auto"/>
          <w:sz w:val="24"/>
        </w:rPr>
        <w:t>项，具备编写标准的丰富经验。本院一直对《粉末冶金术语》进行了全面、系统、准确地全程跟踪研究。现行版本的起草单位就是本院。</w:t>
      </w:r>
    </w:p>
    <w:p w14:paraId="7590E8EB">
      <w:pPr>
        <w:adjustRightInd w:val="0"/>
        <w:snapToGrid w:val="0"/>
        <w:spacing w:line="360" w:lineRule="auto"/>
        <w:ind w:firstLine="480" w:firstLineChars="200"/>
        <w:rPr>
          <w:rFonts w:ascii="宋体" w:hAnsi="宋体"/>
          <w:color w:val="auto"/>
          <w:sz w:val="24"/>
        </w:rPr>
      </w:pPr>
    </w:p>
    <w:p w14:paraId="54190924">
      <w:pPr>
        <w:adjustRightInd w:val="0"/>
        <w:snapToGrid w:val="0"/>
        <w:spacing w:line="360" w:lineRule="auto"/>
        <w:ind w:firstLine="480" w:firstLineChars="200"/>
        <w:rPr>
          <w:rFonts w:ascii="宋体" w:hAnsi="宋体"/>
          <w:color w:val="auto"/>
          <w:sz w:val="24"/>
        </w:rPr>
      </w:pPr>
    </w:p>
    <w:p w14:paraId="69447A5E">
      <w:pPr>
        <w:spacing w:line="360" w:lineRule="auto"/>
        <w:rPr>
          <w:rFonts w:ascii="宋体" w:hAnsi="宋体"/>
          <w:b/>
          <w:color w:val="auto"/>
          <w:sz w:val="24"/>
        </w:rPr>
      </w:pPr>
      <w:r>
        <w:rPr>
          <w:rFonts w:ascii="宋体" w:hAnsi="宋体"/>
          <w:b/>
          <w:bCs/>
          <w:color w:val="auto"/>
          <w:sz w:val="24"/>
        </w:rPr>
        <w:t>1.3</w:t>
      </w:r>
      <w:r>
        <w:rPr>
          <w:rFonts w:ascii="宋体" w:hAnsi="宋体"/>
          <w:color w:val="auto"/>
          <w:sz w:val="24"/>
        </w:rPr>
        <w:t xml:space="preserve"> </w:t>
      </w:r>
      <w:r>
        <w:rPr>
          <w:rFonts w:hint="eastAsia" w:ascii="宋体" w:hAnsi="宋体"/>
          <w:b/>
          <w:color w:val="auto"/>
          <w:sz w:val="24"/>
        </w:rPr>
        <w:t>参编单位及主要起草人工作情况</w:t>
      </w:r>
    </w:p>
    <w:p w14:paraId="254FA0F6">
      <w:pPr>
        <w:pStyle w:val="9"/>
        <w:spacing w:before="0" w:beforeAutospacing="0" w:after="0" w:afterAutospacing="0" w:line="360" w:lineRule="auto"/>
        <w:jc w:val="both"/>
        <w:rPr>
          <w:rFonts w:cs="Arial"/>
          <w:b/>
          <w:color w:val="auto"/>
          <w:spacing w:val="12"/>
        </w:rPr>
      </w:pPr>
      <w:r>
        <w:rPr>
          <w:rFonts w:cs="Arial"/>
          <w:b/>
          <w:color w:val="auto"/>
          <w:spacing w:val="12"/>
        </w:rPr>
        <w:t>1.3.1</w:t>
      </w:r>
      <w:r>
        <w:rPr>
          <w:rFonts w:hint="eastAsia" w:cs="Arial"/>
          <w:b/>
          <w:color w:val="auto"/>
          <w:spacing w:val="12"/>
        </w:rPr>
        <w:t>东睦新材料集团股份有限公司</w:t>
      </w:r>
    </w:p>
    <w:p w14:paraId="7ADED448">
      <w:pPr>
        <w:pStyle w:val="9"/>
        <w:spacing w:before="0" w:beforeAutospacing="0" w:after="0" w:afterAutospacing="0" w:line="360" w:lineRule="auto"/>
        <w:ind w:firstLine="480"/>
        <w:jc w:val="both"/>
        <w:rPr>
          <w:rFonts w:cs="Arial"/>
          <w:color w:val="auto"/>
        </w:rPr>
      </w:pPr>
      <w:r>
        <w:rPr>
          <w:rFonts w:hint="eastAsia" w:cs="Arial"/>
          <w:color w:val="auto"/>
        </w:rPr>
        <w:t>东睦新材料集团股份有限公司作为中国粉末冶金新材料行业的龙头企业，是世界领先的粉末压制成形（</w:t>
      </w:r>
      <w:r>
        <w:rPr>
          <w:rFonts w:cs="Arial"/>
          <w:color w:val="auto"/>
        </w:rPr>
        <w:t>P&amp;S）制造企业，是中国领先的软磁复合材料（SMC）制造企业，也是中国领先的金属注射成形（MIM）制造企业。东睦集团已入选国家“第二批制造业单项冠军示范企业”。</w:t>
      </w:r>
    </w:p>
    <w:p w14:paraId="5182C2F8">
      <w:pPr>
        <w:pStyle w:val="9"/>
        <w:spacing w:before="0" w:beforeAutospacing="0" w:after="0" w:afterAutospacing="0" w:line="360" w:lineRule="auto"/>
        <w:ind w:firstLine="480"/>
        <w:jc w:val="both"/>
        <w:rPr>
          <w:rFonts w:cs="Arial"/>
          <w:color w:val="auto"/>
        </w:rPr>
      </w:pPr>
      <w:r>
        <w:rPr>
          <w:rFonts w:hint="eastAsia" w:cs="Arial"/>
          <w:color w:val="auto"/>
        </w:rPr>
        <w:t>东睦集团以</w:t>
      </w:r>
      <w:r>
        <w:rPr>
          <w:rFonts w:cs="Arial"/>
          <w:color w:val="auto"/>
        </w:rPr>
        <w:t>P&amp;S、SMC和MIM三大新材料技术平台为基石，致力于为新能源和高端制造提供最优新材料解决方案及增值服务。产品为绿色环保、节能节材的粉末冶金新材料核心零部件，已覆盖新能源、5G通信、智能手机、可穿戴设备、医疗器械、汽车、高效节能家电等领域。</w:t>
      </w:r>
    </w:p>
    <w:p w14:paraId="70D0749E">
      <w:pPr>
        <w:spacing w:line="360" w:lineRule="auto"/>
        <w:ind w:firstLine="480" w:firstLineChars="200"/>
        <w:rPr>
          <w:rFonts w:ascii="宋体" w:hAnsi="宋体"/>
          <w:color w:val="auto"/>
          <w:sz w:val="24"/>
        </w:rPr>
      </w:pPr>
    </w:p>
    <w:p w14:paraId="04E9D69E">
      <w:pPr>
        <w:spacing w:line="360" w:lineRule="auto"/>
        <w:rPr>
          <w:rFonts w:ascii="宋体" w:hAnsi="宋体"/>
          <w:b/>
          <w:color w:val="auto"/>
          <w:sz w:val="24"/>
        </w:rPr>
      </w:pPr>
      <w:bookmarkStart w:id="1" w:name="OLE_LINK77"/>
      <w:bookmarkStart w:id="2" w:name="OLE_LINK76"/>
      <w:r>
        <w:rPr>
          <w:rFonts w:ascii="宋体" w:hAnsi="宋体"/>
          <w:b/>
          <w:color w:val="auto"/>
          <w:sz w:val="24"/>
        </w:rPr>
        <w:t>1.3.</w:t>
      </w:r>
      <w:bookmarkStart w:id="3" w:name="OLE_LINK11"/>
      <w:bookmarkStart w:id="4" w:name="OLE_LINK10"/>
      <w:r>
        <w:rPr>
          <w:rFonts w:ascii="宋体" w:hAnsi="宋体"/>
          <w:b/>
          <w:color w:val="auto"/>
          <w:sz w:val="24"/>
        </w:rPr>
        <w:t>2</w:t>
      </w:r>
      <w:r>
        <w:rPr>
          <w:rFonts w:hint="eastAsia" w:ascii="宋体" w:hAnsi="宋体"/>
          <w:b/>
          <w:color w:val="auto"/>
          <w:sz w:val="24"/>
        </w:rPr>
        <w:t>格林美股份有限公司</w:t>
      </w:r>
      <w:bookmarkEnd w:id="3"/>
      <w:bookmarkEnd w:id="4"/>
    </w:p>
    <w:bookmarkEnd w:id="1"/>
    <w:bookmarkEnd w:id="2"/>
    <w:p w14:paraId="31AB84A4">
      <w:pPr>
        <w:spacing w:line="360" w:lineRule="auto"/>
        <w:ind w:firstLine="480" w:firstLineChars="200"/>
        <w:rPr>
          <w:rFonts w:ascii="宋体" w:hAnsi="宋体"/>
          <w:color w:val="auto"/>
          <w:sz w:val="24"/>
        </w:rPr>
      </w:pPr>
      <w:r>
        <w:rPr>
          <w:rFonts w:hint="eastAsia" w:ascii="宋体" w:hAnsi="宋体"/>
          <w:color w:val="auto"/>
          <w:sz w:val="24"/>
        </w:rPr>
        <w:t>格林美股份有限公司在</w:t>
      </w:r>
      <w:r>
        <w:rPr>
          <w:rFonts w:ascii="宋体" w:hAnsi="宋体"/>
          <w:color w:val="auto"/>
          <w:sz w:val="24"/>
        </w:rPr>
        <w:t>2001</w:t>
      </w:r>
      <w:r>
        <w:rPr>
          <w:rFonts w:hint="eastAsia" w:ascii="宋体" w:hAnsi="宋体"/>
          <w:color w:val="auto"/>
          <w:sz w:val="24"/>
        </w:rPr>
        <w:t>年</w:t>
      </w:r>
      <w:r>
        <w:rPr>
          <w:rFonts w:ascii="宋体" w:hAnsi="宋体"/>
          <w:color w:val="auto"/>
          <w:sz w:val="24"/>
        </w:rPr>
        <w:t>12</w:t>
      </w:r>
      <w:r>
        <w:rPr>
          <w:rFonts w:hint="eastAsia" w:ascii="宋体" w:hAnsi="宋体"/>
          <w:color w:val="auto"/>
          <w:sz w:val="24"/>
        </w:rPr>
        <w:t>月28日由创始人许开华教授基于绿色生态制造（</w:t>
      </w:r>
      <w:r>
        <w:rPr>
          <w:rFonts w:ascii="宋体" w:hAnsi="宋体"/>
          <w:color w:val="auto"/>
          <w:sz w:val="24"/>
        </w:rPr>
        <w:t>G</w:t>
      </w:r>
      <w:r>
        <w:rPr>
          <w:rFonts w:hint="eastAsia" w:ascii="宋体" w:hAnsi="宋体"/>
          <w:color w:val="auto"/>
          <w:sz w:val="24"/>
        </w:rPr>
        <w:t>—</w:t>
      </w:r>
      <w:r>
        <w:rPr>
          <w:rFonts w:ascii="宋体" w:hAnsi="宋体"/>
          <w:color w:val="auto"/>
          <w:sz w:val="24"/>
        </w:rPr>
        <w:t>Green  E</w:t>
      </w:r>
      <w:r>
        <w:rPr>
          <w:rFonts w:hint="eastAsia" w:ascii="宋体" w:hAnsi="宋体"/>
          <w:color w:val="auto"/>
          <w:sz w:val="24"/>
        </w:rPr>
        <w:t>—</w:t>
      </w:r>
      <w:r>
        <w:rPr>
          <w:rFonts w:ascii="宋体" w:hAnsi="宋体"/>
          <w:color w:val="auto"/>
          <w:sz w:val="24"/>
        </w:rPr>
        <w:t>Eco  M</w:t>
      </w:r>
      <w:r>
        <w:rPr>
          <w:rFonts w:hint="eastAsia" w:ascii="宋体" w:hAnsi="宋体"/>
          <w:color w:val="auto"/>
          <w:sz w:val="24"/>
        </w:rPr>
        <w:t>—</w:t>
      </w:r>
      <w:r>
        <w:rPr>
          <w:rFonts w:ascii="宋体" w:hAnsi="宋体"/>
          <w:color w:val="auto"/>
          <w:sz w:val="24"/>
        </w:rPr>
        <w:t>Manufacture</w:t>
      </w:r>
      <w:r>
        <w:rPr>
          <w:rFonts w:hint="eastAsia" w:ascii="宋体" w:hAnsi="宋体"/>
          <w:color w:val="auto"/>
          <w:sz w:val="24"/>
        </w:rPr>
        <w:t>）的理想在深圳设立。公司在国内率先提出</w:t>
      </w:r>
      <w:r>
        <w:rPr>
          <w:rFonts w:ascii="宋体" w:hAnsi="宋体"/>
          <w:color w:val="auto"/>
          <w:sz w:val="24"/>
        </w:rPr>
        <w:t>"</w:t>
      </w:r>
      <w:r>
        <w:rPr>
          <w:rFonts w:hint="eastAsia" w:ascii="宋体" w:hAnsi="宋体"/>
          <w:color w:val="auto"/>
          <w:sz w:val="24"/>
        </w:rPr>
        <w:t>资源有限、循环无限</w:t>
      </w:r>
      <w:r>
        <w:rPr>
          <w:rFonts w:ascii="宋体" w:hAnsi="宋体"/>
          <w:color w:val="auto"/>
          <w:sz w:val="24"/>
        </w:rPr>
        <w:t>"</w:t>
      </w:r>
      <w:r>
        <w:rPr>
          <w:rFonts w:hint="eastAsia" w:ascii="宋体" w:hAnsi="宋体"/>
          <w:color w:val="auto"/>
          <w:sz w:val="24"/>
        </w:rPr>
        <w:t>的产业理念，积极倡导通过开采城市矿山的商业模式来</w:t>
      </w:r>
      <w:r>
        <w:rPr>
          <w:rFonts w:ascii="宋体" w:hAnsi="宋体"/>
          <w:color w:val="auto"/>
          <w:sz w:val="24"/>
        </w:rPr>
        <w:t>"</w:t>
      </w:r>
      <w:r>
        <w:rPr>
          <w:rFonts w:hint="eastAsia" w:ascii="宋体" w:hAnsi="宋体"/>
          <w:color w:val="auto"/>
          <w:sz w:val="24"/>
        </w:rPr>
        <w:t>消除污染、再造资源</w:t>
      </w:r>
      <w:r>
        <w:rPr>
          <w:rFonts w:ascii="宋体" w:hAnsi="宋体"/>
          <w:color w:val="auto"/>
          <w:sz w:val="24"/>
        </w:rPr>
        <w:t>"</w:t>
      </w:r>
      <w:r>
        <w:rPr>
          <w:rFonts w:hint="eastAsia" w:ascii="宋体" w:hAnsi="宋体"/>
          <w:color w:val="auto"/>
          <w:sz w:val="24"/>
        </w:rPr>
        <w:t>，推进循环型社会的发展，遏制全球温室效应，是世界开采城市矿山的领导者与世界新能源产业的推动者，是世界领先的废物循环产业集团、世界新能源行业的核心供应商与中国循环经济领军企业。公司的主营业务归属废弃资源综合利用行业与新能源行业，形成了</w:t>
      </w:r>
      <w:r>
        <w:rPr>
          <w:rFonts w:ascii="宋体" w:hAnsi="宋体"/>
          <w:color w:val="auto"/>
          <w:sz w:val="24"/>
        </w:rPr>
        <w:t>"</w:t>
      </w:r>
      <w:r>
        <w:rPr>
          <w:rFonts w:hint="eastAsia" w:ascii="宋体" w:hAnsi="宋体"/>
          <w:color w:val="auto"/>
          <w:sz w:val="24"/>
        </w:rPr>
        <w:t>城市矿山开采</w:t>
      </w:r>
      <w:r>
        <w:rPr>
          <w:rFonts w:ascii="宋体" w:hAnsi="宋体"/>
          <w:color w:val="auto"/>
          <w:sz w:val="24"/>
        </w:rPr>
        <w:t>+</w:t>
      </w:r>
      <w:r>
        <w:rPr>
          <w:rFonts w:hint="eastAsia" w:ascii="宋体" w:hAnsi="宋体"/>
          <w:color w:val="auto"/>
          <w:sz w:val="24"/>
        </w:rPr>
        <w:t>新能源材料制造</w:t>
      </w:r>
      <w:r>
        <w:rPr>
          <w:rFonts w:ascii="宋体" w:hAnsi="宋体"/>
          <w:color w:val="auto"/>
          <w:sz w:val="24"/>
        </w:rPr>
        <w:t>"</w:t>
      </w:r>
      <w:r>
        <w:rPr>
          <w:rFonts w:hint="eastAsia" w:ascii="宋体" w:hAnsi="宋体"/>
          <w:color w:val="auto"/>
          <w:sz w:val="24"/>
        </w:rPr>
        <w:t>的双轨驱动业务模式。在城市矿山开采领域，公司回收利用废旧动力电池、电子废弃物、报废汽车、废塑料与镍钴锂钨战略资源，主要再制造镍钴锂钨、金银铂钯稀缺资源、超细钴镍钨粉末材料与改性塑料；在新能源领域，公司制造动力电池用三元前驱体、三元正极材料与</w:t>
      </w:r>
      <w:r>
        <w:rPr>
          <w:rFonts w:ascii="宋体" w:hAnsi="宋体"/>
          <w:color w:val="auto"/>
          <w:sz w:val="24"/>
        </w:rPr>
        <w:t>3C</w:t>
      </w:r>
      <w:r>
        <w:rPr>
          <w:rFonts w:hint="eastAsia" w:ascii="宋体" w:hAnsi="宋体"/>
          <w:color w:val="auto"/>
          <w:sz w:val="24"/>
        </w:rPr>
        <w:t>数码电池用四氧化三钴材料，是世界新能源供应链的头部企业。</w:t>
      </w:r>
    </w:p>
    <w:p w14:paraId="43DF56DE">
      <w:pPr>
        <w:spacing w:line="360" w:lineRule="auto"/>
        <w:ind w:firstLine="480" w:firstLineChars="200"/>
        <w:rPr>
          <w:rFonts w:ascii="宋体" w:hAnsi="宋体"/>
          <w:color w:val="auto"/>
          <w:sz w:val="24"/>
        </w:rPr>
      </w:pPr>
    </w:p>
    <w:p w14:paraId="105D8B46">
      <w:pPr>
        <w:spacing w:line="360" w:lineRule="auto"/>
        <w:rPr>
          <w:rFonts w:ascii="宋体" w:hAnsi="宋体"/>
          <w:b/>
          <w:color w:val="auto"/>
          <w:sz w:val="24"/>
        </w:rPr>
      </w:pPr>
      <w:r>
        <w:rPr>
          <w:rFonts w:ascii="宋体" w:hAnsi="宋体"/>
          <w:b/>
          <w:color w:val="auto"/>
          <w:sz w:val="24"/>
        </w:rPr>
        <w:t>1.3.3</w:t>
      </w:r>
      <w:r>
        <w:rPr>
          <w:rFonts w:hint="eastAsia" w:ascii="宋体" w:hAnsi="宋体"/>
          <w:b/>
          <w:color w:val="auto"/>
          <w:sz w:val="24"/>
        </w:rPr>
        <w:t>西北有色金属研究院</w:t>
      </w:r>
    </w:p>
    <w:p w14:paraId="5213E01F">
      <w:pPr>
        <w:spacing w:line="360" w:lineRule="auto"/>
        <w:ind w:firstLine="480" w:firstLineChars="200"/>
        <w:rPr>
          <w:rFonts w:ascii="宋体" w:hAnsi="宋体"/>
          <w:color w:val="auto"/>
          <w:sz w:val="24"/>
        </w:rPr>
      </w:pPr>
      <w:bookmarkStart w:id="5" w:name="OLE_LINK84"/>
      <w:bookmarkStart w:id="6" w:name="OLE_LINK80"/>
      <w:r>
        <w:rPr>
          <w:rFonts w:hint="eastAsia" w:ascii="宋体" w:hAnsi="宋体"/>
          <w:color w:val="auto"/>
          <w:sz w:val="24"/>
        </w:rPr>
        <w:t>西北有色金属研究院</w:t>
      </w:r>
      <w:bookmarkEnd w:id="5"/>
      <w:bookmarkEnd w:id="6"/>
      <w:r>
        <w:rPr>
          <w:rFonts w:hint="eastAsia" w:ascii="宋体" w:hAnsi="宋体"/>
          <w:color w:val="auto"/>
          <w:sz w:val="24"/>
        </w:rPr>
        <w:t>是我国重要的稀有金属材料研究基地和行业技术开发中心，是国家先进稀有金属材料技术创新中心、稀有金属材料加工国家工程研究中心、金属多孔材料全国重点实验室、中国有色金属工业西北质量监督检验中心等的依托单位，是具有较强综合科技实力的国家级重点研究院和新型科研机构。西北有色金属研究院先后发起组建了十余个控股参股的高新技术企业，形成了国内最大的稀有金属新材料研究基地、行业技术中心及生产基地。</w:t>
      </w:r>
    </w:p>
    <w:p w14:paraId="0071F482">
      <w:pPr>
        <w:spacing w:line="360" w:lineRule="auto"/>
        <w:rPr>
          <w:rFonts w:ascii="宋体" w:hAnsi="宋体"/>
          <w:b/>
          <w:color w:val="auto"/>
          <w:sz w:val="24"/>
        </w:rPr>
      </w:pPr>
    </w:p>
    <w:p w14:paraId="30B53E45">
      <w:pPr>
        <w:spacing w:line="360" w:lineRule="auto"/>
        <w:rPr>
          <w:rFonts w:ascii="宋体" w:hAnsi="宋体" w:cs="宋体"/>
          <w:b/>
          <w:color w:val="auto"/>
          <w:sz w:val="24"/>
        </w:rPr>
      </w:pPr>
      <w:r>
        <w:rPr>
          <w:rFonts w:ascii="宋体" w:hAnsi="宋体"/>
          <w:b/>
          <w:color w:val="auto"/>
          <w:sz w:val="24"/>
        </w:rPr>
        <w:t>1.3.</w:t>
      </w:r>
      <w:bookmarkStart w:id="7" w:name="OLE_LINK88"/>
      <w:bookmarkStart w:id="8" w:name="OLE_LINK89"/>
      <w:r>
        <w:rPr>
          <w:rFonts w:ascii="宋体" w:hAnsi="宋体"/>
          <w:b/>
          <w:color w:val="auto"/>
          <w:sz w:val="24"/>
        </w:rPr>
        <w:t>4</w:t>
      </w:r>
      <w:r>
        <w:rPr>
          <w:rFonts w:hint="eastAsia" w:ascii="宋体" w:hAnsi="宋体" w:cs="宋体"/>
          <w:b/>
          <w:color w:val="auto"/>
          <w:sz w:val="24"/>
        </w:rPr>
        <w:t>西安欧中材料科技股份有限公司</w:t>
      </w:r>
      <w:bookmarkEnd w:id="7"/>
      <w:bookmarkEnd w:id="8"/>
    </w:p>
    <w:p w14:paraId="1F542A23">
      <w:pPr>
        <w:spacing w:line="360" w:lineRule="auto"/>
        <w:ind w:firstLine="480" w:firstLineChars="200"/>
        <w:rPr>
          <w:rFonts w:ascii="宋体" w:hAnsi="宋体" w:cs="宋体"/>
          <w:color w:val="auto"/>
          <w:sz w:val="24"/>
        </w:rPr>
      </w:pPr>
      <w:r>
        <w:rPr>
          <w:rFonts w:hint="eastAsia" w:ascii="宋体" w:hAnsi="宋体" w:cs="宋体"/>
          <w:color w:val="auto"/>
          <w:sz w:val="24"/>
        </w:rPr>
        <w:t>西安欧中材料科技股份有限公司主要致力于钛合金、高温合金及其他金属球形粉末制备，发动机叶片的精深加工服务，粉末冶金制件的研发、生产及货物的进出口贸易等。主要应用于航空航天、增材制造（</w:t>
      </w:r>
      <w:r>
        <w:rPr>
          <w:rFonts w:ascii="宋体" w:hAnsi="宋体" w:cs="宋体"/>
          <w:color w:val="auto"/>
          <w:sz w:val="24"/>
        </w:rPr>
        <w:t>3D打印）、生物医疗等领域。先后承担国家省市级各类科研项目70余项，制定并发布国家行业及地方标准45项。技术人员在国内外核心刊物发表学术论文60余篇，申请发明专利160余项。先后被认定为国家级专精特新“小巨人”企业，获陕西省技术发明奖（二等奖）、中国发明协会创新创业一等奖、中国有色金属工业科学技术一等奖、陕西省科技工作者创新创业大赛一等奖。</w:t>
      </w:r>
    </w:p>
    <w:p w14:paraId="43321619">
      <w:pPr>
        <w:spacing w:line="360" w:lineRule="auto"/>
        <w:rPr>
          <w:rFonts w:ascii="宋体" w:hAnsi="宋体"/>
          <w:b/>
          <w:color w:val="auto"/>
          <w:sz w:val="24"/>
        </w:rPr>
      </w:pPr>
    </w:p>
    <w:p w14:paraId="2371D11F">
      <w:pPr>
        <w:spacing w:line="360" w:lineRule="auto"/>
        <w:rPr>
          <w:rFonts w:ascii="宋体" w:hAnsi="宋体"/>
          <w:b/>
          <w:color w:val="auto"/>
          <w:sz w:val="24"/>
        </w:rPr>
      </w:pPr>
      <w:r>
        <w:rPr>
          <w:rFonts w:ascii="宋体" w:hAnsi="宋体"/>
          <w:b/>
          <w:color w:val="auto"/>
          <w:sz w:val="24"/>
        </w:rPr>
        <w:t>1.3.</w:t>
      </w:r>
      <w:bookmarkStart w:id="9" w:name="OLE_LINK103"/>
      <w:bookmarkStart w:id="10" w:name="OLE_LINK102"/>
      <w:bookmarkStart w:id="11" w:name="OLE_LINK99"/>
      <w:bookmarkStart w:id="12" w:name="OLE_LINK98"/>
      <w:r>
        <w:rPr>
          <w:rFonts w:ascii="宋体" w:hAnsi="宋体"/>
          <w:b/>
          <w:color w:val="auto"/>
          <w:sz w:val="24"/>
        </w:rPr>
        <w:t>5</w:t>
      </w:r>
      <w:r>
        <w:rPr>
          <w:rFonts w:hint="eastAsia" w:ascii="宋体" w:hAnsi="宋体"/>
          <w:b/>
          <w:color w:val="auto"/>
          <w:sz w:val="24"/>
        </w:rPr>
        <w:t>北京钢研高纳科技股份有限公司</w:t>
      </w:r>
      <w:bookmarkEnd w:id="9"/>
      <w:bookmarkEnd w:id="10"/>
    </w:p>
    <w:p w14:paraId="76F55207">
      <w:pPr>
        <w:spacing w:line="360" w:lineRule="auto"/>
        <w:ind w:firstLine="480" w:firstLineChars="200"/>
        <w:rPr>
          <w:rFonts w:ascii="宋体" w:hAnsi="宋体"/>
          <w:color w:val="auto"/>
          <w:sz w:val="24"/>
        </w:rPr>
      </w:pPr>
      <w:r>
        <w:rPr>
          <w:rFonts w:hint="eastAsia" w:ascii="宋体" w:hAnsi="宋体"/>
          <w:color w:val="auto"/>
          <w:sz w:val="24"/>
        </w:rPr>
        <w:t>北京钢研高纳科技股份有限公司是国务院国资委直接管理的中央企业中国钢研科技集团有限公司控股的科技型企业，以“成为世界一流的高端装备制造业所需金属新材料与制品供应商”为愿景，是国内航空、航天、舰船和核电等行业用高温合金等材料及制品重要的研发生产基地。公司具有生产国内</w:t>
      </w:r>
      <w:r>
        <w:rPr>
          <w:rFonts w:ascii="宋体" w:hAnsi="宋体"/>
          <w:color w:val="auto"/>
          <w:sz w:val="24"/>
        </w:rPr>
        <w:t>80%以上牌号高温合金的技术和能力，产品涵盖所有高温合金的细分领域，是我国高温合金领域技术水平最为先进、生产种类最为齐全的企业之一，多个细分产品占据市场主导地位。公司拥有粉末高温合金国家级科技创新团队，迄今获得国家发明奖10余项，国家科技进步奖10项，国家自然科学奖1项，省部级奖励70余项，牵头或参与制定各级标准43项，其中国标13项，国军标11项，行业标准5项，授权专利400余项。公司是我国唯一高温合金学术组织“中国金属</w:t>
      </w:r>
      <w:r>
        <w:rPr>
          <w:rFonts w:hint="eastAsia" w:ascii="宋体" w:hAnsi="宋体"/>
          <w:color w:val="auto"/>
          <w:sz w:val="24"/>
        </w:rPr>
        <w:t>学会高温材料分会”的挂靠单位，还是“中国高温合金产业创新战略联盟”的秘书长单位。此外，公司还建有“高温合金新材料北京市重点实验室”和“北京市燃气轮机用高温合金工程技术研究中心”，在国内高温合金行业位置突出。公司拥有</w:t>
      </w:r>
      <w:r>
        <w:rPr>
          <w:rFonts w:ascii="宋体" w:hAnsi="宋体"/>
          <w:color w:val="auto"/>
          <w:sz w:val="24"/>
        </w:rPr>
        <w:t>FGH4169、FGH4099、FGH3536、FGH4091、FGH4095、FGH4097等粉末高温合金产品。</w:t>
      </w:r>
      <w:r>
        <w:rPr>
          <w:rFonts w:hint="eastAsia" w:ascii="宋体" w:hAnsi="宋体"/>
          <w:color w:val="auto"/>
          <w:sz w:val="24"/>
        </w:rPr>
        <w:t>宁波江丰电子材料股份有限公司</w:t>
      </w:r>
    </w:p>
    <w:p w14:paraId="2CBBEF98">
      <w:pPr>
        <w:spacing w:line="360" w:lineRule="auto"/>
        <w:ind w:firstLine="480" w:firstLineChars="200"/>
        <w:rPr>
          <w:rFonts w:ascii="宋体" w:hAnsi="宋体"/>
          <w:color w:val="auto"/>
          <w:sz w:val="24"/>
        </w:rPr>
      </w:pPr>
    </w:p>
    <w:p w14:paraId="58F11A46">
      <w:pPr>
        <w:spacing w:line="360" w:lineRule="auto"/>
        <w:rPr>
          <w:rFonts w:ascii="宋体" w:hAnsi="宋体"/>
          <w:b/>
          <w:color w:val="auto"/>
          <w:sz w:val="24"/>
        </w:rPr>
      </w:pPr>
      <w:r>
        <w:rPr>
          <w:rFonts w:ascii="宋体" w:hAnsi="宋体"/>
          <w:b/>
          <w:color w:val="auto"/>
          <w:sz w:val="24"/>
        </w:rPr>
        <w:t>1.3.</w:t>
      </w:r>
      <w:bookmarkStart w:id="13" w:name="OLE_LINK104"/>
      <w:bookmarkStart w:id="14" w:name="OLE_LINK105"/>
      <w:r>
        <w:rPr>
          <w:rFonts w:ascii="宋体" w:hAnsi="宋体"/>
          <w:b/>
          <w:color w:val="auto"/>
          <w:sz w:val="24"/>
        </w:rPr>
        <w:t>6厦门钨业股份有限公司</w:t>
      </w:r>
      <w:bookmarkEnd w:id="13"/>
      <w:bookmarkEnd w:id="14"/>
    </w:p>
    <w:p w14:paraId="5CEE0C08">
      <w:pPr>
        <w:spacing w:line="360" w:lineRule="auto"/>
        <w:ind w:firstLine="425"/>
        <w:rPr>
          <w:rFonts w:ascii="宋体" w:hAnsi="宋体"/>
          <w:color w:val="auto"/>
          <w:sz w:val="24"/>
        </w:rPr>
      </w:pPr>
      <w:r>
        <w:rPr>
          <w:rFonts w:hint="eastAsia" w:ascii="宋体" w:hAnsi="宋体"/>
          <w:color w:val="auto"/>
          <w:sz w:val="24"/>
        </w:rPr>
        <w:t>厦门钨业股份有限公司</w:t>
      </w:r>
      <w:r>
        <w:rPr>
          <w:rFonts w:ascii="宋体" w:hAnsi="宋体"/>
          <w:color w:val="auto"/>
          <w:sz w:val="24"/>
        </w:rPr>
        <w:t>是福建省</w:t>
      </w:r>
      <w:r>
        <w:rPr>
          <w:rFonts w:hint="eastAsia" w:ascii="宋体" w:hAnsi="宋体"/>
          <w:color w:val="auto"/>
          <w:sz w:val="24"/>
        </w:rPr>
        <w:t>省</w:t>
      </w:r>
      <w:r>
        <w:rPr>
          <w:rFonts w:ascii="宋体" w:hAnsi="宋体"/>
          <w:color w:val="auto"/>
          <w:sz w:val="24"/>
        </w:rPr>
        <w:t>属国有控股上市公司，是国家高新技术企业、国家首批创新性企业、国家火炬计划钨材料产业基地</w:t>
      </w:r>
      <w:r>
        <w:rPr>
          <w:rFonts w:hint="eastAsia" w:ascii="宋体" w:hAnsi="宋体"/>
          <w:color w:val="auto"/>
          <w:sz w:val="24"/>
        </w:rPr>
        <w:t>。厦门钨业</w:t>
      </w:r>
      <w:r>
        <w:rPr>
          <w:rFonts w:ascii="宋体" w:hAnsi="宋体"/>
          <w:color w:val="auto"/>
          <w:sz w:val="24"/>
        </w:rPr>
        <w:t>拥有钨钼、稀土和新能源材料三大核心产业。厦门钨业构建了从钨矿山采选、钨钼冶炼、钨钼粉末生产到硬质合金、钨钼丝材制品、切削工具等深加工应用及回收的全产业链，多项技术国际领先。</w:t>
      </w:r>
      <w:r>
        <w:rPr>
          <w:rFonts w:hint="eastAsia" w:ascii="宋体" w:hAnsi="宋体"/>
          <w:color w:val="auto"/>
          <w:sz w:val="24"/>
        </w:rPr>
        <w:t>厦门钨业拥有</w:t>
      </w:r>
      <w:r>
        <w:rPr>
          <w:rFonts w:ascii="宋体" w:hAnsi="宋体"/>
          <w:color w:val="auto"/>
          <w:sz w:val="24"/>
        </w:rPr>
        <w:t>我国钨材料领域唯一的国家级工程技术研究平台</w:t>
      </w:r>
      <w:r>
        <w:rPr>
          <w:rFonts w:hint="eastAsia" w:ascii="宋体" w:hAnsi="宋体"/>
          <w:color w:val="auto"/>
          <w:sz w:val="24"/>
        </w:rPr>
        <w:t>——</w:t>
      </w:r>
      <w:r>
        <w:rPr>
          <w:rFonts w:ascii="宋体" w:hAnsi="宋体"/>
          <w:color w:val="auto"/>
          <w:sz w:val="24"/>
        </w:rPr>
        <w:t>国家钨材料工程技术研究中心</w:t>
      </w:r>
      <w:r>
        <w:rPr>
          <w:rFonts w:hint="eastAsia" w:ascii="宋体" w:hAnsi="宋体"/>
          <w:color w:val="auto"/>
          <w:sz w:val="24"/>
        </w:rPr>
        <w:t>，</w:t>
      </w:r>
      <w:r>
        <w:rPr>
          <w:rFonts w:ascii="宋体" w:hAnsi="宋体"/>
          <w:color w:val="auto"/>
          <w:sz w:val="24"/>
        </w:rPr>
        <w:t>配置原值超1.5亿元的高端研发仪器设备，拥有行业知名专家和国内外顶尖院校毕业生组成的研发团队，具备国际先进的科研实力</w:t>
      </w:r>
      <w:r>
        <w:rPr>
          <w:rFonts w:hint="eastAsia" w:ascii="宋体" w:hAnsi="宋体"/>
          <w:color w:val="auto"/>
          <w:sz w:val="24"/>
        </w:rPr>
        <w:t>，</w:t>
      </w:r>
      <w:r>
        <w:rPr>
          <w:rFonts w:ascii="宋体" w:hAnsi="宋体"/>
          <w:color w:val="auto"/>
          <w:sz w:val="24"/>
        </w:rPr>
        <w:t>可为项目的顺利开展提供技术、设备及科研平台支撑。</w:t>
      </w:r>
    </w:p>
    <w:p w14:paraId="2650A39B">
      <w:pPr>
        <w:spacing w:line="360" w:lineRule="auto"/>
        <w:ind w:firstLine="480" w:firstLineChars="200"/>
        <w:rPr>
          <w:rFonts w:ascii="宋体" w:hAnsi="宋体" w:cstheme="minorEastAsia"/>
          <w:color w:val="auto"/>
          <w:sz w:val="24"/>
        </w:rPr>
      </w:pPr>
    </w:p>
    <w:p w14:paraId="7EA145F9">
      <w:pPr>
        <w:spacing w:line="360" w:lineRule="auto"/>
        <w:rPr>
          <w:rFonts w:ascii="宋体" w:hAnsi="宋体"/>
          <w:color w:val="auto"/>
          <w:sz w:val="24"/>
        </w:rPr>
      </w:pPr>
      <w:r>
        <w:rPr>
          <w:rFonts w:ascii="宋体" w:hAnsi="宋体"/>
          <w:b/>
          <w:bCs/>
          <w:color w:val="auto"/>
          <w:sz w:val="24"/>
        </w:rPr>
        <w:t>1.3.7</w:t>
      </w:r>
      <w:r>
        <w:rPr>
          <w:rFonts w:ascii="宋体" w:hAnsi="宋体"/>
          <w:color w:val="auto"/>
          <w:sz w:val="24"/>
        </w:rPr>
        <w:t xml:space="preserve"> </w:t>
      </w:r>
      <w:r>
        <w:rPr>
          <w:rFonts w:hint="eastAsia" w:ascii="宋体" w:hAnsi="宋体"/>
          <w:b/>
          <w:color w:val="auto"/>
          <w:sz w:val="24"/>
        </w:rPr>
        <w:t>厦门金鹭硬质合金有限公司</w:t>
      </w:r>
    </w:p>
    <w:p w14:paraId="0C066B67">
      <w:pPr>
        <w:spacing w:line="360" w:lineRule="auto"/>
        <w:ind w:firstLine="480" w:firstLineChars="200"/>
        <w:rPr>
          <w:rFonts w:ascii="宋体" w:hAnsi="宋体"/>
          <w:color w:val="auto"/>
          <w:sz w:val="24"/>
        </w:rPr>
      </w:pPr>
      <w:r>
        <w:rPr>
          <w:rFonts w:hint="eastAsia" w:ascii="宋体" w:hAnsi="宋体"/>
          <w:color w:val="auto"/>
          <w:sz w:val="24"/>
        </w:rPr>
        <w:t>厦门金鹭硬质合金有限公司，成立于2018年，隶属于厦门钨业股份有限公司控股子公司厦门金鹭特种合金有限公司，是其全资子公司。公司作为国家级高新技术企业、福建省工业龙头企业以及厦门市未来产业骨干企业，长期专注于高品质钨粉末材料与硬质合金系列产品的研发、生产与应用解决方案的提供，是我国钨粉末及硬质合金行业的龙头企业之一，也是全球知名的钨粉末与硬质合金供应商。公司生产规模居国际前列，技术水平达到国际先进，部分产品已在国际高端市场取得重要份额，打破了国外厂商在高端硬质合金领域的长期垄断格局。近年来，公司持续推进正向研发与产业化应用结合，形成了从原料到成品的完整产业链，并凭借技术、规模与质量优势，在汽车、航空航天、3C电子、模具加工、PCB精密制造等领域保持显著竞争力。</w:t>
      </w:r>
    </w:p>
    <w:p w14:paraId="6D531154">
      <w:pPr>
        <w:spacing w:line="360" w:lineRule="auto"/>
        <w:ind w:firstLine="480" w:firstLineChars="200"/>
        <w:rPr>
          <w:rFonts w:ascii="宋体" w:hAnsi="宋体"/>
          <w:color w:val="auto"/>
          <w:sz w:val="24"/>
        </w:rPr>
      </w:pPr>
      <w:r>
        <w:rPr>
          <w:rFonts w:hint="eastAsia" w:ascii="宋体" w:hAnsi="宋体"/>
          <w:color w:val="auto"/>
          <w:sz w:val="24"/>
        </w:rPr>
        <w:t xml:space="preserve"> 公司始终坚持创新驱动，截至目前，公司有效专利共39件，发明授权13件，并成功研制和开发出一系列拥有自主知识产权的钨粉、碳化钨粉及硬质合金专有制造技术。凭借在技术创新和成果转化方面的持续突破，公司先后荣获中国专利优秀奖1项、福建省科技进步三等奖1项、厦门市科技进步二等奖1项，科研实力和创新能力得到了权威机构的充分认可。</w:t>
      </w:r>
    </w:p>
    <w:p w14:paraId="26CCA539">
      <w:pPr>
        <w:spacing w:line="360" w:lineRule="auto"/>
        <w:ind w:firstLine="480" w:firstLineChars="200"/>
        <w:rPr>
          <w:rFonts w:ascii="宋体" w:hAnsi="宋体"/>
          <w:color w:val="auto"/>
          <w:sz w:val="24"/>
        </w:rPr>
      </w:pPr>
    </w:p>
    <w:p w14:paraId="13EB5027">
      <w:pPr>
        <w:spacing w:line="360" w:lineRule="auto"/>
        <w:rPr>
          <w:rFonts w:ascii="宋体" w:hAnsi="宋体"/>
          <w:color w:val="auto"/>
          <w:sz w:val="24"/>
        </w:rPr>
      </w:pPr>
      <w:r>
        <w:rPr>
          <w:rFonts w:ascii="宋体" w:hAnsi="宋体"/>
          <w:b/>
          <w:bCs/>
          <w:color w:val="auto"/>
          <w:sz w:val="24"/>
        </w:rPr>
        <w:t xml:space="preserve">1.3.8 </w:t>
      </w:r>
      <w:r>
        <w:rPr>
          <w:rFonts w:hint="eastAsia" w:ascii="宋体" w:hAnsi="宋体"/>
          <w:b/>
          <w:color w:val="auto"/>
          <w:sz w:val="24"/>
        </w:rPr>
        <w:t>钢铁研究总院有限公司</w:t>
      </w:r>
    </w:p>
    <w:p w14:paraId="456EB6D8">
      <w:pPr>
        <w:spacing w:line="360" w:lineRule="auto"/>
        <w:ind w:firstLine="480" w:firstLineChars="200"/>
        <w:rPr>
          <w:rFonts w:ascii="宋体" w:hAnsi="宋体"/>
          <w:color w:val="auto"/>
          <w:sz w:val="24"/>
        </w:rPr>
      </w:pPr>
      <w:r>
        <w:rPr>
          <w:rFonts w:hint="eastAsia" w:ascii="宋体" w:hAnsi="宋体"/>
          <w:color w:val="auto"/>
          <w:sz w:val="24"/>
        </w:rPr>
        <w:t>钢铁研究总院有限公司是我国金属新材料研发基地、行业共性关键技术创新基地和冶金分析测试权威机构，承担了我国冶金行业</w:t>
      </w:r>
      <w:r>
        <w:rPr>
          <w:rFonts w:ascii="宋体" w:hAnsi="宋体"/>
          <w:color w:val="auto"/>
          <w:sz w:val="24"/>
        </w:rPr>
        <w:t>85%以上国防军工新材料研发任务和50%以上共性关键技术研发任务，先后研制了近千种高技术新材料，满足了我国国防军工重点型号、国民经济重大工程建设需求。围绕材料品质提升、产品用户技术、冶金工艺及装备技术等领域，开发了一批新产品、新工艺、新技术、新装备，为能源石化、交通建筑、海洋工程、机械电子等提供了强力材料技术支撑，引领了冶金及用户行业转型升级和创新发展。</w:t>
      </w:r>
    </w:p>
    <w:p w14:paraId="15ED560B">
      <w:pPr>
        <w:spacing w:line="360" w:lineRule="auto"/>
        <w:ind w:firstLine="425"/>
        <w:rPr>
          <w:rFonts w:ascii="宋体" w:hAnsi="宋体"/>
          <w:color w:val="auto"/>
          <w:sz w:val="24"/>
        </w:rPr>
      </w:pPr>
    </w:p>
    <w:p w14:paraId="46588D05">
      <w:pPr>
        <w:spacing w:line="360" w:lineRule="auto"/>
        <w:rPr>
          <w:rFonts w:ascii="宋体" w:hAnsi="宋体" w:cstheme="minorEastAsia"/>
          <w:b/>
          <w:color w:val="auto"/>
          <w:sz w:val="24"/>
        </w:rPr>
      </w:pPr>
      <w:r>
        <w:rPr>
          <w:rFonts w:ascii="宋体" w:hAnsi="宋体"/>
          <w:b/>
          <w:bCs/>
          <w:color w:val="auto"/>
          <w:sz w:val="24"/>
        </w:rPr>
        <w:t>1.3.9</w:t>
      </w:r>
      <w:r>
        <w:rPr>
          <w:rFonts w:hint="eastAsia" w:ascii="宋体" w:hAnsi="宋体" w:cstheme="minorEastAsia"/>
          <w:b/>
          <w:color w:val="auto"/>
          <w:sz w:val="24"/>
        </w:rPr>
        <w:t>宁波众远新材料科技有限公司</w:t>
      </w:r>
    </w:p>
    <w:p w14:paraId="4E26CD43">
      <w:pPr>
        <w:spacing w:line="360" w:lineRule="auto"/>
        <w:ind w:firstLine="480" w:firstLineChars="200"/>
        <w:rPr>
          <w:rFonts w:ascii="宋体" w:hAnsi="宋体" w:cstheme="minorEastAsia"/>
          <w:color w:val="auto"/>
          <w:sz w:val="24"/>
        </w:rPr>
      </w:pPr>
      <w:r>
        <w:rPr>
          <w:rFonts w:hint="eastAsia" w:ascii="宋体" w:hAnsi="宋体" w:cstheme="minorEastAsia"/>
          <w:color w:val="auto"/>
          <w:sz w:val="24"/>
        </w:rPr>
        <w:t>宁波众远新材料科技有限公司是国家级高新技术企业、</w:t>
      </w:r>
      <w:r>
        <w:rPr>
          <w:rFonts w:hint="eastAsia" w:ascii="宋体" w:hAnsi="宋体"/>
          <w:color w:val="auto"/>
          <w:sz w:val="24"/>
        </w:rPr>
        <w:t>第七批</w:t>
      </w:r>
      <w:r>
        <w:rPr>
          <w:rFonts w:hint="eastAsia" w:ascii="宋体" w:hAnsi="宋体" w:cstheme="minorEastAsia"/>
          <w:color w:val="auto"/>
          <w:sz w:val="24"/>
        </w:rPr>
        <w:t>国家级专精特新“小巨人”企业，拥有浙江省省级材料研究院。众远专注于为航空航天、医疗健康、能源动力及高端装备制造等关键领域研发与规模化生产所需的高品质金属粉末材料，构建了覆盖高温合金、模具钢、钛合金、铝合金、不锈钢及铜和铜合金等核心材料，满足各行业严苛的应用需求。</w:t>
      </w:r>
    </w:p>
    <w:p w14:paraId="01E27E86">
      <w:pPr>
        <w:spacing w:line="360" w:lineRule="auto"/>
        <w:ind w:firstLine="425"/>
        <w:rPr>
          <w:rFonts w:ascii="宋体" w:hAnsi="宋体"/>
          <w:color w:val="auto"/>
        </w:rPr>
      </w:pPr>
    </w:p>
    <w:p w14:paraId="00D8C748">
      <w:pPr>
        <w:spacing w:line="360" w:lineRule="auto"/>
        <w:rPr>
          <w:rFonts w:ascii="宋体" w:hAnsi="宋体"/>
          <w:b/>
          <w:color w:val="auto"/>
          <w:sz w:val="24"/>
        </w:rPr>
      </w:pPr>
      <w:r>
        <w:rPr>
          <w:rFonts w:ascii="宋体" w:hAnsi="宋体"/>
          <w:b/>
          <w:color w:val="auto"/>
          <w:sz w:val="24"/>
        </w:rPr>
        <w:t>1.3.10</w:t>
      </w:r>
      <w:r>
        <w:rPr>
          <w:rFonts w:hint="eastAsia" w:ascii="宋体" w:hAnsi="宋体"/>
          <w:b/>
          <w:color w:val="auto"/>
          <w:sz w:val="24"/>
        </w:rPr>
        <w:t>宁</w:t>
      </w:r>
      <w:bookmarkStart w:id="15" w:name="OLE_LINK106"/>
      <w:bookmarkStart w:id="16" w:name="OLE_LINK107"/>
      <w:r>
        <w:rPr>
          <w:rFonts w:hint="eastAsia" w:ascii="宋体" w:hAnsi="宋体"/>
          <w:b/>
          <w:color w:val="auto"/>
          <w:sz w:val="24"/>
        </w:rPr>
        <w:t>波江丰电子材料股份有限公司</w:t>
      </w:r>
      <w:bookmarkEnd w:id="11"/>
      <w:bookmarkEnd w:id="12"/>
      <w:bookmarkEnd w:id="15"/>
      <w:bookmarkEnd w:id="16"/>
    </w:p>
    <w:p w14:paraId="2B4B8C81">
      <w:pPr>
        <w:spacing w:line="360" w:lineRule="auto"/>
        <w:ind w:firstLine="480" w:firstLineChars="200"/>
        <w:rPr>
          <w:rFonts w:ascii="宋体" w:hAnsi="宋体"/>
          <w:color w:val="auto"/>
          <w:sz w:val="24"/>
        </w:rPr>
      </w:pPr>
      <w:r>
        <w:rPr>
          <w:rFonts w:hint="eastAsia" w:ascii="宋体" w:hAnsi="宋体"/>
          <w:color w:val="auto"/>
          <w:sz w:val="24"/>
        </w:rPr>
        <w:t>宁波江丰电子材料股份有限公司成立于</w:t>
      </w:r>
      <w:r>
        <w:rPr>
          <w:rFonts w:ascii="宋体" w:hAnsi="宋体"/>
          <w:color w:val="auto"/>
          <w:sz w:val="24"/>
        </w:rPr>
        <w:t>2005年</w:t>
      </w:r>
      <w:r>
        <w:rPr>
          <w:rFonts w:hint="eastAsia" w:ascii="宋体" w:hAnsi="宋体"/>
          <w:color w:val="auto"/>
          <w:sz w:val="24"/>
        </w:rPr>
        <w:t>，是国内专业从事超大规模集成电路制造用超高纯金属溅射靶材研发、生产和销售的龙头企业，多次承担国家重大专项，打破国外垄断，填补了我国在这领域的空白。产品进入到全球最领先的</w:t>
      </w:r>
      <w:r>
        <w:rPr>
          <w:rFonts w:ascii="宋体" w:hAnsi="宋体"/>
          <w:color w:val="auto"/>
          <w:sz w:val="24"/>
        </w:rPr>
        <w:t>3纳米工艺，是三星电子、台积电、中芯国际的主要供应商，市场份额国内第一，全球市场第二。公司先后荣获国家技术发明二等奖、国家制造业单项冠军示范企业、国家技术创新示范企业等荣誉称号。2017年6月15日公司在深圳证券交易所成功上市，股票代码：300666。</w:t>
      </w:r>
    </w:p>
    <w:p w14:paraId="2B12EEBD">
      <w:pPr>
        <w:spacing w:line="360" w:lineRule="auto"/>
        <w:ind w:firstLine="480" w:firstLineChars="200"/>
        <w:rPr>
          <w:rFonts w:ascii="宋体" w:hAnsi="宋体"/>
          <w:color w:val="auto"/>
          <w:sz w:val="24"/>
        </w:rPr>
      </w:pPr>
    </w:p>
    <w:p w14:paraId="42795C1C">
      <w:pPr>
        <w:spacing w:line="360" w:lineRule="auto"/>
        <w:rPr>
          <w:rFonts w:ascii="宋体" w:hAnsi="宋体"/>
          <w:color w:val="auto"/>
          <w:sz w:val="24"/>
        </w:rPr>
      </w:pPr>
      <w:r>
        <w:rPr>
          <w:rFonts w:ascii="宋体" w:hAnsi="宋体"/>
          <w:b/>
          <w:bCs/>
          <w:color w:val="auto"/>
          <w:sz w:val="24"/>
        </w:rPr>
        <w:t>1.4</w:t>
      </w:r>
      <w:r>
        <w:rPr>
          <w:rFonts w:ascii="宋体" w:hAnsi="宋体"/>
          <w:color w:val="auto"/>
          <w:sz w:val="24"/>
        </w:rPr>
        <w:t xml:space="preserve"> </w:t>
      </w:r>
      <w:r>
        <w:rPr>
          <w:rFonts w:hint="eastAsia" w:ascii="宋体" w:hAnsi="宋体"/>
          <w:b/>
          <w:color w:val="auto"/>
          <w:sz w:val="24"/>
        </w:rPr>
        <w:t>起草单位及主要起草人工作情况</w:t>
      </w:r>
    </w:p>
    <w:p w14:paraId="44CF8679">
      <w:pPr>
        <w:spacing w:line="360" w:lineRule="auto"/>
        <w:ind w:firstLine="480" w:firstLineChars="200"/>
        <w:rPr>
          <w:rFonts w:ascii="宋体" w:hAnsi="宋体"/>
          <w:color w:val="auto"/>
          <w:sz w:val="24"/>
        </w:rPr>
      </w:pPr>
      <w:r>
        <w:rPr>
          <w:rFonts w:hint="eastAsia" w:ascii="宋体" w:hAnsi="宋体"/>
          <w:color w:val="auto"/>
          <w:sz w:val="24"/>
        </w:rPr>
        <w:t>任务下达后，与</w:t>
      </w:r>
      <w:r>
        <w:rPr>
          <w:rFonts w:ascii="宋体" w:hAnsi="宋体"/>
          <w:color w:val="auto"/>
          <w:sz w:val="24"/>
        </w:rPr>
        <w:t>东睦新材料集团股份有限公司</w:t>
      </w:r>
      <w:r>
        <w:rPr>
          <w:rFonts w:hint="eastAsia" w:ascii="宋体" w:hAnsi="宋体"/>
          <w:color w:val="auto"/>
          <w:sz w:val="24"/>
        </w:rPr>
        <w:t>、西北有色金属研究院、钢铁研究总院有限公司、格林美股份有限公司、厦门金鹭硬质合金有限公司、北京钢研高纳科技股份有限公司、厦门钨业股份有限公司、西安欧中材料科技股份有限公司、宁波众远新材料科技有限公司、宁波江丰电子材料股份有限公司等成立了标准工作组，标准主要起草人以及分工见表</w:t>
      </w:r>
      <w:r>
        <w:rPr>
          <w:rFonts w:ascii="宋体" w:hAnsi="宋体"/>
          <w:color w:val="auto"/>
          <w:sz w:val="24"/>
        </w:rPr>
        <w:t xml:space="preserve"> 1</w:t>
      </w:r>
      <w:r>
        <w:rPr>
          <w:rFonts w:hint="eastAsia" w:ascii="宋体" w:hAnsi="宋体"/>
          <w:color w:val="auto"/>
          <w:sz w:val="24"/>
        </w:rPr>
        <w:t>。</w:t>
      </w:r>
    </w:p>
    <w:p w14:paraId="44A6D321">
      <w:pPr>
        <w:spacing w:line="360" w:lineRule="auto"/>
        <w:ind w:left="359" w:leftChars="171" w:firstLine="2400" w:firstLineChars="1000"/>
        <w:rPr>
          <w:rFonts w:ascii="宋体" w:hAnsi="宋体"/>
          <w:color w:val="auto"/>
          <w:sz w:val="24"/>
        </w:rPr>
      </w:pPr>
      <w:bookmarkStart w:id="17" w:name="OLE_LINK68"/>
      <w:bookmarkStart w:id="18" w:name="OLE_LINK67"/>
      <w:r>
        <w:rPr>
          <w:rFonts w:hint="eastAsia" w:ascii="宋体" w:hAnsi="宋体"/>
          <w:color w:val="auto"/>
          <w:sz w:val="24"/>
        </w:rPr>
        <w:t>表</w:t>
      </w:r>
      <w:r>
        <w:rPr>
          <w:rFonts w:ascii="宋体" w:hAnsi="宋体"/>
          <w:color w:val="auto"/>
          <w:sz w:val="24"/>
        </w:rPr>
        <w:t xml:space="preserve">1 </w:t>
      </w:r>
      <w:r>
        <w:rPr>
          <w:rFonts w:hint="eastAsia" w:ascii="宋体" w:hAnsi="宋体"/>
          <w:color w:val="auto"/>
          <w:sz w:val="24"/>
        </w:rPr>
        <w:t>标准主要起草人及分工</w:t>
      </w:r>
    </w:p>
    <w:tbl>
      <w:tblPr>
        <w:tblStyle w:val="10"/>
        <w:tblW w:w="4967"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483"/>
        <w:gridCol w:w="3274"/>
        <w:gridCol w:w="4199"/>
      </w:tblGrid>
      <w:tr w14:paraId="54C6BDC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70" w:hRule="atLeast"/>
        </w:trPr>
        <w:tc>
          <w:tcPr>
            <w:tcW w:w="828" w:type="pct"/>
            <w:vAlign w:val="center"/>
          </w:tcPr>
          <w:p w14:paraId="4EFE62CB">
            <w:pPr>
              <w:adjustRightInd w:val="0"/>
              <w:snapToGrid w:val="0"/>
              <w:spacing w:line="360" w:lineRule="auto"/>
              <w:jc w:val="center"/>
              <w:rPr>
                <w:rFonts w:ascii="宋体" w:hAnsi="宋体"/>
                <w:color w:val="auto"/>
                <w:sz w:val="21"/>
                <w:szCs w:val="21"/>
              </w:rPr>
            </w:pPr>
            <w:bookmarkStart w:id="19" w:name="_Hlk517223113"/>
            <w:bookmarkStart w:id="20" w:name="OLE_LINK4" w:colFirst="0" w:colLast="3"/>
            <w:bookmarkStart w:id="21" w:name="OLE_LINK3" w:colFirst="0" w:colLast="3"/>
            <w:bookmarkStart w:id="22" w:name="OLE_LINK66"/>
            <w:r>
              <w:rPr>
                <w:rFonts w:hint="eastAsia" w:ascii="宋体" w:hAnsi="宋体"/>
                <w:color w:val="auto"/>
                <w:sz w:val="21"/>
                <w:szCs w:val="21"/>
              </w:rPr>
              <w:t>姓名</w:t>
            </w:r>
          </w:p>
        </w:tc>
        <w:tc>
          <w:tcPr>
            <w:tcW w:w="1828" w:type="pct"/>
            <w:vAlign w:val="center"/>
          </w:tcPr>
          <w:p w14:paraId="1020DC5E">
            <w:pPr>
              <w:adjustRightInd w:val="0"/>
              <w:snapToGrid w:val="0"/>
              <w:spacing w:line="360" w:lineRule="auto"/>
              <w:jc w:val="center"/>
              <w:rPr>
                <w:rFonts w:ascii="宋体" w:hAnsi="宋体"/>
                <w:color w:val="auto"/>
                <w:sz w:val="21"/>
                <w:szCs w:val="21"/>
              </w:rPr>
            </w:pPr>
            <w:r>
              <w:rPr>
                <w:rFonts w:hint="eastAsia" w:ascii="宋体" w:hAnsi="宋体"/>
                <w:color w:val="auto"/>
                <w:sz w:val="21"/>
                <w:szCs w:val="21"/>
              </w:rPr>
              <w:t>单位</w:t>
            </w:r>
          </w:p>
        </w:tc>
        <w:tc>
          <w:tcPr>
            <w:tcW w:w="2344" w:type="pct"/>
            <w:vAlign w:val="center"/>
          </w:tcPr>
          <w:p w14:paraId="35DC055E">
            <w:pPr>
              <w:adjustRightInd w:val="0"/>
              <w:snapToGrid w:val="0"/>
              <w:spacing w:line="360" w:lineRule="auto"/>
              <w:jc w:val="center"/>
              <w:rPr>
                <w:rFonts w:ascii="宋体" w:hAnsi="宋体"/>
                <w:color w:val="auto"/>
                <w:sz w:val="21"/>
                <w:szCs w:val="21"/>
              </w:rPr>
            </w:pPr>
            <w:r>
              <w:rPr>
                <w:rFonts w:hint="eastAsia" w:ascii="宋体" w:hAnsi="宋体"/>
                <w:color w:val="auto"/>
                <w:sz w:val="21"/>
                <w:szCs w:val="21"/>
              </w:rPr>
              <w:t>分工</w:t>
            </w:r>
          </w:p>
        </w:tc>
      </w:tr>
      <w:bookmarkEnd w:id="19"/>
      <w:bookmarkEnd w:id="20"/>
      <w:bookmarkEnd w:id="21"/>
      <w:tr w14:paraId="1C03013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70" w:hRule="atLeast"/>
        </w:trPr>
        <w:tc>
          <w:tcPr>
            <w:tcW w:w="828" w:type="pct"/>
            <w:shd w:val="clear" w:color="auto" w:fill="auto"/>
            <w:vAlign w:val="center"/>
          </w:tcPr>
          <w:p w14:paraId="3CFB7961">
            <w:pPr>
              <w:adjustRightInd w:val="0"/>
              <w:snapToGrid w:val="0"/>
              <w:spacing w:line="360" w:lineRule="auto"/>
              <w:jc w:val="center"/>
              <w:rPr>
                <w:rFonts w:ascii="宋体" w:hAnsi="宋体"/>
                <w:color w:val="auto"/>
                <w:sz w:val="21"/>
                <w:szCs w:val="21"/>
              </w:rPr>
            </w:pPr>
            <w:r>
              <w:rPr>
                <w:rFonts w:hint="eastAsia" w:ascii="宋体" w:hAnsi="宋体" w:eastAsia="宋体" w:cs="宋体"/>
                <w:color w:val="auto"/>
                <w:kern w:val="0"/>
                <w:sz w:val="21"/>
                <w:szCs w:val="21"/>
              </w:rPr>
              <w:t>黄志锋</w:t>
            </w:r>
          </w:p>
        </w:tc>
        <w:tc>
          <w:tcPr>
            <w:tcW w:w="1828" w:type="pct"/>
            <w:vAlign w:val="center"/>
          </w:tcPr>
          <w:p w14:paraId="166C4F77">
            <w:pPr>
              <w:adjustRightInd w:val="0"/>
              <w:snapToGrid w:val="0"/>
              <w:spacing w:line="360" w:lineRule="auto"/>
              <w:jc w:val="center"/>
              <w:rPr>
                <w:rFonts w:ascii="宋体" w:hAnsi="宋体"/>
                <w:color w:val="auto"/>
                <w:sz w:val="21"/>
                <w:szCs w:val="21"/>
              </w:rPr>
            </w:pPr>
            <w:bookmarkStart w:id="23" w:name="OLE_LINK96"/>
            <w:bookmarkStart w:id="24" w:name="OLE_LINK97"/>
            <w:r>
              <w:rPr>
                <w:rFonts w:hint="eastAsia" w:ascii="宋体" w:hAnsi="宋体"/>
                <w:color w:val="auto"/>
                <w:sz w:val="21"/>
                <w:szCs w:val="21"/>
              </w:rPr>
              <w:t>中南大学</w:t>
            </w:r>
            <w:bookmarkEnd w:id="23"/>
            <w:bookmarkEnd w:id="24"/>
          </w:p>
        </w:tc>
        <w:tc>
          <w:tcPr>
            <w:tcW w:w="2344" w:type="pct"/>
            <w:vAlign w:val="center"/>
          </w:tcPr>
          <w:p w14:paraId="787783AA">
            <w:pPr>
              <w:adjustRightInd w:val="0"/>
              <w:snapToGrid w:val="0"/>
              <w:spacing w:line="360" w:lineRule="auto"/>
              <w:jc w:val="center"/>
              <w:rPr>
                <w:rFonts w:ascii="宋体" w:hAnsi="宋体"/>
                <w:color w:val="auto"/>
                <w:sz w:val="21"/>
                <w:szCs w:val="21"/>
              </w:rPr>
            </w:pPr>
            <w:r>
              <w:rPr>
                <w:rFonts w:hint="eastAsia" w:ascii="宋体" w:hAnsi="宋体"/>
                <w:color w:val="auto"/>
                <w:sz w:val="21"/>
                <w:szCs w:val="21"/>
              </w:rPr>
              <w:t>负责全过程的标准编制、协调工作</w:t>
            </w:r>
          </w:p>
        </w:tc>
      </w:tr>
      <w:tr w14:paraId="7C0FDB1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70" w:hRule="atLeast"/>
        </w:trPr>
        <w:tc>
          <w:tcPr>
            <w:tcW w:w="828" w:type="pct"/>
            <w:shd w:val="clear" w:color="auto" w:fill="auto"/>
            <w:vAlign w:val="center"/>
          </w:tcPr>
          <w:p w14:paraId="5036DD73">
            <w:pPr>
              <w:adjustRightInd w:val="0"/>
              <w:snapToGrid w:val="0"/>
              <w:spacing w:line="360" w:lineRule="auto"/>
              <w:jc w:val="center"/>
              <w:rPr>
                <w:rFonts w:ascii="宋体" w:hAnsi="宋体"/>
                <w:color w:val="auto"/>
                <w:sz w:val="21"/>
                <w:szCs w:val="21"/>
              </w:rPr>
            </w:pPr>
            <w:r>
              <w:rPr>
                <w:rFonts w:hint="eastAsia" w:ascii="宋体" w:hAnsi="宋体" w:eastAsia="宋体" w:cs="宋体"/>
                <w:color w:val="auto"/>
                <w:kern w:val="0"/>
                <w:sz w:val="21"/>
                <w:szCs w:val="21"/>
              </w:rPr>
              <w:t>凌继容</w:t>
            </w:r>
          </w:p>
        </w:tc>
        <w:tc>
          <w:tcPr>
            <w:tcW w:w="1828" w:type="pct"/>
            <w:vAlign w:val="center"/>
          </w:tcPr>
          <w:p w14:paraId="63DA746B">
            <w:pPr>
              <w:adjustRightInd w:val="0"/>
              <w:snapToGrid w:val="0"/>
              <w:spacing w:line="360" w:lineRule="auto"/>
              <w:jc w:val="center"/>
              <w:rPr>
                <w:rFonts w:ascii="宋体" w:hAnsi="宋体"/>
                <w:color w:val="auto"/>
                <w:sz w:val="21"/>
                <w:szCs w:val="21"/>
              </w:rPr>
            </w:pPr>
            <w:r>
              <w:rPr>
                <w:rFonts w:hint="eastAsia" w:ascii="宋体" w:hAnsi="宋体"/>
                <w:color w:val="auto"/>
                <w:sz w:val="21"/>
                <w:szCs w:val="21"/>
              </w:rPr>
              <w:t>中南大学</w:t>
            </w:r>
          </w:p>
        </w:tc>
        <w:tc>
          <w:tcPr>
            <w:tcW w:w="2344" w:type="pct"/>
            <w:vAlign w:val="center"/>
          </w:tcPr>
          <w:p w14:paraId="4EB11F70">
            <w:pPr>
              <w:adjustRightInd w:val="0"/>
              <w:snapToGrid w:val="0"/>
              <w:spacing w:line="360" w:lineRule="auto"/>
              <w:jc w:val="center"/>
              <w:rPr>
                <w:rFonts w:ascii="宋体" w:hAnsi="宋体"/>
                <w:color w:val="auto"/>
                <w:sz w:val="21"/>
                <w:szCs w:val="21"/>
              </w:rPr>
            </w:pPr>
            <w:r>
              <w:rPr>
                <w:rFonts w:hint="eastAsia" w:ascii="宋体" w:hAnsi="宋体"/>
                <w:color w:val="auto"/>
                <w:sz w:val="21"/>
                <w:szCs w:val="21"/>
              </w:rPr>
              <w:t>负责全过程的标准编制、协调工作</w:t>
            </w:r>
          </w:p>
        </w:tc>
      </w:tr>
      <w:tr w14:paraId="04B928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70" w:hRule="atLeast"/>
        </w:trPr>
        <w:tc>
          <w:tcPr>
            <w:tcW w:w="828" w:type="pct"/>
            <w:shd w:val="clear" w:color="auto" w:fill="auto"/>
            <w:vAlign w:val="center"/>
          </w:tcPr>
          <w:p w14:paraId="68C161F4">
            <w:pPr>
              <w:adjustRightInd w:val="0"/>
              <w:snapToGrid w:val="0"/>
              <w:spacing w:line="360" w:lineRule="auto"/>
              <w:jc w:val="center"/>
              <w:rPr>
                <w:rFonts w:ascii="宋体" w:hAnsi="宋体"/>
                <w:color w:val="auto"/>
                <w:sz w:val="21"/>
                <w:szCs w:val="21"/>
              </w:rPr>
            </w:pPr>
            <w:r>
              <w:rPr>
                <w:rFonts w:hint="eastAsia" w:ascii="宋体" w:hAnsi="宋体" w:cs="宋体"/>
                <w:color w:val="auto"/>
                <w:kern w:val="0"/>
                <w:sz w:val="21"/>
                <w:szCs w:val="21"/>
              </w:rPr>
              <w:t>黄彰洪</w:t>
            </w:r>
          </w:p>
        </w:tc>
        <w:tc>
          <w:tcPr>
            <w:tcW w:w="1828" w:type="pct"/>
            <w:vAlign w:val="center"/>
          </w:tcPr>
          <w:p w14:paraId="5DD7AC6C">
            <w:pPr>
              <w:adjustRightInd w:val="0"/>
              <w:snapToGrid w:val="0"/>
              <w:spacing w:line="360" w:lineRule="auto"/>
              <w:jc w:val="center"/>
              <w:rPr>
                <w:rFonts w:ascii="宋体" w:hAnsi="宋体"/>
                <w:color w:val="auto"/>
                <w:sz w:val="21"/>
                <w:szCs w:val="21"/>
              </w:rPr>
            </w:pPr>
            <w:r>
              <w:rPr>
                <w:rFonts w:hint="eastAsia" w:ascii="宋体" w:hAnsi="宋体"/>
                <w:color w:val="auto"/>
                <w:sz w:val="21"/>
                <w:szCs w:val="21"/>
              </w:rPr>
              <w:t>中南大学</w:t>
            </w:r>
          </w:p>
        </w:tc>
        <w:tc>
          <w:tcPr>
            <w:tcW w:w="2344" w:type="pct"/>
            <w:vAlign w:val="center"/>
          </w:tcPr>
          <w:p w14:paraId="35FEA2D2">
            <w:pPr>
              <w:adjustRightInd w:val="0"/>
              <w:snapToGrid w:val="0"/>
              <w:spacing w:line="360" w:lineRule="auto"/>
              <w:jc w:val="center"/>
              <w:rPr>
                <w:rFonts w:ascii="宋体" w:hAnsi="宋体"/>
                <w:color w:val="auto"/>
                <w:sz w:val="21"/>
                <w:szCs w:val="21"/>
              </w:rPr>
            </w:pPr>
            <w:r>
              <w:rPr>
                <w:rFonts w:hint="eastAsia" w:ascii="宋体" w:hAnsi="宋体"/>
                <w:color w:val="auto"/>
                <w:sz w:val="21"/>
                <w:szCs w:val="21"/>
              </w:rPr>
              <w:t>负责标准编制、协调工作</w:t>
            </w:r>
          </w:p>
        </w:tc>
      </w:tr>
      <w:tr w14:paraId="3CBA60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70" w:hRule="atLeast"/>
        </w:trPr>
        <w:tc>
          <w:tcPr>
            <w:tcW w:w="828" w:type="pct"/>
            <w:shd w:val="clear" w:color="auto" w:fill="auto"/>
            <w:vAlign w:val="center"/>
          </w:tcPr>
          <w:p w14:paraId="02101B09">
            <w:pPr>
              <w:adjustRightInd w:val="0"/>
              <w:snapToGrid w:val="0"/>
              <w:spacing w:line="360" w:lineRule="auto"/>
              <w:jc w:val="center"/>
              <w:rPr>
                <w:rFonts w:ascii="宋体" w:hAnsi="宋体"/>
                <w:color w:val="auto"/>
                <w:sz w:val="21"/>
                <w:szCs w:val="21"/>
              </w:rPr>
            </w:pPr>
            <w:r>
              <w:rPr>
                <w:rFonts w:hint="eastAsia" w:ascii="宋体" w:hAnsi="宋体" w:eastAsia="宋体" w:cs="宋体"/>
                <w:color w:val="auto"/>
                <w:kern w:val="0"/>
                <w:sz w:val="21"/>
                <w:szCs w:val="21"/>
              </w:rPr>
              <w:t>王倩</w:t>
            </w:r>
          </w:p>
        </w:tc>
        <w:tc>
          <w:tcPr>
            <w:tcW w:w="1828" w:type="pct"/>
            <w:vAlign w:val="center"/>
          </w:tcPr>
          <w:p w14:paraId="3EE9D2E7">
            <w:pPr>
              <w:adjustRightInd w:val="0"/>
              <w:snapToGrid w:val="0"/>
              <w:spacing w:line="360" w:lineRule="auto"/>
              <w:jc w:val="center"/>
              <w:rPr>
                <w:rFonts w:ascii="宋体" w:hAnsi="宋体"/>
                <w:color w:val="auto"/>
                <w:sz w:val="21"/>
                <w:szCs w:val="21"/>
              </w:rPr>
            </w:pPr>
            <w:r>
              <w:rPr>
                <w:rFonts w:hint="eastAsia" w:ascii="宋体" w:hAnsi="宋体"/>
                <w:color w:val="auto"/>
                <w:sz w:val="21"/>
                <w:szCs w:val="21"/>
              </w:rPr>
              <w:t>中南大学</w:t>
            </w:r>
          </w:p>
        </w:tc>
        <w:tc>
          <w:tcPr>
            <w:tcW w:w="2344" w:type="pct"/>
            <w:vAlign w:val="center"/>
          </w:tcPr>
          <w:p w14:paraId="2B4CCF53">
            <w:pPr>
              <w:adjustRightInd w:val="0"/>
              <w:snapToGrid w:val="0"/>
              <w:spacing w:line="360" w:lineRule="auto"/>
              <w:jc w:val="center"/>
              <w:rPr>
                <w:rFonts w:ascii="宋体" w:hAnsi="宋体"/>
                <w:color w:val="auto"/>
                <w:sz w:val="21"/>
                <w:szCs w:val="21"/>
              </w:rPr>
            </w:pPr>
            <w:r>
              <w:rPr>
                <w:rFonts w:hint="eastAsia" w:ascii="宋体" w:hAnsi="宋体"/>
                <w:color w:val="auto"/>
                <w:sz w:val="21"/>
                <w:szCs w:val="21"/>
              </w:rPr>
              <w:t>负责标准编制、协调工作</w:t>
            </w:r>
          </w:p>
        </w:tc>
      </w:tr>
      <w:tr w14:paraId="0BAA097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828" w:type="pct"/>
            <w:shd w:val="clear" w:color="auto" w:fill="auto"/>
            <w:vAlign w:val="center"/>
          </w:tcPr>
          <w:p w14:paraId="676AE124">
            <w:pPr>
              <w:adjustRightInd w:val="0"/>
              <w:snapToGrid w:val="0"/>
              <w:spacing w:line="360" w:lineRule="auto"/>
              <w:jc w:val="center"/>
              <w:rPr>
                <w:rFonts w:ascii="宋体" w:hAnsi="宋体"/>
                <w:color w:val="auto"/>
                <w:sz w:val="21"/>
                <w:szCs w:val="21"/>
              </w:rPr>
            </w:pPr>
            <w:bookmarkStart w:id="25" w:name="_Hlk221264696"/>
            <w:bookmarkStart w:id="26" w:name="_Hlk221264958"/>
            <w:r>
              <w:rPr>
                <w:rFonts w:hint="eastAsia" w:ascii="宋体" w:hAnsi="宋体" w:cs="宋体"/>
                <w:color w:val="auto"/>
                <w:kern w:val="0"/>
                <w:sz w:val="21"/>
                <w:szCs w:val="21"/>
              </w:rPr>
              <w:t>包崇玺</w:t>
            </w:r>
          </w:p>
        </w:tc>
        <w:tc>
          <w:tcPr>
            <w:tcW w:w="1828" w:type="pct"/>
            <w:shd w:val="clear" w:color="auto" w:fill="auto"/>
            <w:vAlign w:val="center"/>
          </w:tcPr>
          <w:p w14:paraId="0A4C1339">
            <w:pPr>
              <w:adjustRightInd w:val="0"/>
              <w:snapToGrid w:val="0"/>
              <w:spacing w:line="360" w:lineRule="auto"/>
              <w:jc w:val="center"/>
              <w:rPr>
                <w:rFonts w:ascii="宋体" w:hAnsi="宋体"/>
                <w:color w:val="auto"/>
                <w:sz w:val="21"/>
                <w:szCs w:val="21"/>
              </w:rPr>
            </w:pPr>
            <w:r>
              <w:rPr>
                <w:rFonts w:hint="eastAsia" w:ascii="宋体" w:hAnsi="宋体" w:cs="宋体"/>
                <w:color w:val="auto"/>
                <w:kern w:val="0"/>
                <w:sz w:val="21"/>
                <w:szCs w:val="21"/>
              </w:rPr>
              <w:t>东睦新材料集团股份有限公司</w:t>
            </w:r>
          </w:p>
        </w:tc>
        <w:tc>
          <w:tcPr>
            <w:tcW w:w="2344" w:type="pct"/>
            <w:vAlign w:val="center"/>
          </w:tcPr>
          <w:p w14:paraId="22FE2A50">
            <w:pPr>
              <w:adjustRightInd w:val="0"/>
              <w:snapToGrid w:val="0"/>
              <w:spacing w:line="360" w:lineRule="auto"/>
              <w:jc w:val="center"/>
              <w:rPr>
                <w:rFonts w:ascii="宋体" w:hAnsi="宋体"/>
                <w:color w:val="auto"/>
                <w:sz w:val="21"/>
                <w:szCs w:val="21"/>
              </w:rPr>
            </w:pPr>
            <w:r>
              <w:rPr>
                <w:rFonts w:hint="eastAsia" w:ascii="宋体" w:hAnsi="宋体"/>
                <w:color w:val="auto"/>
                <w:sz w:val="21"/>
                <w:szCs w:val="21"/>
              </w:rPr>
              <w:t>参与标准起草，主要负责模具术语起草</w:t>
            </w:r>
          </w:p>
        </w:tc>
      </w:tr>
      <w:tr w14:paraId="5F14BB5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70" w:hRule="atLeast"/>
        </w:trPr>
        <w:tc>
          <w:tcPr>
            <w:tcW w:w="828" w:type="pct"/>
            <w:shd w:val="clear" w:color="auto" w:fill="auto"/>
            <w:vAlign w:val="center"/>
          </w:tcPr>
          <w:p w14:paraId="153A023C">
            <w:pPr>
              <w:adjustRightInd w:val="0"/>
              <w:snapToGrid w:val="0"/>
              <w:spacing w:line="360" w:lineRule="auto"/>
              <w:jc w:val="center"/>
              <w:rPr>
                <w:rFonts w:ascii="宋体" w:hAnsi="宋体"/>
                <w:color w:val="auto"/>
                <w:sz w:val="21"/>
                <w:szCs w:val="21"/>
              </w:rPr>
            </w:pPr>
            <w:r>
              <w:rPr>
                <w:rFonts w:hint="eastAsia" w:ascii="宋体" w:hAnsi="宋体" w:cs="宋体"/>
                <w:color w:val="auto"/>
                <w:kern w:val="0"/>
                <w:sz w:val="21"/>
                <w:szCs w:val="21"/>
              </w:rPr>
              <w:t>朱承旭</w:t>
            </w:r>
          </w:p>
        </w:tc>
        <w:tc>
          <w:tcPr>
            <w:tcW w:w="1828" w:type="pct"/>
            <w:shd w:val="clear" w:color="auto" w:fill="auto"/>
            <w:vAlign w:val="center"/>
          </w:tcPr>
          <w:p w14:paraId="6D746FC4">
            <w:pPr>
              <w:adjustRightInd w:val="0"/>
              <w:snapToGrid w:val="0"/>
              <w:spacing w:line="360" w:lineRule="auto"/>
              <w:jc w:val="center"/>
              <w:rPr>
                <w:rFonts w:ascii="宋体" w:hAnsi="宋体"/>
                <w:color w:val="auto"/>
                <w:sz w:val="21"/>
                <w:szCs w:val="21"/>
              </w:rPr>
            </w:pPr>
            <w:r>
              <w:rPr>
                <w:rFonts w:hint="eastAsia" w:ascii="宋体" w:hAnsi="宋体" w:cs="宋体"/>
                <w:color w:val="auto"/>
                <w:kern w:val="0"/>
                <w:sz w:val="21"/>
                <w:szCs w:val="21"/>
              </w:rPr>
              <w:t>东睦新材料集团股份有限公司</w:t>
            </w:r>
          </w:p>
        </w:tc>
        <w:tc>
          <w:tcPr>
            <w:tcW w:w="2344" w:type="pct"/>
            <w:vAlign w:val="center"/>
          </w:tcPr>
          <w:p w14:paraId="59885AEA">
            <w:pPr>
              <w:adjustRightInd w:val="0"/>
              <w:snapToGrid w:val="0"/>
              <w:spacing w:line="360" w:lineRule="auto"/>
              <w:jc w:val="center"/>
              <w:rPr>
                <w:rFonts w:ascii="宋体" w:hAnsi="宋体"/>
                <w:color w:val="auto"/>
                <w:sz w:val="21"/>
                <w:szCs w:val="21"/>
              </w:rPr>
            </w:pPr>
            <w:r>
              <w:rPr>
                <w:rFonts w:hint="eastAsia" w:ascii="宋体" w:hAnsi="宋体"/>
                <w:color w:val="auto"/>
                <w:sz w:val="21"/>
                <w:szCs w:val="21"/>
              </w:rPr>
              <w:t>参与标准起草，资料收集，提供相关验证</w:t>
            </w:r>
          </w:p>
        </w:tc>
      </w:tr>
      <w:tr w14:paraId="6303A18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70" w:hRule="atLeast"/>
        </w:trPr>
        <w:tc>
          <w:tcPr>
            <w:tcW w:w="828" w:type="pct"/>
            <w:shd w:val="clear" w:color="auto" w:fill="auto"/>
            <w:vAlign w:val="center"/>
          </w:tcPr>
          <w:p w14:paraId="3963EDDE">
            <w:pPr>
              <w:adjustRightInd w:val="0"/>
              <w:snapToGrid w:val="0"/>
              <w:spacing w:line="360" w:lineRule="auto"/>
              <w:jc w:val="center"/>
              <w:rPr>
                <w:rFonts w:ascii="宋体" w:hAnsi="宋体"/>
                <w:color w:val="auto"/>
                <w:sz w:val="21"/>
                <w:szCs w:val="21"/>
              </w:rPr>
            </w:pPr>
            <w:r>
              <w:rPr>
                <w:rFonts w:hint="eastAsia" w:ascii="宋体" w:hAnsi="宋体" w:cs="宋体"/>
                <w:color w:val="auto"/>
                <w:kern w:val="0"/>
                <w:sz w:val="21"/>
                <w:szCs w:val="21"/>
              </w:rPr>
              <w:t>魏琼</w:t>
            </w:r>
          </w:p>
        </w:tc>
        <w:tc>
          <w:tcPr>
            <w:tcW w:w="1828" w:type="pct"/>
            <w:shd w:val="clear" w:color="auto" w:fill="auto"/>
            <w:vAlign w:val="center"/>
          </w:tcPr>
          <w:p w14:paraId="49A941C1">
            <w:pPr>
              <w:adjustRightInd w:val="0"/>
              <w:snapToGrid w:val="0"/>
              <w:spacing w:line="360" w:lineRule="auto"/>
              <w:jc w:val="center"/>
              <w:rPr>
                <w:rFonts w:ascii="宋体" w:hAnsi="宋体"/>
                <w:color w:val="auto"/>
                <w:sz w:val="21"/>
                <w:szCs w:val="21"/>
              </w:rPr>
            </w:pPr>
            <w:r>
              <w:rPr>
                <w:rFonts w:hint="eastAsia" w:ascii="宋体" w:hAnsi="宋体" w:cs="宋体"/>
                <w:color w:val="auto"/>
                <w:kern w:val="0"/>
                <w:sz w:val="21"/>
                <w:szCs w:val="21"/>
              </w:rPr>
              <w:t>格林美股份有限公司</w:t>
            </w:r>
          </w:p>
        </w:tc>
        <w:tc>
          <w:tcPr>
            <w:tcW w:w="2344" w:type="pct"/>
            <w:vAlign w:val="center"/>
          </w:tcPr>
          <w:p w14:paraId="4B06E81E">
            <w:pPr>
              <w:adjustRightInd w:val="0"/>
              <w:snapToGrid w:val="0"/>
              <w:spacing w:line="360" w:lineRule="auto"/>
              <w:jc w:val="center"/>
              <w:rPr>
                <w:rFonts w:ascii="宋体" w:hAnsi="宋体"/>
                <w:color w:val="auto"/>
                <w:sz w:val="21"/>
                <w:szCs w:val="21"/>
              </w:rPr>
            </w:pPr>
            <w:r>
              <w:rPr>
                <w:rFonts w:hint="eastAsia" w:ascii="宋体" w:hAnsi="宋体"/>
                <w:color w:val="auto"/>
                <w:sz w:val="21"/>
                <w:szCs w:val="21"/>
              </w:rPr>
              <w:t>参与标准起草，资料收集，提供相关验证</w:t>
            </w:r>
          </w:p>
        </w:tc>
      </w:tr>
      <w:bookmarkEnd w:id="25"/>
      <w:tr w14:paraId="75031E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70" w:hRule="atLeast"/>
        </w:trPr>
        <w:tc>
          <w:tcPr>
            <w:tcW w:w="828" w:type="pct"/>
            <w:shd w:val="clear" w:color="auto" w:fill="auto"/>
            <w:vAlign w:val="center"/>
          </w:tcPr>
          <w:p w14:paraId="1D59E2E9">
            <w:pPr>
              <w:adjustRightInd w:val="0"/>
              <w:snapToGrid w:val="0"/>
              <w:spacing w:line="360" w:lineRule="auto"/>
              <w:jc w:val="center"/>
              <w:rPr>
                <w:rFonts w:ascii="宋体" w:hAnsi="宋体"/>
                <w:color w:val="auto"/>
                <w:sz w:val="21"/>
                <w:szCs w:val="21"/>
              </w:rPr>
            </w:pPr>
            <w:r>
              <w:rPr>
                <w:rFonts w:hint="eastAsia" w:ascii="宋体" w:hAnsi="宋体" w:cs="宋体"/>
                <w:color w:val="auto"/>
                <w:kern w:val="0"/>
                <w:sz w:val="21"/>
                <w:szCs w:val="21"/>
              </w:rPr>
              <w:t>王建忠</w:t>
            </w:r>
          </w:p>
        </w:tc>
        <w:tc>
          <w:tcPr>
            <w:tcW w:w="1828" w:type="pct"/>
            <w:shd w:val="clear" w:color="auto" w:fill="auto"/>
            <w:vAlign w:val="center"/>
          </w:tcPr>
          <w:p w14:paraId="1C62D711">
            <w:pPr>
              <w:adjustRightInd w:val="0"/>
              <w:snapToGrid w:val="0"/>
              <w:spacing w:line="360" w:lineRule="auto"/>
              <w:jc w:val="center"/>
              <w:rPr>
                <w:rFonts w:ascii="宋体" w:hAnsi="宋体"/>
                <w:color w:val="auto"/>
                <w:sz w:val="21"/>
                <w:szCs w:val="21"/>
              </w:rPr>
            </w:pPr>
            <w:r>
              <w:rPr>
                <w:rFonts w:hint="eastAsia" w:ascii="宋体" w:hAnsi="宋体" w:cs="宋体"/>
                <w:color w:val="auto"/>
                <w:kern w:val="0"/>
                <w:sz w:val="21"/>
                <w:szCs w:val="21"/>
              </w:rPr>
              <w:t>西北有色金属研究院</w:t>
            </w:r>
          </w:p>
        </w:tc>
        <w:tc>
          <w:tcPr>
            <w:tcW w:w="2344" w:type="pct"/>
            <w:vAlign w:val="center"/>
          </w:tcPr>
          <w:p w14:paraId="31DC8C67">
            <w:pPr>
              <w:adjustRightInd w:val="0"/>
              <w:snapToGrid w:val="0"/>
              <w:spacing w:line="360" w:lineRule="auto"/>
              <w:jc w:val="center"/>
              <w:rPr>
                <w:rFonts w:ascii="宋体" w:hAnsi="宋体"/>
                <w:color w:val="auto"/>
                <w:sz w:val="21"/>
                <w:szCs w:val="21"/>
              </w:rPr>
            </w:pPr>
            <w:bookmarkStart w:id="27" w:name="OLE_LINK44"/>
            <w:bookmarkStart w:id="28" w:name="OLE_LINK19"/>
            <w:r>
              <w:rPr>
                <w:rFonts w:hint="eastAsia" w:ascii="宋体" w:hAnsi="宋体"/>
                <w:color w:val="auto"/>
                <w:sz w:val="21"/>
                <w:szCs w:val="21"/>
              </w:rPr>
              <w:t>参与标准起草，资料收集，提供相关验证</w:t>
            </w:r>
            <w:bookmarkEnd w:id="27"/>
            <w:bookmarkEnd w:id="28"/>
          </w:p>
        </w:tc>
      </w:tr>
      <w:tr w14:paraId="099D471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70" w:hRule="atLeast"/>
        </w:trPr>
        <w:tc>
          <w:tcPr>
            <w:tcW w:w="828" w:type="pct"/>
            <w:shd w:val="clear" w:color="auto" w:fill="auto"/>
            <w:vAlign w:val="center"/>
          </w:tcPr>
          <w:p w14:paraId="13A53311">
            <w:pPr>
              <w:adjustRightInd w:val="0"/>
              <w:snapToGrid w:val="0"/>
              <w:spacing w:line="360" w:lineRule="auto"/>
              <w:jc w:val="center"/>
              <w:rPr>
                <w:rFonts w:ascii="宋体" w:hAnsi="宋体"/>
                <w:color w:val="auto"/>
                <w:sz w:val="21"/>
                <w:szCs w:val="21"/>
              </w:rPr>
            </w:pPr>
            <w:r>
              <w:rPr>
                <w:rFonts w:hint="eastAsia" w:ascii="宋体" w:hAnsi="宋体" w:cs="宋体"/>
                <w:color w:val="auto"/>
                <w:kern w:val="0"/>
                <w:sz w:val="21"/>
                <w:szCs w:val="21"/>
              </w:rPr>
              <w:t>白瑞敏</w:t>
            </w:r>
          </w:p>
        </w:tc>
        <w:tc>
          <w:tcPr>
            <w:tcW w:w="1828" w:type="pct"/>
            <w:shd w:val="clear" w:color="auto" w:fill="auto"/>
            <w:vAlign w:val="center"/>
          </w:tcPr>
          <w:p w14:paraId="43A4D257">
            <w:pPr>
              <w:adjustRightInd w:val="0"/>
              <w:snapToGrid w:val="0"/>
              <w:spacing w:line="360" w:lineRule="auto"/>
              <w:jc w:val="center"/>
              <w:rPr>
                <w:rFonts w:ascii="宋体" w:hAnsi="宋体"/>
                <w:color w:val="auto"/>
                <w:sz w:val="21"/>
                <w:szCs w:val="21"/>
              </w:rPr>
            </w:pPr>
            <w:r>
              <w:rPr>
                <w:rFonts w:hint="eastAsia" w:ascii="宋体" w:hAnsi="宋体" w:cs="宋体"/>
                <w:color w:val="auto"/>
                <w:kern w:val="0"/>
                <w:sz w:val="21"/>
                <w:szCs w:val="21"/>
              </w:rPr>
              <w:t>西安欧中材料科技股份有限公司</w:t>
            </w:r>
          </w:p>
        </w:tc>
        <w:tc>
          <w:tcPr>
            <w:tcW w:w="2344" w:type="pct"/>
            <w:vAlign w:val="center"/>
          </w:tcPr>
          <w:p w14:paraId="002AEB9B">
            <w:pPr>
              <w:adjustRightInd w:val="0"/>
              <w:snapToGrid w:val="0"/>
              <w:spacing w:line="360" w:lineRule="auto"/>
              <w:jc w:val="center"/>
              <w:rPr>
                <w:rFonts w:ascii="宋体" w:hAnsi="宋体"/>
                <w:color w:val="auto"/>
                <w:sz w:val="21"/>
                <w:szCs w:val="21"/>
              </w:rPr>
            </w:pPr>
            <w:bookmarkStart w:id="29" w:name="OLE_LINK45"/>
            <w:r>
              <w:rPr>
                <w:rFonts w:hint="eastAsia" w:ascii="宋体" w:hAnsi="宋体"/>
                <w:color w:val="auto"/>
                <w:sz w:val="21"/>
                <w:szCs w:val="21"/>
              </w:rPr>
              <w:t>参与标准起草，资料收集，提供相关验证</w:t>
            </w:r>
            <w:bookmarkEnd w:id="29"/>
          </w:p>
        </w:tc>
      </w:tr>
      <w:tr w14:paraId="0678674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70" w:hRule="atLeast"/>
        </w:trPr>
        <w:tc>
          <w:tcPr>
            <w:tcW w:w="828" w:type="pct"/>
            <w:shd w:val="clear" w:color="auto" w:fill="auto"/>
            <w:vAlign w:val="center"/>
          </w:tcPr>
          <w:p w14:paraId="71BD1685">
            <w:pPr>
              <w:adjustRightInd w:val="0"/>
              <w:snapToGrid w:val="0"/>
              <w:spacing w:line="360" w:lineRule="auto"/>
              <w:jc w:val="center"/>
              <w:rPr>
                <w:rFonts w:ascii="宋体" w:hAnsi="宋体"/>
                <w:color w:val="auto"/>
                <w:sz w:val="21"/>
                <w:szCs w:val="21"/>
              </w:rPr>
            </w:pPr>
            <w:bookmarkStart w:id="30" w:name="_Hlk194849746"/>
            <w:bookmarkStart w:id="31" w:name="_Hlk221264709"/>
            <w:r>
              <w:rPr>
                <w:rFonts w:hint="eastAsia" w:ascii="宋体" w:hAnsi="宋体" w:cs="宋体"/>
                <w:color w:val="auto"/>
                <w:kern w:val="0"/>
                <w:sz w:val="21"/>
                <w:szCs w:val="21"/>
              </w:rPr>
              <w:t>罗志强</w:t>
            </w:r>
          </w:p>
        </w:tc>
        <w:tc>
          <w:tcPr>
            <w:tcW w:w="1828" w:type="pct"/>
            <w:shd w:val="clear" w:color="auto" w:fill="auto"/>
            <w:vAlign w:val="center"/>
          </w:tcPr>
          <w:p w14:paraId="7E15DA60">
            <w:pPr>
              <w:adjustRightInd w:val="0"/>
              <w:snapToGrid w:val="0"/>
              <w:spacing w:line="360" w:lineRule="auto"/>
              <w:jc w:val="center"/>
              <w:rPr>
                <w:rFonts w:ascii="宋体" w:hAnsi="宋体"/>
                <w:color w:val="auto"/>
                <w:sz w:val="21"/>
                <w:szCs w:val="21"/>
              </w:rPr>
            </w:pPr>
            <w:r>
              <w:rPr>
                <w:rFonts w:hint="eastAsia" w:ascii="宋体" w:hAnsi="宋体" w:cs="宋体"/>
                <w:color w:val="auto"/>
                <w:kern w:val="0"/>
                <w:sz w:val="21"/>
                <w:szCs w:val="21"/>
              </w:rPr>
              <w:t>北京钢研高纳科技股份有限公司</w:t>
            </w:r>
          </w:p>
        </w:tc>
        <w:tc>
          <w:tcPr>
            <w:tcW w:w="2344" w:type="pct"/>
            <w:vAlign w:val="center"/>
          </w:tcPr>
          <w:p w14:paraId="08FA5415">
            <w:pPr>
              <w:adjustRightInd w:val="0"/>
              <w:snapToGrid w:val="0"/>
              <w:spacing w:line="360" w:lineRule="auto"/>
              <w:jc w:val="center"/>
              <w:rPr>
                <w:rFonts w:ascii="宋体" w:hAnsi="宋体"/>
                <w:color w:val="auto"/>
                <w:sz w:val="21"/>
                <w:szCs w:val="21"/>
              </w:rPr>
            </w:pPr>
            <w:r>
              <w:rPr>
                <w:rFonts w:hint="eastAsia" w:ascii="宋体" w:hAnsi="宋体"/>
                <w:color w:val="auto"/>
                <w:sz w:val="21"/>
                <w:szCs w:val="21"/>
              </w:rPr>
              <w:t>参与标准起草，资料收集，提供相关验证</w:t>
            </w:r>
          </w:p>
        </w:tc>
      </w:tr>
      <w:bookmarkEnd w:id="30"/>
      <w:tr w14:paraId="06D0487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70" w:hRule="atLeast"/>
        </w:trPr>
        <w:tc>
          <w:tcPr>
            <w:tcW w:w="828" w:type="pct"/>
            <w:shd w:val="clear" w:color="auto" w:fill="auto"/>
            <w:vAlign w:val="center"/>
          </w:tcPr>
          <w:p w14:paraId="69D8D71C">
            <w:pPr>
              <w:adjustRightInd w:val="0"/>
              <w:snapToGrid w:val="0"/>
              <w:spacing w:line="360" w:lineRule="auto"/>
              <w:jc w:val="center"/>
              <w:rPr>
                <w:rFonts w:ascii="宋体" w:hAnsi="宋体"/>
                <w:color w:val="auto"/>
                <w:sz w:val="21"/>
                <w:szCs w:val="21"/>
              </w:rPr>
            </w:pPr>
            <w:r>
              <w:rPr>
                <w:rFonts w:hint="eastAsia" w:ascii="宋体" w:hAnsi="宋体" w:cs="宋体"/>
                <w:color w:val="auto"/>
                <w:kern w:val="0"/>
                <w:sz w:val="21"/>
                <w:szCs w:val="21"/>
              </w:rPr>
              <w:t>刘超</w:t>
            </w:r>
          </w:p>
        </w:tc>
        <w:tc>
          <w:tcPr>
            <w:tcW w:w="1828" w:type="pct"/>
            <w:shd w:val="clear" w:color="auto" w:fill="auto"/>
            <w:vAlign w:val="center"/>
          </w:tcPr>
          <w:p w14:paraId="3EC149B4">
            <w:pPr>
              <w:adjustRightInd w:val="0"/>
              <w:snapToGrid w:val="0"/>
              <w:spacing w:line="360" w:lineRule="auto"/>
              <w:jc w:val="center"/>
              <w:rPr>
                <w:rFonts w:ascii="宋体" w:hAnsi="宋体"/>
                <w:color w:val="auto"/>
                <w:sz w:val="21"/>
                <w:szCs w:val="21"/>
              </w:rPr>
            </w:pPr>
            <w:bookmarkStart w:id="32" w:name="OLE_LINK16"/>
            <w:bookmarkStart w:id="33" w:name="OLE_LINK17"/>
            <w:bookmarkStart w:id="34" w:name="OLE_LINK18"/>
            <w:r>
              <w:rPr>
                <w:rFonts w:hint="eastAsia" w:ascii="宋体" w:hAnsi="宋体" w:cs="宋体"/>
                <w:color w:val="auto"/>
                <w:kern w:val="0"/>
                <w:sz w:val="21"/>
                <w:szCs w:val="21"/>
              </w:rPr>
              <w:t>厦门钨业股份有限公司</w:t>
            </w:r>
            <w:bookmarkEnd w:id="32"/>
            <w:bookmarkEnd w:id="33"/>
            <w:bookmarkEnd w:id="34"/>
          </w:p>
        </w:tc>
        <w:tc>
          <w:tcPr>
            <w:tcW w:w="2344" w:type="pct"/>
            <w:vAlign w:val="center"/>
          </w:tcPr>
          <w:p w14:paraId="397CE0FE">
            <w:pPr>
              <w:adjustRightInd w:val="0"/>
              <w:snapToGrid w:val="0"/>
              <w:spacing w:line="360" w:lineRule="auto"/>
              <w:jc w:val="center"/>
              <w:rPr>
                <w:rFonts w:ascii="宋体" w:hAnsi="宋体"/>
                <w:color w:val="auto"/>
                <w:sz w:val="21"/>
                <w:szCs w:val="21"/>
              </w:rPr>
            </w:pPr>
            <w:r>
              <w:rPr>
                <w:rFonts w:hint="eastAsia" w:ascii="宋体" w:hAnsi="宋体"/>
                <w:color w:val="auto"/>
                <w:sz w:val="21"/>
                <w:szCs w:val="21"/>
              </w:rPr>
              <w:t>参与标准起草，资料收集，提供相关验证</w:t>
            </w:r>
          </w:p>
        </w:tc>
      </w:tr>
      <w:bookmarkEnd w:id="31"/>
      <w:tr w14:paraId="475F032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70" w:hRule="atLeast"/>
        </w:trPr>
        <w:tc>
          <w:tcPr>
            <w:tcW w:w="828" w:type="pct"/>
            <w:shd w:val="clear" w:color="auto" w:fill="auto"/>
            <w:vAlign w:val="center"/>
          </w:tcPr>
          <w:p w14:paraId="541F94E4">
            <w:pPr>
              <w:adjustRightInd w:val="0"/>
              <w:snapToGrid w:val="0"/>
              <w:spacing w:line="360" w:lineRule="auto"/>
              <w:jc w:val="center"/>
              <w:rPr>
                <w:rFonts w:ascii="宋体" w:hAnsi="宋体"/>
                <w:color w:val="auto"/>
                <w:sz w:val="21"/>
                <w:szCs w:val="21"/>
              </w:rPr>
            </w:pPr>
            <w:r>
              <w:rPr>
                <w:rFonts w:hint="eastAsia" w:ascii="宋体" w:hAnsi="宋体" w:cs="宋体"/>
                <w:color w:val="auto"/>
                <w:kern w:val="0"/>
                <w:sz w:val="21"/>
                <w:szCs w:val="21"/>
              </w:rPr>
              <w:t>谢海唯</w:t>
            </w:r>
          </w:p>
        </w:tc>
        <w:tc>
          <w:tcPr>
            <w:tcW w:w="1828" w:type="pct"/>
            <w:shd w:val="clear" w:color="auto" w:fill="auto"/>
            <w:vAlign w:val="center"/>
          </w:tcPr>
          <w:p w14:paraId="5A9FD734">
            <w:pPr>
              <w:adjustRightInd w:val="0"/>
              <w:snapToGrid w:val="0"/>
              <w:spacing w:line="360" w:lineRule="auto"/>
              <w:jc w:val="center"/>
              <w:rPr>
                <w:rFonts w:ascii="宋体" w:hAnsi="宋体"/>
                <w:color w:val="auto"/>
                <w:sz w:val="21"/>
                <w:szCs w:val="21"/>
              </w:rPr>
            </w:pPr>
            <w:r>
              <w:rPr>
                <w:rFonts w:hint="eastAsia" w:ascii="宋体" w:hAnsi="宋体" w:cs="宋体"/>
                <w:color w:val="auto"/>
                <w:kern w:val="0"/>
                <w:sz w:val="21"/>
                <w:szCs w:val="21"/>
              </w:rPr>
              <w:t>厦门金鹭硬质合金有限公司</w:t>
            </w:r>
          </w:p>
        </w:tc>
        <w:tc>
          <w:tcPr>
            <w:tcW w:w="2344" w:type="pct"/>
            <w:vAlign w:val="center"/>
          </w:tcPr>
          <w:p w14:paraId="5F4724E3">
            <w:pPr>
              <w:adjustRightInd w:val="0"/>
              <w:snapToGrid w:val="0"/>
              <w:spacing w:line="360" w:lineRule="auto"/>
              <w:ind w:firstLine="0" w:firstLineChars="0"/>
              <w:rPr>
                <w:rFonts w:ascii="宋体" w:hAnsi="宋体"/>
                <w:color w:val="auto"/>
                <w:sz w:val="21"/>
                <w:szCs w:val="21"/>
              </w:rPr>
            </w:pPr>
            <w:r>
              <w:rPr>
                <w:rFonts w:hint="eastAsia" w:ascii="宋体" w:hAnsi="宋体"/>
                <w:color w:val="auto"/>
                <w:sz w:val="21"/>
                <w:szCs w:val="21"/>
              </w:rPr>
              <w:t>参与标准起草，资料收集，提供相关验证</w:t>
            </w:r>
          </w:p>
        </w:tc>
      </w:tr>
      <w:tr w14:paraId="1F471B8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70" w:hRule="atLeast"/>
        </w:trPr>
        <w:tc>
          <w:tcPr>
            <w:tcW w:w="828" w:type="pct"/>
            <w:shd w:val="clear" w:color="auto" w:fill="auto"/>
            <w:vAlign w:val="center"/>
          </w:tcPr>
          <w:p w14:paraId="23092EE9">
            <w:pPr>
              <w:adjustRightInd w:val="0"/>
              <w:snapToGrid w:val="0"/>
              <w:spacing w:line="360" w:lineRule="auto"/>
              <w:jc w:val="center"/>
              <w:rPr>
                <w:rFonts w:ascii="宋体" w:hAnsi="宋体"/>
                <w:color w:val="auto"/>
                <w:sz w:val="21"/>
                <w:szCs w:val="21"/>
              </w:rPr>
            </w:pPr>
            <w:r>
              <w:rPr>
                <w:rFonts w:hint="eastAsia" w:ascii="宋体" w:hAnsi="宋体" w:cs="宋体"/>
                <w:color w:val="auto"/>
                <w:kern w:val="0"/>
                <w:sz w:val="21"/>
                <w:szCs w:val="21"/>
              </w:rPr>
              <w:t>李南</w:t>
            </w:r>
          </w:p>
        </w:tc>
        <w:tc>
          <w:tcPr>
            <w:tcW w:w="1828" w:type="pct"/>
            <w:shd w:val="clear" w:color="auto" w:fill="auto"/>
            <w:vAlign w:val="center"/>
          </w:tcPr>
          <w:p w14:paraId="32597384">
            <w:pPr>
              <w:adjustRightInd w:val="0"/>
              <w:snapToGrid w:val="0"/>
              <w:spacing w:line="360" w:lineRule="auto"/>
              <w:jc w:val="center"/>
              <w:rPr>
                <w:rFonts w:ascii="宋体" w:hAnsi="宋体"/>
                <w:color w:val="auto"/>
                <w:sz w:val="21"/>
                <w:szCs w:val="21"/>
              </w:rPr>
            </w:pPr>
            <w:r>
              <w:rPr>
                <w:rFonts w:hint="eastAsia" w:ascii="宋体" w:hAnsi="宋体" w:cs="宋体"/>
                <w:color w:val="auto"/>
                <w:kern w:val="0"/>
                <w:sz w:val="21"/>
                <w:szCs w:val="21"/>
              </w:rPr>
              <w:t>钢铁研究总院有限公司</w:t>
            </w:r>
          </w:p>
        </w:tc>
        <w:tc>
          <w:tcPr>
            <w:tcW w:w="2344" w:type="pct"/>
            <w:vAlign w:val="center"/>
          </w:tcPr>
          <w:p w14:paraId="00BAF49F">
            <w:pPr>
              <w:adjustRightInd w:val="0"/>
              <w:snapToGrid w:val="0"/>
              <w:spacing w:line="360" w:lineRule="auto"/>
              <w:jc w:val="center"/>
              <w:rPr>
                <w:rFonts w:ascii="宋体" w:hAnsi="宋体"/>
                <w:color w:val="auto"/>
                <w:sz w:val="21"/>
                <w:szCs w:val="21"/>
              </w:rPr>
            </w:pPr>
            <w:bookmarkStart w:id="35" w:name="OLE_LINK73"/>
            <w:bookmarkStart w:id="36" w:name="OLE_LINK74"/>
            <w:r>
              <w:rPr>
                <w:rFonts w:hint="eastAsia" w:ascii="宋体" w:hAnsi="宋体"/>
                <w:color w:val="auto"/>
                <w:sz w:val="21"/>
                <w:szCs w:val="21"/>
              </w:rPr>
              <w:t>参与标准起草，资料收集，提供相关验证</w:t>
            </w:r>
            <w:bookmarkEnd w:id="35"/>
            <w:bookmarkEnd w:id="36"/>
          </w:p>
        </w:tc>
      </w:tr>
      <w:tr w14:paraId="542394B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70" w:hRule="atLeast"/>
        </w:trPr>
        <w:tc>
          <w:tcPr>
            <w:tcW w:w="828" w:type="pct"/>
            <w:shd w:val="clear" w:color="auto" w:fill="auto"/>
            <w:vAlign w:val="center"/>
          </w:tcPr>
          <w:p w14:paraId="585E5907">
            <w:pPr>
              <w:adjustRightInd w:val="0"/>
              <w:snapToGrid w:val="0"/>
              <w:spacing w:line="360" w:lineRule="auto"/>
              <w:jc w:val="center"/>
              <w:rPr>
                <w:rFonts w:ascii="宋体" w:hAnsi="宋体"/>
                <w:color w:val="auto"/>
                <w:sz w:val="21"/>
                <w:szCs w:val="21"/>
              </w:rPr>
            </w:pPr>
            <w:r>
              <w:rPr>
                <w:rFonts w:hint="eastAsia" w:ascii="宋体" w:hAnsi="宋体" w:cs="宋体"/>
                <w:color w:val="auto"/>
                <w:kern w:val="0"/>
                <w:sz w:val="21"/>
                <w:szCs w:val="21"/>
              </w:rPr>
              <w:t>赵文军</w:t>
            </w:r>
          </w:p>
        </w:tc>
        <w:tc>
          <w:tcPr>
            <w:tcW w:w="1828" w:type="pct"/>
            <w:shd w:val="clear" w:color="auto" w:fill="auto"/>
            <w:vAlign w:val="center"/>
          </w:tcPr>
          <w:p w14:paraId="368A52C3">
            <w:pPr>
              <w:adjustRightInd w:val="0"/>
              <w:snapToGrid w:val="0"/>
              <w:spacing w:line="360" w:lineRule="auto"/>
              <w:jc w:val="center"/>
              <w:rPr>
                <w:rFonts w:ascii="宋体" w:hAnsi="宋体"/>
                <w:color w:val="auto"/>
                <w:sz w:val="21"/>
                <w:szCs w:val="21"/>
              </w:rPr>
            </w:pPr>
            <w:bookmarkStart w:id="37" w:name="OLE_LINK75"/>
            <w:bookmarkStart w:id="38" w:name="OLE_LINK71"/>
            <w:bookmarkStart w:id="39" w:name="OLE_LINK72"/>
            <w:r>
              <w:rPr>
                <w:rFonts w:hint="eastAsia" w:ascii="宋体" w:hAnsi="宋体" w:cs="宋体"/>
                <w:color w:val="auto"/>
                <w:kern w:val="0"/>
                <w:sz w:val="21"/>
                <w:szCs w:val="21"/>
              </w:rPr>
              <w:t>宁波众远新材料科技有限公司</w:t>
            </w:r>
            <w:bookmarkEnd w:id="37"/>
            <w:bookmarkEnd w:id="38"/>
            <w:bookmarkEnd w:id="39"/>
          </w:p>
        </w:tc>
        <w:tc>
          <w:tcPr>
            <w:tcW w:w="2344" w:type="pct"/>
            <w:vAlign w:val="center"/>
          </w:tcPr>
          <w:p w14:paraId="7395C7EC">
            <w:pPr>
              <w:adjustRightInd w:val="0"/>
              <w:snapToGrid w:val="0"/>
              <w:spacing w:line="360" w:lineRule="auto"/>
              <w:jc w:val="center"/>
              <w:rPr>
                <w:rFonts w:ascii="宋体" w:hAnsi="宋体"/>
                <w:color w:val="auto"/>
                <w:sz w:val="21"/>
                <w:szCs w:val="21"/>
              </w:rPr>
            </w:pPr>
            <w:r>
              <w:rPr>
                <w:rFonts w:hint="eastAsia" w:ascii="宋体" w:hAnsi="宋体"/>
                <w:color w:val="auto"/>
                <w:sz w:val="21"/>
                <w:szCs w:val="21"/>
              </w:rPr>
              <w:t>参与标准起草，资料收集，提供相关验证</w:t>
            </w:r>
          </w:p>
        </w:tc>
      </w:tr>
      <w:tr w14:paraId="5373731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70" w:hRule="atLeast"/>
        </w:trPr>
        <w:tc>
          <w:tcPr>
            <w:tcW w:w="828" w:type="pct"/>
            <w:shd w:val="clear" w:color="auto" w:fill="auto"/>
            <w:vAlign w:val="center"/>
          </w:tcPr>
          <w:p w14:paraId="658A8FA3">
            <w:pPr>
              <w:adjustRightInd w:val="0"/>
              <w:snapToGrid w:val="0"/>
              <w:spacing w:line="360" w:lineRule="auto"/>
              <w:jc w:val="center"/>
              <w:rPr>
                <w:rFonts w:ascii="宋体" w:hAnsi="宋体"/>
                <w:color w:val="auto"/>
                <w:sz w:val="21"/>
                <w:szCs w:val="21"/>
              </w:rPr>
            </w:pPr>
            <w:r>
              <w:rPr>
                <w:rFonts w:hint="eastAsia" w:ascii="宋体" w:hAnsi="宋体" w:cs="宋体"/>
                <w:color w:val="auto"/>
                <w:kern w:val="0"/>
                <w:sz w:val="21"/>
                <w:szCs w:val="21"/>
              </w:rPr>
              <w:t>姚力军</w:t>
            </w:r>
          </w:p>
        </w:tc>
        <w:tc>
          <w:tcPr>
            <w:tcW w:w="1828" w:type="pct"/>
            <w:shd w:val="clear" w:color="auto" w:fill="auto"/>
            <w:vAlign w:val="center"/>
          </w:tcPr>
          <w:p w14:paraId="0FB53EC7">
            <w:pPr>
              <w:adjustRightInd w:val="0"/>
              <w:snapToGrid w:val="0"/>
              <w:spacing w:line="360" w:lineRule="auto"/>
              <w:jc w:val="center"/>
              <w:rPr>
                <w:rFonts w:ascii="宋体" w:hAnsi="宋体"/>
                <w:color w:val="auto"/>
                <w:sz w:val="21"/>
                <w:szCs w:val="21"/>
              </w:rPr>
            </w:pPr>
            <w:r>
              <w:rPr>
                <w:rFonts w:hint="eastAsia" w:ascii="宋体" w:hAnsi="宋体" w:cs="宋体"/>
                <w:color w:val="auto"/>
                <w:kern w:val="0"/>
                <w:sz w:val="21"/>
                <w:szCs w:val="21"/>
              </w:rPr>
              <w:t>宁波江丰电子材料股份有限公司</w:t>
            </w:r>
          </w:p>
        </w:tc>
        <w:tc>
          <w:tcPr>
            <w:tcW w:w="2344" w:type="pct"/>
            <w:vAlign w:val="center"/>
          </w:tcPr>
          <w:p w14:paraId="17F95661">
            <w:pPr>
              <w:adjustRightInd w:val="0"/>
              <w:snapToGrid w:val="0"/>
              <w:spacing w:line="360" w:lineRule="auto"/>
              <w:jc w:val="center"/>
              <w:rPr>
                <w:rFonts w:ascii="宋体" w:hAnsi="宋体"/>
                <w:color w:val="auto"/>
                <w:sz w:val="21"/>
                <w:szCs w:val="21"/>
              </w:rPr>
            </w:pPr>
            <w:bookmarkStart w:id="40" w:name="OLE_LINK27"/>
            <w:r>
              <w:rPr>
                <w:rFonts w:hint="eastAsia" w:ascii="宋体" w:hAnsi="宋体"/>
                <w:color w:val="auto"/>
                <w:sz w:val="21"/>
                <w:szCs w:val="21"/>
              </w:rPr>
              <w:t>参与标准起草，资料收集，提供相关验证</w:t>
            </w:r>
            <w:bookmarkEnd w:id="40"/>
          </w:p>
        </w:tc>
      </w:tr>
      <w:bookmarkEnd w:id="17"/>
      <w:bookmarkEnd w:id="18"/>
      <w:bookmarkEnd w:id="22"/>
      <w:bookmarkEnd w:id="26"/>
    </w:tbl>
    <w:p w14:paraId="5A80671C">
      <w:pPr>
        <w:spacing w:line="360" w:lineRule="auto"/>
        <w:jc w:val="left"/>
        <w:rPr>
          <w:rFonts w:ascii="宋体" w:hAnsi="宋体"/>
          <w:color w:val="auto"/>
          <w:sz w:val="24"/>
        </w:rPr>
      </w:pPr>
    </w:p>
    <w:p w14:paraId="3E7A0B9F">
      <w:pPr>
        <w:spacing w:line="360" w:lineRule="auto"/>
        <w:rPr>
          <w:rFonts w:ascii="宋体" w:hAnsi="宋体"/>
          <w:b/>
          <w:color w:val="auto"/>
          <w:sz w:val="24"/>
        </w:rPr>
      </w:pPr>
      <w:r>
        <w:rPr>
          <w:rFonts w:ascii="宋体" w:hAnsi="宋体"/>
          <w:b/>
          <w:color w:val="auto"/>
          <w:sz w:val="24"/>
        </w:rPr>
        <w:t>1.5</w:t>
      </w:r>
      <w:r>
        <w:rPr>
          <w:rFonts w:hint="eastAsia" w:ascii="宋体" w:hAnsi="宋体"/>
          <w:b/>
          <w:color w:val="auto"/>
          <w:sz w:val="24"/>
        </w:rPr>
        <w:t>主要工作计划</w:t>
      </w:r>
    </w:p>
    <w:p w14:paraId="6B1CAA5A">
      <w:pPr>
        <w:spacing w:line="360" w:lineRule="auto"/>
        <w:rPr>
          <w:rFonts w:ascii="宋体" w:hAnsi="宋体"/>
          <w:b/>
          <w:color w:val="auto"/>
          <w:sz w:val="24"/>
        </w:rPr>
      </w:pPr>
      <w:r>
        <w:rPr>
          <w:rFonts w:ascii="宋体" w:hAnsi="宋体"/>
          <w:b/>
          <w:color w:val="auto"/>
          <w:sz w:val="24"/>
        </w:rPr>
        <w:t xml:space="preserve">1.5.1 </w:t>
      </w:r>
      <w:r>
        <w:rPr>
          <w:rFonts w:hint="eastAsia" w:ascii="宋体" w:hAnsi="宋体"/>
          <w:b/>
          <w:color w:val="auto"/>
          <w:sz w:val="24"/>
        </w:rPr>
        <w:t>起草阶段：</w:t>
      </w:r>
      <w:r>
        <w:rPr>
          <w:rFonts w:ascii="宋体" w:hAnsi="宋体"/>
          <w:b/>
          <w:color w:val="auto"/>
          <w:sz w:val="24"/>
        </w:rPr>
        <w:t>2025</w:t>
      </w:r>
      <w:r>
        <w:rPr>
          <w:rFonts w:hint="eastAsia" w:ascii="宋体" w:hAnsi="宋体"/>
          <w:b/>
          <w:color w:val="auto"/>
          <w:sz w:val="24"/>
        </w:rPr>
        <w:t>年</w:t>
      </w:r>
      <w:r>
        <w:rPr>
          <w:rFonts w:ascii="宋体" w:hAnsi="宋体"/>
          <w:b/>
          <w:color w:val="auto"/>
          <w:sz w:val="24"/>
        </w:rPr>
        <w:t>12</w:t>
      </w:r>
      <w:r>
        <w:rPr>
          <w:rFonts w:hint="eastAsia" w:ascii="宋体" w:hAnsi="宋体"/>
          <w:b/>
          <w:color w:val="auto"/>
          <w:sz w:val="24"/>
        </w:rPr>
        <w:t>月</w:t>
      </w:r>
      <w:r>
        <w:rPr>
          <w:rFonts w:ascii="宋体" w:hAnsi="宋体"/>
          <w:b/>
          <w:color w:val="auto"/>
          <w:sz w:val="24"/>
        </w:rPr>
        <w:t>～2026</w:t>
      </w:r>
      <w:r>
        <w:rPr>
          <w:rFonts w:hint="eastAsia" w:ascii="宋体" w:hAnsi="宋体"/>
          <w:b/>
          <w:color w:val="auto"/>
          <w:sz w:val="24"/>
        </w:rPr>
        <w:t>年</w:t>
      </w:r>
      <w:r>
        <w:rPr>
          <w:rFonts w:ascii="宋体" w:hAnsi="宋体"/>
          <w:b/>
          <w:color w:val="auto"/>
          <w:sz w:val="24"/>
        </w:rPr>
        <w:t>3</w:t>
      </w:r>
      <w:r>
        <w:rPr>
          <w:rFonts w:hint="eastAsia" w:ascii="宋体" w:hAnsi="宋体"/>
          <w:b/>
          <w:color w:val="auto"/>
          <w:sz w:val="24"/>
        </w:rPr>
        <w:t>月</w:t>
      </w:r>
    </w:p>
    <w:p w14:paraId="45C0257F">
      <w:pPr>
        <w:spacing w:line="360" w:lineRule="auto"/>
        <w:ind w:firstLine="480" w:firstLineChars="200"/>
        <w:rPr>
          <w:rFonts w:ascii="宋体" w:hAnsi="宋体"/>
          <w:color w:val="auto"/>
          <w:sz w:val="24"/>
        </w:rPr>
      </w:pPr>
      <w:r>
        <w:rPr>
          <w:rFonts w:hint="eastAsia" w:ascii="宋体" w:hAnsi="宋体"/>
          <w:color w:val="auto"/>
          <w:sz w:val="24"/>
        </w:rPr>
        <w:t>中南大学接到</w:t>
      </w:r>
      <w:r>
        <w:rPr>
          <w:rFonts w:ascii="宋体" w:hAnsi="宋体"/>
          <w:color w:val="auto"/>
          <w:sz w:val="24"/>
        </w:rPr>
        <w:t>20242988-T-610</w:t>
      </w:r>
      <w:r>
        <w:rPr>
          <w:rFonts w:hint="eastAsia" w:ascii="宋体" w:hAnsi="宋体"/>
          <w:color w:val="auto"/>
          <w:sz w:val="24"/>
        </w:rPr>
        <w:t>修订任务后，立即组织成立了标准编制组</w:t>
      </w:r>
      <w:r>
        <w:rPr>
          <w:rFonts w:hint="eastAsia" w:ascii="宋体" w:hAnsi="宋体"/>
          <w:bCs/>
          <w:color w:val="auto"/>
          <w:sz w:val="24"/>
        </w:rPr>
        <w:t>，</w:t>
      </w:r>
      <w:r>
        <w:rPr>
          <w:rFonts w:hint="eastAsia" w:ascii="宋体" w:hAnsi="宋体"/>
          <w:color w:val="auto"/>
          <w:sz w:val="24"/>
        </w:rPr>
        <w:t>制定了工作计划和进度安排。</w:t>
      </w:r>
      <w:r>
        <w:rPr>
          <w:rFonts w:hint="eastAsia" w:ascii="宋体" w:hAnsi="宋体"/>
          <w:color w:val="auto"/>
          <w:kern w:val="0"/>
          <w:sz w:val="24"/>
        </w:rPr>
        <w:t>标准编制组</w:t>
      </w:r>
      <w:r>
        <w:rPr>
          <w:rFonts w:hint="eastAsia" w:ascii="宋体" w:hAnsi="宋体"/>
          <w:color w:val="auto"/>
          <w:sz w:val="24"/>
        </w:rPr>
        <w:t>首先对国际标准</w:t>
      </w:r>
      <w:r>
        <w:rPr>
          <w:rFonts w:ascii="宋体" w:hAnsi="宋体"/>
          <w:bCs/>
          <w:color w:val="auto"/>
          <w:sz w:val="24"/>
        </w:rPr>
        <w:t>ISO 3252:2023</w:t>
      </w:r>
      <w:r>
        <w:rPr>
          <w:rFonts w:hint="eastAsia" w:ascii="宋体" w:hAnsi="宋体"/>
          <w:bCs/>
          <w:color w:val="auto"/>
          <w:sz w:val="24"/>
        </w:rPr>
        <w:t>英文版</w:t>
      </w:r>
      <w:r>
        <w:rPr>
          <w:rFonts w:hint="eastAsia" w:ascii="宋体" w:hAnsi="宋体"/>
          <w:color w:val="auto"/>
          <w:sz w:val="24"/>
        </w:rPr>
        <w:t>及其他相关资料的收集、分析、研究。对本标准修订和新增的条款内容翻译准确性进行多次讨论，在此基础上，于</w:t>
      </w:r>
      <w:r>
        <w:rPr>
          <w:rFonts w:ascii="宋体" w:hAnsi="宋体"/>
          <w:color w:val="auto"/>
          <w:sz w:val="24"/>
        </w:rPr>
        <w:t>2026</w:t>
      </w:r>
      <w:r>
        <w:rPr>
          <w:rFonts w:hint="eastAsia" w:ascii="宋体" w:hAnsi="宋体"/>
          <w:color w:val="auto"/>
          <w:sz w:val="24"/>
        </w:rPr>
        <w:t>年</w:t>
      </w:r>
      <w:r>
        <w:rPr>
          <w:rFonts w:ascii="宋体" w:hAnsi="宋体"/>
          <w:color w:val="auto"/>
          <w:sz w:val="24"/>
        </w:rPr>
        <w:t>3</w:t>
      </w:r>
      <w:r>
        <w:rPr>
          <w:rFonts w:hint="eastAsia" w:ascii="宋体" w:hAnsi="宋体"/>
          <w:color w:val="auto"/>
          <w:sz w:val="24"/>
        </w:rPr>
        <w:t>月形成了标准及编制说明初稿。</w:t>
      </w:r>
    </w:p>
    <w:p w14:paraId="35AA116C">
      <w:pPr>
        <w:spacing w:line="360" w:lineRule="auto"/>
        <w:ind w:firstLine="480" w:firstLineChars="200"/>
        <w:rPr>
          <w:rFonts w:ascii="宋体" w:hAnsi="宋体"/>
          <w:color w:val="auto"/>
          <w:sz w:val="24"/>
        </w:rPr>
      </w:pPr>
    </w:p>
    <w:p w14:paraId="60004B5F">
      <w:pPr>
        <w:spacing w:line="360" w:lineRule="auto"/>
        <w:ind w:firstLine="0" w:firstLineChars="0"/>
        <w:rPr>
          <w:rFonts w:ascii="宋体" w:hAnsi="宋体"/>
          <w:b/>
          <w:color w:val="auto"/>
          <w:sz w:val="24"/>
        </w:rPr>
      </w:pPr>
      <w:r>
        <w:rPr>
          <w:rFonts w:ascii="宋体" w:hAnsi="宋体"/>
          <w:b/>
          <w:color w:val="auto"/>
          <w:sz w:val="24"/>
        </w:rPr>
        <w:t>1.5.2</w:t>
      </w:r>
      <w:r>
        <w:rPr>
          <w:rFonts w:hint="eastAsia" w:ascii="宋体" w:hAnsi="宋体"/>
          <w:b/>
          <w:color w:val="auto"/>
          <w:sz w:val="24"/>
        </w:rPr>
        <w:t>征求意见阶段：</w:t>
      </w:r>
      <w:r>
        <w:rPr>
          <w:rFonts w:ascii="宋体" w:hAnsi="宋体"/>
          <w:b/>
          <w:color w:val="auto"/>
          <w:sz w:val="24"/>
        </w:rPr>
        <w:t>2026</w:t>
      </w:r>
      <w:r>
        <w:rPr>
          <w:rFonts w:hint="eastAsia" w:ascii="宋体" w:hAnsi="宋体"/>
          <w:b/>
          <w:color w:val="auto"/>
          <w:sz w:val="24"/>
        </w:rPr>
        <w:t>年</w:t>
      </w:r>
      <w:r>
        <w:rPr>
          <w:rFonts w:ascii="宋体" w:hAnsi="宋体"/>
          <w:b/>
          <w:color w:val="auto"/>
          <w:sz w:val="24"/>
        </w:rPr>
        <w:t>3</w:t>
      </w:r>
      <w:r>
        <w:rPr>
          <w:rFonts w:hint="eastAsia" w:ascii="宋体" w:hAnsi="宋体"/>
          <w:b/>
          <w:color w:val="auto"/>
          <w:sz w:val="24"/>
        </w:rPr>
        <w:t>月～2</w:t>
      </w:r>
      <w:r>
        <w:rPr>
          <w:rFonts w:ascii="宋体" w:hAnsi="宋体"/>
          <w:b/>
          <w:color w:val="auto"/>
          <w:sz w:val="24"/>
        </w:rPr>
        <w:t>026</w:t>
      </w:r>
      <w:r>
        <w:rPr>
          <w:rFonts w:hint="eastAsia" w:ascii="宋体" w:hAnsi="宋体"/>
          <w:b/>
          <w:color w:val="auto"/>
          <w:sz w:val="24"/>
        </w:rPr>
        <w:t>年</w:t>
      </w:r>
      <w:r>
        <w:rPr>
          <w:rFonts w:ascii="宋体" w:hAnsi="宋体"/>
          <w:b/>
          <w:color w:val="auto"/>
          <w:sz w:val="24"/>
        </w:rPr>
        <w:t>7</w:t>
      </w:r>
      <w:r>
        <w:rPr>
          <w:rFonts w:hint="eastAsia" w:ascii="宋体" w:hAnsi="宋体"/>
          <w:b/>
          <w:color w:val="auto"/>
          <w:sz w:val="24"/>
        </w:rPr>
        <w:t>月</w:t>
      </w:r>
    </w:p>
    <w:p w14:paraId="5A8EAAD7">
      <w:pPr>
        <w:spacing w:line="360" w:lineRule="auto"/>
        <w:ind w:firstLine="480" w:firstLineChars="200"/>
        <w:rPr>
          <w:rFonts w:ascii="宋体" w:hAnsi="宋体"/>
          <w:color w:val="auto"/>
          <w:sz w:val="24"/>
        </w:rPr>
      </w:pPr>
      <w:r>
        <w:rPr>
          <w:rFonts w:ascii="宋体" w:hAnsi="宋体"/>
          <w:color w:val="auto"/>
          <w:sz w:val="24"/>
        </w:rPr>
        <w:t>2026</w:t>
      </w:r>
      <w:r>
        <w:rPr>
          <w:rFonts w:hint="eastAsia" w:ascii="宋体" w:hAnsi="宋体"/>
          <w:color w:val="auto"/>
          <w:sz w:val="24"/>
        </w:rPr>
        <w:t>年</w:t>
      </w:r>
      <w:r>
        <w:rPr>
          <w:rFonts w:ascii="宋体" w:hAnsi="宋体"/>
          <w:color w:val="auto"/>
          <w:sz w:val="24"/>
        </w:rPr>
        <w:t>3</w:t>
      </w:r>
      <w:r>
        <w:rPr>
          <w:rFonts w:hint="eastAsia" w:ascii="宋体" w:hAnsi="宋体"/>
          <w:color w:val="auto"/>
          <w:sz w:val="24"/>
        </w:rPr>
        <w:t>月</w:t>
      </w:r>
      <w:r>
        <w:rPr>
          <w:rFonts w:ascii="宋体" w:hAnsi="宋体"/>
          <w:color w:val="auto"/>
          <w:sz w:val="24"/>
        </w:rPr>
        <w:t>17</w:t>
      </w:r>
      <w:r>
        <w:rPr>
          <w:rFonts w:hint="eastAsia" w:ascii="宋体" w:hAnsi="宋体"/>
          <w:color w:val="auto"/>
          <w:sz w:val="24"/>
        </w:rPr>
        <w:t>日～</w:t>
      </w:r>
      <w:r>
        <w:rPr>
          <w:rFonts w:ascii="宋体" w:hAnsi="宋体"/>
          <w:color w:val="auto"/>
          <w:sz w:val="24"/>
        </w:rPr>
        <w:t>20</w:t>
      </w:r>
      <w:r>
        <w:rPr>
          <w:rFonts w:hint="eastAsia" w:ascii="宋体" w:hAnsi="宋体"/>
          <w:color w:val="auto"/>
          <w:sz w:val="24"/>
        </w:rPr>
        <w:t>日全国有色金属标准化技术委员会组织在浙江省绍兴市召开标准工作会议，来自广东省科学院新材料研究所、自贡硬质合金集团有限公司等</w:t>
      </w:r>
      <w:r>
        <w:rPr>
          <w:rFonts w:ascii="宋体" w:hAnsi="宋体"/>
          <w:color w:val="auto"/>
          <w:sz w:val="24"/>
        </w:rPr>
        <w:t>25</w:t>
      </w:r>
      <w:r>
        <w:rPr>
          <w:rFonts w:hint="eastAsia" w:ascii="宋体" w:hAnsi="宋体"/>
          <w:color w:val="auto"/>
          <w:sz w:val="24"/>
        </w:rPr>
        <w:t>家单位</w:t>
      </w:r>
      <w:r>
        <w:rPr>
          <w:rFonts w:ascii="宋体" w:hAnsi="宋体"/>
          <w:color w:val="auto"/>
          <w:sz w:val="24"/>
        </w:rPr>
        <w:t xml:space="preserve"> 38</w:t>
      </w:r>
      <w:r>
        <w:rPr>
          <w:rFonts w:hint="eastAsia" w:ascii="宋体" w:hAnsi="宋体"/>
          <w:color w:val="auto"/>
          <w:sz w:val="24"/>
        </w:rPr>
        <w:t>名代表对本标准的征求意见稿和编制说明进行了充分、细致地讨论，提出修改意见及建议。编制组根据修改意见进行了修改，形成了本标准的征求意见稿及编制说明。</w:t>
      </w:r>
    </w:p>
    <w:p w14:paraId="214E9533">
      <w:pPr>
        <w:spacing w:line="360" w:lineRule="auto"/>
        <w:ind w:firstLine="480" w:firstLineChars="200"/>
        <w:rPr>
          <w:rFonts w:ascii="宋体" w:hAnsi="宋体"/>
          <w:color w:val="auto"/>
          <w:sz w:val="24"/>
        </w:rPr>
      </w:pPr>
      <w:r>
        <w:rPr>
          <w:rFonts w:ascii="宋体" w:hAnsi="宋体"/>
          <w:color w:val="auto"/>
          <w:sz w:val="24"/>
        </w:rPr>
        <w:t xml:space="preserve"> 2026</w:t>
      </w:r>
      <w:r>
        <w:rPr>
          <w:rFonts w:hint="eastAsia" w:ascii="宋体" w:hAnsi="宋体"/>
          <w:color w:val="auto"/>
          <w:sz w:val="24"/>
        </w:rPr>
        <w:t>年</w:t>
      </w:r>
      <w:r>
        <w:rPr>
          <w:rFonts w:ascii="宋体" w:hAnsi="宋体"/>
          <w:color w:val="auto"/>
          <w:sz w:val="24"/>
        </w:rPr>
        <w:t>5</w:t>
      </w:r>
      <w:r>
        <w:rPr>
          <w:rFonts w:hint="eastAsia" w:ascii="宋体" w:hAnsi="宋体"/>
          <w:color w:val="auto"/>
          <w:sz w:val="24"/>
        </w:rPr>
        <w:t>月</w:t>
      </w:r>
      <w:r>
        <w:rPr>
          <w:rFonts w:ascii="宋体" w:hAnsi="宋体"/>
          <w:color w:val="auto"/>
          <w:sz w:val="24"/>
        </w:rPr>
        <w:t>18</w:t>
      </w:r>
      <w:r>
        <w:rPr>
          <w:rFonts w:hint="eastAsia" w:ascii="宋体" w:hAnsi="宋体"/>
          <w:color w:val="auto"/>
          <w:sz w:val="24"/>
        </w:rPr>
        <w:t>日，</w:t>
      </w:r>
      <w:r>
        <w:rPr>
          <w:rFonts w:ascii="宋体" w:hAnsi="宋体"/>
          <w:color w:val="auto"/>
          <w:sz w:val="24"/>
        </w:rPr>
        <w:t>6</w:t>
      </w:r>
      <w:r>
        <w:rPr>
          <w:rFonts w:hint="eastAsia" w:ascii="宋体" w:hAnsi="宋体"/>
          <w:color w:val="auto"/>
          <w:sz w:val="24"/>
        </w:rPr>
        <w:t>月</w:t>
      </w:r>
      <w:r>
        <w:rPr>
          <w:rFonts w:ascii="宋体" w:hAnsi="宋体"/>
          <w:color w:val="auto"/>
          <w:sz w:val="24"/>
        </w:rPr>
        <w:t>26</w:t>
      </w:r>
      <w:r>
        <w:rPr>
          <w:rFonts w:hint="eastAsia" w:ascii="宋体" w:hAnsi="宋体"/>
          <w:color w:val="auto"/>
          <w:sz w:val="24"/>
        </w:rPr>
        <w:t>日和</w:t>
      </w:r>
      <w:r>
        <w:rPr>
          <w:rFonts w:ascii="宋体" w:hAnsi="宋体"/>
          <w:color w:val="auto"/>
          <w:sz w:val="24"/>
        </w:rPr>
        <w:t>7</w:t>
      </w:r>
      <w:r>
        <w:rPr>
          <w:rFonts w:hint="eastAsia" w:ascii="宋体" w:hAnsi="宋体"/>
          <w:color w:val="auto"/>
          <w:sz w:val="24"/>
        </w:rPr>
        <w:t>月</w:t>
      </w:r>
      <w:r>
        <w:rPr>
          <w:rFonts w:ascii="宋体" w:hAnsi="宋体"/>
          <w:color w:val="auto"/>
          <w:sz w:val="24"/>
        </w:rPr>
        <w:t>13</w:t>
      </w:r>
      <w:r>
        <w:rPr>
          <w:rFonts w:hint="eastAsia" w:ascii="宋体" w:hAnsi="宋体"/>
          <w:color w:val="auto"/>
          <w:sz w:val="24"/>
        </w:rPr>
        <w:t>日，全国有色金属标准化技术委员会组织</w:t>
      </w:r>
      <w:r>
        <w:rPr>
          <w:rFonts w:ascii="宋体" w:hAnsi="宋体"/>
          <w:color w:val="auto"/>
          <w:sz w:val="24"/>
        </w:rPr>
        <w:t>召开</w:t>
      </w:r>
      <w:r>
        <w:rPr>
          <w:rFonts w:hint="eastAsia" w:ascii="宋体" w:hAnsi="宋体"/>
          <w:color w:val="auto"/>
          <w:sz w:val="24"/>
        </w:rPr>
        <w:t>了三次线上标准工作会议，来自钢铁研究总院有限公司、自贡硬质合金有限责任公司、厦门金鹭硬质合金有限公司等</w:t>
      </w:r>
      <w:r>
        <w:rPr>
          <w:rFonts w:ascii="宋体" w:hAnsi="宋体"/>
          <w:color w:val="auto"/>
          <w:sz w:val="24"/>
        </w:rPr>
        <w:t>12</w:t>
      </w:r>
      <w:r>
        <w:rPr>
          <w:rFonts w:hint="eastAsia" w:ascii="宋体" w:hAnsi="宋体"/>
          <w:color w:val="auto"/>
          <w:sz w:val="24"/>
        </w:rPr>
        <w:t>家单位的</w:t>
      </w:r>
      <w:r>
        <w:rPr>
          <w:rFonts w:ascii="宋体" w:hAnsi="宋体"/>
          <w:color w:val="auto"/>
          <w:sz w:val="24"/>
        </w:rPr>
        <w:t>12</w:t>
      </w:r>
      <w:r>
        <w:rPr>
          <w:rFonts w:hint="eastAsia" w:ascii="宋体" w:hAnsi="宋体"/>
          <w:color w:val="auto"/>
          <w:sz w:val="24"/>
        </w:rPr>
        <w:t>名代表对本标准的预审稿和编制说明进行了充分、细致地讨论，提出修改意见及建议，编制组根据修改意见进行了修改。</w:t>
      </w:r>
      <w:r>
        <w:rPr>
          <w:rFonts w:ascii="宋体" w:hAnsi="宋体"/>
          <w:color w:val="auto"/>
          <w:sz w:val="24"/>
        </w:rPr>
        <w:t xml:space="preserve"> </w:t>
      </w:r>
    </w:p>
    <w:p w14:paraId="6E7EFDE0">
      <w:pPr>
        <w:spacing w:line="360" w:lineRule="auto"/>
        <w:ind w:firstLine="480" w:firstLineChars="200"/>
        <w:rPr>
          <w:rFonts w:ascii="宋体" w:hAnsi="宋体"/>
          <w:color w:val="auto"/>
          <w:sz w:val="24"/>
        </w:rPr>
      </w:pPr>
      <w:r>
        <w:rPr>
          <w:rFonts w:hint="eastAsia" w:ascii="宋体" w:hAnsi="宋体"/>
          <w:color w:val="auto"/>
          <w:sz w:val="24"/>
          <w:lang w:val="en-US" w:eastAsia="zh-CN"/>
        </w:rPr>
        <w:t>同时，</w:t>
      </w:r>
      <w:r>
        <w:rPr>
          <w:rFonts w:hint="eastAsia" w:ascii="宋体" w:hAnsi="宋体"/>
          <w:color w:val="auto"/>
          <w:sz w:val="24"/>
        </w:rPr>
        <w:t>全国有色金属标准化技术委员会将征求意见资料在国家标准化管理委员会的</w:t>
      </w:r>
      <w:r>
        <w:rPr>
          <w:rFonts w:ascii="宋体" w:hAnsi="宋体"/>
          <w:color w:val="auto"/>
          <w:sz w:val="24"/>
        </w:rPr>
        <w:t>“</w:t>
      </w:r>
      <w:r>
        <w:rPr>
          <w:rFonts w:hint="eastAsia" w:ascii="宋体" w:hAnsi="宋体"/>
          <w:color w:val="auto"/>
          <w:sz w:val="24"/>
        </w:rPr>
        <w:t>公共信息服务平台</w:t>
      </w:r>
      <w:r>
        <w:rPr>
          <w:rFonts w:ascii="宋体" w:hAnsi="宋体"/>
          <w:color w:val="auto"/>
          <w:sz w:val="24"/>
        </w:rPr>
        <w:t>”</w:t>
      </w:r>
      <w:r>
        <w:rPr>
          <w:rFonts w:hint="eastAsia" w:ascii="宋体" w:hAnsi="宋体"/>
          <w:color w:val="auto"/>
          <w:sz w:val="24"/>
        </w:rPr>
        <w:t>上挂网，向社会公开征求意见。同时，全国有色金属标准化技术委员会通过工作群、邮件向委员单位征求意见，并将征求意见资料在</w:t>
      </w:r>
      <w:r>
        <w:rPr>
          <w:rFonts w:ascii="宋体" w:hAnsi="宋体"/>
          <w:color w:val="auto"/>
          <w:sz w:val="24"/>
        </w:rPr>
        <w:t xml:space="preserve"> www.cnsmq.com </w:t>
      </w:r>
      <w:r>
        <w:rPr>
          <w:rFonts w:hint="eastAsia" w:ascii="宋体" w:hAnsi="宋体"/>
          <w:color w:val="auto"/>
          <w:sz w:val="24"/>
        </w:rPr>
        <w:t>网站上挂网。征求意见的单位包括主要生产、经销、使用、科研、检验等单位及大专院校，征求意见单位广泛且具有代表性，征求意见时间大于</w:t>
      </w:r>
      <w:r>
        <w:rPr>
          <w:rFonts w:ascii="宋体" w:hAnsi="宋体"/>
          <w:color w:val="auto"/>
          <w:sz w:val="24"/>
        </w:rPr>
        <w:t>2</w:t>
      </w:r>
      <w:r>
        <w:rPr>
          <w:rFonts w:hint="eastAsia" w:ascii="宋体" w:hAnsi="宋体"/>
          <w:color w:val="auto"/>
          <w:sz w:val="24"/>
        </w:rPr>
        <w:t>个月。发送《征求意见</w:t>
      </w:r>
      <w:r>
        <w:rPr>
          <w:rFonts w:ascii="宋体" w:hAnsi="宋体"/>
          <w:color w:val="auto"/>
          <w:sz w:val="24"/>
        </w:rPr>
        <w:t xml:space="preserve"> </w:t>
      </w:r>
      <w:r>
        <w:rPr>
          <w:rFonts w:hint="eastAsia" w:ascii="宋体" w:hAnsi="宋体"/>
          <w:color w:val="auto"/>
          <w:sz w:val="24"/>
        </w:rPr>
        <w:t>稿》的单位</w:t>
      </w:r>
      <w:r>
        <w:rPr>
          <w:rFonts w:ascii="宋体" w:hAnsi="宋体"/>
          <w:color w:val="auto"/>
          <w:sz w:val="24"/>
        </w:rPr>
        <w:t>xx</w:t>
      </w:r>
      <w:r>
        <w:rPr>
          <w:rFonts w:hint="eastAsia" w:ascii="宋体" w:hAnsi="宋体"/>
          <w:color w:val="auto"/>
          <w:sz w:val="24"/>
        </w:rPr>
        <w:t>个，收到《征求意见稿》后，回函的单位</w:t>
      </w:r>
      <w:r>
        <w:rPr>
          <w:rFonts w:ascii="宋体" w:hAnsi="宋体"/>
          <w:color w:val="auto"/>
          <w:sz w:val="24"/>
        </w:rPr>
        <w:t>xx</w:t>
      </w:r>
      <w:r>
        <w:rPr>
          <w:rFonts w:hint="eastAsia" w:ascii="宋体" w:hAnsi="宋体"/>
          <w:color w:val="auto"/>
          <w:sz w:val="24"/>
        </w:rPr>
        <w:t>个，且有建议或意见的单位</w:t>
      </w:r>
      <w:r>
        <w:rPr>
          <w:rFonts w:ascii="宋体" w:hAnsi="宋体"/>
          <w:color w:val="auto"/>
          <w:sz w:val="24"/>
        </w:rPr>
        <w:t>xx</w:t>
      </w:r>
      <w:r>
        <w:rPr>
          <w:rFonts w:hint="eastAsia" w:ascii="宋体" w:hAnsi="宋体"/>
          <w:color w:val="auto"/>
          <w:sz w:val="24"/>
        </w:rPr>
        <w:t>个，形成了征求意见稿意见汇总处理表，</w:t>
      </w:r>
      <w:r>
        <w:rPr>
          <w:rFonts w:ascii="宋体" w:hAnsi="宋体"/>
          <w:color w:val="auto"/>
          <w:sz w:val="24"/>
        </w:rPr>
        <w:t>2026</w:t>
      </w:r>
      <w:r>
        <w:rPr>
          <w:rFonts w:hint="eastAsia" w:ascii="宋体" w:hAnsi="宋体"/>
          <w:color w:val="auto"/>
          <w:sz w:val="24"/>
        </w:rPr>
        <w:t>年</w:t>
      </w:r>
      <w:r>
        <w:rPr>
          <w:rFonts w:ascii="宋体" w:hAnsi="宋体"/>
          <w:color w:val="auto"/>
          <w:sz w:val="24"/>
        </w:rPr>
        <w:t>8</w:t>
      </w:r>
      <w:r>
        <w:rPr>
          <w:rFonts w:hint="eastAsia" w:ascii="宋体" w:hAnsi="宋体"/>
          <w:color w:val="auto"/>
          <w:sz w:val="24"/>
        </w:rPr>
        <w:t>月编制组完成了本标准的送审稿和编制说明。</w:t>
      </w:r>
    </w:p>
    <w:p w14:paraId="20323A7D">
      <w:pPr>
        <w:spacing w:line="360" w:lineRule="auto"/>
        <w:ind w:firstLine="0" w:firstLineChars="0"/>
        <w:rPr>
          <w:rFonts w:ascii="宋体" w:hAnsi="宋体"/>
          <w:b/>
          <w:color w:val="auto"/>
          <w:sz w:val="24"/>
        </w:rPr>
      </w:pPr>
      <w:r>
        <w:rPr>
          <w:rFonts w:ascii="宋体" w:hAnsi="宋体"/>
          <w:b/>
          <w:color w:val="auto"/>
          <w:sz w:val="24"/>
        </w:rPr>
        <w:t xml:space="preserve"> 1.5.3 </w:t>
      </w:r>
      <w:r>
        <w:rPr>
          <w:rFonts w:hint="eastAsia" w:ascii="宋体" w:hAnsi="宋体"/>
          <w:b/>
          <w:color w:val="auto"/>
          <w:sz w:val="24"/>
        </w:rPr>
        <w:t>审查阶段</w:t>
      </w:r>
      <w:r>
        <w:rPr>
          <w:rFonts w:ascii="宋体" w:hAnsi="宋体"/>
          <w:b/>
          <w:color w:val="auto"/>
          <w:sz w:val="24"/>
        </w:rPr>
        <w:t xml:space="preserve"> </w:t>
      </w:r>
    </w:p>
    <w:p w14:paraId="2A6D4D60">
      <w:pPr>
        <w:spacing w:line="360" w:lineRule="auto"/>
        <w:ind w:firstLine="480" w:firstLineChars="200"/>
        <w:rPr>
          <w:rFonts w:ascii="宋体" w:hAnsi="宋体"/>
          <w:color w:val="auto"/>
          <w:sz w:val="24"/>
        </w:rPr>
      </w:pPr>
      <w:r>
        <w:rPr>
          <w:rFonts w:ascii="宋体" w:hAnsi="宋体"/>
          <w:color w:val="auto"/>
          <w:sz w:val="24"/>
        </w:rPr>
        <w:t>2026</w:t>
      </w:r>
      <w:r>
        <w:rPr>
          <w:rFonts w:hint="eastAsia" w:ascii="宋体" w:hAnsi="宋体"/>
          <w:color w:val="auto"/>
          <w:sz w:val="24"/>
        </w:rPr>
        <w:t>年</w:t>
      </w:r>
      <w:r>
        <w:rPr>
          <w:rFonts w:ascii="宋体" w:hAnsi="宋体"/>
          <w:color w:val="auto"/>
          <w:sz w:val="24"/>
        </w:rPr>
        <w:t>xx</w:t>
      </w:r>
      <w:r>
        <w:rPr>
          <w:rFonts w:hint="eastAsia" w:ascii="宋体" w:hAnsi="宋体"/>
          <w:color w:val="auto"/>
          <w:sz w:val="24"/>
        </w:rPr>
        <w:t>月</w:t>
      </w:r>
      <w:r>
        <w:rPr>
          <w:rFonts w:ascii="宋体" w:hAnsi="宋体"/>
          <w:color w:val="auto"/>
          <w:sz w:val="24"/>
        </w:rPr>
        <w:t>xx</w:t>
      </w:r>
      <w:r>
        <w:rPr>
          <w:rFonts w:hint="eastAsia" w:ascii="宋体" w:hAnsi="宋体"/>
          <w:color w:val="auto"/>
          <w:sz w:val="24"/>
        </w:rPr>
        <w:t>日，由全国有色金属标准化技术委员会在湖南省包头市组织召开国家标准</w:t>
      </w:r>
      <w:r>
        <w:rPr>
          <w:rFonts w:ascii="宋体" w:hAnsi="宋体"/>
          <w:color w:val="auto"/>
          <w:sz w:val="24"/>
        </w:rPr>
        <w:t xml:space="preserve"> </w:t>
      </w:r>
      <w:r>
        <w:rPr>
          <w:rFonts w:hint="eastAsia" w:ascii="宋体" w:hAnsi="宋体"/>
          <w:color w:val="auto"/>
          <w:sz w:val="24"/>
        </w:rPr>
        <w:t>《粉末冶金术语》审定会。来自</w:t>
      </w:r>
      <w:r>
        <w:rPr>
          <w:rFonts w:ascii="宋体" w:hAnsi="宋体"/>
          <w:color w:val="auto"/>
          <w:sz w:val="24"/>
        </w:rPr>
        <w:t>XX</w:t>
      </w:r>
      <w:r>
        <w:rPr>
          <w:rFonts w:hint="eastAsia" w:ascii="宋体" w:hAnsi="宋体"/>
          <w:color w:val="auto"/>
          <w:sz w:val="24"/>
        </w:rPr>
        <w:t>等</w:t>
      </w:r>
      <w:r>
        <w:rPr>
          <w:rFonts w:ascii="宋体" w:hAnsi="宋体"/>
          <w:color w:val="auto"/>
          <w:sz w:val="24"/>
        </w:rPr>
        <w:t>XX</w:t>
      </w:r>
      <w:r>
        <w:rPr>
          <w:rFonts w:hint="eastAsia" w:ascii="宋体" w:hAnsi="宋体"/>
          <w:color w:val="auto"/>
          <w:sz w:val="24"/>
        </w:rPr>
        <w:t>家单位的</w:t>
      </w:r>
      <w:r>
        <w:rPr>
          <w:rFonts w:ascii="宋体" w:hAnsi="宋体"/>
          <w:color w:val="auto"/>
          <w:sz w:val="24"/>
        </w:rPr>
        <w:t>XX</w:t>
      </w:r>
      <w:r>
        <w:rPr>
          <w:rFonts w:hint="eastAsia" w:ascii="宋体" w:hAnsi="宋体"/>
          <w:color w:val="auto"/>
          <w:sz w:val="24"/>
        </w:rPr>
        <w:t>位专家代表参加了会议，见《有色金属审定会参加单位及代表签名》。会议对中南大学负责修订的国家标准</w:t>
      </w:r>
      <w:r>
        <w:rPr>
          <w:rFonts w:ascii="宋体" w:hAnsi="宋体"/>
          <w:color w:val="auto"/>
          <w:sz w:val="24"/>
        </w:rPr>
        <w:t xml:space="preserve"> </w:t>
      </w:r>
      <w:r>
        <w:rPr>
          <w:rFonts w:hint="eastAsia" w:ascii="宋体" w:hAnsi="宋体"/>
          <w:color w:val="auto"/>
          <w:sz w:val="24"/>
        </w:rPr>
        <w:t>《粉末冶金术语》（送审稿）进行了认真细致的审定并提出修改意见，见《有色金属标准审定会会议纪要》。标准编制组采纳了审定会专家提出的意见，对标准送审稿进行了修改完善。</w:t>
      </w:r>
      <w:r>
        <w:rPr>
          <w:rFonts w:ascii="宋体" w:hAnsi="宋体"/>
          <w:color w:val="auto"/>
          <w:sz w:val="24"/>
        </w:rPr>
        <w:t xml:space="preserve"> </w:t>
      </w:r>
    </w:p>
    <w:p w14:paraId="2E1D99DE">
      <w:pPr>
        <w:spacing w:line="360" w:lineRule="auto"/>
        <w:ind w:firstLine="0" w:firstLineChars="0"/>
        <w:rPr>
          <w:rFonts w:ascii="宋体" w:hAnsi="宋体"/>
          <w:b/>
          <w:color w:val="auto"/>
          <w:sz w:val="24"/>
        </w:rPr>
      </w:pPr>
      <w:r>
        <w:rPr>
          <w:rFonts w:ascii="宋体" w:hAnsi="宋体"/>
          <w:b/>
          <w:color w:val="auto"/>
          <w:sz w:val="24"/>
        </w:rPr>
        <w:t xml:space="preserve">1.5.4 </w:t>
      </w:r>
      <w:r>
        <w:rPr>
          <w:rFonts w:hint="eastAsia" w:ascii="宋体" w:hAnsi="宋体"/>
          <w:b/>
          <w:color w:val="auto"/>
          <w:sz w:val="24"/>
        </w:rPr>
        <w:t>报批阶段</w:t>
      </w:r>
    </w:p>
    <w:p w14:paraId="59EA5248">
      <w:pPr>
        <w:spacing w:line="360" w:lineRule="auto"/>
        <w:rPr>
          <w:rFonts w:ascii="宋体" w:hAnsi="宋体"/>
          <w:color w:val="auto"/>
          <w:sz w:val="24"/>
        </w:rPr>
      </w:pPr>
    </w:p>
    <w:p w14:paraId="0D6372CB">
      <w:pPr>
        <w:spacing w:line="360" w:lineRule="auto"/>
        <w:rPr>
          <w:rFonts w:ascii="宋体" w:hAnsi="宋体"/>
          <w:b/>
          <w:color w:val="auto"/>
          <w:sz w:val="24"/>
        </w:rPr>
      </w:pPr>
      <w:r>
        <w:rPr>
          <w:rFonts w:hint="eastAsia" w:ascii="宋体" w:hAnsi="宋体"/>
          <w:b/>
          <w:color w:val="auto"/>
          <w:sz w:val="24"/>
        </w:rPr>
        <w:t>二、</w:t>
      </w:r>
      <w:bookmarkStart w:id="41" w:name="OLE_LINK8"/>
      <w:bookmarkStart w:id="42" w:name="OLE_LINK9"/>
      <w:r>
        <w:rPr>
          <w:rFonts w:hint="eastAsia" w:ascii="宋体" w:hAnsi="宋体"/>
          <w:b/>
          <w:color w:val="auto"/>
          <w:sz w:val="24"/>
        </w:rPr>
        <w:t>标准</w:t>
      </w:r>
      <w:bookmarkEnd w:id="41"/>
      <w:bookmarkEnd w:id="42"/>
      <w:r>
        <w:rPr>
          <w:rFonts w:hint="eastAsia" w:ascii="宋体" w:hAnsi="宋体"/>
          <w:b/>
          <w:color w:val="auto"/>
          <w:sz w:val="24"/>
        </w:rPr>
        <w:t>修订原则、标准主要内容与论据</w:t>
      </w:r>
    </w:p>
    <w:p w14:paraId="3B379908">
      <w:pPr>
        <w:spacing w:line="360" w:lineRule="auto"/>
        <w:rPr>
          <w:rFonts w:ascii="宋体" w:hAnsi="宋体"/>
          <w:b/>
          <w:color w:val="auto"/>
          <w:sz w:val="24"/>
        </w:rPr>
      </w:pPr>
      <w:r>
        <w:rPr>
          <w:rFonts w:ascii="宋体" w:hAnsi="宋体"/>
          <w:b/>
          <w:bCs/>
          <w:color w:val="auto"/>
          <w:sz w:val="24"/>
        </w:rPr>
        <w:t xml:space="preserve">2.1 </w:t>
      </w:r>
      <w:r>
        <w:rPr>
          <w:rFonts w:hint="eastAsia" w:ascii="宋体" w:hAnsi="宋体"/>
          <w:b/>
          <w:color w:val="auto"/>
          <w:sz w:val="24"/>
        </w:rPr>
        <w:t>标准修订原则</w:t>
      </w:r>
    </w:p>
    <w:p w14:paraId="6F8C762D">
      <w:pPr>
        <w:spacing w:line="360" w:lineRule="auto"/>
        <w:ind w:firstLine="240" w:firstLineChars="100"/>
        <w:rPr>
          <w:rFonts w:ascii="宋体" w:hAnsi="宋体"/>
          <w:color w:val="auto"/>
          <w:sz w:val="24"/>
        </w:rPr>
      </w:pPr>
      <w:r>
        <w:rPr>
          <w:rFonts w:hint="eastAsia" w:ascii="宋体" w:hAnsi="宋体"/>
          <w:color w:val="auto"/>
          <w:sz w:val="24"/>
        </w:rPr>
        <w:t>（1）</w:t>
      </w:r>
      <w:r>
        <w:rPr>
          <w:rFonts w:ascii="宋体" w:hAnsi="宋体"/>
          <w:color w:val="auto"/>
          <w:sz w:val="24"/>
        </w:rPr>
        <w:t xml:space="preserve"> </w:t>
      </w:r>
      <w:r>
        <w:rPr>
          <w:rFonts w:hint="eastAsia" w:ascii="宋体" w:hAnsi="宋体"/>
          <w:color w:val="auto"/>
          <w:sz w:val="24"/>
        </w:rPr>
        <w:t>技术内容先进性原则：</w:t>
      </w:r>
      <w:r>
        <w:rPr>
          <w:rFonts w:ascii="宋体" w:hAnsi="宋体"/>
          <w:color w:val="auto"/>
          <w:sz w:val="24"/>
        </w:rPr>
        <w:t xml:space="preserve"> </w:t>
      </w:r>
      <w:r>
        <w:rPr>
          <w:rFonts w:hint="eastAsia" w:ascii="宋体" w:hAnsi="宋体"/>
          <w:color w:val="auto"/>
          <w:sz w:val="24"/>
        </w:rPr>
        <w:t>以最新的国际标准</w:t>
      </w:r>
      <w:r>
        <w:rPr>
          <w:rFonts w:ascii="宋体" w:hAnsi="宋体"/>
          <w:color w:val="auto"/>
          <w:sz w:val="24"/>
        </w:rPr>
        <w:t>ISO 3252:2023</w:t>
      </w:r>
      <w:r>
        <w:rPr>
          <w:rFonts w:hint="eastAsia" w:ascii="宋体" w:hAnsi="宋体"/>
          <w:color w:val="auto"/>
          <w:sz w:val="24"/>
        </w:rPr>
        <w:t>为基础进行修订，确保标准技术内容与国际主流水平保持一致，反映当前技术和产业发展的最新成果。</w:t>
      </w:r>
    </w:p>
    <w:p w14:paraId="7A9E99C6">
      <w:pPr>
        <w:spacing w:line="360" w:lineRule="auto"/>
        <w:ind w:firstLine="240" w:firstLineChars="100"/>
        <w:rPr>
          <w:rFonts w:ascii="宋体" w:hAnsi="宋体"/>
          <w:color w:val="auto"/>
          <w:sz w:val="24"/>
        </w:rPr>
      </w:pPr>
      <w:r>
        <w:rPr>
          <w:rFonts w:hint="eastAsia" w:ascii="宋体" w:hAnsi="宋体"/>
          <w:color w:val="auto"/>
          <w:sz w:val="24"/>
        </w:rPr>
        <w:t>（2）</w:t>
      </w:r>
      <w:r>
        <w:rPr>
          <w:rFonts w:ascii="宋体" w:hAnsi="宋体"/>
          <w:color w:val="auto"/>
          <w:sz w:val="24"/>
        </w:rPr>
        <w:t xml:space="preserve"> </w:t>
      </w:r>
      <w:r>
        <w:rPr>
          <w:rFonts w:hint="eastAsia" w:ascii="宋体" w:hAnsi="宋体"/>
          <w:color w:val="auto"/>
          <w:sz w:val="24"/>
        </w:rPr>
        <w:t>协调一致性原则：</w:t>
      </w:r>
      <w:r>
        <w:rPr>
          <w:rFonts w:ascii="宋体" w:hAnsi="宋体"/>
          <w:color w:val="auto"/>
          <w:sz w:val="24"/>
        </w:rPr>
        <w:t xml:space="preserve"> </w:t>
      </w:r>
      <w:r>
        <w:rPr>
          <w:rFonts w:hint="eastAsia" w:ascii="宋体" w:hAnsi="宋体"/>
          <w:color w:val="auto"/>
          <w:sz w:val="24"/>
        </w:rPr>
        <w:t>确保修订后的标准与我国现行的相关法律、法规、产业政策以及基础通用国家标准相协调。同时，在术语定义、测试方法、技术要求等方面，力求与</w:t>
      </w:r>
      <w:r>
        <w:rPr>
          <w:rFonts w:ascii="宋体" w:hAnsi="宋体"/>
          <w:color w:val="auto"/>
          <w:sz w:val="24"/>
        </w:rPr>
        <w:t>ISO 3252:2023</w:t>
      </w:r>
      <w:r>
        <w:rPr>
          <w:rFonts w:hint="eastAsia" w:ascii="宋体" w:hAnsi="宋体"/>
          <w:color w:val="auto"/>
          <w:sz w:val="24"/>
        </w:rPr>
        <w:t>保持最大程度的一致性，为消除技术性贸易壁垒提供支持。</w:t>
      </w:r>
    </w:p>
    <w:p w14:paraId="317E43D5">
      <w:pPr>
        <w:spacing w:line="360" w:lineRule="auto"/>
        <w:ind w:firstLine="240" w:firstLineChars="100"/>
        <w:rPr>
          <w:rFonts w:ascii="宋体" w:hAnsi="宋体"/>
          <w:color w:val="auto"/>
          <w:sz w:val="24"/>
        </w:rPr>
      </w:pPr>
      <w:r>
        <w:rPr>
          <w:rFonts w:hint="eastAsia" w:ascii="宋体" w:hAnsi="宋体"/>
          <w:color w:val="auto"/>
          <w:sz w:val="24"/>
        </w:rPr>
        <w:t>（3）</w:t>
      </w:r>
      <w:r>
        <w:rPr>
          <w:rFonts w:ascii="宋体" w:hAnsi="宋体"/>
          <w:color w:val="auto"/>
          <w:sz w:val="24"/>
        </w:rPr>
        <w:t xml:space="preserve"> </w:t>
      </w:r>
      <w:r>
        <w:rPr>
          <w:rFonts w:hint="eastAsia" w:ascii="宋体" w:hAnsi="宋体"/>
          <w:color w:val="auto"/>
          <w:sz w:val="24"/>
        </w:rPr>
        <w:t>适用性与可操作性原则：</w:t>
      </w:r>
      <w:r>
        <w:rPr>
          <w:rFonts w:ascii="宋体" w:hAnsi="宋体"/>
          <w:color w:val="auto"/>
          <w:sz w:val="24"/>
        </w:rPr>
        <w:t xml:space="preserve"> </w:t>
      </w:r>
      <w:r>
        <w:rPr>
          <w:rFonts w:hint="eastAsia" w:ascii="宋体" w:hAnsi="宋体"/>
          <w:color w:val="auto"/>
          <w:sz w:val="24"/>
        </w:rPr>
        <w:t>在采纳国际标准先进技术内容的同时，结合我国产业实际情况、生产实践和用户需求，对标准内容进行必要的研究、验证和适应性调整，确保标准在我国语境下的科学合理、易于理解和便于实施。</w:t>
      </w:r>
    </w:p>
    <w:p w14:paraId="1C8EC275">
      <w:pPr>
        <w:spacing w:line="360" w:lineRule="auto"/>
        <w:ind w:firstLine="240" w:firstLineChars="100"/>
        <w:rPr>
          <w:rFonts w:ascii="宋体" w:hAnsi="宋体"/>
          <w:color w:val="auto"/>
          <w:sz w:val="24"/>
        </w:rPr>
      </w:pPr>
      <w:r>
        <w:rPr>
          <w:rFonts w:hint="eastAsia" w:ascii="宋体" w:hAnsi="宋体"/>
          <w:color w:val="auto"/>
          <w:sz w:val="24"/>
        </w:rPr>
        <w:t>（4）</w:t>
      </w:r>
      <w:r>
        <w:rPr>
          <w:rFonts w:ascii="宋体" w:hAnsi="宋体"/>
          <w:color w:val="auto"/>
          <w:sz w:val="24"/>
        </w:rPr>
        <w:t xml:space="preserve"> </w:t>
      </w:r>
      <w:r>
        <w:rPr>
          <w:rFonts w:hint="eastAsia" w:ascii="宋体" w:hAnsi="宋体"/>
          <w:color w:val="auto"/>
          <w:sz w:val="24"/>
        </w:rPr>
        <w:t>规范性原则：</w:t>
      </w:r>
      <w:r>
        <w:rPr>
          <w:rFonts w:ascii="宋体" w:hAnsi="宋体"/>
          <w:color w:val="auto"/>
          <w:sz w:val="24"/>
        </w:rPr>
        <w:t xml:space="preserve"> </w:t>
      </w:r>
      <w:r>
        <w:rPr>
          <w:rFonts w:hint="eastAsia" w:ascii="宋体" w:hAnsi="宋体"/>
          <w:color w:val="auto"/>
          <w:sz w:val="24"/>
        </w:rPr>
        <w:t>严格按照</w:t>
      </w:r>
      <w:r>
        <w:rPr>
          <w:rFonts w:ascii="宋体" w:hAnsi="宋体"/>
          <w:color w:val="auto"/>
          <w:sz w:val="24"/>
        </w:rPr>
        <w:t>GB/T 1.1-2020</w:t>
      </w:r>
      <w:r>
        <w:rPr>
          <w:rFonts w:hint="eastAsia" w:ascii="宋体" w:hAnsi="宋体"/>
          <w:color w:val="auto"/>
          <w:sz w:val="24"/>
        </w:rPr>
        <w:t>《标准化工作导则</w:t>
      </w:r>
      <w:r>
        <w:rPr>
          <w:rFonts w:ascii="宋体" w:hAnsi="宋体"/>
          <w:color w:val="auto"/>
          <w:sz w:val="24"/>
        </w:rPr>
        <w:t xml:space="preserve"> </w:t>
      </w:r>
      <w:r>
        <w:rPr>
          <w:rFonts w:hint="eastAsia" w:ascii="宋体" w:hAnsi="宋体"/>
          <w:color w:val="auto"/>
          <w:sz w:val="24"/>
        </w:rPr>
        <w:t>第</w:t>
      </w:r>
      <w:r>
        <w:rPr>
          <w:rFonts w:ascii="宋体" w:hAnsi="宋体"/>
          <w:color w:val="auto"/>
          <w:sz w:val="24"/>
        </w:rPr>
        <w:t>1</w:t>
      </w:r>
      <w:r>
        <w:rPr>
          <w:rFonts w:hint="eastAsia" w:ascii="宋体" w:hAnsi="宋体"/>
          <w:color w:val="auto"/>
          <w:sz w:val="24"/>
        </w:rPr>
        <w:t>部分：标准化文件的结构和起草规则》等基础标准的要求进行起草，保证标准文本结构的规范性、表述的准确性和逻辑的严谨性。</w:t>
      </w:r>
    </w:p>
    <w:p w14:paraId="0D25F731">
      <w:pPr>
        <w:spacing w:line="360" w:lineRule="auto"/>
        <w:ind w:firstLine="240" w:firstLineChars="100"/>
        <w:rPr>
          <w:rFonts w:ascii="宋体" w:hAnsi="宋体"/>
          <w:color w:val="auto"/>
          <w:sz w:val="24"/>
        </w:rPr>
      </w:pPr>
    </w:p>
    <w:p w14:paraId="74428CDB">
      <w:pPr>
        <w:spacing w:line="360" w:lineRule="auto"/>
        <w:rPr>
          <w:rFonts w:ascii="宋体" w:hAnsi="宋体"/>
          <w:b/>
          <w:color w:val="auto"/>
          <w:sz w:val="24"/>
        </w:rPr>
      </w:pPr>
      <w:r>
        <w:rPr>
          <w:rFonts w:ascii="宋体" w:hAnsi="宋体"/>
          <w:b/>
          <w:bCs/>
          <w:color w:val="auto"/>
          <w:sz w:val="24"/>
        </w:rPr>
        <w:t xml:space="preserve">2.2 </w:t>
      </w:r>
      <w:r>
        <w:rPr>
          <w:rFonts w:hint="eastAsia" w:ascii="宋体" w:hAnsi="宋体"/>
          <w:b/>
          <w:color w:val="auto"/>
          <w:sz w:val="24"/>
        </w:rPr>
        <w:t>标准修订的主要内容与论据</w:t>
      </w:r>
    </w:p>
    <w:p w14:paraId="55C58920">
      <w:pPr>
        <w:widowControl/>
        <w:autoSpaceDE w:val="0"/>
        <w:autoSpaceDN w:val="0"/>
        <w:spacing w:line="360" w:lineRule="auto"/>
        <w:ind w:firstLine="420"/>
        <w:rPr>
          <w:rFonts w:ascii="宋体" w:hAnsi="宋体"/>
          <w:color w:val="auto"/>
          <w:kern w:val="0"/>
          <w:sz w:val="24"/>
        </w:rPr>
      </w:pPr>
      <w:r>
        <w:rPr>
          <w:rFonts w:hint="eastAsia" w:ascii="宋体" w:hAnsi="宋体"/>
          <w:color w:val="auto"/>
          <w:kern w:val="0"/>
          <w:sz w:val="24"/>
        </w:rPr>
        <w:t xml:space="preserve"> 本次修订的技术内容主要等同采用</w:t>
      </w:r>
      <w:r>
        <w:rPr>
          <w:rFonts w:ascii="宋体" w:hAnsi="宋体"/>
          <w:color w:val="auto"/>
          <w:kern w:val="0"/>
          <w:sz w:val="24"/>
        </w:rPr>
        <w:t>ISO 3252:2023。ISO 3252是由国际标准化组织（ISO）发布并定期更新的国际标准，代表了该领域国际公认的技术共识和最新发展。采用该国际标准有利于我国在该领域的技术与国际接轨，便利国内外技术交流、合作与贸易，是我国标准化工作对外开放和参与国际规则制定的重要体现。修订过程中，起草组对ISO标准与我国国标的差异进行了详细比对、分析和必要的研究验证，确保修订内容科学、合理、可行。</w:t>
      </w:r>
    </w:p>
    <w:p w14:paraId="0005A566">
      <w:pPr>
        <w:widowControl/>
        <w:autoSpaceDE w:val="0"/>
        <w:autoSpaceDN w:val="0"/>
        <w:spacing w:line="360" w:lineRule="auto"/>
        <w:ind w:firstLine="420"/>
        <w:rPr>
          <w:rFonts w:ascii="宋体" w:hAnsi="宋体"/>
          <w:color w:val="auto"/>
          <w:kern w:val="0"/>
          <w:sz w:val="24"/>
        </w:rPr>
      </w:pPr>
      <w:r>
        <w:rPr>
          <w:rFonts w:hint="eastAsia" w:ascii="宋体" w:hAnsi="宋体"/>
          <w:color w:val="auto"/>
          <w:kern w:val="0"/>
          <w:sz w:val="24"/>
        </w:rPr>
        <w:t>本次修订的主要内容如下：</w:t>
      </w:r>
    </w:p>
    <w:p w14:paraId="6407C231">
      <w:pPr>
        <w:widowControl/>
        <w:autoSpaceDE w:val="0"/>
        <w:autoSpaceDN w:val="0"/>
        <w:spacing w:line="360" w:lineRule="auto"/>
        <w:ind w:firstLine="420"/>
        <w:rPr>
          <w:rFonts w:ascii="宋体" w:hAnsi="宋体"/>
          <w:color w:val="auto"/>
          <w:kern w:val="0"/>
          <w:sz w:val="24"/>
        </w:rPr>
      </w:pPr>
      <w:r>
        <w:rPr>
          <w:rFonts w:hint="eastAsia" w:ascii="宋体" w:hAnsi="宋体"/>
          <w:color w:val="auto"/>
          <w:kern w:val="0"/>
          <w:sz w:val="24"/>
        </w:rPr>
        <w:t>（1）</w:t>
      </w:r>
      <w:r>
        <w:rPr>
          <w:rFonts w:ascii="宋体" w:hAnsi="宋体"/>
          <w:color w:val="auto"/>
          <w:kern w:val="0"/>
          <w:sz w:val="24"/>
        </w:rPr>
        <w:t xml:space="preserve"> 结构调整与编辑性修改： 根据GB/T 1.1-2020的最新要求，对标准的前言、引言、章节结构及编排格式进行了全面调整和统一，使标准文本更加规范。</w:t>
      </w:r>
    </w:p>
    <w:p w14:paraId="18B1C737">
      <w:pPr>
        <w:widowControl/>
        <w:autoSpaceDE w:val="0"/>
        <w:autoSpaceDN w:val="0"/>
        <w:spacing w:line="360" w:lineRule="auto"/>
        <w:ind w:firstLine="420"/>
        <w:rPr>
          <w:rFonts w:ascii="宋体" w:hAnsi="宋体"/>
          <w:color w:val="auto"/>
          <w:kern w:val="0"/>
          <w:sz w:val="24"/>
        </w:rPr>
      </w:pPr>
      <w:r>
        <w:rPr>
          <w:rFonts w:hint="eastAsia" w:ascii="宋体" w:hAnsi="宋体"/>
          <w:color w:val="auto"/>
          <w:kern w:val="0"/>
          <w:sz w:val="24"/>
        </w:rPr>
        <w:t>（2）</w:t>
      </w:r>
      <w:r>
        <w:rPr>
          <w:rFonts w:ascii="宋体" w:hAnsi="宋体"/>
          <w:color w:val="auto"/>
          <w:kern w:val="0"/>
          <w:sz w:val="24"/>
        </w:rPr>
        <w:t xml:space="preserve"> </w:t>
      </w:r>
      <w:r>
        <w:rPr>
          <w:rFonts w:hint="eastAsia" w:ascii="宋体" w:hAnsi="宋体"/>
          <w:color w:val="auto"/>
          <w:kern w:val="0"/>
          <w:sz w:val="24"/>
        </w:rPr>
        <w:t>术语和定义的更新与完善（核心修订内容）：</w:t>
      </w:r>
    </w:p>
    <w:p w14:paraId="773454A8">
      <w:pPr>
        <w:widowControl/>
        <w:autoSpaceDE w:val="0"/>
        <w:autoSpaceDN w:val="0"/>
        <w:spacing w:line="360" w:lineRule="auto"/>
        <w:ind w:firstLine="420"/>
        <w:rPr>
          <w:rFonts w:ascii="宋体" w:hAnsi="宋体"/>
          <w:color w:val="auto"/>
          <w:kern w:val="0"/>
          <w:sz w:val="24"/>
        </w:rPr>
      </w:pPr>
      <w:r>
        <w:rPr>
          <w:rFonts w:ascii="宋体" w:hAnsi="宋体"/>
          <w:color w:val="auto"/>
          <w:kern w:val="0"/>
          <w:sz w:val="24"/>
        </w:rPr>
        <w:t xml:space="preserve"> 新增术语： 根据ISO 3252:2023</w:t>
      </w:r>
      <w:r>
        <w:rPr>
          <w:rFonts w:hint="eastAsia" w:ascii="宋体" w:hAnsi="宋体"/>
          <w:color w:val="auto"/>
          <w:kern w:val="0"/>
          <w:sz w:val="24"/>
        </w:rPr>
        <w:t>新增术语情况</w:t>
      </w:r>
      <w:r>
        <w:rPr>
          <w:rFonts w:ascii="宋体" w:hAnsi="宋体"/>
          <w:color w:val="auto"/>
          <w:kern w:val="0"/>
          <w:sz w:val="24"/>
        </w:rPr>
        <w:t>，</w:t>
      </w:r>
      <w:r>
        <w:rPr>
          <w:rFonts w:hint="eastAsia" w:ascii="宋体" w:hAnsi="宋体"/>
          <w:color w:val="auto"/>
          <w:kern w:val="0"/>
          <w:sz w:val="24"/>
        </w:rPr>
        <w:t>对应</w:t>
      </w:r>
      <w:r>
        <w:rPr>
          <w:rFonts w:ascii="宋体" w:hAnsi="宋体"/>
          <w:color w:val="auto"/>
          <w:kern w:val="0"/>
          <w:sz w:val="24"/>
        </w:rPr>
        <w:t>新增了</w:t>
      </w:r>
      <w:bookmarkStart w:id="43" w:name="OLE_LINK70"/>
      <w:r>
        <w:rPr>
          <w:rFonts w:hint="eastAsia" w:ascii="宋体" w:hAnsi="宋体"/>
          <w:color w:val="auto"/>
          <w:kern w:val="0"/>
          <w:sz w:val="24"/>
        </w:rPr>
        <w:t>雾化、雾化金属粉、流速、粉碎、粉碎粉、棕坯、喂料、芯棒连接头、芯棒延伸杆、脱脂、阴模壁润滑、脱模能量、脱模力、送粉板、生坯加工、分层裂纹、下模板、多型腔模具、多模板模架、模冲垫块、模座、拉杆、倒凹成形、上连接板、上模板、温压成形、温模压制、连通孔、尺寸变化、变色、霜化、熔渗剂、熔失孔、烧结硬化、积炭、黑斑、致密化、全致密材料、表面致密化、软磁复合材料</w:t>
      </w:r>
      <w:bookmarkEnd w:id="43"/>
      <w:r>
        <w:rPr>
          <w:rFonts w:hint="eastAsia" w:ascii="宋体" w:hAnsi="宋体"/>
          <w:color w:val="auto"/>
          <w:kern w:val="0"/>
          <w:sz w:val="24"/>
        </w:rPr>
        <w:t>共计</w:t>
      </w:r>
      <w:r>
        <w:rPr>
          <w:rFonts w:ascii="宋体" w:hAnsi="宋体"/>
          <w:color w:val="auto"/>
          <w:kern w:val="0"/>
          <w:sz w:val="24"/>
        </w:rPr>
        <w:t>40</w:t>
      </w:r>
      <w:r>
        <w:rPr>
          <w:rFonts w:hint="eastAsia" w:ascii="宋体" w:hAnsi="宋体"/>
          <w:color w:val="auto"/>
          <w:kern w:val="0"/>
          <w:sz w:val="24"/>
        </w:rPr>
        <w:t>条术语及定义。这些新增术语大多集中在金属注射成形（</w:t>
      </w:r>
      <w:r>
        <w:rPr>
          <w:rFonts w:ascii="宋体" w:hAnsi="宋体"/>
          <w:color w:val="auto"/>
          <w:kern w:val="0"/>
          <w:sz w:val="24"/>
        </w:rPr>
        <w:t>MIM）、增材制造（3D打印）、先进模具工装等领域</w:t>
      </w:r>
      <w:r>
        <w:rPr>
          <w:rFonts w:hint="eastAsia" w:ascii="宋体" w:hAnsi="宋体"/>
          <w:color w:val="auto"/>
          <w:kern w:val="0"/>
          <w:sz w:val="24"/>
        </w:rPr>
        <w:t>，覆盖了更全面的技术领域。具体新增术语见附表</w:t>
      </w:r>
      <w:r>
        <w:rPr>
          <w:rFonts w:ascii="宋体" w:hAnsi="宋体"/>
          <w:color w:val="auto"/>
          <w:kern w:val="0"/>
          <w:sz w:val="24"/>
        </w:rPr>
        <w:t>1</w:t>
      </w:r>
      <w:r>
        <w:rPr>
          <w:rFonts w:hint="eastAsia" w:ascii="宋体" w:hAnsi="宋体"/>
          <w:color w:val="auto"/>
          <w:kern w:val="0"/>
          <w:sz w:val="24"/>
        </w:rPr>
        <w:t>。</w:t>
      </w:r>
    </w:p>
    <w:p w14:paraId="01E2D1B9">
      <w:pPr>
        <w:widowControl/>
        <w:autoSpaceDE w:val="0"/>
        <w:autoSpaceDN w:val="0"/>
        <w:spacing w:line="360" w:lineRule="auto"/>
        <w:ind w:firstLine="420"/>
        <w:rPr>
          <w:rFonts w:hint="eastAsia" w:ascii="宋体" w:hAnsi="宋体"/>
          <w:color w:val="auto"/>
          <w:kern w:val="0"/>
          <w:sz w:val="24"/>
        </w:rPr>
      </w:pPr>
      <w:r>
        <w:rPr>
          <w:rFonts w:hint="eastAsia" w:ascii="宋体" w:hAnsi="宋体"/>
          <w:color w:val="auto"/>
          <w:kern w:val="0"/>
          <w:sz w:val="24"/>
        </w:rPr>
        <w:t>修改术语：对</w:t>
      </w:r>
      <w:r>
        <w:rPr>
          <w:rFonts w:ascii="宋体" w:hAnsi="宋体"/>
          <w:color w:val="auto"/>
          <w:kern w:val="0"/>
          <w:sz w:val="24"/>
        </w:rPr>
        <w:t>GB/T 3500-2008中</w:t>
      </w:r>
      <w:r>
        <w:rPr>
          <w:rFonts w:hint="eastAsia" w:ascii="宋体" w:hAnsi="宋体"/>
          <w:color w:val="auto"/>
          <w:kern w:val="0"/>
          <w:sz w:val="24"/>
        </w:rPr>
        <w:t>针状、自然坡度角、松装密度、粘结剂、合批粉、合批、堆积密度、粉块、羰基粉、包覆粉、成形性、压缩性、压缩比、扩散合金粉、坯料、装填系数、片状、流动性、流速计、粒状、制粒、氢损、润滑剂、研磨、粉末、快速冷凝粉、筛分析、比表面积、模架、支撑台、基础板、毛坯、压圈、冷压、连续喷雾沉积、芯棒、阴模、阴模板、脱模器、爆炸成形、送粉靴、送粉板、拨叉、生坯密度、生坯强度、导柱、调节杆、下模板、下模冲、中性区、过量装粉、增塑粉末挤压、粉末轧制、压制、模冲、模冲板、模套、骨架、模具、欠量装粉、上模冲、振动辅助压制、振动辅助装粉、温压、楔铁、重量装粉法、下拉位置、下拉脱模法、粘结相、粘结剂脱除、碳化、流体渗透性、气压烧结、吸气剂、网带炉、含油量、烧结炉、实体硬度、表层指状氧化物、欠烧、复压、水蒸汽处理、金属陶瓷、弥散强化材料、硬质合金、含油轴承、烧结电触头材料、烧结金属基复合材料、烧结零件共计89</w:t>
      </w:r>
      <w:r>
        <w:rPr>
          <w:rFonts w:ascii="宋体" w:hAnsi="宋体"/>
          <w:color w:val="auto"/>
          <w:kern w:val="0"/>
          <w:sz w:val="24"/>
        </w:rPr>
        <w:t>条</w:t>
      </w:r>
      <w:r>
        <w:rPr>
          <w:rFonts w:hint="eastAsia" w:ascii="宋体" w:hAnsi="宋体"/>
          <w:color w:val="auto"/>
          <w:kern w:val="0"/>
          <w:sz w:val="24"/>
        </w:rPr>
        <w:t>术语的定义进行了修改和完善。将离析、模具，底板共计</w:t>
      </w:r>
      <w:r>
        <w:rPr>
          <w:rFonts w:ascii="宋体" w:hAnsi="宋体"/>
          <w:color w:val="auto"/>
          <w:kern w:val="0"/>
          <w:sz w:val="24"/>
        </w:rPr>
        <w:t>3</w:t>
      </w:r>
      <w:r>
        <w:rPr>
          <w:rFonts w:hint="eastAsia" w:ascii="宋体" w:hAnsi="宋体"/>
          <w:color w:val="auto"/>
          <w:kern w:val="0"/>
          <w:sz w:val="24"/>
        </w:rPr>
        <w:t>条术语分别进行了拆分定义。修改依据主要来源于</w:t>
      </w:r>
      <w:r>
        <w:rPr>
          <w:rFonts w:ascii="宋体" w:hAnsi="宋体"/>
          <w:color w:val="auto"/>
          <w:kern w:val="0"/>
          <w:sz w:val="24"/>
        </w:rPr>
        <w:t>ISO 3252:2023对相关定义的修订，旨在使定义更加科学、准确、清晰，避免歧义。</w:t>
      </w:r>
      <w:r>
        <w:rPr>
          <w:rFonts w:hint="eastAsia" w:ascii="宋体" w:hAnsi="宋体"/>
          <w:color w:val="auto"/>
          <w:kern w:val="0"/>
          <w:sz w:val="24"/>
        </w:rPr>
        <w:t>修改的术语具体见附表</w:t>
      </w:r>
      <w:r>
        <w:rPr>
          <w:rFonts w:ascii="宋体" w:hAnsi="宋体"/>
          <w:color w:val="auto"/>
          <w:kern w:val="0"/>
          <w:sz w:val="24"/>
        </w:rPr>
        <w:t>2</w:t>
      </w:r>
      <w:r>
        <w:rPr>
          <w:rFonts w:hint="eastAsia" w:ascii="宋体" w:hAnsi="宋体"/>
          <w:color w:val="auto"/>
          <w:kern w:val="0"/>
          <w:sz w:val="24"/>
        </w:rPr>
        <w:t>。 I</w:t>
      </w:r>
      <w:r>
        <w:rPr>
          <w:rFonts w:ascii="宋体" w:hAnsi="宋体"/>
          <w:color w:val="auto"/>
          <w:kern w:val="0"/>
          <w:sz w:val="24"/>
        </w:rPr>
        <w:t>SO3252:2023</w:t>
      </w:r>
      <w:r>
        <w:rPr>
          <w:rFonts w:hint="eastAsia" w:ascii="宋体" w:hAnsi="宋体"/>
          <w:color w:val="auto"/>
          <w:kern w:val="0"/>
          <w:sz w:val="24"/>
        </w:rPr>
        <w:t>英文词条定义未变，但中文翻译有修改的术语具体见附表</w:t>
      </w:r>
      <w:r>
        <w:rPr>
          <w:rFonts w:ascii="宋体" w:hAnsi="宋体"/>
          <w:color w:val="auto"/>
          <w:kern w:val="0"/>
          <w:sz w:val="24"/>
        </w:rPr>
        <w:t>3</w:t>
      </w:r>
      <w:r>
        <w:rPr>
          <w:rFonts w:hint="eastAsia" w:ascii="宋体" w:hAnsi="宋体"/>
          <w:color w:val="auto"/>
          <w:kern w:val="0"/>
          <w:sz w:val="24"/>
        </w:rPr>
        <w:t>。</w:t>
      </w:r>
    </w:p>
    <w:p w14:paraId="059D0080">
      <w:pPr>
        <w:widowControl/>
        <w:autoSpaceDE w:val="0"/>
        <w:autoSpaceDN w:val="0"/>
        <w:spacing w:line="360" w:lineRule="auto"/>
        <w:ind w:firstLine="420"/>
        <w:rPr>
          <w:rFonts w:ascii="宋体" w:hAnsi="宋体"/>
          <w:color w:val="auto"/>
          <w:kern w:val="0"/>
          <w:sz w:val="24"/>
        </w:rPr>
      </w:pPr>
      <w:r>
        <w:rPr>
          <w:rFonts w:hint="eastAsia" w:ascii="宋体" w:hAnsi="宋体"/>
          <w:color w:val="auto"/>
          <w:kern w:val="0"/>
          <w:sz w:val="24"/>
        </w:rPr>
        <w:t>删除术语：删除了</w:t>
      </w:r>
      <w:r>
        <w:rPr>
          <w:rFonts w:ascii="宋体" w:hAnsi="宋体"/>
          <w:color w:val="auto"/>
          <w:kern w:val="0"/>
          <w:sz w:val="24"/>
        </w:rPr>
        <w:t>GB/T 3500-2008中</w:t>
      </w:r>
      <w:r>
        <w:rPr>
          <w:rFonts w:hint="eastAsia" w:ascii="宋体" w:hAnsi="宋体"/>
          <w:color w:val="auto"/>
          <w:kern w:val="0"/>
          <w:sz w:val="24"/>
        </w:rPr>
        <w:t>雾化粉、流动时间、分层、多工具模架、多模具接合器共计</w:t>
      </w:r>
      <w:r>
        <w:rPr>
          <w:rFonts w:ascii="宋体" w:hAnsi="宋体"/>
          <w:color w:val="auto"/>
          <w:kern w:val="0"/>
          <w:sz w:val="24"/>
        </w:rPr>
        <w:t>5条</w:t>
      </w:r>
      <w:r>
        <w:rPr>
          <w:rFonts w:hint="eastAsia" w:ascii="宋体" w:hAnsi="宋体"/>
          <w:color w:val="auto"/>
          <w:kern w:val="0"/>
          <w:sz w:val="24"/>
        </w:rPr>
        <w:t>术语，这些术语在</w:t>
      </w:r>
      <w:r>
        <w:rPr>
          <w:rFonts w:ascii="宋体" w:hAnsi="宋体"/>
          <w:color w:val="auto"/>
          <w:kern w:val="0"/>
          <w:sz w:val="24"/>
        </w:rPr>
        <w:t>ISO 3252:2023中已被删除或合并。</w:t>
      </w:r>
    </w:p>
    <w:p w14:paraId="370E9FF9">
      <w:pPr>
        <w:widowControl/>
        <w:autoSpaceDE w:val="0"/>
        <w:autoSpaceDN w:val="0"/>
        <w:spacing w:line="360" w:lineRule="auto"/>
        <w:ind w:firstLine="420"/>
        <w:rPr>
          <w:rFonts w:ascii="宋体" w:hAnsi="宋体"/>
          <w:color w:val="auto"/>
          <w:kern w:val="0"/>
          <w:sz w:val="24"/>
        </w:rPr>
      </w:pPr>
      <w:r>
        <w:rPr>
          <w:rFonts w:hint="eastAsia" w:ascii="宋体" w:hAnsi="宋体"/>
          <w:color w:val="auto"/>
          <w:kern w:val="0"/>
          <w:sz w:val="24"/>
        </w:rPr>
        <w:t>新增或修改图示：新增了多模板液压压机模架图示和多模板液压压机模具图示；修改了机械压机的模具及模架图示。</w:t>
      </w:r>
    </w:p>
    <w:p w14:paraId="7328E33F">
      <w:pPr>
        <w:widowControl/>
        <w:autoSpaceDE w:val="0"/>
        <w:autoSpaceDN w:val="0"/>
        <w:spacing w:line="360" w:lineRule="auto"/>
        <w:ind w:firstLine="420"/>
        <w:rPr>
          <w:rFonts w:ascii="宋体" w:hAnsi="宋体"/>
          <w:color w:val="auto"/>
          <w:kern w:val="0"/>
          <w:sz w:val="24"/>
        </w:rPr>
      </w:pPr>
      <w:r>
        <w:rPr>
          <w:rFonts w:hint="eastAsia" w:ascii="宋体" w:hAnsi="宋体"/>
          <w:color w:val="auto"/>
          <w:kern w:val="0"/>
          <w:sz w:val="24"/>
        </w:rPr>
        <w:t>编排与索引：术语的编排顺序与</w:t>
      </w:r>
      <w:r>
        <w:rPr>
          <w:rFonts w:ascii="宋体" w:hAnsi="宋体"/>
          <w:color w:val="auto"/>
          <w:kern w:val="0"/>
          <w:sz w:val="24"/>
        </w:rPr>
        <w:t>ISO 3252:2023保持一致，并更新和完善了中文索引和英文索引，便于使用者快速查阅。</w:t>
      </w:r>
    </w:p>
    <w:p w14:paraId="02A2E34C">
      <w:pPr>
        <w:widowControl/>
        <w:autoSpaceDE w:val="0"/>
        <w:autoSpaceDN w:val="0"/>
        <w:spacing w:line="360" w:lineRule="auto"/>
        <w:ind w:firstLine="420"/>
        <w:rPr>
          <w:rFonts w:ascii="宋体" w:hAnsi="宋体"/>
          <w:color w:val="auto"/>
          <w:kern w:val="0"/>
          <w:sz w:val="24"/>
        </w:rPr>
      </w:pPr>
      <w:r>
        <w:rPr>
          <w:rFonts w:hint="eastAsia" w:ascii="宋体" w:hAnsi="宋体"/>
          <w:color w:val="auto"/>
          <w:kern w:val="0"/>
          <w:sz w:val="24"/>
        </w:rPr>
        <w:t>（3）</w:t>
      </w:r>
      <w:r>
        <w:rPr>
          <w:rFonts w:ascii="宋体" w:hAnsi="宋体"/>
          <w:color w:val="auto"/>
          <w:kern w:val="0"/>
          <w:sz w:val="24"/>
        </w:rPr>
        <w:t xml:space="preserve"> 附录的修订： 更新了规范性附录和资料性附录的内容</w:t>
      </w:r>
      <w:r>
        <w:rPr>
          <w:rFonts w:hint="eastAsia" w:ascii="宋体" w:hAnsi="宋体"/>
          <w:color w:val="auto"/>
          <w:kern w:val="0"/>
          <w:sz w:val="24"/>
        </w:rPr>
        <w:t>，使其与标准正文的修订内容相匹配，并提供更有价值的参考信息。</w:t>
      </w:r>
    </w:p>
    <w:p w14:paraId="205CBD28">
      <w:pPr>
        <w:spacing w:line="360" w:lineRule="auto"/>
        <w:rPr>
          <w:rFonts w:ascii="宋体" w:hAnsi="宋体"/>
          <w:color w:val="auto"/>
          <w:sz w:val="24"/>
        </w:rPr>
      </w:pPr>
    </w:p>
    <w:p w14:paraId="7EFECC09">
      <w:pPr>
        <w:spacing w:line="360" w:lineRule="auto"/>
        <w:rPr>
          <w:rFonts w:ascii="宋体" w:hAnsi="宋体"/>
          <w:b/>
          <w:color w:val="auto"/>
          <w:sz w:val="24"/>
        </w:rPr>
      </w:pPr>
      <w:r>
        <w:rPr>
          <w:rFonts w:hint="eastAsia" w:ascii="宋体" w:hAnsi="宋体"/>
          <w:b/>
          <w:color w:val="auto"/>
          <w:sz w:val="24"/>
        </w:rPr>
        <w:t>三、标准水平</w:t>
      </w:r>
    </w:p>
    <w:p w14:paraId="0FE6601F">
      <w:pPr>
        <w:spacing w:line="360" w:lineRule="auto"/>
        <w:rPr>
          <w:rFonts w:ascii="宋体" w:hAnsi="宋体"/>
          <w:color w:val="auto"/>
          <w:sz w:val="24"/>
        </w:rPr>
      </w:pPr>
      <w:r>
        <w:rPr>
          <w:rFonts w:ascii="宋体" w:hAnsi="宋体"/>
          <w:b/>
          <w:bCs/>
          <w:color w:val="auto"/>
          <w:sz w:val="24"/>
        </w:rPr>
        <w:t>3.1</w:t>
      </w:r>
      <w:r>
        <w:rPr>
          <w:rFonts w:ascii="宋体" w:hAnsi="宋体"/>
          <w:color w:val="auto"/>
          <w:sz w:val="24"/>
        </w:rPr>
        <w:t xml:space="preserve"> </w:t>
      </w:r>
      <w:r>
        <w:rPr>
          <w:rFonts w:hint="eastAsia" w:ascii="宋体" w:hAnsi="宋体"/>
          <w:b/>
          <w:color w:val="auto"/>
          <w:sz w:val="24"/>
        </w:rPr>
        <w:t>采用国际标准及国外先进标准的程度</w:t>
      </w:r>
    </w:p>
    <w:p w14:paraId="140239A4">
      <w:pPr>
        <w:spacing w:line="360" w:lineRule="auto"/>
        <w:ind w:firstLine="480" w:firstLineChars="200"/>
        <w:rPr>
          <w:rFonts w:ascii="宋体" w:hAnsi="宋体"/>
          <w:color w:val="auto"/>
          <w:sz w:val="24"/>
        </w:rPr>
      </w:pPr>
      <w:r>
        <w:rPr>
          <w:rFonts w:hint="eastAsia" w:ascii="宋体" w:hAnsi="宋体"/>
          <w:color w:val="auto"/>
          <w:sz w:val="24"/>
        </w:rPr>
        <w:t>本标准等同采用国际标准《</w:t>
      </w:r>
      <w:r>
        <w:rPr>
          <w:rFonts w:ascii="宋体" w:hAnsi="宋体"/>
          <w:color w:val="auto"/>
          <w:sz w:val="24"/>
        </w:rPr>
        <w:t>ISO 3252:2023 Powder metallurgy</w:t>
      </w:r>
      <w:r>
        <w:rPr>
          <w:rFonts w:hint="eastAsia" w:ascii="宋体" w:hAnsi="宋体"/>
          <w:color w:val="auto"/>
          <w:sz w:val="24"/>
        </w:rPr>
        <w:t>——</w:t>
      </w:r>
      <w:r>
        <w:rPr>
          <w:rFonts w:ascii="宋体" w:hAnsi="宋体"/>
          <w:color w:val="auto"/>
          <w:sz w:val="24"/>
        </w:rPr>
        <w:t>Vocabulary</w:t>
      </w:r>
      <w:r>
        <w:rPr>
          <w:rFonts w:hint="eastAsia" w:ascii="宋体" w:hAnsi="宋体"/>
          <w:color w:val="auto"/>
          <w:sz w:val="24"/>
        </w:rPr>
        <w:t>》。</w:t>
      </w:r>
    </w:p>
    <w:p w14:paraId="3469FAC8">
      <w:pPr>
        <w:spacing w:line="360" w:lineRule="auto"/>
        <w:rPr>
          <w:rFonts w:ascii="宋体" w:hAnsi="宋体"/>
          <w:b/>
          <w:color w:val="auto"/>
          <w:sz w:val="24"/>
        </w:rPr>
      </w:pPr>
      <w:r>
        <w:rPr>
          <w:rFonts w:ascii="宋体" w:hAnsi="宋体"/>
          <w:b/>
          <w:bCs/>
          <w:color w:val="auto"/>
          <w:sz w:val="24"/>
        </w:rPr>
        <w:t>3.2</w:t>
      </w:r>
      <w:r>
        <w:rPr>
          <w:rFonts w:ascii="宋体" w:hAnsi="宋体"/>
          <w:b/>
          <w:color w:val="auto"/>
          <w:sz w:val="24"/>
        </w:rPr>
        <w:t xml:space="preserve"> </w:t>
      </w:r>
      <w:r>
        <w:rPr>
          <w:rFonts w:hint="eastAsia" w:ascii="宋体" w:hAnsi="宋体"/>
          <w:b/>
          <w:color w:val="auto"/>
          <w:sz w:val="24"/>
        </w:rPr>
        <w:t>与国际标准及国外同类标准水平的对比</w:t>
      </w:r>
    </w:p>
    <w:p w14:paraId="13ADBF63">
      <w:pPr>
        <w:spacing w:line="360" w:lineRule="auto"/>
        <w:ind w:firstLine="480" w:firstLineChars="200"/>
        <w:rPr>
          <w:rFonts w:ascii="宋体" w:hAnsi="宋体"/>
          <w:color w:val="auto"/>
          <w:sz w:val="24"/>
        </w:rPr>
      </w:pPr>
      <w:bookmarkStart w:id="44" w:name="OLE_LINK14"/>
      <w:bookmarkStart w:id="45" w:name="OLE_LINK13"/>
      <w:r>
        <w:rPr>
          <w:rFonts w:hint="eastAsia" w:ascii="宋体" w:hAnsi="宋体"/>
          <w:color w:val="auto"/>
          <w:sz w:val="24"/>
        </w:rPr>
        <w:t>本标准</w:t>
      </w:r>
      <w:bookmarkEnd w:id="44"/>
      <w:bookmarkEnd w:id="45"/>
      <w:r>
        <w:rPr>
          <w:rFonts w:hint="eastAsia" w:ascii="宋体" w:hAnsi="宋体"/>
          <w:color w:val="auto"/>
          <w:sz w:val="24"/>
        </w:rPr>
        <w:t>等同采用国际标准</w:t>
      </w:r>
      <w:r>
        <w:rPr>
          <w:rFonts w:ascii="宋体" w:hAnsi="宋体"/>
          <w:color w:val="auto"/>
          <w:sz w:val="24"/>
        </w:rPr>
        <w:t>ISO 3252:2023</w:t>
      </w:r>
      <w:r>
        <w:rPr>
          <w:rFonts w:hint="eastAsia" w:ascii="宋体" w:hAnsi="宋体"/>
          <w:color w:val="auto"/>
          <w:sz w:val="24"/>
        </w:rPr>
        <w:t>，技术内容与其保持一致。本标准修订后与国际先进标准保持同步。</w:t>
      </w:r>
    </w:p>
    <w:p w14:paraId="3DE6C1BA">
      <w:pPr>
        <w:spacing w:line="360" w:lineRule="auto"/>
        <w:rPr>
          <w:rFonts w:ascii="宋体" w:hAnsi="宋体"/>
          <w:b/>
          <w:color w:val="auto"/>
          <w:sz w:val="24"/>
        </w:rPr>
      </w:pPr>
      <w:r>
        <w:rPr>
          <w:rFonts w:ascii="宋体" w:hAnsi="宋体"/>
          <w:b/>
          <w:bCs/>
          <w:color w:val="auto"/>
          <w:sz w:val="24"/>
        </w:rPr>
        <w:t>3.3</w:t>
      </w:r>
      <w:r>
        <w:rPr>
          <w:rFonts w:ascii="宋体" w:hAnsi="宋体"/>
          <w:b/>
          <w:color w:val="auto"/>
          <w:sz w:val="24"/>
        </w:rPr>
        <w:t xml:space="preserve"> </w:t>
      </w:r>
      <w:bookmarkStart w:id="46" w:name="OLE_LINK81"/>
      <w:r>
        <w:rPr>
          <w:rFonts w:hint="eastAsia" w:ascii="宋体" w:hAnsi="宋体"/>
          <w:b/>
          <w:color w:val="auto"/>
          <w:sz w:val="24"/>
        </w:rPr>
        <w:t>与</w:t>
      </w:r>
      <w:bookmarkStart w:id="47" w:name="OLE_LINK83"/>
      <w:bookmarkStart w:id="48" w:name="OLE_LINK82"/>
      <w:r>
        <w:rPr>
          <w:rFonts w:hint="eastAsia" w:ascii="宋体" w:hAnsi="宋体"/>
          <w:b/>
          <w:color w:val="auto"/>
          <w:sz w:val="24"/>
        </w:rPr>
        <w:t>现有标准及制定中的标准</w:t>
      </w:r>
      <w:bookmarkEnd w:id="47"/>
      <w:bookmarkEnd w:id="48"/>
      <w:r>
        <w:rPr>
          <w:rFonts w:hint="eastAsia" w:ascii="宋体" w:hAnsi="宋体"/>
          <w:b/>
          <w:color w:val="auto"/>
          <w:sz w:val="24"/>
        </w:rPr>
        <w:t>协调配套情况</w:t>
      </w:r>
      <w:bookmarkEnd w:id="46"/>
    </w:p>
    <w:p w14:paraId="66DF422C">
      <w:pPr>
        <w:spacing w:line="360" w:lineRule="auto"/>
        <w:ind w:firstLine="480" w:firstLineChars="200"/>
        <w:rPr>
          <w:rFonts w:ascii="宋体" w:hAnsi="宋体"/>
          <w:color w:val="auto"/>
          <w:sz w:val="24"/>
        </w:rPr>
      </w:pPr>
      <w:r>
        <w:rPr>
          <w:rFonts w:hint="eastAsia" w:ascii="宋体" w:hAnsi="宋体"/>
          <w:color w:val="auto"/>
          <w:sz w:val="24"/>
        </w:rPr>
        <w:t>本标准作为基础术语标准，可为行业及国家标准提供术语支撑，确保标准体系内概念统一、协调配套。</w:t>
      </w:r>
    </w:p>
    <w:p w14:paraId="77566ADA">
      <w:pPr>
        <w:spacing w:line="360" w:lineRule="auto"/>
        <w:rPr>
          <w:rFonts w:ascii="宋体" w:hAnsi="宋体"/>
          <w:b/>
          <w:color w:val="auto"/>
          <w:sz w:val="24"/>
        </w:rPr>
      </w:pPr>
      <w:r>
        <w:rPr>
          <w:rFonts w:ascii="宋体" w:hAnsi="宋体"/>
          <w:b/>
          <w:bCs/>
          <w:color w:val="auto"/>
          <w:sz w:val="24"/>
        </w:rPr>
        <w:t>3.4</w:t>
      </w:r>
      <w:r>
        <w:rPr>
          <w:rFonts w:ascii="宋体" w:hAnsi="宋体"/>
          <w:b/>
          <w:color w:val="auto"/>
          <w:sz w:val="24"/>
        </w:rPr>
        <w:t xml:space="preserve"> </w:t>
      </w:r>
      <w:r>
        <w:rPr>
          <w:rFonts w:hint="eastAsia" w:ascii="宋体" w:hAnsi="宋体"/>
          <w:b/>
          <w:color w:val="auto"/>
          <w:sz w:val="24"/>
        </w:rPr>
        <w:t>涉及国内外专利及处置情况</w:t>
      </w:r>
    </w:p>
    <w:p w14:paraId="494E248E">
      <w:pPr>
        <w:spacing w:line="360" w:lineRule="auto"/>
        <w:ind w:firstLine="480" w:firstLineChars="200"/>
        <w:rPr>
          <w:rFonts w:ascii="宋体" w:hAnsi="宋体"/>
          <w:color w:val="auto"/>
          <w:sz w:val="24"/>
        </w:rPr>
      </w:pPr>
      <w:r>
        <w:rPr>
          <w:rFonts w:hint="eastAsia" w:ascii="宋体" w:hAnsi="宋体"/>
          <w:color w:val="auto"/>
          <w:sz w:val="24"/>
        </w:rPr>
        <w:t>经查，本标准没有涉及国内外专利。</w:t>
      </w:r>
    </w:p>
    <w:p w14:paraId="15B38630">
      <w:pPr>
        <w:spacing w:line="360" w:lineRule="auto"/>
        <w:rPr>
          <w:rFonts w:ascii="宋体" w:hAnsi="宋体"/>
          <w:b/>
          <w:color w:val="auto"/>
          <w:sz w:val="24"/>
        </w:rPr>
      </w:pPr>
    </w:p>
    <w:p w14:paraId="246290BC">
      <w:pPr>
        <w:spacing w:line="360" w:lineRule="auto"/>
        <w:rPr>
          <w:rFonts w:ascii="宋体" w:hAnsi="宋体"/>
          <w:b/>
          <w:color w:val="auto"/>
          <w:sz w:val="24"/>
        </w:rPr>
      </w:pPr>
      <w:r>
        <w:rPr>
          <w:rFonts w:hint="eastAsia" w:ascii="宋体" w:hAnsi="宋体"/>
          <w:b/>
          <w:color w:val="auto"/>
          <w:sz w:val="24"/>
        </w:rPr>
        <w:t>四、与有关的现行法律、法规和强制性国家标准的关系</w:t>
      </w:r>
    </w:p>
    <w:p w14:paraId="7457408E">
      <w:pPr>
        <w:spacing w:line="360" w:lineRule="auto"/>
        <w:ind w:firstLine="480" w:firstLineChars="200"/>
        <w:rPr>
          <w:rFonts w:ascii="宋体" w:hAnsi="宋体"/>
          <w:color w:val="auto"/>
          <w:sz w:val="24"/>
        </w:rPr>
      </w:pPr>
      <w:r>
        <w:rPr>
          <w:rFonts w:hint="eastAsia" w:ascii="宋体" w:hAnsi="宋体"/>
          <w:color w:val="auto"/>
          <w:sz w:val="24"/>
        </w:rPr>
        <w:t>本标准与有关的现行法律、法规和强制性国家标准具有一致性，无冲突之处。</w:t>
      </w:r>
    </w:p>
    <w:p w14:paraId="525473A2">
      <w:pPr>
        <w:spacing w:line="360" w:lineRule="auto"/>
        <w:rPr>
          <w:rFonts w:ascii="宋体" w:hAnsi="宋体"/>
          <w:color w:val="auto"/>
          <w:sz w:val="24"/>
        </w:rPr>
      </w:pPr>
    </w:p>
    <w:p w14:paraId="0CE4E4FF">
      <w:pPr>
        <w:spacing w:line="360" w:lineRule="auto"/>
        <w:rPr>
          <w:rFonts w:ascii="宋体" w:hAnsi="宋体"/>
          <w:b/>
          <w:color w:val="auto"/>
          <w:sz w:val="24"/>
        </w:rPr>
      </w:pPr>
      <w:r>
        <w:rPr>
          <w:rFonts w:hint="eastAsia" w:ascii="宋体" w:hAnsi="宋体"/>
          <w:b/>
          <w:color w:val="auto"/>
          <w:sz w:val="24"/>
        </w:rPr>
        <w:t>五、重大分歧意见的处理经过和依据</w:t>
      </w:r>
    </w:p>
    <w:p w14:paraId="4431C7A1">
      <w:pPr>
        <w:spacing w:line="360" w:lineRule="auto"/>
        <w:ind w:firstLine="480" w:firstLineChars="200"/>
        <w:rPr>
          <w:rFonts w:ascii="宋体" w:hAnsi="宋体"/>
          <w:color w:val="auto"/>
          <w:sz w:val="24"/>
        </w:rPr>
      </w:pPr>
      <w:r>
        <w:rPr>
          <w:rFonts w:hint="eastAsia" w:ascii="宋体" w:hAnsi="宋体"/>
          <w:color w:val="auto"/>
          <w:sz w:val="24"/>
        </w:rPr>
        <w:t>无。</w:t>
      </w:r>
    </w:p>
    <w:p w14:paraId="44C43FC8">
      <w:pPr>
        <w:spacing w:line="360" w:lineRule="auto"/>
        <w:rPr>
          <w:rFonts w:ascii="宋体" w:hAnsi="宋体"/>
          <w:color w:val="auto"/>
          <w:sz w:val="24"/>
        </w:rPr>
      </w:pPr>
    </w:p>
    <w:p w14:paraId="37CFC2C2">
      <w:pPr>
        <w:spacing w:line="360" w:lineRule="auto"/>
        <w:rPr>
          <w:rFonts w:ascii="宋体" w:hAnsi="宋体"/>
          <w:b/>
          <w:color w:val="auto"/>
          <w:sz w:val="24"/>
        </w:rPr>
      </w:pPr>
      <w:r>
        <w:rPr>
          <w:rFonts w:hint="eastAsia" w:ascii="宋体" w:hAnsi="宋体"/>
          <w:b/>
          <w:color w:val="auto"/>
          <w:sz w:val="24"/>
        </w:rPr>
        <w:t>六、标准作为强制性或推荐性国家标准的建议</w:t>
      </w:r>
    </w:p>
    <w:p w14:paraId="386F63EB">
      <w:pPr>
        <w:spacing w:line="360" w:lineRule="auto"/>
        <w:rPr>
          <w:rFonts w:ascii="宋体" w:hAnsi="宋体"/>
          <w:color w:val="auto"/>
          <w:sz w:val="24"/>
        </w:rPr>
      </w:pPr>
      <w:r>
        <w:rPr>
          <w:rFonts w:ascii="宋体" w:hAnsi="宋体"/>
          <w:color w:val="auto"/>
          <w:sz w:val="24"/>
        </w:rPr>
        <w:t xml:space="preserve">    </w:t>
      </w:r>
      <w:r>
        <w:rPr>
          <w:rFonts w:hint="eastAsia" w:ascii="宋体" w:hAnsi="宋体"/>
          <w:color w:val="auto"/>
          <w:sz w:val="24"/>
        </w:rPr>
        <w:t>建议本标准作为推荐性国家标准发布。自实施之日起，代替</w:t>
      </w:r>
      <w:r>
        <w:rPr>
          <w:rFonts w:ascii="宋体" w:hAnsi="宋体"/>
          <w:color w:val="auto"/>
          <w:sz w:val="24"/>
        </w:rPr>
        <w:t>GB/T 3500-2008</w:t>
      </w:r>
      <w:r>
        <w:rPr>
          <w:rFonts w:hint="eastAsia" w:ascii="宋体" w:hAnsi="宋体"/>
          <w:color w:val="auto"/>
          <w:sz w:val="24"/>
        </w:rPr>
        <w:t>。建议加强标准的宣贯和推广，引导相关行业、企业、科研机构和检测认证单位尽快采用新标准，以充分发挥标准在促进技术进步、提升产品质量、规范市场秩序和便利国际贸易中的作用。</w:t>
      </w:r>
    </w:p>
    <w:p w14:paraId="2459073D">
      <w:pPr>
        <w:spacing w:line="360" w:lineRule="auto"/>
        <w:rPr>
          <w:rFonts w:ascii="宋体" w:hAnsi="宋体"/>
          <w:color w:val="auto"/>
          <w:sz w:val="24"/>
        </w:rPr>
      </w:pPr>
    </w:p>
    <w:p w14:paraId="067772F9">
      <w:pPr>
        <w:spacing w:line="360" w:lineRule="auto"/>
        <w:rPr>
          <w:rFonts w:ascii="宋体" w:hAnsi="宋体"/>
          <w:b/>
          <w:color w:val="auto"/>
          <w:sz w:val="24"/>
        </w:rPr>
      </w:pPr>
      <w:r>
        <w:rPr>
          <w:rFonts w:hint="eastAsia" w:ascii="宋体" w:hAnsi="宋体"/>
          <w:b/>
          <w:color w:val="auto"/>
          <w:sz w:val="24"/>
        </w:rPr>
        <w:t>七、贯彻标准的要求和措施建议</w:t>
      </w:r>
    </w:p>
    <w:p w14:paraId="2F827CB2">
      <w:pPr>
        <w:spacing w:line="360" w:lineRule="auto"/>
        <w:ind w:firstLine="480" w:firstLineChars="200"/>
        <w:rPr>
          <w:rFonts w:ascii="宋体" w:hAnsi="宋体"/>
          <w:color w:val="auto"/>
          <w:sz w:val="24"/>
        </w:rPr>
      </w:pPr>
      <w:r>
        <w:rPr>
          <w:rFonts w:hint="eastAsia" w:ascii="宋体" w:hAnsi="宋体"/>
          <w:color w:val="auto"/>
          <w:sz w:val="24"/>
        </w:rPr>
        <w:t>无。</w:t>
      </w:r>
    </w:p>
    <w:p w14:paraId="3BF68205">
      <w:pPr>
        <w:spacing w:line="360" w:lineRule="auto"/>
        <w:rPr>
          <w:rFonts w:ascii="宋体" w:hAnsi="宋体"/>
          <w:color w:val="auto"/>
          <w:sz w:val="24"/>
        </w:rPr>
      </w:pPr>
    </w:p>
    <w:p w14:paraId="7AE6CCFC">
      <w:pPr>
        <w:spacing w:line="360" w:lineRule="auto"/>
        <w:rPr>
          <w:rFonts w:ascii="宋体" w:hAnsi="宋体"/>
          <w:b/>
          <w:color w:val="auto"/>
          <w:sz w:val="24"/>
        </w:rPr>
      </w:pPr>
      <w:r>
        <w:rPr>
          <w:rFonts w:hint="eastAsia" w:ascii="宋体" w:hAnsi="宋体"/>
          <w:b/>
          <w:color w:val="auto"/>
          <w:sz w:val="24"/>
        </w:rPr>
        <w:t>八、废止现行有关标准的建议</w:t>
      </w:r>
    </w:p>
    <w:p w14:paraId="0352D138">
      <w:pPr>
        <w:spacing w:line="360" w:lineRule="auto"/>
        <w:rPr>
          <w:rFonts w:ascii="宋体" w:hAnsi="宋体"/>
          <w:color w:val="auto"/>
          <w:sz w:val="24"/>
        </w:rPr>
      </w:pPr>
      <w:r>
        <w:rPr>
          <w:rFonts w:ascii="宋体" w:hAnsi="宋体"/>
          <w:b/>
          <w:color w:val="auto"/>
          <w:sz w:val="24"/>
        </w:rPr>
        <w:t xml:space="preserve">    </w:t>
      </w:r>
      <w:r>
        <w:rPr>
          <w:rFonts w:hint="eastAsia" w:ascii="宋体" w:hAnsi="宋体"/>
          <w:color w:val="auto"/>
          <w:sz w:val="24"/>
        </w:rPr>
        <w:t>无。</w:t>
      </w:r>
    </w:p>
    <w:p w14:paraId="1B30F397">
      <w:pPr>
        <w:spacing w:line="360" w:lineRule="auto"/>
        <w:rPr>
          <w:rFonts w:ascii="宋体" w:hAnsi="宋体"/>
          <w:color w:val="auto"/>
          <w:sz w:val="24"/>
        </w:rPr>
      </w:pPr>
    </w:p>
    <w:p w14:paraId="3FFD9BB5">
      <w:pPr>
        <w:spacing w:line="360" w:lineRule="auto"/>
        <w:rPr>
          <w:rFonts w:ascii="宋体" w:hAnsi="宋体"/>
          <w:b/>
          <w:color w:val="auto"/>
          <w:sz w:val="24"/>
        </w:rPr>
      </w:pPr>
      <w:r>
        <w:rPr>
          <w:rFonts w:hint="eastAsia" w:ascii="宋体" w:hAnsi="宋体"/>
          <w:b/>
          <w:color w:val="auto"/>
          <w:sz w:val="24"/>
        </w:rPr>
        <w:t>九、其他应予以说明的事项</w:t>
      </w:r>
    </w:p>
    <w:p w14:paraId="7F4B53E7">
      <w:pPr>
        <w:tabs>
          <w:tab w:val="left" w:pos="555"/>
        </w:tabs>
        <w:spacing w:line="360" w:lineRule="auto"/>
        <w:rPr>
          <w:rFonts w:ascii="宋体" w:hAnsi="宋体"/>
          <w:color w:val="auto"/>
          <w:sz w:val="24"/>
        </w:rPr>
      </w:pPr>
      <w:r>
        <w:rPr>
          <w:rFonts w:ascii="宋体" w:hAnsi="宋体"/>
          <w:color w:val="auto"/>
          <w:sz w:val="24"/>
        </w:rPr>
        <w:tab/>
      </w:r>
      <w:r>
        <w:rPr>
          <w:rFonts w:hint="eastAsia" w:ascii="宋体" w:hAnsi="宋体"/>
          <w:color w:val="auto"/>
          <w:sz w:val="24"/>
        </w:rPr>
        <w:t>无。</w:t>
      </w:r>
    </w:p>
    <w:p w14:paraId="07DECD5E">
      <w:pPr>
        <w:spacing w:line="360" w:lineRule="auto"/>
        <w:rPr>
          <w:rFonts w:ascii="宋体" w:hAnsi="宋体"/>
          <w:color w:val="auto"/>
          <w:sz w:val="24"/>
        </w:rPr>
      </w:pPr>
    </w:p>
    <w:p w14:paraId="097939C9">
      <w:pPr>
        <w:spacing w:line="360" w:lineRule="auto"/>
        <w:rPr>
          <w:rFonts w:ascii="宋体" w:hAnsi="宋体"/>
          <w:b/>
          <w:color w:val="auto"/>
          <w:sz w:val="24"/>
        </w:rPr>
      </w:pPr>
      <w:r>
        <w:rPr>
          <w:rFonts w:hint="eastAsia" w:ascii="宋体" w:hAnsi="宋体"/>
          <w:b/>
          <w:color w:val="auto"/>
          <w:sz w:val="24"/>
        </w:rPr>
        <w:t>十、预期效果</w:t>
      </w:r>
    </w:p>
    <w:p w14:paraId="4E9BD3E2">
      <w:pPr>
        <w:spacing w:line="360" w:lineRule="auto"/>
        <w:ind w:firstLine="480" w:firstLineChars="200"/>
        <w:rPr>
          <w:rFonts w:ascii="宋体" w:hAnsi="宋体"/>
          <w:color w:val="auto"/>
          <w:sz w:val="24"/>
        </w:rPr>
      </w:pPr>
      <w:r>
        <w:rPr>
          <w:rFonts w:hint="eastAsia" w:ascii="宋体" w:hAnsi="宋体"/>
          <w:color w:val="auto"/>
          <w:sz w:val="24"/>
        </w:rPr>
        <w:t>本次修订通过同步</w:t>
      </w:r>
      <w:r>
        <w:rPr>
          <w:rFonts w:ascii="宋体" w:hAnsi="宋体"/>
          <w:color w:val="auto"/>
          <w:sz w:val="24"/>
        </w:rPr>
        <w:t>ISO 3252:2023标准，</w:t>
      </w:r>
      <w:r>
        <w:rPr>
          <w:rFonts w:hint="eastAsia" w:ascii="宋体" w:hAnsi="宋体"/>
          <w:color w:val="auto"/>
          <w:sz w:val="24"/>
        </w:rPr>
        <w:t>统一采用国际最新术语和定义，为产业提供与国际一致的技术语言，引导新材料、新工艺的研发应用，提升行业整体技术水平和产品质量。为学术交流、教材编写及专业人才培养提供标准化术语基础，促进知识传播与高素质队伍建设。作为核心基础标准，带动相关领域标准协同更新，为未来技术发展和产业规范化奠定坚实基础。</w:t>
      </w:r>
    </w:p>
    <w:p w14:paraId="3BFECDC8">
      <w:pPr>
        <w:tabs>
          <w:tab w:val="left" w:pos="670"/>
        </w:tabs>
        <w:spacing w:line="360" w:lineRule="auto"/>
        <w:ind w:firstLine="0" w:firstLineChars="0"/>
        <w:rPr>
          <w:rFonts w:ascii="宋体" w:hAnsi="宋体"/>
          <w:color w:val="auto"/>
          <w:sz w:val="24"/>
        </w:rPr>
      </w:pPr>
    </w:p>
    <w:p w14:paraId="39294C2C">
      <w:pPr>
        <w:tabs>
          <w:tab w:val="left" w:pos="670"/>
        </w:tabs>
        <w:spacing w:line="360" w:lineRule="auto"/>
        <w:ind w:firstLine="354" w:firstLineChars="147"/>
        <w:jc w:val="center"/>
        <w:rPr>
          <w:rFonts w:ascii="宋体" w:hAnsi="宋体"/>
          <w:color w:val="auto"/>
          <w:sz w:val="24"/>
        </w:rPr>
      </w:pPr>
      <w:r>
        <w:rPr>
          <w:rFonts w:ascii="宋体" w:hAnsi="宋体"/>
          <w:b/>
          <w:color w:val="auto"/>
          <w:sz w:val="24"/>
        </w:rPr>
        <w:t xml:space="preserve">                                   </w:t>
      </w:r>
      <w:r>
        <w:rPr>
          <w:rFonts w:hint="eastAsia" w:ascii="宋体" w:hAnsi="宋体"/>
          <w:color w:val="auto"/>
          <w:sz w:val="24"/>
        </w:rPr>
        <w:t>《粉末冶金术语》标准修订编制组</w:t>
      </w:r>
    </w:p>
    <w:p w14:paraId="30DB0E49">
      <w:pPr>
        <w:tabs>
          <w:tab w:val="left" w:pos="670"/>
        </w:tabs>
        <w:spacing w:line="360" w:lineRule="auto"/>
        <w:ind w:firstLine="352" w:firstLineChars="147"/>
        <w:jc w:val="center"/>
        <w:rPr>
          <w:rFonts w:ascii="宋体" w:hAnsi="宋体"/>
          <w:color w:val="auto"/>
          <w:sz w:val="24"/>
        </w:rPr>
        <w:sectPr>
          <w:pgSz w:w="11906" w:h="16838"/>
          <w:pgMar w:top="1440" w:right="1440" w:bottom="1440" w:left="1440" w:header="851" w:footer="992" w:gutter="0"/>
          <w:cols w:space="720" w:num="1"/>
          <w:docGrid w:type="lines" w:linePitch="312" w:charSpace="0"/>
        </w:sectPr>
      </w:pPr>
      <w:r>
        <w:rPr>
          <w:rFonts w:ascii="宋体" w:hAnsi="宋体"/>
          <w:color w:val="auto"/>
          <w:sz w:val="24"/>
        </w:rPr>
        <w:t xml:space="preserve">                                  2026</w:t>
      </w:r>
      <w:r>
        <w:rPr>
          <w:rFonts w:hint="eastAsia" w:ascii="宋体" w:hAnsi="宋体"/>
          <w:color w:val="auto"/>
          <w:sz w:val="24"/>
        </w:rPr>
        <w:t>年</w:t>
      </w:r>
      <w:r>
        <w:rPr>
          <w:rFonts w:ascii="宋体" w:hAnsi="宋体"/>
          <w:color w:val="auto"/>
          <w:sz w:val="24"/>
        </w:rPr>
        <w:t>3</w:t>
      </w:r>
      <w:r>
        <w:rPr>
          <w:rFonts w:hint="eastAsia" w:ascii="宋体" w:hAnsi="宋体"/>
          <w:color w:val="auto"/>
          <w:sz w:val="24"/>
        </w:rPr>
        <w:t>月</w:t>
      </w:r>
      <w:r>
        <w:rPr>
          <w:rFonts w:ascii="宋体" w:hAnsi="宋体"/>
          <w:color w:val="auto"/>
          <w:sz w:val="24"/>
        </w:rPr>
        <w:t>12</w:t>
      </w:r>
      <w:r>
        <w:rPr>
          <w:rFonts w:hint="eastAsia" w:ascii="宋体" w:hAnsi="宋体"/>
          <w:color w:val="auto"/>
          <w:sz w:val="24"/>
        </w:rPr>
        <w:t>日</w:t>
      </w:r>
    </w:p>
    <w:p w14:paraId="0D5B97F7">
      <w:pPr>
        <w:spacing w:line="300" w:lineRule="exact"/>
        <w:rPr>
          <w:rFonts w:ascii="宋体" w:hAnsi="宋体" w:cstheme="minorHAnsi"/>
          <w:color w:val="auto"/>
          <w:sz w:val="28"/>
          <w:szCs w:val="28"/>
        </w:rPr>
      </w:pPr>
      <w:r>
        <w:rPr>
          <w:rFonts w:hint="eastAsia" w:ascii="宋体" w:hAnsi="宋体" w:cstheme="minorHAnsi"/>
          <w:color w:val="auto"/>
          <w:sz w:val="28"/>
          <w:szCs w:val="28"/>
        </w:rPr>
        <w:t>附表1</w:t>
      </w:r>
    </w:p>
    <w:p w14:paraId="19B3B34D">
      <w:pPr>
        <w:spacing w:line="300" w:lineRule="exact"/>
        <w:jc w:val="center"/>
        <w:rPr>
          <w:rFonts w:ascii="宋体" w:hAnsi="宋体" w:cstheme="minorHAnsi"/>
          <w:b/>
          <w:color w:val="auto"/>
          <w:sz w:val="28"/>
          <w:szCs w:val="28"/>
        </w:rPr>
      </w:pPr>
      <w:r>
        <w:rPr>
          <w:rFonts w:hint="eastAsia" w:ascii="宋体" w:hAnsi="宋体" w:cstheme="minorHAnsi"/>
          <w:b/>
          <w:color w:val="auto"/>
          <w:sz w:val="28"/>
          <w:szCs w:val="28"/>
        </w:rPr>
        <w:t>新 增 词 条</w:t>
      </w:r>
    </w:p>
    <w:tbl>
      <w:tblPr>
        <w:tblStyle w:val="10"/>
        <w:tblW w:w="15588" w:type="dxa"/>
        <w:jc w:val="center"/>
        <w:tblLayout w:type="fixed"/>
        <w:tblCellMar>
          <w:top w:w="0" w:type="dxa"/>
          <w:left w:w="108" w:type="dxa"/>
          <w:bottom w:w="0" w:type="dxa"/>
          <w:right w:w="108" w:type="dxa"/>
        </w:tblCellMar>
      </w:tblPr>
      <w:tblGrid>
        <w:gridCol w:w="831"/>
        <w:gridCol w:w="1891"/>
        <w:gridCol w:w="1843"/>
        <w:gridCol w:w="3794"/>
        <w:gridCol w:w="3118"/>
        <w:gridCol w:w="2126"/>
        <w:gridCol w:w="1985"/>
      </w:tblGrid>
      <w:tr w14:paraId="13B251F6">
        <w:tblPrEx>
          <w:tblCellMar>
            <w:top w:w="0" w:type="dxa"/>
            <w:left w:w="108" w:type="dxa"/>
            <w:bottom w:w="0" w:type="dxa"/>
            <w:right w:w="108" w:type="dxa"/>
          </w:tblCellMar>
        </w:tblPrEx>
        <w:trPr>
          <w:trHeight w:val="1206"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vAlign w:val="center"/>
          </w:tcPr>
          <w:p w14:paraId="39AC0807">
            <w:pPr>
              <w:spacing w:line="300" w:lineRule="exact"/>
              <w:jc w:val="center"/>
              <w:rPr>
                <w:rFonts w:asciiTheme="minorHAnsi" w:hAnsiTheme="minorHAnsi" w:cstheme="minorHAnsi"/>
                <w:color w:val="auto"/>
                <w:kern w:val="0"/>
                <w:sz w:val="22"/>
              </w:rPr>
            </w:pPr>
            <w:r>
              <w:rPr>
                <w:rFonts w:asciiTheme="minorHAnsi" w:hAnsiTheme="minorHAnsi" w:cstheme="minorHAnsi"/>
                <w:color w:val="auto"/>
                <w:kern w:val="0"/>
                <w:sz w:val="22"/>
              </w:rPr>
              <w:t>词条号</w:t>
            </w:r>
          </w:p>
        </w:tc>
        <w:tc>
          <w:tcPr>
            <w:tcW w:w="1891" w:type="dxa"/>
            <w:tcBorders>
              <w:top w:val="single" w:color="auto" w:sz="4" w:space="0"/>
              <w:left w:val="single" w:color="auto" w:sz="4" w:space="0"/>
              <w:bottom w:val="single" w:color="auto" w:sz="4" w:space="0"/>
              <w:right w:val="single" w:color="auto" w:sz="4" w:space="0"/>
            </w:tcBorders>
            <w:shd w:val="clear" w:color="auto" w:fill="auto"/>
            <w:vAlign w:val="center"/>
          </w:tcPr>
          <w:p w14:paraId="17BCD235">
            <w:pPr>
              <w:spacing w:line="300" w:lineRule="exact"/>
              <w:jc w:val="center"/>
              <w:rPr>
                <w:rFonts w:asciiTheme="minorHAnsi" w:hAnsiTheme="minorHAnsi" w:cstheme="minorHAnsi"/>
                <w:color w:val="auto"/>
                <w:kern w:val="0"/>
                <w:sz w:val="22"/>
              </w:rPr>
            </w:pPr>
            <w:r>
              <w:rPr>
                <w:rFonts w:asciiTheme="minorHAnsi" w:hAnsiTheme="minorHAnsi" w:cstheme="minorHAnsi"/>
                <w:color w:val="auto"/>
                <w:kern w:val="0"/>
                <w:sz w:val="22"/>
              </w:rPr>
              <w:t>2008版英文内容</w:t>
            </w:r>
          </w:p>
        </w:tc>
        <w:tc>
          <w:tcPr>
            <w:tcW w:w="1843" w:type="dxa"/>
            <w:tcBorders>
              <w:top w:val="single" w:color="auto" w:sz="4" w:space="0"/>
              <w:left w:val="single" w:color="auto" w:sz="4" w:space="0"/>
              <w:bottom w:val="single" w:color="auto" w:sz="4" w:space="0"/>
              <w:right w:val="single" w:color="auto" w:sz="4" w:space="0"/>
            </w:tcBorders>
            <w:shd w:val="clear" w:color="auto" w:fill="auto"/>
            <w:vAlign w:val="center"/>
          </w:tcPr>
          <w:p w14:paraId="41D8F0AE">
            <w:pPr>
              <w:spacing w:line="300" w:lineRule="exact"/>
              <w:jc w:val="center"/>
              <w:rPr>
                <w:rFonts w:asciiTheme="minorHAnsi" w:hAnsiTheme="minorHAnsi" w:cstheme="minorHAnsi"/>
                <w:color w:val="auto"/>
                <w:sz w:val="22"/>
              </w:rPr>
            </w:pPr>
            <w:r>
              <w:rPr>
                <w:rFonts w:asciiTheme="minorHAnsi" w:hAnsiTheme="minorHAnsi" w:cstheme="minorHAnsi"/>
                <w:color w:val="auto"/>
                <w:kern w:val="0"/>
                <w:sz w:val="22"/>
              </w:rPr>
              <w:t>2008版中文</w:t>
            </w:r>
          </w:p>
        </w:tc>
        <w:tc>
          <w:tcPr>
            <w:tcW w:w="3794" w:type="dxa"/>
            <w:tcBorders>
              <w:top w:val="single" w:color="auto" w:sz="4" w:space="0"/>
              <w:left w:val="single" w:color="auto" w:sz="4" w:space="0"/>
              <w:bottom w:val="single" w:color="auto" w:sz="4" w:space="0"/>
              <w:right w:val="single" w:color="auto" w:sz="4" w:space="0"/>
            </w:tcBorders>
            <w:shd w:val="clear" w:color="auto" w:fill="auto"/>
            <w:vAlign w:val="center"/>
          </w:tcPr>
          <w:p w14:paraId="3A960A3E">
            <w:pPr>
              <w:spacing w:line="300" w:lineRule="exact"/>
              <w:jc w:val="center"/>
              <w:rPr>
                <w:rFonts w:asciiTheme="minorHAnsi" w:hAnsiTheme="minorHAnsi" w:cstheme="minorHAnsi"/>
                <w:color w:val="auto"/>
                <w:kern w:val="0"/>
                <w:sz w:val="22"/>
              </w:rPr>
            </w:pPr>
            <w:r>
              <w:rPr>
                <w:rFonts w:asciiTheme="minorHAnsi" w:hAnsiTheme="minorHAnsi" w:cstheme="minorHAnsi"/>
                <w:color w:val="auto"/>
                <w:kern w:val="0"/>
                <w:sz w:val="22"/>
              </w:rPr>
              <w:t>英文内容</w:t>
            </w:r>
          </w:p>
        </w:tc>
        <w:tc>
          <w:tcPr>
            <w:tcW w:w="3118" w:type="dxa"/>
            <w:tcBorders>
              <w:top w:val="single" w:color="auto" w:sz="4" w:space="0"/>
              <w:left w:val="single" w:color="auto" w:sz="4" w:space="0"/>
              <w:bottom w:val="single" w:color="auto" w:sz="4" w:space="0"/>
              <w:right w:val="single" w:color="000000" w:sz="4" w:space="0"/>
            </w:tcBorders>
            <w:shd w:val="clear" w:color="auto" w:fill="DEEBF6"/>
            <w:vAlign w:val="center"/>
          </w:tcPr>
          <w:p w14:paraId="2913CDDB">
            <w:pPr>
              <w:spacing w:line="300" w:lineRule="exact"/>
              <w:jc w:val="center"/>
              <w:rPr>
                <w:rFonts w:asciiTheme="minorHAnsi" w:hAnsiTheme="minorHAnsi" w:cstheme="minorHAnsi"/>
                <w:color w:val="auto"/>
                <w:kern w:val="0"/>
                <w:sz w:val="22"/>
              </w:rPr>
            </w:pPr>
            <w:r>
              <w:rPr>
                <w:rFonts w:hint="eastAsia" w:asciiTheme="minorHAnsi" w:hAnsiTheme="minorHAnsi" w:cstheme="minorHAnsi"/>
                <w:color w:val="auto"/>
                <w:kern w:val="0"/>
                <w:sz w:val="22"/>
              </w:rPr>
              <w:t>最终讨论定稿</w:t>
            </w:r>
          </w:p>
        </w:tc>
        <w:tc>
          <w:tcPr>
            <w:tcW w:w="4111" w:type="dxa"/>
            <w:gridSpan w:val="2"/>
            <w:tcBorders>
              <w:top w:val="single" w:color="auto" w:sz="4" w:space="0"/>
              <w:left w:val="single" w:color="000000" w:sz="4" w:space="0"/>
              <w:bottom w:val="single" w:color="auto" w:sz="4" w:space="0"/>
              <w:right w:val="single" w:color="auto" w:sz="4" w:space="0"/>
            </w:tcBorders>
            <w:vAlign w:val="center"/>
          </w:tcPr>
          <w:p w14:paraId="77CD2285">
            <w:pPr>
              <w:spacing w:line="300" w:lineRule="exact"/>
              <w:jc w:val="center"/>
              <w:rPr>
                <w:rFonts w:asciiTheme="minorHAnsi" w:hAnsiTheme="minorHAnsi" w:cstheme="minorHAnsi"/>
                <w:color w:val="auto"/>
                <w:kern w:val="0"/>
                <w:sz w:val="22"/>
              </w:rPr>
            </w:pPr>
            <w:r>
              <w:rPr>
                <w:rFonts w:asciiTheme="minorHAnsi" w:hAnsiTheme="minorHAnsi" w:cstheme="minorHAnsi"/>
                <w:color w:val="auto"/>
                <w:kern w:val="0"/>
                <w:sz w:val="22"/>
              </w:rPr>
              <w:t>其他单位</w:t>
            </w:r>
            <w:r>
              <w:rPr>
                <w:rFonts w:hint="eastAsia" w:asciiTheme="minorHAnsi" w:hAnsiTheme="minorHAnsi" w:cstheme="minorHAnsi"/>
                <w:color w:val="auto"/>
                <w:kern w:val="0"/>
                <w:sz w:val="22"/>
              </w:rPr>
              <w:t>意见</w:t>
            </w:r>
          </w:p>
        </w:tc>
      </w:tr>
      <w:tr w14:paraId="01A556FB">
        <w:tblPrEx>
          <w:tblCellMar>
            <w:top w:w="0" w:type="dxa"/>
            <w:left w:w="108" w:type="dxa"/>
            <w:bottom w:w="0" w:type="dxa"/>
            <w:right w:w="108" w:type="dxa"/>
          </w:tblCellMar>
        </w:tblPrEx>
        <w:trPr>
          <w:trHeight w:val="337" w:hRule="atLeast"/>
          <w:jc w:val="center"/>
        </w:trPr>
        <w:tc>
          <w:tcPr>
            <w:tcW w:w="4565" w:type="dxa"/>
            <w:gridSpan w:val="3"/>
            <w:tcBorders>
              <w:top w:val="single" w:color="auto" w:sz="4" w:space="0"/>
              <w:left w:val="single" w:color="auto" w:sz="4" w:space="0"/>
              <w:bottom w:val="single" w:color="auto" w:sz="4" w:space="0"/>
              <w:right w:val="single" w:color="auto" w:sz="4" w:space="0"/>
            </w:tcBorders>
            <w:shd w:val="clear" w:color="auto" w:fill="auto"/>
          </w:tcPr>
          <w:p w14:paraId="3AFF17C5">
            <w:pPr>
              <w:spacing w:line="300" w:lineRule="exact"/>
              <w:rPr>
                <w:rFonts w:asciiTheme="minorHAnsi" w:hAnsiTheme="minorHAnsi" w:cstheme="minorHAnsi"/>
                <w:b/>
                <w:bCs/>
                <w:color w:val="auto"/>
                <w:kern w:val="0"/>
                <w:sz w:val="22"/>
              </w:rPr>
            </w:pPr>
          </w:p>
        </w:tc>
        <w:tc>
          <w:tcPr>
            <w:tcW w:w="6912" w:type="dxa"/>
            <w:gridSpan w:val="2"/>
            <w:tcBorders>
              <w:top w:val="single" w:color="auto" w:sz="4" w:space="0"/>
              <w:left w:val="single" w:color="auto" w:sz="4" w:space="0"/>
              <w:bottom w:val="single" w:color="auto" w:sz="4" w:space="0"/>
              <w:right w:val="single" w:color="000000" w:sz="4" w:space="0"/>
            </w:tcBorders>
            <w:shd w:val="clear" w:color="auto" w:fill="auto"/>
          </w:tcPr>
          <w:p w14:paraId="673FAC64">
            <w:pPr>
              <w:spacing w:line="300" w:lineRule="exact"/>
              <w:rPr>
                <w:rFonts w:asciiTheme="minorHAnsi" w:hAnsiTheme="minorHAnsi" w:cstheme="minorHAnsi"/>
                <w:color w:val="auto"/>
                <w:kern w:val="0"/>
                <w:sz w:val="22"/>
              </w:rPr>
            </w:pPr>
            <w:r>
              <w:rPr>
                <w:rFonts w:asciiTheme="minorHAnsi" w:hAnsiTheme="minorHAnsi" w:cstheme="minorHAnsi"/>
                <w:b/>
                <w:bCs/>
                <w:color w:val="auto"/>
                <w:kern w:val="0"/>
                <w:sz w:val="22"/>
              </w:rPr>
              <w:t>3.1新增5条术语，拆分1条术语，删除2条术语.</w:t>
            </w:r>
          </w:p>
        </w:tc>
        <w:tc>
          <w:tcPr>
            <w:tcW w:w="4111" w:type="dxa"/>
            <w:gridSpan w:val="2"/>
            <w:tcBorders>
              <w:top w:val="single" w:color="auto" w:sz="4" w:space="0"/>
              <w:left w:val="single" w:color="000000" w:sz="4" w:space="0"/>
              <w:bottom w:val="single" w:color="auto" w:sz="4" w:space="0"/>
              <w:right w:val="single" w:color="auto" w:sz="4" w:space="0"/>
            </w:tcBorders>
            <w:shd w:val="clear" w:color="auto" w:fill="auto"/>
          </w:tcPr>
          <w:p w14:paraId="10C571A4">
            <w:pPr>
              <w:spacing w:line="300" w:lineRule="exact"/>
              <w:rPr>
                <w:rFonts w:asciiTheme="minorHAnsi" w:hAnsiTheme="minorHAnsi" w:cstheme="minorHAnsi"/>
                <w:color w:val="auto"/>
                <w:kern w:val="0"/>
                <w:sz w:val="22"/>
              </w:rPr>
            </w:pPr>
          </w:p>
        </w:tc>
      </w:tr>
      <w:tr w14:paraId="3E2853B3">
        <w:tblPrEx>
          <w:tblCellMar>
            <w:top w:w="0" w:type="dxa"/>
            <w:left w:w="108" w:type="dxa"/>
            <w:bottom w:w="0" w:type="dxa"/>
            <w:right w:w="108" w:type="dxa"/>
          </w:tblCellMar>
        </w:tblPrEx>
        <w:trPr>
          <w:trHeight w:val="2421"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3F0689B7">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3.1.7新增</w:t>
            </w: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78DE039A">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783D133E">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5A182BBB">
            <w:pPr>
              <w:pStyle w:val="56"/>
              <w:spacing w:line="300" w:lineRule="exact"/>
              <w:jc w:val="both"/>
              <w:rPr>
                <w:rFonts w:asciiTheme="minorHAnsi" w:hAnsiTheme="minorHAnsi" w:cstheme="minorHAnsi"/>
                <w:color w:val="auto"/>
                <w:sz w:val="22"/>
                <w:szCs w:val="22"/>
              </w:rPr>
            </w:pPr>
            <w:r>
              <w:rPr>
                <w:rFonts w:asciiTheme="minorHAnsi" w:hAnsiTheme="minorHAnsi" w:cstheme="minorHAnsi"/>
                <w:b/>
                <w:bCs/>
                <w:color w:val="auto"/>
                <w:sz w:val="22"/>
                <w:szCs w:val="22"/>
              </w:rPr>
              <w:t>atomization</w:t>
            </w:r>
          </w:p>
          <w:p w14:paraId="6C5288A9">
            <w:pPr>
              <w:pStyle w:val="57"/>
              <w:spacing w:after="180" w:line="300" w:lineRule="exact"/>
              <w:jc w:val="both"/>
              <w:rPr>
                <w:rFonts w:asciiTheme="minorHAnsi" w:hAnsiTheme="minorHAnsi" w:cstheme="minorHAnsi"/>
                <w:color w:val="auto"/>
                <w:sz w:val="22"/>
                <w:szCs w:val="22"/>
              </w:rPr>
            </w:pPr>
            <w:r>
              <w:rPr>
                <w:rFonts w:asciiTheme="minorHAnsi" w:hAnsiTheme="minorHAnsi" w:cstheme="minorHAnsi"/>
                <w:color w:val="auto"/>
                <w:sz w:val="22"/>
                <w:szCs w:val="22"/>
              </w:rPr>
              <w:t>dispersion of a molten metal into particles by a rapidly moving gas or liquid stream or by mechanical means</w:t>
            </w:r>
          </w:p>
          <w:p w14:paraId="3551B288">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[SOURCE: ASTM B243-17]</w:t>
            </w:r>
          </w:p>
        </w:tc>
        <w:tc>
          <w:tcPr>
            <w:tcW w:w="3118" w:type="dxa"/>
            <w:tcBorders>
              <w:top w:val="single" w:color="auto" w:sz="4" w:space="0"/>
              <w:left w:val="single" w:color="auto" w:sz="4" w:space="0"/>
              <w:bottom w:val="single" w:color="auto" w:sz="4" w:space="0"/>
              <w:right w:val="single" w:color="auto" w:sz="4" w:space="0"/>
            </w:tcBorders>
            <w:shd w:val="clear" w:color="auto" w:fill="DEEBF6"/>
          </w:tcPr>
          <w:p w14:paraId="1A3ADE0E">
            <w:pPr>
              <w:pStyle w:val="58"/>
              <w:spacing w:line="300" w:lineRule="exact"/>
              <w:rPr>
                <w:rStyle w:val="54"/>
                <w:rFonts w:asciiTheme="minorHAnsi" w:hAnsiTheme="minorHAnsi" w:cstheme="minorHAnsi"/>
                <w:b w:val="0"/>
                <w:bCs w:val="0"/>
                <w:color w:val="auto"/>
                <w:kern w:val="0"/>
              </w:rPr>
            </w:pPr>
            <w:r>
              <w:rPr>
                <w:rStyle w:val="54"/>
                <w:rFonts w:asciiTheme="minorHAnsi" w:hAnsiTheme="minorHAnsi" w:cstheme="minorHAnsi"/>
                <w:color w:val="auto"/>
                <w:kern w:val="0"/>
              </w:rPr>
              <w:t>雾化  atomization</w:t>
            </w:r>
          </w:p>
          <w:p w14:paraId="5F657FF9">
            <w:pPr>
              <w:spacing w:line="300" w:lineRule="exact"/>
              <w:ind w:firstLine="420"/>
              <w:rPr>
                <w:rFonts w:asciiTheme="minorHAnsi" w:hAnsiTheme="minorHAnsi" w:cstheme="minorHAnsi"/>
                <w:color w:val="auto"/>
                <w:kern w:val="0"/>
                <w:sz w:val="22"/>
              </w:rPr>
            </w:pPr>
            <w:r>
              <w:rPr>
                <w:rFonts w:asciiTheme="minorHAnsi" w:hAnsiTheme="minorHAnsi" w:cstheme="minorHAnsi"/>
                <w:color w:val="auto"/>
                <w:kern w:val="0"/>
                <w:sz w:val="22"/>
              </w:rPr>
              <w:t>通过</w:t>
            </w:r>
            <w:r>
              <w:rPr>
                <w:rFonts w:hint="eastAsia" w:asciiTheme="minorHAnsi" w:hAnsiTheme="minorHAnsi" w:cstheme="minorHAnsi"/>
                <w:color w:val="auto"/>
                <w:kern w:val="0"/>
                <w:sz w:val="22"/>
              </w:rPr>
              <w:t>采用</w:t>
            </w:r>
            <w:r>
              <w:rPr>
                <w:rFonts w:asciiTheme="minorHAnsi" w:hAnsiTheme="minorHAnsi" w:cstheme="minorHAnsi"/>
                <w:color w:val="auto"/>
                <w:kern w:val="0"/>
                <w:sz w:val="22"/>
              </w:rPr>
              <w:t>高速流动的气体或液体流或机械</w:t>
            </w:r>
            <w:r>
              <w:rPr>
                <w:rFonts w:hint="eastAsia" w:asciiTheme="minorHAnsi" w:hAnsiTheme="minorHAnsi" w:cstheme="minorHAnsi"/>
                <w:color w:val="auto"/>
                <w:kern w:val="0"/>
                <w:sz w:val="22"/>
              </w:rPr>
              <w:t>方式</w:t>
            </w:r>
            <w:r>
              <w:rPr>
                <w:rFonts w:asciiTheme="minorHAnsi" w:hAnsiTheme="minorHAnsi" w:cstheme="minorHAnsi"/>
                <w:color w:val="auto"/>
                <w:kern w:val="0"/>
                <w:sz w:val="22"/>
              </w:rPr>
              <w:t>将熔融金属分散成颗粒</w:t>
            </w:r>
            <w:r>
              <w:rPr>
                <w:rFonts w:hint="eastAsia" w:asciiTheme="minorHAnsi" w:hAnsiTheme="minorHAnsi" w:cstheme="minorHAnsi"/>
                <w:color w:val="auto"/>
                <w:kern w:val="0"/>
                <w:sz w:val="22"/>
              </w:rPr>
              <w:t>的工艺</w:t>
            </w:r>
            <w:r>
              <w:rPr>
                <w:rFonts w:asciiTheme="minorHAnsi" w:hAnsiTheme="minorHAnsi" w:cstheme="minorHAnsi"/>
                <w:color w:val="auto"/>
                <w:kern w:val="0"/>
                <w:sz w:val="22"/>
              </w:rPr>
              <w:t>。[来源：ASTM B243-17]</w:t>
            </w:r>
          </w:p>
          <w:p w14:paraId="53EB58D6">
            <w:pPr>
              <w:spacing w:line="300" w:lineRule="exact"/>
              <w:ind w:firstLine="420"/>
              <w:rPr>
                <w:rFonts w:asciiTheme="minorHAnsi" w:hAnsiTheme="minorHAnsi" w:cstheme="minorHAnsi"/>
                <w:color w:val="auto"/>
                <w:kern w:val="0"/>
                <w:sz w:val="22"/>
              </w:rPr>
            </w:pPr>
          </w:p>
          <w:p w14:paraId="06BBDA5E">
            <w:pPr>
              <w:spacing w:line="300" w:lineRule="exact"/>
              <w:rPr>
                <w:rFonts w:asciiTheme="minorHAnsi" w:hAnsiTheme="minorHAnsi" w:cstheme="minorHAnsi"/>
                <w:color w:val="auto"/>
                <w:kern w:val="0"/>
                <w:sz w:val="22"/>
              </w:rPr>
            </w:pPr>
          </w:p>
        </w:tc>
        <w:tc>
          <w:tcPr>
            <w:tcW w:w="2126" w:type="dxa"/>
            <w:tcBorders>
              <w:top w:val="single" w:color="auto" w:sz="4" w:space="0"/>
              <w:left w:val="single" w:color="auto" w:sz="4" w:space="0"/>
              <w:bottom w:val="single" w:color="auto" w:sz="4" w:space="0"/>
              <w:right w:val="single" w:color="auto" w:sz="4" w:space="0"/>
            </w:tcBorders>
          </w:tcPr>
          <w:p w14:paraId="6FB50CB5">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雾化</w:t>
            </w:r>
          </w:p>
          <w:p w14:paraId="0FB55D50">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通过快速移动的气体或液体流或通过机械手段将熔化的金属分散成颗粒。</w:t>
            </w:r>
          </w:p>
        </w:tc>
        <w:tc>
          <w:tcPr>
            <w:tcW w:w="1985" w:type="dxa"/>
            <w:tcBorders>
              <w:top w:val="single" w:color="auto" w:sz="4" w:space="0"/>
              <w:left w:val="single" w:color="auto" w:sz="4" w:space="0"/>
              <w:bottom w:val="single" w:color="auto" w:sz="4" w:space="0"/>
              <w:right w:val="single" w:color="auto" w:sz="4" w:space="0"/>
            </w:tcBorders>
          </w:tcPr>
          <w:p w14:paraId="3BC98CB8">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雾化</w:t>
            </w:r>
            <w:r>
              <w:rPr>
                <w:rFonts w:asciiTheme="minorHAnsi" w:hAnsiTheme="minorHAnsi" w:cstheme="minorHAnsi"/>
                <w:color w:val="auto"/>
                <w:kern w:val="0"/>
                <w:sz w:val="22"/>
              </w:rPr>
              <w:br w:type="textWrapping"/>
            </w:r>
            <w:r>
              <w:rPr>
                <w:rFonts w:asciiTheme="minorHAnsi" w:hAnsiTheme="minorHAnsi" w:cstheme="minorHAnsi"/>
                <w:color w:val="auto"/>
                <w:kern w:val="0"/>
                <w:sz w:val="22"/>
              </w:rPr>
              <w:t>通过高速运动的气流或液流或机械手段将熔融金属分散成颗粒</w:t>
            </w:r>
            <w:r>
              <w:rPr>
                <w:rFonts w:asciiTheme="minorHAnsi" w:hAnsiTheme="minorHAnsi" w:cstheme="minorHAnsi"/>
                <w:color w:val="auto"/>
                <w:kern w:val="0"/>
                <w:sz w:val="22"/>
              </w:rPr>
              <w:br w:type="textWrapping"/>
            </w:r>
            <w:r>
              <w:rPr>
                <w:rFonts w:asciiTheme="minorHAnsi" w:hAnsiTheme="minorHAnsi" w:cstheme="minorHAnsi"/>
                <w:color w:val="auto"/>
                <w:kern w:val="0"/>
                <w:sz w:val="22"/>
              </w:rPr>
              <w:t>[来源: ASTM B243-17]</w:t>
            </w:r>
          </w:p>
        </w:tc>
      </w:tr>
      <w:tr w14:paraId="0B12B328">
        <w:tblPrEx>
          <w:tblCellMar>
            <w:top w:w="0" w:type="dxa"/>
            <w:left w:w="108" w:type="dxa"/>
            <w:bottom w:w="0" w:type="dxa"/>
            <w:right w:w="108" w:type="dxa"/>
          </w:tblCellMar>
        </w:tblPrEx>
        <w:trPr>
          <w:trHeight w:val="1804"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2C1FC03D">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3.1.8新增</w:t>
            </w: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591E9F34">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06CE6CD4">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3831B9D0">
            <w:pPr>
              <w:pStyle w:val="56"/>
              <w:spacing w:line="300" w:lineRule="exact"/>
              <w:jc w:val="both"/>
              <w:rPr>
                <w:rFonts w:asciiTheme="minorHAnsi" w:hAnsiTheme="minorHAnsi" w:cstheme="minorHAnsi"/>
                <w:color w:val="auto"/>
                <w:sz w:val="22"/>
                <w:szCs w:val="22"/>
              </w:rPr>
            </w:pPr>
            <w:r>
              <w:rPr>
                <w:rFonts w:asciiTheme="minorHAnsi" w:hAnsiTheme="minorHAnsi" w:cstheme="minorHAnsi"/>
                <w:b/>
                <w:bCs/>
                <w:color w:val="auto"/>
                <w:sz w:val="22"/>
                <w:szCs w:val="22"/>
              </w:rPr>
              <w:t>atomized metal powder</w:t>
            </w:r>
          </w:p>
          <w:p w14:paraId="66B22E43">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metal powder produced by atomization (3.1.7)</w:t>
            </w:r>
          </w:p>
        </w:tc>
        <w:tc>
          <w:tcPr>
            <w:tcW w:w="3118" w:type="dxa"/>
            <w:tcBorders>
              <w:top w:val="single" w:color="auto" w:sz="4" w:space="0"/>
              <w:left w:val="single" w:color="auto" w:sz="4" w:space="0"/>
              <w:bottom w:val="single" w:color="auto" w:sz="4" w:space="0"/>
              <w:right w:val="single" w:color="auto" w:sz="4" w:space="0"/>
            </w:tcBorders>
            <w:shd w:val="clear" w:color="auto" w:fill="DEEBF6"/>
          </w:tcPr>
          <w:p w14:paraId="5CA5A80A">
            <w:pPr>
              <w:pStyle w:val="58"/>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 xml:space="preserve">雾化金属粉  atomized metal powder </w:t>
            </w:r>
          </w:p>
          <w:p w14:paraId="5A2C7075">
            <w:pPr>
              <w:spacing w:line="300" w:lineRule="exact"/>
              <w:ind w:firstLine="440" w:firstLineChars="200"/>
              <w:rPr>
                <w:rFonts w:asciiTheme="minorHAnsi" w:hAnsiTheme="minorHAnsi" w:cstheme="minorHAnsi"/>
                <w:color w:val="auto"/>
                <w:kern w:val="0"/>
                <w:sz w:val="22"/>
              </w:rPr>
            </w:pPr>
            <w:r>
              <w:rPr>
                <w:rFonts w:hint="eastAsia" w:asciiTheme="minorHAnsi" w:hAnsiTheme="minorHAnsi" w:cstheme="minorHAnsi"/>
                <w:color w:val="auto"/>
                <w:kern w:val="0"/>
                <w:sz w:val="22"/>
              </w:rPr>
              <w:t>采用</w:t>
            </w:r>
            <w:r>
              <w:rPr>
                <w:rFonts w:asciiTheme="minorHAnsi" w:hAnsiTheme="minorHAnsi" w:cstheme="minorHAnsi"/>
                <w:color w:val="auto"/>
                <w:kern w:val="0"/>
                <w:sz w:val="22"/>
              </w:rPr>
              <w:t>雾化（3.1.7）工艺制备的金属粉末。</w:t>
            </w:r>
          </w:p>
        </w:tc>
        <w:tc>
          <w:tcPr>
            <w:tcW w:w="2126" w:type="dxa"/>
            <w:tcBorders>
              <w:top w:val="single" w:color="auto" w:sz="4" w:space="0"/>
              <w:left w:val="single" w:color="auto" w:sz="4" w:space="0"/>
              <w:bottom w:val="single" w:color="auto" w:sz="4" w:space="0"/>
              <w:right w:val="single" w:color="auto" w:sz="4" w:space="0"/>
            </w:tcBorders>
          </w:tcPr>
          <w:p w14:paraId="75E316C3">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雾化金属粉末</w:t>
            </w:r>
          </w:p>
          <w:p w14:paraId="23ED2403">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通过雾化工艺生产的金属粉末。</w:t>
            </w:r>
          </w:p>
        </w:tc>
        <w:tc>
          <w:tcPr>
            <w:tcW w:w="1985" w:type="dxa"/>
            <w:tcBorders>
              <w:top w:val="single" w:color="auto" w:sz="4" w:space="0"/>
              <w:left w:val="single" w:color="auto" w:sz="4" w:space="0"/>
              <w:bottom w:val="single" w:color="auto" w:sz="4" w:space="0"/>
              <w:right w:val="single" w:color="auto" w:sz="4" w:space="0"/>
            </w:tcBorders>
          </w:tcPr>
          <w:p w14:paraId="5B8B5397">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雾化金属粉末</w:t>
            </w:r>
            <w:r>
              <w:rPr>
                <w:rFonts w:asciiTheme="minorHAnsi" w:hAnsiTheme="minorHAnsi" w:cstheme="minorHAnsi"/>
                <w:color w:val="auto"/>
                <w:kern w:val="0"/>
                <w:sz w:val="22"/>
              </w:rPr>
              <w:br w:type="textWrapping"/>
            </w:r>
            <w:r>
              <w:rPr>
                <w:rFonts w:asciiTheme="minorHAnsi" w:hAnsiTheme="minorHAnsi" w:cstheme="minorHAnsi"/>
                <w:color w:val="auto"/>
                <w:kern w:val="0"/>
                <w:sz w:val="22"/>
              </w:rPr>
              <w:t>通过雾化（3.1.7）产生的金属粉末</w:t>
            </w:r>
          </w:p>
        </w:tc>
      </w:tr>
      <w:tr w14:paraId="44609562">
        <w:tblPrEx>
          <w:tblCellMar>
            <w:top w:w="0" w:type="dxa"/>
            <w:left w:w="108" w:type="dxa"/>
            <w:bottom w:w="0" w:type="dxa"/>
            <w:right w:w="108" w:type="dxa"/>
          </w:tblCellMar>
        </w:tblPrEx>
        <w:trPr>
          <w:trHeight w:val="841"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676FBD33">
            <w:pPr>
              <w:spacing w:line="300" w:lineRule="exact"/>
              <w:rPr>
                <w:rFonts w:asciiTheme="minorHAnsi" w:hAnsiTheme="minorHAnsi" w:cstheme="minorHAnsi"/>
                <w:color w:val="auto"/>
                <w:sz w:val="22"/>
              </w:rPr>
            </w:pPr>
            <w:r>
              <w:rPr>
                <w:rFonts w:asciiTheme="minorHAnsi" w:hAnsiTheme="minorHAnsi" w:cstheme="minorHAnsi"/>
                <w:color w:val="auto"/>
                <w:kern w:val="0"/>
                <w:sz w:val="22"/>
              </w:rPr>
              <w:t>3.1.28拆分</w:t>
            </w: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44BA4C28">
            <w:pPr>
              <w:snapToGrid w:val="0"/>
              <w:spacing w:before="120" w:after="120" w:line="300" w:lineRule="exact"/>
              <w:jc w:val="left"/>
              <w:rPr>
                <w:rFonts w:asciiTheme="minorHAnsi" w:hAnsiTheme="minorHAnsi" w:cstheme="minorHAnsi"/>
                <w:b/>
                <w:bCs/>
                <w:color w:val="auto"/>
                <w:kern w:val="0"/>
                <w:sz w:val="22"/>
              </w:rPr>
            </w:pPr>
            <w:bookmarkStart w:id="49" w:name="OLE_LINK21"/>
            <w:bookmarkStart w:id="50" w:name="OLE_LINK22"/>
            <w:r>
              <w:rPr>
                <w:rFonts w:asciiTheme="minorHAnsi" w:hAnsiTheme="minorHAnsi" w:cstheme="minorHAnsi"/>
                <w:b/>
                <w:bCs/>
                <w:color w:val="auto"/>
                <w:kern w:val="0"/>
                <w:sz w:val="22"/>
              </w:rPr>
              <w:t xml:space="preserve">segregation / demixing  </w:t>
            </w:r>
          </w:p>
          <w:p w14:paraId="3A087352">
            <w:pPr>
              <w:snapToGrid w:val="0"/>
              <w:spacing w:before="120" w:after="120" w:line="300" w:lineRule="exact"/>
              <w:jc w:val="left"/>
              <w:rPr>
                <w:rFonts w:asciiTheme="minorHAnsi" w:hAnsiTheme="minorHAnsi" w:cstheme="minorHAnsi"/>
                <w:color w:val="auto"/>
                <w:kern w:val="0"/>
                <w:sz w:val="22"/>
              </w:rPr>
            </w:pPr>
            <w:r>
              <w:rPr>
                <w:rFonts w:asciiTheme="minorHAnsi" w:hAnsiTheme="minorHAnsi" w:cstheme="minorHAnsi"/>
                <w:color w:val="auto"/>
                <w:kern w:val="0"/>
                <w:sz w:val="22"/>
              </w:rPr>
              <w:t>undesirable separation of one or more constituents of a powder mixture</w:t>
            </w:r>
            <w:bookmarkEnd w:id="49"/>
            <w:bookmarkEnd w:id="50"/>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713CF3FE">
            <w:pPr>
              <w:spacing w:before="120" w:after="120" w:line="300" w:lineRule="exact"/>
              <w:jc w:val="left"/>
              <w:rPr>
                <w:rFonts w:asciiTheme="minorHAnsi" w:hAnsiTheme="minorHAnsi" w:cstheme="minorHAnsi"/>
                <w:color w:val="auto"/>
                <w:sz w:val="22"/>
              </w:rPr>
            </w:pPr>
            <w:r>
              <w:rPr>
                <w:rFonts w:asciiTheme="minorHAnsi" w:hAnsiTheme="minorHAnsi" w:cstheme="minorHAnsi"/>
                <w:color w:val="auto"/>
                <w:kern w:val="0"/>
                <w:sz w:val="22"/>
              </w:rPr>
              <w:t>离析(segregation,demixing）：粉末混合料中一种或几种组分的不良分离现象。</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4A6943FE">
            <w:pPr>
              <w:kinsoku w:val="0"/>
              <w:autoSpaceDE w:val="0"/>
              <w:autoSpaceDN w:val="0"/>
              <w:adjustRightInd w:val="0"/>
              <w:spacing w:line="300" w:lineRule="exact"/>
              <w:jc w:val="left"/>
              <w:textAlignment w:val="baseline"/>
              <w:outlineLvl w:val="2"/>
              <w:rPr>
                <w:rFonts w:asciiTheme="minorHAnsi" w:hAnsiTheme="minorHAnsi" w:cstheme="minorHAnsi"/>
                <w:b/>
                <w:color w:val="auto"/>
                <w:kern w:val="0"/>
                <w:sz w:val="22"/>
              </w:rPr>
            </w:pPr>
            <w:r>
              <w:rPr>
                <w:rFonts w:asciiTheme="minorHAnsi" w:hAnsiTheme="minorHAnsi" w:cstheme="minorHAnsi"/>
                <w:b/>
                <w:color w:val="auto"/>
                <w:kern w:val="0"/>
                <w:sz w:val="22"/>
              </w:rPr>
              <w:t>demixing</w:t>
            </w:r>
          </w:p>
          <w:p w14:paraId="436256B1">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loss of homogeneity of a powder mix due to excessive mixing time</w:t>
            </w:r>
          </w:p>
        </w:tc>
        <w:tc>
          <w:tcPr>
            <w:tcW w:w="3118" w:type="dxa"/>
            <w:tcBorders>
              <w:top w:val="single" w:color="auto" w:sz="4" w:space="0"/>
              <w:left w:val="single" w:color="auto" w:sz="4" w:space="0"/>
              <w:bottom w:val="single" w:color="auto" w:sz="4" w:space="0"/>
              <w:right w:val="single" w:color="auto" w:sz="4" w:space="0"/>
            </w:tcBorders>
            <w:shd w:val="clear" w:color="auto" w:fill="DEEBF6"/>
          </w:tcPr>
          <w:p w14:paraId="2EA4A1F6">
            <w:pPr>
              <w:spacing w:line="300" w:lineRule="exact"/>
              <w:ind w:firstLine="440" w:firstLineChars="200"/>
              <w:rPr>
                <w:rStyle w:val="54"/>
                <w:rFonts w:asciiTheme="minorHAnsi" w:hAnsiTheme="minorHAnsi" w:cstheme="minorHAnsi"/>
                <w:b w:val="0"/>
                <w:bCs w:val="0"/>
                <w:color w:val="auto"/>
                <w:kern w:val="0"/>
              </w:rPr>
            </w:pPr>
            <w:r>
              <w:rPr>
                <w:rFonts w:asciiTheme="minorHAnsi" w:hAnsiTheme="minorHAnsi" w:cstheme="minorHAnsi"/>
                <w:color w:val="auto"/>
                <w:kern w:val="0"/>
                <w:sz w:val="22"/>
              </w:rPr>
              <w:t>离析</w:t>
            </w:r>
            <w:r>
              <w:rPr>
                <w:rStyle w:val="54"/>
                <w:rFonts w:asciiTheme="minorHAnsi" w:hAnsiTheme="minorHAnsi" w:cstheme="minorHAnsi"/>
                <w:color w:val="auto"/>
                <w:kern w:val="0"/>
              </w:rPr>
              <w:t xml:space="preserve">  demixing </w:t>
            </w:r>
          </w:p>
          <w:p w14:paraId="7CE63627">
            <w:pPr>
              <w:spacing w:line="300" w:lineRule="exact"/>
              <w:ind w:firstLine="420"/>
              <w:rPr>
                <w:rFonts w:asciiTheme="minorHAnsi" w:hAnsiTheme="minorHAnsi" w:cstheme="minorHAnsi"/>
                <w:color w:val="auto"/>
                <w:kern w:val="0"/>
                <w:sz w:val="22"/>
              </w:rPr>
            </w:pPr>
            <w:r>
              <w:rPr>
                <w:rFonts w:asciiTheme="minorHAnsi" w:hAnsiTheme="minorHAnsi" w:cstheme="minorHAnsi"/>
                <w:color w:val="auto"/>
                <w:kern w:val="0"/>
                <w:sz w:val="22"/>
              </w:rPr>
              <w:t>由于混合时间过长导致粉末混合物</w:t>
            </w:r>
            <w:r>
              <w:rPr>
                <w:rFonts w:hint="eastAsia" w:asciiTheme="minorHAnsi" w:hAnsiTheme="minorHAnsi" w:cstheme="minorHAnsi"/>
                <w:color w:val="auto"/>
                <w:kern w:val="0"/>
                <w:sz w:val="22"/>
              </w:rPr>
              <w:t>不均匀</w:t>
            </w:r>
            <w:r>
              <w:rPr>
                <w:rFonts w:asciiTheme="minorHAnsi" w:hAnsiTheme="minorHAnsi" w:cstheme="minorHAnsi"/>
                <w:color w:val="auto"/>
                <w:kern w:val="0"/>
                <w:sz w:val="22"/>
              </w:rPr>
              <w:t>。</w:t>
            </w:r>
          </w:p>
          <w:p w14:paraId="26B86391">
            <w:pPr>
              <w:spacing w:line="300" w:lineRule="exact"/>
              <w:ind w:firstLine="420"/>
              <w:rPr>
                <w:rFonts w:asciiTheme="minorHAnsi" w:hAnsiTheme="minorHAnsi" w:cstheme="minorHAnsi"/>
                <w:color w:val="auto"/>
                <w:kern w:val="0"/>
                <w:sz w:val="22"/>
              </w:rPr>
            </w:pPr>
          </w:p>
          <w:p w14:paraId="0AD06CA6">
            <w:pPr>
              <w:spacing w:line="300" w:lineRule="exact"/>
              <w:rPr>
                <w:rFonts w:asciiTheme="minorHAnsi" w:hAnsiTheme="minorHAnsi" w:cstheme="minorHAnsi"/>
                <w:color w:val="auto"/>
                <w:kern w:val="0"/>
                <w:sz w:val="22"/>
              </w:rPr>
            </w:pPr>
          </w:p>
        </w:tc>
        <w:tc>
          <w:tcPr>
            <w:tcW w:w="2126" w:type="dxa"/>
            <w:tcBorders>
              <w:top w:val="single" w:color="auto" w:sz="4" w:space="0"/>
              <w:left w:val="single" w:color="auto" w:sz="4" w:space="0"/>
              <w:bottom w:val="single" w:color="auto" w:sz="4" w:space="0"/>
              <w:right w:val="single" w:color="auto" w:sz="4" w:space="0"/>
            </w:tcBorders>
          </w:tcPr>
          <w:p w14:paraId="78E4CDE7">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离析</w:t>
            </w:r>
          </w:p>
          <w:p w14:paraId="7CBC208F">
            <w:pPr>
              <w:spacing w:line="300" w:lineRule="exact"/>
              <w:rPr>
                <w:rFonts w:asciiTheme="minorHAnsi" w:hAnsiTheme="minorHAnsi" w:cstheme="minorHAnsi"/>
                <w:color w:val="auto"/>
                <w:sz w:val="22"/>
              </w:rPr>
            </w:pPr>
            <w:r>
              <w:rPr>
                <w:rFonts w:asciiTheme="minorHAnsi" w:hAnsiTheme="minorHAnsi" w:cstheme="minorHAnsi"/>
                <w:color w:val="auto"/>
                <w:kern w:val="0"/>
                <w:sz w:val="22"/>
              </w:rPr>
              <w:t>混合时间过长，而使粉末混合物丧失均匀性的现象。</w:t>
            </w:r>
          </w:p>
        </w:tc>
        <w:tc>
          <w:tcPr>
            <w:tcW w:w="1985" w:type="dxa"/>
            <w:tcBorders>
              <w:top w:val="single" w:color="auto" w:sz="4" w:space="0"/>
              <w:left w:val="single" w:color="auto" w:sz="4" w:space="0"/>
              <w:bottom w:val="single" w:color="auto" w:sz="4" w:space="0"/>
              <w:right w:val="single" w:color="auto" w:sz="4" w:space="0"/>
            </w:tcBorders>
          </w:tcPr>
          <w:p w14:paraId="583A01B6">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离析</w:t>
            </w:r>
            <w:r>
              <w:rPr>
                <w:rFonts w:asciiTheme="minorHAnsi" w:hAnsiTheme="minorHAnsi" w:cstheme="minorHAnsi"/>
                <w:color w:val="auto"/>
                <w:kern w:val="0"/>
                <w:sz w:val="22"/>
              </w:rPr>
              <w:br w:type="textWrapping"/>
            </w:r>
            <w:r>
              <w:rPr>
                <w:rFonts w:asciiTheme="minorHAnsi" w:hAnsiTheme="minorHAnsi" w:cstheme="minorHAnsi"/>
                <w:color w:val="auto"/>
                <w:kern w:val="0"/>
                <w:sz w:val="22"/>
              </w:rPr>
              <w:t>由于混合时间过长导致粉末混合物失去均匀性</w:t>
            </w:r>
          </w:p>
        </w:tc>
      </w:tr>
      <w:tr w14:paraId="4D52E92A">
        <w:tblPrEx>
          <w:tblCellMar>
            <w:top w:w="0" w:type="dxa"/>
            <w:left w:w="108" w:type="dxa"/>
            <w:bottom w:w="0" w:type="dxa"/>
            <w:right w:w="108" w:type="dxa"/>
          </w:tblCellMar>
        </w:tblPrEx>
        <w:trPr>
          <w:trHeight w:val="2557"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484FAA84">
            <w:pPr>
              <w:spacing w:line="300" w:lineRule="exact"/>
              <w:rPr>
                <w:rFonts w:asciiTheme="minorHAnsi" w:hAnsiTheme="minorHAnsi" w:cstheme="minorHAnsi"/>
                <w:color w:val="auto"/>
                <w:sz w:val="22"/>
              </w:rPr>
            </w:pPr>
            <w:r>
              <w:rPr>
                <w:rFonts w:asciiTheme="minorHAnsi" w:hAnsiTheme="minorHAnsi" w:cstheme="minorHAnsi"/>
                <w:color w:val="auto"/>
                <w:kern w:val="0"/>
                <w:sz w:val="22"/>
              </w:rPr>
              <w:t>3.1.41新增</w:t>
            </w: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334D6298">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3ACC367D">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47532803">
            <w:pPr>
              <w:kinsoku w:val="0"/>
              <w:autoSpaceDE w:val="0"/>
              <w:autoSpaceDN w:val="0"/>
              <w:adjustRightInd w:val="0"/>
              <w:spacing w:line="300" w:lineRule="exact"/>
              <w:jc w:val="left"/>
              <w:textAlignment w:val="baseline"/>
              <w:outlineLvl w:val="2"/>
              <w:rPr>
                <w:rFonts w:asciiTheme="minorHAnsi" w:hAnsiTheme="minorHAnsi" w:cstheme="minorHAnsi"/>
                <w:b/>
                <w:color w:val="auto"/>
                <w:kern w:val="0"/>
                <w:sz w:val="22"/>
              </w:rPr>
            </w:pPr>
            <w:r>
              <w:rPr>
                <w:rFonts w:asciiTheme="minorHAnsi" w:hAnsiTheme="minorHAnsi" w:cstheme="minorHAnsi"/>
                <w:b/>
                <w:color w:val="auto"/>
                <w:kern w:val="0"/>
                <w:sz w:val="22"/>
              </w:rPr>
              <w:t>flow rate</w:t>
            </w:r>
          </w:p>
          <w:p w14:paraId="5C32C352">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time required for a powder sample of standard weight to flow through an orifice in a standard instrument according to a specified procedure</w:t>
            </w:r>
          </w:p>
          <w:p w14:paraId="227BFE87">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[SOURCE: ASTM B243-17]</w:t>
            </w:r>
          </w:p>
        </w:tc>
        <w:tc>
          <w:tcPr>
            <w:tcW w:w="3118" w:type="dxa"/>
            <w:tcBorders>
              <w:top w:val="single" w:color="auto" w:sz="4" w:space="0"/>
              <w:left w:val="single" w:color="auto" w:sz="4" w:space="0"/>
              <w:bottom w:val="single" w:color="auto" w:sz="4" w:space="0"/>
              <w:right w:val="single" w:color="auto" w:sz="4" w:space="0"/>
            </w:tcBorders>
            <w:shd w:val="clear" w:color="auto" w:fill="DEEBF6"/>
          </w:tcPr>
          <w:p w14:paraId="09E03D70">
            <w:pPr>
              <w:pStyle w:val="58"/>
              <w:spacing w:line="300" w:lineRule="exact"/>
              <w:rPr>
                <w:rStyle w:val="54"/>
                <w:rFonts w:asciiTheme="minorHAnsi" w:hAnsiTheme="minorHAnsi" w:cstheme="minorHAnsi"/>
                <w:b w:val="0"/>
                <w:bCs w:val="0"/>
                <w:color w:val="auto"/>
                <w:kern w:val="0"/>
              </w:rPr>
            </w:pPr>
            <w:r>
              <w:rPr>
                <w:rStyle w:val="54"/>
                <w:rFonts w:asciiTheme="minorHAnsi" w:hAnsiTheme="minorHAnsi" w:cstheme="minorHAnsi"/>
                <w:color w:val="auto"/>
                <w:kern w:val="0"/>
              </w:rPr>
              <w:t>流速  flow rate</w:t>
            </w:r>
          </w:p>
          <w:p w14:paraId="7AA1B498">
            <w:pPr>
              <w:spacing w:line="300" w:lineRule="exact"/>
              <w:ind w:firstLine="420"/>
              <w:rPr>
                <w:rFonts w:asciiTheme="minorHAnsi" w:hAnsiTheme="minorHAnsi" w:cstheme="minorHAnsi"/>
                <w:color w:val="auto"/>
                <w:kern w:val="0"/>
                <w:sz w:val="22"/>
              </w:rPr>
            </w:pPr>
            <w:r>
              <w:rPr>
                <w:rFonts w:asciiTheme="minorHAnsi" w:hAnsiTheme="minorHAnsi" w:cstheme="minorHAnsi"/>
                <w:color w:val="auto"/>
                <w:kern w:val="0"/>
                <w:sz w:val="22"/>
              </w:rPr>
              <w:t>标准重量的粉末样品按照规定程序流经标准仪器</w:t>
            </w:r>
            <w:r>
              <w:rPr>
                <w:rFonts w:hint="eastAsia" w:asciiTheme="minorHAnsi" w:hAnsiTheme="minorHAnsi" w:cstheme="minorHAnsi"/>
                <w:color w:val="auto"/>
                <w:kern w:val="0"/>
                <w:sz w:val="22"/>
              </w:rPr>
              <w:t>孔口</w:t>
            </w:r>
            <w:r>
              <w:rPr>
                <w:rFonts w:asciiTheme="minorHAnsi" w:hAnsiTheme="minorHAnsi" w:cstheme="minorHAnsi"/>
                <w:color w:val="auto"/>
                <w:kern w:val="0"/>
                <w:sz w:val="22"/>
              </w:rPr>
              <w:t>所需的时间。[来源：ASTM B243-17]</w:t>
            </w:r>
          </w:p>
          <w:p w14:paraId="289A334A">
            <w:pPr>
              <w:spacing w:line="300" w:lineRule="exact"/>
              <w:rPr>
                <w:rFonts w:asciiTheme="minorHAnsi" w:hAnsiTheme="minorHAnsi" w:cstheme="minorHAnsi"/>
                <w:color w:val="auto"/>
                <w:kern w:val="0"/>
                <w:sz w:val="22"/>
              </w:rPr>
            </w:pPr>
          </w:p>
        </w:tc>
        <w:tc>
          <w:tcPr>
            <w:tcW w:w="2126" w:type="dxa"/>
            <w:tcBorders>
              <w:top w:val="single" w:color="auto" w:sz="4" w:space="0"/>
              <w:left w:val="single" w:color="auto" w:sz="4" w:space="0"/>
              <w:bottom w:val="single" w:color="auto" w:sz="4" w:space="0"/>
              <w:right w:val="single" w:color="auto" w:sz="4" w:space="0"/>
            </w:tcBorders>
          </w:tcPr>
          <w:p w14:paraId="3EAE7254">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流速</w:t>
            </w:r>
          </w:p>
          <w:p w14:paraId="4564CF31">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标准重量的粉末样品按照规定程序流过标准仪器中的孔所需的时间。</w:t>
            </w:r>
          </w:p>
          <w:p w14:paraId="476D5A00">
            <w:pPr>
              <w:spacing w:line="300" w:lineRule="exact"/>
              <w:rPr>
                <w:rFonts w:asciiTheme="minorHAnsi" w:hAnsiTheme="minorHAnsi" w:cstheme="minorHAnsi"/>
                <w:color w:val="auto"/>
                <w:sz w:val="22"/>
              </w:rPr>
            </w:pPr>
            <w:r>
              <w:rPr>
                <w:rFonts w:asciiTheme="minorHAnsi" w:hAnsiTheme="minorHAnsi" w:cstheme="minorHAnsi"/>
                <w:color w:val="auto"/>
                <w:kern w:val="0"/>
                <w:sz w:val="22"/>
              </w:rPr>
              <w:t>[来源：ASTM B243-17]</w:t>
            </w:r>
          </w:p>
        </w:tc>
        <w:tc>
          <w:tcPr>
            <w:tcW w:w="1985" w:type="dxa"/>
            <w:tcBorders>
              <w:top w:val="single" w:color="auto" w:sz="4" w:space="0"/>
              <w:left w:val="single" w:color="auto" w:sz="4" w:space="0"/>
              <w:bottom w:val="single" w:color="auto" w:sz="4" w:space="0"/>
              <w:right w:val="single" w:color="auto" w:sz="4" w:space="0"/>
            </w:tcBorders>
          </w:tcPr>
          <w:p w14:paraId="49228B9D">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流速</w:t>
            </w:r>
            <w:r>
              <w:rPr>
                <w:rFonts w:asciiTheme="minorHAnsi" w:hAnsiTheme="minorHAnsi" w:cstheme="minorHAnsi"/>
                <w:color w:val="auto"/>
                <w:kern w:val="0"/>
                <w:sz w:val="22"/>
              </w:rPr>
              <w:br w:type="textWrapping"/>
            </w:r>
            <w:r>
              <w:rPr>
                <w:rFonts w:asciiTheme="minorHAnsi" w:hAnsiTheme="minorHAnsi" w:cstheme="minorHAnsi"/>
                <w:color w:val="auto"/>
                <w:kern w:val="0"/>
                <w:sz w:val="22"/>
              </w:rPr>
              <w:t>标准重量的粉末样品按照特定程序流经标准仪器孔径所需的时间</w:t>
            </w:r>
            <w:r>
              <w:rPr>
                <w:rFonts w:asciiTheme="minorHAnsi" w:hAnsiTheme="minorHAnsi" w:cstheme="minorHAnsi"/>
                <w:color w:val="auto"/>
                <w:kern w:val="0"/>
                <w:sz w:val="22"/>
              </w:rPr>
              <w:br w:type="textWrapping"/>
            </w:r>
            <w:r>
              <w:rPr>
                <w:rFonts w:asciiTheme="minorHAnsi" w:hAnsiTheme="minorHAnsi" w:cstheme="minorHAnsi"/>
                <w:color w:val="auto"/>
                <w:kern w:val="0"/>
                <w:sz w:val="22"/>
              </w:rPr>
              <w:t>[来源: ASTM B243-17]</w:t>
            </w:r>
          </w:p>
        </w:tc>
      </w:tr>
      <w:tr w14:paraId="5B8FF2D8">
        <w:tblPrEx>
          <w:tblCellMar>
            <w:top w:w="0" w:type="dxa"/>
            <w:left w:w="108" w:type="dxa"/>
            <w:bottom w:w="0" w:type="dxa"/>
            <w:right w:w="108" w:type="dxa"/>
          </w:tblCellMar>
        </w:tblPrEx>
        <w:trPr>
          <w:trHeight w:val="2374"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00C7D604">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3.1.67新增</w:t>
            </w: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0D69FE32">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3649741F">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3AF891D5">
            <w:pPr>
              <w:spacing w:line="300" w:lineRule="exact"/>
              <w:rPr>
                <w:rFonts w:asciiTheme="minorHAnsi" w:hAnsiTheme="minorHAnsi" w:cstheme="minorHAnsi"/>
                <w:b/>
                <w:color w:val="auto"/>
                <w:kern w:val="0"/>
                <w:sz w:val="22"/>
              </w:rPr>
            </w:pPr>
            <w:r>
              <w:rPr>
                <w:rFonts w:asciiTheme="minorHAnsi" w:hAnsiTheme="minorHAnsi" w:cstheme="minorHAnsi"/>
                <w:b/>
                <w:color w:val="auto"/>
                <w:kern w:val="0"/>
                <w:sz w:val="22"/>
              </w:rPr>
              <w:t>pulverization</w:t>
            </w:r>
          </w:p>
          <w:p w14:paraId="6CFF5BF6">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reduction in particle size (3.1.60) of metal powder by mechanical means, a specific type of disintegration</w:t>
            </w:r>
          </w:p>
          <w:p w14:paraId="1B77E66E">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[SOURCE: ASTM B243-17]</w:t>
            </w:r>
          </w:p>
        </w:tc>
        <w:tc>
          <w:tcPr>
            <w:tcW w:w="3118" w:type="dxa"/>
            <w:tcBorders>
              <w:top w:val="single" w:color="auto" w:sz="4" w:space="0"/>
              <w:left w:val="single" w:color="auto" w:sz="4" w:space="0"/>
              <w:bottom w:val="single" w:color="auto" w:sz="4" w:space="0"/>
              <w:right w:val="single" w:color="auto" w:sz="4" w:space="0"/>
            </w:tcBorders>
            <w:shd w:val="clear" w:color="auto" w:fill="DEEBF6"/>
          </w:tcPr>
          <w:p w14:paraId="61CFB964">
            <w:pPr>
              <w:pStyle w:val="58"/>
              <w:spacing w:line="300" w:lineRule="exact"/>
              <w:rPr>
                <w:rStyle w:val="54"/>
                <w:rFonts w:asciiTheme="minorHAnsi" w:hAnsiTheme="minorHAnsi" w:cstheme="minorHAnsi"/>
                <w:b w:val="0"/>
                <w:bCs w:val="0"/>
                <w:color w:val="auto"/>
                <w:kern w:val="0"/>
              </w:rPr>
            </w:pPr>
            <w:r>
              <w:rPr>
                <w:rStyle w:val="54"/>
                <w:rFonts w:asciiTheme="minorHAnsi" w:hAnsiTheme="minorHAnsi" w:cstheme="minorHAnsi"/>
                <w:color w:val="auto"/>
                <w:kern w:val="0"/>
              </w:rPr>
              <w:t>粉碎  pulverization</w:t>
            </w:r>
          </w:p>
          <w:p w14:paraId="79080A57">
            <w:pPr>
              <w:spacing w:line="300" w:lineRule="exact"/>
              <w:ind w:firstLine="420"/>
              <w:rPr>
                <w:rStyle w:val="54"/>
                <w:rFonts w:asciiTheme="minorHAnsi" w:hAnsiTheme="minorHAnsi" w:cstheme="minorHAnsi"/>
                <w:b w:val="0"/>
                <w:bCs w:val="0"/>
                <w:color w:val="auto"/>
                <w:kern w:val="0"/>
              </w:rPr>
            </w:pPr>
            <w:r>
              <w:rPr>
                <w:rStyle w:val="54"/>
                <w:rFonts w:hint="eastAsia" w:asciiTheme="minorHAnsi" w:hAnsiTheme="minorHAnsi" w:cstheme="minorHAnsi"/>
                <w:b w:val="0"/>
                <w:bCs w:val="0"/>
                <w:color w:val="auto"/>
                <w:kern w:val="0"/>
              </w:rPr>
              <w:t>一种特殊的破碎方</w:t>
            </w:r>
            <w:r>
              <w:rPr>
                <w:rStyle w:val="54"/>
                <w:rFonts w:hint="eastAsia" w:asciiTheme="minorHAnsi" w:hAnsiTheme="minorHAnsi" w:cstheme="minorHAnsi"/>
                <w:color w:val="auto"/>
                <w:kern w:val="0"/>
              </w:rPr>
              <w:t>法</w:t>
            </w:r>
            <w:r>
              <w:rPr>
                <w:rStyle w:val="54"/>
                <w:rFonts w:hint="eastAsia" w:asciiTheme="minorHAnsi" w:hAnsiTheme="minorHAnsi" w:cstheme="minorHAnsi"/>
                <w:b w:val="0"/>
                <w:bCs w:val="0"/>
                <w:color w:val="auto"/>
                <w:kern w:val="0"/>
              </w:rPr>
              <w:t>，采用机械方式减小金属粉末粒度（</w:t>
            </w:r>
            <w:r>
              <w:rPr>
                <w:rStyle w:val="54"/>
                <w:rFonts w:asciiTheme="minorHAnsi" w:hAnsiTheme="minorHAnsi" w:cstheme="minorHAnsi"/>
                <w:b w:val="0"/>
                <w:bCs w:val="0"/>
                <w:color w:val="auto"/>
                <w:kern w:val="0"/>
              </w:rPr>
              <w:t>3.1.60</w:t>
            </w:r>
            <w:r>
              <w:rPr>
                <w:rStyle w:val="54"/>
                <w:rFonts w:hint="eastAsia" w:asciiTheme="minorHAnsi" w:hAnsiTheme="minorHAnsi" w:cstheme="minorHAnsi"/>
                <w:b w:val="0"/>
                <w:bCs w:val="0"/>
                <w:color w:val="auto"/>
                <w:kern w:val="0"/>
              </w:rPr>
              <w:t>）。</w:t>
            </w:r>
            <w:r>
              <w:rPr>
                <w:rStyle w:val="54"/>
                <w:rFonts w:asciiTheme="minorHAnsi" w:hAnsiTheme="minorHAnsi" w:cstheme="minorHAnsi"/>
                <w:b w:val="0"/>
                <w:bCs w:val="0"/>
                <w:color w:val="auto"/>
                <w:kern w:val="0"/>
              </w:rPr>
              <w:t>[</w:t>
            </w:r>
            <w:r>
              <w:rPr>
                <w:rStyle w:val="54"/>
                <w:rFonts w:hint="eastAsia" w:asciiTheme="minorHAnsi" w:hAnsiTheme="minorHAnsi" w:cstheme="minorHAnsi"/>
                <w:b w:val="0"/>
                <w:bCs w:val="0"/>
                <w:color w:val="auto"/>
                <w:kern w:val="0"/>
              </w:rPr>
              <w:t>来源：</w:t>
            </w:r>
            <w:r>
              <w:rPr>
                <w:rStyle w:val="54"/>
                <w:rFonts w:asciiTheme="minorHAnsi" w:hAnsiTheme="minorHAnsi" w:cstheme="minorHAnsi"/>
                <w:b w:val="0"/>
                <w:bCs w:val="0"/>
                <w:color w:val="auto"/>
                <w:kern w:val="0"/>
              </w:rPr>
              <w:t>ASTM B243-17]</w:t>
            </w:r>
          </w:p>
          <w:p w14:paraId="4481A3B7">
            <w:pPr>
              <w:spacing w:line="300" w:lineRule="exact"/>
              <w:rPr>
                <w:rFonts w:asciiTheme="minorHAnsi" w:hAnsiTheme="minorHAnsi" w:cstheme="minorHAnsi"/>
                <w:color w:val="auto"/>
                <w:kern w:val="0"/>
                <w:sz w:val="22"/>
              </w:rPr>
            </w:pPr>
          </w:p>
        </w:tc>
        <w:tc>
          <w:tcPr>
            <w:tcW w:w="2126" w:type="dxa"/>
            <w:tcBorders>
              <w:top w:val="single" w:color="auto" w:sz="4" w:space="0"/>
              <w:left w:val="single" w:color="auto" w:sz="4" w:space="0"/>
              <w:bottom w:val="single" w:color="auto" w:sz="4" w:space="0"/>
              <w:right w:val="single" w:color="auto" w:sz="4" w:space="0"/>
            </w:tcBorders>
          </w:tcPr>
          <w:p w14:paraId="3C7283EA">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粉碎</w:t>
            </w:r>
          </w:p>
          <w:p w14:paraId="103B7915">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通过机械手段减小金属粉末的粒度（3.1.60），这是一种特定类型的分解</w:t>
            </w:r>
          </w:p>
          <w:p w14:paraId="54A0E2A2">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[来源：ASTM B243-17]</w:t>
            </w:r>
          </w:p>
        </w:tc>
        <w:tc>
          <w:tcPr>
            <w:tcW w:w="1985" w:type="dxa"/>
            <w:tcBorders>
              <w:top w:val="single" w:color="auto" w:sz="4" w:space="0"/>
              <w:left w:val="single" w:color="auto" w:sz="4" w:space="0"/>
              <w:bottom w:val="single" w:color="auto" w:sz="4" w:space="0"/>
              <w:right w:val="single" w:color="auto" w:sz="4" w:space="0"/>
            </w:tcBorders>
          </w:tcPr>
          <w:p w14:paraId="3B23500C">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 xml:space="preserve">破碎  </w:t>
            </w:r>
          </w:p>
          <w:p w14:paraId="54C2A51D">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通过机械方法使金属粉末的粒度减小，这是一种特殊的破碎方法。</w:t>
            </w:r>
          </w:p>
          <w:p w14:paraId="4A4531AF">
            <w:pPr>
              <w:spacing w:line="300" w:lineRule="exact"/>
              <w:rPr>
                <w:rFonts w:asciiTheme="minorHAnsi" w:hAnsiTheme="minorHAnsi" w:cstheme="minorHAnsi"/>
                <w:color w:val="auto"/>
                <w:kern w:val="0"/>
                <w:sz w:val="22"/>
              </w:rPr>
            </w:pPr>
          </w:p>
        </w:tc>
      </w:tr>
      <w:tr w14:paraId="58984ED3">
        <w:tblPrEx>
          <w:tblCellMar>
            <w:top w:w="0" w:type="dxa"/>
            <w:left w:w="108" w:type="dxa"/>
            <w:bottom w:w="0" w:type="dxa"/>
            <w:right w:w="108" w:type="dxa"/>
          </w:tblCellMar>
        </w:tblPrEx>
        <w:trPr>
          <w:trHeight w:val="1661"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3C64345E">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3.1.68新增</w:t>
            </w: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6B39C334">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22027F8E">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54E42029">
            <w:pPr>
              <w:spacing w:line="300" w:lineRule="exact"/>
              <w:rPr>
                <w:rFonts w:asciiTheme="minorHAnsi" w:hAnsiTheme="minorHAnsi" w:cstheme="minorHAnsi"/>
                <w:b/>
                <w:color w:val="auto"/>
                <w:kern w:val="0"/>
                <w:sz w:val="22"/>
              </w:rPr>
            </w:pPr>
            <w:r>
              <w:rPr>
                <w:rFonts w:asciiTheme="minorHAnsi" w:hAnsiTheme="minorHAnsi" w:cstheme="minorHAnsi"/>
                <w:b/>
                <w:color w:val="auto"/>
                <w:kern w:val="0"/>
                <w:sz w:val="22"/>
              </w:rPr>
              <w:t>pulverized powder</w:t>
            </w:r>
          </w:p>
          <w:p w14:paraId="4EB299DD">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powder made by pulverization (3.1.67)</w:t>
            </w:r>
          </w:p>
        </w:tc>
        <w:tc>
          <w:tcPr>
            <w:tcW w:w="3118" w:type="dxa"/>
            <w:tcBorders>
              <w:top w:val="single" w:color="auto" w:sz="4" w:space="0"/>
              <w:left w:val="single" w:color="auto" w:sz="4" w:space="0"/>
              <w:bottom w:val="single" w:color="auto" w:sz="4" w:space="0"/>
              <w:right w:val="single" w:color="auto" w:sz="4" w:space="0"/>
            </w:tcBorders>
            <w:shd w:val="clear" w:color="auto" w:fill="DEEBF6"/>
          </w:tcPr>
          <w:p w14:paraId="34C58C60">
            <w:pPr>
              <w:pStyle w:val="58"/>
              <w:spacing w:line="300" w:lineRule="exact"/>
              <w:rPr>
                <w:rStyle w:val="54"/>
                <w:rFonts w:asciiTheme="minorHAnsi" w:hAnsiTheme="minorHAnsi" w:cstheme="minorHAnsi"/>
                <w:b w:val="0"/>
                <w:bCs w:val="0"/>
                <w:color w:val="auto"/>
                <w:kern w:val="0"/>
              </w:rPr>
            </w:pPr>
            <w:r>
              <w:rPr>
                <w:rStyle w:val="54"/>
                <w:rFonts w:asciiTheme="minorHAnsi" w:hAnsiTheme="minorHAnsi" w:cstheme="minorHAnsi"/>
                <w:color w:val="auto"/>
                <w:kern w:val="0"/>
              </w:rPr>
              <w:t>粉碎粉 pulverized powder</w:t>
            </w:r>
          </w:p>
          <w:p w14:paraId="19A71798">
            <w:pPr>
              <w:spacing w:line="300" w:lineRule="exact"/>
              <w:ind w:firstLine="420"/>
              <w:rPr>
                <w:rFonts w:asciiTheme="minorHAnsi" w:hAnsiTheme="minorHAnsi" w:cstheme="minorHAnsi"/>
                <w:color w:val="auto"/>
                <w:kern w:val="0"/>
                <w:sz w:val="22"/>
              </w:rPr>
            </w:pPr>
            <w:r>
              <w:rPr>
                <w:rStyle w:val="54"/>
                <w:rFonts w:asciiTheme="minorHAnsi" w:hAnsiTheme="minorHAnsi" w:cstheme="minorHAnsi"/>
                <w:color w:val="auto"/>
                <w:kern w:val="0"/>
              </w:rPr>
              <w:t>通过粉碎（3.1.67）法制备的粉末。</w:t>
            </w:r>
          </w:p>
        </w:tc>
        <w:tc>
          <w:tcPr>
            <w:tcW w:w="2126" w:type="dxa"/>
            <w:tcBorders>
              <w:top w:val="single" w:color="auto" w:sz="4" w:space="0"/>
              <w:left w:val="single" w:color="auto" w:sz="4" w:space="0"/>
              <w:bottom w:val="single" w:color="auto" w:sz="4" w:space="0"/>
              <w:right w:val="single" w:color="auto" w:sz="4" w:space="0"/>
            </w:tcBorders>
          </w:tcPr>
          <w:p w14:paraId="3A40D818">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粉碎粉</w:t>
            </w:r>
          </w:p>
          <w:p w14:paraId="64AEDB32">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机械粉碎固态金属而制成的粉末（3.1.67）</w:t>
            </w:r>
          </w:p>
        </w:tc>
        <w:tc>
          <w:tcPr>
            <w:tcW w:w="1985" w:type="dxa"/>
            <w:tcBorders>
              <w:top w:val="single" w:color="auto" w:sz="4" w:space="0"/>
              <w:left w:val="single" w:color="auto" w:sz="4" w:space="0"/>
              <w:bottom w:val="single" w:color="auto" w:sz="4" w:space="0"/>
              <w:right w:val="single" w:color="auto" w:sz="4" w:space="0"/>
            </w:tcBorders>
          </w:tcPr>
          <w:p w14:paraId="231BFC23">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 xml:space="preserve">破碎粉  </w:t>
            </w:r>
          </w:p>
          <w:p w14:paraId="03A47E92">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通过破碎而制成的粉末。</w:t>
            </w:r>
          </w:p>
        </w:tc>
      </w:tr>
      <w:tr w14:paraId="7173835A">
        <w:tblPrEx>
          <w:tblCellMar>
            <w:top w:w="0" w:type="dxa"/>
            <w:left w:w="108" w:type="dxa"/>
            <w:bottom w:w="0" w:type="dxa"/>
            <w:right w:w="108" w:type="dxa"/>
          </w:tblCellMar>
        </w:tblPrEx>
        <w:trPr>
          <w:trHeight w:val="2710"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6614DFCC">
            <w:pPr>
              <w:spacing w:line="300" w:lineRule="exact"/>
              <w:rPr>
                <w:rFonts w:asciiTheme="minorHAnsi" w:hAnsiTheme="minorHAnsi" w:cstheme="minorHAnsi"/>
                <w:color w:val="auto"/>
                <w:kern w:val="0"/>
                <w:sz w:val="22"/>
              </w:rPr>
            </w:pPr>
            <w:r>
              <w:rPr>
                <w:rFonts w:asciiTheme="minorHAnsi" w:hAnsiTheme="minorHAnsi" w:cstheme="minorHAnsi"/>
                <w:color w:val="auto"/>
                <w:sz w:val="22"/>
              </w:rPr>
              <w:t>3.1.75拆分</w:t>
            </w: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49DA8B92">
            <w:pPr>
              <w:snapToGrid w:val="0"/>
              <w:spacing w:before="120" w:after="120" w:line="300" w:lineRule="exact"/>
              <w:jc w:val="left"/>
              <w:rPr>
                <w:rFonts w:asciiTheme="minorHAnsi" w:hAnsiTheme="minorHAnsi" w:cstheme="minorHAnsi"/>
                <w:b/>
                <w:bCs/>
                <w:color w:val="auto"/>
                <w:kern w:val="0"/>
                <w:sz w:val="22"/>
              </w:rPr>
            </w:pPr>
            <w:r>
              <w:rPr>
                <w:rFonts w:asciiTheme="minorHAnsi" w:hAnsiTheme="minorHAnsi" w:cstheme="minorHAnsi"/>
                <w:b/>
                <w:bCs/>
                <w:color w:val="auto"/>
                <w:kern w:val="0"/>
                <w:sz w:val="22"/>
              </w:rPr>
              <w:t xml:space="preserve">segregation / demixing  </w:t>
            </w:r>
          </w:p>
          <w:p w14:paraId="6029408C">
            <w:pPr>
              <w:snapToGrid w:val="0"/>
              <w:spacing w:line="300" w:lineRule="exact"/>
              <w:jc w:val="left"/>
              <w:rPr>
                <w:rFonts w:asciiTheme="minorHAnsi" w:hAnsiTheme="minorHAnsi" w:cstheme="minorHAnsi"/>
                <w:color w:val="auto"/>
                <w:kern w:val="0"/>
                <w:sz w:val="22"/>
              </w:rPr>
            </w:pPr>
            <w:r>
              <w:rPr>
                <w:rFonts w:asciiTheme="minorHAnsi" w:hAnsiTheme="minorHAnsi" w:cstheme="minorHAnsi"/>
                <w:color w:val="auto"/>
                <w:kern w:val="0"/>
                <w:sz w:val="22"/>
              </w:rPr>
              <w:t>undesirable separation of one or more constituents of a powder mixture</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299E12E7">
            <w:pPr>
              <w:spacing w:line="300" w:lineRule="exact"/>
              <w:jc w:val="left"/>
              <w:rPr>
                <w:rFonts w:asciiTheme="minorHAnsi" w:hAnsiTheme="minorHAnsi" w:cstheme="minorHAnsi"/>
                <w:color w:val="auto"/>
                <w:sz w:val="22"/>
              </w:rPr>
            </w:pPr>
            <w:r>
              <w:rPr>
                <w:rFonts w:asciiTheme="minorHAnsi" w:hAnsiTheme="minorHAnsi" w:cstheme="minorHAnsi"/>
                <w:color w:val="auto"/>
                <w:sz w:val="22"/>
              </w:rPr>
              <w:t>离析（segregation,demixing）：粉末混合料中一种或几种组分的不良分离现象。</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3047EBCE">
            <w:pPr>
              <w:spacing w:line="300" w:lineRule="exact"/>
              <w:rPr>
                <w:rFonts w:asciiTheme="minorHAnsi" w:hAnsiTheme="minorHAnsi" w:cstheme="minorHAnsi"/>
                <w:b/>
                <w:color w:val="auto"/>
                <w:kern w:val="0"/>
                <w:sz w:val="22"/>
              </w:rPr>
            </w:pPr>
            <w:r>
              <w:rPr>
                <w:rFonts w:asciiTheme="minorHAnsi" w:hAnsiTheme="minorHAnsi" w:cstheme="minorHAnsi"/>
                <w:b/>
                <w:color w:val="auto"/>
                <w:sz w:val="22"/>
              </w:rPr>
              <w:t>segregation</w:t>
            </w:r>
          </w:p>
          <w:p w14:paraId="522E070A">
            <w:pPr>
              <w:widowControl/>
              <w:spacing w:line="300" w:lineRule="exact"/>
              <w:jc w:val="left"/>
              <w:rPr>
                <w:rFonts w:asciiTheme="minorHAnsi" w:hAnsiTheme="minorHAnsi" w:cstheme="minorHAnsi"/>
                <w:color w:val="auto"/>
                <w:sz w:val="22"/>
              </w:rPr>
            </w:pPr>
            <w:r>
              <w:rPr>
                <w:rFonts w:asciiTheme="minorHAnsi" w:hAnsiTheme="minorHAnsi" w:cstheme="minorHAnsi"/>
                <w:color w:val="auto"/>
                <w:sz w:val="22"/>
              </w:rPr>
              <w:t>unintentional separation of one or more constituents of a powder, for example, by particle size or chemical composition</w:t>
            </w:r>
          </w:p>
          <w:p w14:paraId="4AD0F63B">
            <w:pPr>
              <w:spacing w:line="300" w:lineRule="exact"/>
              <w:rPr>
                <w:rFonts w:asciiTheme="minorHAnsi" w:hAnsiTheme="minorHAnsi" w:cstheme="minorHAnsi"/>
                <w:color w:val="auto"/>
                <w:kern w:val="0"/>
                <w:sz w:val="22"/>
              </w:rPr>
            </w:pPr>
          </w:p>
        </w:tc>
        <w:tc>
          <w:tcPr>
            <w:tcW w:w="3118" w:type="dxa"/>
            <w:tcBorders>
              <w:top w:val="single" w:color="auto" w:sz="4" w:space="0"/>
              <w:left w:val="single" w:color="auto" w:sz="4" w:space="0"/>
              <w:bottom w:val="single" w:color="auto" w:sz="4" w:space="0"/>
              <w:right w:val="single" w:color="000000" w:sz="4" w:space="0"/>
            </w:tcBorders>
            <w:shd w:val="clear" w:color="auto" w:fill="DEEBF6"/>
          </w:tcPr>
          <w:p w14:paraId="4D8308FA">
            <w:pPr>
              <w:widowControl/>
              <w:ind w:firstLine="440" w:firstLineChars="200"/>
              <w:rPr>
                <w:rFonts w:asciiTheme="minorHAnsi" w:hAnsiTheme="minorHAnsi" w:cstheme="minorHAnsi"/>
                <w:color w:val="auto"/>
                <w:kern w:val="0"/>
                <w:sz w:val="22"/>
              </w:rPr>
            </w:pPr>
            <w:r>
              <w:rPr>
                <w:rFonts w:asciiTheme="minorHAnsi" w:hAnsiTheme="minorHAnsi" w:cstheme="minorHAnsi"/>
                <w:b/>
                <w:color w:val="auto"/>
                <w:kern w:val="0"/>
                <w:sz w:val="22"/>
              </w:rPr>
              <w:t>偏析  segregation</w:t>
            </w:r>
          </w:p>
          <w:p w14:paraId="36FC4CF7">
            <w:pPr>
              <w:spacing w:line="300" w:lineRule="exact"/>
              <w:ind w:firstLine="440" w:firstLineChars="200"/>
              <w:rPr>
                <w:rFonts w:asciiTheme="minorHAnsi" w:hAnsiTheme="minorHAnsi" w:cstheme="minorHAnsi"/>
                <w:color w:val="auto"/>
                <w:sz w:val="22"/>
              </w:rPr>
            </w:pPr>
            <w:r>
              <w:rPr>
                <w:rFonts w:asciiTheme="minorHAnsi" w:hAnsiTheme="minorHAnsi" w:cstheme="minorHAnsi"/>
                <w:color w:val="auto"/>
                <w:sz w:val="22"/>
              </w:rPr>
              <w:t>粉末中一种或多种组分的不良分离现象，</w:t>
            </w:r>
            <w:r>
              <w:rPr>
                <w:rFonts w:hint="eastAsia" w:asciiTheme="minorHAnsi" w:hAnsiTheme="minorHAnsi" w:cstheme="minorHAnsi"/>
                <w:color w:val="auto"/>
                <w:sz w:val="22"/>
              </w:rPr>
              <w:t>如</w:t>
            </w:r>
            <w:r>
              <w:rPr>
                <w:rFonts w:asciiTheme="minorHAnsi" w:hAnsiTheme="minorHAnsi" w:cstheme="minorHAnsi"/>
                <w:color w:val="auto"/>
                <w:sz w:val="22"/>
              </w:rPr>
              <w:t>因粒度或化学成分差异导致的分离。</w:t>
            </w:r>
          </w:p>
          <w:p w14:paraId="08217A06">
            <w:pPr>
              <w:spacing w:line="300" w:lineRule="exact"/>
              <w:ind w:firstLine="440" w:firstLineChars="200"/>
              <w:rPr>
                <w:rFonts w:asciiTheme="minorHAnsi" w:hAnsiTheme="minorHAnsi" w:cstheme="minorHAnsi"/>
                <w:color w:val="auto"/>
                <w:sz w:val="22"/>
              </w:rPr>
            </w:pPr>
          </w:p>
          <w:p w14:paraId="0752E6F0">
            <w:pPr>
              <w:spacing w:line="300" w:lineRule="exact"/>
              <w:ind w:firstLine="440" w:firstLineChars="200"/>
              <w:rPr>
                <w:rFonts w:asciiTheme="minorHAnsi" w:hAnsiTheme="minorHAnsi" w:cstheme="minorHAnsi"/>
                <w:color w:val="auto"/>
                <w:sz w:val="22"/>
              </w:rPr>
            </w:pPr>
          </w:p>
          <w:p w14:paraId="127245DB">
            <w:pPr>
              <w:spacing w:line="300" w:lineRule="exact"/>
              <w:ind w:firstLine="440" w:firstLineChars="200"/>
              <w:rPr>
                <w:rFonts w:asciiTheme="minorHAnsi" w:hAnsiTheme="minorHAnsi" w:cstheme="minorHAnsi"/>
                <w:color w:val="auto"/>
                <w:sz w:val="22"/>
              </w:rPr>
            </w:pPr>
          </w:p>
          <w:p w14:paraId="44EE8CAB">
            <w:pPr>
              <w:spacing w:line="300" w:lineRule="exact"/>
              <w:ind w:firstLine="440" w:firstLineChars="200"/>
              <w:rPr>
                <w:rFonts w:asciiTheme="minorHAnsi" w:hAnsiTheme="minorHAnsi" w:cstheme="minorHAnsi"/>
                <w:color w:val="auto"/>
                <w:sz w:val="22"/>
              </w:rPr>
            </w:pPr>
          </w:p>
          <w:p w14:paraId="0E97591C">
            <w:pPr>
              <w:spacing w:line="300" w:lineRule="exact"/>
              <w:ind w:firstLine="440" w:firstLineChars="200"/>
              <w:rPr>
                <w:rFonts w:asciiTheme="minorHAnsi" w:hAnsiTheme="minorHAnsi" w:cstheme="minorHAnsi"/>
                <w:color w:val="auto"/>
                <w:kern w:val="0"/>
                <w:sz w:val="22"/>
              </w:rPr>
            </w:pPr>
            <w:r>
              <w:rPr>
                <w:rFonts w:hint="eastAsia" w:asciiTheme="minorHAnsi" w:hAnsiTheme="minorHAnsi" w:cstheme="minorHAnsi"/>
                <w:color w:val="auto"/>
                <w:sz w:val="22"/>
              </w:rPr>
              <w:t>（本身原因导致）</w:t>
            </w:r>
          </w:p>
        </w:tc>
        <w:tc>
          <w:tcPr>
            <w:tcW w:w="2126" w:type="dxa"/>
            <w:tcBorders>
              <w:top w:val="single" w:color="auto" w:sz="4" w:space="0"/>
              <w:left w:val="single" w:color="auto" w:sz="4" w:space="0"/>
              <w:bottom w:val="single" w:color="auto" w:sz="4" w:space="0"/>
              <w:right w:val="single" w:color="auto" w:sz="4" w:space="0"/>
            </w:tcBorders>
          </w:tcPr>
          <w:p w14:paraId="5F424A9B">
            <w:pPr>
              <w:spacing w:line="300" w:lineRule="exact"/>
              <w:rPr>
                <w:rFonts w:asciiTheme="minorHAnsi" w:hAnsiTheme="minorHAnsi" w:cstheme="minorHAnsi"/>
                <w:color w:val="auto"/>
                <w:kern w:val="0"/>
                <w:sz w:val="22"/>
              </w:rPr>
            </w:pPr>
            <w:r>
              <w:rPr>
                <w:rFonts w:asciiTheme="minorHAnsi" w:hAnsiTheme="minorHAnsi" w:cstheme="minorHAnsi"/>
                <w:color w:val="auto"/>
                <w:sz w:val="22"/>
              </w:rPr>
              <w:t>隔离</w:t>
            </w:r>
          </w:p>
          <w:p w14:paraId="0D35086F">
            <w:pPr>
              <w:widowControl/>
              <w:spacing w:line="300" w:lineRule="exact"/>
              <w:jc w:val="left"/>
              <w:rPr>
                <w:rFonts w:asciiTheme="minorHAnsi" w:hAnsiTheme="minorHAnsi" w:cstheme="minorHAnsi"/>
                <w:color w:val="auto"/>
                <w:sz w:val="22"/>
              </w:rPr>
            </w:pPr>
            <w:r>
              <w:rPr>
                <w:rFonts w:asciiTheme="minorHAnsi" w:hAnsiTheme="minorHAnsi" w:cstheme="minorHAnsi"/>
                <w:color w:val="auto"/>
                <w:sz w:val="22"/>
              </w:rPr>
              <w:t>粉末中一种或多种成分的无意分离，例如通过粒度或化学成分而隔离</w:t>
            </w:r>
          </w:p>
          <w:p w14:paraId="469141EC">
            <w:pPr>
              <w:spacing w:line="300" w:lineRule="exact"/>
              <w:rPr>
                <w:rFonts w:asciiTheme="minorHAnsi" w:hAnsiTheme="minorHAnsi" w:cstheme="minorHAnsi"/>
                <w:color w:val="auto"/>
                <w:kern w:val="0"/>
                <w:sz w:val="22"/>
              </w:rPr>
            </w:pPr>
          </w:p>
        </w:tc>
        <w:tc>
          <w:tcPr>
            <w:tcW w:w="1985" w:type="dxa"/>
            <w:tcBorders>
              <w:top w:val="single" w:color="auto" w:sz="4" w:space="0"/>
              <w:left w:val="single" w:color="auto" w:sz="4" w:space="0"/>
              <w:bottom w:val="single" w:color="auto" w:sz="4" w:space="0"/>
              <w:right w:val="single" w:color="auto" w:sz="4" w:space="0"/>
            </w:tcBorders>
          </w:tcPr>
          <w:p w14:paraId="4D9ACC08">
            <w:pPr>
              <w:spacing w:line="300" w:lineRule="exact"/>
              <w:rPr>
                <w:rFonts w:asciiTheme="minorHAnsi" w:hAnsiTheme="minorHAnsi" w:cstheme="minorHAnsi"/>
                <w:color w:val="auto"/>
                <w:kern w:val="0"/>
                <w:sz w:val="22"/>
              </w:rPr>
            </w:pPr>
            <w:r>
              <w:rPr>
                <w:rFonts w:asciiTheme="minorHAnsi" w:hAnsiTheme="minorHAnsi" w:cstheme="minorHAnsi"/>
                <w:color w:val="auto"/>
                <w:sz w:val="22"/>
              </w:rPr>
              <w:t xml:space="preserve">离析  </w:t>
            </w:r>
          </w:p>
          <w:p w14:paraId="46922BD1">
            <w:pPr>
              <w:spacing w:line="300" w:lineRule="exact"/>
              <w:rPr>
                <w:rFonts w:asciiTheme="minorHAnsi" w:hAnsiTheme="minorHAnsi" w:cstheme="minorHAnsi"/>
                <w:color w:val="auto"/>
                <w:kern w:val="0"/>
                <w:sz w:val="22"/>
              </w:rPr>
            </w:pPr>
            <w:r>
              <w:rPr>
                <w:rFonts w:asciiTheme="minorHAnsi" w:hAnsiTheme="minorHAnsi" w:cstheme="minorHAnsi"/>
                <w:color w:val="auto"/>
                <w:sz w:val="22"/>
              </w:rPr>
              <w:t>粉末中一种或多种成分的不良分离，如按颗粒大小或化学成分的分离。</w:t>
            </w:r>
          </w:p>
          <w:p w14:paraId="70A7D3C1">
            <w:pPr>
              <w:spacing w:line="300" w:lineRule="exact"/>
              <w:rPr>
                <w:rFonts w:asciiTheme="minorHAnsi" w:hAnsiTheme="minorHAnsi" w:cstheme="minorHAnsi"/>
                <w:color w:val="auto"/>
                <w:kern w:val="0"/>
                <w:sz w:val="22"/>
              </w:rPr>
            </w:pPr>
          </w:p>
        </w:tc>
      </w:tr>
      <w:tr w14:paraId="5BA3E379">
        <w:tblPrEx>
          <w:tblCellMar>
            <w:top w:w="0" w:type="dxa"/>
            <w:left w:w="108" w:type="dxa"/>
            <w:bottom w:w="0" w:type="dxa"/>
            <w:right w:w="108" w:type="dxa"/>
          </w:tblCellMar>
        </w:tblPrEx>
        <w:trPr>
          <w:trHeight w:val="375" w:hRule="atLeast"/>
          <w:jc w:val="center"/>
        </w:trPr>
        <w:tc>
          <w:tcPr>
            <w:tcW w:w="4565" w:type="dxa"/>
            <w:gridSpan w:val="3"/>
            <w:tcBorders>
              <w:top w:val="single" w:color="auto" w:sz="4" w:space="0"/>
              <w:left w:val="single" w:color="auto" w:sz="4" w:space="0"/>
              <w:bottom w:val="single" w:color="auto" w:sz="4" w:space="0"/>
              <w:right w:val="single" w:color="auto" w:sz="4" w:space="0"/>
            </w:tcBorders>
            <w:shd w:val="clear" w:color="auto" w:fill="auto"/>
          </w:tcPr>
          <w:p w14:paraId="778317CA">
            <w:pPr>
              <w:spacing w:line="300" w:lineRule="exact"/>
              <w:rPr>
                <w:rFonts w:asciiTheme="minorHAnsi" w:hAnsiTheme="minorHAnsi" w:cstheme="minorHAnsi"/>
                <w:b/>
                <w:bCs/>
                <w:color w:val="auto"/>
                <w:kern w:val="0"/>
                <w:sz w:val="22"/>
              </w:rPr>
            </w:pPr>
          </w:p>
        </w:tc>
        <w:tc>
          <w:tcPr>
            <w:tcW w:w="6912" w:type="dxa"/>
            <w:gridSpan w:val="2"/>
            <w:tcBorders>
              <w:top w:val="single" w:color="auto" w:sz="4" w:space="0"/>
              <w:left w:val="single" w:color="auto" w:sz="4" w:space="0"/>
              <w:bottom w:val="single" w:color="auto" w:sz="4" w:space="0"/>
              <w:right w:val="single" w:color="000000" w:sz="4" w:space="0"/>
            </w:tcBorders>
            <w:shd w:val="clear" w:color="auto" w:fill="auto"/>
          </w:tcPr>
          <w:p w14:paraId="7B34A993">
            <w:pPr>
              <w:spacing w:line="300" w:lineRule="exact"/>
              <w:rPr>
                <w:rFonts w:asciiTheme="minorHAnsi" w:hAnsiTheme="minorHAnsi" w:cstheme="minorHAnsi"/>
                <w:color w:val="auto"/>
                <w:kern w:val="0"/>
                <w:sz w:val="22"/>
              </w:rPr>
            </w:pPr>
            <w:r>
              <w:rPr>
                <w:rFonts w:asciiTheme="minorHAnsi" w:hAnsiTheme="minorHAnsi" w:cstheme="minorHAnsi"/>
                <w:b/>
                <w:bCs/>
                <w:color w:val="auto"/>
                <w:kern w:val="0"/>
                <w:sz w:val="22"/>
              </w:rPr>
              <w:t>3.2新增22条术语，拆分2条术语，删除3条术语.</w:t>
            </w:r>
          </w:p>
        </w:tc>
        <w:tc>
          <w:tcPr>
            <w:tcW w:w="4111" w:type="dxa"/>
            <w:gridSpan w:val="2"/>
            <w:tcBorders>
              <w:top w:val="single" w:color="auto" w:sz="4" w:space="0"/>
              <w:left w:val="single" w:color="000000" w:sz="4" w:space="0"/>
              <w:bottom w:val="single" w:color="auto" w:sz="4" w:space="0"/>
              <w:right w:val="single" w:color="auto" w:sz="4" w:space="0"/>
            </w:tcBorders>
            <w:shd w:val="clear" w:color="auto" w:fill="auto"/>
          </w:tcPr>
          <w:p w14:paraId="2E5A5CB9">
            <w:pPr>
              <w:spacing w:line="300" w:lineRule="exact"/>
              <w:rPr>
                <w:rFonts w:asciiTheme="minorHAnsi" w:hAnsiTheme="minorHAnsi" w:cstheme="minorHAnsi"/>
                <w:color w:val="auto"/>
                <w:kern w:val="0"/>
                <w:sz w:val="22"/>
              </w:rPr>
            </w:pPr>
          </w:p>
        </w:tc>
      </w:tr>
      <w:tr w14:paraId="699E3DDE">
        <w:tblPrEx>
          <w:tblCellMar>
            <w:top w:w="0" w:type="dxa"/>
            <w:left w:w="108" w:type="dxa"/>
            <w:bottom w:w="0" w:type="dxa"/>
            <w:right w:w="108" w:type="dxa"/>
          </w:tblCellMar>
        </w:tblPrEx>
        <w:trPr>
          <w:trHeight w:val="3298"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395A70A0">
            <w:pPr>
              <w:spacing w:line="300" w:lineRule="exact"/>
              <w:rPr>
                <w:rFonts w:asciiTheme="minorHAnsi" w:hAnsiTheme="minorHAnsi" w:cstheme="minorHAnsi"/>
                <w:color w:val="auto"/>
                <w:kern w:val="0"/>
                <w:sz w:val="22"/>
              </w:rPr>
            </w:pPr>
            <w:r>
              <w:rPr>
                <w:rFonts w:asciiTheme="minorHAnsi" w:hAnsiTheme="minorHAnsi" w:cstheme="minorHAnsi"/>
                <w:color w:val="auto"/>
                <w:sz w:val="22"/>
              </w:rPr>
              <w:t>3.2.4</w:t>
            </w:r>
          </w:p>
          <w:p w14:paraId="5D9F7188">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拆分</w:t>
            </w: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48D34C37">
            <w:pPr>
              <w:snapToGrid w:val="0"/>
              <w:spacing w:before="120" w:after="120" w:line="300" w:lineRule="exact"/>
              <w:jc w:val="left"/>
              <w:rPr>
                <w:rFonts w:asciiTheme="minorHAnsi" w:hAnsiTheme="minorHAnsi" w:cstheme="minorHAnsi"/>
                <w:b/>
                <w:color w:val="auto"/>
                <w:kern w:val="0"/>
                <w:sz w:val="22"/>
              </w:rPr>
            </w:pPr>
            <w:r>
              <w:rPr>
                <w:rFonts w:asciiTheme="minorHAnsi" w:hAnsiTheme="minorHAnsi" w:cstheme="minorHAnsi"/>
                <w:b/>
                <w:color w:val="auto"/>
                <w:sz w:val="22"/>
              </w:rPr>
              <w:t xml:space="preserve">base plate (lower coupler plate)  </w:t>
            </w:r>
          </w:p>
          <w:p w14:paraId="6D1FC3B4">
            <w:pPr>
              <w:snapToGrid w:val="0"/>
              <w:spacing w:before="120" w:after="120" w:line="300" w:lineRule="exact"/>
              <w:jc w:val="left"/>
              <w:rPr>
                <w:rFonts w:asciiTheme="minorHAnsi" w:hAnsiTheme="minorHAnsi" w:cstheme="minorHAnsi"/>
                <w:color w:val="auto"/>
                <w:kern w:val="0"/>
                <w:sz w:val="22"/>
              </w:rPr>
            </w:pPr>
            <w:r>
              <w:rPr>
                <w:rFonts w:asciiTheme="minorHAnsi" w:hAnsiTheme="minorHAnsi" w:cstheme="minorHAnsi"/>
                <w:color w:val="auto"/>
                <w:sz w:val="22"/>
              </w:rPr>
              <w:t xml:space="preserve">part of the tool set adaptor transmitting the movement of the machine lower ram to the tool set  </w:t>
            </w:r>
          </w:p>
          <w:p w14:paraId="76A3B58A">
            <w:pPr>
              <w:widowControl/>
              <w:snapToGrid w:val="0"/>
              <w:spacing w:line="300" w:lineRule="exact"/>
              <w:jc w:val="left"/>
              <w:rPr>
                <w:rFonts w:asciiTheme="minorHAnsi" w:hAnsiTheme="minorHAnsi" w:cstheme="minorHAnsi"/>
                <w:color w:val="auto"/>
                <w:sz w:val="22"/>
              </w:rPr>
            </w:pPr>
            <w:r>
              <w:rPr>
                <w:rFonts w:asciiTheme="minorHAnsi" w:hAnsiTheme="minorHAnsi" w:cstheme="minorHAnsi"/>
                <w:color w:val="auto"/>
                <w:sz w:val="22"/>
              </w:rPr>
              <w:t>See Figure 13</w:t>
            </w:r>
          </w:p>
          <w:p w14:paraId="017877BB">
            <w:pPr>
              <w:spacing w:line="300" w:lineRule="exact"/>
              <w:rPr>
                <w:rFonts w:asciiTheme="minorHAnsi" w:hAnsiTheme="minorHAnsi" w:cstheme="minorHAnsi"/>
                <w:color w:val="auto"/>
                <w:sz w:val="22"/>
              </w:rPr>
            </w:pP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0595F982">
            <w:pPr>
              <w:spacing w:line="300" w:lineRule="exact"/>
              <w:jc w:val="left"/>
              <w:rPr>
                <w:rFonts w:asciiTheme="minorHAnsi" w:hAnsiTheme="minorHAnsi" w:cstheme="minorHAnsi"/>
                <w:color w:val="auto"/>
                <w:sz w:val="22"/>
              </w:rPr>
            </w:pPr>
            <w:r>
              <w:rPr>
                <w:rFonts w:asciiTheme="minorHAnsi" w:hAnsiTheme="minorHAnsi" w:cstheme="minorHAnsi"/>
                <w:color w:val="auto"/>
                <w:sz w:val="22"/>
              </w:rPr>
              <w:t>底板（base plate,lower coupler plate）：将压机下压头的运动传递给模架接合器的部件（见图13）。</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6591A905">
            <w:pPr>
              <w:spacing w:line="300" w:lineRule="exact"/>
              <w:rPr>
                <w:rFonts w:asciiTheme="minorHAnsi" w:hAnsiTheme="minorHAnsi" w:cstheme="minorHAnsi"/>
                <w:b/>
                <w:color w:val="auto"/>
                <w:kern w:val="0"/>
                <w:sz w:val="22"/>
              </w:rPr>
            </w:pPr>
            <w:r>
              <w:rPr>
                <w:rFonts w:asciiTheme="minorHAnsi" w:hAnsiTheme="minorHAnsi" w:cstheme="minorHAnsi"/>
                <w:b/>
                <w:color w:val="auto"/>
                <w:sz w:val="22"/>
              </w:rPr>
              <w:t>base plate</w:t>
            </w:r>
          </w:p>
          <w:p w14:paraId="200E2461">
            <w:pPr>
              <w:spacing w:line="300" w:lineRule="exact"/>
              <w:rPr>
                <w:rFonts w:asciiTheme="minorHAnsi" w:hAnsiTheme="minorHAnsi" w:cstheme="minorHAnsi"/>
                <w:color w:val="auto"/>
                <w:kern w:val="0"/>
                <w:sz w:val="22"/>
              </w:rPr>
            </w:pPr>
            <w:r>
              <w:rPr>
                <w:rFonts w:asciiTheme="minorHAnsi" w:hAnsiTheme="minorHAnsi" w:cstheme="minorHAnsi"/>
                <w:color w:val="auto"/>
                <w:sz w:val="22"/>
              </w:rPr>
              <w:t>part of the tool set adaptor, transferring the force onto the bottom punch(es) into the machine-body and</w:t>
            </w:r>
          </w:p>
          <w:p w14:paraId="5996659E">
            <w:pPr>
              <w:spacing w:line="300" w:lineRule="exact"/>
              <w:rPr>
                <w:rFonts w:asciiTheme="minorHAnsi" w:hAnsiTheme="minorHAnsi" w:cstheme="minorHAnsi"/>
                <w:color w:val="auto"/>
                <w:kern w:val="0"/>
                <w:sz w:val="22"/>
              </w:rPr>
            </w:pPr>
            <w:r>
              <w:rPr>
                <w:rFonts w:asciiTheme="minorHAnsi" w:hAnsiTheme="minorHAnsi" w:cstheme="minorHAnsi"/>
                <w:color w:val="auto"/>
                <w:sz w:val="22"/>
              </w:rPr>
              <w:t>providing the guide for the lower platens and die</w:t>
            </w:r>
          </w:p>
          <w:p w14:paraId="79C54A11">
            <w:pPr>
              <w:widowControl/>
              <w:spacing w:line="300" w:lineRule="exact"/>
              <w:jc w:val="left"/>
              <w:rPr>
                <w:rFonts w:asciiTheme="minorHAnsi" w:hAnsiTheme="minorHAnsi" w:cstheme="minorHAnsi"/>
                <w:color w:val="auto"/>
                <w:sz w:val="22"/>
              </w:rPr>
            </w:pPr>
            <w:r>
              <w:rPr>
                <w:rFonts w:asciiTheme="minorHAnsi" w:hAnsiTheme="minorHAnsi" w:cstheme="minorHAnsi"/>
                <w:color w:val="auto"/>
                <w:sz w:val="22"/>
              </w:rPr>
              <w:t>Note 1 to entry: See Figures 11 and 12.</w:t>
            </w:r>
          </w:p>
          <w:p w14:paraId="20B76F0E">
            <w:pPr>
              <w:spacing w:line="300" w:lineRule="exact"/>
              <w:rPr>
                <w:rFonts w:asciiTheme="minorHAnsi" w:hAnsiTheme="minorHAnsi" w:cstheme="minorHAnsi"/>
                <w:color w:val="auto"/>
                <w:kern w:val="0"/>
                <w:sz w:val="22"/>
              </w:rPr>
            </w:pPr>
          </w:p>
        </w:tc>
        <w:tc>
          <w:tcPr>
            <w:tcW w:w="3118" w:type="dxa"/>
            <w:tcBorders>
              <w:top w:val="single" w:color="auto" w:sz="4" w:space="0"/>
              <w:left w:val="single" w:color="auto" w:sz="4" w:space="0"/>
              <w:bottom w:val="single" w:color="auto" w:sz="4" w:space="0"/>
              <w:right w:val="single" w:color="auto" w:sz="4" w:space="0"/>
            </w:tcBorders>
            <w:shd w:val="clear" w:color="auto" w:fill="DEEBF6"/>
          </w:tcPr>
          <w:p w14:paraId="382C2FBF">
            <w:pPr>
              <w:pStyle w:val="9"/>
              <w:spacing w:line="300" w:lineRule="exact"/>
              <w:ind w:firstLine="420"/>
              <w:rPr>
                <w:rFonts w:asciiTheme="minorHAnsi" w:hAnsiTheme="minorHAnsi" w:cstheme="minorHAnsi"/>
                <w:color w:val="auto"/>
                <w:sz w:val="22"/>
              </w:rPr>
            </w:pPr>
            <w:r>
              <w:rPr>
                <w:rFonts w:asciiTheme="minorHAnsi" w:hAnsiTheme="minorHAnsi" w:cstheme="minorHAnsi"/>
                <w:b/>
                <w:color w:val="auto"/>
                <w:sz w:val="22"/>
              </w:rPr>
              <w:t>底板  base plate</w:t>
            </w:r>
          </w:p>
          <w:p w14:paraId="12308D0E">
            <w:pPr>
              <w:spacing w:line="300" w:lineRule="exact"/>
              <w:ind w:firstLine="440" w:firstLineChars="200"/>
              <w:rPr>
                <w:rFonts w:asciiTheme="minorHAnsi" w:hAnsiTheme="minorHAnsi" w:cstheme="minorHAnsi"/>
                <w:color w:val="auto"/>
                <w:sz w:val="22"/>
              </w:rPr>
            </w:pPr>
            <w:r>
              <w:rPr>
                <w:rFonts w:asciiTheme="minorHAnsi" w:hAnsiTheme="minorHAnsi" w:cstheme="minorHAnsi"/>
                <w:color w:val="auto"/>
                <w:sz w:val="22"/>
              </w:rPr>
              <w:t>模架接合器的部件，用于将压力</w:t>
            </w:r>
            <w:r>
              <w:rPr>
                <w:rFonts w:hint="eastAsia" w:asciiTheme="minorHAnsi" w:hAnsiTheme="minorHAnsi" w:cstheme="minorHAnsi"/>
                <w:color w:val="auto"/>
                <w:sz w:val="22"/>
              </w:rPr>
              <w:t>经</w:t>
            </w:r>
            <w:r>
              <w:rPr>
                <w:rFonts w:asciiTheme="minorHAnsi" w:hAnsiTheme="minorHAnsi" w:cstheme="minorHAnsi"/>
                <w:color w:val="auto"/>
                <w:sz w:val="22"/>
              </w:rPr>
              <w:t>下模冲</w:t>
            </w:r>
            <w:r>
              <w:rPr>
                <w:rFonts w:hint="eastAsia" w:asciiTheme="minorHAnsi" w:hAnsiTheme="minorHAnsi" w:cstheme="minorHAnsi"/>
                <w:color w:val="auto"/>
                <w:sz w:val="22"/>
              </w:rPr>
              <w:t>传递到</w:t>
            </w:r>
            <w:r>
              <w:rPr>
                <w:rFonts w:asciiTheme="minorHAnsi" w:hAnsiTheme="minorHAnsi" w:cstheme="minorHAnsi"/>
                <w:color w:val="auto"/>
                <w:sz w:val="22"/>
              </w:rPr>
              <w:t>压机机身，同时为下模板和阴模提供导向。</w:t>
            </w:r>
          </w:p>
          <w:p w14:paraId="6B9FFD51">
            <w:pPr>
              <w:spacing w:line="300" w:lineRule="exact"/>
              <w:ind w:left="480"/>
              <w:rPr>
                <w:rFonts w:asciiTheme="minorHAnsi" w:hAnsiTheme="minorHAnsi" w:cstheme="minorHAnsi"/>
                <w:color w:val="auto"/>
                <w:kern w:val="0"/>
                <w:sz w:val="22"/>
              </w:rPr>
            </w:pPr>
            <w:r>
              <w:rPr>
                <w:rFonts w:hint="eastAsia" w:asciiTheme="minorHAnsi" w:hAnsiTheme="minorHAnsi" w:cstheme="minorHAnsi"/>
                <w:color w:val="auto"/>
                <w:sz w:val="22"/>
              </w:rPr>
              <w:t>注1：</w:t>
            </w:r>
            <w:r>
              <w:rPr>
                <w:rFonts w:asciiTheme="minorHAnsi" w:hAnsiTheme="minorHAnsi" w:cstheme="minorHAnsi"/>
                <w:color w:val="auto"/>
                <w:sz w:val="22"/>
              </w:rPr>
              <w:t>见</w:t>
            </w:r>
            <w:r>
              <w:rPr>
                <w:rFonts w:hint="eastAsia" w:asciiTheme="minorHAnsi" w:hAnsiTheme="minorHAnsi" w:cstheme="minorHAnsi"/>
                <w:color w:val="auto"/>
                <w:sz w:val="22"/>
              </w:rPr>
              <w:t>图1</w:t>
            </w:r>
            <w:r>
              <w:rPr>
                <w:rFonts w:asciiTheme="minorHAnsi" w:hAnsiTheme="minorHAnsi" w:cstheme="minorHAnsi"/>
                <w:color w:val="auto"/>
                <w:sz w:val="22"/>
              </w:rPr>
              <w:t>1和图12。</w:t>
            </w:r>
          </w:p>
          <w:p w14:paraId="73C60535">
            <w:pPr>
              <w:spacing w:line="300" w:lineRule="exact"/>
              <w:rPr>
                <w:rFonts w:asciiTheme="minorHAnsi" w:hAnsiTheme="minorHAnsi" w:cstheme="minorHAnsi"/>
                <w:color w:val="auto"/>
                <w:kern w:val="0"/>
                <w:sz w:val="22"/>
              </w:rPr>
            </w:pPr>
          </w:p>
        </w:tc>
        <w:tc>
          <w:tcPr>
            <w:tcW w:w="2126" w:type="dxa"/>
            <w:tcBorders>
              <w:top w:val="single" w:color="auto" w:sz="4" w:space="0"/>
              <w:left w:val="single" w:color="auto" w:sz="4" w:space="0"/>
              <w:bottom w:val="single" w:color="auto" w:sz="4" w:space="0"/>
              <w:right w:val="single" w:color="auto" w:sz="4" w:space="0"/>
            </w:tcBorders>
          </w:tcPr>
          <w:p w14:paraId="0EC2BAF7">
            <w:pPr>
              <w:spacing w:line="300" w:lineRule="exact"/>
              <w:rPr>
                <w:rFonts w:asciiTheme="minorHAnsi" w:hAnsiTheme="minorHAnsi" w:cstheme="minorHAnsi"/>
                <w:color w:val="auto"/>
                <w:kern w:val="0"/>
                <w:sz w:val="22"/>
              </w:rPr>
            </w:pPr>
            <w:r>
              <w:rPr>
                <w:rFonts w:asciiTheme="minorHAnsi" w:hAnsiTheme="minorHAnsi" w:cstheme="minorHAnsi"/>
                <w:color w:val="auto"/>
                <w:sz w:val="22"/>
              </w:rPr>
              <w:t>底板</w:t>
            </w:r>
          </w:p>
          <w:p w14:paraId="5F8B612F">
            <w:pPr>
              <w:spacing w:line="300" w:lineRule="exact"/>
              <w:rPr>
                <w:rFonts w:asciiTheme="minorHAnsi" w:hAnsiTheme="minorHAnsi" w:cstheme="minorHAnsi"/>
                <w:color w:val="auto"/>
                <w:kern w:val="0"/>
                <w:sz w:val="22"/>
              </w:rPr>
            </w:pPr>
            <w:r>
              <w:rPr>
                <w:rFonts w:asciiTheme="minorHAnsi" w:hAnsiTheme="minorHAnsi" w:cstheme="minorHAnsi"/>
                <w:color w:val="auto"/>
                <w:sz w:val="22"/>
              </w:rPr>
              <w:t>将压机下压头的运动传递给模架接合器的部件，并且为下固定板和阴模提供导向。</w:t>
            </w:r>
          </w:p>
          <w:p w14:paraId="011C1E8C">
            <w:pPr>
              <w:widowControl/>
              <w:spacing w:line="300" w:lineRule="exact"/>
              <w:jc w:val="left"/>
              <w:rPr>
                <w:rFonts w:asciiTheme="minorHAnsi" w:hAnsiTheme="minorHAnsi" w:cstheme="minorHAnsi"/>
                <w:color w:val="auto"/>
                <w:sz w:val="22"/>
              </w:rPr>
            </w:pPr>
            <w:r>
              <w:rPr>
                <w:rFonts w:hint="eastAsia" w:asciiTheme="minorHAnsi" w:hAnsiTheme="minorHAnsi" w:cstheme="minorHAnsi"/>
                <w:color w:val="auto"/>
                <w:sz w:val="22"/>
              </w:rPr>
              <w:t>注1：</w:t>
            </w:r>
            <w:r>
              <w:rPr>
                <w:rFonts w:asciiTheme="minorHAnsi" w:hAnsiTheme="minorHAnsi" w:cstheme="minorHAnsi"/>
                <w:color w:val="auto"/>
                <w:sz w:val="22"/>
              </w:rPr>
              <w:t>见图11和图12。</w:t>
            </w:r>
          </w:p>
          <w:p w14:paraId="2ECC8580">
            <w:pPr>
              <w:spacing w:line="300" w:lineRule="exact"/>
              <w:rPr>
                <w:rFonts w:asciiTheme="minorHAnsi" w:hAnsiTheme="minorHAnsi" w:cstheme="minorHAnsi"/>
                <w:color w:val="auto"/>
                <w:kern w:val="0"/>
                <w:sz w:val="22"/>
              </w:rPr>
            </w:pPr>
          </w:p>
        </w:tc>
        <w:tc>
          <w:tcPr>
            <w:tcW w:w="1985" w:type="dxa"/>
            <w:tcBorders>
              <w:top w:val="single" w:color="auto" w:sz="4" w:space="0"/>
              <w:left w:val="single" w:color="auto" w:sz="4" w:space="0"/>
              <w:bottom w:val="single" w:color="auto" w:sz="4" w:space="0"/>
              <w:right w:val="single" w:color="auto" w:sz="4" w:space="0"/>
            </w:tcBorders>
          </w:tcPr>
          <w:p w14:paraId="772A5285">
            <w:pPr>
              <w:spacing w:line="300" w:lineRule="exact"/>
              <w:rPr>
                <w:rFonts w:asciiTheme="minorHAnsi" w:hAnsiTheme="minorHAnsi" w:cstheme="minorHAnsi"/>
                <w:color w:val="auto"/>
                <w:kern w:val="0"/>
                <w:sz w:val="22"/>
              </w:rPr>
            </w:pPr>
            <w:r>
              <w:rPr>
                <w:rFonts w:asciiTheme="minorHAnsi" w:hAnsiTheme="minorHAnsi" w:cstheme="minorHAnsi"/>
                <w:color w:val="auto"/>
                <w:sz w:val="22"/>
              </w:rPr>
              <w:t xml:space="preserve">底板 </w:t>
            </w:r>
          </w:p>
          <w:p w14:paraId="2DACA78D">
            <w:pPr>
              <w:widowControl/>
              <w:spacing w:line="300" w:lineRule="exact"/>
              <w:jc w:val="left"/>
              <w:rPr>
                <w:rFonts w:asciiTheme="minorHAnsi" w:hAnsiTheme="minorHAnsi" w:cstheme="minorHAnsi"/>
                <w:color w:val="auto"/>
                <w:sz w:val="22"/>
              </w:rPr>
            </w:pPr>
            <w:r>
              <w:rPr>
                <w:rFonts w:asciiTheme="minorHAnsi" w:hAnsiTheme="minorHAnsi" w:cstheme="minorHAnsi"/>
                <w:color w:val="auto"/>
                <w:sz w:val="22"/>
              </w:rPr>
              <w:t>将力传递到下模冲，进入机床，并为下台板和阴模提供导向的模架接合器部件(见图13和14)。</w:t>
            </w:r>
          </w:p>
          <w:p w14:paraId="53A48564">
            <w:pPr>
              <w:spacing w:line="300" w:lineRule="exact"/>
              <w:rPr>
                <w:rFonts w:asciiTheme="minorHAnsi" w:hAnsiTheme="minorHAnsi" w:cstheme="minorHAnsi"/>
                <w:color w:val="auto"/>
                <w:kern w:val="0"/>
                <w:sz w:val="22"/>
              </w:rPr>
            </w:pPr>
          </w:p>
        </w:tc>
      </w:tr>
      <w:tr w14:paraId="098B884F">
        <w:tblPrEx>
          <w:tblCellMar>
            <w:top w:w="0" w:type="dxa"/>
            <w:left w:w="108" w:type="dxa"/>
            <w:bottom w:w="0" w:type="dxa"/>
            <w:right w:w="108" w:type="dxa"/>
          </w:tblCellMar>
        </w:tblPrEx>
        <w:trPr>
          <w:trHeight w:val="1212"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76B8671B">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3.2.6</w:t>
            </w:r>
          </w:p>
          <w:p w14:paraId="1B586182">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新增</w:t>
            </w: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28A184E1">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57737E9C">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04CCFC78">
            <w:pPr>
              <w:spacing w:line="300" w:lineRule="exact"/>
              <w:rPr>
                <w:rFonts w:asciiTheme="minorHAnsi" w:hAnsiTheme="minorHAnsi" w:cstheme="minorHAnsi"/>
                <w:b/>
                <w:bCs/>
                <w:color w:val="auto"/>
                <w:kern w:val="0"/>
                <w:sz w:val="22"/>
              </w:rPr>
            </w:pPr>
            <w:r>
              <w:rPr>
                <w:rFonts w:asciiTheme="minorHAnsi" w:hAnsiTheme="minorHAnsi" w:cstheme="minorHAnsi"/>
                <w:b/>
                <w:bCs/>
                <w:color w:val="auto"/>
                <w:kern w:val="0"/>
                <w:sz w:val="22"/>
              </w:rPr>
              <w:t>brown body</w:t>
            </w:r>
          </w:p>
          <w:p w14:paraId="46FE3A3F">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&lt;MIM terminology&gt; debinded body ready to be sintered</w:t>
            </w:r>
          </w:p>
        </w:tc>
        <w:tc>
          <w:tcPr>
            <w:tcW w:w="3118" w:type="dxa"/>
            <w:tcBorders>
              <w:top w:val="single" w:color="auto" w:sz="4" w:space="0"/>
              <w:left w:val="single" w:color="auto" w:sz="4" w:space="0"/>
              <w:bottom w:val="single" w:color="auto" w:sz="4" w:space="0"/>
              <w:right w:val="single" w:color="auto" w:sz="4" w:space="0"/>
            </w:tcBorders>
            <w:shd w:val="clear" w:color="auto" w:fill="DEEBF6"/>
          </w:tcPr>
          <w:p w14:paraId="220D54A3">
            <w:pPr>
              <w:pStyle w:val="58"/>
              <w:spacing w:line="300" w:lineRule="exact"/>
              <w:rPr>
                <w:rStyle w:val="54"/>
                <w:rFonts w:asciiTheme="minorHAnsi" w:hAnsiTheme="minorHAnsi" w:cstheme="minorHAnsi"/>
                <w:b w:val="0"/>
                <w:bCs w:val="0"/>
                <w:color w:val="auto"/>
                <w:kern w:val="0"/>
              </w:rPr>
            </w:pPr>
            <w:r>
              <w:rPr>
                <w:rFonts w:asciiTheme="minorHAnsi" w:hAnsiTheme="minorHAnsi" w:cstheme="minorHAnsi"/>
                <w:color w:val="auto"/>
                <w:kern w:val="0"/>
                <w:sz w:val="22"/>
              </w:rPr>
              <w:t>棕坯</w:t>
            </w:r>
          </w:p>
          <w:p w14:paraId="7474AB35">
            <w:pPr>
              <w:spacing w:line="300" w:lineRule="exact"/>
              <w:ind w:firstLine="440" w:firstLineChars="200"/>
              <w:rPr>
                <w:rStyle w:val="54"/>
                <w:rFonts w:asciiTheme="minorHAnsi" w:hAnsiTheme="minorHAnsi" w:cstheme="minorHAnsi"/>
                <w:b w:val="0"/>
                <w:bCs w:val="0"/>
                <w:color w:val="auto"/>
                <w:kern w:val="0"/>
              </w:rPr>
            </w:pPr>
            <w:r>
              <w:rPr>
                <w:rStyle w:val="54"/>
                <w:rFonts w:asciiTheme="minorHAnsi" w:hAnsiTheme="minorHAnsi" w:cstheme="minorHAnsi"/>
                <w:color w:val="auto"/>
                <w:kern w:val="0"/>
              </w:rPr>
              <w:t>&lt;金属注射成形术语&gt;</w:t>
            </w:r>
          </w:p>
          <w:p w14:paraId="3AD900B9">
            <w:pPr>
              <w:spacing w:line="300" w:lineRule="exact"/>
              <w:ind w:firstLine="440" w:firstLineChars="200"/>
              <w:rPr>
                <w:rFonts w:asciiTheme="minorHAnsi" w:hAnsiTheme="minorHAnsi" w:cstheme="minorHAnsi"/>
                <w:color w:val="auto"/>
                <w:kern w:val="0"/>
                <w:sz w:val="22"/>
              </w:rPr>
            </w:pPr>
            <w:r>
              <w:rPr>
                <w:rFonts w:asciiTheme="minorHAnsi" w:hAnsiTheme="minorHAnsi" w:cstheme="minorHAnsi"/>
                <w:color w:val="auto"/>
                <w:kern w:val="0"/>
                <w:sz w:val="22"/>
              </w:rPr>
              <w:t>已脱脂、待烧结的坯体。</w:t>
            </w:r>
          </w:p>
          <w:p w14:paraId="31FD8569">
            <w:pPr>
              <w:spacing w:line="300" w:lineRule="exact"/>
              <w:rPr>
                <w:rFonts w:asciiTheme="minorHAnsi" w:hAnsiTheme="minorHAnsi" w:cstheme="minorHAnsi"/>
                <w:color w:val="auto"/>
                <w:kern w:val="0"/>
                <w:sz w:val="22"/>
              </w:rPr>
            </w:pPr>
          </w:p>
        </w:tc>
        <w:tc>
          <w:tcPr>
            <w:tcW w:w="2126" w:type="dxa"/>
            <w:tcBorders>
              <w:top w:val="single" w:color="auto" w:sz="4" w:space="0"/>
              <w:left w:val="single" w:color="auto" w:sz="4" w:space="0"/>
              <w:bottom w:val="single" w:color="auto" w:sz="4" w:space="0"/>
              <w:right w:val="single" w:color="auto" w:sz="4" w:space="0"/>
            </w:tcBorders>
          </w:tcPr>
          <w:p w14:paraId="65F3DC91">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素坯</w:t>
            </w:r>
          </w:p>
          <w:p w14:paraId="57619532">
            <w:pPr>
              <w:spacing w:line="300" w:lineRule="exact"/>
              <w:rPr>
                <w:rFonts w:asciiTheme="minorHAnsi" w:hAnsiTheme="minorHAnsi" w:cstheme="minorHAnsi"/>
                <w:color w:val="auto"/>
                <w:sz w:val="22"/>
              </w:rPr>
            </w:pPr>
            <w:r>
              <w:rPr>
                <w:rFonts w:asciiTheme="minorHAnsi" w:hAnsiTheme="minorHAnsi" w:cstheme="minorHAnsi"/>
                <w:color w:val="auto"/>
                <w:kern w:val="0"/>
                <w:sz w:val="22"/>
              </w:rPr>
              <w:t>脱模后待烧结的坯。</w:t>
            </w:r>
          </w:p>
        </w:tc>
        <w:tc>
          <w:tcPr>
            <w:tcW w:w="1985" w:type="dxa"/>
            <w:tcBorders>
              <w:top w:val="single" w:color="auto" w:sz="4" w:space="0"/>
              <w:left w:val="single" w:color="auto" w:sz="4" w:space="0"/>
              <w:bottom w:val="single" w:color="auto" w:sz="4" w:space="0"/>
              <w:right w:val="single" w:color="auto" w:sz="4" w:space="0"/>
            </w:tcBorders>
          </w:tcPr>
          <w:p w14:paraId="55A575EE">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素坯</w:t>
            </w:r>
          </w:p>
          <w:p w14:paraId="47AA1256">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准备烧结的脱脂体。</w:t>
            </w:r>
          </w:p>
          <w:p w14:paraId="628E5624">
            <w:pPr>
              <w:spacing w:line="300" w:lineRule="exact"/>
              <w:rPr>
                <w:rFonts w:asciiTheme="minorHAnsi" w:hAnsiTheme="minorHAnsi" w:cstheme="minorHAnsi"/>
                <w:color w:val="auto"/>
                <w:kern w:val="0"/>
                <w:sz w:val="22"/>
              </w:rPr>
            </w:pPr>
          </w:p>
        </w:tc>
      </w:tr>
      <w:tr w14:paraId="2547D7E1">
        <w:tblPrEx>
          <w:tblCellMar>
            <w:top w:w="0" w:type="dxa"/>
            <w:left w:w="108" w:type="dxa"/>
            <w:bottom w:w="0" w:type="dxa"/>
            <w:right w:w="108" w:type="dxa"/>
          </w:tblCellMar>
        </w:tblPrEx>
        <w:trPr>
          <w:trHeight w:val="1804"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48F90163">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3.2.15</w:t>
            </w:r>
          </w:p>
          <w:p w14:paraId="13B6FFC5">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新增</w:t>
            </w: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6E7EE302">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14D7B7A5">
            <w:pPr>
              <w:spacing w:line="300" w:lineRule="exact"/>
              <w:rPr>
                <w:rFonts w:asciiTheme="minorHAnsi" w:hAnsiTheme="minorHAnsi" w:cstheme="minorHAnsi"/>
                <w:color w:val="auto"/>
                <w:sz w:val="22"/>
              </w:rPr>
            </w:pP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32ACE86B">
            <w:pPr>
              <w:spacing w:line="300" w:lineRule="exact"/>
              <w:rPr>
                <w:rFonts w:asciiTheme="minorHAnsi" w:hAnsiTheme="minorHAnsi" w:cstheme="minorHAnsi"/>
                <w:b/>
                <w:bCs/>
                <w:color w:val="auto"/>
                <w:kern w:val="0"/>
                <w:sz w:val="22"/>
              </w:rPr>
            </w:pPr>
            <w:r>
              <w:rPr>
                <w:rFonts w:asciiTheme="minorHAnsi" w:hAnsiTheme="minorHAnsi" w:cstheme="minorHAnsi"/>
                <w:b/>
                <w:bCs/>
                <w:color w:val="auto"/>
                <w:kern w:val="0"/>
                <w:sz w:val="22"/>
              </w:rPr>
              <w:t>compound</w:t>
            </w:r>
          </w:p>
          <w:p w14:paraId="2E5D228B">
            <w:pPr>
              <w:spacing w:line="300" w:lineRule="exact"/>
              <w:rPr>
                <w:rFonts w:asciiTheme="minorHAnsi" w:hAnsiTheme="minorHAnsi" w:cstheme="minorHAnsi"/>
                <w:b/>
                <w:bCs/>
                <w:color w:val="auto"/>
                <w:kern w:val="0"/>
                <w:sz w:val="22"/>
              </w:rPr>
            </w:pPr>
            <w:r>
              <w:rPr>
                <w:rFonts w:asciiTheme="minorHAnsi" w:hAnsiTheme="minorHAnsi" w:cstheme="minorHAnsi"/>
                <w:b/>
                <w:bCs/>
                <w:color w:val="auto"/>
                <w:kern w:val="0"/>
                <w:sz w:val="22"/>
              </w:rPr>
              <w:t>feedstock</w:t>
            </w:r>
          </w:p>
          <w:p w14:paraId="460307E3">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&lt;MIM terminology&gt; mixture of metal powder, binder (3.1.9) and other additives</w:t>
            </w:r>
          </w:p>
        </w:tc>
        <w:tc>
          <w:tcPr>
            <w:tcW w:w="3118" w:type="dxa"/>
            <w:tcBorders>
              <w:top w:val="single" w:color="auto" w:sz="4" w:space="0"/>
              <w:left w:val="single" w:color="auto" w:sz="4" w:space="0"/>
              <w:bottom w:val="single" w:color="auto" w:sz="4" w:space="0"/>
              <w:right w:val="single" w:color="auto" w:sz="4" w:space="0"/>
            </w:tcBorders>
            <w:shd w:val="clear" w:color="auto" w:fill="DEEBF6"/>
          </w:tcPr>
          <w:p w14:paraId="7D525DB0">
            <w:pPr>
              <w:pStyle w:val="58"/>
              <w:spacing w:line="300" w:lineRule="exact"/>
              <w:rPr>
                <w:rStyle w:val="54"/>
                <w:rFonts w:asciiTheme="minorHAnsi" w:hAnsiTheme="minorHAnsi" w:cstheme="minorHAnsi"/>
                <w:b w:val="0"/>
                <w:bCs w:val="0"/>
                <w:color w:val="auto"/>
                <w:kern w:val="0"/>
              </w:rPr>
            </w:pPr>
            <w:r>
              <w:rPr>
                <w:rStyle w:val="54"/>
                <w:rFonts w:asciiTheme="minorHAnsi" w:hAnsiTheme="minorHAnsi" w:cstheme="minorHAnsi"/>
                <w:color w:val="auto"/>
                <w:kern w:val="0"/>
              </w:rPr>
              <w:t>喂料 compound，feedstock</w:t>
            </w:r>
          </w:p>
          <w:p w14:paraId="5BE11B0D">
            <w:pPr>
              <w:spacing w:line="300" w:lineRule="exact"/>
              <w:ind w:firstLine="440" w:firstLineChars="200"/>
              <w:rPr>
                <w:rStyle w:val="54"/>
                <w:rFonts w:asciiTheme="minorHAnsi" w:hAnsiTheme="minorHAnsi" w:cstheme="minorHAnsi"/>
                <w:b w:val="0"/>
                <w:bCs w:val="0"/>
                <w:color w:val="auto"/>
                <w:kern w:val="0"/>
              </w:rPr>
            </w:pPr>
            <w:r>
              <w:rPr>
                <w:rStyle w:val="54"/>
                <w:rFonts w:asciiTheme="minorHAnsi" w:hAnsiTheme="minorHAnsi" w:cstheme="minorHAnsi"/>
                <w:color w:val="auto"/>
                <w:kern w:val="0"/>
              </w:rPr>
              <w:t>&lt;金属注射成形术语&gt;</w:t>
            </w:r>
          </w:p>
          <w:p w14:paraId="65D7B423">
            <w:pPr>
              <w:spacing w:line="300" w:lineRule="exact"/>
              <w:ind w:firstLine="440" w:firstLineChars="200"/>
              <w:rPr>
                <w:rFonts w:asciiTheme="minorHAnsi" w:hAnsiTheme="minorHAnsi" w:cstheme="minorHAnsi"/>
                <w:color w:val="auto"/>
                <w:kern w:val="0"/>
                <w:sz w:val="22"/>
              </w:rPr>
            </w:pPr>
            <w:r>
              <w:rPr>
                <w:rFonts w:asciiTheme="minorHAnsi" w:hAnsiTheme="minorHAnsi" w:cstheme="minorHAnsi"/>
                <w:color w:val="auto"/>
                <w:kern w:val="0"/>
                <w:sz w:val="22"/>
              </w:rPr>
              <w:t>金属粉末、粘结剂（3.1.9）及其他添加剂的混合物</w:t>
            </w:r>
            <w:r>
              <w:rPr>
                <w:rFonts w:hint="eastAsia" w:asciiTheme="minorHAnsi" w:hAnsiTheme="minorHAnsi" w:cstheme="minorHAnsi"/>
                <w:color w:val="auto"/>
                <w:kern w:val="0"/>
                <w:sz w:val="22"/>
              </w:rPr>
              <w:t>。</w:t>
            </w:r>
          </w:p>
          <w:p w14:paraId="1F268A91">
            <w:pPr>
              <w:spacing w:line="300" w:lineRule="exact"/>
              <w:ind w:firstLine="420"/>
              <w:rPr>
                <w:rStyle w:val="54"/>
                <w:rFonts w:asciiTheme="minorHAnsi" w:hAnsiTheme="minorHAnsi" w:cstheme="minorHAnsi"/>
                <w:b w:val="0"/>
                <w:bCs w:val="0"/>
                <w:color w:val="auto"/>
                <w:kern w:val="0"/>
              </w:rPr>
            </w:pPr>
          </w:p>
          <w:p w14:paraId="249EAD13">
            <w:pPr>
              <w:spacing w:line="300" w:lineRule="exact"/>
              <w:rPr>
                <w:rFonts w:asciiTheme="minorHAnsi" w:hAnsiTheme="minorHAnsi" w:cstheme="minorHAnsi"/>
                <w:color w:val="auto"/>
                <w:kern w:val="0"/>
                <w:sz w:val="22"/>
              </w:rPr>
            </w:pPr>
          </w:p>
        </w:tc>
        <w:tc>
          <w:tcPr>
            <w:tcW w:w="2126" w:type="dxa"/>
            <w:tcBorders>
              <w:top w:val="single" w:color="auto" w:sz="4" w:space="0"/>
              <w:left w:val="single" w:color="auto" w:sz="4" w:space="0"/>
              <w:bottom w:val="single" w:color="auto" w:sz="4" w:space="0"/>
              <w:right w:val="single" w:color="auto" w:sz="4" w:space="0"/>
            </w:tcBorders>
          </w:tcPr>
          <w:p w14:paraId="766287EB">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复合原料</w:t>
            </w:r>
          </w:p>
          <w:p w14:paraId="3D05304B">
            <w:pPr>
              <w:spacing w:line="300" w:lineRule="exact"/>
              <w:rPr>
                <w:rFonts w:asciiTheme="minorHAnsi" w:hAnsiTheme="minorHAnsi" w:cstheme="minorHAnsi"/>
                <w:color w:val="auto"/>
                <w:sz w:val="22"/>
              </w:rPr>
            </w:pPr>
            <w:r>
              <w:rPr>
                <w:rFonts w:asciiTheme="minorHAnsi" w:hAnsiTheme="minorHAnsi" w:cstheme="minorHAnsi"/>
                <w:color w:val="auto"/>
                <w:kern w:val="0"/>
                <w:sz w:val="22"/>
              </w:rPr>
              <w:t>&lt;注射成形术语&gt;金属粉末、粘合剂（3.1.9）和其他添加物的混合物。</w:t>
            </w:r>
          </w:p>
        </w:tc>
        <w:tc>
          <w:tcPr>
            <w:tcW w:w="1985" w:type="dxa"/>
            <w:tcBorders>
              <w:top w:val="single" w:color="auto" w:sz="4" w:space="0"/>
              <w:left w:val="single" w:color="auto" w:sz="4" w:space="0"/>
              <w:bottom w:val="single" w:color="auto" w:sz="4" w:space="0"/>
              <w:right w:val="single" w:color="auto" w:sz="4" w:space="0"/>
            </w:tcBorders>
          </w:tcPr>
          <w:p w14:paraId="0B1A72B5">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 xml:space="preserve">混合坯料  </w:t>
            </w:r>
          </w:p>
          <w:p w14:paraId="10AF4BD8">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金属粉末、粘结剂和其他添加剂的混合物。</w:t>
            </w:r>
          </w:p>
          <w:p w14:paraId="2FFD58E3">
            <w:pPr>
              <w:spacing w:line="300" w:lineRule="exact"/>
              <w:rPr>
                <w:rFonts w:asciiTheme="minorHAnsi" w:hAnsiTheme="minorHAnsi" w:cstheme="minorHAnsi"/>
                <w:color w:val="auto"/>
                <w:kern w:val="0"/>
                <w:sz w:val="22"/>
              </w:rPr>
            </w:pPr>
          </w:p>
        </w:tc>
      </w:tr>
      <w:tr w14:paraId="5512665C">
        <w:tblPrEx>
          <w:tblCellMar>
            <w:top w:w="0" w:type="dxa"/>
            <w:left w:w="108" w:type="dxa"/>
            <w:bottom w:w="0" w:type="dxa"/>
            <w:right w:w="108" w:type="dxa"/>
          </w:tblCellMar>
        </w:tblPrEx>
        <w:trPr>
          <w:trHeight w:val="2117"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50319D4B">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3.2.19新增</w:t>
            </w:r>
          </w:p>
          <w:p w14:paraId="1A6C15D3">
            <w:pPr>
              <w:spacing w:line="300" w:lineRule="exact"/>
              <w:rPr>
                <w:rFonts w:asciiTheme="minorHAnsi" w:hAnsiTheme="minorHAnsi" w:cstheme="minorHAnsi"/>
                <w:color w:val="auto"/>
                <w:kern w:val="0"/>
                <w:sz w:val="22"/>
              </w:rPr>
            </w:pP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3F8DEF62">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43255120">
            <w:pPr>
              <w:spacing w:line="300" w:lineRule="exact"/>
              <w:rPr>
                <w:rFonts w:asciiTheme="minorHAnsi" w:hAnsiTheme="minorHAnsi" w:cstheme="minorHAnsi"/>
                <w:color w:val="auto"/>
                <w:sz w:val="22"/>
              </w:rPr>
            </w:pPr>
            <w:r>
              <w:rPr>
                <w:rFonts w:asciiTheme="minorHAnsi" w:hAnsiTheme="minorHAnsi" w:cstheme="minorHAnsi"/>
                <w:color w:val="auto"/>
                <w:sz w:val="22"/>
              </w:rPr>
              <w:t xml:space="preserve">/ </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09A62041">
            <w:pPr>
              <w:spacing w:line="300" w:lineRule="exact"/>
              <w:rPr>
                <w:rFonts w:asciiTheme="minorHAnsi" w:hAnsiTheme="minorHAnsi" w:cstheme="minorHAnsi"/>
                <w:b/>
                <w:bCs/>
                <w:color w:val="auto"/>
                <w:kern w:val="0"/>
                <w:sz w:val="22"/>
              </w:rPr>
            </w:pPr>
            <w:r>
              <w:rPr>
                <w:rFonts w:asciiTheme="minorHAnsi" w:hAnsiTheme="minorHAnsi" w:cstheme="minorHAnsi"/>
                <w:b/>
                <w:bCs/>
                <w:color w:val="auto"/>
                <w:kern w:val="0"/>
                <w:sz w:val="22"/>
              </w:rPr>
              <w:t>core rod connector</w:t>
            </w:r>
          </w:p>
          <w:p w14:paraId="4530191B">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part of the tool set adaptor transmitting the movement of the machine for the core rod (3.2.18) to the tool set</w:t>
            </w:r>
          </w:p>
          <w:p w14:paraId="61400330">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Note 1 to entry: See Figure 11.</w:t>
            </w:r>
          </w:p>
        </w:tc>
        <w:tc>
          <w:tcPr>
            <w:tcW w:w="3118" w:type="dxa"/>
            <w:tcBorders>
              <w:top w:val="single" w:color="auto" w:sz="4" w:space="0"/>
              <w:left w:val="single" w:color="auto" w:sz="4" w:space="0"/>
              <w:bottom w:val="single" w:color="auto" w:sz="4" w:space="0"/>
              <w:right w:val="single" w:color="auto" w:sz="4" w:space="0"/>
            </w:tcBorders>
            <w:shd w:val="clear" w:color="auto" w:fill="DEEBF6"/>
          </w:tcPr>
          <w:p w14:paraId="6FC7353B">
            <w:pPr>
              <w:pStyle w:val="58"/>
              <w:spacing w:line="300" w:lineRule="exact"/>
              <w:rPr>
                <w:rStyle w:val="54"/>
                <w:rFonts w:asciiTheme="minorHAnsi" w:hAnsiTheme="minorHAnsi" w:cstheme="minorHAnsi"/>
                <w:b w:val="0"/>
                <w:bCs w:val="0"/>
                <w:color w:val="auto"/>
                <w:kern w:val="0"/>
              </w:rPr>
            </w:pPr>
            <w:r>
              <w:rPr>
                <w:rStyle w:val="54"/>
                <w:rFonts w:asciiTheme="minorHAnsi" w:hAnsiTheme="minorHAnsi" w:cstheme="minorHAnsi"/>
                <w:color w:val="auto"/>
                <w:kern w:val="0"/>
              </w:rPr>
              <w:t>芯棒连接器 core rod connector</w:t>
            </w:r>
          </w:p>
          <w:p w14:paraId="48520EBF">
            <w:pPr>
              <w:spacing w:line="300" w:lineRule="exact"/>
              <w:ind w:firstLine="440" w:firstLineChars="200"/>
              <w:rPr>
                <w:rFonts w:asciiTheme="minorHAnsi" w:hAnsiTheme="minorHAnsi" w:cstheme="minorHAnsi"/>
                <w:color w:val="auto"/>
                <w:kern w:val="0"/>
                <w:sz w:val="22"/>
              </w:rPr>
            </w:pPr>
            <w:r>
              <w:rPr>
                <w:rFonts w:asciiTheme="minorHAnsi" w:hAnsiTheme="minorHAnsi" w:cstheme="minorHAnsi"/>
                <w:color w:val="auto"/>
                <w:kern w:val="0"/>
                <w:sz w:val="22"/>
              </w:rPr>
              <w:t>模架接合器的部件，</w:t>
            </w:r>
            <w:r>
              <w:rPr>
                <w:rFonts w:hint="eastAsia" w:asciiTheme="minorHAnsi" w:hAnsiTheme="minorHAnsi" w:cstheme="minorHAnsi"/>
                <w:color w:val="auto"/>
                <w:kern w:val="0"/>
                <w:sz w:val="22"/>
              </w:rPr>
              <w:t>将机器的动作从芯棒（</w:t>
            </w:r>
            <w:r>
              <w:rPr>
                <w:rFonts w:asciiTheme="minorHAnsi" w:hAnsiTheme="minorHAnsi" w:cstheme="minorHAnsi"/>
                <w:color w:val="auto"/>
                <w:kern w:val="0"/>
                <w:sz w:val="22"/>
              </w:rPr>
              <w:t>3.2.18</w:t>
            </w:r>
            <w:r>
              <w:rPr>
                <w:rFonts w:hint="eastAsia" w:asciiTheme="minorHAnsi" w:hAnsiTheme="minorHAnsi" w:cstheme="minorHAnsi"/>
                <w:color w:val="auto"/>
                <w:kern w:val="0"/>
                <w:sz w:val="22"/>
              </w:rPr>
              <w:t>）传递至模架。</w:t>
            </w:r>
          </w:p>
          <w:p w14:paraId="0F0C8809">
            <w:pPr>
              <w:spacing w:line="300" w:lineRule="exact"/>
              <w:ind w:firstLine="440" w:firstLineChars="200"/>
              <w:rPr>
                <w:rFonts w:asciiTheme="minorHAnsi" w:hAnsiTheme="minorHAnsi" w:cstheme="minorHAnsi"/>
                <w:color w:val="auto"/>
                <w:kern w:val="0"/>
                <w:sz w:val="22"/>
              </w:rPr>
            </w:pPr>
            <w:r>
              <w:rPr>
                <w:rFonts w:asciiTheme="minorHAnsi" w:hAnsiTheme="minorHAnsi" w:cstheme="minorHAnsi"/>
                <w:color w:val="auto"/>
                <w:kern w:val="0"/>
                <w:sz w:val="22"/>
              </w:rPr>
              <w:t>注1：见图11。</w:t>
            </w:r>
          </w:p>
        </w:tc>
        <w:tc>
          <w:tcPr>
            <w:tcW w:w="2126" w:type="dxa"/>
            <w:tcBorders>
              <w:top w:val="single" w:color="auto" w:sz="4" w:space="0"/>
              <w:left w:val="single" w:color="auto" w:sz="4" w:space="0"/>
              <w:bottom w:val="single" w:color="auto" w:sz="4" w:space="0"/>
              <w:right w:val="single" w:color="auto" w:sz="4" w:space="0"/>
            </w:tcBorders>
          </w:tcPr>
          <w:p w14:paraId="6ECB8228">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芯棒连接器</w:t>
            </w:r>
          </w:p>
          <w:p w14:paraId="104D1DEA">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作为工装接合器的组成部分将机器的动作从芯棒（3.2.18）传递给整套工装。</w:t>
            </w:r>
          </w:p>
          <w:p w14:paraId="79814457">
            <w:pPr>
              <w:spacing w:line="300" w:lineRule="exact"/>
              <w:rPr>
                <w:rFonts w:asciiTheme="minorHAnsi" w:hAnsiTheme="minorHAnsi" w:cstheme="minorHAnsi"/>
                <w:color w:val="auto"/>
                <w:sz w:val="22"/>
              </w:rPr>
            </w:pPr>
            <w:r>
              <w:rPr>
                <w:rFonts w:asciiTheme="minorHAnsi" w:hAnsiTheme="minorHAnsi" w:cstheme="minorHAnsi"/>
                <w:color w:val="auto"/>
                <w:kern w:val="0"/>
                <w:sz w:val="22"/>
              </w:rPr>
              <w:t>见图11</w:t>
            </w:r>
          </w:p>
        </w:tc>
        <w:tc>
          <w:tcPr>
            <w:tcW w:w="1985" w:type="dxa"/>
            <w:tcBorders>
              <w:top w:val="single" w:color="auto" w:sz="4" w:space="0"/>
              <w:left w:val="single" w:color="auto" w:sz="4" w:space="0"/>
              <w:bottom w:val="single" w:color="auto" w:sz="4" w:space="0"/>
              <w:right w:val="single" w:color="auto" w:sz="4" w:space="0"/>
            </w:tcBorders>
          </w:tcPr>
          <w:p w14:paraId="6F27AF7E">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 xml:space="preserve">芯棒连接器  </w:t>
            </w:r>
          </w:p>
          <w:p w14:paraId="60847892">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模架接合器部件，用于将机器的运动传递给芯棒(见图13)。</w:t>
            </w:r>
          </w:p>
        </w:tc>
      </w:tr>
      <w:tr w14:paraId="079A1B9B">
        <w:tblPrEx>
          <w:tblCellMar>
            <w:top w:w="0" w:type="dxa"/>
            <w:left w:w="108" w:type="dxa"/>
            <w:bottom w:w="0" w:type="dxa"/>
            <w:right w:w="108" w:type="dxa"/>
          </w:tblCellMar>
        </w:tblPrEx>
        <w:trPr>
          <w:trHeight w:val="2401"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3DEDB1C9">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3.2.20</w:t>
            </w:r>
          </w:p>
          <w:p w14:paraId="62CA481B">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新增</w:t>
            </w:r>
          </w:p>
          <w:p w14:paraId="053D16B8">
            <w:pPr>
              <w:spacing w:line="300" w:lineRule="exact"/>
              <w:rPr>
                <w:rFonts w:asciiTheme="minorHAnsi" w:hAnsiTheme="minorHAnsi" w:cstheme="minorHAnsi"/>
                <w:color w:val="auto"/>
                <w:kern w:val="0"/>
                <w:sz w:val="22"/>
              </w:rPr>
            </w:pP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139D3B55">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11F9DEFC">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39EC1861">
            <w:pPr>
              <w:spacing w:line="300" w:lineRule="exact"/>
              <w:rPr>
                <w:rFonts w:asciiTheme="minorHAnsi" w:hAnsiTheme="minorHAnsi" w:cstheme="minorHAnsi"/>
                <w:b/>
                <w:bCs/>
                <w:color w:val="auto"/>
                <w:kern w:val="0"/>
                <w:sz w:val="22"/>
              </w:rPr>
            </w:pPr>
            <w:r>
              <w:rPr>
                <w:rFonts w:asciiTheme="minorHAnsi" w:hAnsiTheme="minorHAnsi" w:cstheme="minorHAnsi"/>
                <w:b/>
                <w:bCs/>
                <w:color w:val="auto"/>
                <w:kern w:val="0"/>
                <w:sz w:val="22"/>
              </w:rPr>
              <w:t>core rod extension</w:t>
            </w:r>
          </w:p>
          <w:p w14:paraId="317008DF">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part of the tool set adaptation between the core rod connector (3.2.19) and the core rod (3.2.18)</w:t>
            </w:r>
          </w:p>
          <w:p w14:paraId="32111F5D">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Note 1 to entry: See Figures 11 and 13.</w:t>
            </w:r>
          </w:p>
        </w:tc>
        <w:tc>
          <w:tcPr>
            <w:tcW w:w="3118" w:type="dxa"/>
            <w:tcBorders>
              <w:top w:val="single" w:color="auto" w:sz="4" w:space="0"/>
              <w:left w:val="single" w:color="auto" w:sz="4" w:space="0"/>
              <w:bottom w:val="single" w:color="auto" w:sz="4" w:space="0"/>
              <w:right w:val="single" w:color="auto" w:sz="4" w:space="0"/>
            </w:tcBorders>
            <w:shd w:val="clear" w:color="auto" w:fill="DEEBF6"/>
          </w:tcPr>
          <w:p w14:paraId="55ED1025">
            <w:pPr>
              <w:pStyle w:val="58"/>
              <w:spacing w:line="300" w:lineRule="exact"/>
              <w:rPr>
                <w:rStyle w:val="54"/>
                <w:rFonts w:asciiTheme="minorHAnsi" w:hAnsiTheme="minorHAnsi" w:cstheme="minorHAnsi"/>
                <w:b w:val="0"/>
                <w:bCs w:val="0"/>
                <w:color w:val="auto"/>
                <w:kern w:val="0"/>
              </w:rPr>
            </w:pPr>
            <w:r>
              <w:rPr>
                <w:rStyle w:val="54"/>
                <w:rFonts w:asciiTheme="minorHAnsi" w:hAnsiTheme="minorHAnsi" w:cstheme="minorHAnsi"/>
                <w:color w:val="auto"/>
                <w:kern w:val="0"/>
              </w:rPr>
              <w:t>芯棒延伸杆core rod extension</w:t>
            </w:r>
          </w:p>
          <w:p w14:paraId="029141B9">
            <w:pPr>
              <w:pStyle w:val="58"/>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位于芯棒连接器(3.2.19)和芯棒(3.2.18)之间的模架接合器部件。</w:t>
            </w:r>
          </w:p>
          <w:p w14:paraId="1993075D">
            <w:pPr>
              <w:pStyle w:val="58"/>
              <w:spacing w:line="300" w:lineRule="exact"/>
              <w:rPr>
                <w:rFonts w:asciiTheme="minorHAnsi" w:hAnsiTheme="minorHAnsi" w:cstheme="minorHAnsi"/>
                <w:color w:val="auto"/>
                <w:kern w:val="0"/>
                <w:sz w:val="22"/>
              </w:rPr>
            </w:pPr>
            <w:r>
              <w:rPr>
                <w:rFonts w:hint="eastAsia" w:asciiTheme="minorHAnsi" w:hAnsiTheme="minorHAnsi" w:cstheme="minorHAnsi"/>
                <w:color w:val="auto"/>
                <w:kern w:val="0"/>
                <w:sz w:val="22"/>
              </w:rPr>
              <w:t>注1：</w:t>
            </w:r>
            <w:r>
              <w:rPr>
                <w:rFonts w:asciiTheme="minorHAnsi" w:hAnsiTheme="minorHAnsi" w:cstheme="minorHAnsi"/>
                <w:color w:val="auto"/>
                <w:kern w:val="0"/>
                <w:sz w:val="22"/>
              </w:rPr>
              <w:t>见</w:t>
            </w:r>
            <w:r>
              <w:rPr>
                <w:rFonts w:hint="eastAsia" w:asciiTheme="minorHAnsi" w:hAnsiTheme="minorHAnsi" w:cstheme="minorHAnsi"/>
                <w:color w:val="auto"/>
                <w:kern w:val="0"/>
                <w:sz w:val="22"/>
              </w:rPr>
              <w:t>图1</w:t>
            </w:r>
            <w:r>
              <w:rPr>
                <w:rFonts w:asciiTheme="minorHAnsi" w:hAnsiTheme="minorHAnsi" w:cstheme="minorHAnsi"/>
                <w:color w:val="auto"/>
                <w:kern w:val="0"/>
                <w:sz w:val="22"/>
              </w:rPr>
              <w:t>1和图13。</w:t>
            </w:r>
          </w:p>
          <w:p w14:paraId="388E3442">
            <w:pPr>
              <w:spacing w:line="300" w:lineRule="exact"/>
              <w:rPr>
                <w:rFonts w:asciiTheme="minorHAnsi" w:hAnsiTheme="minorHAnsi" w:cstheme="minorHAnsi"/>
                <w:color w:val="auto"/>
                <w:kern w:val="0"/>
                <w:sz w:val="22"/>
              </w:rPr>
            </w:pPr>
          </w:p>
        </w:tc>
        <w:tc>
          <w:tcPr>
            <w:tcW w:w="2126" w:type="dxa"/>
            <w:tcBorders>
              <w:top w:val="single" w:color="auto" w:sz="4" w:space="0"/>
              <w:left w:val="single" w:color="auto" w:sz="4" w:space="0"/>
              <w:bottom w:val="single" w:color="auto" w:sz="4" w:space="0"/>
              <w:right w:val="single" w:color="auto" w:sz="4" w:space="0"/>
            </w:tcBorders>
          </w:tcPr>
          <w:p w14:paraId="42779EAB">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芯棒延伸杆</w:t>
            </w:r>
          </w:p>
          <w:p w14:paraId="020EE609">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在芯棒连接器（3.2.19）和芯棒（3.2.18）之间工装适配的部分。</w:t>
            </w:r>
          </w:p>
          <w:p w14:paraId="109B8791">
            <w:pPr>
              <w:spacing w:line="300" w:lineRule="exact"/>
              <w:rPr>
                <w:rFonts w:asciiTheme="minorHAnsi" w:hAnsiTheme="minorHAnsi" w:cstheme="minorHAnsi"/>
                <w:color w:val="auto"/>
                <w:sz w:val="22"/>
              </w:rPr>
            </w:pPr>
            <w:r>
              <w:rPr>
                <w:rFonts w:hint="eastAsia" w:asciiTheme="minorHAnsi" w:hAnsiTheme="minorHAnsi" w:cstheme="minorHAnsi"/>
                <w:color w:val="auto"/>
                <w:kern w:val="0"/>
                <w:sz w:val="22"/>
              </w:rPr>
              <w:t>注1：</w:t>
            </w:r>
            <w:r>
              <w:rPr>
                <w:rFonts w:asciiTheme="minorHAnsi" w:hAnsiTheme="minorHAnsi" w:cstheme="minorHAnsi"/>
                <w:color w:val="auto"/>
                <w:kern w:val="0"/>
                <w:sz w:val="22"/>
              </w:rPr>
              <w:t>见图11和图13.</w:t>
            </w:r>
          </w:p>
        </w:tc>
        <w:tc>
          <w:tcPr>
            <w:tcW w:w="1985" w:type="dxa"/>
            <w:tcBorders>
              <w:top w:val="single" w:color="auto" w:sz="4" w:space="0"/>
              <w:left w:val="single" w:color="auto" w:sz="4" w:space="0"/>
              <w:bottom w:val="single" w:color="auto" w:sz="4" w:space="0"/>
              <w:right w:val="single" w:color="auto" w:sz="4" w:space="0"/>
            </w:tcBorders>
          </w:tcPr>
          <w:p w14:paraId="39AC842B">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 xml:space="preserve">芯棒延伸器  </w:t>
            </w:r>
          </w:p>
          <w:p w14:paraId="2A5742D5">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芯棒连接器与芯棒之间模架接合器部件(见图13和15)。</w:t>
            </w:r>
          </w:p>
          <w:p w14:paraId="70ABBDB7">
            <w:pPr>
              <w:spacing w:line="300" w:lineRule="exact"/>
              <w:rPr>
                <w:rFonts w:asciiTheme="minorHAnsi" w:hAnsiTheme="minorHAnsi" w:cstheme="minorHAnsi"/>
                <w:color w:val="auto"/>
                <w:kern w:val="0"/>
                <w:sz w:val="22"/>
              </w:rPr>
            </w:pPr>
          </w:p>
        </w:tc>
      </w:tr>
      <w:tr w14:paraId="0CD4AF7D">
        <w:tblPrEx>
          <w:tblCellMar>
            <w:top w:w="0" w:type="dxa"/>
            <w:left w:w="108" w:type="dxa"/>
            <w:bottom w:w="0" w:type="dxa"/>
            <w:right w:w="108" w:type="dxa"/>
          </w:tblCellMar>
        </w:tblPrEx>
        <w:trPr>
          <w:trHeight w:val="1804"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3E21C22E">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3.2.22新增</w:t>
            </w: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30233362">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5176F3D1">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5B748220">
            <w:pPr>
              <w:spacing w:line="300" w:lineRule="exact"/>
              <w:rPr>
                <w:rFonts w:asciiTheme="minorHAnsi" w:hAnsiTheme="minorHAnsi" w:cstheme="minorHAnsi"/>
                <w:b/>
                <w:bCs/>
                <w:color w:val="auto"/>
                <w:kern w:val="0"/>
                <w:sz w:val="22"/>
              </w:rPr>
            </w:pPr>
            <w:r>
              <w:rPr>
                <w:rFonts w:asciiTheme="minorHAnsi" w:hAnsiTheme="minorHAnsi" w:cstheme="minorHAnsi"/>
                <w:b/>
                <w:bCs/>
                <w:color w:val="auto"/>
                <w:kern w:val="0"/>
                <w:sz w:val="22"/>
              </w:rPr>
              <w:t>debinding</w:t>
            </w:r>
          </w:p>
          <w:p w14:paraId="1FB0E05E">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&lt;MIM terminology&gt; removal of binder (3.1.9) from injection moulded body before sintering (3.3.60)</w:t>
            </w:r>
          </w:p>
        </w:tc>
        <w:tc>
          <w:tcPr>
            <w:tcW w:w="3118" w:type="dxa"/>
            <w:tcBorders>
              <w:top w:val="single" w:color="auto" w:sz="4" w:space="0"/>
              <w:left w:val="single" w:color="auto" w:sz="4" w:space="0"/>
              <w:bottom w:val="single" w:color="auto" w:sz="4" w:space="0"/>
              <w:right w:val="single" w:color="auto" w:sz="4" w:space="0"/>
            </w:tcBorders>
            <w:shd w:val="clear" w:color="auto" w:fill="DEEBF6"/>
          </w:tcPr>
          <w:p w14:paraId="5F9C2859">
            <w:pPr>
              <w:pStyle w:val="58"/>
              <w:spacing w:line="300" w:lineRule="exact"/>
              <w:rPr>
                <w:rStyle w:val="54"/>
                <w:rFonts w:asciiTheme="minorHAnsi" w:hAnsiTheme="minorHAnsi" w:cstheme="minorHAnsi"/>
                <w:b w:val="0"/>
                <w:bCs w:val="0"/>
                <w:color w:val="auto"/>
                <w:kern w:val="0"/>
              </w:rPr>
            </w:pPr>
            <w:r>
              <w:rPr>
                <w:rStyle w:val="54"/>
                <w:rFonts w:asciiTheme="minorHAnsi" w:hAnsiTheme="minorHAnsi" w:cstheme="minorHAnsi"/>
                <w:color w:val="auto"/>
                <w:kern w:val="0"/>
              </w:rPr>
              <w:t>脱脂  debinding</w:t>
            </w:r>
          </w:p>
          <w:p w14:paraId="04C4D300">
            <w:pPr>
              <w:spacing w:line="300" w:lineRule="exact"/>
              <w:ind w:firstLine="420"/>
              <w:rPr>
                <w:rStyle w:val="54"/>
                <w:rFonts w:asciiTheme="minorHAnsi" w:hAnsiTheme="minorHAnsi" w:cstheme="minorHAnsi"/>
                <w:b w:val="0"/>
                <w:bCs w:val="0"/>
                <w:color w:val="auto"/>
                <w:kern w:val="0"/>
              </w:rPr>
            </w:pPr>
            <w:r>
              <w:rPr>
                <w:rStyle w:val="54"/>
                <w:rFonts w:asciiTheme="minorHAnsi" w:hAnsiTheme="minorHAnsi" w:cstheme="minorHAnsi"/>
                <w:color w:val="auto"/>
                <w:kern w:val="0"/>
              </w:rPr>
              <w:t>&lt;金属注射成形术语&gt;</w:t>
            </w:r>
          </w:p>
          <w:p w14:paraId="0DDF535C">
            <w:pPr>
              <w:spacing w:line="300" w:lineRule="exact"/>
              <w:ind w:firstLine="420"/>
              <w:rPr>
                <w:rFonts w:asciiTheme="minorHAnsi" w:hAnsiTheme="minorHAnsi" w:cstheme="minorHAnsi"/>
                <w:color w:val="auto"/>
                <w:kern w:val="0"/>
                <w:sz w:val="22"/>
              </w:rPr>
            </w:pPr>
            <w:r>
              <w:rPr>
                <w:rStyle w:val="54"/>
                <w:rFonts w:asciiTheme="minorHAnsi" w:hAnsiTheme="minorHAnsi" w:cstheme="minorHAnsi"/>
                <w:color w:val="auto"/>
                <w:kern w:val="0"/>
              </w:rPr>
              <w:t>在烧结（3.3.60）之前从注射成形坯体中去除粘结剂（3.1.9）的工艺。</w:t>
            </w:r>
          </w:p>
        </w:tc>
        <w:tc>
          <w:tcPr>
            <w:tcW w:w="2126" w:type="dxa"/>
            <w:tcBorders>
              <w:top w:val="single" w:color="auto" w:sz="4" w:space="0"/>
              <w:left w:val="single" w:color="auto" w:sz="4" w:space="0"/>
              <w:bottom w:val="single" w:color="auto" w:sz="4" w:space="0"/>
              <w:right w:val="single" w:color="auto" w:sz="4" w:space="0"/>
            </w:tcBorders>
          </w:tcPr>
          <w:p w14:paraId="4B8DB847">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脱出粘结剂</w:t>
            </w:r>
          </w:p>
          <w:p w14:paraId="16E35D0D">
            <w:pPr>
              <w:spacing w:line="300" w:lineRule="exact"/>
              <w:rPr>
                <w:rFonts w:asciiTheme="minorHAnsi" w:hAnsiTheme="minorHAnsi" w:cstheme="minorHAnsi"/>
                <w:color w:val="auto"/>
                <w:sz w:val="22"/>
              </w:rPr>
            </w:pPr>
            <w:r>
              <w:rPr>
                <w:rFonts w:asciiTheme="minorHAnsi" w:hAnsiTheme="minorHAnsi" w:cstheme="minorHAnsi"/>
                <w:color w:val="auto"/>
                <w:kern w:val="0"/>
                <w:sz w:val="22"/>
              </w:rPr>
              <w:t>&lt;注射成形术语&gt;烧结前从注射主体上去除粘结剂。</w:t>
            </w:r>
          </w:p>
        </w:tc>
        <w:tc>
          <w:tcPr>
            <w:tcW w:w="1985" w:type="dxa"/>
            <w:tcBorders>
              <w:top w:val="single" w:color="auto" w:sz="4" w:space="0"/>
              <w:left w:val="single" w:color="auto" w:sz="4" w:space="0"/>
              <w:bottom w:val="single" w:color="auto" w:sz="4" w:space="0"/>
              <w:right w:val="single" w:color="auto" w:sz="4" w:space="0"/>
            </w:tcBorders>
          </w:tcPr>
          <w:p w14:paraId="2B758CB9">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 xml:space="preserve">脱脂  </w:t>
            </w:r>
          </w:p>
          <w:p w14:paraId="57A4563E">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烧结前从注射模体上去除粘结剂。</w:t>
            </w:r>
          </w:p>
          <w:p w14:paraId="568D7BD6">
            <w:pPr>
              <w:spacing w:line="300" w:lineRule="exact"/>
              <w:rPr>
                <w:rFonts w:asciiTheme="minorHAnsi" w:hAnsiTheme="minorHAnsi" w:cstheme="minorHAnsi"/>
                <w:color w:val="auto"/>
                <w:kern w:val="0"/>
                <w:sz w:val="22"/>
              </w:rPr>
            </w:pPr>
          </w:p>
        </w:tc>
      </w:tr>
      <w:tr w14:paraId="1D97B4EE">
        <w:tblPrEx>
          <w:tblCellMar>
            <w:top w:w="0" w:type="dxa"/>
            <w:left w:w="108" w:type="dxa"/>
            <w:bottom w:w="0" w:type="dxa"/>
            <w:right w:w="108" w:type="dxa"/>
          </w:tblCellMar>
        </w:tblPrEx>
        <w:trPr>
          <w:trHeight w:val="1105"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565D13B8">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3.2.25</w:t>
            </w:r>
          </w:p>
          <w:p w14:paraId="4BCA545B">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新增</w:t>
            </w: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2C131115">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72832D4A">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2D6D67D8">
            <w:pPr>
              <w:spacing w:line="300" w:lineRule="exact"/>
              <w:rPr>
                <w:rFonts w:asciiTheme="minorHAnsi" w:hAnsiTheme="minorHAnsi" w:cstheme="minorHAnsi"/>
                <w:b/>
                <w:bCs/>
                <w:color w:val="auto"/>
                <w:kern w:val="0"/>
                <w:sz w:val="22"/>
              </w:rPr>
            </w:pPr>
            <w:r>
              <w:rPr>
                <w:rFonts w:asciiTheme="minorHAnsi" w:hAnsiTheme="minorHAnsi" w:cstheme="minorHAnsi"/>
                <w:b/>
                <w:bCs/>
                <w:color w:val="auto"/>
                <w:kern w:val="0"/>
                <w:sz w:val="22"/>
              </w:rPr>
              <w:t>die wall lubrication</w:t>
            </w:r>
          </w:p>
          <w:p w14:paraId="59359BF7">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lubrication of die wall with solid or liquid lubricant (3.1.47) to eliminate and/or minimize the need for</w:t>
            </w:r>
          </w:p>
          <w:p w14:paraId="78AD2C0B">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admixed lubricant to the powder</w:t>
            </w:r>
          </w:p>
        </w:tc>
        <w:tc>
          <w:tcPr>
            <w:tcW w:w="3118" w:type="dxa"/>
            <w:tcBorders>
              <w:top w:val="single" w:color="auto" w:sz="4" w:space="0"/>
              <w:left w:val="single" w:color="auto" w:sz="4" w:space="0"/>
              <w:bottom w:val="single" w:color="auto" w:sz="4" w:space="0"/>
              <w:right w:val="single" w:color="auto" w:sz="4" w:space="0"/>
            </w:tcBorders>
            <w:shd w:val="clear" w:color="auto" w:fill="DEEBF6"/>
          </w:tcPr>
          <w:p w14:paraId="267F8F9E">
            <w:pPr>
              <w:pStyle w:val="58"/>
              <w:spacing w:line="300" w:lineRule="exact"/>
              <w:rPr>
                <w:rStyle w:val="54"/>
                <w:rFonts w:asciiTheme="minorHAnsi" w:hAnsiTheme="minorHAnsi" w:cstheme="minorHAnsi"/>
                <w:b w:val="0"/>
                <w:bCs w:val="0"/>
                <w:color w:val="auto"/>
                <w:kern w:val="0"/>
              </w:rPr>
            </w:pPr>
            <w:r>
              <w:rPr>
                <w:rStyle w:val="54"/>
                <w:rFonts w:asciiTheme="minorHAnsi" w:hAnsiTheme="minorHAnsi" w:cstheme="minorHAnsi"/>
                <w:color w:val="auto"/>
                <w:kern w:val="0"/>
              </w:rPr>
              <w:t>模壁润滑  die wall lubrication</w:t>
            </w:r>
          </w:p>
          <w:p w14:paraId="06B5705A">
            <w:pPr>
              <w:spacing w:line="300" w:lineRule="exact"/>
              <w:ind w:firstLine="420"/>
              <w:rPr>
                <w:rFonts w:asciiTheme="minorHAnsi" w:hAnsiTheme="minorHAnsi" w:cstheme="minorHAnsi"/>
                <w:color w:val="auto"/>
                <w:kern w:val="0"/>
                <w:sz w:val="22"/>
              </w:rPr>
            </w:pPr>
            <w:r>
              <w:rPr>
                <w:rFonts w:asciiTheme="minorHAnsi" w:hAnsiTheme="minorHAnsi" w:cstheme="minorHAnsi"/>
                <w:color w:val="auto"/>
                <w:kern w:val="0"/>
                <w:sz w:val="22"/>
              </w:rPr>
              <w:t>用固体或液体润滑剂（3.1.47）对模壁进行润滑，以消除和/或最大限度减少粉末中添加润滑剂的需求。</w:t>
            </w:r>
          </w:p>
          <w:p w14:paraId="79A3D8E6">
            <w:pPr>
              <w:spacing w:line="300" w:lineRule="exact"/>
              <w:ind w:firstLine="420"/>
              <w:rPr>
                <w:rFonts w:asciiTheme="minorHAnsi" w:hAnsiTheme="minorHAnsi" w:cstheme="minorHAnsi"/>
                <w:color w:val="auto"/>
                <w:kern w:val="0"/>
                <w:sz w:val="22"/>
              </w:rPr>
            </w:pPr>
          </w:p>
          <w:p w14:paraId="1DC4F634">
            <w:pPr>
              <w:spacing w:line="300" w:lineRule="exact"/>
              <w:rPr>
                <w:rFonts w:asciiTheme="minorHAnsi" w:hAnsiTheme="minorHAnsi" w:cstheme="minorHAnsi"/>
                <w:color w:val="auto"/>
                <w:kern w:val="0"/>
                <w:sz w:val="22"/>
              </w:rPr>
            </w:pPr>
          </w:p>
        </w:tc>
        <w:tc>
          <w:tcPr>
            <w:tcW w:w="2126" w:type="dxa"/>
            <w:tcBorders>
              <w:top w:val="single" w:color="auto" w:sz="4" w:space="0"/>
              <w:left w:val="single" w:color="auto" w:sz="4" w:space="0"/>
              <w:bottom w:val="single" w:color="auto" w:sz="4" w:space="0"/>
              <w:right w:val="single" w:color="auto" w:sz="4" w:space="0"/>
            </w:tcBorders>
          </w:tcPr>
          <w:p w14:paraId="2825EC1A">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阴模壁润滑</w:t>
            </w:r>
          </w:p>
          <w:p w14:paraId="51DF78A9">
            <w:pPr>
              <w:spacing w:line="300" w:lineRule="exact"/>
              <w:rPr>
                <w:rFonts w:asciiTheme="minorHAnsi" w:hAnsiTheme="minorHAnsi" w:cstheme="minorHAnsi"/>
                <w:color w:val="auto"/>
                <w:sz w:val="22"/>
              </w:rPr>
            </w:pPr>
            <w:r>
              <w:rPr>
                <w:rFonts w:asciiTheme="minorHAnsi" w:hAnsiTheme="minorHAnsi" w:cstheme="minorHAnsi"/>
                <w:color w:val="auto"/>
                <w:kern w:val="0"/>
                <w:sz w:val="22"/>
              </w:rPr>
              <w:t>使用固体或液体润滑剂对模具壁进行润滑（3.1.47），以消除或最大程度减少向粉末中添加混合润滑剂的需求。</w:t>
            </w:r>
          </w:p>
        </w:tc>
        <w:tc>
          <w:tcPr>
            <w:tcW w:w="1985" w:type="dxa"/>
            <w:tcBorders>
              <w:top w:val="single" w:color="auto" w:sz="4" w:space="0"/>
              <w:left w:val="single" w:color="auto" w:sz="4" w:space="0"/>
              <w:bottom w:val="single" w:color="auto" w:sz="4" w:space="0"/>
              <w:right w:val="single" w:color="auto" w:sz="4" w:space="0"/>
            </w:tcBorders>
          </w:tcPr>
          <w:p w14:paraId="0524D5B9">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 xml:space="preserve">阴模壁润滑 </w:t>
            </w:r>
          </w:p>
          <w:p w14:paraId="7127C404">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用固体或液体润滑剂润滑阴模壁，以消除和/或最小化对粉末添加润滑剂的需要。</w:t>
            </w:r>
          </w:p>
        </w:tc>
      </w:tr>
      <w:tr w14:paraId="6F0E2A9A">
        <w:tblPrEx>
          <w:tblCellMar>
            <w:top w:w="0" w:type="dxa"/>
            <w:left w:w="108" w:type="dxa"/>
            <w:bottom w:w="0" w:type="dxa"/>
            <w:right w:w="108" w:type="dxa"/>
          </w:tblCellMar>
        </w:tblPrEx>
        <w:trPr>
          <w:trHeight w:val="2277"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6004E274">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3.2.30</w:t>
            </w:r>
          </w:p>
          <w:p w14:paraId="36706DBC">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新增</w:t>
            </w: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122E86DD">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1DF87D4A">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60EB51C7">
            <w:pPr>
              <w:spacing w:line="300" w:lineRule="exact"/>
              <w:rPr>
                <w:rFonts w:asciiTheme="minorHAnsi" w:hAnsiTheme="minorHAnsi" w:cstheme="minorHAnsi"/>
                <w:b/>
                <w:bCs/>
                <w:color w:val="auto"/>
                <w:kern w:val="0"/>
                <w:sz w:val="22"/>
              </w:rPr>
            </w:pPr>
            <w:r>
              <w:rPr>
                <w:rFonts w:asciiTheme="minorHAnsi" w:hAnsiTheme="minorHAnsi" w:cstheme="minorHAnsi"/>
                <w:b/>
                <w:bCs/>
                <w:color w:val="auto"/>
                <w:kern w:val="0"/>
                <w:sz w:val="22"/>
              </w:rPr>
              <w:t>ejection energy</w:t>
            </w:r>
          </w:p>
          <w:p w14:paraId="3EAD2D96">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total energy to eject a green compact (3.2.11) from die (3.2.23), obtained by integration of ejection force</w:t>
            </w:r>
          </w:p>
          <w:p w14:paraId="14BABBB8">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(3.2.31) and displacement curve</w:t>
            </w:r>
          </w:p>
        </w:tc>
        <w:tc>
          <w:tcPr>
            <w:tcW w:w="3118" w:type="dxa"/>
            <w:tcBorders>
              <w:top w:val="single" w:color="auto" w:sz="4" w:space="0"/>
              <w:left w:val="single" w:color="auto" w:sz="4" w:space="0"/>
              <w:bottom w:val="single" w:color="auto" w:sz="4" w:space="0"/>
              <w:right w:val="single" w:color="auto" w:sz="4" w:space="0"/>
            </w:tcBorders>
            <w:shd w:val="clear" w:color="auto" w:fill="DEEBF6"/>
          </w:tcPr>
          <w:p w14:paraId="5AC04EB8">
            <w:pPr>
              <w:pStyle w:val="58"/>
              <w:spacing w:line="300" w:lineRule="exact"/>
              <w:rPr>
                <w:rStyle w:val="54"/>
                <w:rFonts w:asciiTheme="minorHAnsi" w:hAnsiTheme="minorHAnsi" w:cstheme="minorHAnsi"/>
                <w:b w:val="0"/>
                <w:bCs w:val="0"/>
                <w:color w:val="auto"/>
              </w:rPr>
            </w:pPr>
            <w:r>
              <w:rPr>
                <w:rStyle w:val="54"/>
                <w:rFonts w:asciiTheme="minorHAnsi" w:hAnsiTheme="minorHAnsi" w:cstheme="minorHAnsi"/>
                <w:color w:val="auto"/>
              </w:rPr>
              <w:t>脱模能量  ejection energy</w:t>
            </w:r>
          </w:p>
          <w:p w14:paraId="1E98D09F">
            <w:pPr>
              <w:spacing w:line="300" w:lineRule="exact"/>
              <w:ind w:firstLine="420"/>
              <w:rPr>
                <w:rStyle w:val="54"/>
                <w:rFonts w:asciiTheme="minorHAnsi" w:hAnsiTheme="minorHAnsi" w:cstheme="minorHAnsi"/>
                <w:b w:val="0"/>
                <w:bCs w:val="0"/>
                <w:color w:val="auto"/>
              </w:rPr>
            </w:pPr>
            <w:r>
              <w:rPr>
                <w:rStyle w:val="54"/>
                <w:rFonts w:asciiTheme="minorHAnsi" w:hAnsiTheme="minorHAnsi" w:cstheme="minorHAnsi"/>
                <w:color w:val="auto"/>
              </w:rPr>
              <w:t>将压坯（3.2.11）从阴模（3.2.23）中脱出所需的总能量，由脱模力（3.2.31）与位移曲线积分求得。</w:t>
            </w:r>
          </w:p>
          <w:p w14:paraId="67882D30">
            <w:pPr>
              <w:spacing w:line="300" w:lineRule="exact"/>
              <w:rPr>
                <w:rStyle w:val="54"/>
                <w:rFonts w:asciiTheme="minorHAnsi" w:hAnsiTheme="minorHAnsi" w:cstheme="minorHAnsi"/>
                <w:b w:val="0"/>
                <w:bCs w:val="0"/>
                <w:color w:val="auto"/>
              </w:rPr>
            </w:pPr>
          </w:p>
        </w:tc>
        <w:tc>
          <w:tcPr>
            <w:tcW w:w="2126" w:type="dxa"/>
            <w:tcBorders>
              <w:top w:val="single" w:color="auto" w:sz="4" w:space="0"/>
              <w:left w:val="single" w:color="auto" w:sz="4" w:space="0"/>
              <w:bottom w:val="single" w:color="auto" w:sz="4" w:space="0"/>
              <w:right w:val="single" w:color="auto" w:sz="4" w:space="0"/>
            </w:tcBorders>
          </w:tcPr>
          <w:p w14:paraId="6E3A8AF0">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脱模能耗</w:t>
            </w:r>
          </w:p>
          <w:p w14:paraId="56F106BB">
            <w:pPr>
              <w:spacing w:line="300" w:lineRule="exact"/>
              <w:rPr>
                <w:rFonts w:asciiTheme="minorHAnsi" w:hAnsiTheme="minorHAnsi" w:cstheme="minorHAnsi"/>
                <w:color w:val="auto"/>
                <w:sz w:val="22"/>
              </w:rPr>
            </w:pPr>
            <w:r>
              <w:rPr>
                <w:rFonts w:asciiTheme="minorHAnsi" w:hAnsiTheme="minorHAnsi" w:cstheme="minorHAnsi"/>
                <w:color w:val="auto"/>
                <w:kern w:val="0"/>
                <w:sz w:val="22"/>
              </w:rPr>
              <w:t>指将压坯（3.2.11）从阴模（3.2.23）中顶出所需的总能量，通过对顶出力（3.2.31）与位移曲线金相积分获得。</w:t>
            </w:r>
          </w:p>
        </w:tc>
        <w:tc>
          <w:tcPr>
            <w:tcW w:w="1985" w:type="dxa"/>
            <w:tcBorders>
              <w:top w:val="single" w:color="auto" w:sz="4" w:space="0"/>
              <w:left w:val="single" w:color="auto" w:sz="4" w:space="0"/>
              <w:bottom w:val="single" w:color="auto" w:sz="4" w:space="0"/>
              <w:right w:val="single" w:color="auto" w:sz="4" w:space="0"/>
            </w:tcBorders>
          </w:tcPr>
          <w:p w14:paraId="779C2359">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 xml:space="preserve">脱模能量  </w:t>
            </w:r>
          </w:p>
          <w:p w14:paraId="3C05115B">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压坯从阴模中脱模的总能量，由脱模力和位移曲线积分得到。</w:t>
            </w:r>
          </w:p>
          <w:p w14:paraId="2977ABFF">
            <w:pPr>
              <w:spacing w:line="300" w:lineRule="exact"/>
              <w:rPr>
                <w:rFonts w:asciiTheme="minorHAnsi" w:hAnsiTheme="minorHAnsi" w:cstheme="minorHAnsi"/>
                <w:color w:val="auto"/>
                <w:kern w:val="0"/>
                <w:sz w:val="22"/>
              </w:rPr>
            </w:pPr>
          </w:p>
        </w:tc>
      </w:tr>
      <w:tr w14:paraId="06816F32">
        <w:tblPrEx>
          <w:tblCellMar>
            <w:top w:w="0" w:type="dxa"/>
            <w:left w:w="108" w:type="dxa"/>
            <w:bottom w:w="0" w:type="dxa"/>
            <w:right w:w="108" w:type="dxa"/>
          </w:tblCellMar>
        </w:tblPrEx>
        <w:trPr>
          <w:trHeight w:val="1544"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0D855567">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3.2.31</w:t>
            </w:r>
          </w:p>
          <w:p w14:paraId="4F2A02D8">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新增</w:t>
            </w: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19BBFBAD">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5BB2E234">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789CD43B">
            <w:pPr>
              <w:spacing w:line="300" w:lineRule="exact"/>
              <w:rPr>
                <w:rFonts w:asciiTheme="minorHAnsi" w:hAnsiTheme="minorHAnsi" w:cstheme="minorHAnsi"/>
                <w:b/>
                <w:bCs/>
                <w:color w:val="auto"/>
                <w:kern w:val="0"/>
                <w:sz w:val="22"/>
              </w:rPr>
            </w:pPr>
            <w:r>
              <w:rPr>
                <w:rFonts w:asciiTheme="minorHAnsi" w:hAnsiTheme="minorHAnsi" w:cstheme="minorHAnsi"/>
                <w:b/>
                <w:bCs/>
                <w:color w:val="auto"/>
                <w:kern w:val="0"/>
                <w:sz w:val="22"/>
              </w:rPr>
              <w:t>ejection force</w:t>
            </w:r>
          </w:p>
          <w:p w14:paraId="3386D87D">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maximum force necessary to eject green compact (3.2.11) from die (3.2.23)</w:t>
            </w:r>
          </w:p>
        </w:tc>
        <w:tc>
          <w:tcPr>
            <w:tcW w:w="3118" w:type="dxa"/>
            <w:tcBorders>
              <w:top w:val="single" w:color="auto" w:sz="4" w:space="0"/>
              <w:left w:val="single" w:color="auto" w:sz="4" w:space="0"/>
              <w:bottom w:val="single" w:color="auto" w:sz="4" w:space="0"/>
              <w:right w:val="single" w:color="auto" w:sz="4" w:space="0"/>
            </w:tcBorders>
            <w:shd w:val="clear" w:color="auto" w:fill="DEEBF6"/>
          </w:tcPr>
          <w:p w14:paraId="572C1364">
            <w:pPr>
              <w:pStyle w:val="58"/>
              <w:spacing w:line="300" w:lineRule="exact"/>
              <w:rPr>
                <w:rStyle w:val="54"/>
                <w:rFonts w:asciiTheme="minorHAnsi" w:hAnsiTheme="minorHAnsi" w:cstheme="minorHAnsi"/>
                <w:b w:val="0"/>
                <w:bCs w:val="0"/>
                <w:color w:val="auto"/>
                <w:kern w:val="0"/>
              </w:rPr>
            </w:pPr>
            <w:r>
              <w:rPr>
                <w:rStyle w:val="54"/>
                <w:rFonts w:asciiTheme="minorHAnsi" w:hAnsiTheme="minorHAnsi" w:cstheme="minorHAnsi"/>
                <w:color w:val="auto"/>
                <w:kern w:val="0"/>
              </w:rPr>
              <w:t>脱模力  ejection force</w:t>
            </w:r>
          </w:p>
          <w:p w14:paraId="50F0D751">
            <w:pPr>
              <w:spacing w:line="300" w:lineRule="exact"/>
              <w:ind w:firstLine="420"/>
              <w:rPr>
                <w:rStyle w:val="54"/>
                <w:rFonts w:asciiTheme="minorHAnsi" w:hAnsiTheme="minorHAnsi" w:cstheme="minorHAnsi"/>
                <w:b w:val="0"/>
                <w:bCs w:val="0"/>
                <w:color w:val="auto"/>
                <w:kern w:val="0"/>
              </w:rPr>
            </w:pPr>
            <w:r>
              <w:rPr>
                <w:rStyle w:val="54"/>
                <w:rFonts w:asciiTheme="minorHAnsi" w:hAnsiTheme="minorHAnsi" w:cstheme="minorHAnsi"/>
                <w:color w:val="auto"/>
                <w:kern w:val="0"/>
              </w:rPr>
              <w:t>将压坯（3.2.11）从阴模（3.2.23）中脱出所需的最大力。</w:t>
            </w:r>
          </w:p>
          <w:p w14:paraId="42811F29">
            <w:pPr>
              <w:spacing w:line="300" w:lineRule="exact"/>
              <w:rPr>
                <w:rFonts w:asciiTheme="minorHAnsi" w:hAnsiTheme="minorHAnsi" w:cstheme="minorHAnsi"/>
                <w:color w:val="auto"/>
                <w:kern w:val="0"/>
                <w:sz w:val="22"/>
              </w:rPr>
            </w:pPr>
          </w:p>
        </w:tc>
        <w:tc>
          <w:tcPr>
            <w:tcW w:w="2126" w:type="dxa"/>
            <w:tcBorders>
              <w:top w:val="single" w:color="auto" w:sz="4" w:space="0"/>
              <w:left w:val="single" w:color="auto" w:sz="4" w:space="0"/>
              <w:bottom w:val="single" w:color="auto" w:sz="4" w:space="0"/>
              <w:right w:val="single" w:color="auto" w:sz="4" w:space="0"/>
            </w:tcBorders>
          </w:tcPr>
          <w:p w14:paraId="6E952E79">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脱模力</w:t>
            </w:r>
          </w:p>
          <w:p w14:paraId="6C24DC34">
            <w:pPr>
              <w:spacing w:line="300" w:lineRule="exact"/>
              <w:rPr>
                <w:rFonts w:asciiTheme="minorHAnsi" w:hAnsiTheme="minorHAnsi" w:cstheme="minorHAnsi"/>
                <w:color w:val="auto"/>
                <w:sz w:val="22"/>
              </w:rPr>
            </w:pPr>
            <w:r>
              <w:rPr>
                <w:rFonts w:asciiTheme="minorHAnsi" w:hAnsiTheme="minorHAnsi" w:cstheme="minorHAnsi"/>
                <w:color w:val="auto"/>
                <w:kern w:val="0"/>
                <w:sz w:val="22"/>
              </w:rPr>
              <w:t>从阴模（3.2.23）中脱出生坯（3.2.11）所需最大力。</w:t>
            </w:r>
          </w:p>
        </w:tc>
        <w:tc>
          <w:tcPr>
            <w:tcW w:w="1985" w:type="dxa"/>
            <w:tcBorders>
              <w:top w:val="single" w:color="auto" w:sz="4" w:space="0"/>
              <w:left w:val="single" w:color="auto" w:sz="4" w:space="0"/>
              <w:bottom w:val="single" w:color="auto" w:sz="4" w:space="0"/>
              <w:right w:val="single" w:color="auto" w:sz="4" w:space="0"/>
            </w:tcBorders>
          </w:tcPr>
          <w:p w14:paraId="5D20A7A8">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 xml:space="preserve">脱模力 </w:t>
            </w:r>
          </w:p>
          <w:p w14:paraId="48CCC01B">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压坯从阴模中脱模所需的最大力。</w:t>
            </w:r>
          </w:p>
          <w:p w14:paraId="71F2B11C">
            <w:pPr>
              <w:spacing w:line="300" w:lineRule="exact"/>
              <w:rPr>
                <w:rFonts w:asciiTheme="minorHAnsi" w:hAnsiTheme="minorHAnsi" w:cstheme="minorHAnsi"/>
                <w:color w:val="auto"/>
                <w:kern w:val="0"/>
                <w:sz w:val="22"/>
              </w:rPr>
            </w:pPr>
          </w:p>
        </w:tc>
      </w:tr>
      <w:tr w14:paraId="6EADF653">
        <w:tblPrEx>
          <w:tblCellMar>
            <w:top w:w="0" w:type="dxa"/>
            <w:left w:w="108" w:type="dxa"/>
            <w:bottom w:w="0" w:type="dxa"/>
            <w:right w:w="108" w:type="dxa"/>
          </w:tblCellMar>
        </w:tblPrEx>
        <w:trPr>
          <w:trHeight w:val="2258"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2E93738F">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3.2.41</w:t>
            </w:r>
          </w:p>
          <w:p w14:paraId="69C4F6BC">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新增</w:t>
            </w: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443A7691">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11E38493">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6061C475">
            <w:pPr>
              <w:spacing w:line="300" w:lineRule="exact"/>
              <w:rPr>
                <w:rFonts w:asciiTheme="minorHAnsi" w:hAnsiTheme="minorHAnsi" w:cstheme="minorHAnsi"/>
                <w:b/>
                <w:bCs/>
                <w:color w:val="auto"/>
                <w:kern w:val="0"/>
                <w:sz w:val="22"/>
              </w:rPr>
            </w:pPr>
            <w:r>
              <w:rPr>
                <w:rFonts w:asciiTheme="minorHAnsi" w:hAnsiTheme="minorHAnsi" w:cstheme="minorHAnsi"/>
                <w:b/>
                <w:bCs/>
                <w:color w:val="auto"/>
                <w:kern w:val="0"/>
                <w:sz w:val="22"/>
              </w:rPr>
              <w:t>filler plate</w:t>
            </w:r>
          </w:p>
          <w:p w14:paraId="21BA9A2B">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plate positioned over the die upon which the feed shoe rests</w:t>
            </w:r>
          </w:p>
          <w:p w14:paraId="0EB9190C">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Note 1 to entry: See Figures 11 and 12.</w:t>
            </w:r>
          </w:p>
        </w:tc>
        <w:tc>
          <w:tcPr>
            <w:tcW w:w="3118" w:type="dxa"/>
            <w:tcBorders>
              <w:top w:val="single" w:color="auto" w:sz="4" w:space="0"/>
              <w:left w:val="single" w:color="auto" w:sz="4" w:space="0"/>
              <w:bottom w:val="single" w:color="auto" w:sz="4" w:space="0"/>
              <w:right w:val="single" w:color="auto" w:sz="4" w:space="0"/>
            </w:tcBorders>
            <w:shd w:val="clear" w:color="auto" w:fill="DEEBF6"/>
          </w:tcPr>
          <w:p w14:paraId="6E02A864">
            <w:pPr>
              <w:pStyle w:val="58"/>
              <w:spacing w:line="300" w:lineRule="exact"/>
              <w:rPr>
                <w:rStyle w:val="54"/>
                <w:rFonts w:asciiTheme="minorHAnsi" w:hAnsiTheme="minorHAnsi" w:cstheme="minorHAnsi"/>
                <w:b w:val="0"/>
                <w:bCs w:val="0"/>
                <w:color w:val="auto"/>
                <w:kern w:val="0"/>
              </w:rPr>
            </w:pPr>
            <w:r>
              <w:rPr>
                <w:rStyle w:val="54"/>
                <w:rFonts w:hint="eastAsia" w:asciiTheme="minorHAnsi" w:hAnsiTheme="minorHAnsi" w:cstheme="minorHAnsi"/>
                <w:color w:val="auto"/>
                <w:kern w:val="0"/>
              </w:rPr>
              <w:t>送粉</w:t>
            </w:r>
            <w:r>
              <w:rPr>
                <w:rStyle w:val="54"/>
                <w:rFonts w:asciiTheme="minorHAnsi" w:hAnsiTheme="minorHAnsi" w:cstheme="minorHAnsi"/>
                <w:color w:val="auto"/>
                <w:kern w:val="0"/>
              </w:rPr>
              <w:t>板 filler plate</w:t>
            </w:r>
          </w:p>
          <w:p w14:paraId="7702E5A8">
            <w:pPr>
              <w:spacing w:line="300" w:lineRule="exact"/>
              <w:ind w:firstLine="420"/>
              <w:rPr>
                <w:rFonts w:asciiTheme="minorHAnsi" w:hAnsiTheme="minorHAnsi" w:cstheme="minorHAnsi"/>
                <w:color w:val="auto"/>
                <w:kern w:val="0"/>
                <w:sz w:val="22"/>
              </w:rPr>
            </w:pPr>
            <w:r>
              <w:rPr>
                <w:rFonts w:asciiTheme="minorHAnsi" w:hAnsiTheme="minorHAnsi" w:cstheme="minorHAnsi"/>
                <w:color w:val="auto"/>
                <w:kern w:val="0"/>
                <w:sz w:val="22"/>
              </w:rPr>
              <w:t>位于阴模上方、供装粉靴放置的板件。</w:t>
            </w:r>
          </w:p>
          <w:p w14:paraId="45315C6F">
            <w:pPr>
              <w:spacing w:line="300" w:lineRule="exact"/>
              <w:ind w:firstLine="420"/>
              <w:rPr>
                <w:rStyle w:val="54"/>
                <w:rFonts w:asciiTheme="minorHAnsi" w:hAnsiTheme="minorHAnsi" w:cstheme="minorHAnsi"/>
                <w:b w:val="0"/>
                <w:bCs w:val="0"/>
                <w:color w:val="auto"/>
                <w:kern w:val="0"/>
              </w:rPr>
            </w:pPr>
            <w:r>
              <w:rPr>
                <w:rStyle w:val="54"/>
                <w:rFonts w:asciiTheme="minorHAnsi" w:hAnsiTheme="minorHAnsi" w:cstheme="minorHAnsi"/>
                <w:color w:val="auto"/>
                <w:kern w:val="0"/>
              </w:rPr>
              <w:t>注1：见图11和图12。</w:t>
            </w:r>
          </w:p>
          <w:p w14:paraId="11B3F8A7">
            <w:pPr>
              <w:spacing w:line="300" w:lineRule="exact"/>
              <w:rPr>
                <w:rFonts w:asciiTheme="minorHAnsi" w:hAnsiTheme="minorHAnsi" w:cstheme="minorHAnsi"/>
                <w:color w:val="auto"/>
                <w:kern w:val="0"/>
                <w:sz w:val="22"/>
              </w:rPr>
            </w:pPr>
          </w:p>
        </w:tc>
        <w:tc>
          <w:tcPr>
            <w:tcW w:w="2126" w:type="dxa"/>
            <w:tcBorders>
              <w:top w:val="single" w:color="auto" w:sz="4" w:space="0"/>
              <w:left w:val="single" w:color="auto" w:sz="4" w:space="0"/>
              <w:bottom w:val="single" w:color="auto" w:sz="4" w:space="0"/>
              <w:right w:val="single" w:color="auto" w:sz="4" w:space="0"/>
            </w:tcBorders>
          </w:tcPr>
          <w:p w14:paraId="4056C87A">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装粉固定板</w:t>
            </w:r>
          </w:p>
          <w:p w14:paraId="5C55D7CB">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指置于模具上方的板件，给料板在其上方停留。</w:t>
            </w:r>
          </w:p>
          <w:p w14:paraId="64448107">
            <w:pPr>
              <w:spacing w:line="300" w:lineRule="exact"/>
              <w:rPr>
                <w:rFonts w:asciiTheme="minorHAnsi" w:hAnsiTheme="minorHAnsi" w:cstheme="minorHAnsi"/>
                <w:color w:val="auto"/>
                <w:sz w:val="22"/>
              </w:rPr>
            </w:pPr>
            <w:r>
              <w:rPr>
                <w:rFonts w:hint="eastAsia" w:asciiTheme="minorHAnsi" w:hAnsiTheme="minorHAnsi" w:cstheme="minorHAnsi"/>
                <w:color w:val="auto"/>
                <w:kern w:val="0"/>
                <w:sz w:val="22"/>
              </w:rPr>
              <w:t>注1：</w:t>
            </w:r>
            <w:r>
              <w:rPr>
                <w:rFonts w:asciiTheme="minorHAnsi" w:hAnsiTheme="minorHAnsi" w:cstheme="minorHAnsi"/>
                <w:color w:val="auto"/>
                <w:kern w:val="0"/>
                <w:sz w:val="22"/>
              </w:rPr>
              <w:t>见图11和图12.</w:t>
            </w:r>
          </w:p>
        </w:tc>
        <w:tc>
          <w:tcPr>
            <w:tcW w:w="1985" w:type="dxa"/>
            <w:tcBorders>
              <w:top w:val="single" w:color="auto" w:sz="4" w:space="0"/>
              <w:left w:val="single" w:color="auto" w:sz="4" w:space="0"/>
              <w:bottom w:val="single" w:color="auto" w:sz="4" w:space="0"/>
              <w:right w:val="single" w:color="auto" w:sz="4" w:space="0"/>
            </w:tcBorders>
          </w:tcPr>
          <w:p w14:paraId="3316D42B">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 xml:space="preserve">填料板 </w:t>
            </w:r>
          </w:p>
          <w:p w14:paraId="0DD63B4F">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位于阴模上方的板，装粉靴靠在其上(见图13和14)。</w:t>
            </w:r>
          </w:p>
        </w:tc>
      </w:tr>
      <w:tr w14:paraId="5F055C63">
        <w:tblPrEx>
          <w:tblCellMar>
            <w:top w:w="0" w:type="dxa"/>
            <w:left w:w="108" w:type="dxa"/>
            <w:bottom w:w="0" w:type="dxa"/>
            <w:right w:w="108" w:type="dxa"/>
          </w:tblCellMar>
        </w:tblPrEx>
        <w:trPr>
          <w:trHeight w:val="1964"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22CFC9F0">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3.2.47</w:t>
            </w:r>
          </w:p>
          <w:p w14:paraId="1882B25D">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新增</w:t>
            </w: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690159C6">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73DDDF69">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21D0C139">
            <w:pPr>
              <w:spacing w:line="300" w:lineRule="exact"/>
              <w:rPr>
                <w:rFonts w:asciiTheme="minorHAnsi" w:hAnsiTheme="minorHAnsi" w:cstheme="minorHAnsi"/>
                <w:b/>
                <w:bCs/>
                <w:color w:val="auto"/>
                <w:kern w:val="0"/>
                <w:sz w:val="22"/>
              </w:rPr>
            </w:pPr>
            <w:r>
              <w:rPr>
                <w:rFonts w:asciiTheme="minorHAnsi" w:hAnsiTheme="minorHAnsi" w:cstheme="minorHAnsi"/>
                <w:b/>
                <w:bCs/>
                <w:color w:val="auto"/>
                <w:kern w:val="0"/>
                <w:sz w:val="22"/>
              </w:rPr>
              <w:t>green machining</w:t>
            </w:r>
          </w:p>
          <w:p w14:paraId="609167C5">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machining of a unsintered compact to a predetermined shape</w:t>
            </w:r>
          </w:p>
        </w:tc>
        <w:tc>
          <w:tcPr>
            <w:tcW w:w="3118" w:type="dxa"/>
            <w:tcBorders>
              <w:top w:val="single" w:color="auto" w:sz="4" w:space="0"/>
              <w:left w:val="single" w:color="auto" w:sz="4" w:space="0"/>
              <w:bottom w:val="single" w:color="auto" w:sz="4" w:space="0"/>
              <w:right w:val="single" w:color="auto" w:sz="4" w:space="0"/>
            </w:tcBorders>
            <w:shd w:val="clear" w:color="auto" w:fill="DEEBF6"/>
          </w:tcPr>
          <w:p w14:paraId="4546D605">
            <w:pPr>
              <w:pStyle w:val="58"/>
              <w:spacing w:line="300" w:lineRule="exact"/>
              <w:rPr>
                <w:rStyle w:val="54"/>
                <w:rFonts w:asciiTheme="minorHAnsi" w:hAnsiTheme="minorHAnsi" w:cstheme="minorHAnsi"/>
                <w:b w:val="0"/>
                <w:bCs w:val="0"/>
                <w:color w:val="auto"/>
                <w:kern w:val="0"/>
              </w:rPr>
            </w:pPr>
            <w:r>
              <w:rPr>
                <w:rStyle w:val="54"/>
                <w:rFonts w:asciiTheme="minorHAnsi" w:hAnsiTheme="minorHAnsi" w:cstheme="minorHAnsi"/>
                <w:color w:val="auto"/>
                <w:kern w:val="0"/>
              </w:rPr>
              <w:t>生坯加工 green machining</w:t>
            </w:r>
          </w:p>
          <w:p w14:paraId="498D5568">
            <w:pPr>
              <w:spacing w:line="300" w:lineRule="exact"/>
              <w:ind w:firstLine="420"/>
              <w:rPr>
                <w:rStyle w:val="54"/>
                <w:rFonts w:asciiTheme="minorHAnsi" w:hAnsiTheme="minorHAnsi" w:cstheme="minorHAnsi"/>
                <w:b w:val="0"/>
                <w:bCs w:val="0"/>
                <w:color w:val="auto"/>
                <w:kern w:val="0"/>
              </w:rPr>
            </w:pPr>
            <w:r>
              <w:rPr>
                <w:rStyle w:val="54"/>
                <w:rFonts w:asciiTheme="minorHAnsi" w:hAnsiTheme="minorHAnsi" w:cstheme="minorHAnsi"/>
                <w:color w:val="auto"/>
                <w:kern w:val="0"/>
              </w:rPr>
              <w:t>对未烧结压坯进行加工，使其达到预定形状</w:t>
            </w:r>
            <w:r>
              <w:rPr>
                <w:rStyle w:val="54"/>
                <w:rFonts w:hint="eastAsia" w:asciiTheme="minorHAnsi" w:hAnsiTheme="minorHAnsi" w:cstheme="minorHAnsi"/>
                <w:b w:val="0"/>
                <w:bCs w:val="0"/>
                <w:color w:val="auto"/>
                <w:kern w:val="0"/>
              </w:rPr>
              <w:t>的工艺</w:t>
            </w:r>
            <w:r>
              <w:rPr>
                <w:rStyle w:val="54"/>
                <w:rFonts w:asciiTheme="minorHAnsi" w:hAnsiTheme="minorHAnsi" w:cstheme="minorHAnsi"/>
                <w:color w:val="auto"/>
                <w:kern w:val="0"/>
              </w:rPr>
              <w:t>。</w:t>
            </w:r>
          </w:p>
          <w:p w14:paraId="4E125D95">
            <w:pPr>
              <w:spacing w:line="300" w:lineRule="exact"/>
              <w:rPr>
                <w:rFonts w:asciiTheme="minorHAnsi" w:hAnsiTheme="minorHAnsi" w:cstheme="minorHAnsi"/>
                <w:color w:val="auto"/>
                <w:kern w:val="0"/>
                <w:sz w:val="22"/>
              </w:rPr>
            </w:pPr>
          </w:p>
        </w:tc>
        <w:tc>
          <w:tcPr>
            <w:tcW w:w="2126" w:type="dxa"/>
            <w:tcBorders>
              <w:top w:val="single" w:color="auto" w:sz="4" w:space="0"/>
              <w:left w:val="single" w:color="auto" w:sz="4" w:space="0"/>
              <w:bottom w:val="single" w:color="auto" w:sz="4" w:space="0"/>
              <w:right w:val="single" w:color="auto" w:sz="4" w:space="0"/>
            </w:tcBorders>
          </w:tcPr>
          <w:p w14:paraId="319CFF10">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生坯加工</w:t>
            </w:r>
          </w:p>
          <w:p w14:paraId="6EF1CBCC">
            <w:pPr>
              <w:spacing w:line="300" w:lineRule="exact"/>
              <w:rPr>
                <w:rFonts w:asciiTheme="minorHAnsi" w:hAnsiTheme="minorHAnsi" w:cstheme="minorHAnsi"/>
                <w:color w:val="auto"/>
                <w:sz w:val="22"/>
              </w:rPr>
            </w:pPr>
            <w:r>
              <w:rPr>
                <w:rFonts w:asciiTheme="minorHAnsi" w:hAnsiTheme="minorHAnsi" w:cstheme="minorHAnsi"/>
                <w:color w:val="auto"/>
                <w:kern w:val="0"/>
                <w:sz w:val="22"/>
              </w:rPr>
              <w:t>将未烧结的压坯加工成预定形状。</w:t>
            </w:r>
          </w:p>
        </w:tc>
        <w:tc>
          <w:tcPr>
            <w:tcW w:w="1985" w:type="dxa"/>
            <w:tcBorders>
              <w:top w:val="single" w:color="auto" w:sz="4" w:space="0"/>
              <w:left w:val="single" w:color="auto" w:sz="4" w:space="0"/>
              <w:bottom w:val="single" w:color="auto" w:sz="4" w:space="0"/>
              <w:right w:val="single" w:color="auto" w:sz="4" w:space="0"/>
            </w:tcBorders>
          </w:tcPr>
          <w:p w14:paraId="4D2439C9">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 xml:space="preserve">压坯机 </w:t>
            </w:r>
          </w:p>
          <w:p w14:paraId="01C9A46C">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将未烧结的坯料加工成指定形状的仪器。</w:t>
            </w:r>
          </w:p>
          <w:p w14:paraId="2FB572E4">
            <w:pPr>
              <w:spacing w:line="300" w:lineRule="exact"/>
              <w:rPr>
                <w:rFonts w:asciiTheme="minorHAnsi" w:hAnsiTheme="minorHAnsi" w:cstheme="minorHAnsi"/>
                <w:color w:val="auto"/>
                <w:kern w:val="0"/>
                <w:sz w:val="22"/>
              </w:rPr>
            </w:pPr>
          </w:p>
        </w:tc>
      </w:tr>
      <w:tr w14:paraId="721AC6B4">
        <w:tblPrEx>
          <w:tblCellMar>
            <w:top w:w="0" w:type="dxa"/>
            <w:left w:w="108" w:type="dxa"/>
            <w:bottom w:w="0" w:type="dxa"/>
            <w:right w:w="108" w:type="dxa"/>
          </w:tblCellMar>
        </w:tblPrEx>
        <w:trPr>
          <w:trHeight w:val="3251"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6BB61E59">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3.2.53新增</w:t>
            </w: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44B73B1C">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446387E6">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39615D85">
            <w:pPr>
              <w:spacing w:line="300" w:lineRule="exact"/>
              <w:rPr>
                <w:rFonts w:asciiTheme="minorHAnsi" w:hAnsiTheme="minorHAnsi" w:cstheme="minorHAnsi"/>
                <w:b/>
                <w:bCs/>
                <w:color w:val="auto"/>
                <w:kern w:val="0"/>
                <w:sz w:val="22"/>
              </w:rPr>
            </w:pPr>
            <w:r>
              <w:rPr>
                <w:rFonts w:asciiTheme="minorHAnsi" w:hAnsiTheme="minorHAnsi" w:cstheme="minorHAnsi"/>
                <w:b/>
                <w:bCs/>
                <w:color w:val="auto"/>
                <w:kern w:val="0"/>
                <w:sz w:val="22"/>
              </w:rPr>
              <w:t>lamination crack</w:t>
            </w:r>
          </w:p>
          <w:p w14:paraId="674D7E6C">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defect(s) roughly parallel to the punch faces of the part</w:t>
            </w:r>
          </w:p>
          <w:p w14:paraId="22F7DD89">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Note 1 to entry: These defects usually occur when powder is compressed to high density and the relaxation</w:t>
            </w:r>
          </w:p>
          <w:p w14:paraId="19FAA49E">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forces during pressure release exceed the binding force between the particles</w:t>
            </w:r>
          </w:p>
        </w:tc>
        <w:tc>
          <w:tcPr>
            <w:tcW w:w="3118" w:type="dxa"/>
            <w:tcBorders>
              <w:top w:val="single" w:color="auto" w:sz="4" w:space="0"/>
              <w:left w:val="single" w:color="auto" w:sz="4" w:space="0"/>
              <w:bottom w:val="single" w:color="auto" w:sz="4" w:space="0"/>
              <w:right w:val="single" w:color="auto" w:sz="4" w:space="0"/>
            </w:tcBorders>
            <w:shd w:val="clear" w:color="auto" w:fill="DEEBF6"/>
          </w:tcPr>
          <w:p w14:paraId="3F89FEB1">
            <w:pPr>
              <w:rPr>
                <w:rStyle w:val="54"/>
                <w:rFonts w:asciiTheme="minorHAnsi" w:hAnsiTheme="minorHAnsi" w:cstheme="minorHAnsi"/>
                <w:b w:val="0"/>
                <w:bCs w:val="0"/>
                <w:color w:val="auto"/>
                <w:kern w:val="0"/>
              </w:rPr>
            </w:pPr>
            <w:r>
              <w:rPr>
                <w:rStyle w:val="54"/>
                <w:rFonts w:asciiTheme="minorHAnsi" w:hAnsiTheme="minorHAnsi" w:cstheme="minorHAnsi"/>
                <w:color w:val="auto"/>
                <w:kern w:val="0"/>
              </w:rPr>
              <w:t>分层裂纹  lamination crack</w:t>
            </w:r>
          </w:p>
          <w:p w14:paraId="2BFC961B">
            <w:pPr>
              <w:spacing w:line="300" w:lineRule="exact"/>
              <w:ind w:firstLine="420"/>
              <w:rPr>
                <w:rStyle w:val="54"/>
                <w:rFonts w:asciiTheme="minorHAnsi" w:hAnsiTheme="minorHAnsi" w:cstheme="minorHAnsi"/>
                <w:b w:val="0"/>
                <w:bCs w:val="0"/>
                <w:color w:val="auto"/>
                <w:kern w:val="0"/>
              </w:rPr>
            </w:pPr>
            <w:r>
              <w:rPr>
                <w:rStyle w:val="54"/>
                <w:rFonts w:asciiTheme="minorHAnsi" w:hAnsiTheme="minorHAnsi" w:cstheme="minorHAnsi"/>
                <w:color w:val="auto"/>
                <w:kern w:val="0"/>
              </w:rPr>
              <w:t>与</w:t>
            </w:r>
            <w:r>
              <w:rPr>
                <w:rStyle w:val="54"/>
                <w:rFonts w:hint="eastAsia" w:asciiTheme="minorHAnsi" w:hAnsiTheme="minorHAnsi" w:cstheme="minorHAnsi"/>
                <w:color w:val="auto"/>
                <w:kern w:val="0"/>
              </w:rPr>
              <w:t>部（</w:t>
            </w:r>
            <w:r>
              <w:rPr>
                <w:rStyle w:val="54"/>
                <w:rFonts w:hint="eastAsia" w:asciiTheme="minorHAnsi" w:hAnsiTheme="minorHAnsi" w:cstheme="minorHAnsi"/>
                <w:b w:val="0"/>
                <w:bCs w:val="0"/>
                <w:color w:val="auto"/>
                <w:kern w:val="0"/>
              </w:rPr>
              <w:t>零</w:t>
            </w:r>
            <w:r>
              <w:rPr>
                <w:rStyle w:val="54"/>
                <w:rFonts w:hint="eastAsia" w:asciiTheme="minorHAnsi" w:hAnsiTheme="minorHAnsi" w:cstheme="minorHAnsi"/>
                <w:color w:val="auto"/>
                <w:kern w:val="0"/>
              </w:rPr>
              <w:t>）</w:t>
            </w:r>
            <w:r>
              <w:rPr>
                <w:rStyle w:val="54"/>
                <w:rFonts w:asciiTheme="minorHAnsi" w:hAnsiTheme="minorHAnsi" w:cstheme="minorHAnsi"/>
                <w:color w:val="auto"/>
                <w:kern w:val="0"/>
              </w:rPr>
              <w:t>件模冲端面大致平行的缺陷。</w:t>
            </w:r>
          </w:p>
          <w:p w14:paraId="1417606E">
            <w:pPr>
              <w:spacing w:line="300" w:lineRule="exact"/>
              <w:ind w:firstLine="420"/>
              <w:rPr>
                <w:rFonts w:asciiTheme="minorHAnsi" w:hAnsiTheme="minorHAnsi" w:cstheme="minorHAnsi"/>
                <w:color w:val="auto"/>
                <w:kern w:val="0"/>
                <w:sz w:val="22"/>
              </w:rPr>
            </w:pPr>
            <w:r>
              <w:rPr>
                <w:rStyle w:val="54"/>
                <w:rFonts w:asciiTheme="minorHAnsi" w:hAnsiTheme="minorHAnsi" w:cstheme="minorHAnsi"/>
                <w:color w:val="auto"/>
                <w:kern w:val="0"/>
              </w:rPr>
              <w:t>注1：</w:t>
            </w:r>
            <w:r>
              <w:rPr>
                <w:rFonts w:hint="eastAsia" w:asciiTheme="minorHAnsi" w:hAnsiTheme="minorHAnsi" w:cstheme="minorHAnsi"/>
                <w:color w:val="auto"/>
                <w:kern w:val="0"/>
                <w:sz w:val="22"/>
              </w:rPr>
              <w:t>在粉末被压缩至高密度且卸压过程中的松弛力超过颗粒间结合力时产生的缺陷。</w:t>
            </w:r>
          </w:p>
        </w:tc>
        <w:tc>
          <w:tcPr>
            <w:tcW w:w="2126" w:type="dxa"/>
            <w:tcBorders>
              <w:top w:val="single" w:color="auto" w:sz="4" w:space="0"/>
              <w:left w:val="single" w:color="auto" w:sz="4" w:space="0"/>
              <w:bottom w:val="single" w:color="auto" w:sz="4" w:space="0"/>
              <w:right w:val="single" w:color="auto" w:sz="4" w:space="0"/>
            </w:tcBorders>
          </w:tcPr>
          <w:p w14:paraId="5FDB0E89">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层状裂纹</w:t>
            </w:r>
          </w:p>
          <w:p w14:paraId="71C98EE9">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大致平行于部件冲头表面的缺陷。</w:t>
            </w:r>
          </w:p>
        </w:tc>
        <w:tc>
          <w:tcPr>
            <w:tcW w:w="1985" w:type="dxa"/>
            <w:tcBorders>
              <w:top w:val="single" w:color="auto" w:sz="4" w:space="0"/>
              <w:left w:val="single" w:color="auto" w:sz="4" w:space="0"/>
              <w:bottom w:val="single" w:color="auto" w:sz="4" w:space="0"/>
              <w:right w:val="single" w:color="auto" w:sz="4" w:space="0"/>
            </w:tcBorders>
          </w:tcPr>
          <w:p w14:paraId="5C7C651F">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分层裂纹</w:t>
            </w:r>
          </w:p>
          <w:p w14:paraId="2B40466E">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与部件冲头面大致平行的缺陷。</w:t>
            </w:r>
          </w:p>
          <w:p w14:paraId="5BDAC094">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注1：这些缺陷通常发生在粉末被压缩至高密度且卸压过程中产生的松弛力超过颗粒间结合力时。</w:t>
            </w:r>
          </w:p>
        </w:tc>
      </w:tr>
      <w:tr w14:paraId="786EDCCD">
        <w:tblPrEx>
          <w:tblCellMar>
            <w:top w:w="0" w:type="dxa"/>
            <w:left w:w="108" w:type="dxa"/>
            <w:bottom w:w="0" w:type="dxa"/>
            <w:right w:w="108" w:type="dxa"/>
          </w:tblCellMar>
        </w:tblPrEx>
        <w:trPr>
          <w:trHeight w:val="112"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0845D889">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3.2.55拆分</w:t>
            </w: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7A90BE08">
            <w:pPr>
              <w:snapToGrid w:val="0"/>
              <w:spacing w:before="120" w:after="120" w:line="300" w:lineRule="exact"/>
              <w:jc w:val="left"/>
              <w:rPr>
                <w:rFonts w:asciiTheme="minorHAnsi" w:hAnsiTheme="minorHAnsi" w:cstheme="minorHAnsi"/>
                <w:b/>
                <w:color w:val="auto"/>
                <w:kern w:val="0"/>
                <w:sz w:val="22"/>
              </w:rPr>
            </w:pPr>
            <w:r>
              <w:rPr>
                <w:rFonts w:asciiTheme="minorHAnsi" w:hAnsiTheme="minorHAnsi" w:cstheme="minorHAnsi"/>
                <w:b/>
                <w:color w:val="auto"/>
                <w:sz w:val="22"/>
              </w:rPr>
              <w:t xml:space="preserve">base plate (lower coupler plate)  </w:t>
            </w:r>
          </w:p>
          <w:p w14:paraId="1DD736F0">
            <w:pPr>
              <w:snapToGrid w:val="0"/>
              <w:spacing w:before="120" w:after="120" w:line="300" w:lineRule="exact"/>
              <w:jc w:val="left"/>
              <w:rPr>
                <w:rFonts w:asciiTheme="minorHAnsi" w:hAnsiTheme="minorHAnsi" w:cstheme="minorHAnsi"/>
                <w:color w:val="auto"/>
                <w:kern w:val="0"/>
                <w:sz w:val="22"/>
              </w:rPr>
            </w:pPr>
            <w:r>
              <w:rPr>
                <w:rFonts w:asciiTheme="minorHAnsi" w:hAnsiTheme="minorHAnsi" w:cstheme="minorHAnsi"/>
                <w:color w:val="auto"/>
                <w:sz w:val="22"/>
              </w:rPr>
              <w:t xml:space="preserve">part of the tool set adaptor transmitting the movement of the machine lower ram to the tool set  </w:t>
            </w:r>
          </w:p>
          <w:p w14:paraId="64635CBE">
            <w:pPr>
              <w:widowControl/>
              <w:snapToGrid w:val="0"/>
              <w:spacing w:line="300" w:lineRule="exact"/>
              <w:jc w:val="left"/>
              <w:rPr>
                <w:rFonts w:asciiTheme="minorHAnsi" w:hAnsiTheme="minorHAnsi" w:cstheme="minorHAnsi"/>
                <w:color w:val="auto"/>
                <w:sz w:val="22"/>
              </w:rPr>
            </w:pPr>
            <w:r>
              <w:rPr>
                <w:rFonts w:asciiTheme="minorHAnsi" w:hAnsiTheme="minorHAnsi" w:cstheme="minorHAnsi"/>
                <w:color w:val="auto"/>
                <w:sz w:val="22"/>
              </w:rPr>
              <w:t>See Figure 13</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52E9D0C5">
            <w:pPr>
              <w:spacing w:line="300" w:lineRule="exact"/>
              <w:rPr>
                <w:rFonts w:asciiTheme="minorHAnsi" w:hAnsiTheme="minorHAnsi" w:cstheme="minorHAnsi"/>
                <w:color w:val="auto"/>
                <w:sz w:val="22"/>
              </w:rPr>
            </w:pPr>
            <w:r>
              <w:rPr>
                <w:rFonts w:asciiTheme="minorHAnsi" w:hAnsiTheme="minorHAnsi" w:cstheme="minorHAnsi"/>
                <w:color w:val="auto"/>
                <w:kern w:val="0"/>
                <w:sz w:val="22"/>
              </w:rPr>
              <w:t>底板（base plate,lower coupler plate）：将压机下压头的运动传递给模架接合器的部件（见图13）。</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6EFAF70C">
            <w:pPr>
              <w:spacing w:line="300" w:lineRule="exact"/>
              <w:rPr>
                <w:rFonts w:asciiTheme="minorHAnsi" w:hAnsiTheme="minorHAnsi" w:cstheme="minorHAnsi"/>
                <w:b/>
                <w:bCs/>
                <w:color w:val="auto"/>
                <w:kern w:val="0"/>
                <w:sz w:val="22"/>
              </w:rPr>
            </w:pPr>
            <w:r>
              <w:rPr>
                <w:rFonts w:asciiTheme="minorHAnsi" w:hAnsiTheme="minorHAnsi" w:cstheme="minorHAnsi"/>
                <w:b/>
                <w:bCs/>
                <w:color w:val="auto"/>
                <w:kern w:val="0"/>
                <w:sz w:val="22"/>
              </w:rPr>
              <w:t>lower coupler plate</w:t>
            </w:r>
          </w:p>
          <w:p w14:paraId="2CE46D43">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part of the tool set adaptor transmitting the movement of the machine lower ram to the tool set</w:t>
            </w:r>
          </w:p>
          <w:p w14:paraId="52407E60">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Note 1 to entry: See Figures 11 and 12</w:t>
            </w:r>
          </w:p>
        </w:tc>
        <w:tc>
          <w:tcPr>
            <w:tcW w:w="3118" w:type="dxa"/>
            <w:tcBorders>
              <w:top w:val="single" w:color="auto" w:sz="4" w:space="0"/>
              <w:left w:val="single" w:color="auto" w:sz="4" w:space="0"/>
              <w:bottom w:val="single" w:color="auto" w:sz="4" w:space="0"/>
              <w:right w:val="single" w:color="auto" w:sz="4" w:space="0"/>
            </w:tcBorders>
            <w:shd w:val="clear" w:color="auto" w:fill="DEEBF6"/>
          </w:tcPr>
          <w:p w14:paraId="0F3D1D51">
            <w:pPr>
              <w:pStyle w:val="58"/>
              <w:spacing w:line="300" w:lineRule="exact"/>
              <w:rPr>
                <w:rStyle w:val="54"/>
                <w:rFonts w:asciiTheme="minorHAnsi" w:hAnsiTheme="minorHAnsi" w:cstheme="minorHAnsi"/>
                <w:b w:val="0"/>
                <w:bCs w:val="0"/>
                <w:color w:val="auto"/>
                <w:kern w:val="0"/>
              </w:rPr>
            </w:pPr>
            <w:r>
              <w:rPr>
                <w:rStyle w:val="54"/>
                <w:rFonts w:asciiTheme="minorHAnsi" w:hAnsiTheme="minorHAnsi" w:cstheme="minorHAnsi"/>
                <w:color w:val="auto"/>
                <w:kern w:val="0"/>
              </w:rPr>
              <w:t>下连接板  lower coupler plate</w:t>
            </w:r>
          </w:p>
          <w:p w14:paraId="369A6A3E">
            <w:pPr>
              <w:pStyle w:val="58"/>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模架接合器的部件，用于将压机下压头的运动传递至模架。</w:t>
            </w:r>
          </w:p>
          <w:p w14:paraId="5CEAA0BE">
            <w:pPr>
              <w:pStyle w:val="58"/>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注1：见图11和12。</w:t>
            </w:r>
          </w:p>
          <w:p w14:paraId="30257928">
            <w:pPr>
              <w:spacing w:line="300" w:lineRule="exact"/>
              <w:rPr>
                <w:rFonts w:asciiTheme="minorHAnsi" w:hAnsiTheme="minorHAnsi" w:cstheme="minorHAnsi"/>
                <w:color w:val="auto"/>
                <w:kern w:val="0"/>
                <w:sz w:val="22"/>
              </w:rPr>
            </w:pPr>
          </w:p>
        </w:tc>
        <w:tc>
          <w:tcPr>
            <w:tcW w:w="2126" w:type="dxa"/>
            <w:tcBorders>
              <w:top w:val="single" w:color="auto" w:sz="4" w:space="0"/>
              <w:left w:val="single" w:color="auto" w:sz="4" w:space="0"/>
              <w:bottom w:val="single" w:color="auto" w:sz="4" w:space="0"/>
              <w:right w:val="single" w:color="auto" w:sz="4" w:space="0"/>
            </w:tcBorders>
          </w:tcPr>
          <w:p w14:paraId="28A5CF18">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 xml:space="preserve">底板 </w:t>
            </w:r>
          </w:p>
          <w:p w14:paraId="7C06A435">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将压机下压头的运动传递给模具的部件。</w:t>
            </w:r>
          </w:p>
        </w:tc>
        <w:tc>
          <w:tcPr>
            <w:tcW w:w="1985" w:type="dxa"/>
            <w:tcBorders>
              <w:top w:val="single" w:color="auto" w:sz="4" w:space="0"/>
              <w:left w:val="single" w:color="auto" w:sz="4" w:space="0"/>
              <w:bottom w:val="single" w:color="auto" w:sz="4" w:space="0"/>
              <w:right w:val="single" w:color="auto" w:sz="4" w:space="0"/>
            </w:tcBorders>
          </w:tcPr>
          <w:p w14:paraId="25D672F3">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 xml:space="preserve">底板 </w:t>
            </w:r>
          </w:p>
          <w:p w14:paraId="2F04AB1F">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将压机下压头的运动传递给模架接合器的部件。</w:t>
            </w:r>
          </w:p>
          <w:p w14:paraId="61258BBE">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注1：见图11和图12。</w:t>
            </w:r>
          </w:p>
        </w:tc>
      </w:tr>
      <w:tr w14:paraId="197A62DE">
        <w:tblPrEx>
          <w:tblCellMar>
            <w:top w:w="0" w:type="dxa"/>
            <w:left w:w="108" w:type="dxa"/>
            <w:bottom w:w="0" w:type="dxa"/>
            <w:right w:w="108" w:type="dxa"/>
          </w:tblCellMar>
        </w:tblPrEx>
        <w:trPr>
          <w:trHeight w:val="1692"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50198A13">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3.2.56新增</w:t>
            </w: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7ED2E06D">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7AF8BA84">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33186326">
            <w:pPr>
              <w:spacing w:line="300" w:lineRule="exact"/>
              <w:rPr>
                <w:rFonts w:asciiTheme="minorHAnsi" w:hAnsiTheme="minorHAnsi" w:cstheme="minorHAnsi"/>
                <w:b/>
                <w:bCs/>
                <w:color w:val="auto"/>
                <w:kern w:val="0"/>
                <w:sz w:val="22"/>
              </w:rPr>
            </w:pPr>
            <w:r>
              <w:rPr>
                <w:rFonts w:asciiTheme="minorHAnsi" w:hAnsiTheme="minorHAnsi" w:cstheme="minorHAnsi"/>
                <w:b/>
                <w:bCs/>
                <w:color w:val="auto"/>
                <w:kern w:val="0"/>
                <w:sz w:val="22"/>
              </w:rPr>
              <w:t>lower plate</w:t>
            </w:r>
          </w:p>
          <w:p w14:paraId="49A072C2">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movable plate of the adaptor for connecting a lower punch (3.2.57)</w:t>
            </w:r>
          </w:p>
        </w:tc>
        <w:tc>
          <w:tcPr>
            <w:tcW w:w="3118" w:type="dxa"/>
            <w:tcBorders>
              <w:top w:val="single" w:color="auto" w:sz="4" w:space="0"/>
              <w:left w:val="single" w:color="auto" w:sz="4" w:space="0"/>
              <w:bottom w:val="single" w:color="auto" w:sz="4" w:space="0"/>
              <w:right w:val="single" w:color="auto" w:sz="4" w:space="0"/>
            </w:tcBorders>
            <w:shd w:val="clear" w:color="auto" w:fill="DEEBF6"/>
          </w:tcPr>
          <w:p w14:paraId="2B5F6108">
            <w:pPr>
              <w:pStyle w:val="58"/>
              <w:spacing w:line="300" w:lineRule="exact"/>
              <w:rPr>
                <w:rStyle w:val="54"/>
                <w:rFonts w:asciiTheme="minorHAnsi" w:hAnsiTheme="minorHAnsi" w:cstheme="minorHAnsi"/>
                <w:b w:val="0"/>
                <w:bCs w:val="0"/>
                <w:color w:val="auto"/>
                <w:kern w:val="0"/>
              </w:rPr>
            </w:pPr>
            <w:r>
              <w:rPr>
                <w:rStyle w:val="54"/>
                <w:rFonts w:asciiTheme="minorHAnsi" w:hAnsiTheme="minorHAnsi" w:cstheme="minorHAnsi"/>
                <w:color w:val="auto"/>
                <w:kern w:val="0"/>
              </w:rPr>
              <w:t>下模板  lower plate</w:t>
            </w:r>
          </w:p>
          <w:p w14:paraId="051A409C">
            <w:pPr>
              <w:pStyle w:val="58"/>
              <w:spacing w:line="300" w:lineRule="exact"/>
              <w:rPr>
                <w:rStyle w:val="54"/>
                <w:rFonts w:asciiTheme="minorHAnsi" w:hAnsiTheme="minorHAnsi" w:cstheme="minorHAnsi"/>
                <w:b w:val="0"/>
                <w:bCs w:val="0"/>
                <w:color w:val="auto"/>
                <w:kern w:val="0"/>
              </w:rPr>
            </w:pPr>
            <w:r>
              <w:rPr>
                <w:rStyle w:val="54"/>
                <w:rFonts w:asciiTheme="minorHAnsi" w:hAnsiTheme="minorHAnsi" w:cstheme="minorHAnsi"/>
                <w:color w:val="auto"/>
                <w:kern w:val="0"/>
              </w:rPr>
              <w:t>接合器中用于连接下模冲(3.2.57)的活动板。</w:t>
            </w:r>
          </w:p>
          <w:p w14:paraId="5B2D45D6">
            <w:pPr>
              <w:pStyle w:val="58"/>
              <w:spacing w:line="300" w:lineRule="exact"/>
              <w:rPr>
                <w:rStyle w:val="54"/>
                <w:rFonts w:asciiTheme="minorHAnsi" w:hAnsiTheme="minorHAnsi" w:cstheme="minorHAnsi"/>
                <w:b w:val="0"/>
                <w:bCs w:val="0"/>
                <w:color w:val="auto"/>
                <w:kern w:val="0"/>
              </w:rPr>
            </w:pPr>
          </w:p>
          <w:p w14:paraId="72DD002D">
            <w:pPr>
              <w:pStyle w:val="58"/>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注1：见图12。</w:t>
            </w:r>
          </w:p>
        </w:tc>
        <w:tc>
          <w:tcPr>
            <w:tcW w:w="2126" w:type="dxa"/>
            <w:tcBorders>
              <w:top w:val="single" w:color="auto" w:sz="4" w:space="0"/>
              <w:left w:val="single" w:color="auto" w:sz="4" w:space="0"/>
              <w:bottom w:val="single" w:color="auto" w:sz="4" w:space="0"/>
              <w:right w:val="single" w:color="auto" w:sz="4" w:space="0"/>
            </w:tcBorders>
          </w:tcPr>
          <w:p w14:paraId="235CAB98">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 xml:space="preserve">下模板 </w:t>
            </w:r>
          </w:p>
          <w:p w14:paraId="352FB9C4">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用于连接下模冲（3.2.57） 的接合器活动板。</w:t>
            </w:r>
          </w:p>
        </w:tc>
        <w:tc>
          <w:tcPr>
            <w:tcW w:w="1985" w:type="dxa"/>
            <w:tcBorders>
              <w:top w:val="single" w:color="auto" w:sz="4" w:space="0"/>
              <w:left w:val="single" w:color="auto" w:sz="4" w:space="0"/>
              <w:bottom w:val="single" w:color="auto" w:sz="4" w:space="0"/>
              <w:right w:val="single" w:color="auto" w:sz="4" w:space="0"/>
            </w:tcBorders>
          </w:tcPr>
          <w:p w14:paraId="02F65BFD">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 xml:space="preserve">下模板 </w:t>
            </w:r>
          </w:p>
          <w:p w14:paraId="4033ACD6">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接合器中用于连接下模冲（3.2.57）的活动板。</w:t>
            </w:r>
          </w:p>
        </w:tc>
      </w:tr>
      <w:tr w14:paraId="04329945">
        <w:tblPrEx>
          <w:tblCellMar>
            <w:top w:w="0" w:type="dxa"/>
            <w:left w:w="108" w:type="dxa"/>
            <w:bottom w:w="0" w:type="dxa"/>
            <w:right w:w="108" w:type="dxa"/>
          </w:tblCellMar>
        </w:tblPrEx>
        <w:trPr>
          <w:trHeight w:val="1094"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072F8FF4">
            <w:pPr>
              <w:spacing w:line="300" w:lineRule="exact"/>
              <w:rPr>
                <w:rFonts w:asciiTheme="minorHAnsi" w:hAnsiTheme="minorHAnsi" w:cstheme="minorHAnsi"/>
                <w:color w:val="auto"/>
                <w:kern w:val="0"/>
                <w:sz w:val="22"/>
              </w:rPr>
            </w:pPr>
            <w:r>
              <w:rPr>
                <w:rFonts w:asciiTheme="minorHAnsi" w:hAnsiTheme="minorHAnsi" w:cstheme="minorHAnsi"/>
                <w:color w:val="auto"/>
                <w:sz w:val="22"/>
              </w:rPr>
              <w:t>3.2.60拆分</w:t>
            </w: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46B24B0C">
            <w:pPr>
              <w:snapToGrid w:val="0"/>
              <w:spacing w:before="120" w:after="120" w:line="300" w:lineRule="exact"/>
              <w:jc w:val="left"/>
              <w:rPr>
                <w:rFonts w:asciiTheme="minorHAnsi" w:hAnsiTheme="minorHAnsi" w:cstheme="minorHAnsi"/>
                <w:b/>
                <w:color w:val="auto"/>
                <w:kern w:val="0"/>
                <w:sz w:val="22"/>
              </w:rPr>
            </w:pPr>
            <w:r>
              <w:rPr>
                <w:rFonts w:asciiTheme="minorHAnsi" w:hAnsiTheme="minorHAnsi" w:cstheme="minorHAnsi"/>
                <w:b/>
                <w:color w:val="auto"/>
                <w:sz w:val="22"/>
              </w:rPr>
              <w:t xml:space="preserve">mould  </w:t>
            </w:r>
          </w:p>
          <w:p w14:paraId="40F5E92B">
            <w:pPr>
              <w:snapToGrid w:val="0"/>
              <w:spacing w:before="120" w:after="120" w:line="300" w:lineRule="exact"/>
              <w:jc w:val="left"/>
              <w:rPr>
                <w:rFonts w:asciiTheme="minorHAnsi" w:hAnsiTheme="minorHAnsi" w:cstheme="minorHAnsi"/>
                <w:color w:val="auto"/>
                <w:kern w:val="0"/>
                <w:sz w:val="22"/>
              </w:rPr>
            </w:pPr>
            <w:r>
              <w:rPr>
                <w:rFonts w:asciiTheme="minorHAnsi" w:hAnsiTheme="minorHAnsi" w:cstheme="minorHAnsi"/>
                <w:color w:val="auto"/>
                <w:sz w:val="22"/>
              </w:rPr>
              <w:t xml:space="preserve">container in which powder is loosely packed and sintered, cast as slurry, isostatically pressed or injection-moulded  </w:t>
            </w:r>
          </w:p>
          <w:p w14:paraId="34FF0059">
            <w:pPr>
              <w:widowControl/>
              <w:snapToGrid w:val="0"/>
              <w:spacing w:line="300" w:lineRule="exact"/>
              <w:jc w:val="left"/>
              <w:rPr>
                <w:rFonts w:asciiTheme="minorHAnsi" w:hAnsiTheme="minorHAnsi" w:cstheme="minorHAnsi"/>
                <w:color w:val="auto"/>
                <w:sz w:val="22"/>
              </w:rPr>
            </w:pPr>
            <w:r>
              <w:rPr>
                <w:rFonts w:asciiTheme="minorHAnsi" w:hAnsiTheme="minorHAnsi" w:cstheme="minorHAnsi"/>
                <w:color w:val="auto"/>
                <w:sz w:val="22"/>
              </w:rPr>
              <w:t>NOTE Moulds for cold isostatic pressing are at least partly flexible.</w:t>
            </w:r>
          </w:p>
          <w:p w14:paraId="35BD151F">
            <w:pPr>
              <w:spacing w:line="300" w:lineRule="exact"/>
              <w:rPr>
                <w:rFonts w:asciiTheme="minorHAnsi" w:hAnsiTheme="minorHAnsi" w:cstheme="minorHAnsi"/>
                <w:color w:val="auto"/>
                <w:sz w:val="22"/>
              </w:rPr>
            </w:pP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31E02858">
            <w:pPr>
              <w:spacing w:line="300" w:lineRule="exact"/>
              <w:rPr>
                <w:rFonts w:asciiTheme="minorHAnsi" w:hAnsiTheme="minorHAnsi" w:cstheme="minorHAnsi"/>
                <w:color w:val="auto"/>
                <w:sz w:val="22"/>
              </w:rPr>
            </w:pPr>
            <w:r>
              <w:rPr>
                <w:rFonts w:asciiTheme="minorHAnsi" w:hAnsiTheme="minorHAnsi" w:cstheme="minorHAnsi"/>
                <w:color w:val="auto"/>
                <w:sz w:val="22"/>
              </w:rPr>
              <w:t>模具（mould）：用于粉末松装烧结、粉浆浇注、等静压制或注射成形的容器。</w:t>
            </w:r>
            <w:r>
              <w:rPr>
                <w:rFonts w:hint="eastAsia" w:asciiTheme="minorHAnsi" w:hAnsiTheme="minorHAnsi" w:cstheme="minorHAnsi"/>
                <w:color w:val="auto"/>
                <w:sz w:val="22"/>
              </w:rPr>
              <w:t>注1：</w:t>
            </w:r>
            <w:r>
              <w:rPr>
                <w:rFonts w:asciiTheme="minorHAnsi" w:hAnsiTheme="minorHAnsi" w:cstheme="minorHAnsi"/>
                <w:color w:val="auto"/>
                <w:sz w:val="22"/>
              </w:rPr>
              <w:t>冷等静压的模具至少分是柔性的。</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7F7888E3">
            <w:pPr>
              <w:spacing w:line="300" w:lineRule="exact"/>
              <w:rPr>
                <w:rFonts w:asciiTheme="minorHAnsi" w:hAnsiTheme="minorHAnsi" w:cstheme="minorHAnsi"/>
                <w:b/>
                <w:color w:val="auto"/>
                <w:kern w:val="0"/>
                <w:sz w:val="22"/>
              </w:rPr>
            </w:pPr>
            <w:r>
              <w:rPr>
                <w:rFonts w:asciiTheme="minorHAnsi" w:hAnsiTheme="minorHAnsi" w:cstheme="minorHAnsi"/>
                <w:b/>
                <w:color w:val="auto"/>
                <w:sz w:val="22"/>
              </w:rPr>
              <w:t>mould</w:t>
            </w:r>
          </w:p>
          <w:p w14:paraId="4E287343">
            <w:pPr>
              <w:spacing w:line="300" w:lineRule="exact"/>
              <w:rPr>
                <w:rFonts w:asciiTheme="minorHAnsi" w:hAnsiTheme="minorHAnsi" w:cstheme="minorHAnsi"/>
                <w:color w:val="auto"/>
                <w:kern w:val="0"/>
                <w:sz w:val="22"/>
              </w:rPr>
            </w:pPr>
            <w:r>
              <w:rPr>
                <w:rFonts w:asciiTheme="minorHAnsi" w:hAnsiTheme="minorHAnsi" w:cstheme="minorHAnsi"/>
                <w:color w:val="auto"/>
                <w:sz w:val="22"/>
              </w:rPr>
              <w:t>&lt;in metal or powder injection moulding&gt; confining rigid form into which the powder and binder</w:t>
            </w:r>
          </w:p>
          <w:p w14:paraId="00DAA27E">
            <w:pPr>
              <w:widowControl/>
              <w:spacing w:line="300" w:lineRule="exact"/>
              <w:jc w:val="left"/>
              <w:rPr>
                <w:rFonts w:asciiTheme="minorHAnsi" w:hAnsiTheme="minorHAnsi" w:cstheme="minorHAnsi"/>
                <w:color w:val="auto"/>
                <w:sz w:val="22"/>
              </w:rPr>
            </w:pPr>
            <w:r>
              <w:rPr>
                <w:rFonts w:asciiTheme="minorHAnsi" w:hAnsiTheme="minorHAnsi" w:cstheme="minorHAnsi"/>
                <w:color w:val="auto"/>
                <w:sz w:val="22"/>
              </w:rPr>
              <w:t>mixture is forced, and the configuration of which forms the surfaces of the green (3.2.45)</w:t>
            </w:r>
          </w:p>
          <w:p w14:paraId="5E986462">
            <w:pPr>
              <w:spacing w:line="300" w:lineRule="exact"/>
              <w:rPr>
                <w:rFonts w:asciiTheme="minorHAnsi" w:hAnsiTheme="minorHAnsi" w:cstheme="minorHAnsi"/>
                <w:color w:val="auto"/>
                <w:kern w:val="0"/>
                <w:sz w:val="22"/>
              </w:rPr>
            </w:pPr>
          </w:p>
        </w:tc>
        <w:tc>
          <w:tcPr>
            <w:tcW w:w="3118" w:type="dxa"/>
            <w:tcBorders>
              <w:top w:val="single" w:color="auto" w:sz="4" w:space="0"/>
              <w:left w:val="single" w:color="auto" w:sz="4" w:space="0"/>
              <w:bottom w:val="single" w:color="auto" w:sz="4" w:space="0"/>
              <w:right w:val="single" w:color="auto" w:sz="4" w:space="0"/>
            </w:tcBorders>
            <w:shd w:val="clear" w:color="auto" w:fill="DEEBF6"/>
          </w:tcPr>
          <w:p w14:paraId="174FEEAE">
            <w:pPr>
              <w:pStyle w:val="58"/>
              <w:spacing w:line="300" w:lineRule="exact"/>
              <w:rPr>
                <w:rStyle w:val="54"/>
                <w:rFonts w:asciiTheme="minorHAnsi" w:hAnsiTheme="minorHAnsi" w:cstheme="minorHAnsi"/>
                <w:b w:val="0"/>
                <w:bCs w:val="0"/>
                <w:color w:val="auto"/>
                <w:kern w:val="0"/>
              </w:rPr>
            </w:pPr>
            <w:r>
              <w:rPr>
                <w:rStyle w:val="54"/>
                <w:rFonts w:asciiTheme="minorHAnsi" w:hAnsiTheme="minorHAnsi" w:cstheme="minorHAnsi"/>
                <w:color w:val="auto"/>
                <w:kern w:val="0"/>
              </w:rPr>
              <w:t>模具  mould</w:t>
            </w:r>
          </w:p>
          <w:p w14:paraId="70843770">
            <w:pPr>
              <w:pStyle w:val="58"/>
              <w:spacing w:line="300" w:lineRule="exact"/>
              <w:rPr>
                <w:rStyle w:val="54"/>
                <w:rFonts w:asciiTheme="minorHAnsi" w:hAnsiTheme="minorHAnsi" w:cstheme="minorHAnsi"/>
                <w:b w:val="0"/>
                <w:bCs w:val="0"/>
                <w:color w:val="auto"/>
                <w:kern w:val="0"/>
              </w:rPr>
            </w:pPr>
            <w:r>
              <w:rPr>
                <w:rStyle w:val="54"/>
                <w:rFonts w:asciiTheme="minorHAnsi" w:hAnsiTheme="minorHAnsi" w:cstheme="minorHAnsi"/>
                <w:color w:val="auto"/>
                <w:kern w:val="0"/>
              </w:rPr>
              <w:t>&lt;金属或粉末注射成形&gt;</w:t>
            </w:r>
          </w:p>
          <w:p w14:paraId="1B4FC6AA">
            <w:pPr>
              <w:pStyle w:val="58"/>
              <w:spacing w:line="300" w:lineRule="exact"/>
              <w:rPr>
                <w:rStyle w:val="54"/>
                <w:rFonts w:asciiTheme="minorHAnsi" w:hAnsiTheme="minorHAnsi" w:cstheme="minorHAnsi"/>
                <w:b w:val="0"/>
                <w:bCs w:val="0"/>
                <w:color w:val="auto"/>
                <w:kern w:val="0"/>
              </w:rPr>
            </w:pPr>
            <w:r>
              <w:rPr>
                <w:rStyle w:val="54"/>
                <w:rFonts w:asciiTheme="minorHAnsi" w:hAnsiTheme="minorHAnsi" w:cstheme="minorHAnsi"/>
                <w:color w:val="auto"/>
                <w:kern w:val="0"/>
              </w:rPr>
              <w:t>粉末和粘结剂混合物</w:t>
            </w:r>
            <w:r>
              <w:rPr>
                <w:rStyle w:val="54"/>
                <w:rFonts w:hint="eastAsia" w:asciiTheme="minorHAnsi" w:hAnsiTheme="minorHAnsi" w:cstheme="minorHAnsi"/>
                <w:b w:val="0"/>
                <w:bCs w:val="0"/>
                <w:color w:val="auto"/>
                <w:kern w:val="0"/>
              </w:rPr>
              <w:t>注入</w:t>
            </w:r>
            <w:r>
              <w:rPr>
                <w:rStyle w:val="54"/>
                <w:rFonts w:asciiTheme="minorHAnsi" w:hAnsiTheme="minorHAnsi" w:cstheme="minorHAnsi"/>
                <w:color w:val="auto"/>
                <w:kern w:val="0"/>
              </w:rPr>
              <w:t>的刚性型腔，其构型决定生坯（3.2.45）的表面形状</w:t>
            </w:r>
            <w:r>
              <w:rPr>
                <w:rStyle w:val="54"/>
                <w:rFonts w:hint="eastAsia" w:asciiTheme="minorHAnsi" w:hAnsiTheme="minorHAnsi" w:cstheme="minorHAnsi"/>
                <w:b w:val="0"/>
                <w:bCs w:val="0"/>
                <w:color w:val="auto"/>
                <w:kern w:val="0"/>
              </w:rPr>
              <w:t>（外表）</w:t>
            </w:r>
            <w:r>
              <w:rPr>
                <w:rStyle w:val="54"/>
                <w:rFonts w:asciiTheme="minorHAnsi" w:hAnsiTheme="minorHAnsi" w:cstheme="minorHAnsi"/>
                <w:color w:val="auto"/>
                <w:kern w:val="0"/>
              </w:rPr>
              <w:t>。</w:t>
            </w:r>
          </w:p>
          <w:p w14:paraId="5E852EB7">
            <w:pPr>
              <w:spacing w:line="300" w:lineRule="exact"/>
              <w:rPr>
                <w:rFonts w:asciiTheme="minorHAnsi" w:hAnsiTheme="minorHAnsi" w:cstheme="minorHAnsi"/>
                <w:color w:val="auto"/>
                <w:kern w:val="0"/>
                <w:sz w:val="22"/>
              </w:rPr>
            </w:pPr>
          </w:p>
        </w:tc>
        <w:tc>
          <w:tcPr>
            <w:tcW w:w="2126" w:type="dxa"/>
            <w:tcBorders>
              <w:top w:val="single" w:color="auto" w:sz="4" w:space="0"/>
              <w:left w:val="single" w:color="auto" w:sz="4" w:space="0"/>
              <w:bottom w:val="single" w:color="auto" w:sz="4" w:space="0"/>
              <w:right w:val="single" w:color="auto" w:sz="4" w:space="0"/>
            </w:tcBorders>
          </w:tcPr>
          <w:p w14:paraId="365DFCD8">
            <w:pPr>
              <w:spacing w:line="300" w:lineRule="exact"/>
              <w:rPr>
                <w:rFonts w:asciiTheme="minorHAnsi" w:hAnsiTheme="minorHAnsi" w:cstheme="minorHAnsi"/>
                <w:color w:val="auto"/>
                <w:kern w:val="0"/>
                <w:sz w:val="22"/>
              </w:rPr>
            </w:pPr>
            <w:r>
              <w:rPr>
                <w:rFonts w:asciiTheme="minorHAnsi" w:hAnsiTheme="minorHAnsi" w:cstheme="minorHAnsi"/>
                <w:color w:val="auto"/>
                <w:sz w:val="22"/>
              </w:rPr>
              <w:t>模具</w:t>
            </w:r>
            <w:r>
              <w:rPr>
                <w:rFonts w:asciiTheme="minorHAnsi" w:hAnsiTheme="minorHAnsi" w:cstheme="minorHAnsi"/>
                <w:color w:val="auto"/>
                <w:sz w:val="22"/>
              </w:rPr>
              <w:br w:type="textWrapping"/>
            </w:r>
            <w:r>
              <w:rPr>
                <w:rFonts w:asciiTheme="minorHAnsi" w:hAnsiTheme="minorHAnsi" w:cstheme="minorHAnsi"/>
                <w:color w:val="auto"/>
                <w:sz w:val="22"/>
              </w:rPr>
              <w:t>&lt;在金属或粉末注射成形中&gt; 限定形状的刚性模腔，粉末与粘结剂的混合物被压入其中，其型腔为生坯（3.2.45） 的表面。</w:t>
            </w:r>
          </w:p>
          <w:p w14:paraId="4EB9C68E">
            <w:pPr>
              <w:spacing w:line="300" w:lineRule="exact"/>
              <w:rPr>
                <w:rFonts w:asciiTheme="minorHAnsi" w:hAnsiTheme="minorHAnsi" w:cstheme="minorHAnsi"/>
                <w:color w:val="auto"/>
                <w:kern w:val="0"/>
                <w:sz w:val="22"/>
              </w:rPr>
            </w:pPr>
          </w:p>
        </w:tc>
        <w:tc>
          <w:tcPr>
            <w:tcW w:w="1985" w:type="dxa"/>
            <w:tcBorders>
              <w:top w:val="single" w:color="auto" w:sz="4" w:space="0"/>
              <w:left w:val="single" w:color="auto" w:sz="4" w:space="0"/>
              <w:bottom w:val="single" w:color="auto" w:sz="4" w:space="0"/>
              <w:right w:val="single" w:color="auto" w:sz="4" w:space="0"/>
            </w:tcBorders>
          </w:tcPr>
          <w:p w14:paraId="4803187E">
            <w:pPr>
              <w:spacing w:line="300" w:lineRule="exact"/>
              <w:rPr>
                <w:rFonts w:asciiTheme="minorHAnsi" w:hAnsiTheme="minorHAnsi" w:cstheme="minorHAnsi"/>
                <w:color w:val="auto"/>
                <w:kern w:val="0"/>
                <w:sz w:val="22"/>
              </w:rPr>
            </w:pPr>
            <w:r>
              <w:rPr>
                <w:rFonts w:asciiTheme="minorHAnsi" w:hAnsiTheme="minorHAnsi" w:cstheme="minorHAnsi"/>
                <w:color w:val="auto"/>
                <w:sz w:val="22"/>
              </w:rPr>
              <w:t>模具 mould</w:t>
            </w:r>
          </w:p>
          <w:p w14:paraId="39CF6A9F">
            <w:pPr>
              <w:spacing w:line="300" w:lineRule="exact"/>
              <w:rPr>
                <w:rFonts w:asciiTheme="minorHAnsi" w:hAnsiTheme="minorHAnsi" w:cstheme="minorHAnsi"/>
                <w:color w:val="auto"/>
                <w:kern w:val="0"/>
                <w:sz w:val="22"/>
              </w:rPr>
            </w:pPr>
            <w:r>
              <w:rPr>
                <w:rFonts w:asciiTheme="minorHAnsi" w:hAnsiTheme="minorHAnsi" w:cstheme="minorHAnsi"/>
                <w:color w:val="auto"/>
                <w:sz w:val="22"/>
              </w:rPr>
              <w:t>&lt;金属或粉末注射成形中&gt; 粉末和粘结剂混合物被压入其中的限制性的刚性型腔，其构型形成生坯（3.2.45）的表面。</w:t>
            </w:r>
          </w:p>
          <w:p w14:paraId="653A2F39">
            <w:pPr>
              <w:spacing w:line="300" w:lineRule="exact"/>
              <w:rPr>
                <w:rFonts w:asciiTheme="minorHAnsi" w:hAnsiTheme="minorHAnsi" w:cstheme="minorHAnsi"/>
                <w:color w:val="auto"/>
                <w:kern w:val="0"/>
                <w:sz w:val="22"/>
              </w:rPr>
            </w:pPr>
          </w:p>
        </w:tc>
      </w:tr>
      <w:tr w14:paraId="36E2ABDC">
        <w:tblPrEx>
          <w:tblCellMar>
            <w:top w:w="0" w:type="dxa"/>
            <w:left w:w="108" w:type="dxa"/>
            <w:bottom w:w="0" w:type="dxa"/>
            <w:right w:w="108" w:type="dxa"/>
          </w:tblCellMar>
        </w:tblPrEx>
        <w:trPr>
          <w:trHeight w:val="4061"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242E8D56">
            <w:pPr>
              <w:spacing w:line="300" w:lineRule="exact"/>
              <w:rPr>
                <w:rFonts w:asciiTheme="minorHAnsi" w:hAnsiTheme="minorHAnsi" w:cstheme="minorHAnsi"/>
                <w:color w:val="auto"/>
                <w:kern w:val="0"/>
                <w:sz w:val="22"/>
              </w:rPr>
            </w:pPr>
            <w:r>
              <w:rPr>
                <w:rFonts w:asciiTheme="minorHAnsi" w:hAnsiTheme="minorHAnsi" w:cstheme="minorHAnsi"/>
                <w:color w:val="auto"/>
                <w:sz w:val="22"/>
              </w:rPr>
              <w:t>3.2.61拆分</w:t>
            </w: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28F0E899">
            <w:pPr>
              <w:snapToGrid w:val="0"/>
              <w:spacing w:before="120" w:after="120" w:line="300" w:lineRule="exact"/>
              <w:jc w:val="left"/>
              <w:rPr>
                <w:rFonts w:asciiTheme="minorHAnsi" w:hAnsiTheme="minorHAnsi" w:cstheme="minorHAnsi"/>
                <w:b/>
                <w:color w:val="auto"/>
                <w:kern w:val="0"/>
                <w:sz w:val="22"/>
              </w:rPr>
            </w:pPr>
            <w:r>
              <w:rPr>
                <w:rFonts w:asciiTheme="minorHAnsi" w:hAnsiTheme="minorHAnsi" w:cstheme="minorHAnsi"/>
                <w:b/>
                <w:color w:val="auto"/>
                <w:sz w:val="22"/>
              </w:rPr>
              <w:t xml:space="preserve">mould  </w:t>
            </w:r>
          </w:p>
          <w:p w14:paraId="3D17EC94">
            <w:pPr>
              <w:snapToGrid w:val="0"/>
              <w:spacing w:before="120" w:after="120" w:line="300" w:lineRule="exact"/>
              <w:jc w:val="left"/>
              <w:rPr>
                <w:rFonts w:asciiTheme="minorHAnsi" w:hAnsiTheme="minorHAnsi" w:cstheme="minorHAnsi"/>
                <w:color w:val="auto"/>
                <w:kern w:val="0"/>
                <w:sz w:val="22"/>
              </w:rPr>
            </w:pPr>
            <w:r>
              <w:rPr>
                <w:rFonts w:asciiTheme="minorHAnsi" w:hAnsiTheme="minorHAnsi" w:cstheme="minorHAnsi"/>
                <w:color w:val="auto"/>
                <w:sz w:val="22"/>
              </w:rPr>
              <w:t xml:space="preserve">container in which powder is loosely packed and sintered, cast as slurry, isostatically pressed or injection-moulded  </w:t>
            </w:r>
          </w:p>
          <w:p w14:paraId="59DBD00B">
            <w:pPr>
              <w:widowControl/>
              <w:snapToGrid w:val="0"/>
              <w:spacing w:line="300" w:lineRule="exact"/>
              <w:jc w:val="left"/>
              <w:rPr>
                <w:rFonts w:asciiTheme="minorHAnsi" w:hAnsiTheme="minorHAnsi" w:cstheme="minorHAnsi"/>
                <w:color w:val="auto"/>
                <w:sz w:val="22"/>
              </w:rPr>
            </w:pPr>
            <w:r>
              <w:rPr>
                <w:rFonts w:asciiTheme="minorHAnsi" w:hAnsiTheme="minorHAnsi" w:cstheme="minorHAnsi"/>
                <w:color w:val="auto"/>
                <w:sz w:val="22"/>
              </w:rPr>
              <w:t>NOTE Moulds for cold isostatic pressing are at least partly flexible.</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60C90D83">
            <w:pPr>
              <w:spacing w:line="300" w:lineRule="exact"/>
              <w:rPr>
                <w:rFonts w:asciiTheme="minorHAnsi" w:hAnsiTheme="minorHAnsi" w:cstheme="minorHAnsi"/>
                <w:color w:val="auto"/>
                <w:sz w:val="22"/>
              </w:rPr>
            </w:pPr>
            <w:r>
              <w:rPr>
                <w:rFonts w:asciiTheme="minorHAnsi" w:hAnsiTheme="minorHAnsi" w:cstheme="minorHAnsi"/>
                <w:color w:val="auto"/>
                <w:sz w:val="22"/>
              </w:rPr>
              <w:t>模具（mould）：用于粉末松装烧结、粉浆浇注、等静压制或注射成形的容器。</w:t>
            </w:r>
            <w:r>
              <w:rPr>
                <w:rFonts w:hint="eastAsia" w:asciiTheme="minorHAnsi" w:hAnsiTheme="minorHAnsi" w:cstheme="minorHAnsi"/>
                <w:color w:val="auto"/>
                <w:sz w:val="22"/>
              </w:rPr>
              <w:t>注1：</w:t>
            </w:r>
            <w:r>
              <w:rPr>
                <w:rFonts w:asciiTheme="minorHAnsi" w:hAnsiTheme="minorHAnsi" w:cstheme="minorHAnsi"/>
                <w:color w:val="auto"/>
                <w:sz w:val="22"/>
              </w:rPr>
              <w:t>冷等静压的模具至少分是柔性的。</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1C183A6D">
            <w:pPr>
              <w:spacing w:line="300" w:lineRule="exact"/>
              <w:rPr>
                <w:rFonts w:asciiTheme="minorHAnsi" w:hAnsiTheme="minorHAnsi" w:cstheme="minorHAnsi"/>
                <w:b/>
                <w:color w:val="auto"/>
                <w:kern w:val="0"/>
                <w:sz w:val="22"/>
              </w:rPr>
            </w:pPr>
            <w:r>
              <w:rPr>
                <w:rFonts w:asciiTheme="minorHAnsi" w:hAnsiTheme="minorHAnsi" w:cstheme="minorHAnsi"/>
                <w:b/>
                <w:color w:val="auto"/>
                <w:sz w:val="22"/>
              </w:rPr>
              <w:t>mould</w:t>
            </w:r>
          </w:p>
          <w:p w14:paraId="68862749">
            <w:pPr>
              <w:widowControl/>
              <w:spacing w:line="300" w:lineRule="exact"/>
              <w:jc w:val="left"/>
              <w:rPr>
                <w:rFonts w:asciiTheme="minorHAnsi" w:hAnsiTheme="minorHAnsi" w:cstheme="minorHAnsi"/>
                <w:color w:val="auto"/>
                <w:sz w:val="22"/>
              </w:rPr>
            </w:pPr>
            <w:r>
              <w:rPr>
                <w:rFonts w:asciiTheme="minorHAnsi" w:hAnsiTheme="minorHAnsi" w:cstheme="minorHAnsi"/>
                <w:color w:val="auto"/>
                <w:sz w:val="22"/>
              </w:rPr>
              <w:t>&lt;in isostatic compacting form&gt; confining flexible form in which powder is isostatically-compacted</w:t>
            </w:r>
          </w:p>
          <w:p w14:paraId="7D9E047E">
            <w:pPr>
              <w:widowControl/>
              <w:spacing w:line="300" w:lineRule="exact"/>
              <w:jc w:val="left"/>
              <w:rPr>
                <w:rFonts w:asciiTheme="minorHAnsi" w:hAnsiTheme="minorHAnsi" w:cstheme="minorHAnsi"/>
                <w:color w:val="auto"/>
                <w:sz w:val="22"/>
              </w:rPr>
            </w:pPr>
          </w:p>
          <w:p w14:paraId="321F41F9">
            <w:pPr>
              <w:spacing w:line="300" w:lineRule="exact"/>
              <w:rPr>
                <w:rFonts w:asciiTheme="minorHAnsi" w:hAnsiTheme="minorHAnsi" w:cstheme="minorHAnsi"/>
                <w:color w:val="auto"/>
                <w:kern w:val="0"/>
                <w:sz w:val="22"/>
              </w:rPr>
            </w:pPr>
          </w:p>
        </w:tc>
        <w:tc>
          <w:tcPr>
            <w:tcW w:w="3118" w:type="dxa"/>
            <w:tcBorders>
              <w:top w:val="single" w:color="auto" w:sz="4" w:space="0"/>
              <w:left w:val="single" w:color="auto" w:sz="4" w:space="0"/>
              <w:bottom w:val="single" w:color="auto" w:sz="4" w:space="0"/>
              <w:right w:val="single" w:color="auto" w:sz="4" w:space="0"/>
            </w:tcBorders>
            <w:shd w:val="clear" w:color="auto" w:fill="DEEBF6"/>
          </w:tcPr>
          <w:p w14:paraId="7432AC05">
            <w:pPr>
              <w:pStyle w:val="58"/>
              <w:spacing w:line="300" w:lineRule="exact"/>
              <w:rPr>
                <w:rStyle w:val="54"/>
                <w:rFonts w:asciiTheme="minorHAnsi" w:hAnsiTheme="minorHAnsi" w:cstheme="minorHAnsi"/>
                <w:b w:val="0"/>
                <w:bCs w:val="0"/>
                <w:color w:val="auto"/>
                <w:kern w:val="0"/>
              </w:rPr>
            </w:pPr>
            <w:r>
              <w:rPr>
                <w:rStyle w:val="54"/>
                <w:rFonts w:asciiTheme="minorHAnsi" w:hAnsiTheme="minorHAnsi" w:cstheme="minorHAnsi"/>
                <w:color w:val="auto"/>
                <w:kern w:val="0"/>
              </w:rPr>
              <w:t>模具  mould</w:t>
            </w:r>
          </w:p>
          <w:p w14:paraId="56FE2F5B">
            <w:pPr>
              <w:widowControl/>
              <w:spacing w:line="300" w:lineRule="exact"/>
              <w:ind w:firstLine="440" w:firstLineChars="200"/>
              <w:jc w:val="left"/>
              <w:rPr>
                <w:rFonts w:asciiTheme="minorHAnsi" w:hAnsiTheme="minorHAnsi" w:cstheme="minorHAnsi"/>
                <w:color w:val="auto"/>
                <w:sz w:val="22"/>
              </w:rPr>
            </w:pPr>
            <w:r>
              <w:rPr>
                <w:rFonts w:asciiTheme="minorHAnsi" w:hAnsiTheme="minorHAnsi" w:cstheme="minorHAnsi"/>
                <w:color w:val="auto"/>
                <w:sz w:val="22"/>
              </w:rPr>
              <w:t>&lt;等静压成形&gt;</w:t>
            </w:r>
          </w:p>
          <w:p w14:paraId="706B937E">
            <w:pPr>
              <w:widowControl/>
              <w:spacing w:line="300" w:lineRule="exact"/>
              <w:ind w:firstLine="440" w:firstLineChars="200"/>
              <w:jc w:val="left"/>
              <w:rPr>
                <w:rFonts w:asciiTheme="minorHAnsi" w:hAnsiTheme="minorHAnsi" w:cstheme="minorHAnsi"/>
                <w:color w:val="auto"/>
                <w:sz w:val="22"/>
              </w:rPr>
            </w:pPr>
            <w:r>
              <w:rPr>
                <w:rFonts w:asciiTheme="minorHAnsi" w:hAnsiTheme="minorHAnsi" w:cstheme="minorHAnsi"/>
                <w:color w:val="auto"/>
                <w:sz w:val="22"/>
              </w:rPr>
              <w:t>用于对粉末进行等静压成形的柔性型腔。</w:t>
            </w:r>
          </w:p>
          <w:p w14:paraId="6A063604">
            <w:pPr>
              <w:spacing w:line="300" w:lineRule="exact"/>
              <w:rPr>
                <w:rFonts w:asciiTheme="minorHAnsi" w:hAnsiTheme="minorHAnsi" w:cstheme="minorHAnsi"/>
                <w:color w:val="auto"/>
                <w:kern w:val="0"/>
                <w:sz w:val="22"/>
              </w:rPr>
            </w:pPr>
          </w:p>
        </w:tc>
        <w:tc>
          <w:tcPr>
            <w:tcW w:w="2126" w:type="dxa"/>
            <w:tcBorders>
              <w:top w:val="single" w:color="auto" w:sz="4" w:space="0"/>
              <w:left w:val="single" w:color="auto" w:sz="4" w:space="0"/>
              <w:bottom w:val="single" w:color="auto" w:sz="4" w:space="0"/>
              <w:right w:val="single" w:color="auto" w:sz="4" w:space="0"/>
            </w:tcBorders>
          </w:tcPr>
          <w:p w14:paraId="0B53315D">
            <w:pPr>
              <w:spacing w:line="300" w:lineRule="exact"/>
              <w:rPr>
                <w:rFonts w:asciiTheme="minorHAnsi" w:hAnsiTheme="minorHAnsi" w:cstheme="minorHAnsi"/>
                <w:color w:val="auto"/>
                <w:kern w:val="0"/>
                <w:sz w:val="22"/>
              </w:rPr>
            </w:pPr>
            <w:r>
              <w:rPr>
                <w:rFonts w:asciiTheme="minorHAnsi" w:hAnsiTheme="minorHAnsi" w:cstheme="minorHAnsi"/>
                <w:color w:val="auto"/>
                <w:sz w:val="22"/>
              </w:rPr>
              <w:t xml:space="preserve">模具 </w:t>
            </w:r>
            <w:r>
              <w:rPr>
                <w:rFonts w:asciiTheme="minorHAnsi" w:hAnsiTheme="minorHAnsi" w:cstheme="minorHAnsi"/>
                <w:color w:val="auto"/>
                <w:sz w:val="22"/>
              </w:rPr>
              <w:br w:type="textWrapping"/>
            </w:r>
            <w:r>
              <w:rPr>
                <w:rFonts w:asciiTheme="minorHAnsi" w:hAnsiTheme="minorHAnsi" w:cstheme="minorHAnsi"/>
                <w:color w:val="auto"/>
                <w:sz w:val="22"/>
              </w:rPr>
              <w:t>&lt;在等静压成形中&gt; 用于容纳粉末以进行等静压成形的限定形状的柔性模腔。</w:t>
            </w:r>
          </w:p>
        </w:tc>
        <w:tc>
          <w:tcPr>
            <w:tcW w:w="1985" w:type="dxa"/>
            <w:tcBorders>
              <w:top w:val="single" w:color="auto" w:sz="4" w:space="0"/>
              <w:left w:val="single" w:color="auto" w:sz="4" w:space="0"/>
              <w:bottom w:val="single" w:color="auto" w:sz="4" w:space="0"/>
              <w:right w:val="single" w:color="auto" w:sz="4" w:space="0"/>
            </w:tcBorders>
          </w:tcPr>
          <w:p w14:paraId="11998492">
            <w:pPr>
              <w:spacing w:line="300" w:lineRule="exact"/>
              <w:rPr>
                <w:rFonts w:asciiTheme="minorHAnsi" w:hAnsiTheme="minorHAnsi" w:cstheme="minorHAnsi"/>
                <w:color w:val="auto"/>
                <w:kern w:val="0"/>
                <w:sz w:val="22"/>
              </w:rPr>
            </w:pPr>
            <w:r>
              <w:rPr>
                <w:rFonts w:asciiTheme="minorHAnsi" w:hAnsiTheme="minorHAnsi" w:cstheme="minorHAnsi"/>
                <w:color w:val="auto"/>
                <w:sz w:val="22"/>
              </w:rPr>
              <w:t>模具 mould</w:t>
            </w:r>
          </w:p>
          <w:p w14:paraId="497F88F7">
            <w:pPr>
              <w:spacing w:line="300" w:lineRule="exact"/>
              <w:rPr>
                <w:rFonts w:asciiTheme="minorHAnsi" w:hAnsiTheme="minorHAnsi" w:cstheme="minorHAnsi"/>
                <w:color w:val="auto"/>
                <w:kern w:val="0"/>
                <w:sz w:val="22"/>
              </w:rPr>
            </w:pPr>
            <w:r>
              <w:rPr>
                <w:rFonts w:asciiTheme="minorHAnsi" w:hAnsiTheme="minorHAnsi" w:cstheme="minorHAnsi"/>
                <w:color w:val="auto"/>
                <w:sz w:val="22"/>
              </w:rPr>
              <w:t>&lt;等静压成形中&gt; 粉末在其中进行等静压制的限制性的柔性型腔。</w:t>
            </w:r>
          </w:p>
          <w:p w14:paraId="3CB640D9">
            <w:pPr>
              <w:spacing w:line="300" w:lineRule="exact"/>
              <w:rPr>
                <w:rFonts w:asciiTheme="minorHAnsi" w:hAnsiTheme="minorHAnsi" w:cstheme="minorHAnsi"/>
                <w:color w:val="auto"/>
                <w:kern w:val="0"/>
                <w:sz w:val="22"/>
              </w:rPr>
            </w:pPr>
          </w:p>
        </w:tc>
      </w:tr>
      <w:tr w14:paraId="40510B45">
        <w:tblPrEx>
          <w:tblCellMar>
            <w:top w:w="0" w:type="dxa"/>
            <w:left w:w="108" w:type="dxa"/>
            <w:bottom w:w="0" w:type="dxa"/>
            <w:right w:w="108" w:type="dxa"/>
          </w:tblCellMar>
        </w:tblPrEx>
        <w:trPr>
          <w:trHeight w:val="2086"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30E7E765">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3.2.62新增</w:t>
            </w: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4BA4EAAD">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10CBD8A6">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77431E0F">
            <w:pPr>
              <w:spacing w:line="300" w:lineRule="exact"/>
              <w:rPr>
                <w:rFonts w:asciiTheme="minorHAnsi" w:hAnsiTheme="minorHAnsi" w:cstheme="minorHAnsi"/>
                <w:b/>
                <w:bCs/>
                <w:color w:val="auto"/>
                <w:kern w:val="0"/>
                <w:sz w:val="22"/>
              </w:rPr>
            </w:pPr>
            <w:r>
              <w:rPr>
                <w:rFonts w:asciiTheme="minorHAnsi" w:hAnsiTheme="minorHAnsi" w:cstheme="minorHAnsi"/>
                <w:b/>
                <w:bCs/>
                <w:color w:val="auto"/>
                <w:kern w:val="0"/>
                <w:sz w:val="22"/>
              </w:rPr>
              <w:t>multiple-cavity tool</w:t>
            </w:r>
          </w:p>
          <w:p w14:paraId="64E529C5">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tool set that produces two or more compacts in each pressing cycle</w:t>
            </w:r>
          </w:p>
          <w:p w14:paraId="46806260">
            <w:pPr>
              <w:spacing w:line="300" w:lineRule="exact"/>
              <w:rPr>
                <w:rFonts w:asciiTheme="minorHAnsi" w:hAnsiTheme="minorHAnsi" w:cstheme="minorHAnsi"/>
                <w:color w:val="auto"/>
                <w:kern w:val="0"/>
                <w:sz w:val="22"/>
              </w:rPr>
            </w:pPr>
          </w:p>
          <w:p w14:paraId="464AE7B9">
            <w:pPr>
              <w:spacing w:line="300" w:lineRule="exact"/>
              <w:rPr>
                <w:rFonts w:asciiTheme="minorHAnsi" w:hAnsiTheme="minorHAnsi" w:cstheme="minorHAnsi"/>
                <w:color w:val="auto"/>
                <w:kern w:val="0"/>
                <w:sz w:val="22"/>
              </w:rPr>
            </w:pPr>
          </w:p>
        </w:tc>
        <w:tc>
          <w:tcPr>
            <w:tcW w:w="3118" w:type="dxa"/>
            <w:tcBorders>
              <w:top w:val="single" w:color="auto" w:sz="4" w:space="0"/>
              <w:left w:val="single" w:color="auto" w:sz="4" w:space="0"/>
              <w:bottom w:val="single" w:color="auto" w:sz="4" w:space="0"/>
              <w:right w:val="single" w:color="auto" w:sz="4" w:space="0"/>
            </w:tcBorders>
            <w:shd w:val="clear" w:color="auto" w:fill="DEEBF6"/>
          </w:tcPr>
          <w:p w14:paraId="42A87ECC">
            <w:pPr>
              <w:pStyle w:val="58"/>
              <w:spacing w:line="300" w:lineRule="exact"/>
              <w:rPr>
                <w:rStyle w:val="54"/>
                <w:rFonts w:asciiTheme="minorHAnsi" w:hAnsiTheme="minorHAnsi" w:cstheme="minorHAnsi"/>
                <w:b w:val="0"/>
                <w:bCs w:val="0"/>
                <w:color w:val="auto"/>
                <w:kern w:val="0"/>
              </w:rPr>
            </w:pPr>
            <w:r>
              <w:rPr>
                <w:rFonts w:asciiTheme="minorHAnsi" w:hAnsiTheme="minorHAnsi" w:cstheme="minorHAnsi"/>
                <w:color w:val="auto"/>
                <w:kern w:val="0"/>
                <w:sz w:val="22"/>
              </w:rPr>
              <w:t>多型腔模具</w:t>
            </w:r>
            <w:r>
              <w:rPr>
                <w:rStyle w:val="54"/>
                <w:rFonts w:asciiTheme="minorHAnsi" w:hAnsiTheme="minorHAnsi" w:cstheme="minorHAnsi"/>
                <w:color w:val="auto"/>
                <w:kern w:val="0"/>
              </w:rPr>
              <w:t xml:space="preserve">  multiple-cavity tool</w:t>
            </w:r>
          </w:p>
          <w:p w14:paraId="551522BD">
            <w:pPr>
              <w:spacing w:line="300" w:lineRule="exact"/>
              <w:ind w:firstLine="420"/>
              <w:rPr>
                <w:rStyle w:val="54"/>
                <w:rFonts w:asciiTheme="minorHAnsi" w:hAnsiTheme="minorHAnsi" w:cstheme="minorHAnsi"/>
                <w:b w:val="0"/>
                <w:bCs w:val="0"/>
                <w:color w:val="auto"/>
                <w:kern w:val="0"/>
              </w:rPr>
            </w:pPr>
            <w:r>
              <w:rPr>
                <w:rStyle w:val="54"/>
                <w:rFonts w:asciiTheme="minorHAnsi" w:hAnsiTheme="minorHAnsi" w:cstheme="minorHAnsi"/>
                <w:color w:val="auto"/>
                <w:kern w:val="0"/>
              </w:rPr>
              <w:t>在每个压制</w:t>
            </w:r>
            <w:r>
              <w:rPr>
                <w:rStyle w:val="54"/>
                <w:rFonts w:hint="eastAsia" w:asciiTheme="minorHAnsi" w:hAnsiTheme="minorHAnsi" w:cstheme="minorHAnsi"/>
                <w:color w:val="auto"/>
                <w:kern w:val="0"/>
              </w:rPr>
              <w:t>周期</w:t>
            </w:r>
            <w:r>
              <w:rPr>
                <w:rStyle w:val="54"/>
                <w:rFonts w:hint="eastAsia" w:asciiTheme="minorHAnsi" w:hAnsiTheme="minorHAnsi" w:cstheme="minorHAnsi"/>
                <w:b w:val="0"/>
                <w:bCs w:val="0"/>
                <w:color w:val="auto"/>
                <w:kern w:val="0"/>
              </w:rPr>
              <w:t>（循环）</w:t>
            </w:r>
            <w:r>
              <w:rPr>
                <w:rStyle w:val="54"/>
                <w:rFonts w:asciiTheme="minorHAnsi" w:hAnsiTheme="minorHAnsi" w:cstheme="minorHAnsi"/>
                <w:color w:val="auto"/>
                <w:kern w:val="0"/>
              </w:rPr>
              <w:t>中生产两个或多个压坯的模架。</w:t>
            </w:r>
          </w:p>
          <w:p w14:paraId="26E28334">
            <w:pPr>
              <w:spacing w:line="300" w:lineRule="exact"/>
              <w:rPr>
                <w:rFonts w:asciiTheme="minorHAnsi" w:hAnsiTheme="minorHAnsi" w:cstheme="minorHAnsi"/>
                <w:color w:val="auto"/>
                <w:kern w:val="0"/>
                <w:sz w:val="22"/>
              </w:rPr>
            </w:pPr>
          </w:p>
        </w:tc>
        <w:tc>
          <w:tcPr>
            <w:tcW w:w="2126" w:type="dxa"/>
            <w:tcBorders>
              <w:top w:val="single" w:color="auto" w:sz="4" w:space="0"/>
              <w:left w:val="single" w:color="auto" w:sz="4" w:space="0"/>
              <w:bottom w:val="single" w:color="auto" w:sz="4" w:space="0"/>
              <w:right w:val="single" w:color="auto" w:sz="4" w:space="0"/>
            </w:tcBorders>
          </w:tcPr>
          <w:p w14:paraId="5AD033DC">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 xml:space="preserve">多型腔模具 </w:t>
            </w:r>
            <w:r>
              <w:rPr>
                <w:rFonts w:asciiTheme="minorHAnsi" w:hAnsiTheme="minorHAnsi" w:cstheme="minorHAnsi"/>
                <w:color w:val="auto"/>
                <w:kern w:val="0"/>
                <w:sz w:val="22"/>
              </w:rPr>
              <w:br w:type="textWrapping"/>
            </w:r>
            <w:r>
              <w:rPr>
                <w:rFonts w:asciiTheme="minorHAnsi" w:hAnsiTheme="minorHAnsi" w:cstheme="minorHAnsi"/>
                <w:color w:val="auto"/>
                <w:kern w:val="0"/>
                <w:sz w:val="22"/>
              </w:rPr>
              <w:t>在每次压制循环中生产两个或更多个压坯的模具组。</w:t>
            </w:r>
          </w:p>
          <w:p w14:paraId="00627430">
            <w:pPr>
              <w:spacing w:line="300" w:lineRule="exact"/>
              <w:rPr>
                <w:rFonts w:asciiTheme="minorHAnsi" w:hAnsiTheme="minorHAnsi" w:cstheme="minorHAnsi"/>
                <w:color w:val="auto"/>
                <w:kern w:val="0"/>
                <w:sz w:val="22"/>
              </w:rPr>
            </w:pPr>
          </w:p>
        </w:tc>
        <w:tc>
          <w:tcPr>
            <w:tcW w:w="1985" w:type="dxa"/>
            <w:tcBorders>
              <w:top w:val="single" w:color="auto" w:sz="4" w:space="0"/>
              <w:left w:val="single" w:color="auto" w:sz="4" w:space="0"/>
              <w:bottom w:val="single" w:color="auto" w:sz="4" w:space="0"/>
              <w:right w:val="single" w:color="auto" w:sz="4" w:space="0"/>
            </w:tcBorders>
          </w:tcPr>
          <w:p w14:paraId="5C10132D">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多型腔模具 multiple-cavity tool</w:t>
            </w:r>
          </w:p>
          <w:p w14:paraId="6FBC98F6">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在每个压制周期中生产两个或更多压坯的模架。</w:t>
            </w:r>
          </w:p>
          <w:p w14:paraId="31450802">
            <w:pPr>
              <w:spacing w:line="300" w:lineRule="exact"/>
              <w:rPr>
                <w:rFonts w:asciiTheme="minorHAnsi" w:hAnsiTheme="minorHAnsi" w:cstheme="minorHAnsi"/>
                <w:color w:val="auto"/>
                <w:kern w:val="0"/>
                <w:sz w:val="22"/>
              </w:rPr>
            </w:pPr>
          </w:p>
        </w:tc>
      </w:tr>
      <w:tr w14:paraId="238A30B4">
        <w:tblPrEx>
          <w:tblCellMar>
            <w:top w:w="0" w:type="dxa"/>
            <w:left w:w="108" w:type="dxa"/>
            <w:bottom w:w="0" w:type="dxa"/>
            <w:right w:w="108" w:type="dxa"/>
          </w:tblCellMar>
        </w:tblPrEx>
        <w:trPr>
          <w:trHeight w:val="2674"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002A280B">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3.2.64新增</w:t>
            </w:r>
          </w:p>
          <w:p w14:paraId="6C4ED688">
            <w:pPr>
              <w:spacing w:line="300" w:lineRule="exact"/>
              <w:rPr>
                <w:rFonts w:asciiTheme="minorHAnsi" w:hAnsiTheme="minorHAnsi" w:cstheme="minorHAnsi"/>
                <w:color w:val="auto"/>
                <w:kern w:val="0"/>
                <w:sz w:val="22"/>
              </w:rPr>
            </w:pP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27890384">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4E58943A">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373B5488">
            <w:pPr>
              <w:spacing w:line="300" w:lineRule="exact"/>
              <w:rPr>
                <w:rFonts w:asciiTheme="minorHAnsi" w:hAnsiTheme="minorHAnsi" w:cstheme="minorHAnsi"/>
                <w:b/>
                <w:bCs/>
                <w:color w:val="auto"/>
                <w:kern w:val="0"/>
                <w:sz w:val="22"/>
              </w:rPr>
            </w:pPr>
            <w:r>
              <w:rPr>
                <w:rFonts w:asciiTheme="minorHAnsi" w:hAnsiTheme="minorHAnsi" w:cstheme="minorHAnsi"/>
                <w:b/>
                <w:bCs/>
                <w:color w:val="auto"/>
                <w:kern w:val="0"/>
                <w:sz w:val="22"/>
              </w:rPr>
              <w:t>multi-level tool adaptor</w:t>
            </w:r>
          </w:p>
          <w:p w14:paraId="7A26A89D">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tool adaptor having several independently controllable plates, on the upper or lower side of the adaptor,</w:t>
            </w:r>
          </w:p>
          <w:p w14:paraId="381F8C9E">
            <w:pPr>
              <w:spacing w:line="300" w:lineRule="exact"/>
              <w:rPr>
                <w:rFonts w:asciiTheme="minorHAnsi" w:hAnsiTheme="minorHAnsi" w:cstheme="minorHAnsi"/>
                <w:color w:val="auto"/>
                <w:sz w:val="22"/>
              </w:rPr>
            </w:pPr>
            <w:r>
              <w:rPr>
                <w:rFonts w:asciiTheme="minorHAnsi" w:hAnsiTheme="minorHAnsi" w:cstheme="minorHAnsi"/>
                <w:color w:val="auto"/>
                <w:kern w:val="0"/>
                <w:sz w:val="22"/>
              </w:rPr>
              <w:t>each holding a separate punch</w:t>
            </w:r>
          </w:p>
        </w:tc>
        <w:tc>
          <w:tcPr>
            <w:tcW w:w="3118" w:type="dxa"/>
            <w:tcBorders>
              <w:top w:val="single" w:color="auto" w:sz="4" w:space="0"/>
              <w:left w:val="single" w:color="auto" w:sz="4" w:space="0"/>
              <w:bottom w:val="single" w:color="auto" w:sz="4" w:space="0"/>
              <w:right w:val="single" w:color="auto" w:sz="4" w:space="0"/>
            </w:tcBorders>
            <w:shd w:val="clear" w:color="auto" w:fill="DEEBF6"/>
          </w:tcPr>
          <w:p w14:paraId="2D624D5C">
            <w:pPr>
              <w:pStyle w:val="58"/>
              <w:spacing w:line="300" w:lineRule="exact"/>
              <w:rPr>
                <w:rStyle w:val="54"/>
                <w:rFonts w:asciiTheme="minorHAnsi" w:hAnsiTheme="minorHAnsi" w:cstheme="minorHAnsi"/>
                <w:b w:val="0"/>
                <w:bCs w:val="0"/>
                <w:color w:val="auto"/>
                <w:kern w:val="0"/>
              </w:rPr>
            </w:pPr>
            <w:r>
              <w:rPr>
                <w:rStyle w:val="54"/>
                <w:rFonts w:asciiTheme="minorHAnsi" w:hAnsiTheme="minorHAnsi" w:cstheme="minorHAnsi"/>
                <w:color w:val="auto"/>
                <w:kern w:val="0"/>
              </w:rPr>
              <w:t>多</w:t>
            </w:r>
            <w:r>
              <w:rPr>
                <w:rStyle w:val="54"/>
                <w:rFonts w:hint="eastAsia" w:asciiTheme="minorHAnsi" w:hAnsiTheme="minorHAnsi" w:cstheme="minorHAnsi"/>
                <w:b w:val="0"/>
                <w:bCs w:val="0"/>
                <w:color w:val="auto"/>
                <w:kern w:val="0"/>
              </w:rPr>
              <w:t>台阶</w:t>
            </w:r>
            <w:r>
              <w:rPr>
                <w:rStyle w:val="54"/>
                <w:rFonts w:asciiTheme="minorHAnsi" w:hAnsiTheme="minorHAnsi" w:cstheme="minorHAnsi"/>
                <w:color w:val="auto"/>
                <w:kern w:val="0"/>
              </w:rPr>
              <w:t>模具接合器  multi-level tool adaptor</w:t>
            </w:r>
          </w:p>
          <w:p w14:paraId="2F3E9299">
            <w:pPr>
              <w:spacing w:line="300" w:lineRule="exact"/>
              <w:ind w:firstLine="440" w:firstLineChars="200"/>
              <w:rPr>
                <w:rFonts w:asciiTheme="minorHAnsi" w:hAnsiTheme="minorHAnsi" w:cstheme="minorHAnsi"/>
                <w:color w:val="auto"/>
                <w:kern w:val="0"/>
                <w:sz w:val="22"/>
              </w:rPr>
            </w:pPr>
            <w:r>
              <w:rPr>
                <w:rFonts w:asciiTheme="minorHAnsi" w:hAnsiTheme="minorHAnsi" w:cstheme="minorHAnsi"/>
                <w:color w:val="auto"/>
                <w:kern w:val="0"/>
                <w:sz w:val="22"/>
              </w:rPr>
              <w:t>具有数个独立可控模板的模具接合器，模板位于接合器的上侧或下侧，每个模板分别固定一个独立模冲。</w:t>
            </w:r>
          </w:p>
        </w:tc>
        <w:tc>
          <w:tcPr>
            <w:tcW w:w="2126" w:type="dxa"/>
            <w:tcBorders>
              <w:top w:val="single" w:color="auto" w:sz="4" w:space="0"/>
              <w:left w:val="single" w:color="auto" w:sz="4" w:space="0"/>
              <w:bottom w:val="single" w:color="auto" w:sz="4" w:space="0"/>
              <w:right w:val="single" w:color="auto" w:sz="4" w:space="0"/>
            </w:tcBorders>
          </w:tcPr>
          <w:p w14:paraId="0E8AB8B3">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 xml:space="preserve">多层面模具接合器 </w:t>
            </w:r>
          </w:p>
          <w:p w14:paraId="7ADC5895">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在其上侧和/或下侧具有多个可独立控制的模板，每个模板分别固定一个单独的冲头的一种模具接合器。</w:t>
            </w:r>
          </w:p>
          <w:p w14:paraId="723F36C0">
            <w:pPr>
              <w:spacing w:line="300" w:lineRule="exact"/>
              <w:rPr>
                <w:rFonts w:asciiTheme="minorHAnsi" w:hAnsiTheme="minorHAnsi" w:cstheme="minorHAnsi"/>
                <w:color w:val="auto"/>
                <w:kern w:val="0"/>
                <w:sz w:val="22"/>
              </w:rPr>
            </w:pPr>
          </w:p>
        </w:tc>
        <w:tc>
          <w:tcPr>
            <w:tcW w:w="1985" w:type="dxa"/>
            <w:tcBorders>
              <w:top w:val="single" w:color="auto" w:sz="4" w:space="0"/>
              <w:left w:val="single" w:color="auto" w:sz="4" w:space="0"/>
              <w:bottom w:val="single" w:color="auto" w:sz="4" w:space="0"/>
              <w:right w:val="single" w:color="auto" w:sz="4" w:space="0"/>
            </w:tcBorders>
          </w:tcPr>
          <w:p w14:paraId="7E244FDE">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多层模具接合器 multi-level tool adaptor</w:t>
            </w:r>
          </w:p>
          <w:p w14:paraId="5218FC0C">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具有多个可独立调节板的模具接合器，板位于接合器的上侧或下侧，每个板固定一个单独的模冲。</w:t>
            </w:r>
          </w:p>
        </w:tc>
      </w:tr>
      <w:tr w14:paraId="74F871DE">
        <w:tblPrEx>
          <w:tblCellMar>
            <w:top w:w="0" w:type="dxa"/>
            <w:left w:w="108" w:type="dxa"/>
            <w:bottom w:w="0" w:type="dxa"/>
            <w:right w:w="108" w:type="dxa"/>
          </w:tblCellMar>
        </w:tblPrEx>
        <w:trPr>
          <w:trHeight w:val="2394"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077B22CA">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3.2.74</w:t>
            </w:r>
          </w:p>
          <w:p w14:paraId="19F2581B">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新增</w:t>
            </w: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012ACA8C">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61A8FBF4">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2AD6A818">
            <w:pPr>
              <w:spacing w:line="300" w:lineRule="exact"/>
              <w:rPr>
                <w:rFonts w:asciiTheme="minorHAnsi" w:hAnsiTheme="minorHAnsi" w:cstheme="minorHAnsi"/>
                <w:b/>
                <w:bCs/>
                <w:color w:val="auto"/>
                <w:kern w:val="0"/>
                <w:sz w:val="22"/>
              </w:rPr>
            </w:pPr>
            <w:r>
              <w:rPr>
                <w:rFonts w:asciiTheme="minorHAnsi" w:hAnsiTheme="minorHAnsi" w:cstheme="minorHAnsi"/>
                <w:b/>
                <w:bCs/>
                <w:color w:val="auto"/>
                <w:kern w:val="0"/>
                <w:sz w:val="22"/>
              </w:rPr>
              <w:t>punch riser</w:t>
            </w:r>
          </w:p>
          <w:p w14:paraId="07FB679B">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part of the tool set adaptation connecting a punch plate (3.2.73) to a socket in order to increase the</w:t>
            </w:r>
          </w:p>
          <w:p w14:paraId="52C25257">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height of the assembly for a punch (3.2.72)</w:t>
            </w:r>
          </w:p>
          <w:p w14:paraId="03DDB3D1">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Note 1 to entry: See Figure 11.</w:t>
            </w:r>
          </w:p>
        </w:tc>
        <w:tc>
          <w:tcPr>
            <w:tcW w:w="3118" w:type="dxa"/>
            <w:tcBorders>
              <w:top w:val="single" w:color="auto" w:sz="4" w:space="0"/>
              <w:left w:val="single" w:color="auto" w:sz="4" w:space="0"/>
              <w:bottom w:val="single" w:color="auto" w:sz="4" w:space="0"/>
              <w:right w:val="single" w:color="auto" w:sz="4" w:space="0"/>
            </w:tcBorders>
            <w:shd w:val="clear" w:color="auto" w:fill="DEEBF6"/>
          </w:tcPr>
          <w:p w14:paraId="6B481517">
            <w:pPr>
              <w:pStyle w:val="58"/>
              <w:spacing w:line="300" w:lineRule="exact"/>
              <w:rPr>
                <w:rStyle w:val="54"/>
                <w:rFonts w:asciiTheme="minorHAnsi" w:hAnsiTheme="minorHAnsi" w:cstheme="minorHAnsi"/>
                <w:b w:val="0"/>
                <w:bCs w:val="0"/>
                <w:color w:val="auto"/>
                <w:kern w:val="0"/>
              </w:rPr>
            </w:pPr>
            <w:r>
              <w:rPr>
                <w:rStyle w:val="54"/>
                <w:rFonts w:asciiTheme="minorHAnsi" w:hAnsiTheme="minorHAnsi" w:cstheme="minorHAnsi"/>
                <w:color w:val="auto"/>
                <w:kern w:val="0"/>
              </w:rPr>
              <w:t>模冲垫块  punch riser</w:t>
            </w:r>
          </w:p>
          <w:p w14:paraId="475E0E17">
            <w:pPr>
              <w:spacing w:line="300" w:lineRule="exact"/>
              <w:ind w:firstLine="420"/>
              <w:rPr>
                <w:rFonts w:asciiTheme="minorHAnsi" w:hAnsiTheme="minorHAnsi" w:cstheme="minorHAnsi"/>
                <w:color w:val="auto"/>
                <w:kern w:val="0"/>
                <w:sz w:val="22"/>
              </w:rPr>
            </w:pPr>
            <w:r>
              <w:rPr>
                <w:rFonts w:asciiTheme="minorHAnsi" w:hAnsiTheme="minorHAnsi" w:cstheme="minorHAnsi"/>
                <w:color w:val="auto"/>
                <w:kern w:val="0"/>
                <w:sz w:val="22"/>
              </w:rPr>
              <w:t>模架接合器的部件，将模冲固定板(3.2.73)连接到</w:t>
            </w:r>
            <w:r>
              <w:rPr>
                <w:rStyle w:val="54"/>
                <w:rFonts w:hint="eastAsia" w:asciiTheme="minorHAnsi" w:hAnsiTheme="minorHAnsi" w:cstheme="minorHAnsi"/>
                <w:b w:val="0"/>
                <w:bCs w:val="0"/>
                <w:color w:val="auto"/>
                <w:kern w:val="0"/>
              </w:rPr>
              <w:t>模座</w:t>
            </w:r>
            <w:r>
              <w:rPr>
                <w:rFonts w:asciiTheme="minorHAnsi" w:hAnsiTheme="minorHAnsi" w:cstheme="minorHAnsi"/>
                <w:color w:val="auto"/>
                <w:kern w:val="0"/>
                <w:sz w:val="22"/>
              </w:rPr>
              <w:t>，以增加模冲(3.2.72)组件的高度。</w:t>
            </w:r>
          </w:p>
          <w:p w14:paraId="7E4F5035">
            <w:pPr>
              <w:spacing w:line="300" w:lineRule="exact"/>
              <w:ind w:firstLine="420"/>
              <w:rPr>
                <w:rFonts w:asciiTheme="minorHAnsi" w:hAnsiTheme="minorHAnsi" w:cstheme="minorHAnsi"/>
                <w:color w:val="auto"/>
                <w:kern w:val="0"/>
                <w:sz w:val="22"/>
              </w:rPr>
            </w:pPr>
            <w:r>
              <w:rPr>
                <w:rFonts w:hint="eastAsia" w:asciiTheme="minorHAnsi" w:hAnsiTheme="minorHAnsi" w:cstheme="minorHAnsi"/>
                <w:color w:val="auto"/>
                <w:kern w:val="0"/>
                <w:sz w:val="22"/>
              </w:rPr>
              <w:t>注1：</w:t>
            </w:r>
            <w:r>
              <w:rPr>
                <w:rFonts w:asciiTheme="minorHAnsi" w:hAnsiTheme="minorHAnsi" w:cstheme="minorHAnsi"/>
                <w:color w:val="auto"/>
                <w:kern w:val="0"/>
                <w:sz w:val="22"/>
              </w:rPr>
              <w:t>见图11。</w:t>
            </w:r>
          </w:p>
          <w:p w14:paraId="43C508E0">
            <w:pPr>
              <w:spacing w:line="300" w:lineRule="exact"/>
              <w:rPr>
                <w:rFonts w:asciiTheme="minorHAnsi" w:hAnsiTheme="minorHAnsi" w:cstheme="minorHAnsi"/>
                <w:color w:val="auto"/>
                <w:kern w:val="0"/>
                <w:sz w:val="22"/>
              </w:rPr>
            </w:pPr>
          </w:p>
        </w:tc>
        <w:tc>
          <w:tcPr>
            <w:tcW w:w="2126" w:type="dxa"/>
            <w:tcBorders>
              <w:top w:val="single" w:color="auto" w:sz="4" w:space="0"/>
              <w:left w:val="single" w:color="auto" w:sz="4" w:space="0"/>
              <w:bottom w:val="single" w:color="auto" w:sz="4" w:space="0"/>
              <w:right w:val="single" w:color="auto" w:sz="4" w:space="0"/>
            </w:tcBorders>
          </w:tcPr>
          <w:p w14:paraId="78F24A85">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 xml:space="preserve">模冲增高块 </w:t>
            </w:r>
            <w:r>
              <w:rPr>
                <w:rFonts w:asciiTheme="minorHAnsi" w:hAnsiTheme="minorHAnsi" w:cstheme="minorHAnsi"/>
                <w:color w:val="auto"/>
                <w:kern w:val="0"/>
                <w:sz w:val="22"/>
              </w:rPr>
              <w:br w:type="textWrapping"/>
            </w:r>
            <w:r>
              <w:rPr>
                <w:rFonts w:asciiTheme="minorHAnsi" w:hAnsiTheme="minorHAnsi" w:cstheme="minorHAnsi"/>
                <w:color w:val="auto"/>
                <w:kern w:val="0"/>
                <w:sz w:val="22"/>
              </w:rPr>
              <w:t>模具接合器中将模冲固定板（3.2.73） 连接到安装座的部件，用以增加模冲（3.2.72） 组件的高度。</w:t>
            </w:r>
          </w:p>
          <w:p w14:paraId="0221C5A9">
            <w:pPr>
              <w:spacing w:line="300" w:lineRule="exact"/>
              <w:rPr>
                <w:rFonts w:asciiTheme="minorHAnsi" w:hAnsiTheme="minorHAnsi" w:cstheme="minorHAnsi"/>
                <w:color w:val="auto"/>
                <w:kern w:val="0"/>
                <w:sz w:val="22"/>
              </w:rPr>
            </w:pPr>
          </w:p>
        </w:tc>
        <w:tc>
          <w:tcPr>
            <w:tcW w:w="1985" w:type="dxa"/>
            <w:tcBorders>
              <w:top w:val="single" w:color="auto" w:sz="4" w:space="0"/>
              <w:left w:val="single" w:color="auto" w:sz="4" w:space="0"/>
              <w:bottom w:val="single" w:color="auto" w:sz="4" w:space="0"/>
              <w:right w:val="single" w:color="auto" w:sz="4" w:space="0"/>
            </w:tcBorders>
          </w:tcPr>
          <w:p w14:paraId="64A882E3">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 xml:space="preserve">模冲垫块 </w:t>
            </w:r>
          </w:p>
          <w:p w14:paraId="2FB23BE6">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模架接合器中连接模冲固定板（3.2.73）和套筒以增加模冲（3.2.72）组件高度的部件。</w:t>
            </w:r>
          </w:p>
          <w:p w14:paraId="63B0B394">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注1：见图11。</w:t>
            </w:r>
          </w:p>
          <w:p w14:paraId="0CE62A7B">
            <w:pPr>
              <w:spacing w:line="300" w:lineRule="exact"/>
              <w:rPr>
                <w:rFonts w:asciiTheme="minorHAnsi" w:hAnsiTheme="minorHAnsi" w:cstheme="minorHAnsi"/>
                <w:color w:val="auto"/>
                <w:kern w:val="0"/>
                <w:sz w:val="22"/>
              </w:rPr>
            </w:pPr>
          </w:p>
        </w:tc>
      </w:tr>
      <w:tr w14:paraId="700E6159">
        <w:tblPrEx>
          <w:tblCellMar>
            <w:top w:w="0" w:type="dxa"/>
            <w:left w:w="108" w:type="dxa"/>
            <w:bottom w:w="0" w:type="dxa"/>
            <w:right w:w="108" w:type="dxa"/>
          </w:tblCellMar>
        </w:tblPrEx>
        <w:trPr>
          <w:trHeight w:val="2101"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7A3552E6">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3.2.82新增</w:t>
            </w:r>
          </w:p>
          <w:p w14:paraId="6ABA2821">
            <w:pPr>
              <w:spacing w:line="300" w:lineRule="exact"/>
              <w:rPr>
                <w:rFonts w:asciiTheme="minorHAnsi" w:hAnsiTheme="minorHAnsi" w:cstheme="minorHAnsi"/>
                <w:color w:val="auto"/>
                <w:kern w:val="0"/>
                <w:sz w:val="22"/>
              </w:rPr>
            </w:pP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02A26D75">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2C4DD176">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406958F0">
            <w:pPr>
              <w:spacing w:line="300" w:lineRule="exact"/>
              <w:rPr>
                <w:rFonts w:asciiTheme="minorHAnsi" w:hAnsiTheme="minorHAnsi" w:cstheme="minorHAnsi"/>
                <w:b/>
                <w:bCs/>
                <w:color w:val="auto"/>
                <w:kern w:val="0"/>
                <w:sz w:val="22"/>
              </w:rPr>
            </w:pPr>
            <w:r>
              <w:rPr>
                <w:rFonts w:asciiTheme="minorHAnsi" w:hAnsiTheme="minorHAnsi" w:cstheme="minorHAnsi"/>
                <w:b/>
                <w:bCs/>
                <w:color w:val="auto"/>
                <w:kern w:val="0"/>
                <w:sz w:val="22"/>
              </w:rPr>
              <w:t>socket</w:t>
            </w:r>
          </w:p>
          <w:p w14:paraId="2485BB18">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part of the tool set adaptation connecting the assembly for a punch (3.2.72) to the plate of the adaptor</w:t>
            </w:r>
          </w:p>
          <w:p w14:paraId="39673B45">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Note 1 to entry: See Figures 11 and 13.</w:t>
            </w:r>
          </w:p>
        </w:tc>
        <w:tc>
          <w:tcPr>
            <w:tcW w:w="3118" w:type="dxa"/>
            <w:tcBorders>
              <w:top w:val="single" w:color="auto" w:sz="4" w:space="0"/>
              <w:left w:val="single" w:color="auto" w:sz="4" w:space="0"/>
              <w:bottom w:val="single" w:color="auto" w:sz="4" w:space="0"/>
              <w:right w:val="single" w:color="auto" w:sz="4" w:space="0"/>
            </w:tcBorders>
            <w:shd w:val="clear" w:color="auto" w:fill="DEEBF6"/>
          </w:tcPr>
          <w:p w14:paraId="48599EB5">
            <w:pPr>
              <w:pStyle w:val="58"/>
              <w:spacing w:line="300" w:lineRule="exact"/>
              <w:rPr>
                <w:rStyle w:val="54"/>
                <w:rFonts w:asciiTheme="minorHAnsi" w:hAnsiTheme="minorHAnsi" w:cstheme="minorHAnsi"/>
                <w:b w:val="0"/>
                <w:bCs w:val="0"/>
                <w:color w:val="auto"/>
                <w:kern w:val="0"/>
              </w:rPr>
            </w:pPr>
            <w:r>
              <w:rPr>
                <w:rStyle w:val="54"/>
                <w:rFonts w:hint="eastAsia" w:asciiTheme="minorHAnsi" w:hAnsiTheme="minorHAnsi" w:cstheme="minorHAnsi"/>
                <w:b w:val="0"/>
                <w:bCs w:val="0"/>
                <w:color w:val="auto"/>
                <w:kern w:val="0"/>
              </w:rPr>
              <w:t>模座</w:t>
            </w:r>
            <w:r>
              <w:rPr>
                <w:rStyle w:val="54"/>
                <w:rFonts w:asciiTheme="minorHAnsi" w:hAnsiTheme="minorHAnsi" w:cstheme="minorHAnsi"/>
                <w:color w:val="auto"/>
                <w:kern w:val="0"/>
              </w:rPr>
              <w:t xml:space="preserve">  socket</w:t>
            </w:r>
          </w:p>
          <w:p w14:paraId="312A5B06">
            <w:pPr>
              <w:pStyle w:val="58"/>
              <w:spacing w:line="300" w:lineRule="exact"/>
              <w:rPr>
                <w:rFonts w:asciiTheme="minorHAnsi" w:hAnsiTheme="minorHAnsi" w:cstheme="minorHAnsi"/>
                <w:color w:val="auto"/>
                <w:kern w:val="0"/>
                <w:sz w:val="22"/>
              </w:rPr>
            </w:pPr>
            <w:r>
              <w:rPr>
                <w:rStyle w:val="54"/>
                <w:rFonts w:asciiTheme="minorHAnsi" w:hAnsiTheme="minorHAnsi" w:cstheme="minorHAnsi"/>
                <w:color w:val="auto"/>
                <w:kern w:val="0"/>
              </w:rPr>
              <w:t>模具接</w:t>
            </w:r>
            <w:r>
              <w:rPr>
                <w:rFonts w:asciiTheme="minorHAnsi" w:hAnsiTheme="minorHAnsi" w:cstheme="minorHAnsi"/>
                <w:color w:val="auto"/>
                <w:kern w:val="0"/>
                <w:sz w:val="22"/>
              </w:rPr>
              <w:t>合器的部件，用于将模冲 (3.2.72) 组件连接到接合器的模板。</w:t>
            </w:r>
          </w:p>
          <w:p w14:paraId="40F2C3C8">
            <w:pPr>
              <w:pStyle w:val="58"/>
              <w:spacing w:line="300" w:lineRule="exact"/>
              <w:rPr>
                <w:rFonts w:asciiTheme="minorHAnsi" w:hAnsiTheme="minorHAnsi" w:cstheme="minorHAnsi"/>
                <w:color w:val="auto"/>
                <w:kern w:val="0"/>
                <w:sz w:val="22"/>
              </w:rPr>
            </w:pPr>
            <w:r>
              <w:rPr>
                <w:rFonts w:hint="eastAsia" w:asciiTheme="minorHAnsi" w:hAnsiTheme="minorHAnsi" w:cstheme="minorHAnsi"/>
                <w:color w:val="auto"/>
                <w:kern w:val="0"/>
                <w:sz w:val="22"/>
              </w:rPr>
              <w:t>注1：</w:t>
            </w:r>
            <w:r>
              <w:rPr>
                <w:rFonts w:asciiTheme="minorHAnsi" w:hAnsiTheme="minorHAnsi" w:cstheme="minorHAnsi"/>
                <w:color w:val="auto"/>
                <w:kern w:val="0"/>
                <w:sz w:val="22"/>
              </w:rPr>
              <w:t>见图11和图13。</w:t>
            </w:r>
          </w:p>
          <w:p w14:paraId="3C4D97E3">
            <w:pPr>
              <w:spacing w:line="300" w:lineRule="exact"/>
              <w:rPr>
                <w:rFonts w:asciiTheme="minorHAnsi" w:hAnsiTheme="minorHAnsi" w:cstheme="minorHAnsi"/>
                <w:color w:val="auto"/>
                <w:kern w:val="0"/>
                <w:sz w:val="22"/>
              </w:rPr>
            </w:pPr>
          </w:p>
        </w:tc>
        <w:tc>
          <w:tcPr>
            <w:tcW w:w="2126" w:type="dxa"/>
            <w:tcBorders>
              <w:top w:val="single" w:color="auto" w:sz="4" w:space="0"/>
              <w:left w:val="single" w:color="auto" w:sz="4" w:space="0"/>
              <w:bottom w:val="single" w:color="auto" w:sz="4" w:space="0"/>
              <w:right w:val="single" w:color="auto" w:sz="4" w:space="0"/>
            </w:tcBorders>
          </w:tcPr>
          <w:p w14:paraId="07C8BD34">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 xml:space="preserve">安装座 </w:t>
            </w:r>
            <w:r>
              <w:rPr>
                <w:rFonts w:asciiTheme="minorHAnsi" w:hAnsiTheme="minorHAnsi" w:cstheme="minorHAnsi"/>
                <w:color w:val="auto"/>
                <w:kern w:val="0"/>
                <w:sz w:val="22"/>
              </w:rPr>
              <w:br w:type="textWrapping"/>
            </w:r>
            <w:r>
              <w:rPr>
                <w:rFonts w:asciiTheme="minorHAnsi" w:hAnsiTheme="minorHAnsi" w:cstheme="minorHAnsi"/>
                <w:color w:val="auto"/>
                <w:kern w:val="0"/>
                <w:sz w:val="22"/>
              </w:rPr>
              <w:t>模具接合器中将模冲 (3.2.72) 组件连接到接合器模板的部件。</w:t>
            </w:r>
          </w:p>
          <w:p w14:paraId="3B0F3049">
            <w:pPr>
              <w:spacing w:line="300" w:lineRule="exact"/>
              <w:rPr>
                <w:rFonts w:asciiTheme="minorHAnsi" w:hAnsiTheme="minorHAnsi" w:cstheme="minorHAnsi"/>
                <w:color w:val="auto"/>
                <w:kern w:val="0"/>
                <w:sz w:val="22"/>
              </w:rPr>
            </w:pPr>
          </w:p>
        </w:tc>
        <w:tc>
          <w:tcPr>
            <w:tcW w:w="1985" w:type="dxa"/>
            <w:tcBorders>
              <w:top w:val="single" w:color="auto" w:sz="4" w:space="0"/>
              <w:left w:val="single" w:color="auto" w:sz="4" w:space="0"/>
              <w:bottom w:val="single" w:color="auto" w:sz="4" w:space="0"/>
              <w:right w:val="single" w:color="auto" w:sz="4" w:space="0"/>
            </w:tcBorders>
          </w:tcPr>
          <w:p w14:paraId="50BC236E">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套筒</w:t>
            </w:r>
          </w:p>
          <w:p w14:paraId="5CA814AA">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模架接合器中连接模冲（3.2.72）组件与接合器板的部件。</w:t>
            </w:r>
          </w:p>
          <w:p w14:paraId="372DB891">
            <w:pPr>
              <w:spacing w:line="300" w:lineRule="exact"/>
              <w:rPr>
                <w:rFonts w:asciiTheme="minorHAnsi" w:hAnsiTheme="minorHAnsi" w:cstheme="minorHAnsi"/>
                <w:color w:val="auto"/>
                <w:kern w:val="0"/>
                <w:sz w:val="22"/>
              </w:rPr>
            </w:pPr>
          </w:p>
        </w:tc>
      </w:tr>
      <w:tr w14:paraId="02AD0A7D">
        <w:tblPrEx>
          <w:tblCellMar>
            <w:top w:w="0" w:type="dxa"/>
            <w:left w:w="108" w:type="dxa"/>
            <w:bottom w:w="0" w:type="dxa"/>
            <w:right w:w="108" w:type="dxa"/>
          </w:tblCellMar>
        </w:tblPrEx>
        <w:trPr>
          <w:trHeight w:val="2415"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72B988E4">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3.2.85新增</w:t>
            </w:r>
          </w:p>
          <w:p w14:paraId="52C592E1">
            <w:pPr>
              <w:spacing w:line="300" w:lineRule="exact"/>
              <w:rPr>
                <w:rFonts w:asciiTheme="minorHAnsi" w:hAnsiTheme="minorHAnsi" w:cstheme="minorHAnsi"/>
                <w:color w:val="auto"/>
                <w:kern w:val="0"/>
                <w:sz w:val="22"/>
              </w:rPr>
            </w:pP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00A0ABEA">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2EEFF23F">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462D243E">
            <w:pPr>
              <w:spacing w:line="300" w:lineRule="exact"/>
              <w:rPr>
                <w:rFonts w:asciiTheme="minorHAnsi" w:hAnsiTheme="minorHAnsi" w:cstheme="minorHAnsi"/>
                <w:b/>
                <w:bCs/>
                <w:color w:val="auto"/>
                <w:kern w:val="0"/>
                <w:sz w:val="22"/>
              </w:rPr>
            </w:pPr>
            <w:r>
              <w:rPr>
                <w:rFonts w:asciiTheme="minorHAnsi" w:hAnsiTheme="minorHAnsi" w:cstheme="minorHAnsi"/>
                <w:b/>
                <w:bCs/>
                <w:color w:val="auto"/>
                <w:kern w:val="0"/>
                <w:sz w:val="22"/>
              </w:rPr>
              <w:t>tie rod</w:t>
            </w:r>
          </w:p>
          <w:p w14:paraId="4CD43D32">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part of the tool set adaptor connecting and transferring the motion of the lower coupling plate to the die</w:t>
            </w:r>
          </w:p>
          <w:p w14:paraId="053C8115">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plate</w:t>
            </w:r>
          </w:p>
          <w:p w14:paraId="7D30B4E7">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Note 1 to entry: See Figure 11 and 12.</w:t>
            </w:r>
          </w:p>
        </w:tc>
        <w:tc>
          <w:tcPr>
            <w:tcW w:w="3118" w:type="dxa"/>
            <w:tcBorders>
              <w:top w:val="single" w:color="auto" w:sz="4" w:space="0"/>
              <w:left w:val="single" w:color="auto" w:sz="4" w:space="0"/>
              <w:bottom w:val="single" w:color="auto" w:sz="4" w:space="0"/>
              <w:right w:val="single" w:color="auto" w:sz="4" w:space="0"/>
            </w:tcBorders>
            <w:shd w:val="clear" w:color="auto" w:fill="DEEBF6"/>
          </w:tcPr>
          <w:p w14:paraId="5098FD8D">
            <w:pPr>
              <w:pStyle w:val="58"/>
              <w:spacing w:line="300" w:lineRule="exact"/>
              <w:rPr>
                <w:rStyle w:val="54"/>
                <w:rFonts w:asciiTheme="minorHAnsi" w:hAnsiTheme="minorHAnsi" w:cstheme="minorHAnsi"/>
                <w:b w:val="0"/>
                <w:bCs w:val="0"/>
                <w:color w:val="auto"/>
                <w:kern w:val="0"/>
              </w:rPr>
            </w:pPr>
            <w:r>
              <w:rPr>
                <w:rStyle w:val="54"/>
                <w:rFonts w:asciiTheme="minorHAnsi" w:hAnsiTheme="minorHAnsi" w:cstheme="minorHAnsi"/>
                <w:color w:val="auto"/>
                <w:kern w:val="0"/>
              </w:rPr>
              <w:t>拉杆  tie rod</w:t>
            </w:r>
          </w:p>
          <w:p w14:paraId="1843D8FA">
            <w:pPr>
              <w:pStyle w:val="58"/>
              <w:spacing w:line="300" w:lineRule="exact"/>
              <w:rPr>
                <w:rStyle w:val="54"/>
                <w:rFonts w:asciiTheme="minorHAnsi" w:hAnsiTheme="minorHAnsi" w:cstheme="minorHAnsi"/>
                <w:b w:val="0"/>
                <w:bCs w:val="0"/>
                <w:color w:val="auto"/>
                <w:kern w:val="0"/>
              </w:rPr>
            </w:pPr>
            <w:r>
              <w:rPr>
                <w:rStyle w:val="54"/>
                <w:rFonts w:asciiTheme="minorHAnsi" w:hAnsiTheme="minorHAnsi" w:cstheme="minorHAnsi"/>
                <w:color w:val="auto"/>
                <w:kern w:val="0"/>
              </w:rPr>
              <w:t>模架接合器的部件，用于连接下连接板并将运动传递至阴模板。</w:t>
            </w:r>
          </w:p>
          <w:p w14:paraId="7DE79E9F">
            <w:pPr>
              <w:pStyle w:val="58"/>
              <w:spacing w:line="300" w:lineRule="exact"/>
              <w:rPr>
                <w:rStyle w:val="54"/>
                <w:rFonts w:asciiTheme="minorHAnsi" w:hAnsiTheme="minorHAnsi" w:cstheme="minorHAnsi"/>
                <w:b w:val="0"/>
                <w:bCs w:val="0"/>
                <w:color w:val="auto"/>
                <w:kern w:val="0"/>
              </w:rPr>
            </w:pPr>
            <w:r>
              <w:rPr>
                <w:rStyle w:val="54"/>
                <w:rFonts w:asciiTheme="minorHAnsi" w:hAnsiTheme="minorHAnsi" w:cstheme="minorHAnsi"/>
                <w:color w:val="auto"/>
                <w:kern w:val="0"/>
              </w:rPr>
              <w:t>注1：见图11和图12。</w:t>
            </w:r>
          </w:p>
          <w:p w14:paraId="39BD359E">
            <w:pPr>
              <w:spacing w:line="300" w:lineRule="exact"/>
              <w:rPr>
                <w:rFonts w:asciiTheme="minorHAnsi" w:hAnsiTheme="minorHAnsi" w:cstheme="minorHAnsi"/>
                <w:color w:val="auto"/>
                <w:kern w:val="0"/>
                <w:sz w:val="22"/>
              </w:rPr>
            </w:pPr>
          </w:p>
        </w:tc>
        <w:tc>
          <w:tcPr>
            <w:tcW w:w="2126" w:type="dxa"/>
            <w:tcBorders>
              <w:top w:val="single" w:color="auto" w:sz="4" w:space="0"/>
              <w:left w:val="single" w:color="auto" w:sz="4" w:space="0"/>
              <w:bottom w:val="single" w:color="auto" w:sz="4" w:space="0"/>
              <w:right w:val="single" w:color="auto" w:sz="4" w:space="0"/>
            </w:tcBorders>
          </w:tcPr>
          <w:p w14:paraId="2ABED1FB">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 xml:space="preserve">拉杆 </w:t>
            </w:r>
            <w:r>
              <w:rPr>
                <w:rFonts w:asciiTheme="minorHAnsi" w:hAnsiTheme="minorHAnsi" w:cstheme="minorHAnsi"/>
                <w:color w:val="auto"/>
                <w:kern w:val="0"/>
                <w:sz w:val="22"/>
              </w:rPr>
              <w:br w:type="textWrapping"/>
            </w:r>
            <w:r>
              <w:rPr>
                <w:rFonts w:asciiTheme="minorHAnsi" w:hAnsiTheme="minorHAnsi" w:cstheme="minorHAnsi"/>
                <w:color w:val="auto"/>
                <w:kern w:val="0"/>
                <w:sz w:val="22"/>
              </w:rPr>
              <w:t>模具接合器中用于连接下模板与阴模板并传递其运动的部件。</w:t>
            </w:r>
          </w:p>
          <w:p w14:paraId="758A4D04">
            <w:pPr>
              <w:spacing w:line="300" w:lineRule="exact"/>
              <w:rPr>
                <w:rFonts w:asciiTheme="minorHAnsi" w:hAnsiTheme="minorHAnsi" w:cstheme="minorHAnsi"/>
                <w:color w:val="auto"/>
                <w:kern w:val="0"/>
                <w:sz w:val="22"/>
              </w:rPr>
            </w:pPr>
          </w:p>
        </w:tc>
        <w:tc>
          <w:tcPr>
            <w:tcW w:w="1985" w:type="dxa"/>
            <w:tcBorders>
              <w:top w:val="single" w:color="auto" w:sz="4" w:space="0"/>
              <w:left w:val="single" w:color="auto" w:sz="4" w:space="0"/>
              <w:bottom w:val="single" w:color="auto" w:sz="4" w:space="0"/>
              <w:right w:val="single" w:color="auto" w:sz="4" w:space="0"/>
            </w:tcBorders>
          </w:tcPr>
          <w:p w14:paraId="55B9938E">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 xml:space="preserve">拉杆 </w:t>
            </w:r>
          </w:p>
          <w:p w14:paraId="4B5E873A">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模架接合器中连接并将底板运动传递给阴模固定板的部件。</w:t>
            </w:r>
          </w:p>
          <w:p w14:paraId="04769158">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注1：见图11和图12.</w:t>
            </w:r>
          </w:p>
          <w:p w14:paraId="53B28534">
            <w:pPr>
              <w:spacing w:line="300" w:lineRule="exact"/>
              <w:rPr>
                <w:rFonts w:asciiTheme="minorHAnsi" w:hAnsiTheme="minorHAnsi" w:cstheme="minorHAnsi"/>
                <w:color w:val="auto"/>
                <w:kern w:val="0"/>
                <w:sz w:val="22"/>
              </w:rPr>
            </w:pPr>
          </w:p>
        </w:tc>
      </w:tr>
      <w:tr w14:paraId="159A963B">
        <w:tblPrEx>
          <w:tblCellMar>
            <w:top w:w="0" w:type="dxa"/>
            <w:left w:w="108" w:type="dxa"/>
            <w:bottom w:w="0" w:type="dxa"/>
            <w:right w:w="108" w:type="dxa"/>
          </w:tblCellMar>
        </w:tblPrEx>
        <w:trPr>
          <w:trHeight w:val="1685"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437814C8">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3.2.87</w:t>
            </w:r>
          </w:p>
          <w:p w14:paraId="70C21F69">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新增</w:t>
            </w: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623BFF6C">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32C2AAE0">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712228A4">
            <w:pPr>
              <w:spacing w:line="300" w:lineRule="exact"/>
              <w:rPr>
                <w:rFonts w:asciiTheme="minorHAnsi" w:hAnsiTheme="minorHAnsi" w:cstheme="minorHAnsi"/>
                <w:b/>
                <w:bCs/>
                <w:color w:val="auto"/>
                <w:kern w:val="0"/>
                <w:sz w:val="22"/>
              </w:rPr>
            </w:pPr>
            <w:r>
              <w:rPr>
                <w:rFonts w:asciiTheme="minorHAnsi" w:hAnsiTheme="minorHAnsi" w:cstheme="minorHAnsi"/>
                <w:b/>
                <w:bCs/>
                <w:color w:val="auto"/>
                <w:kern w:val="0"/>
                <w:sz w:val="22"/>
              </w:rPr>
              <w:t>undercut forming</w:t>
            </w:r>
          </w:p>
          <w:p w14:paraId="467E108B">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forming a compact in a shape which requires horizontal splitting of the tool die</w:t>
            </w:r>
          </w:p>
        </w:tc>
        <w:tc>
          <w:tcPr>
            <w:tcW w:w="3118" w:type="dxa"/>
            <w:tcBorders>
              <w:top w:val="single" w:color="auto" w:sz="4" w:space="0"/>
              <w:left w:val="single" w:color="auto" w:sz="4" w:space="0"/>
              <w:bottom w:val="single" w:color="auto" w:sz="4" w:space="0"/>
              <w:right w:val="single" w:color="auto" w:sz="4" w:space="0"/>
            </w:tcBorders>
            <w:shd w:val="clear" w:color="auto" w:fill="DEEBF6"/>
          </w:tcPr>
          <w:p w14:paraId="6D4D6CCD">
            <w:pPr>
              <w:pStyle w:val="58"/>
              <w:spacing w:line="300" w:lineRule="exact"/>
              <w:rPr>
                <w:rFonts w:asciiTheme="minorHAnsi" w:hAnsiTheme="minorHAnsi" w:cstheme="minorHAnsi"/>
                <w:color w:val="auto"/>
                <w:kern w:val="0"/>
                <w:sz w:val="22"/>
                <w:highlight w:val="yellow"/>
              </w:rPr>
            </w:pPr>
            <w:r>
              <w:rPr>
                <w:rStyle w:val="54"/>
                <w:rFonts w:asciiTheme="minorHAnsi" w:hAnsiTheme="minorHAnsi" w:cstheme="minorHAnsi"/>
                <w:color w:val="auto"/>
                <w:kern w:val="0"/>
              </w:rPr>
              <w:t>倒凹成形undercut forming</w:t>
            </w:r>
          </w:p>
          <w:p w14:paraId="4E53D92D">
            <w:pPr>
              <w:spacing w:line="300" w:lineRule="exact"/>
              <w:ind w:firstLine="440" w:firstLineChars="200"/>
              <w:rPr>
                <w:rFonts w:asciiTheme="minorHAnsi" w:hAnsiTheme="minorHAnsi" w:cstheme="minorHAnsi"/>
                <w:color w:val="auto"/>
                <w:kern w:val="0"/>
                <w:sz w:val="22"/>
              </w:rPr>
            </w:pPr>
            <w:r>
              <w:rPr>
                <w:rFonts w:hint="eastAsia" w:asciiTheme="minorHAnsi" w:hAnsiTheme="minorHAnsi" w:cstheme="minorHAnsi"/>
                <w:color w:val="auto"/>
                <w:kern w:val="0"/>
                <w:sz w:val="22"/>
              </w:rPr>
              <w:t>一种需要模具水平对开才能脱模的压坯成形工艺。</w:t>
            </w:r>
          </w:p>
        </w:tc>
        <w:tc>
          <w:tcPr>
            <w:tcW w:w="2126" w:type="dxa"/>
            <w:tcBorders>
              <w:top w:val="single" w:color="auto" w:sz="4" w:space="0"/>
              <w:left w:val="single" w:color="auto" w:sz="4" w:space="0"/>
              <w:bottom w:val="single" w:color="auto" w:sz="4" w:space="0"/>
              <w:right w:val="single" w:color="auto" w:sz="4" w:space="0"/>
            </w:tcBorders>
          </w:tcPr>
          <w:p w14:paraId="01BF71FC">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 xml:space="preserve">下切成形 </w:t>
            </w:r>
          </w:p>
          <w:p w14:paraId="288493D6">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一种需要将模具阴模水平分型的复杂形状压坯。</w:t>
            </w:r>
          </w:p>
          <w:p w14:paraId="01283092">
            <w:pPr>
              <w:spacing w:line="300" w:lineRule="exact"/>
              <w:rPr>
                <w:rFonts w:asciiTheme="minorHAnsi" w:hAnsiTheme="minorHAnsi" w:cstheme="minorHAnsi"/>
                <w:color w:val="auto"/>
                <w:kern w:val="0"/>
                <w:sz w:val="22"/>
              </w:rPr>
            </w:pPr>
          </w:p>
        </w:tc>
        <w:tc>
          <w:tcPr>
            <w:tcW w:w="1985" w:type="dxa"/>
            <w:tcBorders>
              <w:top w:val="single" w:color="auto" w:sz="4" w:space="0"/>
              <w:left w:val="single" w:color="auto" w:sz="4" w:space="0"/>
              <w:bottom w:val="single" w:color="auto" w:sz="4" w:space="0"/>
              <w:right w:val="single" w:color="auto" w:sz="4" w:space="0"/>
            </w:tcBorders>
          </w:tcPr>
          <w:p w14:paraId="7DDC0184">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 xml:space="preserve">凹陷成形 </w:t>
            </w:r>
          </w:p>
          <w:p w14:paraId="7C3312CC">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需通过模具水平拆分来脱模的压坯成形工艺。</w:t>
            </w:r>
          </w:p>
          <w:p w14:paraId="4E650C6D">
            <w:pPr>
              <w:spacing w:line="300" w:lineRule="exact"/>
              <w:rPr>
                <w:rFonts w:asciiTheme="minorHAnsi" w:hAnsiTheme="minorHAnsi" w:cstheme="minorHAnsi"/>
                <w:color w:val="auto"/>
                <w:kern w:val="0"/>
                <w:sz w:val="22"/>
              </w:rPr>
            </w:pPr>
          </w:p>
        </w:tc>
      </w:tr>
      <w:tr w14:paraId="2D4F45EF">
        <w:tblPrEx>
          <w:tblCellMar>
            <w:top w:w="0" w:type="dxa"/>
            <w:left w:w="108" w:type="dxa"/>
            <w:bottom w:w="0" w:type="dxa"/>
            <w:right w:w="108" w:type="dxa"/>
          </w:tblCellMar>
        </w:tblPrEx>
        <w:trPr>
          <w:trHeight w:val="1121"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668206BC">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3.2.90新增</w:t>
            </w:r>
          </w:p>
          <w:p w14:paraId="25494812">
            <w:pPr>
              <w:spacing w:line="300" w:lineRule="exact"/>
              <w:rPr>
                <w:rFonts w:asciiTheme="minorHAnsi" w:hAnsiTheme="minorHAnsi" w:cstheme="minorHAnsi"/>
                <w:color w:val="auto"/>
                <w:kern w:val="0"/>
                <w:sz w:val="22"/>
              </w:rPr>
            </w:pP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075E91FD">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52135A45">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4B7AEE38">
            <w:pPr>
              <w:spacing w:line="300" w:lineRule="exact"/>
              <w:rPr>
                <w:rFonts w:asciiTheme="minorHAnsi" w:hAnsiTheme="minorHAnsi" w:cstheme="minorHAnsi"/>
                <w:b/>
                <w:bCs/>
                <w:color w:val="auto"/>
                <w:kern w:val="0"/>
                <w:sz w:val="22"/>
              </w:rPr>
            </w:pPr>
            <w:r>
              <w:rPr>
                <w:rFonts w:asciiTheme="minorHAnsi" w:hAnsiTheme="minorHAnsi" w:cstheme="minorHAnsi"/>
                <w:b/>
                <w:bCs/>
                <w:color w:val="auto"/>
                <w:kern w:val="0"/>
                <w:sz w:val="22"/>
              </w:rPr>
              <w:t>upper coupler plate</w:t>
            </w:r>
          </w:p>
          <w:p w14:paraId="4611BC6D">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part of the tool set adaptor transmitting the movement of the machine upper ram to the tool set</w:t>
            </w:r>
          </w:p>
          <w:p w14:paraId="31767285">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Note 1 to entry: See Figures 11 and 12.</w:t>
            </w:r>
          </w:p>
        </w:tc>
        <w:tc>
          <w:tcPr>
            <w:tcW w:w="3118" w:type="dxa"/>
            <w:tcBorders>
              <w:top w:val="single" w:color="auto" w:sz="4" w:space="0"/>
              <w:left w:val="single" w:color="auto" w:sz="4" w:space="0"/>
              <w:bottom w:val="single" w:color="auto" w:sz="4" w:space="0"/>
              <w:right w:val="single" w:color="auto" w:sz="4" w:space="0"/>
            </w:tcBorders>
            <w:shd w:val="clear" w:color="auto" w:fill="DEEBF6"/>
          </w:tcPr>
          <w:p w14:paraId="281438C0">
            <w:pPr>
              <w:pStyle w:val="58"/>
              <w:spacing w:line="300" w:lineRule="exact"/>
              <w:rPr>
                <w:rStyle w:val="54"/>
                <w:rFonts w:asciiTheme="minorHAnsi" w:hAnsiTheme="minorHAnsi" w:cstheme="minorHAnsi"/>
                <w:b w:val="0"/>
                <w:bCs w:val="0"/>
                <w:color w:val="auto"/>
                <w:kern w:val="0"/>
              </w:rPr>
            </w:pPr>
            <w:r>
              <w:rPr>
                <w:rStyle w:val="54"/>
                <w:rFonts w:asciiTheme="minorHAnsi" w:hAnsiTheme="minorHAnsi" w:cstheme="minorHAnsi"/>
                <w:color w:val="auto"/>
                <w:kern w:val="0"/>
              </w:rPr>
              <w:t>上连接板  upper coupler plate</w:t>
            </w:r>
          </w:p>
          <w:p w14:paraId="2AD1EED3">
            <w:pPr>
              <w:pStyle w:val="58"/>
              <w:spacing w:line="300" w:lineRule="exact"/>
              <w:rPr>
                <w:rStyle w:val="54"/>
                <w:rFonts w:asciiTheme="minorHAnsi" w:hAnsiTheme="minorHAnsi" w:cstheme="minorHAnsi"/>
                <w:b w:val="0"/>
                <w:bCs w:val="0"/>
                <w:color w:val="auto"/>
                <w:kern w:val="0"/>
              </w:rPr>
            </w:pPr>
            <w:r>
              <w:rPr>
                <w:rFonts w:asciiTheme="minorHAnsi" w:hAnsiTheme="minorHAnsi" w:cstheme="minorHAnsi"/>
                <w:color w:val="auto"/>
                <w:kern w:val="0"/>
                <w:sz w:val="22"/>
              </w:rPr>
              <w:t>模架接合器的部件，用于将压机上压头的运动传递至模架</w:t>
            </w:r>
            <w:r>
              <w:rPr>
                <w:rStyle w:val="54"/>
                <w:rFonts w:asciiTheme="minorHAnsi" w:hAnsiTheme="minorHAnsi" w:cstheme="minorHAnsi"/>
                <w:color w:val="auto"/>
                <w:kern w:val="0"/>
              </w:rPr>
              <w:t>。</w:t>
            </w:r>
          </w:p>
          <w:p w14:paraId="52C3DCA8">
            <w:pPr>
              <w:pStyle w:val="58"/>
              <w:spacing w:line="300" w:lineRule="exact"/>
              <w:rPr>
                <w:rStyle w:val="54"/>
                <w:rFonts w:asciiTheme="minorHAnsi" w:hAnsiTheme="minorHAnsi" w:cstheme="minorHAnsi"/>
                <w:b w:val="0"/>
                <w:bCs w:val="0"/>
                <w:color w:val="auto"/>
                <w:kern w:val="0"/>
              </w:rPr>
            </w:pPr>
            <w:r>
              <w:rPr>
                <w:rFonts w:asciiTheme="minorHAnsi" w:hAnsiTheme="minorHAnsi" w:cstheme="minorHAnsi"/>
                <w:color w:val="auto"/>
                <w:kern w:val="0"/>
                <w:sz w:val="22"/>
              </w:rPr>
              <w:t>注1：见图11和图12。</w:t>
            </w:r>
          </w:p>
          <w:p w14:paraId="3EF5083A">
            <w:pPr>
              <w:spacing w:line="300" w:lineRule="exact"/>
              <w:rPr>
                <w:rFonts w:asciiTheme="minorHAnsi" w:hAnsiTheme="minorHAnsi" w:cstheme="minorHAnsi"/>
                <w:color w:val="auto"/>
                <w:kern w:val="0"/>
                <w:sz w:val="22"/>
              </w:rPr>
            </w:pPr>
          </w:p>
        </w:tc>
        <w:tc>
          <w:tcPr>
            <w:tcW w:w="2126" w:type="dxa"/>
            <w:tcBorders>
              <w:top w:val="single" w:color="auto" w:sz="4" w:space="0"/>
              <w:left w:val="single" w:color="auto" w:sz="4" w:space="0"/>
              <w:bottom w:val="single" w:color="auto" w:sz="4" w:space="0"/>
              <w:right w:val="single" w:color="auto" w:sz="4" w:space="0"/>
            </w:tcBorders>
          </w:tcPr>
          <w:p w14:paraId="594961D3">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 xml:space="preserve">上连接板 </w:t>
            </w:r>
            <w:r>
              <w:rPr>
                <w:rFonts w:asciiTheme="minorHAnsi" w:hAnsiTheme="minorHAnsi" w:cstheme="minorHAnsi"/>
                <w:color w:val="auto"/>
                <w:kern w:val="0"/>
                <w:sz w:val="22"/>
              </w:rPr>
              <w:br w:type="textWrapping"/>
            </w:r>
            <w:r>
              <w:rPr>
                <w:rFonts w:asciiTheme="minorHAnsi" w:hAnsiTheme="minorHAnsi" w:cstheme="minorHAnsi"/>
                <w:color w:val="auto"/>
                <w:kern w:val="0"/>
                <w:sz w:val="22"/>
              </w:rPr>
              <w:t>模具接合器中将压机上压头的运动传递给模具组的部件。</w:t>
            </w:r>
          </w:p>
          <w:p w14:paraId="6F3AC3CD">
            <w:pPr>
              <w:spacing w:line="300" w:lineRule="exact"/>
              <w:rPr>
                <w:rFonts w:asciiTheme="minorHAnsi" w:hAnsiTheme="minorHAnsi" w:cstheme="minorHAnsi"/>
                <w:color w:val="auto"/>
                <w:kern w:val="0"/>
                <w:sz w:val="22"/>
              </w:rPr>
            </w:pPr>
          </w:p>
        </w:tc>
        <w:tc>
          <w:tcPr>
            <w:tcW w:w="1985" w:type="dxa"/>
            <w:tcBorders>
              <w:top w:val="single" w:color="auto" w:sz="4" w:space="0"/>
              <w:left w:val="single" w:color="auto" w:sz="4" w:space="0"/>
              <w:bottom w:val="single" w:color="auto" w:sz="4" w:space="0"/>
              <w:right w:val="single" w:color="auto" w:sz="4" w:space="0"/>
            </w:tcBorders>
          </w:tcPr>
          <w:p w14:paraId="3C767BBF">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 xml:space="preserve">上连接板 </w:t>
            </w:r>
          </w:p>
          <w:p w14:paraId="287613FF">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将压机上压头的运动传递给模架接合器的部件。</w:t>
            </w:r>
          </w:p>
          <w:p w14:paraId="54E9EDA9">
            <w:pPr>
              <w:spacing w:line="300" w:lineRule="exact"/>
              <w:rPr>
                <w:rFonts w:asciiTheme="minorHAnsi" w:hAnsiTheme="minorHAnsi" w:cstheme="minorHAnsi"/>
                <w:color w:val="auto"/>
                <w:kern w:val="0"/>
                <w:sz w:val="22"/>
              </w:rPr>
            </w:pPr>
          </w:p>
        </w:tc>
      </w:tr>
      <w:tr w14:paraId="0038A947">
        <w:tblPrEx>
          <w:tblCellMar>
            <w:top w:w="0" w:type="dxa"/>
            <w:left w:w="108" w:type="dxa"/>
            <w:bottom w:w="0" w:type="dxa"/>
            <w:right w:w="108" w:type="dxa"/>
          </w:tblCellMar>
        </w:tblPrEx>
        <w:trPr>
          <w:trHeight w:val="1559"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553ABDFC">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3.2.91新增</w:t>
            </w:r>
          </w:p>
          <w:p w14:paraId="4997566C">
            <w:pPr>
              <w:spacing w:line="300" w:lineRule="exact"/>
              <w:rPr>
                <w:rFonts w:asciiTheme="minorHAnsi" w:hAnsiTheme="minorHAnsi" w:cstheme="minorHAnsi"/>
                <w:color w:val="auto"/>
                <w:kern w:val="0"/>
                <w:sz w:val="22"/>
              </w:rPr>
            </w:pP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4DDB39F6">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6E4B6C34">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5E82FEED">
            <w:pPr>
              <w:spacing w:line="300" w:lineRule="exact"/>
              <w:rPr>
                <w:rFonts w:asciiTheme="minorHAnsi" w:hAnsiTheme="minorHAnsi" w:cstheme="minorHAnsi"/>
                <w:b/>
                <w:bCs/>
                <w:color w:val="auto"/>
                <w:kern w:val="0"/>
                <w:sz w:val="22"/>
              </w:rPr>
            </w:pPr>
            <w:r>
              <w:rPr>
                <w:rFonts w:asciiTheme="minorHAnsi" w:hAnsiTheme="minorHAnsi" w:cstheme="minorHAnsi"/>
                <w:b/>
                <w:bCs/>
                <w:color w:val="auto"/>
                <w:kern w:val="0"/>
                <w:sz w:val="22"/>
              </w:rPr>
              <w:t>upper plate</w:t>
            </w:r>
          </w:p>
          <w:p w14:paraId="627AA3A3">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movable plate of the adaptor for connecting an upper punch (3.2.92)</w:t>
            </w:r>
          </w:p>
          <w:p w14:paraId="15E48061">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Note 1 to entry: See Figure 12.</w:t>
            </w:r>
          </w:p>
        </w:tc>
        <w:tc>
          <w:tcPr>
            <w:tcW w:w="3118" w:type="dxa"/>
            <w:tcBorders>
              <w:top w:val="single" w:color="auto" w:sz="4" w:space="0"/>
              <w:left w:val="single" w:color="auto" w:sz="4" w:space="0"/>
              <w:bottom w:val="single" w:color="auto" w:sz="4" w:space="0"/>
              <w:right w:val="single" w:color="auto" w:sz="4" w:space="0"/>
            </w:tcBorders>
            <w:shd w:val="clear" w:color="auto" w:fill="DEEBF6"/>
          </w:tcPr>
          <w:p w14:paraId="7A1DCCBF">
            <w:pPr>
              <w:pStyle w:val="58"/>
              <w:spacing w:line="300" w:lineRule="exact"/>
              <w:rPr>
                <w:rStyle w:val="54"/>
                <w:rFonts w:asciiTheme="minorHAnsi" w:hAnsiTheme="minorHAnsi" w:cstheme="minorHAnsi"/>
                <w:b w:val="0"/>
                <w:bCs w:val="0"/>
                <w:color w:val="auto"/>
                <w:kern w:val="0"/>
              </w:rPr>
            </w:pPr>
            <w:r>
              <w:rPr>
                <w:rStyle w:val="54"/>
                <w:rFonts w:asciiTheme="minorHAnsi" w:hAnsiTheme="minorHAnsi" w:cstheme="minorHAnsi"/>
                <w:color w:val="auto"/>
                <w:kern w:val="0"/>
              </w:rPr>
              <w:t>上模板  upper plate</w:t>
            </w:r>
          </w:p>
          <w:p w14:paraId="6444AE7A">
            <w:pPr>
              <w:pStyle w:val="58"/>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接合器中用于连接上模冲（3.2.92）的活动板。</w:t>
            </w:r>
          </w:p>
          <w:p w14:paraId="39E65829">
            <w:pPr>
              <w:pStyle w:val="58"/>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注1：见图12。</w:t>
            </w:r>
          </w:p>
          <w:p w14:paraId="54D0EE91">
            <w:pPr>
              <w:spacing w:line="300" w:lineRule="exact"/>
              <w:rPr>
                <w:rFonts w:asciiTheme="minorHAnsi" w:hAnsiTheme="minorHAnsi" w:cstheme="minorHAnsi"/>
                <w:color w:val="auto"/>
                <w:kern w:val="0"/>
                <w:sz w:val="22"/>
              </w:rPr>
            </w:pPr>
          </w:p>
        </w:tc>
        <w:tc>
          <w:tcPr>
            <w:tcW w:w="2126" w:type="dxa"/>
            <w:tcBorders>
              <w:top w:val="single" w:color="auto" w:sz="4" w:space="0"/>
              <w:left w:val="single" w:color="auto" w:sz="4" w:space="0"/>
              <w:bottom w:val="single" w:color="auto" w:sz="4" w:space="0"/>
              <w:right w:val="single" w:color="auto" w:sz="4" w:space="0"/>
            </w:tcBorders>
          </w:tcPr>
          <w:p w14:paraId="6E5D0A10">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 xml:space="preserve">上模板 </w:t>
            </w:r>
          </w:p>
          <w:p w14:paraId="0257FC68">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用于连接上模冲 (3.2.92) 的接合器活动板。</w:t>
            </w:r>
          </w:p>
          <w:p w14:paraId="047AC72D">
            <w:pPr>
              <w:spacing w:line="300" w:lineRule="exact"/>
              <w:rPr>
                <w:rFonts w:asciiTheme="minorHAnsi" w:hAnsiTheme="minorHAnsi" w:cstheme="minorHAnsi"/>
                <w:color w:val="auto"/>
                <w:kern w:val="0"/>
                <w:sz w:val="22"/>
              </w:rPr>
            </w:pPr>
          </w:p>
        </w:tc>
        <w:tc>
          <w:tcPr>
            <w:tcW w:w="1985" w:type="dxa"/>
            <w:tcBorders>
              <w:top w:val="single" w:color="auto" w:sz="4" w:space="0"/>
              <w:left w:val="single" w:color="auto" w:sz="4" w:space="0"/>
              <w:bottom w:val="single" w:color="auto" w:sz="4" w:space="0"/>
              <w:right w:val="single" w:color="auto" w:sz="4" w:space="0"/>
            </w:tcBorders>
          </w:tcPr>
          <w:p w14:paraId="7537AEF6">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 xml:space="preserve">上模板 </w:t>
            </w:r>
          </w:p>
          <w:p w14:paraId="74400B3D">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接合器中用于连接上模冲（3.2.92）的活动板。</w:t>
            </w:r>
          </w:p>
          <w:p w14:paraId="57FC2C34">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注1：见图12。</w:t>
            </w:r>
          </w:p>
        </w:tc>
      </w:tr>
      <w:tr w14:paraId="4174B0F9">
        <w:tblPrEx>
          <w:tblCellMar>
            <w:top w:w="0" w:type="dxa"/>
            <w:left w:w="108" w:type="dxa"/>
            <w:bottom w:w="0" w:type="dxa"/>
            <w:right w:w="108" w:type="dxa"/>
          </w:tblCellMar>
        </w:tblPrEx>
        <w:trPr>
          <w:trHeight w:val="1552"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18C2A8DD">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3.2.97新增</w:t>
            </w:r>
          </w:p>
          <w:p w14:paraId="7ED4F63B">
            <w:pPr>
              <w:spacing w:line="300" w:lineRule="exact"/>
              <w:rPr>
                <w:rFonts w:asciiTheme="minorHAnsi" w:hAnsiTheme="minorHAnsi" w:cstheme="minorHAnsi"/>
                <w:color w:val="auto"/>
                <w:kern w:val="0"/>
                <w:sz w:val="22"/>
              </w:rPr>
            </w:pP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4AF73CBC">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09E1DBBB">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38B749D5">
            <w:pPr>
              <w:spacing w:line="300" w:lineRule="exact"/>
              <w:rPr>
                <w:rFonts w:asciiTheme="minorHAnsi" w:hAnsiTheme="minorHAnsi" w:cstheme="minorHAnsi"/>
                <w:b/>
                <w:bCs/>
                <w:color w:val="auto"/>
                <w:kern w:val="0"/>
                <w:sz w:val="22"/>
              </w:rPr>
            </w:pPr>
            <w:r>
              <w:rPr>
                <w:rFonts w:asciiTheme="minorHAnsi" w:hAnsiTheme="minorHAnsi" w:cstheme="minorHAnsi"/>
                <w:b/>
                <w:bCs/>
                <w:color w:val="auto"/>
                <w:kern w:val="0"/>
                <w:sz w:val="22"/>
              </w:rPr>
              <w:t>warm compaction</w:t>
            </w:r>
          </w:p>
          <w:p w14:paraId="6A98535B">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consolidation (3.2.16) of a pre-heated powder in a pre-heated die</w:t>
            </w:r>
          </w:p>
        </w:tc>
        <w:tc>
          <w:tcPr>
            <w:tcW w:w="3118" w:type="dxa"/>
            <w:tcBorders>
              <w:top w:val="single" w:color="auto" w:sz="4" w:space="0"/>
              <w:left w:val="single" w:color="auto" w:sz="4" w:space="0"/>
              <w:bottom w:val="single" w:color="auto" w:sz="4" w:space="0"/>
              <w:right w:val="single" w:color="auto" w:sz="4" w:space="0"/>
            </w:tcBorders>
            <w:shd w:val="clear" w:color="auto" w:fill="DEEBF6"/>
          </w:tcPr>
          <w:p w14:paraId="70C2C83C">
            <w:pPr>
              <w:pStyle w:val="58"/>
              <w:spacing w:line="300" w:lineRule="exact"/>
              <w:rPr>
                <w:rStyle w:val="54"/>
                <w:rFonts w:asciiTheme="minorHAnsi" w:hAnsiTheme="minorHAnsi" w:cstheme="minorHAnsi"/>
                <w:b w:val="0"/>
                <w:bCs w:val="0"/>
                <w:color w:val="auto"/>
                <w:kern w:val="0"/>
              </w:rPr>
            </w:pPr>
            <w:r>
              <w:rPr>
                <w:rStyle w:val="54"/>
                <w:rFonts w:asciiTheme="minorHAnsi" w:hAnsiTheme="minorHAnsi" w:cstheme="minorHAnsi"/>
                <w:color w:val="auto"/>
                <w:kern w:val="0"/>
              </w:rPr>
              <w:t>温压成形</w:t>
            </w:r>
            <w:r>
              <w:rPr>
                <w:rStyle w:val="54"/>
                <w:rFonts w:hint="eastAsia" w:asciiTheme="minorHAnsi" w:hAnsiTheme="minorHAnsi" w:cstheme="minorHAnsi"/>
                <w:color w:val="auto"/>
                <w:kern w:val="0"/>
              </w:rPr>
              <w:t xml:space="preserve"> </w:t>
            </w:r>
            <w:r>
              <w:rPr>
                <w:rStyle w:val="54"/>
                <w:rFonts w:asciiTheme="minorHAnsi" w:hAnsiTheme="minorHAnsi" w:cstheme="minorHAnsi"/>
                <w:color w:val="auto"/>
                <w:kern w:val="0"/>
              </w:rPr>
              <w:t xml:space="preserve"> warm compaction</w:t>
            </w:r>
          </w:p>
          <w:p w14:paraId="7B88A180">
            <w:pPr>
              <w:pStyle w:val="58"/>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将预热粉末在预热阴模中进行固结（3.2.16）的工艺。</w:t>
            </w:r>
          </w:p>
        </w:tc>
        <w:tc>
          <w:tcPr>
            <w:tcW w:w="2126" w:type="dxa"/>
            <w:tcBorders>
              <w:top w:val="single" w:color="auto" w:sz="4" w:space="0"/>
              <w:left w:val="single" w:color="auto" w:sz="4" w:space="0"/>
              <w:bottom w:val="single" w:color="auto" w:sz="4" w:space="0"/>
              <w:right w:val="single" w:color="auto" w:sz="4" w:space="0"/>
            </w:tcBorders>
          </w:tcPr>
          <w:p w14:paraId="43A8A782">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 xml:space="preserve">温压成型 </w:t>
            </w:r>
          </w:p>
          <w:p w14:paraId="382EF161">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将预热的粉末在预热的模具中进行固结 (3.2.16)的方法。</w:t>
            </w:r>
          </w:p>
          <w:p w14:paraId="7BEEF731">
            <w:pPr>
              <w:spacing w:line="300" w:lineRule="exact"/>
              <w:rPr>
                <w:rFonts w:asciiTheme="minorHAnsi" w:hAnsiTheme="minorHAnsi" w:cstheme="minorHAnsi"/>
                <w:color w:val="auto"/>
                <w:kern w:val="0"/>
                <w:sz w:val="22"/>
              </w:rPr>
            </w:pPr>
          </w:p>
        </w:tc>
        <w:tc>
          <w:tcPr>
            <w:tcW w:w="1985" w:type="dxa"/>
            <w:tcBorders>
              <w:top w:val="single" w:color="auto" w:sz="4" w:space="0"/>
              <w:left w:val="single" w:color="auto" w:sz="4" w:space="0"/>
              <w:bottom w:val="single" w:color="auto" w:sz="4" w:space="0"/>
              <w:right w:val="single" w:color="auto" w:sz="4" w:space="0"/>
            </w:tcBorders>
          </w:tcPr>
          <w:p w14:paraId="198E14A7">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温压成形</w:t>
            </w:r>
          </w:p>
          <w:p w14:paraId="7ABB1C43">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在预热模具中压实预热粉末的固结（3.2.16）过程。</w:t>
            </w:r>
          </w:p>
          <w:p w14:paraId="77382F1F">
            <w:pPr>
              <w:spacing w:line="300" w:lineRule="exact"/>
              <w:rPr>
                <w:rFonts w:asciiTheme="minorHAnsi" w:hAnsiTheme="minorHAnsi" w:cstheme="minorHAnsi"/>
                <w:color w:val="auto"/>
                <w:kern w:val="0"/>
                <w:sz w:val="22"/>
              </w:rPr>
            </w:pPr>
          </w:p>
        </w:tc>
      </w:tr>
      <w:tr w14:paraId="3E6E40AC">
        <w:tblPrEx>
          <w:tblCellMar>
            <w:top w:w="0" w:type="dxa"/>
            <w:left w:w="108" w:type="dxa"/>
            <w:bottom w:w="0" w:type="dxa"/>
            <w:right w:w="108" w:type="dxa"/>
          </w:tblCellMar>
        </w:tblPrEx>
        <w:trPr>
          <w:trHeight w:val="1405"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34B60BE9">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3.2.99</w:t>
            </w:r>
          </w:p>
          <w:p w14:paraId="46F3C01D">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新增</w:t>
            </w: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101DE38B">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65AEF827">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0472D3E7">
            <w:pPr>
              <w:spacing w:line="300" w:lineRule="exact"/>
              <w:rPr>
                <w:rFonts w:asciiTheme="minorHAnsi" w:hAnsiTheme="minorHAnsi" w:cstheme="minorHAnsi"/>
                <w:b/>
                <w:bCs/>
                <w:color w:val="auto"/>
                <w:kern w:val="0"/>
                <w:sz w:val="22"/>
              </w:rPr>
            </w:pPr>
            <w:r>
              <w:rPr>
                <w:rFonts w:asciiTheme="minorHAnsi" w:hAnsiTheme="minorHAnsi" w:cstheme="minorHAnsi"/>
                <w:b/>
                <w:bCs/>
                <w:color w:val="auto"/>
                <w:kern w:val="0"/>
                <w:sz w:val="22"/>
              </w:rPr>
              <w:t>warm-die compaction</w:t>
            </w:r>
          </w:p>
          <w:p w14:paraId="4437EF54">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consolidation (3.2.16) of an unheated powder in a pre-heated die</w:t>
            </w:r>
          </w:p>
        </w:tc>
        <w:tc>
          <w:tcPr>
            <w:tcW w:w="3118" w:type="dxa"/>
            <w:tcBorders>
              <w:top w:val="single" w:color="auto" w:sz="4" w:space="0"/>
              <w:left w:val="single" w:color="auto" w:sz="4" w:space="0"/>
              <w:bottom w:val="single" w:color="auto" w:sz="4" w:space="0"/>
              <w:right w:val="single" w:color="000000" w:sz="4" w:space="0"/>
            </w:tcBorders>
            <w:shd w:val="clear" w:color="auto" w:fill="DEEBF6"/>
          </w:tcPr>
          <w:p w14:paraId="30E53C03">
            <w:pPr>
              <w:pStyle w:val="58"/>
              <w:spacing w:line="300" w:lineRule="exact"/>
              <w:rPr>
                <w:rStyle w:val="54"/>
                <w:rFonts w:asciiTheme="minorHAnsi" w:hAnsiTheme="minorHAnsi" w:cstheme="minorHAnsi"/>
                <w:b w:val="0"/>
                <w:bCs w:val="0"/>
                <w:color w:val="auto"/>
                <w:kern w:val="0"/>
              </w:rPr>
            </w:pPr>
            <w:r>
              <w:rPr>
                <w:rStyle w:val="54"/>
                <w:rFonts w:asciiTheme="minorHAnsi" w:hAnsiTheme="minorHAnsi" w:cstheme="minorHAnsi"/>
                <w:color w:val="auto"/>
                <w:kern w:val="0"/>
              </w:rPr>
              <w:t>温模压制  warm-die compaction</w:t>
            </w:r>
          </w:p>
          <w:p w14:paraId="653C1867">
            <w:pPr>
              <w:spacing w:line="300" w:lineRule="exact"/>
              <w:ind w:firstLine="440" w:firstLineChars="200"/>
              <w:rPr>
                <w:rFonts w:asciiTheme="minorHAnsi" w:hAnsiTheme="minorHAnsi" w:cstheme="minorHAnsi"/>
                <w:color w:val="auto"/>
                <w:kern w:val="0"/>
                <w:sz w:val="22"/>
              </w:rPr>
            </w:pPr>
            <w:r>
              <w:rPr>
                <w:rFonts w:asciiTheme="minorHAnsi" w:hAnsiTheme="minorHAnsi" w:cstheme="minorHAnsi"/>
                <w:color w:val="auto"/>
                <w:kern w:val="0"/>
                <w:sz w:val="22"/>
              </w:rPr>
              <w:t>将未预热粉末在预热阴模中进行固结 (3.2.16)的工艺。</w:t>
            </w:r>
          </w:p>
        </w:tc>
        <w:tc>
          <w:tcPr>
            <w:tcW w:w="2126" w:type="dxa"/>
            <w:tcBorders>
              <w:top w:val="single" w:color="auto" w:sz="4" w:space="0"/>
              <w:left w:val="single" w:color="000000" w:sz="4" w:space="0"/>
              <w:bottom w:val="single" w:color="auto" w:sz="4" w:space="0"/>
              <w:right w:val="single" w:color="auto" w:sz="4" w:space="0"/>
            </w:tcBorders>
          </w:tcPr>
          <w:p w14:paraId="4D81150A">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 xml:space="preserve">热模压制 </w:t>
            </w:r>
          </w:p>
          <w:p w14:paraId="6C10F081">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将未加热的粉末在预热的模具中进行固结 (3.2.16)。</w:t>
            </w:r>
          </w:p>
          <w:p w14:paraId="60E776D4">
            <w:pPr>
              <w:spacing w:line="300" w:lineRule="exact"/>
              <w:rPr>
                <w:rFonts w:asciiTheme="minorHAnsi" w:hAnsiTheme="minorHAnsi" w:cstheme="minorHAnsi"/>
                <w:color w:val="auto"/>
                <w:kern w:val="0"/>
                <w:sz w:val="22"/>
              </w:rPr>
            </w:pPr>
          </w:p>
        </w:tc>
        <w:tc>
          <w:tcPr>
            <w:tcW w:w="1985" w:type="dxa"/>
            <w:tcBorders>
              <w:top w:val="single" w:color="auto" w:sz="4" w:space="0"/>
              <w:left w:val="single" w:color="auto" w:sz="4" w:space="0"/>
              <w:bottom w:val="single" w:color="auto" w:sz="4" w:space="0"/>
              <w:right w:val="single" w:color="auto" w:sz="4" w:space="0"/>
            </w:tcBorders>
          </w:tcPr>
          <w:p w14:paraId="2AC6877F">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 xml:space="preserve">温模压制 </w:t>
            </w:r>
          </w:p>
          <w:p w14:paraId="1D48DCDE">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在预热模具中压实未加热粉末的固结（3.2.16）过程。</w:t>
            </w:r>
          </w:p>
          <w:p w14:paraId="0F4E004D">
            <w:pPr>
              <w:spacing w:line="300" w:lineRule="exact"/>
              <w:rPr>
                <w:rFonts w:asciiTheme="minorHAnsi" w:hAnsiTheme="minorHAnsi" w:cstheme="minorHAnsi"/>
                <w:color w:val="auto"/>
                <w:kern w:val="0"/>
                <w:sz w:val="22"/>
              </w:rPr>
            </w:pPr>
          </w:p>
        </w:tc>
      </w:tr>
      <w:tr w14:paraId="3FF1EB74">
        <w:tblPrEx>
          <w:tblCellMar>
            <w:top w:w="0" w:type="dxa"/>
            <w:left w:w="108" w:type="dxa"/>
            <w:bottom w:w="0" w:type="dxa"/>
            <w:right w:w="108" w:type="dxa"/>
          </w:tblCellMar>
        </w:tblPrEx>
        <w:trPr>
          <w:trHeight w:val="363" w:hRule="atLeast"/>
          <w:jc w:val="center"/>
        </w:trPr>
        <w:tc>
          <w:tcPr>
            <w:tcW w:w="4565" w:type="dxa"/>
            <w:gridSpan w:val="3"/>
            <w:tcBorders>
              <w:top w:val="single" w:color="auto" w:sz="4" w:space="0"/>
              <w:left w:val="single" w:color="auto" w:sz="4" w:space="0"/>
              <w:bottom w:val="single" w:color="auto" w:sz="4" w:space="0"/>
              <w:right w:val="single" w:color="auto" w:sz="4" w:space="0"/>
            </w:tcBorders>
            <w:shd w:val="clear" w:color="auto" w:fill="auto"/>
          </w:tcPr>
          <w:p w14:paraId="26B3D0E4">
            <w:pPr>
              <w:spacing w:line="300" w:lineRule="exact"/>
              <w:rPr>
                <w:rFonts w:asciiTheme="minorHAnsi" w:hAnsiTheme="minorHAnsi" w:cstheme="minorHAnsi"/>
                <w:b/>
                <w:bCs/>
                <w:color w:val="auto"/>
                <w:kern w:val="0"/>
                <w:sz w:val="22"/>
              </w:rPr>
            </w:pPr>
          </w:p>
        </w:tc>
        <w:tc>
          <w:tcPr>
            <w:tcW w:w="6912" w:type="dxa"/>
            <w:gridSpan w:val="2"/>
            <w:tcBorders>
              <w:top w:val="single" w:color="auto" w:sz="4" w:space="0"/>
              <w:left w:val="single" w:color="auto" w:sz="4" w:space="0"/>
              <w:bottom w:val="single" w:color="auto" w:sz="4" w:space="0"/>
              <w:right w:val="single" w:color="000000" w:sz="4" w:space="0"/>
            </w:tcBorders>
            <w:shd w:val="clear" w:color="auto" w:fill="auto"/>
          </w:tcPr>
          <w:p w14:paraId="5B617C77">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3.3新增9条术语.</w:t>
            </w:r>
          </w:p>
        </w:tc>
        <w:tc>
          <w:tcPr>
            <w:tcW w:w="4111" w:type="dxa"/>
            <w:gridSpan w:val="2"/>
            <w:tcBorders>
              <w:top w:val="single" w:color="auto" w:sz="4" w:space="0"/>
              <w:left w:val="single" w:color="000000" w:sz="4" w:space="0"/>
              <w:bottom w:val="single" w:color="auto" w:sz="4" w:space="0"/>
              <w:right w:val="single" w:color="auto" w:sz="4" w:space="0"/>
            </w:tcBorders>
            <w:shd w:val="clear" w:color="auto" w:fill="auto"/>
          </w:tcPr>
          <w:p w14:paraId="45F0BF91">
            <w:pPr>
              <w:spacing w:line="300" w:lineRule="exact"/>
              <w:rPr>
                <w:rFonts w:asciiTheme="minorHAnsi" w:hAnsiTheme="minorHAnsi" w:cstheme="minorHAnsi"/>
                <w:color w:val="auto"/>
                <w:kern w:val="0"/>
                <w:sz w:val="22"/>
              </w:rPr>
            </w:pPr>
          </w:p>
        </w:tc>
      </w:tr>
      <w:tr w14:paraId="0C8E4DED">
        <w:tblPrEx>
          <w:tblCellMar>
            <w:top w:w="0" w:type="dxa"/>
            <w:left w:w="108" w:type="dxa"/>
            <w:bottom w:w="0" w:type="dxa"/>
            <w:right w:w="108" w:type="dxa"/>
          </w:tblCellMar>
        </w:tblPrEx>
        <w:trPr>
          <w:trHeight w:val="806"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3EE28972">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3.3.15新增</w:t>
            </w: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13BFBF1F">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3E13C089">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16CE0B0F">
            <w:pPr>
              <w:spacing w:line="300" w:lineRule="exact"/>
              <w:rPr>
                <w:rFonts w:asciiTheme="minorHAnsi" w:hAnsiTheme="minorHAnsi" w:cstheme="minorHAnsi"/>
                <w:b/>
                <w:bCs/>
                <w:color w:val="auto"/>
                <w:kern w:val="0"/>
                <w:sz w:val="22"/>
              </w:rPr>
            </w:pPr>
            <w:r>
              <w:rPr>
                <w:rFonts w:asciiTheme="minorHAnsi" w:hAnsiTheme="minorHAnsi" w:cstheme="minorHAnsi"/>
                <w:b/>
                <w:bCs/>
                <w:color w:val="auto"/>
                <w:kern w:val="0"/>
                <w:sz w:val="22"/>
              </w:rPr>
              <w:t>communicating pore</w:t>
            </w:r>
          </w:p>
          <w:p w14:paraId="798AF645">
            <w:pPr>
              <w:spacing w:line="300" w:lineRule="exact"/>
              <w:rPr>
                <w:rFonts w:asciiTheme="minorHAnsi" w:hAnsiTheme="minorHAnsi" w:cstheme="minorHAnsi"/>
                <w:b/>
                <w:bCs/>
                <w:color w:val="auto"/>
                <w:kern w:val="0"/>
                <w:sz w:val="22"/>
              </w:rPr>
            </w:pPr>
            <w:r>
              <w:rPr>
                <w:rFonts w:asciiTheme="minorHAnsi" w:hAnsiTheme="minorHAnsi" w:cstheme="minorHAnsi"/>
                <w:b/>
                <w:bCs/>
                <w:color w:val="auto"/>
                <w:kern w:val="0"/>
                <w:sz w:val="22"/>
              </w:rPr>
              <w:t>interconnected porosity</w:t>
            </w:r>
          </w:p>
          <w:p w14:paraId="63169B44">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network of mutually connected pores that may or may not extend to an exterior surface</w:t>
            </w:r>
          </w:p>
          <w:p w14:paraId="754F769D">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[SOURCE: ASTM B243-17]</w:t>
            </w:r>
          </w:p>
        </w:tc>
        <w:tc>
          <w:tcPr>
            <w:tcW w:w="3118" w:type="dxa"/>
            <w:tcBorders>
              <w:top w:val="single" w:color="auto" w:sz="4" w:space="0"/>
              <w:left w:val="single" w:color="auto" w:sz="4" w:space="0"/>
              <w:bottom w:val="single" w:color="auto" w:sz="4" w:space="0"/>
              <w:right w:val="single" w:color="auto" w:sz="4" w:space="0"/>
            </w:tcBorders>
            <w:shd w:val="clear" w:color="auto" w:fill="DEEBF6"/>
          </w:tcPr>
          <w:p w14:paraId="048648FE">
            <w:pPr>
              <w:pStyle w:val="58"/>
              <w:spacing w:line="300" w:lineRule="exact"/>
              <w:jc w:val="left"/>
              <w:rPr>
                <w:rStyle w:val="54"/>
                <w:rFonts w:asciiTheme="minorHAnsi" w:hAnsiTheme="minorHAnsi" w:cstheme="minorHAnsi"/>
                <w:b w:val="0"/>
                <w:bCs w:val="0"/>
                <w:color w:val="auto"/>
                <w:kern w:val="0"/>
              </w:rPr>
            </w:pPr>
            <w:r>
              <w:rPr>
                <w:rStyle w:val="54"/>
                <w:rFonts w:asciiTheme="minorHAnsi" w:hAnsiTheme="minorHAnsi" w:cstheme="minorHAnsi"/>
                <w:color w:val="auto"/>
                <w:kern w:val="0"/>
              </w:rPr>
              <w:t>连通孔communicating pore，interconnected porosity</w:t>
            </w:r>
          </w:p>
          <w:p w14:paraId="2EAAF7BD">
            <w:pPr>
              <w:spacing w:line="300" w:lineRule="exact"/>
              <w:ind w:firstLine="420"/>
              <w:rPr>
                <w:rStyle w:val="54"/>
                <w:rFonts w:asciiTheme="minorHAnsi" w:hAnsiTheme="minorHAnsi" w:cstheme="minorHAnsi"/>
                <w:b w:val="0"/>
                <w:bCs w:val="0"/>
                <w:color w:val="auto"/>
                <w:kern w:val="0"/>
              </w:rPr>
            </w:pPr>
            <w:r>
              <w:rPr>
                <w:rStyle w:val="54"/>
                <w:rFonts w:asciiTheme="minorHAnsi" w:hAnsiTheme="minorHAnsi" w:cstheme="minorHAnsi"/>
                <w:color w:val="auto"/>
                <w:kern w:val="0"/>
              </w:rPr>
              <w:t>相互连通的孔隙网络，该网络可延伸至外表面，也可不延伸至外表面。[来源ASTM B243-17]</w:t>
            </w:r>
          </w:p>
          <w:p w14:paraId="6FEEE1BA">
            <w:pPr>
              <w:spacing w:line="300" w:lineRule="exact"/>
              <w:rPr>
                <w:rFonts w:asciiTheme="minorHAnsi" w:hAnsiTheme="minorHAnsi" w:cstheme="minorHAnsi"/>
                <w:color w:val="auto"/>
                <w:kern w:val="0"/>
                <w:sz w:val="22"/>
              </w:rPr>
            </w:pPr>
          </w:p>
        </w:tc>
        <w:tc>
          <w:tcPr>
            <w:tcW w:w="2126" w:type="dxa"/>
            <w:tcBorders>
              <w:top w:val="single" w:color="auto" w:sz="4" w:space="0"/>
              <w:left w:val="single" w:color="000000" w:sz="4" w:space="0"/>
              <w:bottom w:val="single" w:color="auto" w:sz="4" w:space="0"/>
              <w:right w:val="single" w:color="auto" w:sz="4" w:space="0"/>
            </w:tcBorders>
          </w:tcPr>
          <w:p w14:paraId="3A569521">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连通孔</w:t>
            </w:r>
          </w:p>
          <w:p w14:paraId="26A3F6DF">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连通孔隙</w:t>
            </w:r>
          </w:p>
          <w:p w14:paraId="7B42815B">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相互连接的孔隙网络，该网络可能连通至物体外表面，也可能不连通。</w:t>
            </w:r>
          </w:p>
          <w:p w14:paraId="416970AD">
            <w:pPr>
              <w:spacing w:line="300" w:lineRule="exact"/>
              <w:rPr>
                <w:rFonts w:asciiTheme="minorHAnsi" w:hAnsiTheme="minorHAnsi" w:cstheme="minorHAnsi"/>
                <w:color w:val="auto"/>
                <w:kern w:val="0"/>
                <w:sz w:val="22"/>
              </w:rPr>
            </w:pPr>
          </w:p>
        </w:tc>
        <w:tc>
          <w:tcPr>
            <w:tcW w:w="1985" w:type="dxa"/>
            <w:tcBorders>
              <w:top w:val="single" w:color="auto" w:sz="4" w:space="0"/>
              <w:left w:val="single" w:color="auto" w:sz="4" w:space="0"/>
              <w:bottom w:val="single" w:color="auto" w:sz="4" w:space="0"/>
              <w:right w:val="single" w:color="auto" w:sz="4" w:space="0"/>
            </w:tcBorders>
          </w:tcPr>
          <w:p w14:paraId="051476FE">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 xml:space="preserve">连通孔（互通孔隙） </w:t>
            </w:r>
          </w:p>
          <w:p w14:paraId="7D258F17">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多孔体中相互连通的孔隙系统，可以内部或延伸至外表面（见ASTM B243-17）。</w:t>
            </w:r>
          </w:p>
          <w:p w14:paraId="24EF54A0">
            <w:pPr>
              <w:spacing w:line="300" w:lineRule="exact"/>
              <w:rPr>
                <w:rFonts w:asciiTheme="minorHAnsi" w:hAnsiTheme="minorHAnsi" w:cstheme="minorHAnsi"/>
                <w:color w:val="auto"/>
                <w:kern w:val="0"/>
                <w:sz w:val="22"/>
              </w:rPr>
            </w:pPr>
          </w:p>
        </w:tc>
      </w:tr>
      <w:tr w14:paraId="6CA02038">
        <w:tblPrEx>
          <w:tblCellMar>
            <w:top w:w="0" w:type="dxa"/>
            <w:left w:w="108" w:type="dxa"/>
            <w:bottom w:w="0" w:type="dxa"/>
            <w:right w:w="108" w:type="dxa"/>
          </w:tblCellMar>
        </w:tblPrEx>
        <w:trPr>
          <w:trHeight w:val="1532"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4A5041BB">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3.3.23新增</w:t>
            </w: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03F68B76">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2450F041">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501DC4E7">
            <w:pPr>
              <w:spacing w:line="300" w:lineRule="exact"/>
              <w:rPr>
                <w:rFonts w:asciiTheme="minorHAnsi" w:hAnsiTheme="minorHAnsi" w:cstheme="minorHAnsi"/>
                <w:b/>
                <w:bCs/>
                <w:color w:val="auto"/>
                <w:kern w:val="0"/>
                <w:sz w:val="22"/>
              </w:rPr>
            </w:pPr>
            <w:r>
              <w:rPr>
                <w:rFonts w:asciiTheme="minorHAnsi" w:hAnsiTheme="minorHAnsi" w:cstheme="minorHAnsi"/>
                <w:b/>
                <w:bCs/>
                <w:color w:val="auto"/>
                <w:kern w:val="0"/>
                <w:sz w:val="22"/>
              </w:rPr>
              <w:t>dimensional change</w:t>
            </w:r>
          </w:p>
          <w:p w14:paraId="2117C336">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change in dimensions of an object that occurs as a result of sintering</w:t>
            </w:r>
          </w:p>
        </w:tc>
        <w:tc>
          <w:tcPr>
            <w:tcW w:w="3118" w:type="dxa"/>
            <w:tcBorders>
              <w:top w:val="single" w:color="auto" w:sz="4" w:space="0"/>
              <w:left w:val="single" w:color="auto" w:sz="4" w:space="0"/>
              <w:bottom w:val="single" w:color="auto" w:sz="4" w:space="0"/>
              <w:right w:val="single" w:color="auto" w:sz="4" w:space="0"/>
            </w:tcBorders>
            <w:shd w:val="clear" w:color="auto" w:fill="DEEBF6"/>
          </w:tcPr>
          <w:p w14:paraId="27A8BAAC">
            <w:pPr>
              <w:pStyle w:val="58"/>
              <w:spacing w:line="300" w:lineRule="exact"/>
              <w:rPr>
                <w:rStyle w:val="54"/>
                <w:rFonts w:asciiTheme="minorHAnsi" w:hAnsiTheme="minorHAnsi" w:cstheme="minorHAnsi"/>
                <w:b w:val="0"/>
                <w:bCs w:val="0"/>
                <w:color w:val="auto"/>
                <w:kern w:val="0"/>
              </w:rPr>
            </w:pPr>
            <w:r>
              <w:rPr>
                <w:rStyle w:val="54"/>
                <w:rFonts w:asciiTheme="minorHAnsi" w:hAnsiTheme="minorHAnsi" w:cstheme="minorHAnsi"/>
                <w:color w:val="auto"/>
                <w:kern w:val="0"/>
              </w:rPr>
              <w:t>尺寸变化  dimensional change</w:t>
            </w:r>
          </w:p>
          <w:p w14:paraId="0F0E19FA">
            <w:pPr>
              <w:spacing w:line="300" w:lineRule="exact"/>
              <w:ind w:firstLine="420"/>
              <w:rPr>
                <w:rStyle w:val="54"/>
                <w:rFonts w:asciiTheme="minorHAnsi" w:hAnsiTheme="minorHAnsi" w:cstheme="minorHAnsi"/>
                <w:b w:val="0"/>
                <w:bCs w:val="0"/>
                <w:color w:val="auto"/>
                <w:kern w:val="0"/>
              </w:rPr>
            </w:pPr>
            <w:r>
              <w:rPr>
                <w:rStyle w:val="54"/>
                <w:rFonts w:asciiTheme="minorHAnsi" w:hAnsiTheme="minorHAnsi" w:cstheme="minorHAnsi"/>
                <w:color w:val="auto"/>
                <w:kern w:val="0"/>
              </w:rPr>
              <w:t>因烧结导致的物体尺寸变化。</w:t>
            </w:r>
          </w:p>
          <w:p w14:paraId="2B0735DB">
            <w:pPr>
              <w:spacing w:line="300" w:lineRule="exact"/>
              <w:rPr>
                <w:rFonts w:asciiTheme="minorHAnsi" w:hAnsiTheme="minorHAnsi" w:cstheme="minorHAnsi"/>
                <w:color w:val="auto"/>
                <w:kern w:val="0"/>
                <w:sz w:val="22"/>
              </w:rPr>
            </w:pPr>
          </w:p>
        </w:tc>
        <w:tc>
          <w:tcPr>
            <w:tcW w:w="2126" w:type="dxa"/>
            <w:tcBorders>
              <w:top w:val="single" w:color="auto" w:sz="4" w:space="0"/>
              <w:left w:val="single" w:color="auto" w:sz="4" w:space="0"/>
              <w:bottom w:val="single" w:color="auto" w:sz="4" w:space="0"/>
              <w:right w:val="single" w:color="auto" w:sz="4" w:space="0"/>
            </w:tcBorders>
          </w:tcPr>
          <w:p w14:paraId="4EA9E893">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尺寸变化</w:t>
            </w:r>
          </w:p>
          <w:p w14:paraId="674C3D52">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烧结过程中，物体发生的尺寸改变。</w:t>
            </w:r>
          </w:p>
          <w:p w14:paraId="72D95E88">
            <w:pPr>
              <w:spacing w:line="300" w:lineRule="exact"/>
              <w:rPr>
                <w:rFonts w:asciiTheme="minorHAnsi" w:hAnsiTheme="minorHAnsi" w:cstheme="minorHAnsi"/>
                <w:color w:val="auto"/>
                <w:kern w:val="0"/>
                <w:sz w:val="22"/>
              </w:rPr>
            </w:pPr>
          </w:p>
        </w:tc>
        <w:tc>
          <w:tcPr>
            <w:tcW w:w="1985" w:type="dxa"/>
            <w:tcBorders>
              <w:top w:val="single" w:color="auto" w:sz="4" w:space="0"/>
              <w:left w:val="single" w:color="auto" w:sz="4" w:space="0"/>
              <w:bottom w:val="single" w:color="auto" w:sz="4" w:space="0"/>
              <w:right w:val="single" w:color="auto" w:sz="4" w:space="0"/>
            </w:tcBorders>
          </w:tcPr>
          <w:p w14:paraId="180C8F41">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尺寸变化</w:t>
            </w:r>
          </w:p>
          <w:p w14:paraId="34E0703A">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制品因烧结产生的尺寸改变。</w:t>
            </w:r>
          </w:p>
          <w:p w14:paraId="213E4314">
            <w:pPr>
              <w:spacing w:line="300" w:lineRule="exact"/>
              <w:rPr>
                <w:rFonts w:asciiTheme="minorHAnsi" w:hAnsiTheme="minorHAnsi" w:cstheme="minorHAnsi"/>
                <w:color w:val="auto"/>
                <w:kern w:val="0"/>
                <w:sz w:val="22"/>
              </w:rPr>
            </w:pPr>
          </w:p>
        </w:tc>
      </w:tr>
      <w:tr w14:paraId="77E3D070">
        <w:tblPrEx>
          <w:tblCellMar>
            <w:top w:w="0" w:type="dxa"/>
            <w:left w:w="108" w:type="dxa"/>
            <w:bottom w:w="0" w:type="dxa"/>
            <w:right w:w="108" w:type="dxa"/>
          </w:tblCellMar>
        </w:tblPrEx>
        <w:trPr>
          <w:trHeight w:val="213"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5600E8E6">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3.3.24新增</w:t>
            </w: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7BF39066">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49F798E2">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3AB0EB72">
            <w:pPr>
              <w:spacing w:line="300" w:lineRule="exact"/>
              <w:rPr>
                <w:rFonts w:asciiTheme="minorHAnsi" w:hAnsiTheme="minorHAnsi" w:cstheme="minorHAnsi"/>
                <w:b/>
                <w:bCs/>
                <w:color w:val="auto"/>
                <w:kern w:val="0"/>
                <w:sz w:val="22"/>
              </w:rPr>
            </w:pPr>
            <w:r>
              <w:rPr>
                <w:rFonts w:asciiTheme="minorHAnsi" w:hAnsiTheme="minorHAnsi" w:cstheme="minorHAnsi"/>
                <w:b/>
                <w:bCs/>
                <w:color w:val="auto"/>
                <w:kern w:val="0"/>
                <w:sz w:val="22"/>
              </w:rPr>
              <w:t>discoloring</w:t>
            </w:r>
          </w:p>
          <w:p w14:paraId="304549FC">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surface quality of sintered body, not showing metallic colour due to surface oxidation</w:t>
            </w:r>
          </w:p>
          <w:p w14:paraId="6D340CA7">
            <w:pPr>
              <w:spacing w:line="300" w:lineRule="exact"/>
              <w:rPr>
                <w:rFonts w:asciiTheme="minorHAnsi" w:hAnsiTheme="minorHAnsi" w:cstheme="minorHAnsi"/>
                <w:color w:val="auto"/>
                <w:kern w:val="0"/>
                <w:sz w:val="22"/>
              </w:rPr>
            </w:pPr>
          </w:p>
        </w:tc>
        <w:tc>
          <w:tcPr>
            <w:tcW w:w="3118" w:type="dxa"/>
            <w:tcBorders>
              <w:top w:val="single" w:color="auto" w:sz="4" w:space="0"/>
              <w:left w:val="single" w:color="auto" w:sz="4" w:space="0"/>
              <w:bottom w:val="single" w:color="auto" w:sz="4" w:space="0"/>
              <w:right w:val="single" w:color="auto" w:sz="4" w:space="0"/>
            </w:tcBorders>
            <w:shd w:val="clear" w:color="auto" w:fill="DEEBF6"/>
          </w:tcPr>
          <w:p w14:paraId="00D66725">
            <w:pPr>
              <w:pStyle w:val="58"/>
              <w:spacing w:line="300" w:lineRule="exact"/>
              <w:rPr>
                <w:rStyle w:val="54"/>
                <w:rFonts w:asciiTheme="minorHAnsi" w:hAnsiTheme="minorHAnsi" w:cstheme="minorHAnsi"/>
                <w:b w:val="0"/>
                <w:bCs w:val="0"/>
                <w:color w:val="auto"/>
                <w:kern w:val="0"/>
              </w:rPr>
            </w:pPr>
            <w:r>
              <w:rPr>
                <w:rStyle w:val="54"/>
                <w:rFonts w:asciiTheme="minorHAnsi" w:hAnsiTheme="minorHAnsi" w:cstheme="minorHAnsi"/>
                <w:color w:val="auto"/>
                <w:kern w:val="0"/>
              </w:rPr>
              <w:t>变色  discoloring</w:t>
            </w:r>
          </w:p>
          <w:p w14:paraId="3C3FAF50">
            <w:pPr>
              <w:spacing w:line="300" w:lineRule="exact"/>
              <w:ind w:firstLine="440" w:firstLineChars="200"/>
              <w:rPr>
                <w:rFonts w:asciiTheme="minorHAnsi" w:hAnsiTheme="minorHAnsi" w:cstheme="minorHAnsi"/>
                <w:color w:val="auto"/>
                <w:kern w:val="0"/>
                <w:sz w:val="22"/>
              </w:rPr>
            </w:pPr>
            <w:r>
              <w:rPr>
                <w:rStyle w:val="54"/>
                <w:rFonts w:asciiTheme="minorHAnsi" w:hAnsiTheme="minorHAnsi" w:cstheme="minorHAnsi"/>
                <w:color w:val="auto"/>
                <w:kern w:val="0"/>
              </w:rPr>
              <w:t>烧结体的一种表面状态，因表面氧化而</w:t>
            </w:r>
            <w:r>
              <w:rPr>
                <w:rStyle w:val="54"/>
                <w:rFonts w:hint="eastAsia" w:asciiTheme="minorHAnsi" w:hAnsiTheme="minorHAnsi" w:cstheme="minorHAnsi"/>
                <w:b w:val="0"/>
                <w:bCs w:val="0"/>
                <w:color w:val="auto"/>
                <w:kern w:val="0"/>
              </w:rPr>
              <w:t>失去</w:t>
            </w:r>
            <w:r>
              <w:rPr>
                <w:rStyle w:val="54"/>
                <w:rFonts w:asciiTheme="minorHAnsi" w:hAnsiTheme="minorHAnsi" w:cstheme="minorHAnsi"/>
                <w:color w:val="auto"/>
                <w:kern w:val="0"/>
              </w:rPr>
              <w:t>金属</w:t>
            </w:r>
            <w:r>
              <w:rPr>
                <w:rStyle w:val="54"/>
                <w:rFonts w:hint="eastAsia" w:asciiTheme="minorHAnsi" w:hAnsiTheme="minorHAnsi" w:cstheme="minorHAnsi"/>
                <w:b w:val="0"/>
                <w:bCs w:val="0"/>
                <w:color w:val="auto"/>
                <w:kern w:val="0"/>
              </w:rPr>
              <w:t>光</w:t>
            </w:r>
            <w:r>
              <w:rPr>
                <w:rStyle w:val="54"/>
                <w:rFonts w:asciiTheme="minorHAnsi" w:hAnsiTheme="minorHAnsi" w:cstheme="minorHAnsi"/>
                <w:color w:val="auto"/>
                <w:kern w:val="0"/>
              </w:rPr>
              <w:t>泽。</w:t>
            </w:r>
          </w:p>
        </w:tc>
        <w:tc>
          <w:tcPr>
            <w:tcW w:w="2126" w:type="dxa"/>
            <w:tcBorders>
              <w:top w:val="single" w:color="auto" w:sz="4" w:space="0"/>
              <w:left w:val="single" w:color="auto" w:sz="4" w:space="0"/>
              <w:bottom w:val="single" w:color="auto" w:sz="4" w:space="0"/>
              <w:right w:val="single" w:color="auto" w:sz="4" w:space="0"/>
            </w:tcBorders>
          </w:tcPr>
          <w:p w14:paraId="723564BB">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变色</w:t>
            </w:r>
          </w:p>
          <w:p w14:paraId="056648FB">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烧结体的表面质量，因表面氧化而不呈现金属色泽。</w:t>
            </w:r>
          </w:p>
          <w:p w14:paraId="400A8027">
            <w:pPr>
              <w:spacing w:line="300" w:lineRule="exact"/>
              <w:rPr>
                <w:rFonts w:asciiTheme="minorHAnsi" w:hAnsiTheme="minorHAnsi" w:cstheme="minorHAnsi"/>
                <w:color w:val="auto"/>
                <w:kern w:val="0"/>
                <w:sz w:val="22"/>
              </w:rPr>
            </w:pPr>
          </w:p>
        </w:tc>
        <w:tc>
          <w:tcPr>
            <w:tcW w:w="1985" w:type="dxa"/>
            <w:tcBorders>
              <w:top w:val="single" w:color="auto" w:sz="4" w:space="0"/>
              <w:left w:val="single" w:color="auto" w:sz="4" w:space="0"/>
              <w:bottom w:val="single" w:color="auto" w:sz="4" w:space="0"/>
              <w:right w:val="single" w:color="auto" w:sz="4" w:space="0"/>
            </w:tcBorders>
          </w:tcPr>
          <w:p w14:paraId="6DE33022">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变色缺陷</w:t>
            </w:r>
          </w:p>
          <w:p w14:paraId="3FBA6BA2">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烧结体因表面氧化失去金属光泽的表面质量问题。</w:t>
            </w:r>
          </w:p>
          <w:p w14:paraId="6DBFF340">
            <w:pPr>
              <w:spacing w:line="300" w:lineRule="exact"/>
              <w:rPr>
                <w:rFonts w:asciiTheme="minorHAnsi" w:hAnsiTheme="minorHAnsi" w:cstheme="minorHAnsi"/>
                <w:color w:val="auto"/>
                <w:kern w:val="0"/>
                <w:sz w:val="22"/>
              </w:rPr>
            </w:pPr>
          </w:p>
        </w:tc>
      </w:tr>
      <w:tr w14:paraId="1EEDADDE">
        <w:tblPrEx>
          <w:tblCellMar>
            <w:top w:w="0" w:type="dxa"/>
            <w:left w:w="108" w:type="dxa"/>
            <w:bottom w:w="0" w:type="dxa"/>
            <w:right w:w="108" w:type="dxa"/>
          </w:tblCellMar>
        </w:tblPrEx>
        <w:trPr>
          <w:trHeight w:val="106"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79C051FE">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3.3.26新增</w:t>
            </w: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62168079">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144B7DE6">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2F298F29">
            <w:pPr>
              <w:spacing w:line="300" w:lineRule="exact"/>
              <w:rPr>
                <w:rFonts w:asciiTheme="minorHAnsi" w:hAnsiTheme="minorHAnsi" w:cstheme="minorHAnsi"/>
                <w:b/>
                <w:bCs/>
                <w:color w:val="auto"/>
                <w:kern w:val="0"/>
                <w:sz w:val="22"/>
              </w:rPr>
            </w:pPr>
            <w:r>
              <w:rPr>
                <w:rFonts w:asciiTheme="minorHAnsi" w:hAnsiTheme="minorHAnsi" w:cstheme="minorHAnsi"/>
                <w:b/>
                <w:bCs/>
                <w:color w:val="auto"/>
                <w:kern w:val="0"/>
                <w:sz w:val="22"/>
              </w:rPr>
              <w:t>frosting</w:t>
            </w:r>
          </w:p>
          <w:p w14:paraId="6865F0FB">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 xml:space="preserve">defective surface quality of sintered body, looks like frosted due to reduction of oxidized surface during </w:t>
            </w:r>
          </w:p>
          <w:p w14:paraId="29DACC43">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delubrication</w:t>
            </w:r>
          </w:p>
        </w:tc>
        <w:tc>
          <w:tcPr>
            <w:tcW w:w="3118" w:type="dxa"/>
            <w:tcBorders>
              <w:top w:val="single" w:color="auto" w:sz="4" w:space="0"/>
              <w:left w:val="single" w:color="auto" w:sz="4" w:space="0"/>
              <w:bottom w:val="single" w:color="auto" w:sz="4" w:space="0"/>
              <w:right w:val="single" w:color="auto" w:sz="4" w:space="0"/>
            </w:tcBorders>
            <w:shd w:val="clear" w:color="auto" w:fill="DEEBF6"/>
          </w:tcPr>
          <w:p w14:paraId="49DB0294">
            <w:pPr>
              <w:ind w:firstLine="440" w:firstLineChars="200"/>
              <w:rPr>
                <w:rStyle w:val="54"/>
                <w:rFonts w:asciiTheme="minorHAnsi" w:hAnsiTheme="minorHAnsi" w:cstheme="minorHAnsi"/>
                <w:b w:val="0"/>
                <w:bCs w:val="0"/>
                <w:color w:val="auto"/>
                <w:kern w:val="0"/>
              </w:rPr>
            </w:pPr>
            <w:r>
              <w:rPr>
                <w:rStyle w:val="54"/>
                <w:rFonts w:asciiTheme="minorHAnsi" w:hAnsiTheme="minorHAnsi" w:cstheme="minorHAnsi"/>
                <w:color w:val="auto"/>
                <w:kern w:val="0"/>
              </w:rPr>
              <w:t>霜化  frosting</w:t>
            </w:r>
          </w:p>
          <w:p w14:paraId="71FEB23E">
            <w:pPr>
              <w:spacing w:line="300" w:lineRule="exact"/>
              <w:ind w:firstLine="440" w:firstLineChars="200"/>
              <w:rPr>
                <w:rFonts w:asciiTheme="minorHAnsi" w:hAnsiTheme="minorHAnsi" w:cstheme="minorHAnsi"/>
                <w:color w:val="auto"/>
                <w:kern w:val="0"/>
                <w:sz w:val="22"/>
              </w:rPr>
            </w:pPr>
            <w:r>
              <w:rPr>
                <w:rFonts w:hint="eastAsia" w:asciiTheme="minorHAnsi" w:hAnsiTheme="minorHAnsi" w:cstheme="minorHAnsi"/>
                <w:color w:val="auto"/>
                <w:kern w:val="0"/>
                <w:sz w:val="22"/>
              </w:rPr>
              <w:t>烧结体的表面质量缺陷，因脱润滑剂过程中氧化表面被还原，呈现出类似结霜的外观。</w:t>
            </w:r>
          </w:p>
        </w:tc>
        <w:tc>
          <w:tcPr>
            <w:tcW w:w="2126" w:type="dxa"/>
            <w:tcBorders>
              <w:top w:val="single" w:color="auto" w:sz="4" w:space="0"/>
              <w:left w:val="single" w:color="auto" w:sz="4" w:space="0"/>
              <w:bottom w:val="single" w:color="auto" w:sz="4" w:space="0"/>
              <w:right w:val="single" w:color="auto" w:sz="4" w:space="0"/>
            </w:tcBorders>
          </w:tcPr>
          <w:p w14:paraId="5308E37E">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霜化</w:t>
            </w:r>
          </w:p>
          <w:p w14:paraId="170C3311">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烧结体的表面缺陷，因脱蜡过程中氧化表面被还原，呈现出类似结霜的外观。</w:t>
            </w:r>
          </w:p>
          <w:p w14:paraId="4A0FC1EE">
            <w:pPr>
              <w:spacing w:line="300" w:lineRule="exact"/>
              <w:rPr>
                <w:rFonts w:asciiTheme="minorHAnsi" w:hAnsiTheme="minorHAnsi" w:cstheme="minorHAnsi"/>
                <w:color w:val="auto"/>
                <w:kern w:val="0"/>
                <w:sz w:val="22"/>
              </w:rPr>
            </w:pPr>
          </w:p>
        </w:tc>
        <w:tc>
          <w:tcPr>
            <w:tcW w:w="1985" w:type="dxa"/>
            <w:tcBorders>
              <w:top w:val="single" w:color="auto" w:sz="4" w:space="0"/>
              <w:left w:val="single" w:color="auto" w:sz="4" w:space="0"/>
              <w:bottom w:val="single" w:color="auto" w:sz="4" w:space="0"/>
              <w:right w:val="single" w:color="auto" w:sz="4" w:space="0"/>
            </w:tcBorders>
          </w:tcPr>
          <w:p w14:paraId="598FAE7C">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霜化缺陷</w:t>
            </w:r>
          </w:p>
          <w:p w14:paraId="7825C1E1">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烧结体表面因脱润滑剂时氧化层还原，呈现类似结霜的表面质量缺陷。</w:t>
            </w:r>
          </w:p>
          <w:p w14:paraId="5B8BD816">
            <w:pPr>
              <w:spacing w:line="300" w:lineRule="exact"/>
              <w:rPr>
                <w:rFonts w:asciiTheme="minorHAnsi" w:hAnsiTheme="minorHAnsi" w:cstheme="minorHAnsi"/>
                <w:color w:val="auto"/>
                <w:kern w:val="0"/>
                <w:sz w:val="22"/>
              </w:rPr>
            </w:pPr>
          </w:p>
        </w:tc>
      </w:tr>
      <w:tr w14:paraId="08A4091A">
        <w:tblPrEx>
          <w:tblCellMar>
            <w:top w:w="0" w:type="dxa"/>
            <w:left w:w="108" w:type="dxa"/>
            <w:bottom w:w="0" w:type="dxa"/>
            <w:right w:w="108" w:type="dxa"/>
          </w:tblCellMar>
        </w:tblPrEx>
        <w:trPr>
          <w:trHeight w:val="1408"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1F33EA61">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3.3.30新增</w:t>
            </w: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25B33EB7">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6879C426">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2266E58F">
            <w:pPr>
              <w:spacing w:line="300" w:lineRule="exact"/>
              <w:rPr>
                <w:rFonts w:asciiTheme="minorHAnsi" w:hAnsiTheme="minorHAnsi" w:cstheme="minorHAnsi"/>
                <w:b/>
                <w:bCs/>
                <w:color w:val="auto"/>
                <w:kern w:val="0"/>
                <w:sz w:val="22"/>
              </w:rPr>
            </w:pPr>
            <w:r>
              <w:rPr>
                <w:rFonts w:asciiTheme="minorHAnsi" w:hAnsiTheme="minorHAnsi" w:cstheme="minorHAnsi"/>
                <w:b/>
                <w:bCs/>
                <w:color w:val="auto"/>
                <w:kern w:val="0"/>
                <w:sz w:val="22"/>
              </w:rPr>
              <w:t>infiltrant</w:t>
            </w:r>
          </w:p>
          <w:p w14:paraId="60816D2C">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metal or alloy to be filled into the pores of an unsintered or sintered object</w:t>
            </w:r>
          </w:p>
        </w:tc>
        <w:tc>
          <w:tcPr>
            <w:tcW w:w="3118" w:type="dxa"/>
            <w:tcBorders>
              <w:top w:val="single" w:color="auto" w:sz="4" w:space="0"/>
              <w:left w:val="single" w:color="auto" w:sz="4" w:space="0"/>
              <w:bottom w:val="single" w:color="auto" w:sz="4" w:space="0"/>
              <w:right w:val="single" w:color="auto" w:sz="4" w:space="0"/>
            </w:tcBorders>
            <w:shd w:val="clear" w:color="auto" w:fill="DEEBF6"/>
          </w:tcPr>
          <w:p w14:paraId="60462319">
            <w:pPr>
              <w:spacing w:line="300" w:lineRule="exact"/>
              <w:ind w:firstLine="440" w:firstLineChars="200"/>
              <w:rPr>
                <w:rStyle w:val="54"/>
                <w:rFonts w:asciiTheme="minorHAnsi" w:hAnsiTheme="minorHAnsi" w:cstheme="minorHAnsi"/>
                <w:b w:val="0"/>
                <w:bCs w:val="0"/>
                <w:color w:val="auto"/>
                <w:kern w:val="0"/>
              </w:rPr>
            </w:pPr>
            <w:r>
              <w:rPr>
                <w:rFonts w:asciiTheme="minorHAnsi" w:hAnsiTheme="minorHAnsi" w:cstheme="minorHAnsi"/>
                <w:color w:val="auto"/>
                <w:kern w:val="0"/>
                <w:sz w:val="22"/>
              </w:rPr>
              <w:t>熔渗剂</w:t>
            </w:r>
            <w:r>
              <w:rPr>
                <w:rStyle w:val="54"/>
                <w:rFonts w:asciiTheme="minorHAnsi" w:hAnsiTheme="minorHAnsi" w:cstheme="minorHAnsi"/>
                <w:color w:val="auto"/>
                <w:kern w:val="0"/>
              </w:rPr>
              <w:t xml:space="preserve">  infiltrant</w:t>
            </w:r>
          </w:p>
          <w:p w14:paraId="7DBD686B">
            <w:pPr>
              <w:spacing w:line="300" w:lineRule="exact"/>
              <w:ind w:firstLine="440" w:firstLineChars="200"/>
              <w:rPr>
                <w:rFonts w:asciiTheme="minorHAnsi" w:hAnsiTheme="minorHAnsi" w:cstheme="minorHAnsi"/>
                <w:color w:val="auto"/>
                <w:kern w:val="0"/>
                <w:sz w:val="22"/>
              </w:rPr>
            </w:pPr>
            <w:r>
              <w:rPr>
                <w:rFonts w:asciiTheme="minorHAnsi" w:hAnsiTheme="minorHAnsi" w:cstheme="minorHAnsi"/>
                <w:color w:val="auto"/>
                <w:kern w:val="0"/>
                <w:sz w:val="22"/>
              </w:rPr>
              <w:t>用于填充到未烧结</w:t>
            </w:r>
            <w:r>
              <w:rPr>
                <w:rFonts w:hint="eastAsia" w:asciiTheme="minorHAnsi" w:hAnsiTheme="minorHAnsi" w:cstheme="minorHAnsi"/>
                <w:color w:val="auto"/>
                <w:kern w:val="0"/>
                <w:sz w:val="22"/>
              </w:rPr>
              <w:t>体</w:t>
            </w:r>
            <w:r>
              <w:rPr>
                <w:rFonts w:asciiTheme="minorHAnsi" w:hAnsiTheme="minorHAnsi" w:cstheme="minorHAnsi"/>
                <w:color w:val="auto"/>
                <w:kern w:val="0"/>
                <w:sz w:val="22"/>
              </w:rPr>
              <w:t>或已烧结体孔隙中的金属或合金。</w:t>
            </w:r>
          </w:p>
        </w:tc>
        <w:tc>
          <w:tcPr>
            <w:tcW w:w="2126" w:type="dxa"/>
            <w:tcBorders>
              <w:top w:val="single" w:color="auto" w:sz="4" w:space="0"/>
              <w:left w:val="single" w:color="auto" w:sz="4" w:space="0"/>
              <w:bottom w:val="single" w:color="auto" w:sz="4" w:space="0"/>
              <w:right w:val="single" w:color="auto" w:sz="4" w:space="0"/>
            </w:tcBorders>
          </w:tcPr>
          <w:p w14:paraId="665BD81D">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熔渗剂</w:t>
            </w:r>
          </w:p>
          <w:p w14:paraId="6C7ECB7D">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用于填充未烧结或已烧结物体孔隙的金属或合金。</w:t>
            </w:r>
          </w:p>
        </w:tc>
        <w:tc>
          <w:tcPr>
            <w:tcW w:w="1985" w:type="dxa"/>
            <w:tcBorders>
              <w:top w:val="single" w:color="auto" w:sz="4" w:space="0"/>
              <w:left w:val="single" w:color="auto" w:sz="4" w:space="0"/>
              <w:bottom w:val="single" w:color="auto" w:sz="4" w:space="0"/>
              <w:right w:val="single" w:color="auto" w:sz="4" w:space="0"/>
            </w:tcBorders>
          </w:tcPr>
          <w:p w14:paraId="57517D62">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熔渗剂</w:t>
            </w:r>
          </w:p>
          <w:p w14:paraId="6C4405EB">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充填未烧结的或烧结的制品内孔隙的金属或合金。</w:t>
            </w:r>
          </w:p>
        </w:tc>
      </w:tr>
      <w:tr w14:paraId="0CFF4360">
        <w:tblPrEx>
          <w:tblCellMar>
            <w:top w:w="0" w:type="dxa"/>
            <w:left w:w="108" w:type="dxa"/>
            <w:bottom w:w="0" w:type="dxa"/>
            <w:right w:w="108" w:type="dxa"/>
          </w:tblCellMar>
        </w:tblPrEx>
        <w:trPr>
          <w:trHeight w:val="1558"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17FDE052">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3.3.34新增</w:t>
            </w: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01937446">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10E043AD">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0690F7B4">
            <w:pPr>
              <w:spacing w:line="300" w:lineRule="exact"/>
              <w:rPr>
                <w:rFonts w:asciiTheme="minorHAnsi" w:hAnsiTheme="minorHAnsi" w:cstheme="minorHAnsi"/>
                <w:b/>
                <w:bCs/>
                <w:color w:val="auto"/>
                <w:kern w:val="0"/>
                <w:sz w:val="22"/>
              </w:rPr>
            </w:pPr>
            <w:r>
              <w:rPr>
                <w:rFonts w:asciiTheme="minorHAnsi" w:hAnsiTheme="minorHAnsi" w:cstheme="minorHAnsi"/>
                <w:b/>
                <w:bCs/>
                <w:color w:val="auto"/>
                <w:kern w:val="0"/>
                <w:sz w:val="22"/>
              </w:rPr>
              <w:t>melt-off pore</w:t>
            </w:r>
          </w:p>
          <w:p w14:paraId="027B67AF">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pore appeared by melt-off of low melting point alloying constituent</w:t>
            </w:r>
          </w:p>
        </w:tc>
        <w:tc>
          <w:tcPr>
            <w:tcW w:w="3118" w:type="dxa"/>
            <w:tcBorders>
              <w:top w:val="single" w:color="auto" w:sz="4" w:space="0"/>
              <w:left w:val="single" w:color="auto" w:sz="4" w:space="0"/>
              <w:bottom w:val="single" w:color="auto" w:sz="4" w:space="0"/>
              <w:right w:val="single" w:color="auto" w:sz="4" w:space="0"/>
            </w:tcBorders>
            <w:shd w:val="clear" w:color="auto" w:fill="DEEBF6"/>
          </w:tcPr>
          <w:p w14:paraId="534551A5">
            <w:pPr>
              <w:pStyle w:val="58"/>
              <w:spacing w:line="300" w:lineRule="exact"/>
              <w:rPr>
                <w:rStyle w:val="54"/>
                <w:rFonts w:asciiTheme="minorHAnsi" w:hAnsiTheme="minorHAnsi" w:cstheme="minorHAnsi"/>
                <w:b w:val="0"/>
                <w:bCs w:val="0"/>
                <w:color w:val="auto"/>
                <w:kern w:val="0"/>
              </w:rPr>
            </w:pPr>
            <w:r>
              <w:rPr>
                <w:rStyle w:val="54"/>
                <w:rFonts w:asciiTheme="minorHAnsi" w:hAnsiTheme="minorHAnsi" w:cstheme="minorHAnsi"/>
                <w:color w:val="auto"/>
                <w:kern w:val="0"/>
              </w:rPr>
              <w:t>熔失孔  melt-off pore</w:t>
            </w:r>
          </w:p>
          <w:p w14:paraId="2559F775">
            <w:pPr>
              <w:spacing w:line="300" w:lineRule="exact"/>
              <w:ind w:firstLine="440" w:firstLineChars="200"/>
              <w:rPr>
                <w:rFonts w:asciiTheme="minorHAnsi" w:hAnsiTheme="minorHAnsi" w:cstheme="minorHAnsi"/>
                <w:color w:val="auto"/>
                <w:kern w:val="0"/>
                <w:sz w:val="22"/>
              </w:rPr>
            </w:pPr>
            <w:r>
              <w:rPr>
                <w:rFonts w:asciiTheme="minorHAnsi" w:hAnsiTheme="minorHAnsi" w:cstheme="minorHAnsi"/>
                <w:color w:val="auto"/>
                <w:kern w:val="0"/>
                <w:sz w:val="22"/>
              </w:rPr>
              <w:t>因低熔点合金组元熔</w:t>
            </w:r>
            <w:r>
              <w:rPr>
                <w:rFonts w:hint="eastAsia" w:asciiTheme="minorHAnsi" w:hAnsiTheme="minorHAnsi" w:cstheme="minorHAnsi"/>
                <w:color w:val="auto"/>
                <w:kern w:val="0"/>
                <w:sz w:val="22"/>
              </w:rPr>
              <w:t>化</w:t>
            </w:r>
            <w:r>
              <w:rPr>
                <w:rFonts w:asciiTheme="minorHAnsi" w:hAnsiTheme="minorHAnsi" w:cstheme="minorHAnsi"/>
                <w:color w:val="auto"/>
                <w:kern w:val="0"/>
                <w:sz w:val="22"/>
              </w:rPr>
              <w:t>脱除而形成的孔隙。</w:t>
            </w:r>
          </w:p>
        </w:tc>
        <w:tc>
          <w:tcPr>
            <w:tcW w:w="2126" w:type="dxa"/>
            <w:tcBorders>
              <w:top w:val="single" w:color="auto" w:sz="4" w:space="0"/>
              <w:left w:val="single" w:color="auto" w:sz="4" w:space="0"/>
              <w:bottom w:val="single" w:color="auto" w:sz="4" w:space="0"/>
              <w:right w:val="single" w:color="auto" w:sz="4" w:space="0"/>
            </w:tcBorders>
          </w:tcPr>
          <w:p w14:paraId="07770166">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熔蚀孔隙</w:t>
            </w:r>
          </w:p>
          <w:p w14:paraId="7B7D5AE0">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由低熔点合金组分熔化脱落而形成的孔隙。</w:t>
            </w:r>
          </w:p>
        </w:tc>
        <w:tc>
          <w:tcPr>
            <w:tcW w:w="1985" w:type="dxa"/>
            <w:tcBorders>
              <w:top w:val="single" w:color="auto" w:sz="4" w:space="0"/>
              <w:left w:val="single" w:color="auto" w:sz="4" w:space="0"/>
              <w:bottom w:val="single" w:color="auto" w:sz="4" w:space="0"/>
              <w:right w:val="single" w:color="auto" w:sz="4" w:space="0"/>
            </w:tcBorders>
          </w:tcPr>
          <w:p w14:paraId="131445C1">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熔失孔</w:t>
            </w:r>
          </w:p>
          <w:p w14:paraId="0BC4B2B1">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由低熔点合金组分熔失形成的孔隙。</w:t>
            </w:r>
          </w:p>
          <w:p w14:paraId="1407DEE9">
            <w:pPr>
              <w:spacing w:line="300" w:lineRule="exact"/>
              <w:rPr>
                <w:rFonts w:asciiTheme="minorHAnsi" w:hAnsiTheme="minorHAnsi" w:cstheme="minorHAnsi"/>
                <w:color w:val="auto"/>
                <w:kern w:val="0"/>
                <w:sz w:val="22"/>
              </w:rPr>
            </w:pPr>
          </w:p>
        </w:tc>
      </w:tr>
      <w:tr w14:paraId="2202C190">
        <w:tblPrEx>
          <w:tblCellMar>
            <w:top w:w="0" w:type="dxa"/>
            <w:left w:w="108" w:type="dxa"/>
            <w:bottom w:w="0" w:type="dxa"/>
            <w:right w:w="108" w:type="dxa"/>
          </w:tblCellMar>
        </w:tblPrEx>
        <w:trPr>
          <w:trHeight w:val="2684"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37C86C3A">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3.3.58新增</w:t>
            </w: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1EECC94F">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7CF3A62D">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2A3AFB51">
            <w:pPr>
              <w:spacing w:line="300" w:lineRule="exact"/>
              <w:rPr>
                <w:rFonts w:asciiTheme="minorHAnsi" w:hAnsiTheme="minorHAnsi" w:cstheme="minorHAnsi"/>
                <w:b/>
                <w:color w:val="auto"/>
                <w:kern w:val="0"/>
                <w:sz w:val="22"/>
              </w:rPr>
            </w:pPr>
            <w:r>
              <w:rPr>
                <w:rFonts w:asciiTheme="minorHAnsi" w:hAnsiTheme="minorHAnsi" w:cstheme="minorHAnsi"/>
                <w:b/>
                <w:color w:val="auto"/>
                <w:kern w:val="0"/>
                <w:sz w:val="22"/>
              </w:rPr>
              <w:t>sinter hardening</w:t>
            </w:r>
          </w:p>
          <w:p w14:paraId="33C82CB7">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thermal process in which a ferrous product is sintered and then cooled at a rate sufficient to produce a predominantly martensitic microstructure</w:t>
            </w:r>
          </w:p>
          <w:p w14:paraId="21683D9A">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[SOURCE: ASTM B243-17]</w:t>
            </w:r>
          </w:p>
        </w:tc>
        <w:tc>
          <w:tcPr>
            <w:tcW w:w="3118" w:type="dxa"/>
            <w:tcBorders>
              <w:top w:val="single" w:color="auto" w:sz="4" w:space="0"/>
              <w:left w:val="single" w:color="auto" w:sz="4" w:space="0"/>
              <w:bottom w:val="single" w:color="auto" w:sz="4" w:space="0"/>
              <w:right w:val="single" w:color="auto" w:sz="4" w:space="0"/>
            </w:tcBorders>
            <w:shd w:val="clear" w:color="auto" w:fill="DEEBF6"/>
          </w:tcPr>
          <w:p w14:paraId="370FFD9C">
            <w:pPr>
              <w:pStyle w:val="58"/>
              <w:spacing w:line="300" w:lineRule="exact"/>
              <w:rPr>
                <w:rStyle w:val="54"/>
                <w:rFonts w:asciiTheme="minorHAnsi" w:hAnsiTheme="minorHAnsi" w:cstheme="minorHAnsi"/>
                <w:b w:val="0"/>
                <w:bCs w:val="0"/>
                <w:color w:val="auto"/>
                <w:kern w:val="0"/>
              </w:rPr>
            </w:pPr>
            <w:r>
              <w:rPr>
                <w:rStyle w:val="54"/>
                <w:rFonts w:asciiTheme="minorHAnsi" w:hAnsiTheme="minorHAnsi" w:cstheme="minorHAnsi"/>
                <w:color w:val="auto"/>
                <w:kern w:val="0"/>
              </w:rPr>
              <w:t>烧结硬化 sinter hardening</w:t>
            </w:r>
          </w:p>
          <w:p w14:paraId="7B811A24">
            <w:pPr>
              <w:spacing w:line="300" w:lineRule="exact"/>
              <w:ind w:firstLine="420"/>
              <w:rPr>
                <w:rFonts w:asciiTheme="minorHAnsi" w:hAnsiTheme="minorHAnsi" w:cstheme="minorHAnsi"/>
                <w:color w:val="auto"/>
                <w:kern w:val="0"/>
                <w:sz w:val="22"/>
              </w:rPr>
            </w:pPr>
            <w:r>
              <w:rPr>
                <w:rFonts w:asciiTheme="minorHAnsi" w:hAnsiTheme="minorHAnsi" w:cstheme="minorHAnsi"/>
                <w:color w:val="auto"/>
                <w:kern w:val="0"/>
                <w:sz w:val="22"/>
              </w:rPr>
              <w:t>一种热处理工艺，铁基制品经烧结后，以足够快的速度冷却，从而获得以马氏体为主的显微组织。[来源：ASTM B243-17]。</w:t>
            </w:r>
          </w:p>
          <w:p w14:paraId="22D4DA6E">
            <w:pPr>
              <w:spacing w:line="300" w:lineRule="exact"/>
              <w:rPr>
                <w:rFonts w:asciiTheme="minorHAnsi" w:hAnsiTheme="minorHAnsi" w:cstheme="minorHAnsi"/>
                <w:color w:val="auto"/>
                <w:kern w:val="0"/>
                <w:sz w:val="22"/>
              </w:rPr>
            </w:pPr>
          </w:p>
        </w:tc>
        <w:tc>
          <w:tcPr>
            <w:tcW w:w="2126" w:type="dxa"/>
            <w:tcBorders>
              <w:top w:val="single" w:color="auto" w:sz="4" w:space="0"/>
              <w:left w:val="single" w:color="auto" w:sz="4" w:space="0"/>
              <w:bottom w:val="single" w:color="auto" w:sz="4" w:space="0"/>
              <w:right w:val="single" w:color="auto" w:sz="4" w:space="0"/>
            </w:tcBorders>
          </w:tcPr>
          <w:p w14:paraId="5ACC7178">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烧结硬化</w:t>
            </w:r>
          </w:p>
          <w:p w14:paraId="7029FBAE">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一种铁基制品先经烧结，并以一种足以形成以马氏体为主的显微组织的速率快速冷却的热处理工艺[来源：ASTM B243-17]</w:t>
            </w:r>
          </w:p>
        </w:tc>
        <w:tc>
          <w:tcPr>
            <w:tcW w:w="1985" w:type="dxa"/>
            <w:tcBorders>
              <w:top w:val="single" w:color="auto" w:sz="4" w:space="0"/>
              <w:left w:val="single" w:color="auto" w:sz="4" w:space="0"/>
              <w:bottom w:val="single" w:color="auto" w:sz="4" w:space="0"/>
              <w:right w:val="single" w:color="auto" w:sz="4" w:space="0"/>
            </w:tcBorders>
          </w:tcPr>
          <w:p w14:paraId="15A9426B">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 xml:space="preserve">烧结硬化  </w:t>
            </w:r>
          </w:p>
          <w:p w14:paraId="1965AE42">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铁基制品经烧结后以足够的速率冷却的一种热处理工艺，产生以马氏体为主的微观结构。</w:t>
            </w:r>
          </w:p>
          <w:p w14:paraId="6CDAD3F8">
            <w:pPr>
              <w:spacing w:line="300" w:lineRule="exact"/>
              <w:rPr>
                <w:rFonts w:asciiTheme="minorHAnsi" w:hAnsiTheme="minorHAnsi" w:cstheme="minorHAnsi"/>
                <w:color w:val="auto"/>
                <w:kern w:val="0"/>
                <w:sz w:val="22"/>
              </w:rPr>
            </w:pPr>
          </w:p>
        </w:tc>
      </w:tr>
      <w:tr w14:paraId="45615AEB">
        <w:tblPrEx>
          <w:tblCellMar>
            <w:top w:w="0" w:type="dxa"/>
            <w:left w:w="108" w:type="dxa"/>
            <w:bottom w:w="0" w:type="dxa"/>
            <w:right w:w="108" w:type="dxa"/>
          </w:tblCellMar>
        </w:tblPrEx>
        <w:trPr>
          <w:trHeight w:val="2401"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5EC87D83">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3.3.68新增</w:t>
            </w: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4C840060">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7F0F5164">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09B26676">
            <w:pPr>
              <w:spacing w:line="300" w:lineRule="exact"/>
              <w:rPr>
                <w:rFonts w:asciiTheme="minorHAnsi" w:hAnsiTheme="minorHAnsi" w:cstheme="minorHAnsi"/>
                <w:b/>
                <w:color w:val="auto"/>
                <w:kern w:val="0"/>
                <w:sz w:val="22"/>
              </w:rPr>
            </w:pPr>
            <w:r>
              <w:rPr>
                <w:rFonts w:asciiTheme="minorHAnsi" w:hAnsiTheme="minorHAnsi" w:cstheme="minorHAnsi"/>
                <w:b/>
                <w:color w:val="auto"/>
                <w:kern w:val="0"/>
                <w:sz w:val="22"/>
              </w:rPr>
              <w:t>soot</w:t>
            </w:r>
          </w:p>
          <w:p w14:paraId="1C117D88">
            <w:pPr>
              <w:spacing w:line="300" w:lineRule="exact"/>
              <w:rPr>
                <w:rFonts w:asciiTheme="minorHAnsi" w:hAnsiTheme="minorHAnsi" w:cstheme="minorHAnsi"/>
                <w:b/>
                <w:color w:val="auto"/>
                <w:kern w:val="0"/>
                <w:sz w:val="22"/>
              </w:rPr>
            </w:pPr>
            <w:r>
              <w:rPr>
                <w:rFonts w:asciiTheme="minorHAnsi" w:hAnsiTheme="minorHAnsi" w:cstheme="minorHAnsi"/>
                <w:b/>
                <w:color w:val="auto"/>
                <w:kern w:val="0"/>
                <w:sz w:val="22"/>
              </w:rPr>
              <w:t>sooting</w:t>
            </w:r>
          </w:p>
          <w:p w14:paraId="66099AE1">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defective surface quality of sintered body, blackish stain consisting from sooted carbon and easily removable by blowing or brushing</w:t>
            </w:r>
          </w:p>
        </w:tc>
        <w:tc>
          <w:tcPr>
            <w:tcW w:w="3118" w:type="dxa"/>
            <w:tcBorders>
              <w:top w:val="single" w:color="auto" w:sz="4" w:space="0"/>
              <w:left w:val="single" w:color="auto" w:sz="4" w:space="0"/>
              <w:bottom w:val="single" w:color="auto" w:sz="4" w:space="0"/>
              <w:right w:val="single" w:color="auto" w:sz="4" w:space="0"/>
            </w:tcBorders>
            <w:shd w:val="clear" w:color="auto" w:fill="DEEBF6"/>
          </w:tcPr>
          <w:p w14:paraId="198786BA">
            <w:pPr>
              <w:pStyle w:val="58"/>
              <w:spacing w:line="300" w:lineRule="exact"/>
              <w:rPr>
                <w:rStyle w:val="54"/>
                <w:rFonts w:asciiTheme="minorHAnsi" w:hAnsiTheme="minorHAnsi" w:cstheme="minorHAnsi"/>
                <w:b w:val="0"/>
                <w:bCs w:val="0"/>
                <w:color w:val="auto"/>
                <w:kern w:val="0"/>
              </w:rPr>
            </w:pPr>
            <w:r>
              <w:rPr>
                <w:rStyle w:val="54"/>
                <w:rFonts w:asciiTheme="minorHAnsi" w:hAnsiTheme="minorHAnsi" w:cstheme="minorHAnsi"/>
                <w:color w:val="auto"/>
                <w:kern w:val="0"/>
              </w:rPr>
              <w:t>积炭  soot，sooting</w:t>
            </w:r>
          </w:p>
          <w:p w14:paraId="7F485101">
            <w:pPr>
              <w:spacing w:line="300" w:lineRule="exact"/>
              <w:ind w:firstLine="420"/>
              <w:rPr>
                <w:rFonts w:asciiTheme="minorHAnsi" w:hAnsiTheme="minorHAnsi" w:cstheme="minorHAnsi"/>
                <w:color w:val="auto"/>
                <w:kern w:val="0"/>
                <w:sz w:val="22"/>
              </w:rPr>
            </w:pPr>
            <w:r>
              <w:rPr>
                <w:rFonts w:asciiTheme="minorHAnsi" w:hAnsiTheme="minorHAnsi" w:cstheme="minorHAnsi"/>
                <w:color w:val="auto"/>
                <w:kern w:val="0"/>
                <w:sz w:val="22"/>
              </w:rPr>
              <w:t>烧结体的表面质量缺陷，呈黑色污迹，由炭</w:t>
            </w:r>
            <w:r>
              <w:rPr>
                <w:rFonts w:hint="eastAsia" w:asciiTheme="minorHAnsi" w:hAnsiTheme="minorHAnsi" w:cstheme="minorHAnsi"/>
                <w:color w:val="auto"/>
                <w:kern w:val="0"/>
                <w:sz w:val="22"/>
              </w:rPr>
              <w:t>黑</w:t>
            </w:r>
            <w:r>
              <w:rPr>
                <w:rFonts w:asciiTheme="minorHAnsi" w:hAnsiTheme="minorHAnsi" w:cstheme="minorHAnsi"/>
                <w:color w:val="auto"/>
                <w:kern w:val="0"/>
                <w:sz w:val="22"/>
              </w:rPr>
              <w:t>构成，</w:t>
            </w:r>
            <w:r>
              <w:rPr>
                <w:rFonts w:hint="eastAsia" w:asciiTheme="minorHAnsi" w:hAnsiTheme="minorHAnsi" w:cstheme="minorHAnsi"/>
                <w:color w:val="auto"/>
                <w:kern w:val="0"/>
                <w:sz w:val="22"/>
              </w:rPr>
              <w:t>易</w:t>
            </w:r>
            <w:r>
              <w:rPr>
                <w:rFonts w:asciiTheme="minorHAnsi" w:hAnsiTheme="minorHAnsi" w:cstheme="minorHAnsi"/>
                <w:color w:val="auto"/>
                <w:kern w:val="0"/>
                <w:sz w:val="22"/>
              </w:rPr>
              <w:t>通过吹</w:t>
            </w:r>
            <w:r>
              <w:rPr>
                <w:rFonts w:hint="eastAsia" w:asciiTheme="minorHAnsi" w:hAnsiTheme="minorHAnsi" w:cstheme="minorHAnsi"/>
                <w:color w:val="auto"/>
                <w:kern w:val="0"/>
                <w:sz w:val="22"/>
              </w:rPr>
              <w:t>扫</w:t>
            </w:r>
            <w:r>
              <w:rPr>
                <w:rFonts w:asciiTheme="minorHAnsi" w:hAnsiTheme="minorHAnsi" w:cstheme="minorHAnsi"/>
                <w:color w:val="auto"/>
                <w:kern w:val="0"/>
                <w:sz w:val="22"/>
              </w:rPr>
              <w:t>或刷拭去除。</w:t>
            </w:r>
          </w:p>
          <w:p w14:paraId="14587F7D">
            <w:pPr>
              <w:spacing w:line="300" w:lineRule="exact"/>
              <w:rPr>
                <w:rFonts w:asciiTheme="minorHAnsi" w:hAnsiTheme="minorHAnsi" w:cstheme="minorHAnsi"/>
                <w:color w:val="auto"/>
                <w:kern w:val="0"/>
                <w:sz w:val="22"/>
              </w:rPr>
            </w:pPr>
          </w:p>
        </w:tc>
        <w:tc>
          <w:tcPr>
            <w:tcW w:w="2126" w:type="dxa"/>
            <w:tcBorders>
              <w:top w:val="single" w:color="auto" w:sz="4" w:space="0"/>
              <w:left w:val="single" w:color="auto" w:sz="4" w:space="0"/>
              <w:bottom w:val="single" w:color="auto" w:sz="4" w:space="0"/>
              <w:right w:val="single" w:color="auto" w:sz="4" w:space="0"/>
            </w:tcBorders>
          </w:tcPr>
          <w:p w14:paraId="221F9616">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烟黑</w:t>
            </w:r>
          </w:p>
          <w:p w14:paraId="30CD7BE5">
            <w:pPr>
              <w:spacing w:line="300" w:lineRule="exact"/>
              <w:rPr>
                <w:rFonts w:asciiTheme="minorHAnsi" w:hAnsiTheme="minorHAnsi" w:cstheme="minorHAnsi"/>
                <w:color w:val="auto"/>
                <w:sz w:val="22"/>
              </w:rPr>
            </w:pPr>
            <w:r>
              <w:rPr>
                <w:rFonts w:asciiTheme="minorHAnsi" w:hAnsiTheme="minorHAnsi" w:cstheme="minorHAnsi"/>
                <w:color w:val="auto"/>
                <w:kern w:val="0"/>
                <w:sz w:val="22"/>
              </w:rPr>
              <w:t>烧结体表面质量缺陷，由碳熏导致的黑色污渍，可通过简单吹扫或刷除去除</w:t>
            </w:r>
          </w:p>
        </w:tc>
        <w:tc>
          <w:tcPr>
            <w:tcW w:w="1985" w:type="dxa"/>
            <w:tcBorders>
              <w:top w:val="single" w:color="auto" w:sz="4" w:space="0"/>
              <w:left w:val="single" w:color="auto" w:sz="4" w:space="0"/>
              <w:bottom w:val="single" w:color="auto" w:sz="4" w:space="0"/>
              <w:right w:val="single" w:color="auto" w:sz="4" w:space="0"/>
            </w:tcBorders>
          </w:tcPr>
          <w:p w14:paraId="5616D8FB">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 xml:space="preserve">煤烟  </w:t>
            </w:r>
          </w:p>
          <w:p w14:paraId="458EF863">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烧结体表面有缺陷，存在由煤烟碳组成的黑色污渍，并且可以通过吹拂或刷洗轻松去除。</w:t>
            </w:r>
          </w:p>
          <w:p w14:paraId="18DBDAB0">
            <w:pPr>
              <w:spacing w:line="300" w:lineRule="exact"/>
              <w:rPr>
                <w:rFonts w:asciiTheme="minorHAnsi" w:hAnsiTheme="minorHAnsi" w:cstheme="minorHAnsi"/>
                <w:color w:val="auto"/>
                <w:kern w:val="0"/>
                <w:sz w:val="22"/>
              </w:rPr>
            </w:pPr>
          </w:p>
        </w:tc>
      </w:tr>
      <w:tr w14:paraId="1CBC045A">
        <w:tblPrEx>
          <w:tblCellMar>
            <w:top w:w="0" w:type="dxa"/>
            <w:left w:w="108" w:type="dxa"/>
            <w:bottom w:w="0" w:type="dxa"/>
            <w:right w:w="108" w:type="dxa"/>
          </w:tblCellMar>
        </w:tblPrEx>
        <w:trPr>
          <w:trHeight w:val="90"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42E9C010">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3.3.69新增</w:t>
            </w: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1C7A05B9">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103A50DE">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283D1324">
            <w:pPr>
              <w:spacing w:line="300" w:lineRule="exact"/>
              <w:rPr>
                <w:rFonts w:asciiTheme="minorHAnsi" w:hAnsiTheme="minorHAnsi" w:cstheme="minorHAnsi"/>
                <w:b/>
                <w:color w:val="auto"/>
                <w:kern w:val="0"/>
                <w:sz w:val="22"/>
              </w:rPr>
            </w:pPr>
            <w:r>
              <w:rPr>
                <w:rFonts w:asciiTheme="minorHAnsi" w:hAnsiTheme="minorHAnsi" w:cstheme="minorHAnsi"/>
                <w:b/>
                <w:color w:val="auto"/>
                <w:kern w:val="0"/>
                <w:sz w:val="22"/>
              </w:rPr>
              <w:t>stain</w:t>
            </w:r>
          </w:p>
          <w:p w14:paraId="4A141249">
            <w:pPr>
              <w:spacing w:line="300" w:lineRule="exact"/>
              <w:rPr>
                <w:rFonts w:asciiTheme="minorHAnsi" w:hAnsiTheme="minorHAnsi" w:cstheme="minorHAnsi"/>
                <w:b/>
                <w:color w:val="auto"/>
                <w:kern w:val="0"/>
                <w:sz w:val="22"/>
              </w:rPr>
            </w:pPr>
            <w:r>
              <w:rPr>
                <w:rFonts w:asciiTheme="minorHAnsi" w:hAnsiTheme="minorHAnsi" w:cstheme="minorHAnsi"/>
                <w:b/>
                <w:color w:val="auto"/>
                <w:kern w:val="0"/>
                <w:sz w:val="22"/>
              </w:rPr>
              <w:t>staining</w:t>
            </w:r>
          </w:p>
          <w:p w14:paraId="7F0E5BEC">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defective surface quality of sintered body, having blackish spots primarily consisting from MnS</w:t>
            </w:r>
          </w:p>
        </w:tc>
        <w:tc>
          <w:tcPr>
            <w:tcW w:w="3118" w:type="dxa"/>
            <w:tcBorders>
              <w:top w:val="single" w:color="auto" w:sz="4" w:space="0"/>
              <w:left w:val="single" w:color="auto" w:sz="4" w:space="0"/>
              <w:bottom w:val="single" w:color="auto" w:sz="4" w:space="0"/>
              <w:right w:val="single" w:color="auto" w:sz="4" w:space="0"/>
            </w:tcBorders>
            <w:shd w:val="clear" w:color="auto" w:fill="DEEBF6"/>
          </w:tcPr>
          <w:p w14:paraId="64E97208">
            <w:pPr>
              <w:pStyle w:val="58"/>
              <w:spacing w:line="300" w:lineRule="exact"/>
              <w:rPr>
                <w:rStyle w:val="54"/>
                <w:rFonts w:asciiTheme="minorHAnsi" w:hAnsiTheme="minorHAnsi" w:cstheme="minorHAnsi"/>
                <w:b w:val="0"/>
                <w:bCs w:val="0"/>
                <w:color w:val="auto"/>
                <w:kern w:val="0"/>
              </w:rPr>
            </w:pPr>
            <w:r>
              <w:rPr>
                <w:rStyle w:val="54"/>
                <w:rFonts w:asciiTheme="minorHAnsi" w:hAnsiTheme="minorHAnsi" w:cstheme="minorHAnsi"/>
                <w:color w:val="auto"/>
                <w:kern w:val="0"/>
              </w:rPr>
              <w:t>黑斑 stain  staining</w:t>
            </w:r>
          </w:p>
          <w:p w14:paraId="6AC87C23">
            <w:pPr>
              <w:spacing w:line="300" w:lineRule="exact"/>
              <w:ind w:firstLine="440" w:firstLineChars="200"/>
              <w:rPr>
                <w:rFonts w:asciiTheme="minorHAnsi" w:hAnsiTheme="minorHAnsi" w:cstheme="minorHAnsi"/>
                <w:color w:val="auto"/>
                <w:kern w:val="0"/>
                <w:sz w:val="22"/>
              </w:rPr>
            </w:pPr>
            <w:r>
              <w:rPr>
                <w:rFonts w:asciiTheme="minorHAnsi" w:hAnsiTheme="minorHAnsi" w:cstheme="minorHAnsi"/>
                <w:color w:val="auto"/>
                <w:kern w:val="0"/>
                <w:sz w:val="22"/>
              </w:rPr>
              <w:t>烧结体的表面质量缺陷，呈黑色斑点，主要由硫化锰（MnS）组成。</w:t>
            </w:r>
          </w:p>
          <w:p w14:paraId="284F45C0">
            <w:pPr>
              <w:spacing w:line="300" w:lineRule="exact"/>
              <w:rPr>
                <w:rFonts w:asciiTheme="minorHAnsi" w:hAnsiTheme="minorHAnsi" w:cstheme="minorHAnsi"/>
                <w:color w:val="auto"/>
                <w:kern w:val="0"/>
                <w:sz w:val="22"/>
              </w:rPr>
            </w:pPr>
          </w:p>
          <w:p w14:paraId="0433941F">
            <w:pPr>
              <w:spacing w:line="300" w:lineRule="exact"/>
              <w:rPr>
                <w:rFonts w:asciiTheme="minorHAnsi" w:hAnsiTheme="minorHAnsi" w:cstheme="minorHAnsi"/>
                <w:color w:val="auto"/>
                <w:kern w:val="0"/>
                <w:sz w:val="22"/>
              </w:rPr>
            </w:pPr>
          </w:p>
        </w:tc>
        <w:tc>
          <w:tcPr>
            <w:tcW w:w="2126" w:type="dxa"/>
            <w:tcBorders>
              <w:top w:val="single" w:color="auto" w:sz="4" w:space="0"/>
              <w:left w:val="single" w:color="auto" w:sz="4" w:space="0"/>
              <w:bottom w:val="single" w:color="auto" w:sz="4" w:space="0"/>
              <w:right w:val="single" w:color="auto" w:sz="4" w:space="0"/>
            </w:tcBorders>
          </w:tcPr>
          <w:p w14:paraId="49C613AC">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污渍</w:t>
            </w:r>
          </w:p>
          <w:p w14:paraId="4EED7FFB">
            <w:pPr>
              <w:spacing w:line="300" w:lineRule="exact"/>
              <w:rPr>
                <w:rFonts w:asciiTheme="minorHAnsi" w:hAnsiTheme="minorHAnsi" w:cstheme="minorHAnsi"/>
                <w:color w:val="auto"/>
                <w:sz w:val="22"/>
              </w:rPr>
            </w:pPr>
            <w:r>
              <w:rPr>
                <w:rFonts w:asciiTheme="minorHAnsi" w:hAnsiTheme="minorHAnsi" w:cstheme="minorHAnsi"/>
                <w:color w:val="auto"/>
                <w:kern w:val="0"/>
                <w:sz w:val="22"/>
              </w:rPr>
              <w:t>烧结体表面质量缺陷，主要由硫化锰MnS组成的黑点</w:t>
            </w:r>
          </w:p>
        </w:tc>
        <w:tc>
          <w:tcPr>
            <w:tcW w:w="1985" w:type="dxa"/>
            <w:tcBorders>
              <w:top w:val="single" w:color="auto" w:sz="4" w:space="0"/>
              <w:left w:val="single" w:color="auto" w:sz="4" w:space="0"/>
              <w:bottom w:val="single" w:color="auto" w:sz="4" w:space="0"/>
              <w:right w:val="single" w:color="auto" w:sz="4" w:space="0"/>
            </w:tcBorders>
          </w:tcPr>
          <w:p w14:paraId="08539980">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 xml:space="preserve">污渍  </w:t>
            </w:r>
          </w:p>
          <w:p w14:paraId="0A348AC3">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烧结体表面存在缺陷，主要是由MnS组成的黑色斑点。</w:t>
            </w:r>
          </w:p>
        </w:tc>
      </w:tr>
      <w:tr w14:paraId="58AEB1C0">
        <w:tblPrEx>
          <w:tblCellMar>
            <w:top w:w="0" w:type="dxa"/>
            <w:left w:w="108" w:type="dxa"/>
            <w:bottom w:w="0" w:type="dxa"/>
            <w:right w:w="108" w:type="dxa"/>
          </w:tblCellMar>
        </w:tblPrEx>
        <w:trPr>
          <w:trHeight w:val="378" w:hRule="atLeast"/>
          <w:jc w:val="center"/>
        </w:trPr>
        <w:tc>
          <w:tcPr>
            <w:tcW w:w="4565" w:type="dxa"/>
            <w:gridSpan w:val="3"/>
            <w:tcBorders>
              <w:top w:val="single" w:color="auto" w:sz="4" w:space="0"/>
              <w:left w:val="single" w:color="auto" w:sz="4" w:space="0"/>
              <w:bottom w:val="single" w:color="auto" w:sz="4" w:space="0"/>
              <w:right w:val="single" w:color="auto" w:sz="4" w:space="0"/>
            </w:tcBorders>
            <w:shd w:val="clear" w:color="auto" w:fill="auto"/>
          </w:tcPr>
          <w:p w14:paraId="73FFBC4C">
            <w:pPr>
              <w:spacing w:line="300" w:lineRule="exact"/>
              <w:rPr>
                <w:rFonts w:asciiTheme="minorHAnsi" w:hAnsiTheme="minorHAnsi" w:cstheme="minorHAnsi"/>
                <w:b/>
                <w:bCs/>
                <w:color w:val="auto"/>
                <w:kern w:val="0"/>
                <w:sz w:val="22"/>
              </w:rPr>
            </w:pPr>
          </w:p>
        </w:tc>
        <w:tc>
          <w:tcPr>
            <w:tcW w:w="6912" w:type="dxa"/>
            <w:gridSpan w:val="2"/>
            <w:tcBorders>
              <w:top w:val="single" w:color="auto" w:sz="4" w:space="0"/>
              <w:left w:val="single" w:color="auto" w:sz="4" w:space="0"/>
              <w:bottom w:val="single" w:color="auto" w:sz="4" w:space="0"/>
              <w:right w:val="single" w:color="000000" w:sz="4" w:space="0"/>
            </w:tcBorders>
            <w:shd w:val="clear" w:color="auto" w:fill="auto"/>
          </w:tcPr>
          <w:p w14:paraId="34E79404">
            <w:pPr>
              <w:spacing w:line="300" w:lineRule="exact"/>
              <w:rPr>
                <w:rFonts w:asciiTheme="minorHAnsi" w:hAnsiTheme="minorHAnsi" w:cstheme="minorHAnsi"/>
                <w:color w:val="auto"/>
                <w:kern w:val="0"/>
                <w:sz w:val="22"/>
              </w:rPr>
            </w:pPr>
            <w:r>
              <w:rPr>
                <w:rFonts w:asciiTheme="minorHAnsi" w:hAnsiTheme="minorHAnsi" w:cstheme="minorHAnsi"/>
                <w:b/>
                <w:bCs/>
                <w:color w:val="auto"/>
                <w:kern w:val="0"/>
                <w:sz w:val="22"/>
              </w:rPr>
              <w:t>3.4新增3条术语.</w:t>
            </w:r>
          </w:p>
        </w:tc>
        <w:tc>
          <w:tcPr>
            <w:tcW w:w="4111" w:type="dxa"/>
            <w:gridSpan w:val="2"/>
            <w:tcBorders>
              <w:top w:val="single" w:color="auto" w:sz="4" w:space="0"/>
              <w:left w:val="single" w:color="000000" w:sz="4" w:space="0"/>
              <w:bottom w:val="single" w:color="auto" w:sz="4" w:space="0"/>
              <w:right w:val="single" w:color="auto" w:sz="4" w:space="0"/>
            </w:tcBorders>
            <w:shd w:val="clear" w:color="auto" w:fill="auto"/>
          </w:tcPr>
          <w:p w14:paraId="33262037">
            <w:pPr>
              <w:spacing w:line="300" w:lineRule="exact"/>
              <w:rPr>
                <w:rFonts w:asciiTheme="minorHAnsi" w:hAnsiTheme="minorHAnsi" w:cstheme="minorHAnsi"/>
                <w:color w:val="auto"/>
                <w:kern w:val="0"/>
                <w:sz w:val="22"/>
              </w:rPr>
            </w:pPr>
          </w:p>
        </w:tc>
      </w:tr>
      <w:tr w14:paraId="76CBE000">
        <w:tblPrEx>
          <w:tblCellMar>
            <w:top w:w="0" w:type="dxa"/>
            <w:left w:w="108" w:type="dxa"/>
            <w:bottom w:w="0" w:type="dxa"/>
            <w:right w:w="108" w:type="dxa"/>
          </w:tblCellMar>
        </w:tblPrEx>
        <w:trPr>
          <w:trHeight w:val="986"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40E5EF70">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3.4.2新增</w:t>
            </w: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501F699D">
            <w:pPr>
              <w:spacing w:line="300" w:lineRule="exact"/>
              <w:rPr>
                <w:rFonts w:asciiTheme="minorHAnsi" w:hAnsiTheme="minorHAnsi" w:cstheme="minorHAnsi"/>
                <w:b/>
                <w:color w:val="auto"/>
                <w:sz w:val="22"/>
              </w:rPr>
            </w:pPr>
            <w:r>
              <w:rPr>
                <w:rFonts w:asciiTheme="minorHAnsi" w:hAnsiTheme="minorHAnsi" w:cstheme="minorHAnsi"/>
                <w:b/>
                <w:color w:val="auto"/>
                <w:sz w:val="22"/>
              </w:rPr>
              <w:t>/</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60238247">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4D49BA41">
            <w:pPr>
              <w:spacing w:line="300" w:lineRule="exact"/>
              <w:rPr>
                <w:rFonts w:asciiTheme="minorHAnsi" w:hAnsiTheme="minorHAnsi" w:cstheme="minorHAnsi"/>
                <w:b/>
                <w:color w:val="auto"/>
                <w:kern w:val="0"/>
                <w:sz w:val="22"/>
              </w:rPr>
            </w:pPr>
            <w:r>
              <w:rPr>
                <w:rFonts w:asciiTheme="minorHAnsi" w:hAnsiTheme="minorHAnsi" w:cstheme="minorHAnsi"/>
                <w:b/>
                <w:color w:val="auto"/>
                <w:kern w:val="0"/>
                <w:sz w:val="22"/>
              </w:rPr>
              <w:t>densification</w:t>
            </w:r>
          </w:p>
          <w:p w14:paraId="207B2F00">
            <w:pPr>
              <w:spacing w:line="300" w:lineRule="exact"/>
              <w:rPr>
                <w:rFonts w:asciiTheme="minorHAnsi" w:hAnsiTheme="minorHAnsi" w:cstheme="minorHAnsi"/>
                <w:bCs/>
                <w:color w:val="auto"/>
                <w:kern w:val="0"/>
                <w:sz w:val="22"/>
              </w:rPr>
            </w:pPr>
            <w:r>
              <w:rPr>
                <w:rFonts w:asciiTheme="minorHAnsi" w:hAnsiTheme="minorHAnsi" w:cstheme="minorHAnsi"/>
                <w:bCs/>
                <w:color w:val="auto"/>
                <w:kern w:val="0"/>
                <w:sz w:val="22"/>
              </w:rPr>
              <w:t>increasing density either locally or totally of a green or sintered body</w:t>
            </w:r>
          </w:p>
        </w:tc>
        <w:tc>
          <w:tcPr>
            <w:tcW w:w="3118" w:type="dxa"/>
            <w:tcBorders>
              <w:top w:val="single" w:color="auto" w:sz="4" w:space="0"/>
              <w:left w:val="single" w:color="auto" w:sz="4" w:space="0"/>
              <w:bottom w:val="single" w:color="auto" w:sz="4" w:space="0"/>
              <w:right w:val="single" w:color="000000" w:sz="4" w:space="0"/>
            </w:tcBorders>
            <w:shd w:val="clear" w:color="auto" w:fill="DEEBF6"/>
          </w:tcPr>
          <w:p w14:paraId="30C6CF3E">
            <w:pPr>
              <w:pStyle w:val="58"/>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 xml:space="preserve">致密化 </w:t>
            </w:r>
          </w:p>
          <w:p w14:paraId="560958DC">
            <w:pPr>
              <w:spacing w:line="300" w:lineRule="exact"/>
              <w:ind w:firstLine="420"/>
              <w:rPr>
                <w:rFonts w:asciiTheme="minorHAnsi" w:hAnsiTheme="minorHAnsi" w:cstheme="minorHAnsi"/>
                <w:b/>
                <w:color w:val="auto"/>
                <w:kern w:val="0"/>
                <w:sz w:val="22"/>
              </w:rPr>
            </w:pPr>
            <w:r>
              <w:rPr>
                <w:rFonts w:asciiTheme="minorHAnsi" w:hAnsiTheme="minorHAnsi" w:cstheme="minorHAnsi"/>
                <w:color w:val="auto"/>
                <w:kern w:val="0"/>
                <w:sz w:val="22"/>
              </w:rPr>
              <w:t>使生坯或烧结体局部或整体密度提高的过程。</w:t>
            </w:r>
          </w:p>
        </w:tc>
        <w:tc>
          <w:tcPr>
            <w:tcW w:w="2126" w:type="dxa"/>
            <w:tcBorders>
              <w:top w:val="single" w:color="auto" w:sz="4" w:space="0"/>
              <w:left w:val="single" w:color="000000" w:sz="4" w:space="0"/>
              <w:bottom w:val="single" w:color="auto" w:sz="4" w:space="0"/>
              <w:right w:val="single" w:color="auto" w:sz="4" w:space="0"/>
            </w:tcBorders>
          </w:tcPr>
          <w:p w14:paraId="3FA2D9DF">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致密度</w:t>
            </w:r>
          </w:p>
          <w:p w14:paraId="658D13B4">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局部或全部增加生坯或烧结体的密度</w:t>
            </w:r>
          </w:p>
        </w:tc>
        <w:tc>
          <w:tcPr>
            <w:tcW w:w="1985" w:type="dxa"/>
            <w:tcBorders>
              <w:top w:val="single" w:color="auto" w:sz="4" w:space="0"/>
              <w:left w:val="single" w:color="auto" w:sz="4" w:space="0"/>
              <w:bottom w:val="single" w:color="auto" w:sz="4" w:space="0"/>
              <w:right w:val="single" w:color="auto" w:sz="4" w:space="0"/>
            </w:tcBorders>
          </w:tcPr>
          <w:p w14:paraId="7039DC78">
            <w:pPr>
              <w:spacing w:line="300" w:lineRule="exact"/>
              <w:rPr>
                <w:rFonts w:asciiTheme="minorHAnsi" w:hAnsiTheme="minorHAnsi" w:cstheme="minorHAnsi"/>
                <w:color w:val="auto"/>
                <w:kern w:val="0"/>
                <w:sz w:val="22"/>
              </w:rPr>
            </w:pPr>
          </w:p>
        </w:tc>
      </w:tr>
      <w:tr w14:paraId="6DEB0415">
        <w:tblPrEx>
          <w:tblCellMar>
            <w:top w:w="0" w:type="dxa"/>
            <w:left w:w="108" w:type="dxa"/>
            <w:bottom w:w="0" w:type="dxa"/>
            <w:right w:w="108" w:type="dxa"/>
          </w:tblCellMar>
        </w:tblPrEx>
        <w:trPr>
          <w:trHeight w:val="3962"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065D5C4F">
            <w:pPr>
              <w:spacing w:line="300" w:lineRule="exact"/>
              <w:rPr>
                <w:rFonts w:asciiTheme="minorHAnsi" w:hAnsiTheme="minorHAnsi" w:cstheme="minorHAnsi"/>
                <w:bCs/>
                <w:color w:val="auto"/>
                <w:kern w:val="0"/>
                <w:sz w:val="22"/>
              </w:rPr>
            </w:pPr>
            <w:r>
              <w:rPr>
                <w:rFonts w:asciiTheme="minorHAnsi" w:hAnsiTheme="minorHAnsi" w:cstheme="minorHAnsi"/>
                <w:bCs/>
                <w:color w:val="auto"/>
                <w:kern w:val="0"/>
                <w:sz w:val="22"/>
              </w:rPr>
              <w:t>3.4.3</w:t>
            </w:r>
            <w:r>
              <w:rPr>
                <w:rFonts w:asciiTheme="minorHAnsi" w:hAnsiTheme="minorHAnsi" w:cstheme="minorHAnsi"/>
                <w:color w:val="auto"/>
                <w:kern w:val="0"/>
                <w:sz w:val="22"/>
              </w:rPr>
              <w:t>新增</w:t>
            </w:r>
          </w:p>
          <w:p w14:paraId="46AB035D">
            <w:pPr>
              <w:spacing w:line="300" w:lineRule="exact"/>
              <w:rPr>
                <w:rFonts w:asciiTheme="minorHAnsi" w:hAnsiTheme="minorHAnsi" w:cstheme="minorHAnsi"/>
                <w:color w:val="auto"/>
                <w:kern w:val="0"/>
                <w:sz w:val="22"/>
              </w:rPr>
            </w:pP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29ACD743">
            <w:pPr>
              <w:spacing w:line="300" w:lineRule="exact"/>
              <w:rPr>
                <w:rFonts w:asciiTheme="minorHAnsi" w:hAnsiTheme="minorHAnsi" w:cstheme="minorHAnsi"/>
                <w:b/>
                <w:color w:val="auto"/>
                <w:sz w:val="22"/>
              </w:rPr>
            </w:pPr>
            <w:r>
              <w:rPr>
                <w:rFonts w:asciiTheme="minorHAnsi" w:hAnsiTheme="minorHAnsi" w:cstheme="minorHAnsi"/>
                <w:b/>
                <w:color w:val="auto"/>
                <w:sz w:val="22"/>
              </w:rPr>
              <w:t>/</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66CADBF6">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0F65562B">
            <w:pPr>
              <w:spacing w:line="300" w:lineRule="exact"/>
              <w:rPr>
                <w:rFonts w:asciiTheme="minorHAnsi" w:hAnsiTheme="minorHAnsi" w:cstheme="minorHAnsi"/>
                <w:b/>
                <w:color w:val="auto"/>
                <w:kern w:val="0"/>
                <w:sz w:val="22"/>
              </w:rPr>
            </w:pPr>
            <w:r>
              <w:rPr>
                <w:rFonts w:asciiTheme="minorHAnsi" w:hAnsiTheme="minorHAnsi" w:cstheme="minorHAnsi"/>
                <w:b/>
                <w:color w:val="auto"/>
                <w:kern w:val="0"/>
                <w:sz w:val="22"/>
              </w:rPr>
              <w:t>fully dense material</w:t>
            </w:r>
          </w:p>
          <w:p w14:paraId="3DA77561">
            <w:pPr>
              <w:spacing w:line="300" w:lineRule="exact"/>
              <w:rPr>
                <w:rFonts w:asciiTheme="minorHAnsi" w:hAnsiTheme="minorHAnsi" w:cstheme="minorHAnsi"/>
                <w:bCs/>
                <w:color w:val="auto"/>
                <w:kern w:val="0"/>
                <w:sz w:val="22"/>
              </w:rPr>
            </w:pPr>
            <w:r>
              <w:rPr>
                <w:rFonts w:asciiTheme="minorHAnsi" w:hAnsiTheme="minorHAnsi" w:cstheme="minorHAnsi"/>
                <w:bCs/>
                <w:color w:val="auto"/>
                <w:kern w:val="0"/>
                <w:sz w:val="22"/>
              </w:rPr>
              <w:t>material completely free of porosity and voids</w:t>
            </w:r>
          </w:p>
          <w:p w14:paraId="5C4EE832">
            <w:pPr>
              <w:spacing w:line="300" w:lineRule="exact"/>
              <w:rPr>
                <w:rFonts w:asciiTheme="minorHAnsi" w:hAnsiTheme="minorHAnsi" w:cstheme="minorHAnsi"/>
                <w:bCs/>
                <w:color w:val="auto"/>
                <w:kern w:val="0"/>
                <w:sz w:val="22"/>
              </w:rPr>
            </w:pPr>
            <w:r>
              <w:rPr>
                <w:rFonts w:asciiTheme="minorHAnsi" w:hAnsiTheme="minorHAnsi" w:cstheme="minorHAnsi"/>
                <w:bCs/>
                <w:color w:val="auto"/>
                <w:kern w:val="0"/>
                <w:sz w:val="22"/>
              </w:rPr>
              <w:t>Note 1 to entry: This is a conceptual term. In practice, complete densification is difficult to achieve and some</w:t>
            </w:r>
          </w:p>
          <w:p w14:paraId="5A2EBDD3">
            <w:pPr>
              <w:spacing w:line="300" w:lineRule="exact"/>
              <w:rPr>
                <w:rFonts w:asciiTheme="minorHAnsi" w:hAnsiTheme="minorHAnsi" w:cstheme="minorHAnsi"/>
                <w:bCs/>
                <w:color w:val="auto"/>
                <w:kern w:val="0"/>
                <w:sz w:val="22"/>
              </w:rPr>
            </w:pPr>
            <w:r>
              <w:rPr>
                <w:rFonts w:asciiTheme="minorHAnsi" w:hAnsiTheme="minorHAnsi" w:cstheme="minorHAnsi"/>
                <w:bCs/>
                <w:color w:val="auto"/>
                <w:kern w:val="0"/>
                <w:sz w:val="22"/>
              </w:rPr>
              <w:t>microporosity will generally be present. The measured density of a material depends on its specific chemistry,</w:t>
            </w:r>
          </w:p>
          <w:p w14:paraId="4E352490">
            <w:pPr>
              <w:spacing w:line="300" w:lineRule="exact"/>
              <w:rPr>
                <w:rFonts w:asciiTheme="minorHAnsi" w:hAnsiTheme="minorHAnsi" w:cstheme="minorHAnsi"/>
                <w:bCs/>
                <w:color w:val="auto"/>
                <w:kern w:val="0"/>
                <w:sz w:val="22"/>
              </w:rPr>
            </w:pPr>
            <w:r>
              <w:rPr>
                <w:rFonts w:asciiTheme="minorHAnsi" w:hAnsiTheme="minorHAnsi" w:cstheme="minorHAnsi"/>
                <w:bCs/>
                <w:color w:val="auto"/>
                <w:kern w:val="0"/>
                <w:sz w:val="22"/>
              </w:rPr>
              <w:t>thermomechanical condition and microstructure.</w:t>
            </w:r>
          </w:p>
          <w:p w14:paraId="67C88B24">
            <w:pPr>
              <w:spacing w:line="300" w:lineRule="exact"/>
              <w:rPr>
                <w:rFonts w:asciiTheme="minorHAnsi" w:hAnsiTheme="minorHAnsi" w:cstheme="minorHAnsi"/>
                <w:bCs/>
                <w:color w:val="auto"/>
                <w:kern w:val="0"/>
                <w:sz w:val="22"/>
              </w:rPr>
            </w:pPr>
            <w:r>
              <w:rPr>
                <w:rFonts w:asciiTheme="minorHAnsi" w:hAnsiTheme="minorHAnsi" w:cstheme="minorHAnsi"/>
                <w:bCs/>
                <w:color w:val="auto"/>
                <w:kern w:val="0"/>
                <w:sz w:val="22"/>
              </w:rPr>
              <w:t>[SOURCE: ASTM B243-17]</w:t>
            </w:r>
          </w:p>
        </w:tc>
        <w:tc>
          <w:tcPr>
            <w:tcW w:w="3118" w:type="dxa"/>
            <w:tcBorders>
              <w:top w:val="single" w:color="auto" w:sz="4" w:space="0"/>
              <w:left w:val="single" w:color="auto" w:sz="4" w:space="0"/>
              <w:bottom w:val="single" w:color="auto" w:sz="4" w:space="0"/>
              <w:right w:val="single" w:color="auto" w:sz="4" w:space="0"/>
            </w:tcBorders>
            <w:shd w:val="clear" w:color="auto" w:fill="DEEBF6"/>
          </w:tcPr>
          <w:p w14:paraId="138ED453">
            <w:pPr>
              <w:pStyle w:val="58"/>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全致密材料 fully dense material</w:t>
            </w:r>
          </w:p>
          <w:p w14:paraId="69742B5F">
            <w:pPr>
              <w:spacing w:line="300" w:lineRule="exact"/>
              <w:ind w:firstLine="420"/>
              <w:rPr>
                <w:rFonts w:asciiTheme="minorHAnsi" w:hAnsiTheme="minorHAnsi" w:cstheme="minorHAnsi"/>
                <w:color w:val="auto"/>
                <w:kern w:val="0"/>
                <w:sz w:val="22"/>
              </w:rPr>
            </w:pPr>
            <w:r>
              <w:rPr>
                <w:rFonts w:asciiTheme="minorHAnsi" w:hAnsiTheme="minorHAnsi" w:cstheme="minorHAnsi"/>
                <w:color w:val="auto"/>
                <w:kern w:val="0"/>
                <w:sz w:val="22"/>
              </w:rPr>
              <w:t>完全无孔隙、无</w:t>
            </w:r>
            <w:r>
              <w:rPr>
                <w:rFonts w:hint="eastAsia" w:asciiTheme="minorHAnsi" w:hAnsiTheme="minorHAnsi" w:cstheme="minorHAnsi"/>
                <w:color w:val="auto"/>
                <w:kern w:val="0"/>
                <w:sz w:val="22"/>
              </w:rPr>
              <w:t>孔</w:t>
            </w:r>
            <w:r>
              <w:rPr>
                <w:rFonts w:asciiTheme="minorHAnsi" w:hAnsiTheme="minorHAnsi" w:cstheme="minorHAnsi"/>
                <w:color w:val="auto"/>
                <w:kern w:val="0"/>
                <w:sz w:val="22"/>
              </w:rPr>
              <w:t>洞的材料。</w:t>
            </w:r>
          </w:p>
          <w:p w14:paraId="28B0D6B2">
            <w:pPr>
              <w:spacing w:line="300" w:lineRule="exact"/>
              <w:ind w:firstLine="420"/>
              <w:rPr>
                <w:rFonts w:asciiTheme="minorHAnsi" w:hAnsiTheme="minorHAnsi" w:cstheme="minorHAnsi"/>
                <w:color w:val="auto"/>
                <w:kern w:val="0"/>
                <w:sz w:val="22"/>
              </w:rPr>
            </w:pPr>
            <w:r>
              <w:rPr>
                <w:rFonts w:asciiTheme="minorHAnsi" w:hAnsiTheme="minorHAnsi" w:cstheme="minorHAnsi"/>
                <w:color w:val="auto"/>
                <w:kern w:val="0"/>
                <w:sz w:val="22"/>
              </w:rPr>
              <w:t>注1：这是一个概念性术语。实际生产中很难实现完全致密化，通常仍会存在少量微孔。材料的</w:t>
            </w:r>
            <w:r>
              <w:rPr>
                <w:rFonts w:hint="eastAsia" w:asciiTheme="minorHAnsi" w:hAnsiTheme="minorHAnsi" w:cstheme="minorHAnsi"/>
                <w:color w:val="auto"/>
                <w:kern w:val="0"/>
                <w:sz w:val="22"/>
              </w:rPr>
              <w:t>（实测）致密度</w:t>
            </w:r>
            <w:r>
              <w:rPr>
                <w:rFonts w:asciiTheme="minorHAnsi" w:hAnsiTheme="minorHAnsi" w:cstheme="minorHAnsi"/>
                <w:color w:val="auto"/>
                <w:kern w:val="0"/>
                <w:sz w:val="22"/>
              </w:rPr>
              <w:t>取决于其具体化学成分、热加工状态及显微组织。</w:t>
            </w:r>
          </w:p>
          <w:p w14:paraId="232935D2">
            <w:pPr>
              <w:spacing w:line="300" w:lineRule="exact"/>
              <w:ind w:firstLine="420"/>
              <w:rPr>
                <w:rFonts w:asciiTheme="minorHAnsi" w:hAnsiTheme="minorHAnsi" w:cstheme="minorHAnsi"/>
                <w:color w:val="auto"/>
                <w:kern w:val="0"/>
                <w:sz w:val="22"/>
              </w:rPr>
            </w:pPr>
            <w:r>
              <w:rPr>
                <w:rFonts w:asciiTheme="minorHAnsi" w:hAnsiTheme="minorHAnsi" w:cstheme="minorHAnsi"/>
                <w:color w:val="auto"/>
                <w:kern w:val="0"/>
                <w:sz w:val="22"/>
              </w:rPr>
              <w:t>[来源：ASTM B243</w:t>
            </w:r>
            <w:r>
              <w:rPr>
                <w:rFonts w:asciiTheme="minorHAnsi" w:hAnsiTheme="minorHAnsi" w:cstheme="minorHAnsi"/>
                <w:color w:val="auto"/>
                <w:kern w:val="0"/>
                <w:sz w:val="22"/>
              </w:rPr>
              <w:noBreakHyphen/>
            </w:r>
            <w:r>
              <w:rPr>
                <w:rFonts w:asciiTheme="minorHAnsi" w:hAnsiTheme="minorHAnsi" w:cstheme="minorHAnsi"/>
                <w:color w:val="auto"/>
                <w:kern w:val="0"/>
                <w:sz w:val="22"/>
              </w:rPr>
              <w:t>17]</w:t>
            </w:r>
          </w:p>
          <w:p w14:paraId="7F0273E1">
            <w:pPr>
              <w:spacing w:line="300" w:lineRule="exact"/>
              <w:ind w:firstLine="420"/>
              <w:rPr>
                <w:rFonts w:asciiTheme="minorHAnsi" w:hAnsiTheme="minorHAnsi" w:cstheme="minorHAnsi"/>
                <w:color w:val="auto"/>
                <w:kern w:val="0"/>
                <w:sz w:val="22"/>
              </w:rPr>
            </w:pPr>
          </w:p>
          <w:p w14:paraId="1C248097">
            <w:pPr>
              <w:spacing w:line="300" w:lineRule="exact"/>
              <w:rPr>
                <w:rFonts w:asciiTheme="minorHAnsi" w:hAnsiTheme="minorHAnsi" w:cstheme="minorHAnsi"/>
                <w:b/>
                <w:color w:val="auto"/>
                <w:kern w:val="0"/>
                <w:sz w:val="22"/>
              </w:rPr>
            </w:pPr>
          </w:p>
        </w:tc>
        <w:tc>
          <w:tcPr>
            <w:tcW w:w="2126" w:type="dxa"/>
            <w:tcBorders>
              <w:top w:val="single" w:color="auto" w:sz="4" w:space="0"/>
              <w:left w:val="single" w:color="auto" w:sz="4" w:space="0"/>
              <w:bottom w:val="single" w:color="auto" w:sz="4" w:space="0"/>
              <w:right w:val="single" w:color="auto" w:sz="4" w:space="0"/>
            </w:tcBorders>
          </w:tcPr>
          <w:p w14:paraId="3F65F274">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全致密材料</w:t>
            </w:r>
          </w:p>
          <w:p w14:paraId="45131E90">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完全无孔隙和空隙的材料</w:t>
            </w:r>
          </w:p>
          <w:p w14:paraId="09884CAA">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注1：这是一个概念性术语。在实践中，很难实现完全致密化，通常会存在一些微孔。材料的测量密度取决于其特定的化学性质、热机械条件和微观结构。</w:t>
            </w:r>
          </w:p>
          <w:p w14:paraId="4CF1BAC6">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[来源：ASTM B243-17]</w:t>
            </w:r>
          </w:p>
        </w:tc>
        <w:tc>
          <w:tcPr>
            <w:tcW w:w="1985" w:type="dxa"/>
            <w:tcBorders>
              <w:top w:val="single" w:color="auto" w:sz="4" w:space="0"/>
              <w:left w:val="single" w:color="auto" w:sz="4" w:space="0"/>
              <w:bottom w:val="single" w:color="auto" w:sz="4" w:space="0"/>
              <w:right w:val="single" w:color="auto" w:sz="4" w:space="0"/>
            </w:tcBorders>
          </w:tcPr>
          <w:p w14:paraId="70970D6D">
            <w:pPr>
              <w:spacing w:line="300" w:lineRule="exact"/>
              <w:rPr>
                <w:rFonts w:asciiTheme="minorHAnsi" w:hAnsiTheme="minorHAnsi" w:cstheme="minorHAnsi"/>
                <w:color w:val="auto"/>
                <w:kern w:val="0"/>
                <w:sz w:val="22"/>
              </w:rPr>
            </w:pPr>
          </w:p>
        </w:tc>
      </w:tr>
      <w:tr w14:paraId="789EFAE0">
        <w:tblPrEx>
          <w:tblCellMar>
            <w:top w:w="0" w:type="dxa"/>
            <w:left w:w="108" w:type="dxa"/>
            <w:bottom w:w="0" w:type="dxa"/>
            <w:right w:w="108" w:type="dxa"/>
          </w:tblCellMar>
        </w:tblPrEx>
        <w:trPr>
          <w:trHeight w:val="1255"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6C0892A3">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3.4.11新增</w:t>
            </w: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1FEE5E8B">
            <w:pPr>
              <w:spacing w:line="300" w:lineRule="exact"/>
              <w:rPr>
                <w:rFonts w:asciiTheme="minorHAnsi" w:hAnsiTheme="minorHAnsi" w:cstheme="minorHAnsi"/>
                <w:b/>
                <w:color w:val="auto"/>
                <w:sz w:val="22"/>
              </w:rPr>
            </w:pPr>
            <w:r>
              <w:rPr>
                <w:rFonts w:asciiTheme="minorHAnsi" w:hAnsiTheme="minorHAnsi" w:cstheme="minorHAnsi"/>
                <w:b/>
                <w:color w:val="auto"/>
                <w:sz w:val="22"/>
              </w:rPr>
              <w:t>/</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16ADC08F">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22C0DB0F">
            <w:pPr>
              <w:spacing w:line="300" w:lineRule="exact"/>
              <w:rPr>
                <w:rFonts w:asciiTheme="minorHAnsi" w:hAnsiTheme="minorHAnsi" w:cstheme="minorHAnsi"/>
                <w:b/>
                <w:color w:val="auto"/>
                <w:kern w:val="0"/>
                <w:sz w:val="22"/>
              </w:rPr>
            </w:pPr>
            <w:r>
              <w:rPr>
                <w:rFonts w:asciiTheme="minorHAnsi" w:hAnsiTheme="minorHAnsi" w:cstheme="minorHAnsi"/>
                <w:b/>
                <w:color w:val="auto"/>
                <w:kern w:val="0"/>
                <w:sz w:val="22"/>
              </w:rPr>
              <w:t>surface densification</w:t>
            </w:r>
          </w:p>
          <w:p w14:paraId="5BA08F43">
            <w:pPr>
              <w:spacing w:line="300" w:lineRule="exact"/>
              <w:rPr>
                <w:rFonts w:asciiTheme="minorHAnsi" w:hAnsiTheme="minorHAnsi" w:cstheme="minorHAnsi"/>
                <w:bCs/>
                <w:color w:val="auto"/>
                <w:kern w:val="0"/>
                <w:sz w:val="22"/>
              </w:rPr>
            </w:pPr>
            <w:r>
              <w:rPr>
                <w:rFonts w:asciiTheme="minorHAnsi" w:hAnsiTheme="minorHAnsi" w:cstheme="minorHAnsi"/>
                <w:bCs/>
                <w:color w:val="auto"/>
                <w:kern w:val="0"/>
                <w:sz w:val="22"/>
              </w:rPr>
              <w:t>mechanical process to increase the density of the surface of a sintered body</w:t>
            </w:r>
          </w:p>
        </w:tc>
        <w:tc>
          <w:tcPr>
            <w:tcW w:w="3118" w:type="dxa"/>
            <w:tcBorders>
              <w:top w:val="single" w:color="auto" w:sz="4" w:space="0"/>
              <w:left w:val="single" w:color="auto" w:sz="4" w:space="0"/>
              <w:bottom w:val="single" w:color="auto" w:sz="4" w:space="0"/>
              <w:right w:val="single" w:color="auto" w:sz="4" w:space="0"/>
            </w:tcBorders>
            <w:shd w:val="clear" w:color="auto" w:fill="DEEBF6"/>
          </w:tcPr>
          <w:p w14:paraId="39A4DBC0">
            <w:pPr>
              <w:pStyle w:val="58"/>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表面致密化  surface densification</w:t>
            </w:r>
          </w:p>
          <w:p w14:paraId="048F297F">
            <w:pPr>
              <w:spacing w:line="300" w:lineRule="exact"/>
              <w:ind w:firstLine="420"/>
              <w:rPr>
                <w:rFonts w:asciiTheme="minorHAnsi" w:hAnsiTheme="minorHAnsi" w:cstheme="minorHAnsi"/>
                <w:b/>
                <w:color w:val="auto"/>
                <w:kern w:val="0"/>
                <w:sz w:val="22"/>
              </w:rPr>
            </w:pPr>
            <w:r>
              <w:rPr>
                <w:rFonts w:asciiTheme="minorHAnsi" w:hAnsiTheme="minorHAnsi" w:cstheme="minorHAnsi"/>
                <w:color w:val="auto"/>
                <w:kern w:val="0"/>
                <w:sz w:val="22"/>
              </w:rPr>
              <w:t>提高烧结体表面</w:t>
            </w:r>
            <w:r>
              <w:rPr>
                <w:rFonts w:hint="eastAsia" w:asciiTheme="minorHAnsi" w:hAnsiTheme="minorHAnsi" w:cstheme="minorHAnsi"/>
                <w:color w:val="auto"/>
                <w:kern w:val="0"/>
                <w:sz w:val="22"/>
              </w:rPr>
              <w:t>（致）</w:t>
            </w:r>
            <w:r>
              <w:rPr>
                <w:rFonts w:asciiTheme="minorHAnsi" w:hAnsiTheme="minorHAnsi" w:cstheme="minorHAnsi"/>
                <w:color w:val="auto"/>
                <w:kern w:val="0"/>
                <w:sz w:val="22"/>
              </w:rPr>
              <w:t>密度的机械工艺。</w:t>
            </w:r>
          </w:p>
        </w:tc>
        <w:tc>
          <w:tcPr>
            <w:tcW w:w="2126" w:type="dxa"/>
            <w:tcBorders>
              <w:top w:val="single" w:color="auto" w:sz="4" w:space="0"/>
              <w:left w:val="single" w:color="auto" w:sz="4" w:space="0"/>
              <w:bottom w:val="single" w:color="auto" w:sz="4" w:space="0"/>
              <w:right w:val="single" w:color="auto" w:sz="4" w:space="0"/>
            </w:tcBorders>
          </w:tcPr>
          <w:p w14:paraId="0337B153">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表面致密化</w:t>
            </w:r>
          </w:p>
          <w:p w14:paraId="0A9A7BDF">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提高烧结体表面密度的机械工艺</w:t>
            </w:r>
          </w:p>
        </w:tc>
        <w:tc>
          <w:tcPr>
            <w:tcW w:w="1985" w:type="dxa"/>
            <w:tcBorders>
              <w:top w:val="single" w:color="auto" w:sz="4" w:space="0"/>
              <w:left w:val="single" w:color="auto" w:sz="4" w:space="0"/>
              <w:bottom w:val="single" w:color="auto" w:sz="4" w:space="0"/>
              <w:right w:val="single" w:color="auto" w:sz="4" w:space="0"/>
            </w:tcBorders>
          </w:tcPr>
          <w:p w14:paraId="638ECEC3">
            <w:pPr>
              <w:spacing w:line="300" w:lineRule="exact"/>
              <w:rPr>
                <w:rFonts w:asciiTheme="minorHAnsi" w:hAnsiTheme="minorHAnsi" w:cstheme="minorHAnsi"/>
                <w:color w:val="auto"/>
                <w:kern w:val="0"/>
                <w:sz w:val="22"/>
              </w:rPr>
            </w:pPr>
          </w:p>
        </w:tc>
      </w:tr>
      <w:tr w14:paraId="2D506650">
        <w:tblPrEx>
          <w:tblCellMar>
            <w:top w:w="0" w:type="dxa"/>
            <w:left w:w="108" w:type="dxa"/>
            <w:bottom w:w="0" w:type="dxa"/>
            <w:right w:w="108" w:type="dxa"/>
          </w:tblCellMar>
        </w:tblPrEx>
        <w:trPr>
          <w:trHeight w:val="409" w:hRule="atLeast"/>
          <w:jc w:val="center"/>
        </w:trPr>
        <w:tc>
          <w:tcPr>
            <w:tcW w:w="4565" w:type="dxa"/>
            <w:gridSpan w:val="3"/>
            <w:tcBorders>
              <w:top w:val="single" w:color="auto" w:sz="4" w:space="0"/>
              <w:left w:val="single" w:color="auto" w:sz="4" w:space="0"/>
              <w:bottom w:val="single" w:color="auto" w:sz="4" w:space="0"/>
              <w:right w:val="single" w:color="auto" w:sz="4" w:space="0"/>
            </w:tcBorders>
            <w:shd w:val="clear" w:color="auto" w:fill="auto"/>
          </w:tcPr>
          <w:p w14:paraId="060B5173">
            <w:pPr>
              <w:spacing w:line="300" w:lineRule="exact"/>
              <w:rPr>
                <w:rFonts w:asciiTheme="minorHAnsi" w:hAnsiTheme="minorHAnsi" w:cstheme="minorHAnsi"/>
                <w:b/>
                <w:bCs/>
                <w:color w:val="auto"/>
                <w:kern w:val="0"/>
                <w:sz w:val="22"/>
              </w:rPr>
            </w:pPr>
          </w:p>
        </w:tc>
        <w:tc>
          <w:tcPr>
            <w:tcW w:w="6912" w:type="dxa"/>
            <w:gridSpan w:val="2"/>
            <w:tcBorders>
              <w:top w:val="single" w:color="auto" w:sz="4" w:space="0"/>
              <w:left w:val="single" w:color="auto" w:sz="4" w:space="0"/>
              <w:bottom w:val="single" w:color="auto" w:sz="4" w:space="0"/>
              <w:right w:val="single" w:color="auto" w:sz="4" w:space="0"/>
            </w:tcBorders>
            <w:shd w:val="clear" w:color="auto" w:fill="auto"/>
          </w:tcPr>
          <w:p w14:paraId="7B4055CE">
            <w:pPr>
              <w:spacing w:line="300" w:lineRule="exact"/>
              <w:rPr>
                <w:rFonts w:asciiTheme="minorHAnsi" w:hAnsiTheme="minorHAnsi" w:cstheme="minorHAnsi"/>
                <w:color w:val="auto"/>
                <w:kern w:val="0"/>
                <w:sz w:val="22"/>
              </w:rPr>
            </w:pPr>
            <w:r>
              <w:rPr>
                <w:rFonts w:asciiTheme="minorHAnsi" w:hAnsiTheme="minorHAnsi" w:cstheme="minorHAnsi"/>
                <w:b/>
                <w:bCs/>
                <w:color w:val="auto"/>
                <w:kern w:val="0"/>
                <w:sz w:val="22"/>
              </w:rPr>
              <w:t>3.5新增1条术语.</w:t>
            </w:r>
          </w:p>
        </w:tc>
        <w:tc>
          <w:tcPr>
            <w:tcW w:w="4111" w:type="dxa"/>
            <w:gridSpan w:val="2"/>
            <w:tcBorders>
              <w:top w:val="single" w:color="auto" w:sz="4" w:space="0"/>
              <w:left w:val="single" w:color="auto" w:sz="4" w:space="0"/>
              <w:bottom w:val="single" w:color="auto" w:sz="4" w:space="0"/>
              <w:right w:val="single" w:color="auto" w:sz="4" w:space="0"/>
            </w:tcBorders>
            <w:shd w:val="clear" w:color="auto" w:fill="auto"/>
          </w:tcPr>
          <w:p w14:paraId="6E28C668">
            <w:pPr>
              <w:spacing w:line="300" w:lineRule="exact"/>
              <w:rPr>
                <w:rFonts w:asciiTheme="minorHAnsi" w:hAnsiTheme="minorHAnsi" w:cstheme="minorHAnsi"/>
                <w:color w:val="auto"/>
                <w:kern w:val="0"/>
                <w:sz w:val="22"/>
              </w:rPr>
            </w:pPr>
          </w:p>
        </w:tc>
      </w:tr>
      <w:tr w14:paraId="1BF1AB28">
        <w:tblPrEx>
          <w:tblCellMar>
            <w:top w:w="0" w:type="dxa"/>
            <w:left w:w="108" w:type="dxa"/>
            <w:bottom w:w="0" w:type="dxa"/>
            <w:right w:w="108" w:type="dxa"/>
          </w:tblCellMar>
        </w:tblPrEx>
        <w:trPr>
          <w:trHeight w:val="1827"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tcPr>
          <w:p w14:paraId="0071DF83">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3.5.16新增</w:t>
            </w:r>
          </w:p>
        </w:tc>
        <w:tc>
          <w:tcPr>
            <w:tcW w:w="1891" w:type="dxa"/>
            <w:tcBorders>
              <w:top w:val="single" w:color="auto" w:sz="4" w:space="0"/>
              <w:left w:val="single" w:color="auto" w:sz="4" w:space="0"/>
              <w:bottom w:val="single" w:color="auto" w:sz="4" w:space="0"/>
              <w:right w:val="single" w:color="auto" w:sz="4" w:space="0"/>
            </w:tcBorders>
            <w:shd w:val="clear" w:color="auto" w:fill="auto"/>
          </w:tcPr>
          <w:p w14:paraId="2B984CE7">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0CCB091F">
            <w:pPr>
              <w:spacing w:line="300" w:lineRule="exact"/>
              <w:rPr>
                <w:rFonts w:asciiTheme="minorHAnsi" w:hAnsiTheme="minorHAnsi" w:cstheme="minorHAnsi"/>
                <w:color w:val="auto"/>
                <w:sz w:val="22"/>
              </w:rPr>
            </w:pPr>
            <w:r>
              <w:rPr>
                <w:rFonts w:asciiTheme="minorHAnsi" w:hAnsiTheme="minorHAnsi" w:cstheme="minorHAnsi"/>
                <w:color w:val="auto"/>
                <w:sz w:val="22"/>
              </w:rPr>
              <w:t>/</w:t>
            </w:r>
          </w:p>
        </w:tc>
        <w:tc>
          <w:tcPr>
            <w:tcW w:w="3794" w:type="dxa"/>
            <w:tcBorders>
              <w:top w:val="single" w:color="auto" w:sz="4" w:space="0"/>
              <w:left w:val="single" w:color="auto" w:sz="4" w:space="0"/>
              <w:bottom w:val="single" w:color="auto" w:sz="4" w:space="0"/>
              <w:right w:val="single" w:color="auto" w:sz="4" w:space="0"/>
            </w:tcBorders>
            <w:shd w:val="clear" w:color="auto" w:fill="auto"/>
          </w:tcPr>
          <w:p w14:paraId="6429A903">
            <w:pPr>
              <w:spacing w:line="300" w:lineRule="exact"/>
              <w:rPr>
                <w:rFonts w:asciiTheme="minorHAnsi" w:hAnsiTheme="minorHAnsi" w:cstheme="minorHAnsi"/>
                <w:b/>
                <w:color w:val="auto"/>
                <w:kern w:val="0"/>
                <w:sz w:val="22"/>
              </w:rPr>
            </w:pPr>
            <w:r>
              <w:rPr>
                <w:rFonts w:asciiTheme="minorHAnsi" w:hAnsiTheme="minorHAnsi" w:cstheme="minorHAnsi"/>
                <w:b/>
                <w:color w:val="auto"/>
                <w:kern w:val="0"/>
                <w:sz w:val="22"/>
              </w:rPr>
              <w:t>soft magnetic composite</w:t>
            </w:r>
          </w:p>
          <w:p w14:paraId="2D45C9DF">
            <w:pPr>
              <w:spacing w:line="300" w:lineRule="exact"/>
              <w:rPr>
                <w:rFonts w:asciiTheme="minorHAnsi" w:hAnsiTheme="minorHAnsi" w:cstheme="minorHAnsi"/>
                <w:b/>
                <w:color w:val="auto"/>
                <w:kern w:val="0"/>
                <w:sz w:val="22"/>
              </w:rPr>
            </w:pPr>
            <w:r>
              <w:rPr>
                <w:rFonts w:asciiTheme="minorHAnsi" w:hAnsiTheme="minorHAnsi" w:cstheme="minorHAnsi"/>
                <w:b/>
                <w:color w:val="auto"/>
                <w:kern w:val="0"/>
                <w:sz w:val="22"/>
              </w:rPr>
              <w:t>SMC</w:t>
            </w:r>
          </w:p>
          <w:p w14:paraId="695E2FD9">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compacted PM product in which individual ferrous powder particles are separated by an electrical insulating layer</w:t>
            </w:r>
          </w:p>
        </w:tc>
        <w:tc>
          <w:tcPr>
            <w:tcW w:w="3118" w:type="dxa"/>
            <w:tcBorders>
              <w:top w:val="single" w:color="auto" w:sz="4" w:space="0"/>
              <w:left w:val="single" w:color="auto" w:sz="4" w:space="0"/>
              <w:bottom w:val="single" w:color="auto" w:sz="4" w:space="0"/>
              <w:right w:val="single" w:color="auto" w:sz="4" w:space="0"/>
            </w:tcBorders>
            <w:shd w:val="clear" w:color="auto" w:fill="DEEBF6"/>
          </w:tcPr>
          <w:p w14:paraId="5D5E8EBE">
            <w:pPr>
              <w:pStyle w:val="58"/>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软磁复合材料  soft magnetic composite (SMC）</w:t>
            </w:r>
          </w:p>
          <w:p w14:paraId="0F96F2FB">
            <w:pPr>
              <w:spacing w:line="300" w:lineRule="exact"/>
              <w:ind w:firstLine="440" w:firstLineChars="200"/>
              <w:rPr>
                <w:rFonts w:asciiTheme="minorHAnsi" w:hAnsiTheme="minorHAnsi" w:cstheme="minorHAnsi"/>
                <w:color w:val="auto"/>
                <w:kern w:val="0"/>
                <w:sz w:val="22"/>
              </w:rPr>
            </w:pPr>
            <w:r>
              <w:rPr>
                <w:rFonts w:asciiTheme="minorHAnsi" w:hAnsiTheme="minorHAnsi" w:cstheme="minorHAnsi"/>
                <w:color w:val="auto"/>
                <w:kern w:val="0"/>
                <w:sz w:val="22"/>
              </w:rPr>
              <w:t>压制</w:t>
            </w:r>
            <w:r>
              <w:rPr>
                <w:rFonts w:hint="eastAsia" w:asciiTheme="minorHAnsi" w:hAnsiTheme="minorHAnsi" w:cstheme="minorHAnsi"/>
                <w:color w:val="auto"/>
                <w:kern w:val="0"/>
                <w:sz w:val="22"/>
              </w:rPr>
              <w:t>成形的</w:t>
            </w:r>
            <w:r>
              <w:rPr>
                <w:rFonts w:asciiTheme="minorHAnsi" w:hAnsiTheme="minorHAnsi" w:cstheme="minorHAnsi"/>
                <w:color w:val="auto"/>
                <w:kern w:val="0"/>
                <w:sz w:val="22"/>
              </w:rPr>
              <w:t>粉末冶金制品，其中</w:t>
            </w:r>
            <w:r>
              <w:rPr>
                <w:rFonts w:hint="eastAsia" w:asciiTheme="minorHAnsi" w:hAnsiTheme="minorHAnsi" w:cstheme="minorHAnsi"/>
                <w:color w:val="auto"/>
                <w:kern w:val="0"/>
                <w:sz w:val="22"/>
              </w:rPr>
              <w:t>每</w:t>
            </w:r>
            <w:r>
              <w:rPr>
                <w:rFonts w:asciiTheme="minorHAnsi" w:hAnsiTheme="minorHAnsi" w:cstheme="minorHAnsi"/>
                <w:color w:val="auto"/>
                <w:kern w:val="0"/>
                <w:sz w:val="22"/>
              </w:rPr>
              <w:t>个铁基粉末颗粒</w:t>
            </w:r>
            <w:r>
              <w:rPr>
                <w:rFonts w:hint="eastAsia" w:asciiTheme="minorHAnsi" w:hAnsiTheme="minorHAnsi" w:cstheme="minorHAnsi"/>
                <w:color w:val="auto"/>
                <w:kern w:val="0"/>
                <w:sz w:val="22"/>
              </w:rPr>
              <w:t>由</w:t>
            </w:r>
            <w:r>
              <w:rPr>
                <w:rFonts w:asciiTheme="minorHAnsi" w:hAnsiTheme="minorHAnsi" w:cstheme="minorHAnsi"/>
                <w:color w:val="auto"/>
                <w:kern w:val="0"/>
                <w:sz w:val="22"/>
              </w:rPr>
              <w:t>电绝缘层隔开。</w:t>
            </w:r>
          </w:p>
          <w:p w14:paraId="2CF44680">
            <w:pPr>
              <w:spacing w:line="300" w:lineRule="exact"/>
              <w:ind w:firstLine="440" w:firstLineChars="200"/>
              <w:rPr>
                <w:rFonts w:asciiTheme="minorHAnsi" w:hAnsiTheme="minorHAnsi" w:cstheme="minorHAnsi"/>
                <w:color w:val="auto"/>
                <w:kern w:val="0"/>
                <w:sz w:val="22"/>
              </w:rPr>
            </w:pPr>
          </w:p>
        </w:tc>
        <w:tc>
          <w:tcPr>
            <w:tcW w:w="2126" w:type="dxa"/>
            <w:tcBorders>
              <w:top w:val="single" w:color="auto" w:sz="4" w:space="0"/>
              <w:left w:val="single" w:color="auto" w:sz="4" w:space="0"/>
              <w:bottom w:val="single" w:color="auto" w:sz="4" w:space="0"/>
              <w:right w:val="single" w:color="auto" w:sz="4" w:space="0"/>
            </w:tcBorders>
          </w:tcPr>
          <w:p w14:paraId="324162A2">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软磁复合材料</w:t>
            </w:r>
          </w:p>
          <w:p w14:paraId="1171BB4B">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SMC</w:t>
            </w:r>
          </w:p>
          <w:p w14:paraId="532AE8F0">
            <w:pPr>
              <w:spacing w:line="300" w:lineRule="exact"/>
              <w:rPr>
                <w:rFonts w:asciiTheme="minorHAnsi" w:hAnsiTheme="minorHAnsi" w:cstheme="minorHAnsi"/>
                <w:color w:val="auto"/>
                <w:sz w:val="22"/>
              </w:rPr>
            </w:pPr>
            <w:r>
              <w:rPr>
                <w:rFonts w:asciiTheme="minorHAnsi" w:hAnsiTheme="minorHAnsi" w:cstheme="minorHAnsi"/>
                <w:color w:val="auto"/>
                <w:kern w:val="0"/>
                <w:sz w:val="22"/>
              </w:rPr>
              <w:t>压实的粉末冶金产品，其中每个铁粉颗粒被电绝缘层隔开</w:t>
            </w:r>
          </w:p>
        </w:tc>
        <w:tc>
          <w:tcPr>
            <w:tcW w:w="1985" w:type="dxa"/>
            <w:tcBorders>
              <w:top w:val="single" w:color="auto" w:sz="4" w:space="0"/>
              <w:left w:val="single" w:color="auto" w:sz="4" w:space="0"/>
              <w:bottom w:val="single" w:color="auto" w:sz="4" w:space="0"/>
              <w:right w:val="single" w:color="auto" w:sz="4" w:space="0"/>
            </w:tcBorders>
          </w:tcPr>
          <w:p w14:paraId="30371DF9">
            <w:pPr>
              <w:spacing w:line="300" w:lineRule="exact"/>
              <w:rPr>
                <w:rFonts w:asciiTheme="minorHAnsi" w:hAnsiTheme="minorHAnsi" w:cstheme="minorHAnsi"/>
                <w:color w:val="auto"/>
                <w:kern w:val="0"/>
                <w:sz w:val="22"/>
              </w:rPr>
            </w:pPr>
            <w:r>
              <w:rPr>
                <w:rFonts w:asciiTheme="minorHAnsi" w:hAnsiTheme="minorHAnsi" w:cstheme="minorHAnsi"/>
                <w:color w:val="auto"/>
                <w:kern w:val="0"/>
                <w:sz w:val="22"/>
              </w:rPr>
              <w:t>软磁复合材料  压实的粉末冶金制品，其中单个铁粉颗粒通过电绝缘层隔开。</w:t>
            </w:r>
          </w:p>
          <w:p w14:paraId="4D85AAAE">
            <w:pPr>
              <w:spacing w:line="300" w:lineRule="exact"/>
              <w:rPr>
                <w:rFonts w:asciiTheme="minorHAnsi" w:hAnsiTheme="minorHAnsi" w:cstheme="minorHAnsi"/>
                <w:color w:val="auto"/>
                <w:kern w:val="0"/>
                <w:sz w:val="22"/>
              </w:rPr>
            </w:pPr>
          </w:p>
        </w:tc>
      </w:tr>
    </w:tbl>
    <w:p w14:paraId="5B9D394C">
      <w:pPr>
        <w:spacing w:line="300" w:lineRule="exact"/>
        <w:rPr>
          <w:rFonts w:asciiTheme="minorHAnsi" w:hAnsiTheme="minorHAnsi" w:cstheme="minorHAnsi"/>
          <w:color w:val="auto"/>
          <w:sz w:val="22"/>
        </w:rPr>
      </w:pPr>
    </w:p>
    <w:p w14:paraId="7DB29393">
      <w:pPr>
        <w:spacing w:line="300" w:lineRule="exact"/>
        <w:rPr>
          <w:rFonts w:asciiTheme="minorHAnsi" w:hAnsiTheme="minorHAnsi" w:cstheme="minorHAnsi"/>
          <w:color w:val="auto"/>
          <w:sz w:val="22"/>
        </w:rPr>
      </w:pPr>
    </w:p>
    <w:p w14:paraId="5BA1A4B7">
      <w:pPr>
        <w:spacing w:line="300" w:lineRule="exact"/>
        <w:rPr>
          <w:rFonts w:asciiTheme="minorHAnsi" w:hAnsiTheme="minorHAnsi" w:cstheme="minorHAnsi"/>
          <w:color w:val="auto"/>
          <w:sz w:val="22"/>
        </w:rPr>
      </w:pPr>
    </w:p>
    <w:p w14:paraId="16DFF02E">
      <w:pPr>
        <w:spacing w:line="300" w:lineRule="exact"/>
        <w:rPr>
          <w:rFonts w:asciiTheme="minorHAnsi" w:hAnsiTheme="minorHAnsi" w:cstheme="minorHAnsi"/>
          <w:color w:val="auto"/>
          <w:sz w:val="22"/>
        </w:rPr>
      </w:pPr>
    </w:p>
    <w:p w14:paraId="10B003DA">
      <w:pPr>
        <w:spacing w:line="300" w:lineRule="exact"/>
        <w:rPr>
          <w:rFonts w:ascii="宋体" w:hAnsi="宋体" w:cstheme="minorHAnsi"/>
          <w:color w:val="auto"/>
          <w:sz w:val="28"/>
          <w:szCs w:val="28"/>
        </w:rPr>
      </w:pPr>
      <w:r>
        <w:rPr>
          <w:rFonts w:hint="eastAsia" w:ascii="宋体" w:hAnsi="宋体" w:cstheme="minorHAnsi"/>
          <w:color w:val="auto"/>
          <w:sz w:val="28"/>
          <w:szCs w:val="28"/>
        </w:rPr>
        <w:t>附表2</w:t>
      </w:r>
    </w:p>
    <w:p w14:paraId="352CFAF2">
      <w:pPr>
        <w:spacing w:line="300" w:lineRule="exact"/>
        <w:jc w:val="center"/>
        <w:rPr>
          <w:rFonts w:ascii="宋体" w:hAnsi="宋体" w:cstheme="minorHAnsi"/>
          <w:b/>
          <w:color w:val="auto"/>
          <w:sz w:val="28"/>
          <w:szCs w:val="28"/>
        </w:rPr>
      </w:pPr>
      <w:r>
        <w:rPr>
          <w:rFonts w:hint="eastAsia" w:ascii="宋体" w:hAnsi="宋体" w:cstheme="minorHAnsi"/>
          <w:b/>
          <w:color w:val="auto"/>
          <w:sz w:val="28"/>
          <w:szCs w:val="28"/>
        </w:rPr>
        <w:t>修 改 词 条</w:t>
      </w:r>
    </w:p>
    <w:tbl>
      <w:tblPr>
        <w:tblStyle w:val="10"/>
        <w:tblW w:w="16316" w:type="dxa"/>
        <w:jc w:val="center"/>
        <w:tblLayout w:type="fixed"/>
        <w:tblCellMar>
          <w:top w:w="0" w:type="dxa"/>
          <w:left w:w="108" w:type="dxa"/>
          <w:bottom w:w="0" w:type="dxa"/>
          <w:right w:w="108" w:type="dxa"/>
        </w:tblCellMar>
      </w:tblPr>
      <w:tblGrid>
        <w:gridCol w:w="875"/>
        <w:gridCol w:w="2121"/>
        <w:gridCol w:w="1980"/>
        <w:gridCol w:w="3832"/>
        <w:gridCol w:w="2841"/>
        <w:gridCol w:w="2503"/>
        <w:gridCol w:w="2164"/>
      </w:tblGrid>
      <w:tr w14:paraId="1C99C39E">
        <w:tblPrEx>
          <w:tblCellMar>
            <w:top w:w="0" w:type="dxa"/>
            <w:left w:w="108" w:type="dxa"/>
            <w:bottom w:w="0" w:type="dxa"/>
            <w:right w:w="108" w:type="dxa"/>
          </w:tblCellMar>
        </w:tblPrEx>
        <w:trPr>
          <w:trHeight w:val="940"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vAlign w:val="center"/>
          </w:tcPr>
          <w:p w14:paraId="53E61ADB">
            <w:pPr>
              <w:spacing w:line="300" w:lineRule="exact"/>
              <w:jc w:val="center"/>
              <w:rPr>
                <w:rFonts w:asciiTheme="minorHAnsi" w:hAnsiTheme="minorHAnsi" w:cstheme="minorHAnsi"/>
                <w:color w:val="auto"/>
                <w:kern w:val="0"/>
                <w:szCs w:val="21"/>
              </w:rPr>
            </w:pPr>
            <w:bookmarkStart w:id="51" w:name="_Hlk224307922"/>
            <w:r>
              <w:rPr>
                <w:rFonts w:asciiTheme="minorHAnsi" w:hAnsiTheme="minorHAnsi" w:cstheme="minorHAnsi"/>
                <w:color w:val="auto"/>
                <w:kern w:val="0"/>
                <w:szCs w:val="21"/>
              </w:rPr>
              <w:t>词条号</w:t>
            </w:r>
          </w:p>
        </w:tc>
        <w:tc>
          <w:tcPr>
            <w:tcW w:w="2121" w:type="dxa"/>
            <w:tcBorders>
              <w:top w:val="single" w:color="auto" w:sz="4" w:space="0"/>
              <w:left w:val="single" w:color="auto" w:sz="4" w:space="0"/>
              <w:bottom w:val="single" w:color="auto" w:sz="4" w:space="0"/>
              <w:right w:val="single" w:color="auto" w:sz="4" w:space="0"/>
            </w:tcBorders>
            <w:shd w:val="clear" w:color="auto" w:fill="auto"/>
            <w:vAlign w:val="center"/>
          </w:tcPr>
          <w:p w14:paraId="3DA12C62">
            <w:pPr>
              <w:spacing w:line="300" w:lineRule="exact"/>
              <w:jc w:val="center"/>
              <w:rPr>
                <w:rFonts w:asciiTheme="minorHAnsi" w:hAnsiTheme="minorHAnsi" w:cstheme="minorHAnsi"/>
                <w:color w:val="auto"/>
                <w:kern w:val="0"/>
                <w:szCs w:val="21"/>
              </w:rPr>
            </w:pPr>
            <w:r>
              <w:rPr>
                <w:rFonts w:asciiTheme="minorHAnsi" w:hAnsiTheme="minorHAnsi" w:cstheme="minorHAnsi"/>
                <w:color w:val="auto"/>
                <w:kern w:val="0"/>
                <w:szCs w:val="21"/>
              </w:rPr>
              <w:t>2008版英文内容</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6B3089DC">
            <w:pPr>
              <w:spacing w:line="300" w:lineRule="exact"/>
              <w:jc w:val="center"/>
              <w:rPr>
                <w:rFonts w:asciiTheme="minorHAnsi" w:hAnsiTheme="minorHAnsi" w:cstheme="minorHAnsi"/>
                <w:color w:val="auto"/>
                <w:szCs w:val="21"/>
              </w:rPr>
            </w:pPr>
            <w:r>
              <w:rPr>
                <w:rFonts w:asciiTheme="minorHAnsi" w:hAnsiTheme="minorHAnsi" w:cstheme="minorHAnsi"/>
                <w:color w:val="auto"/>
                <w:kern w:val="0"/>
                <w:szCs w:val="21"/>
              </w:rPr>
              <w:t>2008版中文</w:t>
            </w:r>
          </w:p>
        </w:tc>
        <w:tc>
          <w:tcPr>
            <w:tcW w:w="3832" w:type="dxa"/>
            <w:tcBorders>
              <w:top w:val="single" w:color="auto" w:sz="4" w:space="0"/>
              <w:left w:val="single" w:color="auto" w:sz="4" w:space="0"/>
              <w:bottom w:val="single" w:color="auto" w:sz="4" w:space="0"/>
              <w:right w:val="single" w:color="auto" w:sz="4" w:space="0"/>
            </w:tcBorders>
            <w:shd w:val="clear" w:color="auto" w:fill="auto"/>
            <w:vAlign w:val="center"/>
          </w:tcPr>
          <w:p w14:paraId="4025AA18">
            <w:pPr>
              <w:spacing w:line="300" w:lineRule="exact"/>
              <w:jc w:val="center"/>
              <w:rPr>
                <w:rFonts w:asciiTheme="minorHAnsi" w:hAnsiTheme="minorHAnsi" w:cstheme="minorHAnsi"/>
                <w:color w:val="auto"/>
                <w:kern w:val="0"/>
                <w:szCs w:val="21"/>
              </w:rPr>
            </w:pPr>
            <w:r>
              <w:rPr>
                <w:rFonts w:asciiTheme="minorHAnsi" w:hAnsiTheme="minorHAnsi" w:cstheme="minorHAnsi"/>
                <w:color w:val="auto"/>
                <w:kern w:val="0"/>
                <w:szCs w:val="21"/>
              </w:rPr>
              <w:t>英文内容</w:t>
            </w:r>
          </w:p>
        </w:tc>
        <w:tc>
          <w:tcPr>
            <w:tcW w:w="2841" w:type="dxa"/>
            <w:tcBorders>
              <w:top w:val="single" w:color="auto" w:sz="4" w:space="0"/>
              <w:left w:val="single" w:color="auto" w:sz="4" w:space="0"/>
              <w:bottom w:val="single" w:color="auto" w:sz="4" w:space="0"/>
              <w:right w:val="single" w:color="auto" w:sz="4" w:space="0"/>
            </w:tcBorders>
            <w:shd w:val="clear" w:color="auto" w:fill="DEEBF6"/>
            <w:vAlign w:val="center"/>
          </w:tcPr>
          <w:p w14:paraId="7FFB2738">
            <w:pPr>
              <w:spacing w:line="300" w:lineRule="exact"/>
              <w:jc w:val="center"/>
              <w:rPr>
                <w:rFonts w:asciiTheme="minorHAnsi" w:hAnsiTheme="minorHAnsi" w:cstheme="minorHAnsi"/>
                <w:color w:val="auto"/>
                <w:kern w:val="0"/>
                <w:szCs w:val="21"/>
              </w:rPr>
            </w:pPr>
            <w:r>
              <w:rPr>
                <w:rFonts w:hint="eastAsia" w:asciiTheme="minorHAnsi" w:hAnsiTheme="minorHAnsi" w:cstheme="minorHAnsi"/>
                <w:color w:val="auto"/>
                <w:kern w:val="0"/>
                <w:szCs w:val="21"/>
              </w:rPr>
              <w:t>最终讨论定稿</w:t>
            </w:r>
          </w:p>
        </w:tc>
        <w:tc>
          <w:tcPr>
            <w:tcW w:w="4667" w:type="dxa"/>
            <w:gridSpan w:val="2"/>
            <w:tcBorders>
              <w:top w:val="single" w:color="auto" w:sz="4" w:space="0"/>
              <w:left w:val="single" w:color="auto" w:sz="4" w:space="0"/>
              <w:bottom w:val="single" w:color="auto" w:sz="4" w:space="0"/>
              <w:right w:val="single" w:color="auto" w:sz="4" w:space="0"/>
            </w:tcBorders>
            <w:vAlign w:val="center"/>
          </w:tcPr>
          <w:p w14:paraId="611C7AA4">
            <w:pPr>
              <w:spacing w:line="300" w:lineRule="exact"/>
              <w:jc w:val="center"/>
              <w:rPr>
                <w:rFonts w:asciiTheme="minorHAnsi" w:hAnsiTheme="minorHAnsi" w:cstheme="minorHAnsi"/>
                <w:color w:val="auto"/>
                <w:kern w:val="0"/>
                <w:szCs w:val="21"/>
              </w:rPr>
            </w:pPr>
            <w:r>
              <w:rPr>
                <w:rFonts w:asciiTheme="minorHAnsi" w:hAnsiTheme="minorHAnsi" w:cstheme="minorHAnsi"/>
                <w:color w:val="auto"/>
                <w:kern w:val="0"/>
                <w:szCs w:val="21"/>
              </w:rPr>
              <w:t>其他单位</w:t>
            </w:r>
            <w:r>
              <w:rPr>
                <w:rFonts w:hint="eastAsia" w:asciiTheme="minorHAnsi" w:hAnsiTheme="minorHAnsi" w:cstheme="minorHAnsi"/>
                <w:color w:val="auto"/>
                <w:kern w:val="0"/>
                <w:szCs w:val="21"/>
              </w:rPr>
              <w:t>意见</w:t>
            </w:r>
          </w:p>
        </w:tc>
      </w:tr>
      <w:tr w14:paraId="541A00C3">
        <w:tblPrEx>
          <w:tblCellMar>
            <w:top w:w="0" w:type="dxa"/>
            <w:left w:w="108" w:type="dxa"/>
            <w:bottom w:w="0" w:type="dxa"/>
            <w:right w:w="108" w:type="dxa"/>
          </w:tblCellMar>
        </w:tblPrEx>
        <w:trPr>
          <w:trHeight w:val="633" w:hRule="atLeast"/>
          <w:jc w:val="center"/>
        </w:trPr>
        <w:tc>
          <w:tcPr>
            <w:tcW w:w="16316" w:type="dxa"/>
            <w:gridSpan w:val="7"/>
            <w:tcBorders>
              <w:top w:val="single" w:color="auto" w:sz="4" w:space="0"/>
              <w:left w:val="single" w:color="auto" w:sz="4" w:space="0"/>
              <w:bottom w:val="single" w:color="auto" w:sz="4" w:space="0"/>
              <w:right w:val="single" w:color="auto" w:sz="4" w:space="0"/>
            </w:tcBorders>
            <w:vAlign w:val="center"/>
          </w:tcPr>
          <w:p w14:paraId="51F2364D">
            <w:pPr>
              <w:spacing w:line="300" w:lineRule="exact"/>
              <w:jc w:val="left"/>
              <w:rPr>
                <w:rFonts w:asciiTheme="minorHAnsi" w:hAnsiTheme="minorHAnsi" w:cstheme="minorHAnsi"/>
                <w:color w:val="auto"/>
                <w:kern w:val="0"/>
                <w:szCs w:val="21"/>
              </w:rPr>
            </w:pPr>
            <w:r>
              <w:rPr>
                <w:rFonts w:asciiTheme="minorHAnsi" w:hAnsiTheme="minorHAnsi" w:cstheme="minorHAnsi"/>
                <w:b/>
                <w:bCs/>
                <w:color w:val="auto"/>
                <w:kern w:val="0"/>
                <w:szCs w:val="21"/>
              </w:rPr>
              <w:t>3.1修改22条术语及定义</w:t>
            </w:r>
          </w:p>
        </w:tc>
      </w:tr>
      <w:tr w14:paraId="6417C99F">
        <w:tblPrEx>
          <w:tblCellMar>
            <w:top w:w="0" w:type="dxa"/>
            <w:left w:w="108" w:type="dxa"/>
            <w:bottom w:w="0" w:type="dxa"/>
            <w:right w:w="108" w:type="dxa"/>
          </w:tblCellMar>
        </w:tblPrEx>
        <w:trPr>
          <w:trHeight w:val="1519"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049C1C0D">
            <w:pPr>
              <w:spacing w:line="300" w:lineRule="exact"/>
              <w:jc w:val="left"/>
              <w:rPr>
                <w:rFonts w:asciiTheme="minorHAnsi" w:hAnsiTheme="minorHAnsi" w:cstheme="minorHAnsi"/>
                <w:color w:val="auto"/>
                <w:kern w:val="0"/>
                <w:szCs w:val="21"/>
              </w:rPr>
            </w:pPr>
            <w:r>
              <w:rPr>
                <w:rFonts w:asciiTheme="minorHAnsi" w:hAnsiTheme="minorHAnsi" w:cstheme="minorHAnsi"/>
                <w:color w:val="auto"/>
                <w:szCs w:val="21"/>
              </w:rPr>
              <w:t>3.1.1</w:t>
            </w: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73ECBEB7">
            <w:pPr>
              <w:snapToGrid w:val="0"/>
              <w:spacing w:before="120" w:after="120" w:line="300" w:lineRule="exact"/>
              <w:jc w:val="left"/>
              <w:rPr>
                <w:rFonts w:asciiTheme="minorHAnsi" w:hAnsiTheme="minorHAnsi" w:cstheme="minorHAnsi"/>
                <w:b/>
                <w:bCs/>
                <w:color w:val="auto"/>
                <w:szCs w:val="21"/>
              </w:rPr>
            </w:pPr>
            <w:r>
              <w:rPr>
                <w:rFonts w:asciiTheme="minorHAnsi" w:hAnsiTheme="minorHAnsi" w:cstheme="minorHAnsi"/>
                <w:b/>
                <w:bCs/>
                <w:color w:val="auto"/>
                <w:szCs w:val="21"/>
              </w:rPr>
              <w:t xml:space="preserve">acicular  </w:t>
            </w:r>
          </w:p>
          <w:p w14:paraId="5C5D61D3">
            <w:pPr>
              <w:snapToGrid w:val="0"/>
              <w:spacing w:before="120" w:after="120" w:line="300" w:lineRule="exact"/>
              <w:jc w:val="left"/>
              <w:rPr>
                <w:rFonts w:asciiTheme="minorHAnsi" w:hAnsiTheme="minorHAnsi" w:cstheme="minorHAnsi"/>
                <w:color w:val="auto"/>
                <w:szCs w:val="21"/>
              </w:rPr>
            </w:pPr>
            <w:r>
              <w:rPr>
                <w:rFonts w:asciiTheme="minorHAnsi" w:hAnsiTheme="minorHAnsi" w:cstheme="minorHAnsi"/>
                <w:color w:val="auto"/>
                <w:szCs w:val="21"/>
              </w:rPr>
              <w:t xml:space="preserve">needle-shaped  </w:t>
            </w:r>
          </w:p>
          <w:p w14:paraId="057EB280">
            <w:pPr>
              <w:kinsoku w:val="0"/>
              <w:autoSpaceDE w:val="0"/>
              <w:autoSpaceDN w:val="0"/>
              <w:adjustRightInd w:val="0"/>
              <w:spacing w:before="1" w:line="300" w:lineRule="exact"/>
              <w:jc w:val="left"/>
              <w:textAlignment w:val="baseline"/>
              <w:rPr>
                <w:rFonts w:asciiTheme="minorHAnsi" w:hAnsiTheme="minorHAnsi" w:cstheme="minorHAnsi"/>
                <w:color w:val="auto"/>
                <w:kern w:val="0"/>
                <w:szCs w:val="21"/>
              </w:rPr>
            </w:pPr>
            <w:r>
              <w:rPr>
                <w:rFonts w:asciiTheme="minorHAnsi" w:hAnsiTheme="minorHAnsi" w:cstheme="minorHAnsi"/>
                <w:color w:val="auto"/>
                <w:szCs w:val="21"/>
              </w:rPr>
              <w:t>See Figure 2</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6892799E">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针状（acicular）：粉末颗粒似针状（见图2）</w:t>
            </w: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5650872D">
            <w:pPr>
              <w:kinsoku w:val="0"/>
              <w:autoSpaceDE w:val="0"/>
              <w:autoSpaceDN w:val="0"/>
              <w:adjustRightInd w:val="0"/>
              <w:snapToGrid w:val="0"/>
              <w:spacing w:line="300" w:lineRule="exact"/>
              <w:jc w:val="left"/>
              <w:textAlignment w:val="baseline"/>
              <w:outlineLvl w:val="2"/>
              <w:rPr>
                <w:rFonts w:asciiTheme="minorHAnsi" w:hAnsiTheme="minorHAnsi" w:cstheme="minorHAnsi"/>
                <w:color w:val="auto"/>
                <w:kern w:val="0"/>
                <w:szCs w:val="21"/>
              </w:rPr>
            </w:pPr>
            <w:r>
              <w:rPr>
                <w:rFonts w:asciiTheme="minorHAnsi" w:hAnsiTheme="minorHAnsi" w:cstheme="minorHAnsi"/>
                <w:b/>
                <w:color w:val="auto"/>
                <w:kern w:val="0"/>
                <w:szCs w:val="21"/>
              </w:rPr>
              <w:t>acicular,</w:t>
            </w:r>
            <w:r>
              <w:rPr>
                <w:rFonts w:asciiTheme="minorHAnsi" w:hAnsiTheme="minorHAnsi" w:cstheme="minorHAnsi"/>
                <w:color w:val="auto"/>
                <w:kern w:val="0"/>
                <w:szCs w:val="21"/>
              </w:rPr>
              <w:t xml:space="preserve"> adj.</w:t>
            </w:r>
          </w:p>
          <w:p w14:paraId="6A5EAEF3">
            <w:pPr>
              <w:kinsoku w:val="0"/>
              <w:autoSpaceDE w:val="0"/>
              <w:autoSpaceDN w:val="0"/>
              <w:adjustRightInd w:val="0"/>
              <w:snapToGrid w:val="0"/>
              <w:spacing w:before="1" w:line="300" w:lineRule="exact"/>
              <w:jc w:val="left"/>
              <w:textAlignment w:val="baseline"/>
              <w:rPr>
                <w:rFonts w:asciiTheme="minorHAnsi" w:hAnsiTheme="minorHAnsi" w:cstheme="minorHAnsi"/>
                <w:color w:val="auto"/>
                <w:kern w:val="0"/>
                <w:szCs w:val="21"/>
              </w:rPr>
            </w:pPr>
            <w:r>
              <w:rPr>
                <w:rFonts w:asciiTheme="minorHAnsi" w:hAnsiTheme="minorHAnsi" w:cstheme="minorHAnsi"/>
                <w:color w:val="auto"/>
                <w:kern w:val="0"/>
                <w:szCs w:val="21"/>
              </w:rPr>
              <w:t>needle-like particle form</w:t>
            </w:r>
          </w:p>
          <w:p w14:paraId="4D6A85CE">
            <w:pPr>
              <w:kinsoku w:val="0"/>
              <w:autoSpaceDE w:val="0"/>
              <w:autoSpaceDN w:val="0"/>
              <w:adjustRightInd w:val="0"/>
              <w:spacing w:before="1" w:line="300" w:lineRule="exact"/>
              <w:jc w:val="left"/>
              <w:textAlignment w:val="baseline"/>
              <w:rPr>
                <w:rFonts w:asciiTheme="minorHAnsi" w:hAnsiTheme="minorHAnsi" w:cstheme="minorHAnsi"/>
                <w:color w:val="auto"/>
                <w:kern w:val="0"/>
                <w:szCs w:val="21"/>
              </w:rPr>
            </w:pPr>
            <w:r>
              <w:rPr>
                <w:rFonts w:asciiTheme="minorHAnsi" w:hAnsiTheme="minorHAnsi" w:cstheme="minorHAnsi"/>
                <w:color w:val="auto"/>
                <w:kern w:val="0"/>
                <w:szCs w:val="21"/>
              </w:rPr>
              <w:t>Note 1 to entry: See Figure 1.</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0A9C0E66">
            <w:pPr>
              <w:pStyle w:val="58"/>
              <w:snapToGrid w:val="0"/>
              <w:spacing w:line="300" w:lineRule="exact"/>
              <w:jc w:val="left"/>
              <w:rPr>
                <w:rStyle w:val="54"/>
                <w:rFonts w:eastAsia="宋体" w:asciiTheme="minorHAnsi" w:hAnsiTheme="minorHAnsi" w:cstheme="minorHAnsi"/>
                <w:b w:val="0"/>
                <w:bCs w:val="0"/>
                <w:color w:val="auto"/>
                <w:szCs w:val="21"/>
              </w:rPr>
            </w:pPr>
            <w:r>
              <w:rPr>
                <w:rStyle w:val="54"/>
                <w:rFonts w:eastAsia="宋体" w:asciiTheme="minorHAnsi" w:hAnsiTheme="minorHAnsi" w:cstheme="minorHAnsi"/>
                <w:color w:val="auto"/>
                <w:szCs w:val="21"/>
              </w:rPr>
              <w:t xml:space="preserve">针状 </w:t>
            </w:r>
            <w:r>
              <w:rPr>
                <w:rFonts w:hint="eastAsia" w:eastAsia="宋体" w:asciiTheme="minorHAnsi" w:hAnsiTheme="minorHAnsi" w:cstheme="minorHAnsi"/>
                <w:color w:val="auto"/>
                <w:kern w:val="0"/>
                <w:szCs w:val="21"/>
              </w:rPr>
              <w:t>（</w:t>
            </w:r>
            <w:r>
              <w:rPr>
                <w:rFonts w:eastAsia="宋体" w:asciiTheme="minorHAnsi" w:hAnsiTheme="minorHAnsi" w:cstheme="minorHAnsi"/>
                <w:color w:val="auto"/>
                <w:kern w:val="0"/>
                <w:szCs w:val="21"/>
              </w:rPr>
              <w:t>形容词</w:t>
            </w:r>
            <w:r>
              <w:rPr>
                <w:rFonts w:hint="eastAsia" w:eastAsia="宋体" w:asciiTheme="minorHAnsi" w:hAnsiTheme="minorHAnsi" w:cstheme="minorHAnsi"/>
                <w:color w:val="auto"/>
                <w:kern w:val="0"/>
                <w:szCs w:val="21"/>
              </w:rPr>
              <w:t>）</w:t>
            </w:r>
            <w:r>
              <w:rPr>
                <w:rStyle w:val="54"/>
                <w:rFonts w:eastAsia="宋体" w:asciiTheme="minorHAnsi" w:hAnsiTheme="minorHAnsi" w:cstheme="minorHAnsi"/>
                <w:color w:val="auto"/>
                <w:szCs w:val="21"/>
              </w:rPr>
              <w:t xml:space="preserve"> acicular</w:t>
            </w:r>
          </w:p>
          <w:p w14:paraId="1FE11B60">
            <w:pPr>
              <w:snapToGrid w:val="0"/>
              <w:spacing w:line="300" w:lineRule="exact"/>
              <w:ind w:firstLine="420"/>
              <w:jc w:val="left"/>
              <w:rPr>
                <w:rStyle w:val="54"/>
                <w:rFonts w:asciiTheme="minorHAnsi" w:hAnsiTheme="minorHAnsi" w:cstheme="minorHAnsi"/>
                <w:b w:val="0"/>
                <w:bCs w:val="0"/>
                <w:color w:val="auto"/>
                <w:szCs w:val="21"/>
              </w:rPr>
            </w:pPr>
            <w:r>
              <w:rPr>
                <w:rStyle w:val="54"/>
                <w:rFonts w:asciiTheme="minorHAnsi" w:hAnsiTheme="minorHAnsi" w:cstheme="minorHAnsi"/>
                <w:color w:val="auto"/>
                <w:szCs w:val="21"/>
              </w:rPr>
              <w:t>粉末颗粒似针状。</w:t>
            </w:r>
          </w:p>
          <w:p w14:paraId="19E3EDD2">
            <w:pPr>
              <w:spacing w:line="300" w:lineRule="exact"/>
              <w:ind w:firstLine="420"/>
              <w:jc w:val="left"/>
              <w:rPr>
                <w:rFonts w:asciiTheme="minorHAnsi" w:hAnsiTheme="minorHAnsi" w:cstheme="minorHAnsi"/>
                <w:b/>
                <w:color w:val="auto"/>
                <w:kern w:val="0"/>
                <w:szCs w:val="21"/>
              </w:rPr>
            </w:pPr>
            <w:r>
              <w:rPr>
                <w:rStyle w:val="54"/>
                <w:rFonts w:asciiTheme="minorHAnsi" w:hAnsiTheme="minorHAnsi" w:cstheme="minorHAnsi"/>
                <w:color w:val="auto"/>
                <w:szCs w:val="21"/>
              </w:rPr>
              <w:t>注</w:t>
            </w:r>
            <w:r>
              <w:rPr>
                <w:rStyle w:val="54"/>
                <w:rFonts w:hint="eastAsia" w:asciiTheme="minorHAnsi" w:hAnsiTheme="minorHAnsi" w:cstheme="minorHAnsi"/>
                <w:color w:val="auto"/>
                <w:szCs w:val="21"/>
              </w:rPr>
              <w:t>1</w:t>
            </w:r>
            <w:r>
              <w:rPr>
                <w:rStyle w:val="54"/>
                <w:rFonts w:asciiTheme="minorHAnsi" w:hAnsiTheme="minorHAnsi" w:cstheme="minorHAnsi"/>
                <w:color w:val="auto"/>
                <w:szCs w:val="21"/>
              </w:rPr>
              <w:t>：</w:t>
            </w:r>
            <w:r>
              <w:rPr>
                <w:rStyle w:val="54"/>
                <w:rFonts w:hint="eastAsia" w:asciiTheme="minorHAnsi" w:hAnsiTheme="minorHAnsi" w:cstheme="minorHAnsi"/>
                <w:color w:val="auto"/>
                <w:szCs w:val="21"/>
              </w:rPr>
              <w:t>见图1</w:t>
            </w:r>
            <w:r>
              <w:rPr>
                <w:rStyle w:val="54"/>
                <w:rFonts w:asciiTheme="minorHAnsi" w:hAnsiTheme="minorHAnsi" w:cstheme="minorHAnsi"/>
                <w:color w:val="auto"/>
                <w:szCs w:val="21"/>
              </w:rPr>
              <w:t>。</w:t>
            </w:r>
          </w:p>
        </w:tc>
        <w:tc>
          <w:tcPr>
            <w:tcW w:w="2503" w:type="dxa"/>
            <w:tcBorders>
              <w:top w:val="single" w:color="auto" w:sz="4" w:space="0"/>
              <w:left w:val="single" w:color="auto" w:sz="4" w:space="0"/>
              <w:bottom w:val="single" w:color="auto" w:sz="4" w:space="0"/>
              <w:right w:val="single" w:color="auto" w:sz="4" w:space="0"/>
            </w:tcBorders>
          </w:tcPr>
          <w:p w14:paraId="582750C1">
            <w:pPr>
              <w:snapToGrid w:val="0"/>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针状的</w:t>
            </w:r>
          </w:p>
          <w:p w14:paraId="7751D02E">
            <w:pPr>
              <w:snapToGrid w:val="0"/>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粉末颗粒形似针状</w:t>
            </w:r>
          </w:p>
          <w:p w14:paraId="18AC6D46">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注1：见图1</w:t>
            </w:r>
          </w:p>
        </w:tc>
        <w:tc>
          <w:tcPr>
            <w:tcW w:w="2164" w:type="dxa"/>
            <w:tcBorders>
              <w:top w:val="single" w:color="auto" w:sz="4" w:space="0"/>
              <w:left w:val="single" w:color="auto" w:sz="4" w:space="0"/>
              <w:bottom w:val="single" w:color="auto" w:sz="4" w:space="0"/>
              <w:right w:val="single" w:color="auto" w:sz="4" w:space="0"/>
            </w:tcBorders>
          </w:tcPr>
          <w:p w14:paraId="29E8D3F3">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针状，形容词</w:t>
            </w:r>
            <w:r>
              <w:rPr>
                <w:rFonts w:asciiTheme="minorHAnsi" w:hAnsiTheme="minorHAnsi" w:cstheme="minorHAnsi"/>
                <w:color w:val="auto"/>
                <w:kern w:val="0"/>
                <w:szCs w:val="21"/>
              </w:rPr>
              <w:br w:type="textWrapping"/>
            </w:r>
            <w:r>
              <w:rPr>
                <w:rFonts w:asciiTheme="minorHAnsi" w:hAnsiTheme="minorHAnsi" w:cstheme="minorHAnsi"/>
                <w:color w:val="auto"/>
                <w:kern w:val="0"/>
                <w:szCs w:val="21"/>
              </w:rPr>
              <w:t>针状颗粒</w:t>
            </w:r>
            <w:r>
              <w:rPr>
                <w:rFonts w:asciiTheme="minorHAnsi" w:hAnsiTheme="minorHAnsi" w:cstheme="minorHAnsi"/>
                <w:color w:val="auto"/>
                <w:kern w:val="0"/>
                <w:szCs w:val="21"/>
              </w:rPr>
              <w:br w:type="textWrapping"/>
            </w:r>
            <w:r>
              <w:rPr>
                <w:rFonts w:asciiTheme="minorHAnsi" w:hAnsiTheme="minorHAnsi" w:cstheme="minorHAnsi"/>
                <w:color w:val="auto"/>
                <w:kern w:val="0"/>
                <w:szCs w:val="21"/>
              </w:rPr>
              <w:br w:type="textWrapping"/>
            </w:r>
            <w:r>
              <w:rPr>
                <w:rFonts w:asciiTheme="minorHAnsi" w:hAnsiTheme="minorHAnsi" w:cstheme="minorHAnsi"/>
                <w:color w:val="auto"/>
                <w:kern w:val="0"/>
                <w:szCs w:val="21"/>
              </w:rPr>
              <w:t>注1：参见图1</w:t>
            </w:r>
          </w:p>
        </w:tc>
      </w:tr>
      <w:tr w14:paraId="0315D06A">
        <w:tblPrEx>
          <w:tblCellMar>
            <w:top w:w="0" w:type="dxa"/>
            <w:left w:w="108" w:type="dxa"/>
            <w:bottom w:w="0" w:type="dxa"/>
            <w:right w:w="108" w:type="dxa"/>
          </w:tblCellMar>
        </w:tblPrEx>
        <w:trPr>
          <w:trHeight w:val="2406"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7F9EC960">
            <w:pPr>
              <w:spacing w:line="300" w:lineRule="exact"/>
              <w:jc w:val="left"/>
              <w:rPr>
                <w:rFonts w:asciiTheme="minorHAnsi" w:hAnsiTheme="minorHAnsi" w:cstheme="minorHAnsi"/>
                <w:color w:val="auto"/>
                <w:kern w:val="0"/>
                <w:szCs w:val="21"/>
              </w:rPr>
            </w:pPr>
            <w:r>
              <w:rPr>
                <w:rFonts w:asciiTheme="minorHAnsi" w:hAnsiTheme="minorHAnsi" w:cstheme="minorHAnsi"/>
                <w:color w:val="auto"/>
                <w:szCs w:val="21"/>
              </w:rPr>
              <w:t>3.1.4</w:t>
            </w: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09A0684E">
            <w:pPr>
              <w:snapToGrid w:val="0"/>
              <w:spacing w:before="120" w:after="120" w:line="300" w:lineRule="exact"/>
              <w:jc w:val="left"/>
              <w:rPr>
                <w:rFonts w:asciiTheme="minorHAnsi" w:hAnsiTheme="minorHAnsi" w:cstheme="minorHAnsi"/>
                <w:b/>
                <w:bCs/>
                <w:color w:val="auto"/>
                <w:szCs w:val="21"/>
              </w:rPr>
            </w:pPr>
            <w:r>
              <w:rPr>
                <w:rFonts w:asciiTheme="minorHAnsi" w:hAnsiTheme="minorHAnsi" w:cstheme="minorHAnsi"/>
                <w:b/>
                <w:bCs/>
                <w:color w:val="auto"/>
                <w:szCs w:val="21"/>
              </w:rPr>
              <w:t xml:space="preserve">angle of repose  </w:t>
            </w:r>
          </w:p>
          <w:p w14:paraId="69CE38B2">
            <w:pPr>
              <w:kinsoku w:val="0"/>
              <w:autoSpaceDE w:val="0"/>
              <w:autoSpaceDN w:val="0"/>
              <w:adjustRightInd w:val="0"/>
              <w:spacing w:before="1" w:line="300" w:lineRule="exact"/>
              <w:jc w:val="left"/>
              <w:textAlignment w:val="baseline"/>
              <w:rPr>
                <w:rFonts w:asciiTheme="minorHAnsi" w:hAnsiTheme="minorHAnsi" w:cstheme="minorHAnsi"/>
                <w:color w:val="auto"/>
                <w:kern w:val="0"/>
                <w:szCs w:val="21"/>
              </w:rPr>
            </w:pPr>
            <w:r>
              <w:rPr>
                <w:rFonts w:asciiTheme="minorHAnsi" w:hAnsiTheme="minorHAnsi" w:cstheme="minorHAnsi"/>
                <w:color w:val="auto"/>
                <w:szCs w:val="21"/>
              </w:rPr>
              <w:t>basal angle of a pile formed by a powder when freely poured on to a horizontal surface</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276205FE">
            <w:pPr>
              <w:spacing w:line="300" w:lineRule="exact"/>
              <w:jc w:val="left"/>
              <w:rPr>
                <w:rFonts w:asciiTheme="minorHAnsi" w:hAnsiTheme="minorHAnsi" w:cstheme="minorHAnsi"/>
                <w:color w:val="auto"/>
                <w:kern w:val="0"/>
                <w:szCs w:val="21"/>
              </w:rPr>
            </w:pPr>
            <w:r>
              <w:rPr>
                <w:rFonts w:asciiTheme="minorHAnsi" w:hAnsiTheme="minorHAnsi" w:cstheme="minorHAnsi"/>
                <w:color w:val="auto"/>
                <w:szCs w:val="21"/>
              </w:rPr>
              <w:t>自然坡度角（angle of repose）：粉末自然堆积时形成的角锥体的斜面与水平面之间的夹角。</w:t>
            </w: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768CA861">
            <w:pPr>
              <w:kinsoku w:val="0"/>
              <w:autoSpaceDE w:val="0"/>
              <w:autoSpaceDN w:val="0"/>
              <w:adjustRightInd w:val="0"/>
              <w:snapToGrid w:val="0"/>
              <w:spacing w:line="300" w:lineRule="exact"/>
              <w:jc w:val="left"/>
              <w:textAlignment w:val="baseline"/>
              <w:outlineLvl w:val="2"/>
              <w:rPr>
                <w:rFonts w:asciiTheme="minorHAnsi" w:hAnsiTheme="minorHAnsi" w:cstheme="minorHAnsi"/>
                <w:b/>
                <w:color w:val="auto"/>
                <w:kern w:val="0"/>
                <w:szCs w:val="21"/>
              </w:rPr>
            </w:pPr>
            <w:r>
              <w:rPr>
                <w:rFonts w:asciiTheme="minorHAnsi" w:hAnsiTheme="minorHAnsi" w:cstheme="minorHAnsi"/>
                <w:b/>
                <w:color w:val="auto"/>
                <w:kern w:val="0"/>
                <w:szCs w:val="21"/>
              </w:rPr>
              <w:t>angle of repose</w:t>
            </w:r>
          </w:p>
          <w:p w14:paraId="0D24798B">
            <w:pPr>
              <w:kinsoku w:val="0"/>
              <w:autoSpaceDE w:val="0"/>
              <w:autoSpaceDN w:val="0"/>
              <w:adjustRightInd w:val="0"/>
              <w:spacing w:before="1" w:line="300" w:lineRule="exact"/>
              <w:jc w:val="left"/>
              <w:textAlignment w:val="baseline"/>
              <w:rPr>
                <w:rFonts w:asciiTheme="minorHAnsi" w:hAnsiTheme="minorHAnsi" w:cstheme="minorHAnsi"/>
                <w:color w:val="auto"/>
                <w:kern w:val="0"/>
                <w:szCs w:val="21"/>
              </w:rPr>
            </w:pPr>
            <w:r>
              <w:rPr>
                <w:rFonts w:asciiTheme="minorHAnsi" w:hAnsiTheme="minorHAnsi" w:cstheme="minorHAnsi"/>
                <w:color w:val="auto"/>
                <w:kern w:val="0"/>
                <w:szCs w:val="21"/>
              </w:rPr>
              <w:t>basal angle of a pile formed by a powder when freely poured under specified conditions on to a horizontal surface</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4B5776FA">
            <w:pPr>
              <w:pStyle w:val="58"/>
              <w:snapToGrid w:val="0"/>
              <w:spacing w:line="300" w:lineRule="exact"/>
              <w:jc w:val="left"/>
              <w:rPr>
                <w:rStyle w:val="54"/>
                <w:rFonts w:eastAsia="宋体" w:asciiTheme="minorHAnsi" w:hAnsiTheme="minorHAnsi" w:cstheme="minorHAnsi"/>
                <w:b w:val="0"/>
                <w:bCs w:val="0"/>
                <w:color w:val="auto"/>
                <w:szCs w:val="21"/>
              </w:rPr>
            </w:pPr>
            <w:r>
              <w:rPr>
                <w:rStyle w:val="54"/>
                <w:rFonts w:eastAsia="宋体" w:asciiTheme="minorHAnsi" w:hAnsiTheme="minorHAnsi" w:cstheme="minorHAnsi"/>
                <w:color w:val="auto"/>
                <w:szCs w:val="21"/>
              </w:rPr>
              <w:t>自然坡度角angle of repose</w:t>
            </w:r>
          </w:p>
          <w:p w14:paraId="757C3879">
            <w:pPr>
              <w:snapToGrid w:val="0"/>
              <w:spacing w:line="300" w:lineRule="exact"/>
              <w:ind w:firstLine="420"/>
              <w:jc w:val="left"/>
              <w:rPr>
                <w:rFonts w:asciiTheme="minorHAnsi" w:hAnsiTheme="minorHAnsi" w:cstheme="minorHAnsi"/>
                <w:color w:val="auto"/>
                <w:szCs w:val="21"/>
              </w:rPr>
            </w:pPr>
            <w:r>
              <w:rPr>
                <w:rFonts w:asciiTheme="minorHAnsi" w:hAnsiTheme="minorHAnsi" w:cstheme="minorHAnsi"/>
                <w:color w:val="auto"/>
                <w:kern w:val="0"/>
                <w:szCs w:val="21"/>
              </w:rPr>
              <w:t>在规定条件下，</w:t>
            </w:r>
            <w:r>
              <w:rPr>
                <w:rFonts w:asciiTheme="minorHAnsi" w:hAnsiTheme="minorHAnsi" w:cstheme="minorHAnsi"/>
                <w:color w:val="auto"/>
                <w:szCs w:val="21"/>
              </w:rPr>
              <w:t>粉末自然堆积时形成的角锥体的斜面与水平面之间的夹角。</w:t>
            </w:r>
          </w:p>
          <w:p w14:paraId="398F6A20">
            <w:pPr>
              <w:spacing w:line="300" w:lineRule="exact"/>
              <w:ind w:firstLine="420"/>
              <w:jc w:val="left"/>
              <w:rPr>
                <w:rFonts w:asciiTheme="minorHAnsi" w:hAnsiTheme="minorHAnsi" w:cstheme="minorHAnsi"/>
                <w:color w:val="auto"/>
                <w:kern w:val="0"/>
                <w:szCs w:val="21"/>
              </w:rPr>
            </w:pPr>
          </w:p>
        </w:tc>
        <w:tc>
          <w:tcPr>
            <w:tcW w:w="2503" w:type="dxa"/>
            <w:tcBorders>
              <w:top w:val="single" w:color="auto" w:sz="4" w:space="0"/>
              <w:left w:val="single" w:color="auto" w:sz="4" w:space="0"/>
              <w:bottom w:val="single" w:color="auto" w:sz="4" w:space="0"/>
              <w:right w:val="single" w:color="auto" w:sz="4" w:space="0"/>
            </w:tcBorders>
          </w:tcPr>
          <w:p w14:paraId="4DE72451">
            <w:pPr>
              <w:snapToGrid w:val="0"/>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自然坡度角</w:t>
            </w:r>
          </w:p>
          <w:p w14:paraId="37691756">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在规定条件下，粉末自由堆积在时形成的角锥体的斜面与水平面之间的夹角。</w:t>
            </w:r>
          </w:p>
        </w:tc>
        <w:tc>
          <w:tcPr>
            <w:tcW w:w="2164" w:type="dxa"/>
            <w:tcBorders>
              <w:top w:val="single" w:color="auto" w:sz="4" w:space="0"/>
              <w:left w:val="single" w:color="auto" w:sz="4" w:space="0"/>
              <w:bottom w:val="single" w:color="auto" w:sz="4" w:space="0"/>
              <w:right w:val="single" w:color="auto" w:sz="4" w:space="0"/>
            </w:tcBorders>
          </w:tcPr>
          <w:p w14:paraId="55B104E6">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自然坡度角</w:t>
            </w:r>
            <w:r>
              <w:rPr>
                <w:rFonts w:asciiTheme="minorHAnsi" w:hAnsiTheme="minorHAnsi" w:cstheme="minorHAnsi"/>
                <w:color w:val="auto"/>
                <w:kern w:val="0"/>
                <w:szCs w:val="21"/>
              </w:rPr>
              <w:br w:type="textWrapping"/>
            </w:r>
            <w:r>
              <w:rPr>
                <w:rFonts w:asciiTheme="minorHAnsi" w:hAnsiTheme="minorHAnsi" w:cstheme="minorHAnsi"/>
                <w:color w:val="auto"/>
                <w:kern w:val="0"/>
                <w:szCs w:val="21"/>
              </w:rPr>
              <w:t>粉末在特定条件下自由倾倒在水平面上所形成的料堆的底部角度</w:t>
            </w:r>
          </w:p>
        </w:tc>
      </w:tr>
      <w:tr w14:paraId="5A9D39C1">
        <w:tblPrEx>
          <w:tblCellMar>
            <w:top w:w="0" w:type="dxa"/>
            <w:left w:w="108" w:type="dxa"/>
            <w:bottom w:w="0" w:type="dxa"/>
            <w:right w:w="108" w:type="dxa"/>
          </w:tblCellMar>
        </w:tblPrEx>
        <w:trPr>
          <w:trHeight w:val="2936"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76E91259">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3.1.6</w:t>
            </w: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6671E81A">
            <w:pPr>
              <w:spacing w:before="120" w:after="120" w:line="300" w:lineRule="exact"/>
              <w:jc w:val="left"/>
              <w:rPr>
                <w:rFonts w:asciiTheme="minorHAnsi" w:hAnsiTheme="minorHAnsi" w:cstheme="minorHAnsi"/>
                <w:b/>
                <w:bCs/>
                <w:color w:val="auto"/>
                <w:kern w:val="0"/>
                <w:szCs w:val="21"/>
              </w:rPr>
            </w:pPr>
            <w:r>
              <w:rPr>
                <w:rFonts w:asciiTheme="minorHAnsi" w:hAnsiTheme="minorHAnsi" w:cstheme="minorHAnsi"/>
                <w:b/>
                <w:bCs/>
                <w:color w:val="auto"/>
                <w:kern w:val="0"/>
                <w:szCs w:val="21"/>
              </w:rPr>
              <w:t xml:space="preserve">apparent density  </w:t>
            </w:r>
          </w:p>
          <w:p w14:paraId="3AE22375">
            <w:pPr>
              <w:spacing w:before="120" w:after="120"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mass per unit volume of a powder obtained under specified conditions (e.g. as specified in ISO 3923-1 and ISO 3923-2 for free-flowing powders)</w:t>
            </w:r>
          </w:p>
          <w:p w14:paraId="10771C91">
            <w:pPr>
              <w:spacing w:before="120" w:after="120" w:line="300" w:lineRule="exact"/>
              <w:jc w:val="left"/>
              <w:rPr>
                <w:rFonts w:asciiTheme="minorHAnsi" w:hAnsiTheme="minorHAnsi" w:cstheme="minorHAnsi"/>
                <w:b/>
                <w:bCs/>
                <w:color w:val="auto"/>
                <w:kern w:val="0"/>
                <w:szCs w:val="21"/>
              </w:rPr>
            </w:pP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448FB114">
            <w:pPr>
              <w:spacing w:before="120" w:after="120"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松装密度（apparent density）：在规定条件下粉末自由填充单位容积的质量（见GB/T1479和GB/T5060）。</w:t>
            </w:r>
          </w:p>
          <w:p w14:paraId="57893444">
            <w:pPr>
              <w:spacing w:before="120" w:after="120" w:line="300" w:lineRule="exact"/>
              <w:jc w:val="left"/>
              <w:rPr>
                <w:rFonts w:asciiTheme="minorHAnsi" w:hAnsiTheme="minorHAnsi" w:cstheme="minorHAnsi"/>
                <w:color w:val="auto"/>
                <w:kern w:val="0"/>
                <w:szCs w:val="21"/>
              </w:rPr>
            </w:pP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45A6F30A">
            <w:pPr>
              <w:pStyle w:val="56"/>
              <w:spacing w:line="300" w:lineRule="exact"/>
              <w:rPr>
                <w:rFonts w:eastAsia="宋体" w:asciiTheme="minorHAnsi" w:hAnsiTheme="minorHAnsi" w:cstheme="minorHAnsi"/>
                <w:color w:val="auto"/>
                <w:sz w:val="21"/>
                <w:szCs w:val="21"/>
              </w:rPr>
            </w:pPr>
            <w:r>
              <w:rPr>
                <w:rFonts w:eastAsia="宋体" w:asciiTheme="minorHAnsi" w:hAnsiTheme="minorHAnsi" w:cstheme="minorHAnsi"/>
                <w:b/>
                <w:bCs/>
                <w:color w:val="auto"/>
                <w:sz w:val="21"/>
                <w:szCs w:val="21"/>
              </w:rPr>
              <w:t>apparent density</w:t>
            </w:r>
          </w:p>
          <w:p w14:paraId="30C69469">
            <w:pPr>
              <w:pStyle w:val="57"/>
              <w:spacing w:after="180" w:line="300" w:lineRule="exact"/>
              <w:rPr>
                <w:rFonts w:eastAsia="宋体" w:asciiTheme="minorHAnsi" w:hAnsiTheme="minorHAnsi" w:cstheme="minorHAnsi"/>
                <w:color w:val="auto"/>
                <w:sz w:val="21"/>
                <w:szCs w:val="21"/>
              </w:rPr>
            </w:pPr>
            <w:r>
              <w:rPr>
                <w:rFonts w:eastAsia="宋体" w:asciiTheme="minorHAnsi" w:hAnsiTheme="minorHAnsi" w:cstheme="minorHAnsi"/>
                <w:color w:val="auto"/>
                <w:sz w:val="21"/>
                <w:szCs w:val="21"/>
              </w:rPr>
              <w:t>mass per unit volume of a powder obtained following specific methods</w:t>
            </w:r>
          </w:p>
          <w:p w14:paraId="4D384873">
            <w:pPr>
              <w:pStyle w:val="56"/>
              <w:spacing w:line="300" w:lineRule="exact"/>
              <w:rPr>
                <w:rFonts w:eastAsia="宋体" w:asciiTheme="minorHAnsi" w:hAnsiTheme="minorHAnsi" w:cstheme="minorHAnsi"/>
                <w:b/>
                <w:bCs/>
                <w:color w:val="auto"/>
                <w:sz w:val="21"/>
                <w:szCs w:val="21"/>
              </w:rPr>
            </w:pPr>
            <w:r>
              <w:rPr>
                <w:rFonts w:eastAsia="宋体" w:asciiTheme="minorHAnsi" w:hAnsiTheme="minorHAnsi" w:cstheme="minorHAnsi"/>
                <w:color w:val="auto"/>
                <w:szCs w:val="21"/>
              </w:rPr>
              <w:t>Note 1 to entry: For example, ISO 3923-1 related to free-flowing powders and ISO 3923-2 related to non-free-flowing powders</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0340487C">
            <w:pPr>
              <w:pStyle w:val="58"/>
              <w:spacing w:line="300" w:lineRule="exact"/>
              <w:jc w:val="left"/>
              <w:rPr>
                <w:rStyle w:val="54"/>
                <w:rFonts w:eastAsia="宋体" w:asciiTheme="minorHAnsi" w:hAnsiTheme="minorHAnsi" w:cstheme="minorHAnsi"/>
                <w:b w:val="0"/>
                <w:bCs w:val="0"/>
                <w:color w:val="auto"/>
                <w:kern w:val="0"/>
                <w:szCs w:val="21"/>
              </w:rPr>
            </w:pPr>
            <w:r>
              <w:rPr>
                <w:rStyle w:val="54"/>
                <w:rFonts w:eastAsia="宋体" w:asciiTheme="minorHAnsi" w:hAnsiTheme="minorHAnsi" w:cstheme="minorHAnsi"/>
                <w:color w:val="auto"/>
                <w:kern w:val="0"/>
                <w:szCs w:val="21"/>
              </w:rPr>
              <w:t>松装密度  apparent density</w:t>
            </w:r>
          </w:p>
          <w:p w14:paraId="54297551">
            <w:pPr>
              <w:spacing w:line="300" w:lineRule="exact"/>
              <w:ind w:firstLine="420"/>
              <w:jc w:val="left"/>
              <w:rPr>
                <w:rFonts w:asciiTheme="minorHAnsi" w:hAnsiTheme="minorHAnsi" w:cstheme="minorHAnsi"/>
                <w:color w:val="auto"/>
                <w:kern w:val="0"/>
                <w:szCs w:val="21"/>
              </w:rPr>
            </w:pPr>
            <w:r>
              <w:rPr>
                <w:rFonts w:asciiTheme="minorHAnsi" w:hAnsiTheme="minorHAnsi" w:cstheme="minorHAnsi"/>
                <w:color w:val="auto"/>
                <w:kern w:val="0"/>
                <w:szCs w:val="21"/>
              </w:rPr>
              <w:t>根据规定方法，粉末填充单位容积的质量。</w:t>
            </w:r>
          </w:p>
          <w:p w14:paraId="55868E13">
            <w:pPr>
              <w:pStyle w:val="58"/>
              <w:spacing w:line="300" w:lineRule="exact"/>
              <w:jc w:val="left"/>
              <w:rPr>
                <w:rStyle w:val="54"/>
                <w:rFonts w:eastAsia="宋体" w:asciiTheme="minorHAnsi" w:hAnsiTheme="minorHAnsi" w:cstheme="minorHAnsi"/>
                <w:b w:val="0"/>
                <w:bCs w:val="0"/>
                <w:color w:val="auto"/>
                <w:kern w:val="0"/>
                <w:szCs w:val="21"/>
              </w:rPr>
            </w:pPr>
            <w:r>
              <w:rPr>
                <w:rFonts w:eastAsia="宋体" w:asciiTheme="minorHAnsi" w:hAnsiTheme="minorHAnsi" w:cstheme="minorHAnsi"/>
                <w:color w:val="auto"/>
                <w:kern w:val="0"/>
                <w:szCs w:val="21"/>
              </w:rPr>
              <w:t>注1：例如，GB/T 1479.1适用于自由流动粉末，GB/T 1479.2适用于非自由流动粉末。</w:t>
            </w:r>
          </w:p>
        </w:tc>
        <w:tc>
          <w:tcPr>
            <w:tcW w:w="2503" w:type="dxa"/>
            <w:tcBorders>
              <w:top w:val="single" w:color="auto" w:sz="4" w:space="0"/>
              <w:left w:val="single" w:color="auto" w:sz="4" w:space="0"/>
              <w:bottom w:val="single" w:color="auto" w:sz="4" w:space="0"/>
              <w:right w:val="single" w:color="auto" w:sz="4" w:space="0"/>
            </w:tcBorders>
          </w:tcPr>
          <w:p w14:paraId="26056418">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松装密度</w:t>
            </w:r>
          </w:p>
          <w:p w14:paraId="37DDA37E">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在特定条件下，粉末填充单位容积的质量。</w:t>
            </w:r>
          </w:p>
          <w:p w14:paraId="4CD5EA25">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注：GB/T 1479.1-2011 金属粉末 松装密度的测定 第1部分：漏斗法</w:t>
            </w:r>
          </w:p>
          <w:p w14:paraId="45847152">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GB/T 1479.2-2011 金属粉末 松装密度的测定 第2部分：斯柯特容量计法</w:t>
            </w:r>
          </w:p>
        </w:tc>
        <w:tc>
          <w:tcPr>
            <w:tcW w:w="2164" w:type="dxa"/>
            <w:tcBorders>
              <w:top w:val="single" w:color="auto" w:sz="4" w:space="0"/>
              <w:left w:val="single" w:color="auto" w:sz="4" w:space="0"/>
              <w:bottom w:val="single" w:color="auto" w:sz="4" w:space="0"/>
              <w:right w:val="single" w:color="auto" w:sz="4" w:space="0"/>
            </w:tcBorders>
          </w:tcPr>
          <w:p w14:paraId="04FC3581">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松装密度</w:t>
            </w:r>
            <w:r>
              <w:rPr>
                <w:rFonts w:asciiTheme="minorHAnsi" w:hAnsiTheme="minorHAnsi" w:cstheme="minorHAnsi"/>
                <w:color w:val="auto"/>
                <w:kern w:val="0"/>
                <w:szCs w:val="21"/>
              </w:rPr>
              <w:br w:type="textWrapping"/>
            </w:r>
            <w:r>
              <w:rPr>
                <w:rFonts w:asciiTheme="minorHAnsi" w:hAnsiTheme="minorHAnsi" w:cstheme="minorHAnsi"/>
                <w:color w:val="auto"/>
                <w:kern w:val="0"/>
                <w:szCs w:val="21"/>
              </w:rPr>
              <w:t>采用特定方法获得的粉末单位体积的质量</w:t>
            </w:r>
            <w:r>
              <w:rPr>
                <w:rFonts w:asciiTheme="minorHAnsi" w:hAnsiTheme="minorHAnsi" w:cstheme="minorHAnsi"/>
                <w:color w:val="auto"/>
                <w:kern w:val="0"/>
                <w:szCs w:val="21"/>
              </w:rPr>
              <w:br w:type="textWrapping"/>
            </w:r>
            <w:r>
              <w:rPr>
                <w:rFonts w:asciiTheme="minorHAnsi" w:hAnsiTheme="minorHAnsi" w:cstheme="minorHAnsi"/>
                <w:color w:val="auto"/>
                <w:kern w:val="0"/>
                <w:szCs w:val="21"/>
              </w:rPr>
              <w:br w:type="textWrapping"/>
            </w:r>
            <w:r>
              <w:rPr>
                <w:rFonts w:asciiTheme="minorHAnsi" w:hAnsiTheme="minorHAnsi" w:cstheme="minorHAnsi"/>
                <w:color w:val="auto"/>
                <w:kern w:val="0"/>
                <w:szCs w:val="21"/>
              </w:rPr>
              <w:t>注1：例如，ISO 3923-1与自由流体粉末相关，ISO 3923-2与非自由流体粉末相关</w:t>
            </w:r>
          </w:p>
        </w:tc>
      </w:tr>
      <w:tr w14:paraId="0D4E2BDC">
        <w:tblPrEx>
          <w:tblCellMar>
            <w:top w:w="0" w:type="dxa"/>
            <w:left w:w="108" w:type="dxa"/>
            <w:bottom w:w="0" w:type="dxa"/>
            <w:right w:w="108" w:type="dxa"/>
          </w:tblCellMar>
        </w:tblPrEx>
        <w:trPr>
          <w:trHeight w:val="1381"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5CBD7B2D">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3.1.9</w:t>
            </w: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6C2B53EC">
            <w:pPr>
              <w:spacing w:before="120" w:after="120" w:line="300" w:lineRule="exact"/>
              <w:jc w:val="left"/>
              <w:rPr>
                <w:rFonts w:asciiTheme="minorHAnsi" w:hAnsiTheme="minorHAnsi" w:cstheme="minorHAnsi"/>
                <w:color w:val="auto"/>
                <w:kern w:val="0"/>
                <w:szCs w:val="21"/>
              </w:rPr>
            </w:pPr>
            <w:r>
              <w:rPr>
                <w:rFonts w:asciiTheme="minorHAnsi" w:hAnsiTheme="minorHAnsi" w:cstheme="minorHAnsi"/>
                <w:b/>
                <w:bCs/>
                <w:color w:val="auto"/>
                <w:kern w:val="0"/>
                <w:szCs w:val="21"/>
              </w:rPr>
              <w:t>binder</w:t>
            </w:r>
            <w:r>
              <w:rPr>
                <w:rFonts w:asciiTheme="minorHAnsi" w:hAnsiTheme="minorHAnsi" w:cstheme="minorHAnsi"/>
                <w:color w:val="auto"/>
                <w:kern w:val="0"/>
                <w:szCs w:val="21"/>
              </w:rPr>
              <w:t xml:space="preserve">  </w:t>
            </w:r>
          </w:p>
          <w:p w14:paraId="553F781F">
            <w:pPr>
              <w:spacing w:before="120" w:after="120"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substance added to a powder to increase the green strength of a compact to prevent demixing and dusting of the powder or to plasticize a powder and which is expelled before or during sintering</w:t>
            </w:r>
          </w:p>
          <w:p w14:paraId="7EF032F8">
            <w:pPr>
              <w:spacing w:line="300" w:lineRule="exact"/>
              <w:jc w:val="left"/>
              <w:rPr>
                <w:rFonts w:asciiTheme="minorHAnsi" w:hAnsiTheme="minorHAnsi" w:cstheme="minorHAnsi"/>
                <w:color w:val="auto"/>
                <w:szCs w:val="21"/>
              </w:rPr>
            </w:pP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5FE06202">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粘结剂（binder）：为了提高压坯的强度或防止粉末偏析而添加到粉末中的可在烧结前或烧结过程中除掉的物质。</w:t>
            </w: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3E1CC1C4">
            <w:pPr>
              <w:kinsoku w:val="0"/>
              <w:autoSpaceDE w:val="0"/>
              <w:autoSpaceDN w:val="0"/>
              <w:adjustRightInd w:val="0"/>
              <w:spacing w:line="300" w:lineRule="exact"/>
              <w:jc w:val="left"/>
              <w:textAlignment w:val="baseline"/>
              <w:outlineLvl w:val="2"/>
              <w:rPr>
                <w:rFonts w:asciiTheme="minorHAnsi" w:hAnsiTheme="minorHAnsi" w:cstheme="minorHAnsi"/>
                <w:b/>
                <w:color w:val="auto"/>
                <w:kern w:val="0"/>
                <w:szCs w:val="21"/>
              </w:rPr>
            </w:pPr>
            <w:r>
              <w:rPr>
                <w:rFonts w:asciiTheme="minorHAnsi" w:hAnsiTheme="minorHAnsi" w:cstheme="minorHAnsi"/>
                <w:b/>
                <w:color w:val="auto"/>
                <w:kern w:val="0"/>
                <w:szCs w:val="21"/>
              </w:rPr>
              <w:t>binder</w:t>
            </w:r>
          </w:p>
          <w:p w14:paraId="70424A47">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material added to the powder mix to increase the green strength (3.2.48) of the compact or to counteract dusting and segregation (3.1.75) of fine particulate mix constituents, and which is expelled during sintering</w:t>
            </w:r>
          </w:p>
          <w:p w14:paraId="3A2869F9">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Note 1 to entry: In hard metals, it is also used for material (binder metal, usually of lower melting point) added to a powder mixture for the specific purpose of cementing together powder particles which alone would not sinter into a strong body.</w:t>
            </w:r>
          </w:p>
          <w:p w14:paraId="3B7649C1">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Note 2 to entry: Cementing medium is also used in the field of hard metals.</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43F831DA">
            <w:pPr>
              <w:pStyle w:val="58"/>
              <w:spacing w:line="300" w:lineRule="exact"/>
              <w:jc w:val="left"/>
              <w:rPr>
                <w:rStyle w:val="54"/>
                <w:rFonts w:eastAsia="宋体" w:asciiTheme="minorHAnsi" w:hAnsiTheme="minorHAnsi" w:cstheme="minorHAnsi"/>
                <w:b w:val="0"/>
                <w:bCs w:val="0"/>
                <w:color w:val="auto"/>
                <w:kern w:val="0"/>
                <w:szCs w:val="21"/>
              </w:rPr>
            </w:pPr>
            <w:r>
              <w:rPr>
                <w:rStyle w:val="54"/>
                <w:rFonts w:eastAsia="宋体" w:asciiTheme="minorHAnsi" w:hAnsiTheme="minorHAnsi" w:cstheme="minorHAnsi"/>
                <w:color w:val="auto"/>
                <w:kern w:val="0"/>
                <w:szCs w:val="21"/>
              </w:rPr>
              <w:t>粘结剂  binder</w:t>
            </w:r>
          </w:p>
          <w:p w14:paraId="239D4FA4">
            <w:pPr>
              <w:spacing w:line="300" w:lineRule="exact"/>
              <w:ind w:firstLine="420"/>
              <w:jc w:val="left"/>
              <w:rPr>
                <w:rFonts w:ascii="Calibri" w:hAnsi="Calibri" w:cs="Calibri"/>
                <w:color w:val="auto"/>
                <w:kern w:val="0"/>
                <w:szCs w:val="21"/>
              </w:rPr>
            </w:pPr>
            <w:r>
              <w:rPr>
                <w:rFonts w:ascii="Calibri" w:hAnsi="Calibri" w:cs="Calibri"/>
                <w:color w:val="auto"/>
                <w:kern w:val="0"/>
                <w:szCs w:val="21"/>
              </w:rPr>
              <w:t>添加到粉末混合物中以提高</w:t>
            </w:r>
            <w:r>
              <w:rPr>
                <w:rFonts w:hint="eastAsia" w:ascii="Calibri" w:hAnsi="Calibri" w:cs="Calibri"/>
                <w:i/>
                <w:iCs/>
                <w:color w:val="auto"/>
                <w:kern w:val="0"/>
                <w:szCs w:val="21"/>
              </w:rPr>
              <w:t>生</w:t>
            </w:r>
            <w:r>
              <w:rPr>
                <w:rFonts w:ascii="Calibri" w:hAnsi="Calibri" w:cs="Calibri"/>
                <w:i/>
                <w:iCs/>
                <w:color w:val="auto"/>
                <w:kern w:val="0"/>
                <w:szCs w:val="21"/>
              </w:rPr>
              <w:t>坯的强度</w:t>
            </w:r>
            <w:r>
              <w:rPr>
                <w:rFonts w:ascii="Calibri" w:hAnsi="Calibri" w:cs="Calibri"/>
                <w:color w:val="auto"/>
                <w:kern w:val="0"/>
                <w:szCs w:val="21"/>
              </w:rPr>
              <w:t>（3.2.48），或防止</w:t>
            </w:r>
            <w:r>
              <w:rPr>
                <w:rFonts w:ascii="Calibri" w:hAnsi="Calibri" w:cs="Calibri"/>
                <w:i/>
                <w:iCs/>
                <w:color w:val="auto"/>
                <w:kern w:val="0"/>
                <w:szCs w:val="21"/>
              </w:rPr>
              <w:t>混合粉末</w:t>
            </w:r>
            <w:r>
              <w:rPr>
                <w:rFonts w:hint="eastAsia" w:ascii="Calibri" w:hAnsi="Calibri" w:cs="Calibri"/>
                <w:i/>
                <w:iCs/>
                <w:color w:val="auto"/>
                <w:kern w:val="0"/>
                <w:szCs w:val="21"/>
              </w:rPr>
              <w:t>中</w:t>
            </w:r>
            <w:r>
              <w:rPr>
                <w:rFonts w:ascii="Calibri" w:hAnsi="Calibri" w:cs="Calibri"/>
                <w:i/>
                <w:iCs/>
                <w:color w:val="auto"/>
                <w:kern w:val="0"/>
                <w:szCs w:val="21"/>
              </w:rPr>
              <w:t>细微组元</w:t>
            </w:r>
            <w:r>
              <w:rPr>
                <w:rFonts w:ascii="Calibri" w:hAnsi="Calibri" w:cs="Calibri"/>
                <w:color w:val="auto"/>
                <w:kern w:val="0"/>
                <w:szCs w:val="21"/>
              </w:rPr>
              <w:t>产生粉尘和偏析（3.1.75）的材料，该材料在烧结过程中被</w:t>
            </w:r>
            <w:r>
              <w:rPr>
                <w:rFonts w:hint="eastAsia" w:ascii="Calibri" w:hAnsi="Calibri" w:cs="Calibri"/>
                <w:i/>
                <w:iCs/>
                <w:color w:val="auto"/>
                <w:kern w:val="0"/>
                <w:szCs w:val="21"/>
                <w:highlight w:val="yellow"/>
              </w:rPr>
              <w:t>脱除</w:t>
            </w:r>
            <w:r>
              <w:rPr>
                <w:rFonts w:hint="eastAsia" w:ascii="Calibri" w:hAnsi="Calibri" w:cs="Calibri"/>
                <w:color w:val="auto"/>
                <w:kern w:val="0"/>
                <w:szCs w:val="21"/>
                <w:highlight w:val="yellow"/>
              </w:rPr>
              <w:t>。</w:t>
            </w:r>
          </w:p>
          <w:p w14:paraId="6504F914">
            <w:pPr>
              <w:spacing w:line="300" w:lineRule="exact"/>
              <w:ind w:firstLine="420"/>
              <w:jc w:val="left"/>
              <w:rPr>
                <w:rFonts w:asciiTheme="minorHAnsi" w:hAnsiTheme="minorHAnsi" w:cstheme="minorHAnsi"/>
                <w:color w:val="auto"/>
                <w:kern w:val="0"/>
                <w:szCs w:val="21"/>
              </w:rPr>
            </w:pPr>
            <w:r>
              <w:rPr>
                <w:rFonts w:asciiTheme="minorHAnsi" w:hAnsiTheme="minorHAnsi" w:cstheme="minorHAnsi"/>
                <w:color w:val="auto"/>
                <w:kern w:val="0"/>
                <w:szCs w:val="21"/>
              </w:rPr>
              <w:t>注1：在硬质合金领域，该术语指添加于粉末混合物中的材料（通常为低熔点的粘结金属），其特定作用是将无法单独烧结成坚固体的粉末颗粒粘结在一起。</w:t>
            </w:r>
          </w:p>
          <w:p w14:paraId="0AD45E71">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注2：在硬质合金领域，也使用“粘结相”这一术语</w:t>
            </w:r>
          </w:p>
        </w:tc>
        <w:tc>
          <w:tcPr>
            <w:tcW w:w="2503" w:type="dxa"/>
            <w:tcBorders>
              <w:top w:val="single" w:color="auto" w:sz="4" w:space="0"/>
              <w:left w:val="single" w:color="auto" w:sz="4" w:space="0"/>
              <w:bottom w:val="single" w:color="auto" w:sz="4" w:space="0"/>
              <w:right w:val="single" w:color="auto" w:sz="4" w:space="0"/>
            </w:tcBorders>
          </w:tcPr>
          <w:p w14:paraId="1037D74A">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粘结剂</w:t>
            </w:r>
          </w:p>
          <w:p w14:paraId="494AFB3D">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为提高粉状混合物的强度或防止微小颗粒混合物组分发生偏析而添加到粉末混合物中，可在烧结过程中被除掉的物质。</w:t>
            </w:r>
          </w:p>
          <w:p w14:paraId="5C952654">
            <w:pPr>
              <w:spacing w:line="300" w:lineRule="exact"/>
              <w:jc w:val="left"/>
              <w:rPr>
                <w:rFonts w:asciiTheme="minorHAnsi" w:hAnsiTheme="minorHAnsi" w:cstheme="minorHAnsi"/>
                <w:color w:val="auto"/>
                <w:kern w:val="0"/>
                <w:szCs w:val="21"/>
              </w:rPr>
            </w:pPr>
          </w:p>
          <w:p w14:paraId="60EC562E">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注1：在硬质金属中，它也被用于添加到粉末混合物中的材料（粘结剂金属，通常熔点较低），将单独不会烧结成坚固体的粉末颗粒粘合在一起。</w:t>
            </w:r>
          </w:p>
          <w:p w14:paraId="65B3119A">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注2：粘结介质也用于硬质金属领域。</w:t>
            </w:r>
          </w:p>
        </w:tc>
        <w:tc>
          <w:tcPr>
            <w:tcW w:w="2164" w:type="dxa"/>
            <w:tcBorders>
              <w:top w:val="single" w:color="auto" w:sz="4" w:space="0"/>
              <w:left w:val="single" w:color="auto" w:sz="4" w:space="0"/>
              <w:bottom w:val="single" w:color="auto" w:sz="4" w:space="0"/>
              <w:right w:val="single" w:color="auto" w:sz="4" w:space="0"/>
            </w:tcBorders>
          </w:tcPr>
          <w:p w14:paraId="21B73A8E">
            <w:pPr>
              <w:spacing w:line="300" w:lineRule="exact"/>
              <w:jc w:val="left"/>
              <w:rPr>
                <w:rFonts w:asciiTheme="minorHAnsi" w:hAnsiTheme="minorHAnsi" w:cstheme="minorHAnsi"/>
                <w:color w:val="auto"/>
                <w:kern w:val="0"/>
                <w:sz w:val="18"/>
                <w:szCs w:val="18"/>
              </w:rPr>
            </w:pPr>
            <w:r>
              <w:rPr>
                <w:rFonts w:asciiTheme="minorHAnsi" w:hAnsiTheme="minorHAnsi" w:cstheme="minorHAnsi"/>
                <w:color w:val="auto"/>
                <w:kern w:val="0"/>
                <w:sz w:val="18"/>
                <w:szCs w:val="18"/>
              </w:rPr>
              <w:t>粘结剂</w:t>
            </w:r>
            <w:r>
              <w:rPr>
                <w:rFonts w:asciiTheme="minorHAnsi" w:hAnsiTheme="minorHAnsi" w:cstheme="minorHAnsi"/>
                <w:color w:val="auto"/>
                <w:kern w:val="0"/>
                <w:sz w:val="18"/>
                <w:szCs w:val="18"/>
              </w:rPr>
              <w:br w:type="textWrapping"/>
            </w:r>
            <w:r>
              <w:rPr>
                <w:rFonts w:asciiTheme="minorHAnsi" w:hAnsiTheme="minorHAnsi" w:cstheme="minorHAnsi"/>
                <w:color w:val="auto"/>
                <w:kern w:val="0"/>
                <w:sz w:val="18"/>
                <w:szCs w:val="18"/>
              </w:rPr>
              <w:t>添加到粉末混合物中的材料，用于提高压坯的生坯强</w:t>
            </w:r>
            <w:r>
              <w:rPr>
                <w:rFonts w:hint="eastAsia" w:asciiTheme="minorHAnsi" w:hAnsiTheme="minorHAnsi" w:cstheme="minorHAnsi"/>
                <w:color w:val="auto"/>
                <w:kern w:val="0"/>
                <w:sz w:val="18"/>
                <w:szCs w:val="18"/>
              </w:rPr>
              <w:t>度（</w:t>
            </w:r>
            <w:r>
              <w:rPr>
                <w:rFonts w:asciiTheme="minorHAnsi" w:hAnsiTheme="minorHAnsi" w:cstheme="minorHAnsi"/>
                <w:color w:val="auto"/>
                <w:kern w:val="0"/>
                <w:sz w:val="18"/>
                <w:szCs w:val="18"/>
              </w:rPr>
              <w:t>3.2.48）或防止细颗粒混合组分的扬尘和偏析（3.1.75），并在烧结过程中排出</w:t>
            </w:r>
            <w:r>
              <w:rPr>
                <w:rFonts w:asciiTheme="minorHAnsi" w:hAnsiTheme="minorHAnsi" w:cstheme="minorHAnsi"/>
                <w:color w:val="auto"/>
                <w:kern w:val="0"/>
                <w:sz w:val="18"/>
                <w:szCs w:val="18"/>
              </w:rPr>
              <w:br w:type="textWrapping"/>
            </w:r>
            <w:r>
              <w:rPr>
                <w:rFonts w:asciiTheme="minorHAnsi" w:hAnsiTheme="minorHAnsi" w:cstheme="minorHAnsi"/>
                <w:color w:val="auto"/>
                <w:kern w:val="0"/>
                <w:sz w:val="18"/>
                <w:szCs w:val="18"/>
              </w:rPr>
              <w:t>注1：在硬质合金中，该术语也指为特定目的添加到粉末混合物中的材料（粘结金属，通常熔点较低），用于将那些本身无法烧结成坚固体的粉末颗粒粘结在一起</w:t>
            </w:r>
            <w:r>
              <w:rPr>
                <w:rFonts w:asciiTheme="minorHAnsi" w:hAnsiTheme="minorHAnsi" w:cstheme="minorHAnsi"/>
                <w:color w:val="auto"/>
                <w:kern w:val="0"/>
                <w:sz w:val="18"/>
                <w:szCs w:val="18"/>
              </w:rPr>
              <w:br w:type="textWrapping"/>
            </w:r>
            <w:r>
              <w:rPr>
                <w:rFonts w:asciiTheme="minorHAnsi" w:hAnsiTheme="minorHAnsi" w:cstheme="minorHAnsi"/>
                <w:color w:val="auto"/>
                <w:kern w:val="0"/>
                <w:sz w:val="18"/>
                <w:szCs w:val="18"/>
              </w:rPr>
              <w:t>注2：在硬质合金领域，也使用“粘结相”这一术语</w:t>
            </w:r>
          </w:p>
        </w:tc>
      </w:tr>
      <w:tr w14:paraId="0C9CCF97">
        <w:tblPrEx>
          <w:tblCellMar>
            <w:top w:w="0" w:type="dxa"/>
            <w:left w:w="108" w:type="dxa"/>
            <w:bottom w:w="0" w:type="dxa"/>
            <w:right w:w="108" w:type="dxa"/>
          </w:tblCellMar>
        </w:tblPrEx>
        <w:trPr>
          <w:trHeight w:val="1278"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0AF55B56">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3.1.10</w:t>
            </w: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01BD9F81">
            <w:pPr>
              <w:spacing w:before="120" w:after="120" w:line="300" w:lineRule="exact"/>
              <w:jc w:val="left"/>
              <w:rPr>
                <w:rFonts w:asciiTheme="minorHAnsi" w:hAnsiTheme="minorHAnsi" w:cstheme="minorHAnsi"/>
                <w:b/>
                <w:bCs/>
                <w:color w:val="auto"/>
                <w:kern w:val="0"/>
                <w:szCs w:val="21"/>
              </w:rPr>
            </w:pPr>
            <w:r>
              <w:rPr>
                <w:rFonts w:asciiTheme="minorHAnsi" w:hAnsiTheme="minorHAnsi" w:cstheme="minorHAnsi"/>
                <w:b/>
                <w:bCs/>
                <w:color w:val="auto"/>
                <w:kern w:val="0"/>
                <w:szCs w:val="21"/>
              </w:rPr>
              <w:t xml:space="preserve">blended powder  </w:t>
            </w:r>
          </w:p>
          <w:p w14:paraId="629CC03F">
            <w:pPr>
              <w:spacing w:before="120" w:after="120"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powder made by blending powders of the same nominal composition</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32882D6C">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合批粉（blended powder）：由名义成分相同的不同批次粉末混合而成的粉末。</w:t>
            </w: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2D434E5E">
            <w:pPr>
              <w:kinsoku w:val="0"/>
              <w:autoSpaceDE w:val="0"/>
              <w:autoSpaceDN w:val="0"/>
              <w:adjustRightInd w:val="0"/>
              <w:spacing w:line="300" w:lineRule="exact"/>
              <w:jc w:val="left"/>
              <w:textAlignment w:val="baseline"/>
              <w:outlineLvl w:val="2"/>
              <w:rPr>
                <w:rFonts w:asciiTheme="minorHAnsi" w:hAnsiTheme="minorHAnsi" w:cstheme="minorHAnsi"/>
                <w:b/>
                <w:color w:val="auto"/>
                <w:kern w:val="0"/>
                <w:szCs w:val="21"/>
              </w:rPr>
            </w:pPr>
            <w:r>
              <w:rPr>
                <w:rFonts w:asciiTheme="minorHAnsi" w:hAnsiTheme="minorHAnsi" w:cstheme="minorHAnsi"/>
                <w:b/>
                <w:color w:val="auto"/>
                <w:kern w:val="0"/>
                <w:szCs w:val="21"/>
              </w:rPr>
              <w:t>blended powder</w:t>
            </w:r>
          </w:p>
          <w:p w14:paraId="0A224697">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powder made by blending (3.1.11)</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5FFACB8C">
            <w:pPr>
              <w:pStyle w:val="58"/>
              <w:spacing w:line="300" w:lineRule="exact"/>
              <w:jc w:val="left"/>
              <w:rPr>
                <w:rStyle w:val="54"/>
                <w:rFonts w:eastAsia="宋体" w:asciiTheme="minorHAnsi" w:hAnsiTheme="minorHAnsi" w:cstheme="minorHAnsi"/>
                <w:b w:val="0"/>
                <w:bCs w:val="0"/>
                <w:color w:val="auto"/>
                <w:kern w:val="0"/>
                <w:szCs w:val="21"/>
              </w:rPr>
            </w:pPr>
            <w:r>
              <w:rPr>
                <w:rStyle w:val="54"/>
                <w:rFonts w:eastAsia="宋体" w:asciiTheme="minorHAnsi" w:hAnsiTheme="minorHAnsi" w:cstheme="minorHAnsi"/>
                <w:color w:val="auto"/>
                <w:kern w:val="0"/>
                <w:szCs w:val="21"/>
              </w:rPr>
              <w:t>合批粉  blended powder</w:t>
            </w:r>
          </w:p>
          <w:p w14:paraId="335F98A5">
            <w:pPr>
              <w:spacing w:line="300" w:lineRule="exact"/>
              <w:ind w:left="480"/>
              <w:jc w:val="left"/>
              <w:rPr>
                <w:rFonts w:asciiTheme="minorHAnsi" w:hAnsiTheme="minorHAnsi" w:cstheme="minorHAnsi"/>
                <w:color w:val="auto"/>
                <w:kern w:val="0"/>
                <w:szCs w:val="21"/>
              </w:rPr>
            </w:pPr>
            <w:r>
              <w:rPr>
                <w:rFonts w:asciiTheme="minorHAnsi" w:hAnsiTheme="minorHAnsi" w:cstheme="minorHAnsi"/>
                <w:color w:val="auto"/>
                <w:kern w:val="0"/>
                <w:szCs w:val="21"/>
              </w:rPr>
              <w:t>通过合批（3.1.11）得到的粉末。</w:t>
            </w:r>
          </w:p>
          <w:p w14:paraId="756FC329">
            <w:pPr>
              <w:spacing w:line="300" w:lineRule="exact"/>
              <w:jc w:val="left"/>
              <w:rPr>
                <w:rFonts w:asciiTheme="minorHAnsi" w:hAnsiTheme="minorHAnsi" w:cstheme="minorHAnsi"/>
                <w:color w:val="auto"/>
                <w:kern w:val="0"/>
                <w:szCs w:val="21"/>
              </w:rPr>
            </w:pPr>
          </w:p>
        </w:tc>
        <w:tc>
          <w:tcPr>
            <w:tcW w:w="2503" w:type="dxa"/>
            <w:tcBorders>
              <w:top w:val="single" w:color="auto" w:sz="4" w:space="0"/>
              <w:left w:val="single" w:color="auto" w:sz="4" w:space="0"/>
              <w:bottom w:val="single" w:color="auto" w:sz="4" w:space="0"/>
              <w:right w:val="single" w:color="auto" w:sz="4" w:space="0"/>
            </w:tcBorders>
          </w:tcPr>
          <w:p w14:paraId="5B9EF833">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合批粉</w:t>
            </w:r>
          </w:p>
          <w:p w14:paraId="7CA4A38D">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通过混合(3.1.11)得到的粉末。</w:t>
            </w:r>
          </w:p>
        </w:tc>
        <w:tc>
          <w:tcPr>
            <w:tcW w:w="2164" w:type="dxa"/>
            <w:tcBorders>
              <w:top w:val="single" w:color="auto" w:sz="4" w:space="0"/>
              <w:left w:val="single" w:color="auto" w:sz="4" w:space="0"/>
              <w:bottom w:val="single" w:color="auto" w:sz="4" w:space="0"/>
              <w:right w:val="single" w:color="auto" w:sz="4" w:space="0"/>
            </w:tcBorders>
          </w:tcPr>
          <w:p w14:paraId="53234F0F">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合批粉</w:t>
            </w:r>
            <w:r>
              <w:rPr>
                <w:rFonts w:asciiTheme="minorHAnsi" w:hAnsiTheme="minorHAnsi" w:cstheme="minorHAnsi"/>
                <w:color w:val="auto"/>
                <w:kern w:val="0"/>
                <w:szCs w:val="21"/>
              </w:rPr>
              <w:br w:type="textWrapping"/>
            </w:r>
            <w:r>
              <w:rPr>
                <w:rFonts w:asciiTheme="minorHAnsi" w:hAnsiTheme="minorHAnsi" w:cstheme="minorHAnsi"/>
                <w:color w:val="auto"/>
                <w:kern w:val="0"/>
                <w:szCs w:val="21"/>
              </w:rPr>
              <w:t>通过合批（3.1.11）制成的粉末</w:t>
            </w:r>
          </w:p>
        </w:tc>
      </w:tr>
      <w:tr w14:paraId="74DB09A5">
        <w:tblPrEx>
          <w:tblCellMar>
            <w:top w:w="0" w:type="dxa"/>
            <w:left w:w="108" w:type="dxa"/>
            <w:bottom w:w="0" w:type="dxa"/>
            <w:right w:w="108" w:type="dxa"/>
          </w:tblCellMar>
        </w:tblPrEx>
        <w:trPr>
          <w:trHeight w:val="1801"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76D47EDC">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3.1.11</w:t>
            </w: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5113C82A">
            <w:pPr>
              <w:spacing w:before="120" w:after="120" w:line="300" w:lineRule="exact"/>
              <w:jc w:val="left"/>
              <w:rPr>
                <w:rFonts w:asciiTheme="minorHAnsi" w:hAnsiTheme="minorHAnsi" w:cstheme="minorHAnsi"/>
                <w:b/>
                <w:bCs/>
                <w:color w:val="auto"/>
                <w:kern w:val="0"/>
                <w:szCs w:val="21"/>
              </w:rPr>
            </w:pPr>
            <w:r>
              <w:rPr>
                <w:rFonts w:asciiTheme="minorHAnsi" w:hAnsiTheme="minorHAnsi" w:cstheme="minorHAnsi"/>
                <w:b/>
                <w:bCs/>
                <w:color w:val="auto"/>
                <w:kern w:val="0"/>
                <w:szCs w:val="21"/>
              </w:rPr>
              <w:t xml:space="preserve">blending  </w:t>
            </w:r>
          </w:p>
          <w:p w14:paraId="7EF2D20A">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thorough intermingling of powders of the same nominal composition</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4470C138">
            <w:pPr>
              <w:spacing w:before="120" w:after="120"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合批（blending）：名义成分相同的粉末均匀掺合的过程。</w:t>
            </w:r>
          </w:p>
          <w:p w14:paraId="34B1574A">
            <w:pPr>
              <w:spacing w:line="300" w:lineRule="exact"/>
              <w:jc w:val="left"/>
              <w:rPr>
                <w:rFonts w:asciiTheme="minorHAnsi" w:hAnsiTheme="minorHAnsi" w:cstheme="minorHAnsi"/>
                <w:color w:val="auto"/>
                <w:szCs w:val="21"/>
              </w:rPr>
            </w:pP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126E7279">
            <w:pPr>
              <w:kinsoku w:val="0"/>
              <w:autoSpaceDE w:val="0"/>
              <w:autoSpaceDN w:val="0"/>
              <w:adjustRightInd w:val="0"/>
              <w:spacing w:line="300" w:lineRule="exact"/>
              <w:jc w:val="left"/>
              <w:textAlignment w:val="baseline"/>
              <w:outlineLvl w:val="2"/>
              <w:rPr>
                <w:rFonts w:asciiTheme="minorHAnsi" w:hAnsiTheme="minorHAnsi" w:cstheme="minorHAnsi"/>
                <w:b/>
                <w:color w:val="auto"/>
                <w:kern w:val="0"/>
                <w:szCs w:val="21"/>
              </w:rPr>
            </w:pPr>
            <w:r>
              <w:rPr>
                <w:rFonts w:asciiTheme="minorHAnsi" w:hAnsiTheme="minorHAnsi" w:cstheme="minorHAnsi"/>
                <w:b/>
                <w:color w:val="auto"/>
                <w:kern w:val="0"/>
                <w:szCs w:val="21"/>
              </w:rPr>
              <w:t>blending</w:t>
            </w:r>
          </w:p>
          <w:p w14:paraId="322A5576">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thorough intermingling of powders of the same nominal composition</w:t>
            </w:r>
          </w:p>
          <w:p w14:paraId="1D1D70FA">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Note 1 to entry: Not to be confused with mixing (3.1.53).</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0D83E9E2">
            <w:pPr>
              <w:pStyle w:val="58"/>
              <w:spacing w:line="300" w:lineRule="exact"/>
              <w:jc w:val="left"/>
              <w:rPr>
                <w:rStyle w:val="54"/>
                <w:rFonts w:eastAsia="宋体" w:asciiTheme="minorHAnsi" w:hAnsiTheme="minorHAnsi" w:cstheme="minorHAnsi"/>
                <w:b w:val="0"/>
                <w:bCs w:val="0"/>
                <w:color w:val="auto"/>
                <w:kern w:val="0"/>
                <w:szCs w:val="21"/>
              </w:rPr>
            </w:pPr>
            <w:r>
              <w:rPr>
                <w:rStyle w:val="54"/>
                <w:rFonts w:eastAsia="宋体" w:asciiTheme="minorHAnsi" w:hAnsiTheme="minorHAnsi" w:cstheme="minorHAnsi"/>
                <w:color w:val="auto"/>
                <w:kern w:val="0"/>
                <w:szCs w:val="21"/>
              </w:rPr>
              <w:t>合批  blending</w:t>
            </w:r>
          </w:p>
          <w:p w14:paraId="18B04C62">
            <w:pPr>
              <w:spacing w:line="300" w:lineRule="exact"/>
              <w:ind w:left="480"/>
              <w:jc w:val="left"/>
              <w:rPr>
                <w:rFonts w:asciiTheme="minorHAnsi" w:hAnsiTheme="minorHAnsi" w:cstheme="minorHAnsi"/>
                <w:color w:val="auto"/>
                <w:kern w:val="0"/>
                <w:szCs w:val="21"/>
              </w:rPr>
            </w:pPr>
            <w:r>
              <w:rPr>
                <w:rFonts w:asciiTheme="minorHAnsi" w:hAnsiTheme="minorHAnsi" w:cstheme="minorHAnsi"/>
                <w:color w:val="auto"/>
                <w:kern w:val="0"/>
                <w:szCs w:val="21"/>
              </w:rPr>
              <w:t>名义成分相同的粉末均匀掺合的过程。</w:t>
            </w:r>
          </w:p>
          <w:p w14:paraId="3E6F17CE">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注1：请勿与混合（3.1.53）混淆。</w:t>
            </w:r>
          </w:p>
        </w:tc>
        <w:tc>
          <w:tcPr>
            <w:tcW w:w="2503" w:type="dxa"/>
            <w:tcBorders>
              <w:top w:val="single" w:color="auto" w:sz="4" w:space="0"/>
              <w:left w:val="single" w:color="auto" w:sz="4" w:space="0"/>
              <w:bottom w:val="single" w:color="auto" w:sz="4" w:space="0"/>
              <w:right w:val="single" w:color="auto" w:sz="4" w:space="0"/>
            </w:tcBorders>
          </w:tcPr>
          <w:p w14:paraId="46F10943">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合批</w:t>
            </w:r>
          </w:p>
          <w:p w14:paraId="27FD177F">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名义成分相同的粉末的彻底混合。</w:t>
            </w:r>
          </w:p>
          <w:p w14:paraId="337B39E8">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注1：不与混合（3.1.53）混淆。</w:t>
            </w:r>
          </w:p>
        </w:tc>
        <w:tc>
          <w:tcPr>
            <w:tcW w:w="2164" w:type="dxa"/>
            <w:tcBorders>
              <w:top w:val="single" w:color="auto" w:sz="4" w:space="0"/>
              <w:left w:val="single" w:color="auto" w:sz="4" w:space="0"/>
              <w:bottom w:val="single" w:color="auto" w:sz="4" w:space="0"/>
              <w:right w:val="single" w:color="auto" w:sz="4" w:space="0"/>
            </w:tcBorders>
          </w:tcPr>
          <w:p w14:paraId="196939CC">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合批</w:t>
            </w:r>
            <w:r>
              <w:rPr>
                <w:rFonts w:asciiTheme="minorHAnsi" w:hAnsiTheme="minorHAnsi" w:cstheme="minorHAnsi"/>
                <w:color w:val="auto"/>
                <w:kern w:val="0"/>
                <w:szCs w:val="21"/>
              </w:rPr>
              <w:br w:type="textWrapping"/>
            </w:r>
            <w:r>
              <w:rPr>
                <w:rFonts w:asciiTheme="minorHAnsi" w:hAnsiTheme="minorHAnsi" w:cstheme="minorHAnsi"/>
                <w:color w:val="auto"/>
                <w:kern w:val="0"/>
                <w:szCs w:val="21"/>
              </w:rPr>
              <w:t>名义成分相同的粉末的彻底掺混</w:t>
            </w:r>
            <w:r>
              <w:rPr>
                <w:rFonts w:asciiTheme="minorHAnsi" w:hAnsiTheme="minorHAnsi" w:cstheme="minorHAnsi"/>
                <w:color w:val="auto"/>
                <w:kern w:val="0"/>
                <w:szCs w:val="21"/>
              </w:rPr>
              <w:br w:type="textWrapping"/>
            </w:r>
            <w:r>
              <w:rPr>
                <w:rFonts w:asciiTheme="minorHAnsi" w:hAnsiTheme="minorHAnsi" w:cstheme="minorHAnsi"/>
                <w:color w:val="auto"/>
                <w:kern w:val="0"/>
                <w:szCs w:val="21"/>
              </w:rPr>
              <w:t>注1：不可与混合（3.1.53）相互混淆</w:t>
            </w:r>
          </w:p>
        </w:tc>
      </w:tr>
      <w:tr w14:paraId="2A2C8E22">
        <w:tblPrEx>
          <w:tblCellMar>
            <w:top w:w="0" w:type="dxa"/>
            <w:left w:w="108" w:type="dxa"/>
            <w:bottom w:w="0" w:type="dxa"/>
            <w:right w:w="108" w:type="dxa"/>
          </w:tblCellMar>
        </w:tblPrEx>
        <w:trPr>
          <w:trHeight w:val="2404"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120DE42C">
            <w:pPr>
              <w:spacing w:line="300" w:lineRule="exact"/>
              <w:jc w:val="left"/>
              <w:rPr>
                <w:rFonts w:asciiTheme="minorHAnsi" w:hAnsiTheme="minorHAnsi" w:cstheme="minorHAnsi"/>
                <w:color w:val="auto"/>
                <w:kern w:val="0"/>
                <w:szCs w:val="21"/>
              </w:rPr>
            </w:pPr>
            <w:r>
              <w:rPr>
                <w:rFonts w:asciiTheme="minorHAnsi" w:hAnsiTheme="minorHAnsi" w:cstheme="minorHAnsi"/>
                <w:color w:val="auto"/>
                <w:szCs w:val="21"/>
              </w:rPr>
              <w:t>3.1.13</w:t>
            </w: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39F72EBF">
            <w:pPr>
              <w:snapToGrid w:val="0"/>
              <w:spacing w:before="120" w:after="120" w:line="300" w:lineRule="exact"/>
              <w:jc w:val="left"/>
              <w:rPr>
                <w:rFonts w:asciiTheme="minorHAnsi" w:hAnsiTheme="minorHAnsi" w:cstheme="minorHAnsi"/>
                <w:b/>
                <w:bCs/>
                <w:color w:val="auto"/>
                <w:szCs w:val="21"/>
              </w:rPr>
            </w:pPr>
            <w:r>
              <w:rPr>
                <w:rFonts w:asciiTheme="minorHAnsi" w:hAnsiTheme="minorHAnsi" w:cstheme="minorHAnsi"/>
                <w:b/>
                <w:bCs/>
                <w:color w:val="auto"/>
                <w:szCs w:val="21"/>
              </w:rPr>
              <w:t xml:space="preserve">bulk density  </w:t>
            </w:r>
          </w:p>
          <w:p w14:paraId="5AC92928">
            <w:pPr>
              <w:spacing w:before="120" w:after="120" w:line="300" w:lineRule="exact"/>
              <w:jc w:val="left"/>
              <w:rPr>
                <w:rFonts w:asciiTheme="minorHAnsi" w:hAnsiTheme="minorHAnsi" w:cstheme="minorHAnsi"/>
                <w:b/>
                <w:bCs/>
                <w:color w:val="auto"/>
                <w:kern w:val="0"/>
                <w:szCs w:val="21"/>
              </w:rPr>
            </w:pPr>
            <w:r>
              <w:rPr>
                <w:rFonts w:asciiTheme="minorHAnsi" w:hAnsiTheme="minorHAnsi" w:cstheme="minorHAnsi"/>
                <w:color w:val="auto"/>
                <w:szCs w:val="21"/>
              </w:rPr>
              <w:t>mass per unit volume of a powder under non-specified conditions</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723CC037">
            <w:pPr>
              <w:spacing w:before="120" w:after="120" w:line="300" w:lineRule="exact"/>
              <w:jc w:val="left"/>
              <w:rPr>
                <w:rFonts w:asciiTheme="minorHAnsi" w:hAnsiTheme="minorHAnsi" w:cstheme="minorHAnsi"/>
                <w:color w:val="auto"/>
                <w:kern w:val="0"/>
                <w:szCs w:val="21"/>
              </w:rPr>
            </w:pPr>
            <w:r>
              <w:rPr>
                <w:rFonts w:asciiTheme="minorHAnsi" w:hAnsiTheme="minorHAnsi" w:cstheme="minorHAnsi"/>
                <w:color w:val="auto"/>
                <w:szCs w:val="21"/>
              </w:rPr>
              <w:t>散装密度（bulk density）：在非规定条件下测得的单位容积粉末的质量。</w:t>
            </w: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1FA6F245">
            <w:pPr>
              <w:kinsoku w:val="0"/>
              <w:autoSpaceDE w:val="0"/>
              <w:autoSpaceDN w:val="0"/>
              <w:adjustRightInd w:val="0"/>
              <w:snapToGrid w:val="0"/>
              <w:spacing w:line="300" w:lineRule="exact"/>
              <w:jc w:val="left"/>
              <w:textAlignment w:val="baseline"/>
              <w:outlineLvl w:val="2"/>
              <w:rPr>
                <w:rFonts w:asciiTheme="minorHAnsi" w:hAnsiTheme="minorHAnsi" w:cstheme="minorHAnsi"/>
                <w:b/>
                <w:color w:val="auto"/>
                <w:kern w:val="0"/>
                <w:szCs w:val="21"/>
              </w:rPr>
            </w:pPr>
            <w:r>
              <w:rPr>
                <w:rFonts w:asciiTheme="minorHAnsi" w:hAnsiTheme="minorHAnsi" w:cstheme="minorHAnsi"/>
                <w:b/>
                <w:color w:val="auto"/>
                <w:kern w:val="0"/>
                <w:szCs w:val="21"/>
              </w:rPr>
              <w:t>bulk density</w:t>
            </w:r>
          </w:p>
          <w:p w14:paraId="62A9174F">
            <w:pPr>
              <w:kinsoku w:val="0"/>
              <w:autoSpaceDE w:val="0"/>
              <w:autoSpaceDN w:val="0"/>
              <w:adjustRightInd w:val="0"/>
              <w:spacing w:line="300" w:lineRule="exact"/>
              <w:jc w:val="left"/>
              <w:textAlignment w:val="baseline"/>
              <w:outlineLvl w:val="2"/>
              <w:rPr>
                <w:rFonts w:asciiTheme="minorHAnsi" w:hAnsiTheme="minorHAnsi" w:cstheme="minorHAnsi"/>
                <w:b/>
                <w:color w:val="auto"/>
                <w:kern w:val="0"/>
                <w:szCs w:val="21"/>
              </w:rPr>
            </w:pPr>
            <w:r>
              <w:rPr>
                <w:rFonts w:asciiTheme="minorHAnsi" w:hAnsiTheme="minorHAnsi" w:cstheme="minorHAnsi"/>
                <w:color w:val="auto"/>
                <w:kern w:val="0"/>
                <w:szCs w:val="21"/>
              </w:rPr>
              <w:t>mass per unit volume of a powder under nonstandard conditions</w:t>
            </w:r>
            <w:r>
              <w:rPr>
                <w:rFonts w:hint="eastAsia" w:asciiTheme="minorHAnsi" w:hAnsiTheme="minorHAnsi" w:cstheme="minorHAnsi"/>
                <w:color w:val="auto"/>
                <w:kern w:val="0"/>
                <w:szCs w:val="21"/>
              </w:rPr>
              <w:t>.</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0BF00E2A">
            <w:pPr>
              <w:pStyle w:val="58"/>
              <w:snapToGrid w:val="0"/>
              <w:spacing w:line="300" w:lineRule="exact"/>
              <w:jc w:val="left"/>
              <w:rPr>
                <w:rStyle w:val="54"/>
                <w:rFonts w:eastAsia="宋体" w:asciiTheme="minorHAnsi" w:hAnsiTheme="minorHAnsi" w:cstheme="minorHAnsi"/>
                <w:b w:val="0"/>
                <w:bCs w:val="0"/>
                <w:color w:val="auto"/>
                <w:szCs w:val="21"/>
              </w:rPr>
            </w:pPr>
            <w:r>
              <w:rPr>
                <w:rStyle w:val="54"/>
                <w:rFonts w:hint="eastAsia" w:eastAsia="宋体" w:asciiTheme="minorHAnsi" w:hAnsiTheme="minorHAnsi" w:cstheme="minorHAnsi"/>
                <w:color w:val="auto"/>
                <w:szCs w:val="21"/>
                <w:highlight w:val="yellow"/>
              </w:rPr>
              <w:t>堆积密度</w:t>
            </w:r>
            <w:r>
              <w:rPr>
                <w:rStyle w:val="54"/>
                <w:rFonts w:eastAsia="宋体" w:asciiTheme="minorHAnsi" w:hAnsiTheme="minorHAnsi" w:cstheme="minorHAnsi"/>
                <w:color w:val="auto"/>
                <w:szCs w:val="21"/>
              </w:rPr>
              <w:t xml:space="preserve">  bulk density</w:t>
            </w:r>
          </w:p>
          <w:p w14:paraId="135C1A48">
            <w:pPr>
              <w:snapToGrid w:val="0"/>
              <w:spacing w:line="300" w:lineRule="exact"/>
              <w:ind w:left="480"/>
              <w:jc w:val="left"/>
              <w:rPr>
                <w:rFonts w:asciiTheme="minorHAnsi" w:hAnsiTheme="minorHAnsi" w:cstheme="minorHAnsi"/>
                <w:color w:val="auto"/>
                <w:szCs w:val="21"/>
              </w:rPr>
            </w:pPr>
            <w:r>
              <w:rPr>
                <w:rFonts w:asciiTheme="minorHAnsi" w:hAnsiTheme="minorHAnsi" w:cstheme="minorHAnsi"/>
                <w:color w:val="auto"/>
                <w:szCs w:val="21"/>
              </w:rPr>
              <w:t>在非标准条件下测得的单位容积粉末的质量。</w:t>
            </w:r>
          </w:p>
          <w:p w14:paraId="4F68F866">
            <w:pPr>
              <w:pStyle w:val="58"/>
              <w:spacing w:line="300" w:lineRule="exact"/>
              <w:jc w:val="left"/>
              <w:rPr>
                <w:rStyle w:val="54"/>
                <w:rFonts w:eastAsia="宋体" w:asciiTheme="minorHAnsi" w:hAnsiTheme="minorHAnsi" w:cstheme="minorHAnsi"/>
                <w:b w:val="0"/>
                <w:bCs w:val="0"/>
                <w:color w:val="auto"/>
                <w:kern w:val="0"/>
                <w:szCs w:val="21"/>
              </w:rPr>
            </w:pPr>
          </w:p>
        </w:tc>
        <w:tc>
          <w:tcPr>
            <w:tcW w:w="2503" w:type="dxa"/>
            <w:tcBorders>
              <w:top w:val="single" w:color="auto" w:sz="4" w:space="0"/>
              <w:left w:val="single" w:color="auto" w:sz="4" w:space="0"/>
              <w:bottom w:val="single" w:color="auto" w:sz="4" w:space="0"/>
              <w:right w:val="single" w:color="auto" w:sz="4" w:space="0"/>
            </w:tcBorders>
          </w:tcPr>
          <w:p w14:paraId="090E3C65">
            <w:pPr>
              <w:snapToGrid w:val="0"/>
              <w:spacing w:line="300" w:lineRule="exact"/>
              <w:jc w:val="left"/>
              <w:rPr>
                <w:rFonts w:asciiTheme="minorHAnsi" w:hAnsiTheme="minorHAnsi" w:cstheme="minorHAnsi"/>
                <w:color w:val="auto"/>
                <w:szCs w:val="21"/>
              </w:rPr>
            </w:pPr>
            <w:r>
              <w:rPr>
                <w:rFonts w:asciiTheme="minorHAnsi" w:hAnsiTheme="minorHAnsi" w:cstheme="minorHAnsi"/>
                <w:color w:val="auto"/>
                <w:szCs w:val="21"/>
              </w:rPr>
              <w:t>堆积密度</w:t>
            </w:r>
          </w:p>
          <w:p w14:paraId="022FB248">
            <w:pPr>
              <w:spacing w:line="300" w:lineRule="exact"/>
              <w:jc w:val="left"/>
              <w:rPr>
                <w:rFonts w:asciiTheme="minorHAnsi" w:hAnsiTheme="minorHAnsi" w:cstheme="minorHAnsi"/>
                <w:color w:val="auto"/>
                <w:kern w:val="0"/>
                <w:szCs w:val="21"/>
              </w:rPr>
            </w:pPr>
            <w:r>
              <w:rPr>
                <w:rFonts w:asciiTheme="minorHAnsi" w:hAnsiTheme="minorHAnsi" w:cstheme="minorHAnsi"/>
                <w:color w:val="auto"/>
                <w:szCs w:val="21"/>
              </w:rPr>
              <w:t>非标准条件下单位体积粉末的质量。</w:t>
            </w:r>
          </w:p>
        </w:tc>
        <w:tc>
          <w:tcPr>
            <w:tcW w:w="2164" w:type="dxa"/>
            <w:tcBorders>
              <w:top w:val="single" w:color="auto" w:sz="4" w:space="0"/>
              <w:left w:val="single" w:color="auto" w:sz="4" w:space="0"/>
              <w:bottom w:val="single" w:color="auto" w:sz="4" w:space="0"/>
              <w:right w:val="single" w:color="auto" w:sz="4" w:space="0"/>
            </w:tcBorders>
          </w:tcPr>
          <w:p w14:paraId="7AD7217C">
            <w:pPr>
              <w:spacing w:line="300" w:lineRule="exact"/>
              <w:jc w:val="left"/>
              <w:rPr>
                <w:rFonts w:asciiTheme="minorHAnsi" w:hAnsiTheme="minorHAnsi" w:cstheme="minorHAnsi"/>
                <w:color w:val="auto"/>
                <w:kern w:val="0"/>
                <w:szCs w:val="21"/>
              </w:rPr>
            </w:pPr>
            <w:r>
              <w:rPr>
                <w:rFonts w:asciiTheme="minorHAnsi" w:hAnsiTheme="minorHAnsi" w:cstheme="minorHAnsi"/>
                <w:color w:val="auto"/>
                <w:szCs w:val="21"/>
              </w:rPr>
              <w:t>散装密度</w:t>
            </w:r>
            <w:r>
              <w:rPr>
                <w:rFonts w:asciiTheme="minorHAnsi" w:hAnsiTheme="minorHAnsi" w:cstheme="minorHAnsi"/>
                <w:color w:val="auto"/>
                <w:szCs w:val="21"/>
              </w:rPr>
              <w:br w:type="textWrapping"/>
            </w:r>
            <w:r>
              <w:rPr>
                <w:rFonts w:asciiTheme="minorHAnsi" w:hAnsiTheme="minorHAnsi" w:cstheme="minorHAnsi"/>
                <w:color w:val="auto"/>
                <w:szCs w:val="21"/>
              </w:rPr>
              <w:t>粉末在非标准条件下单位体积的质量</w:t>
            </w:r>
          </w:p>
        </w:tc>
      </w:tr>
      <w:tr w14:paraId="435DBE11">
        <w:tblPrEx>
          <w:tblCellMar>
            <w:top w:w="0" w:type="dxa"/>
            <w:left w:w="108" w:type="dxa"/>
            <w:bottom w:w="0" w:type="dxa"/>
            <w:right w:w="108" w:type="dxa"/>
          </w:tblCellMar>
        </w:tblPrEx>
        <w:trPr>
          <w:trHeight w:val="2232"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0A55711E">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3.1.14</w:t>
            </w: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0AE1394F">
            <w:pPr>
              <w:spacing w:before="120" w:after="120" w:line="300" w:lineRule="exact"/>
              <w:jc w:val="left"/>
              <w:rPr>
                <w:rFonts w:asciiTheme="minorHAnsi" w:hAnsiTheme="minorHAnsi" w:cstheme="minorHAnsi"/>
                <w:color w:val="auto"/>
                <w:kern w:val="0"/>
                <w:szCs w:val="21"/>
              </w:rPr>
            </w:pPr>
            <w:r>
              <w:rPr>
                <w:rFonts w:asciiTheme="minorHAnsi" w:hAnsiTheme="minorHAnsi" w:cstheme="minorHAnsi"/>
                <w:b/>
                <w:bCs/>
                <w:color w:val="auto"/>
                <w:kern w:val="0"/>
                <w:szCs w:val="21"/>
              </w:rPr>
              <w:t>cake</w:t>
            </w:r>
            <w:r>
              <w:rPr>
                <w:rFonts w:asciiTheme="minorHAnsi" w:hAnsiTheme="minorHAnsi" w:cstheme="minorHAnsi"/>
                <w:color w:val="auto"/>
                <w:kern w:val="0"/>
                <w:szCs w:val="21"/>
              </w:rPr>
              <w:t xml:space="preserve">  </w:t>
            </w:r>
          </w:p>
          <w:p w14:paraId="7D604205">
            <w:pPr>
              <w:spacing w:before="120" w:after="120"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coalesced mass of unpressed metal powder</w:t>
            </w:r>
          </w:p>
          <w:p w14:paraId="70D1AE1A">
            <w:pPr>
              <w:spacing w:line="300" w:lineRule="exact"/>
              <w:jc w:val="left"/>
              <w:rPr>
                <w:rFonts w:asciiTheme="minorHAnsi" w:hAnsiTheme="minorHAnsi" w:cstheme="minorHAnsi"/>
                <w:color w:val="auto"/>
                <w:szCs w:val="21"/>
              </w:rPr>
            </w:pP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3711180D">
            <w:pPr>
              <w:spacing w:before="120" w:after="120"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粉块（cake）：金属粉末未经成形而粘结在一起的块状物。</w:t>
            </w: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25D48743">
            <w:pPr>
              <w:kinsoku w:val="0"/>
              <w:autoSpaceDE w:val="0"/>
              <w:autoSpaceDN w:val="0"/>
              <w:adjustRightInd w:val="0"/>
              <w:spacing w:line="300" w:lineRule="exact"/>
              <w:jc w:val="left"/>
              <w:textAlignment w:val="baseline"/>
              <w:outlineLvl w:val="2"/>
              <w:rPr>
                <w:rFonts w:asciiTheme="minorHAnsi" w:hAnsiTheme="minorHAnsi" w:cstheme="minorHAnsi"/>
                <w:b/>
                <w:color w:val="auto"/>
                <w:kern w:val="0"/>
                <w:szCs w:val="21"/>
              </w:rPr>
            </w:pPr>
            <w:r>
              <w:rPr>
                <w:rFonts w:asciiTheme="minorHAnsi" w:hAnsiTheme="minorHAnsi" w:cstheme="minorHAnsi"/>
                <w:b/>
                <w:color w:val="auto"/>
                <w:kern w:val="0"/>
                <w:szCs w:val="21"/>
              </w:rPr>
              <w:t>cake</w:t>
            </w:r>
          </w:p>
          <w:p w14:paraId="6555D554">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bonded mass of unpressed metal powder</w:t>
            </w:r>
          </w:p>
          <w:p w14:paraId="28E5D600">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EXAMPLE The condition of a powder mass as it exits an annealing furnace.</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144F99B7">
            <w:pPr>
              <w:pStyle w:val="58"/>
              <w:spacing w:line="300" w:lineRule="exact"/>
              <w:jc w:val="left"/>
              <w:rPr>
                <w:rStyle w:val="54"/>
                <w:rFonts w:eastAsia="宋体" w:asciiTheme="minorHAnsi" w:hAnsiTheme="minorHAnsi" w:cstheme="minorHAnsi"/>
                <w:b w:val="0"/>
                <w:bCs w:val="0"/>
                <w:color w:val="auto"/>
                <w:kern w:val="0"/>
                <w:szCs w:val="21"/>
              </w:rPr>
            </w:pPr>
            <w:r>
              <w:rPr>
                <w:rStyle w:val="54"/>
                <w:rFonts w:eastAsia="宋体" w:asciiTheme="minorHAnsi" w:hAnsiTheme="minorHAnsi" w:cstheme="minorHAnsi"/>
                <w:color w:val="auto"/>
                <w:kern w:val="0"/>
                <w:szCs w:val="21"/>
              </w:rPr>
              <w:t>粉块  cake</w:t>
            </w:r>
          </w:p>
          <w:p w14:paraId="4CC8C18B">
            <w:pPr>
              <w:spacing w:line="300" w:lineRule="exact"/>
              <w:ind w:firstLine="420"/>
              <w:jc w:val="left"/>
              <w:rPr>
                <w:rFonts w:asciiTheme="minorHAnsi" w:hAnsiTheme="minorHAnsi" w:cstheme="minorHAnsi"/>
                <w:color w:val="auto"/>
                <w:kern w:val="0"/>
                <w:szCs w:val="21"/>
              </w:rPr>
            </w:pPr>
            <w:r>
              <w:rPr>
                <w:rFonts w:asciiTheme="minorHAnsi" w:hAnsiTheme="minorHAnsi" w:cstheme="minorHAnsi"/>
                <w:color w:val="auto"/>
                <w:kern w:val="0"/>
                <w:szCs w:val="21"/>
              </w:rPr>
              <w:t>金属粉末未经成形而粘结在一起的块状物。</w:t>
            </w:r>
          </w:p>
          <w:p w14:paraId="4CB5D6F3">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例如：粉块从退火炉中出来时的状态。</w:t>
            </w:r>
          </w:p>
        </w:tc>
        <w:tc>
          <w:tcPr>
            <w:tcW w:w="2503" w:type="dxa"/>
            <w:tcBorders>
              <w:top w:val="single" w:color="auto" w:sz="4" w:space="0"/>
              <w:left w:val="single" w:color="auto" w:sz="4" w:space="0"/>
              <w:bottom w:val="single" w:color="auto" w:sz="4" w:space="0"/>
              <w:right w:val="single" w:color="auto" w:sz="4" w:space="0"/>
            </w:tcBorders>
          </w:tcPr>
          <w:p w14:paraId="7703FFDE">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粉块</w:t>
            </w:r>
          </w:p>
          <w:p w14:paraId="6F7BCE73">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金属粉末未经压制成型而粘结在一起的块状物。</w:t>
            </w:r>
          </w:p>
          <w:p w14:paraId="7BABF3B5">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例如：粉块从退火炉中出来时的状态。</w:t>
            </w:r>
          </w:p>
        </w:tc>
        <w:tc>
          <w:tcPr>
            <w:tcW w:w="2164" w:type="dxa"/>
            <w:tcBorders>
              <w:top w:val="single" w:color="auto" w:sz="4" w:space="0"/>
              <w:left w:val="single" w:color="auto" w:sz="4" w:space="0"/>
              <w:bottom w:val="single" w:color="auto" w:sz="4" w:space="0"/>
              <w:right w:val="single" w:color="auto" w:sz="4" w:space="0"/>
            </w:tcBorders>
          </w:tcPr>
          <w:p w14:paraId="0EB1502E">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粉块</w:t>
            </w:r>
            <w:r>
              <w:rPr>
                <w:rFonts w:asciiTheme="minorHAnsi" w:hAnsiTheme="minorHAnsi" w:cstheme="minorHAnsi"/>
                <w:color w:val="auto"/>
                <w:kern w:val="0"/>
                <w:szCs w:val="21"/>
              </w:rPr>
              <w:br w:type="textWrapping"/>
            </w:r>
            <w:r>
              <w:rPr>
                <w:rFonts w:asciiTheme="minorHAnsi" w:hAnsiTheme="minorHAnsi" w:cstheme="minorHAnsi"/>
                <w:color w:val="auto"/>
                <w:kern w:val="0"/>
                <w:szCs w:val="21"/>
              </w:rPr>
              <w:t>未经压制的金属粉末的粘结块体</w:t>
            </w:r>
            <w:r>
              <w:rPr>
                <w:rFonts w:asciiTheme="minorHAnsi" w:hAnsiTheme="minorHAnsi" w:cstheme="minorHAnsi"/>
                <w:color w:val="auto"/>
                <w:kern w:val="0"/>
                <w:szCs w:val="21"/>
              </w:rPr>
              <w:br w:type="textWrapping"/>
            </w:r>
            <w:r>
              <w:rPr>
                <w:rFonts w:asciiTheme="minorHAnsi" w:hAnsiTheme="minorHAnsi" w:cstheme="minorHAnsi"/>
                <w:color w:val="auto"/>
                <w:kern w:val="0"/>
                <w:szCs w:val="21"/>
              </w:rPr>
              <w:br w:type="textWrapping"/>
            </w:r>
            <w:r>
              <w:rPr>
                <w:rFonts w:asciiTheme="minorHAnsi" w:hAnsiTheme="minorHAnsi" w:cstheme="minorHAnsi"/>
                <w:color w:val="auto"/>
                <w:kern w:val="0"/>
                <w:szCs w:val="21"/>
              </w:rPr>
              <w:t>例 粉末体从退火炉中排出时的状态</w:t>
            </w:r>
          </w:p>
        </w:tc>
      </w:tr>
      <w:tr w14:paraId="2CE0C726">
        <w:tblPrEx>
          <w:tblCellMar>
            <w:top w:w="0" w:type="dxa"/>
            <w:left w:w="108" w:type="dxa"/>
            <w:bottom w:w="0" w:type="dxa"/>
            <w:right w:w="108" w:type="dxa"/>
          </w:tblCellMar>
        </w:tblPrEx>
        <w:trPr>
          <w:trHeight w:val="797"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7E516558">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3.1.21</w:t>
            </w: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13A9D2A3">
            <w:pPr>
              <w:spacing w:before="120" w:after="120" w:line="300" w:lineRule="exact"/>
              <w:jc w:val="left"/>
              <w:rPr>
                <w:rFonts w:asciiTheme="minorHAnsi" w:hAnsiTheme="minorHAnsi" w:cstheme="minorHAnsi"/>
                <w:b/>
                <w:bCs/>
                <w:color w:val="auto"/>
                <w:kern w:val="0"/>
                <w:szCs w:val="21"/>
              </w:rPr>
            </w:pPr>
            <w:r>
              <w:rPr>
                <w:rFonts w:asciiTheme="minorHAnsi" w:hAnsiTheme="minorHAnsi" w:cstheme="minorHAnsi"/>
                <w:b/>
                <w:bCs/>
                <w:color w:val="auto"/>
                <w:kern w:val="0"/>
                <w:szCs w:val="21"/>
              </w:rPr>
              <w:t xml:space="preserve">compactability  </w:t>
            </w:r>
          </w:p>
          <w:p w14:paraId="75027FD1">
            <w:pPr>
              <w:spacing w:before="120" w:after="120"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 xml:space="preserve">ability of a powder to be pressed into a shape which maintains its integrity during subsequent processing  </w:t>
            </w:r>
          </w:p>
          <w:p w14:paraId="7BEE7580">
            <w:pPr>
              <w:spacing w:before="120" w:after="120"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NOTE Compactability may be a function of flowability, compressibility and green strength</w:t>
            </w:r>
          </w:p>
          <w:p w14:paraId="061EA404">
            <w:pPr>
              <w:spacing w:before="120" w:after="120" w:line="300" w:lineRule="exact"/>
              <w:jc w:val="left"/>
              <w:rPr>
                <w:rFonts w:asciiTheme="minorHAnsi" w:hAnsiTheme="minorHAnsi" w:cstheme="minorHAnsi"/>
                <w:color w:val="auto"/>
                <w:kern w:val="0"/>
                <w:szCs w:val="21"/>
              </w:rPr>
            </w:pPr>
          </w:p>
          <w:p w14:paraId="6086F250">
            <w:pPr>
              <w:spacing w:before="120" w:after="120"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340ABE21">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成形性（compact</w:t>
            </w:r>
            <w:r>
              <w:rPr>
                <w:rFonts w:asciiTheme="minorHAnsi" w:hAnsiTheme="minorHAnsi" w:cstheme="minorHAnsi"/>
                <w:color w:val="auto"/>
                <w:kern w:val="0"/>
                <w:szCs w:val="21"/>
                <w:highlight w:val="yellow"/>
              </w:rPr>
              <w:t>i</w:t>
            </w:r>
            <w:r>
              <w:rPr>
                <w:rFonts w:asciiTheme="minorHAnsi" w:hAnsiTheme="minorHAnsi" w:cstheme="minorHAnsi"/>
                <w:color w:val="auto"/>
                <w:kern w:val="0"/>
                <w:szCs w:val="21"/>
              </w:rPr>
              <w:t>bility）：粉末被压缩成一定形状并在后续加工过程中保持这种形状的能力，它是粉末流动性、压缩性和压坯强度的函数。</w:t>
            </w: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1B2CD461">
            <w:pPr>
              <w:kinsoku w:val="0"/>
              <w:autoSpaceDE w:val="0"/>
              <w:autoSpaceDN w:val="0"/>
              <w:adjustRightInd w:val="0"/>
              <w:spacing w:line="300" w:lineRule="exact"/>
              <w:jc w:val="left"/>
              <w:textAlignment w:val="baseline"/>
              <w:outlineLvl w:val="2"/>
              <w:rPr>
                <w:rFonts w:asciiTheme="minorHAnsi" w:hAnsiTheme="minorHAnsi" w:cstheme="minorHAnsi"/>
                <w:b/>
                <w:color w:val="auto"/>
                <w:kern w:val="0"/>
                <w:szCs w:val="21"/>
              </w:rPr>
            </w:pPr>
            <w:r>
              <w:rPr>
                <w:rFonts w:asciiTheme="minorHAnsi" w:hAnsiTheme="minorHAnsi" w:cstheme="minorHAnsi"/>
                <w:b/>
                <w:color w:val="auto"/>
                <w:kern w:val="0"/>
                <w:szCs w:val="21"/>
              </w:rPr>
              <w:t>compactability</w:t>
            </w:r>
          </w:p>
          <w:p w14:paraId="21DC3F4B">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encompassing the powder characteristics of compressibility (3.1.24), green strength (3.2.48), edge retention, and lamination tendency, that relates to the ability of a powder to be consolidated into a usable green compact (3.2.11)</w:t>
            </w:r>
          </w:p>
          <w:p w14:paraId="1974E09D">
            <w:pPr>
              <w:kinsoku w:val="0"/>
              <w:autoSpaceDE w:val="0"/>
              <w:autoSpaceDN w:val="0"/>
              <w:adjustRightInd w:val="0"/>
              <w:spacing w:before="1" w:line="300" w:lineRule="exact"/>
              <w:jc w:val="left"/>
              <w:textAlignment w:val="baseline"/>
              <w:rPr>
                <w:rFonts w:asciiTheme="minorHAnsi" w:hAnsiTheme="minorHAnsi" w:cstheme="minorHAnsi"/>
                <w:color w:val="auto"/>
                <w:kern w:val="0"/>
                <w:szCs w:val="21"/>
              </w:rPr>
            </w:pPr>
            <w:r>
              <w:rPr>
                <w:rFonts w:asciiTheme="minorHAnsi" w:hAnsiTheme="minorHAnsi" w:cstheme="minorHAnsi"/>
                <w:color w:val="auto"/>
                <w:kern w:val="0"/>
                <w:szCs w:val="21"/>
              </w:rPr>
              <w:t>Note 1 to entry: Compactability is a conceptual term and may be a function of flowability, compressibility and green strength.</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33D99BA3">
            <w:pPr>
              <w:pStyle w:val="58"/>
              <w:spacing w:line="300" w:lineRule="exact"/>
              <w:jc w:val="left"/>
              <w:rPr>
                <w:rStyle w:val="54"/>
                <w:rFonts w:eastAsia="宋体" w:asciiTheme="minorHAnsi" w:hAnsiTheme="minorHAnsi" w:cstheme="minorHAnsi"/>
                <w:b w:val="0"/>
                <w:bCs w:val="0"/>
                <w:color w:val="auto"/>
                <w:kern w:val="0"/>
                <w:szCs w:val="21"/>
              </w:rPr>
            </w:pPr>
            <w:r>
              <w:rPr>
                <w:rStyle w:val="54"/>
                <w:rFonts w:eastAsia="宋体" w:asciiTheme="minorHAnsi" w:hAnsiTheme="minorHAnsi" w:cstheme="minorHAnsi"/>
                <w:color w:val="auto"/>
                <w:kern w:val="0"/>
                <w:szCs w:val="21"/>
              </w:rPr>
              <w:t>成形性  compactability</w:t>
            </w:r>
          </w:p>
          <w:p w14:paraId="3E348352">
            <w:pPr>
              <w:kinsoku w:val="0"/>
              <w:autoSpaceDE w:val="0"/>
              <w:autoSpaceDN w:val="0"/>
              <w:adjustRightInd w:val="0"/>
              <w:spacing w:before="1" w:line="300" w:lineRule="exact"/>
              <w:jc w:val="left"/>
              <w:textAlignment w:val="baseline"/>
              <w:rPr>
                <w:rFonts w:asciiTheme="minorHAnsi" w:hAnsiTheme="minorHAnsi" w:cstheme="minorHAnsi"/>
                <w:color w:val="auto"/>
                <w:kern w:val="0"/>
                <w:szCs w:val="21"/>
              </w:rPr>
            </w:pPr>
          </w:p>
          <w:p w14:paraId="7F9EC916">
            <w:pPr>
              <w:kinsoku w:val="0"/>
              <w:autoSpaceDE w:val="0"/>
              <w:autoSpaceDN w:val="0"/>
              <w:adjustRightInd w:val="0"/>
              <w:spacing w:before="1" w:line="300" w:lineRule="exact"/>
              <w:jc w:val="left"/>
              <w:textAlignment w:val="baseline"/>
              <w:rPr>
                <w:rFonts w:asciiTheme="minorHAnsi" w:hAnsiTheme="minorHAnsi" w:cstheme="minorHAnsi"/>
                <w:color w:val="auto"/>
                <w:kern w:val="0"/>
                <w:szCs w:val="21"/>
              </w:rPr>
            </w:pPr>
            <w:r>
              <w:rPr>
                <w:rFonts w:asciiTheme="minorHAnsi" w:hAnsiTheme="minorHAnsi" w:cstheme="minorHAnsi"/>
                <w:color w:val="auto"/>
                <w:kern w:val="0"/>
                <w:szCs w:val="21"/>
              </w:rPr>
              <w:t>涵盖粉末的压缩性（3.1.24）、生坯强度（3.2.48）、保边性及分层倾向等特性，描述粉末被固结为可用压坯（3.2.11）的能力。</w:t>
            </w:r>
          </w:p>
          <w:p w14:paraId="09954B34">
            <w:pPr>
              <w:kinsoku w:val="0"/>
              <w:autoSpaceDE w:val="0"/>
              <w:autoSpaceDN w:val="0"/>
              <w:adjustRightInd w:val="0"/>
              <w:spacing w:before="1" w:line="300" w:lineRule="exact"/>
              <w:jc w:val="left"/>
              <w:textAlignment w:val="baseline"/>
              <w:rPr>
                <w:rFonts w:asciiTheme="minorHAnsi" w:hAnsiTheme="minorHAnsi" w:cstheme="minorHAnsi"/>
                <w:color w:val="auto"/>
                <w:kern w:val="0"/>
                <w:szCs w:val="21"/>
              </w:rPr>
            </w:pPr>
            <w:r>
              <w:rPr>
                <w:rFonts w:asciiTheme="minorHAnsi" w:hAnsiTheme="minorHAnsi" w:cstheme="minorHAnsi"/>
                <w:color w:val="auto"/>
                <w:kern w:val="0"/>
                <w:szCs w:val="21"/>
              </w:rPr>
              <w:t>注 1：成形性是一个概念性术语，可能是流动性、压缩性和生坯强度的函数。</w:t>
            </w:r>
          </w:p>
        </w:tc>
        <w:tc>
          <w:tcPr>
            <w:tcW w:w="2503" w:type="dxa"/>
            <w:tcBorders>
              <w:top w:val="single" w:color="auto" w:sz="4" w:space="0"/>
              <w:left w:val="single" w:color="auto" w:sz="4" w:space="0"/>
              <w:bottom w:val="single" w:color="auto" w:sz="4" w:space="0"/>
              <w:right w:val="single" w:color="auto" w:sz="4" w:space="0"/>
            </w:tcBorders>
          </w:tcPr>
          <w:p w14:paraId="3F72C742">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成形性</w:t>
            </w:r>
          </w:p>
          <w:p w14:paraId="3152FFC0">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粉末被压缩成一定形状并在后续加工过程中保持这种形状的能力，包含压缩性、生坯强度、边缘保持性和层压趋势。</w:t>
            </w:r>
          </w:p>
          <w:p w14:paraId="582A3B3F">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注1：成形性是一个概念性术语，可能是流动性、压缩性和生坯强度的函数。</w:t>
            </w:r>
          </w:p>
        </w:tc>
        <w:tc>
          <w:tcPr>
            <w:tcW w:w="2164" w:type="dxa"/>
            <w:tcBorders>
              <w:top w:val="single" w:color="auto" w:sz="4" w:space="0"/>
              <w:left w:val="single" w:color="auto" w:sz="4" w:space="0"/>
              <w:bottom w:val="single" w:color="auto" w:sz="4" w:space="0"/>
              <w:right w:val="single" w:color="auto" w:sz="4" w:space="0"/>
            </w:tcBorders>
          </w:tcPr>
          <w:p w14:paraId="672FB933">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成形性</w:t>
            </w:r>
            <w:r>
              <w:rPr>
                <w:rFonts w:asciiTheme="minorHAnsi" w:hAnsiTheme="minorHAnsi" w:cstheme="minorHAnsi"/>
                <w:color w:val="auto"/>
                <w:kern w:val="0"/>
                <w:szCs w:val="21"/>
              </w:rPr>
              <w:br w:type="textWrapping"/>
            </w:r>
            <w:r>
              <w:rPr>
                <w:rFonts w:asciiTheme="minorHAnsi" w:hAnsiTheme="minorHAnsi" w:cstheme="minorHAnsi"/>
                <w:color w:val="auto"/>
                <w:kern w:val="0"/>
                <w:szCs w:val="21"/>
              </w:rPr>
              <w:t>涵盖粉末的压缩性（3.1.24）、生坯强度（3.2.48）、棱边保持性和分层倾向等特性，关乎粉末被固结成可用的生坯（3.2.11）的能力</w:t>
            </w:r>
            <w:r>
              <w:rPr>
                <w:rFonts w:asciiTheme="minorHAnsi" w:hAnsiTheme="minorHAnsi" w:cstheme="minorHAnsi"/>
                <w:color w:val="auto"/>
                <w:kern w:val="0"/>
                <w:szCs w:val="21"/>
              </w:rPr>
              <w:br w:type="textWrapping"/>
            </w:r>
            <w:r>
              <w:rPr>
                <w:rFonts w:asciiTheme="minorHAnsi" w:hAnsiTheme="minorHAnsi" w:cstheme="minorHAnsi"/>
                <w:color w:val="auto"/>
                <w:kern w:val="0"/>
                <w:szCs w:val="21"/>
              </w:rPr>
              <w:br w:type="textWrapping"/>
            </w:r>
            <w:r>
              <w:rPr>
                <w:rFonts w:asciiTheme="minorHAnsi" w:hAnsiTheme="minorHAnsi" w:cstheme="minorHAnsi"/>
                <w:color w:val="auto"/>
                <w:kern w:val="0"/>
                <w:szCs w:val="21"/>
              </w:rPr>
              <w:t>注1：压实性是一个概念性术语，可能是流动性、压缩性和生坯强度的函数</w:t>
            </w:r>
          </w:p>
        </w:tc>
      </w:tr>
      <w:tr w14:paraId="72FC411C">
        <w:tblPrEx>
          <w:tblCellMar>
            <w:top w:w="0" w:type="dxa"/>
            <w:left w:w="108" w:type="dxa"/>
            <w:bottom w:w="0" w:type="dxa"/>
            <w:right w:w="108" w:type="dxa"/>
          </w:tblCellMar>
        </w:tblPrEx>
        <w:trPr>
          <w:trHeight w:val="797"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4644CCAE">
            <w:pPr>
              <w:spacing w:line="300" w:lineRule="exact"/>
              <w:jc w:val="left"/>
              <w:rPr>
                <w:rFonts w:asciiTheme="minorHAnsi" w:hAnsiTheme="minorHAnsi" w:cstheme="minorHAnsi"/>
                <w:color w:val="auto"/>
                <w:szCs w:val="21"/>
              </w:rPr>
            </w:pPr>
            <w:r>
              <w:rPr>
                <w:rFonts w:asciiTheme="minorHAnsi" w:hAnsiTheme="minorHAnsi" w:cstheme="minorHAnsi"/>
                <w:color w:val="auto"/>
                <w:szCs w:val="21"/>
              </w:rPr>
              <w:t>3.1.24</w:t>
            </w: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586CFAD0">
            <w:pPr>
              <w:spacing w:before="120" w:after="120" w:line="300" w:lineRule="exact"/>
              <w:jc w:val="left"/>
              <w:rPr>
                <w:rFonts w:asciiTheme="minorHAnsi" w:hAnsiTheme="minorHAnsi" w:cstheme="minorHAnsi"/>
                <w:b/>
                <w:bCs/>
                <w:color w:val="auto"/>
                <w:szCs w:val="21"/>
              </w:rPr>
            </w:pPr>
            <w:r>
              <w:rPr>
                <w:rFonts w:asciiTheme="minorHAnsi" w:hAnsiTheme="minorHAnsi" w:cstheme="minorHAnsi"/>
                <w:b/>
                <w:bCs/>
                <w:color w:val="auto"/>
                <w:szCs w:val="21"/>
              </w:rPr>
              <w:t xml:space="preserve">compressibility  </w:t>
            </w:r>
          </w:p>
          <w:p w14:paraId="67DEE1F7">
            <w:pPr>
              <w:spacing w:before="120" w:after="120" w:line="300" w:lineRule="exact"/>
              <w:jc w:val="left"/>
              <w:rPr>
                <w:rFonts w:asciiTheme="minorHAnsi" w:hAnsiTheme="minorHAnsi" w:cstheme="minorHAnsi"/>
                <w:color w:val="auto"/>
                <w:szCs w:val="21"/>
              </w:rPr>
            </w:pPr>
            <w:r>
              <w:rPr>
                <w:rFonts w:asciiTheme="minorHAnsi" w:hAnsiTheme="minorHAnsi" w:cstheme="minorHAnsi"/>
                <w:color w:val="auto"/>
                <w:szCs w:val="21"/>
              </w:rPr>
              <w:t xml:space="preserve">capacity of a powder to be densified under an applied pressure (see ISO 3927)  </w:t>
            </w:r>
          </w:p>
          <w:p w14:paraId="6C8FA9DA">
            <w:pPr>
              <w:kinsoku w:val="0"/>
              <w:autoSpaceDE w:val="0"/>
              <w:autoSpaceDN w:val="0"/>
              <w:adjustRightInd w:val="0"/>
              <w:spacing w:before="1" w:line="300" w:lineRule="exact"/>
              <w:jc w:val="left"/>
              <w:textAlignment w:val="baseline"/>
              <w:rPr>
                <w:rFonts w:asciiTheme="minorHAnsi" w:hAnsiTheme="minorHAnsi" w:cstheme="minorHAnsi"/>
                <w:color w:val="auto"/>
                <w:szCs w:val="21"/>
              </w:rPr>
            </w:pPr>
            <w:r>
              <w:rPr>
                <w:rFonts w:asciiTheme="minorHAnsi" w:hAnsiTheme="minorHAnsi" w:cstheme="minorHAnsi"/>
                <w:color w:val="auto"/>
                <w:szCs w:val="21"/>
              </w:rPr>
              <w:t>NOTE The pressure applied is usually a uniaxial pressure in a closed die. Compressibility may be expressed as the pressure needed to reach a required density or as the density obtained at a given pressure.</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5E740A54">
            <w:pPr>
              <w:spacing w:line="300" w:lineRule="exact"/>
              <w:jc w:val="left"/>
              <w:rPr>
                <w:rFonts w:asciiTheme="minorHAnsi" w:hAnsiTheme="minorHAnsi" w:cstheme="minorHAnsi"/>
                <w:color w:val="auto"/>
                <w:szCs w:val="21"/>
              </w:rPr>
            </w:pPr>
            <w:r>
              <w:rPr>
                <w:rFonts w:asciiTheme="minorHAnsi" w:hAnsiTheme="minorHAnsi" w:cstheme="minorHAnsi"/>
                <w:color w:val="auto"/>
                <w:szCs w:val="21"/>
              </w:rPr>
              <w:t>压缩性（compressibility）：在加压条件下粉末被压缩的程度，通常是在封闭模中的单轴向压制。它既可以表示为为了达到所需密度而所需的压力，也可表示在已知压力下得到的密度值（见GB/T1481）。</w:t>
            </w: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24BD155B">
            <w:pPr>
              <w:kinsoku w:val="0"/>
              <w:autoSpaceDE w:val="0"/>
              <w:autoSpaceDN w:val="0"/>
              <w:adjustRightInd w:val="0"/>
              <w:spacing w:line="300" w:lineRule="exact"/>
              <w:jc w:val="left"/>
              <w:textAlignment w:val="baseline"/>
              <w:outlineLvl w:val="2"/>
              <w:rPr>
                <w:rFonts w:asciiTheme="minorHAnsi" w:hAnsiTheme="minorHAnsi" w:cstheme="minorHAnsi"/>
                <w:b/>
                <w:color w:val="auto"/>
                <w:kern w:val="0"/>
                <w:szCs w:val="21"/>
              </w:rPr>
            </w:pPr>
            <w:r>
              <w:rPr>
                <w:rFonts w:asciiTheme="minorHAnsi" w:hAnsiTheme="minorHAnsi" w:cstheme="minorHAnsi"/>
                <w:b/>
                <w:color w:val="auto"/>
                <w:kern w:val="0"/>
                <w:szCs w:val="21"/>
              </w:rPr>
              <w:t>compressibility</w:t>
            </w:r>
          </w:p>
          <w:p w14:paraId="04E8F990">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capacity of a powder to be densified under an uniaxially applied pressure</w:t>
            </w:r>
          </w:p>
          <w:p w14:paraId="78BAB0F2">
            <w:pPr>
              <w:kinsoku w:val="0"/>
              <w:autoSpaceDE w:val="0"/>
              <w:autoSpaceDN w:val="0"/>
              <w:adjustRightInd w:val="0"/>
              <w:spacing w:before="1" w:line="300" w:lineRule="exact"/>
              <w:jc w:val="left"/>
              <w:textAlignment w:val="baseline"/>
              <w:rPr>
                <w:rFonts w:asciiTheme="minorHAnsi" w:hAnsiTheme="minorHAnsi" w:cstheme="minorHAnsi"/>
                <w:color w:val="auto"/>
                <w:kern w:val="0"/>
                <w:szCs w:val="21"/>
              </w:rPr>
            </w:pPr>
            <w:r>
              <w:rPr>
                <w:rFonts w:asciiTheme="minorHAnsi" w:hAnsiTheme="minorHAnsi" w:cstheme="minorHAnsi"/>
                <w:color w:val="auto"/>
                <w:kern w:val="0"/>
                <w:szCs w:val="21"/>
              </w:rPr>
              <w:t>Note 1 to entry: The pressure applied is usually a uniaxial pressure in a closed die. Compressibility may be expressed as the pressure needed to reach a required density or as the density obtained at a given pressure.</w:t>
            </w:r>
          </w:p>
          <w:p w14:paraId="2D23377D">
            <w:pPr>
              <w:kinsoku w:val="0"/>
              <w:autoSpaceDE w:val="0"/>
              <w:autoSpaceDN w:val="0"/>
              <w:adjustRightInd w:val="0"/>
              <w:spacing w:before="1" w:line="300" w:lineRule="exact"/>
              <w:jc w:val="left"/>
              <w:textAlignment w:val="baseline"/>
              <w:rPr>
                <w:rFonts w:asciiTheme="minorHAnsi" w:hAnsiTheme="minorHAnsi" w:cstheme="minorHAnsi"/>
                <w:color w:val="auto"/>
                <w:szCs w:val="21"/>
              </w:rPr>
            </w:pPr>
            <w:r>
              <w:rPr>
                <w:rFonts w:asciiTheme="minorHAnsi" w:hAnsiTheme="minorHAnsi" w:cstheme="minorHAnsi"/>
                <w:color w:val="auto"/>
                <w:kern w:val="0"/>
                <w:szCs w:val="21"/>
              </w:rPr>
              <w:t>Note 2 to entry: See ISO 3927.</w:t>
            </w:r>
          </w:p>
        </w:tc>
        <w:tc>
          <w:tcPr>
            <w:tcW w:w="2841" w:type="dxa"/>
            <w:tcBorders>
              <w:top w:val="single" w:color="auto" w:sz="4" w:space="0"/>
              <w:left w:val="single" w:color="auto" w:sz="4" w:space="0"/>
              <w:bottom w:val="single" w:color="auto" w:sz="4" w:space="0"/>
              <w:right w:val="single" w:color="auto" w:sz="4" w:space="0"/>
            </w:tcBorders>
            <w:shd w:val="clear" w:color="auto" w:fill="DAE3F3" w:themeFill="accent1" w:themeFillTint="32"/>
          </w:tcPr>
          <w:p w14:paraId="3B148EC0">
            <w:pPr>
              <w:pStyle w:val="58"/>
              <w:spacing w:line="300" w:lineRule="exact"/>
              <w:jc w:val="left"/>
              <w:rPr>
                <w:rStyle w:val="54"/>
                <w:rFonts w:eastAsia="宋体" w:asciiTheme="minorHAnsi" w:hAnsiTheme="minorHAnsi" w:cstheme="minorHAnsi"/>
                <w:b w:val="0"/>
                <w:bCs w:val="0"/>
                <w:color w:val="auto"/>
                <w:szCs w:val="21"/>
              </w:rPr>
            </w:pPr>
            <w:r>
              <w:rPr>
                <w:rStyle w:val="54"/>
                <w:rFonts w:eastAsia="宋体" w:asciiTheme="minorHAnsi" w:hAnsiTheme="minorHAnsi" w:cstheme="minorHAnsi"/>
                <w:color w:val="auto"/>
                <w:szCs w:val="21"/>
              </w:rPr>
              <w:t>压缩性  compressibility</w:t>
            </w:r>
          </w:p>
          <w:p w14:paraId="1EB53B83">
            <w:pPr>
              <w:spacing w:line="300" w:lineRule="exact"/>
              <w:ind w:firstLine="420"/>
              <w:jc w:val="left"/>
              <w:rPr>
                <w:rFonts w:asciiTheme="minorHAnsi" w:hAnsiTheme="minorHAnsi" w:cstheme="minorHAnsi"/>
                <w:color w:val="auto"/>
                <w:szCs w:val="21"/>
              </w:rPr>
            </w:pPr>
            <w:r>
              <w:rPr>
                <w:rFonts w:asciiTheme="minorHAnsi" w:hAnsiTheme="minorHAnsi" w:cstheme="minorHAnsi"/>
                <w:color w:val="auto"/>
                <w:szCs w:val="21"/>
              </w:rPr>
              <w:t>在单轴压制下粉末被压缩的程度。</w:t>
            </w:r>
          </w:p>
          <w:p w14:paraId="29B8C950">
            <w:pPr>
              <w:spacing w:line="300" w:lineRule="exact"/>
              <w:ind w:firstLine="420"/>
              <w:jc w:val="left"/>
              <w:rPr>
                <w:rFonts w:asciiTheme="minorHAnsi" w:hAnsiTheme="minorHAnsi" w:cstheme="minorHAnsi"/>
                <w:color w:val="auto"/>
                <w:szCs w:val="21"/>
              </w:rPr>
            </w:pPr>
            <w:r>
              <w:rPr>
                <w:rFonts w:asciiTheme="minorHAnsi" w:hAnsiTheme="minorHAnsi" w:cstheme="minorHAnsi"/>
                <w:color w:val="auto"/>
                <w:szCs w:val="21"/>
              </w:rPr>
              <w:t>注1：通常是在封闭模中的单轴向压制。它既可以表示为了达到所需密度而所需的压力，也可表示在已知压力下得到的密度值</w:t>
            </w:r>
          </w:p>
          <w:p w14:paraId="310FC8CC">
            <w:pPr>
              <w:spacing w:line="300" w:lineRule="exact"/>
              <w:ind w:firstLine="420"/>
              <w:jc w:val="left"/>
              <w:rPr>
                <w:rFonts w:asciiTheme="minorHAnsi" w:hAnsiTheme="minorHAnsi" w:cstheme="minorHAnsi"/>
                <w:color w:val="auto"/>
                <w:szCs w:val="21"/>
              </w:rPr>
            </w:pPr>
            <w:r>
              <w:rPr>
                <w:rFonts w:asciiTheme="minorHAnsi" w:hAnsiTheme="minorHAnsi" w:cstheme="minorHAnsi"/>
                <w:color w:val="auto"/>
                <w:szCs w:val="21"/>
              </w:rPr>
              <w:t>注2：见GB/T</w:t>
            </w:r>
            <w:r>
              <w:rPr>
                <w:rFonts w:hint="eastAsia" w:asciiTheme="minorHAnsi" w:hAnsiTheme="minorHAnsi" w:cstheme="minorHAnsi"/>
                <w:color w:val="auto"/>
                <w:szCs w:val="21"/>
              </w:rPr>
              <w:t xml:space="preserve"> </w:t>
            </w:r>
            <w:r>
              <w:rPr>
                <w:rFonts w:asciiTheme="minorHAnsi" w:hAnsiTheme="minorHAnsi" w:cstheme="minorHAnsi"/>
                <w:color w:val="auto"/>
                <w:szCs w:val="21"/>
              </w:rPr>
              <w:t>1481。</w:t>
            </w:r>
          </w:p>
          <w:p w14:paraId="4596FF91">
            <w:pPr>
              <w:kinsoku w:val="0"/>
              <w:autoSpaceDE w:val="0"/>
              <w:autoSpaceDN w:val="0"/>
              <w:adjustRightInd w:val="0"/>
              <w:spacing w:before="1" w:line="300" w:lineRule="exact"/>
              <w:jc w:val="left"/>
              <w:textAlignment w:val="baseline"/>
              <w:rPr>
                <w:rFonts w:asciiTheme="minorHAnsi" w:hAnsiTheme="minorHAnsi" w:cstheme="minorHAnsi"/>
                <w:color w:val="auto"/>
                <w:kern w:val="0"/>
                <w:szCs w:val="21"/>
              </w:rPr>
            </w:pPr>
          </w:p>
        </w:tc>
        <w:tc>
          <w:tcPr>
            <w:tcW w:w="2503" w:type="dxa"/>
            <w:tcBorders>
              <w:top w:val="single" w:color="auto" w:sz="4" w:space="0"/>
              <w:left w:val="single" w:color="auto" w:sz="4" w:space="0"/>
              <w:bottom w:val="single" w:color="auto" w:sz="4" w:space="0"/>
              <w:right w:val="single" w:color="auto" w:sz="4" w:space="0"/>
            </w:tcBorders>
            <w:shd w:val="clear" w:color="auto" w:fill="auto"/>
          </w:tcPr>
          <w:p w14:paraId="4CD74620">
            <w:pPr>
              <w:spacing w:line="300" w:lineRule="exact"/>
              <w:jc w:val="left"/>
              <w:rPr>
                <w:rFonts w:asciiTheme="minorHAnsi" w:hAnsiTheme="minorHAnsi" w:cstheme="minorHAnsi"/>
                <w:color w:val="auto"/>
                <w:szCs w:val="21"/>
              </w:rPr>
            </w:pPr>
            <w:r>
              <w:rPr>
                <w:rFonts w:asciiTheme="minorHAnsi" w:hAnsiTheme="minorHAnsi" w:cstheme="minorHAnsi"/>
                <w:color w:val="auto"/>
                <w:szCs w:val="21"/>
              </w:rPr>
              <w:t>压缩性</w:t>
            </w:r>
          </w:p>
          <w:p w14:paraId="79AA1B67">
            <w:pPr>
              <w:spacing w:line="300" w:lineRule="exact"/>
              <w:jc w:val="left"/>
              <w:rPr>
                <w:rFonts w:asciiTheme="minorHAnsi" w:hAnsiTheme="minorHAnsi" w:cstheme="minorHAnsi"/>
                <w:color w:val="auto"/>
                <w:szCs w:val="21"/>
              </w:rPr>
            </w:pPr>
            <w:r>
              <w:rPr>
                <w:rFonts w:asciiTheme="minorHAnsi" w:hAnsiTheme="minorHAnsi" w:cstheme="minorHAnsi"/>
                <w:color w:val="auto"/>
                <w:szCs w:val="21"/>
              </w:rPr>
              <w:t>在单轴向压力下粉末被压缩的程度。</w:t>
            </w:r>
          </w:p>
          <w:p w14:paraId="0DEA4032">
            <w:pPr>
              <w:spacing w:line="300" w:lineRule="exact"/>
              <w:jc w:val="left"/>
              <w:rPr>
                <w:rFonts w:asciiTheme="minorHAnsi" w:hAnsiTheme="minorHAnsi" w:cstheme="minorHAnsi"/>
                <w:color w:val="auto"/>
                <w:szCs w:val="21"/>
              </w:rPr>
            </w:pPr>
            <w:r>
              <w:rPr>
                <w:rFonts w:asciiTheme="minorHAnsi" w:hAnsiTheme="minorHAnsi" w:cstheme="minorHAnsi"/>
                <w:color w:val="auto"/>
                <w:szCs w:val="21"/>
              </w:rPr>
              <w:t>注1：施加的压力通常是封闭模具中的单轴压力。它既可以表示为为了达到所需密度而所需的压力，也可表示在已知压力下得到的密度。</w:t>
            </w:r>
          </w:p>
          <w:p w14:paraId="6EAD88B7">
            <w:pPr>
              <w:spacing w:line="300" w:lineRule="exact"/>
              <w:jc w:val="left"/>
              <w:rPr>
                <w:rFonts w:asciiTheme="minorHAnsi" w:hAnsiTheme="minorHAnsi" w:cstheme="minorHAnsi"/>
                <w:color w:val="auto"/>
                <w:szCs w:val="21"/>
              </w:rPr>
            </w:pPr>
            <w:r>
              <w:rPr>
                <w:rFonts w:asciiTheme="minorHAnsi" w:hAnsiTheme="minorHAnsi" w:cstheme="minorHAnsi"/>
                <w:color w:val="auto"/>
                <w:szCs w:val="21"/>
              </w:rPr>
              <w:t>注2：见ISO 3927。</w:t>
            </w:r>
          </w:p>
        </w:tc>
        <w:tc>
          <w:tcPr>
            <w:tcW w:w="2164" w:type="dxa"/>
            <w:tcBorders>
              <w:top w:val="single" w:color="auto" w:sz="4" w:space="0"/>
              <w:left w:val="single" w:color="auto" w:sz="4" w:space="0"/>
              <w:bottom w:val="single" w:color="auto" w:sz="4" w:space="0"/>
              <w:right w:val="single" w:color="auto" w:sz="4" w:space="0"/>
            </w:tcBorders>
            <w:shd w:val="clear" w:color="auto" w:fill="auto"/>
          </w:tcPr>
          <w:p w14:paraId="1262CA6C">
            <w:pPr>
              <w:spacing w:line="300" w:lineRule="exact"/>
              <w:jc w:val="left"/>
              <w:rPr>
                <w:rFonts w:asciiTheme="minorHAnsi" w:hAnsiTheme="minorHAnsi" w:cstheme="minorHAnsi"/>
                <w:color w:val="auto"/>
                <w:szCs w:val="21"/>
              </w:rPr>
            </w:pPr>
            <w:r>
              <w:rPr>
                <w:rFonts w:asciiTheme="minorHAnsi" w:hAnsiTheme="minorHAnsi" w:cstheme="minorHAnsi"/>
                <w:color w:val="auto"/>
                <w:szCs w:val="21"/>
              </w:rPr>
              <w:t>压缩性</w:t>
            </w:r>
            <w:r>
              <w:rPr>
                <w:rFonts w:asciiTheme="minorHAnsi" w:hAnsiTheme="minorHAnsi" w:cstheme="minorHAnsi"/>
                <w:color w:val="auto"/>
                <w:szCs w:val="21"/>
              </w:rPr>
              <w:br w:type="textWrapping"/>
            </w:r>
            <w:r>
              <w:rPr>
                <w:rFonts w:asciiTheme="minorHAnsi" w:hAnsiTheme="minorHAnsi" w:cstheme="minorHAnsi"/>
                <w:color w:val="auto"/>
                <w:szCs w:val="21"/>
              </w:rPr>
              <w:t>粉末在单轴向作用力下被致密化的能力</w:t>
            </w:r>
            <w:r>
              <w:rPr>
                <w:rFonts w:asciiTheme="minorHAnsi" w:hAnsiTheme="minorHAnsi" w:cstheme="minorHAnsi"/>
                <w:color w:val="auto"/>
                <w:szCs w:val="21"/>
              </w:rPr>
              <w:br w:type="textWrapping"/>
            </w:r>
            <w:r>
              <w:rPr>
                <w:rFonts w:asciiTheme="minorHAnsi" w:hAnsiTheme="minorHAnsi" w:cstheme="minorHAnsi"/>
                <w:color w:val="auto"/>
                <w:szCs w:val="21"/>
              </w:rPr>
              <w:br w:type="textWrapping"/>
            </w:r>
            <w:r>
              <w:rPr>
                <w:rFonts w:asciiTheme="minorHAnsi" w:hAnsiTheme="minorHAnsi" w:cstheme="minorHAnsi"/>
                <w:color w:val="auto"/>
                <w:szCs w:val="21"/>
              </w:rPr>
              <w:t>注1：所施加的压力通常为封闭模具中的单轴向压力。压缩性可表示为达到所需密度所需的压力，或在给定压力下获得的密度</w:t>
            </w:r>
            <w:r>
              <w:rPr>
                <w:rFonts w:asciiTheme="minorHAnsi" w:hAnsiTheme="minorHAnsi" w:cstheme="minorHAnsi"/>
                <w:color w:val="auto"/>
                <w:szCs w:val="21"/>
              </w:rPr>
              <w:br w:type="textWrapping"/>
            </w:r>
            <w:r>
              <w:rPr>
                <w:rFonts w:asciiTheme="minorHAnsi" w:hAnsiTheme="minorHAnsi" w:cstheme="minorHAnsi"/>
                <w:color w:val="auto"/>
                <w:szCs w:val="21"/>
              </w:rPr>
              <w:br w:type="textWrapping"/>
            </w:r>
            <w:r>
              <w:rPr>
                <w:rFonts w:asciiTheme="minorHAnsi" w:hAnsiTheme="minorHAnsi" w:cstheme="minorHAnsi"/>
                <w:color w:val="auto"/>
                <w:szCs w:val="21"/>
              </w:rPr>
              <w:t>注2：参见ISO 3927</w:t>
            </w:r>
          </w:p>
        </w:tc>
      </w:tr>
      <w:tr w14:paraId="25440E2B">
        <w:tblPrEx>
          <w:tblCellMar>
            <w:top w:w="0" w:type="dxa"/>
            <w:left w:w="108" w:type="dxa"/>
            <w:bottom w:w="0" w:type="dxa"/>
            <w:right w:w="108" w:type="dxa"/>
          </w:tblCellMar>
        </w:tblPrEx>
        <w:trPr>
          <w:trHeight w:val="2434"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525AD1FF">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3.1.25</w:t>
            </w: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0137032D">
            <w:pPr>
              <w:spacing w:before="120" w:after="120" w:line="300" w:lineRule="exact"/>
              <w:jc w:val="left"/>
              <w:rPr>
                <w:rFonts w:asciiTheme="minorHAnsi" w:hAnsiTheme="minorHAnsi" w:cstheme="minorHAnsi"/>
                <w:b/>
                <w:bCs/>
                <w:color w:val="auto"/>
                <w:kern w:val="0"/>
                <w:szCs w:val="21"/>
              </w:rPr>
            </w:pPr>
            <w:r>
              <w:rPr>
                <w:rFonts w:asciiTheme="minorHAnsi" w:hAnsiTheme="minorHAnsi" w:cstheme="minorHAnsi"/>
                <w:b/>
                <w:bCs/>
                <w:color w:val="auto"/>
                <w:kern w:val="0"/>
                <w:szCs w:val="21"/>
              </w:rPr>
              <w:t xml:space="preserve">compression ratio  </w:t>
            </w:r>
          </w:p>
          <w:p w14:paraId="3681792A">
            <w:pPr>
              <w:spacing w:before="120" w:after="120"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ratio of the volume of uncompacted powder to the volume of the compact, measured after ejection from the die</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2012135B">
            <w:pPr>
              <w:spacing w:before="120" w:after="120"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压缩比（compression ratio）：加压前粉末的体积与脱模后压坯的体积之比。</w:t>
            </w: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707D59DB">
            <w:pPr>
              <w:kinsoku w:val="0"/>
              <w:autoSpaceDE w:val="0"/>
              <w:autoSpaceDN w:val="0"/>
              <w:adjustRightInd w:val="0"/>
              <w:spacing w:line="300" w:lineRule="exact"/>
              <w:jc w:val="left"/>
              <w:textAlignment w:val="baseline"/>
              <w:outlineLvl w:val="2"/>
              <w:rPr>
                <w:rFonts w:asciiTheme="minorHAnsi" w:hAnsiTheme="minorHAnsi" w:cstheme="minorHAnsi"/>
                <w:b/>
                <w:color w:val="auto"/>
                <w:kern w:val="0"/>
                <w:szCs w:val="21"/>
              </w:rPr>
            </w:pPr>
            <w:r>
              <w:rPr>
                <w:rFonts w:asciiTheme="minorHAnsi" w:hAnsiTheme="minorHAnsi" w:cstheme="minorHAnsi"/>
                <w:b/>
                <w:color w:val="auto"/>
                <w:kern w:val="0"/>
                <w:szCs w:val="21"/>
              </w:rPr>
              <w:t>compression ratio</w:t>
            </w:r>
          </w:p>
          <w:p w14:paraId="13ED118F">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ratio of the volume of the loose powder to the volume of the compact made from it</w:t>
            </w:r>
          </w:p>
          <w:p w14:paraId="08C75D1D">
            <w:pPr>
              <w:spacing w:line="300" w:lineRule="exact"/>
              <w:jc w:val="left"/>
              <w:rPr>
                <w:rFonts w:asciiTheme="minorHAnsi" w:hAnsiTheme="minorHAnsi" w:cstheme="minorHAnsi"/>
                <w:color w:val="auto"/>
                <w:kern w:val="0"/>
                <w:szCs w:val="21"/>
              </w:rPr>
            </w:pP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634BE3EB">
            <w:pPr>
              <w:pStyle w:val="58"/>
              <w:spacing w:line="300" w:lineRule="exact"/>
              <w:jc w:val="left"/>
              <w:rPr>
                <w:rStyle w:val="54"/>
                <w:rFonts w:eastAsia="宋体" w:asciiTheme="minorHAnsi" w:hAnsiTheme="minorHAnsi" w:cstheme="minorHAnsi"/>
                <w:b w:val="0"/>
                <w:bCs w:val="0"/>
                <w:color w:val="auto"/>
                <w:kern w:val="0"/>
                <w:szCs w:val="21"/>
              </w:rPr>
            </w:pPr>
            <w:r>
              <w:rPr>
                <w:rStyle w:val="54"/>
                <w:rFonts w:eastAsia="宋体" w:asciiTheme="minorHAnsi" w:hAnsiTheme="minorHAnsi" w:cstheme="minorHAnsi"/>
                <w:color w:val="auto"/>
                <w:kern w:val="0"/>
                <w:szCs w:val="21"/>
              </w:rPr>
              <w:t>压缩比  compression ratio</w:t>
            </w:r>
          </w:p>
          <w:p w14:paraId="7173AC06">
            <w:pPr>
              <w:spacing w:line="300" w:lineRule="exact"/>
              <w:ind w:firstLine="420"/>
              <w:jc w:val="left"/>
              <w:rPr>
                <w:rFonts w:asciiTheme="minorHAnsi" w:hAnsiTheme="minorHAnsi" w:cstheme="minorHAnsi"/>
                <w:color w:val="auto"/>
                <w:kern w:val="0"/>
                <w:szCs w:val="21"/>
              </w:rPr>
            </w:pPr>
            <w:r>
              <w:rPr>
                <w:rFonts w:asciiTheme="minorHAnsi" w:hAnsiTheme="minorHAnsi" w:cstheme="minorHAnsi"/>
                <w:color w:val="auto"/>
                <w:kern w:val="0"/>
                <w:szCs w:val="21"/>
              </w:rPr>
              <w:t>松散粉末的体积与其所制成压坯的体积之比。</w:t>
            </w:r>
          </w:p>
          <w:p w14:paraId="7D9B5378">
            <w:pPr>
              <w:spacing w:line="300" w:lineRule="exact"/>
              <w:jc w:val="left"/>
              <w:rPr>
                <w:rFonts w:asciiTheme="minorHAnsi" w:hAnsiTheme="minorHAnsi" w:cstheme="minorHAnsi"/>
                <w:color w:val="auto"/>
                <w:kern w:val="0"/>
                <w:szCs w:val="21"/>
              </w:rPr>
            </w:pPr>
          </w:p>
        </w:tc>
        <w:tc>
          <w:tcPr>
            <w:tcW w:w="2503" w:type="dxa"/>
            <w:tcBorders>
              <w:top w:val="single" w:color="auto" w:sz="4" w:space="0"/>
              <w:left w:val="single" w:color="auto" w:sz="4" w:space="0"/>
              <w:bottom w:val="single" w:color="auto" w:sz="4" w:space="0"/>
              <w:right w:val="single" w:color="auto" w:sz="4" w:space="0"/>
            </w:tcBorders>
          </w:tcPr>
          <w:p w14:paraId="4ADE1502">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压缩比</w:t>
            </w:r>
          </w:p>
          <w:p w14:paraId="44D8D5A7">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松散粉末的体积与其被压缩脱模后压坯的体积比。</w:t>
            </w:r>
          </w:p>
        </w:tc>
        <w:tc>
          <w:tcPr>
            <w:tcW w:w="2164" w:type="dxa"/>
            <w:tcBorders>
              <w:top w:val="single" w:color="auto" w:sz="4" w:space="0"/>
              <w:left w:val="single" w:color="auto" w:sz="4" w:space="0"/>
              <w:bottom w:val="single" w:color="auto" w:sz="4" w:space="0"/>
              <w:right w:val="single" w:color="auto" w:sz="4" w:space="0"/>
            </w:tcBorders>
          </w:tcPr>
          <w:p w14:paraId="4D893F09">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压缩比</w:t>
            </w:r>
            <w:r>
              <w:rPr>
                <w:rFonts w:asciiTheme="minorHAnsi" w:hAnsiTheme="minorHAnsi" w:cstheme="minorHAnsi"/>
                <w:color w:val="auto"/>
                <w:kern w:val="0"/>
                <w:szCs w:val="21"/>
              </w:rPr>
              <w:br w:type="textWrapping"/>
            </w:r>
            <w:r>
              <w:rPr>
                <w:rFonts w:asciiTheme="minorHAnsi" w:hAnsiTheme="minorHAnsi" w:cstheme="minorHAnsi"/>
                <w:color w:val="auto"/>
                <w:kern w:val="0"/>
                <w:szCs w:val="21"/>
              </w:rPr>
              <w:t>松散粉末的体积与其所制成压坯的体积之比</w:t>
            </w:r>
          </w:p>
        </w:tc>
      </w:tr>
      <w:tr w14:paraId="0AA77B29">
        <w:tblPrEx>
          <w:tblCellMar>
            <w:top w:w="0" w:type="dxa"/>
            <w:left w:w="108" w:type="dxa"/>
            <w:bottom w:w="0" w:type="dxa"/>
            <w:right w:w="108" w:type="dxa"/>
          </w:tblCellMar>
        </w:tblPrEx>
        <w:trPr>
          <w:trHeight w:val="90"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3EE04F8D">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3.1.30</w:t>
            </w: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3E58BC73">
            <w:pPr>
              <w:spacing w:before="120" w:after="120" w:line="300" w:lineRule="exact"/>
              <w:jc w:val="left"/>
              <w:rPr>
                <w:rFonts w:asciiTheme="minorHAnsi" w:hAnsiTheme="minorHAnsi" w:cstheme="minorHAnsi"/>
                <w:color w:val="auto"/>
                <w:kern w:val="0"/>
                <w:szCs w:val="21"/>
              </w:rPr>
            </w:pPr>
            <w:r>
              <w:rPr>
                <w:rFonts w:asciiTheme="minorHAnsi" w:hAnsiTheme="minorHAnsi" w:cstheme="minorHAnsi"/>
                <w:b/>
                <w:bCs/>
                <w:color w:val="auto"/>
                <w:kern w:val="0"/>
                <w:szCs w:val="21"/>
              </w:rPr>
              <w:t xml:space="preserve">diffusion-alloyed powder </w:t>
            </w:r>
            <w:r>
              <w:rPr>
                <w:rFonts w:asciiTheme="minorHAnsi" w:hAnsiTheme="minorHAnsi" w:cstheme="minorHAnsi"/>
                <w:color w:val="auto"/>
                <w:kern w:val="0"/>
                <w:szCs w:val="21"/>
              </w:rPr>
              <w:t xml:space="preserve"> </w:t>
            </w:r>
          </w:p>
          <w:p w14:paraId="6D4254A7">
            <w:pPr>
              <w:spacing w:before="120" w:after="120"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partially alloyed powder produced by means of a thermal process</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24B67272">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扩散合金粉（diffusion-alloyed powder）：通过热处理制得的部分合金化粉。</w:t>
            </w: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065148EC">
            <w:pPr>
              <w:spacing w:line="300" w:lineRule="exact"/>
              <w:jc w:val="left"/>
              <w:rPr>
                <w:rFonts w:asciiTheme="minorHAnsi" w:hAnsiTheme="minorHAnsi" w:cstheme="minorHAnsi"/>
                <w:color w:val="auto"/>
                <w:kern w:val="0"/>
                <w:szCs w:val="21"/>
              </w:rPr>
            </w:pPr>
            <w:r>
              <w:rPr>
                <w:rFonts w:asciiTheme="minorHAnsi" w:hAnsiTheme="minorHAnsi" w:cstheme="minorHAnsi"/>
                <w:b/>
                <w:color w:val="auto"/>
                <w:kern w:val="0"/>
                <w:szCs w:val="21"/>
              </w:rPr>
              <w:t>diffusion-alloyed powder</w:t>
            </w:r>
          </w:p>
          <w:p w14:paraId="7767407A">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partially alloyed powder (3.1.3) produced by means of a thermal process involving diffusion</w:t>
            </w:r>
          </w:p>
          <w:p w14:paraId="4F2171BE">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 w:val="11"/>
                <w:szCs w:val="11"/>
                <w:shd w:val="clear" w:color="FFFFFF" w:fill="D9D9D9"/>
              </w:rPr>
              <w:t xml:space="preserve">heat treatment = </w:t>
            </w:r>
            <w:r>
              <w:rPr>
                <w:rFonts w:hint="eastAsia" w:asciiTheme="minorHAnsi" w:hAnsiTheme="minorHAnsi" w:cstheme="minorHAnsi"/>
                <w:color w:val="auto"/>
                <w:kern w:val="0"/>
                <w:sz w:val="11"/>
                <w:szCs w:val="11"/>
                <w:shd w:val="clear" w:color="FFFFFF" w:fill="D9D9D9"/>
              </w:rPr>
              <w:t>热处理</w:t>
            </w:r>
            <w:r>
              <w:rPr>
                <w:rFonts w:hint="eastAsia" w:asciiTheme="minorHAnsi" w:hAnsiTheme="minorHAnsi" w:cstheme="minorHAnsi"/>
                <w:color w:val="auto"/>
                <w:kern w:val="0"/>
                <w:sz w:val="11"/>
                <w:szCs w:val="11"/>
              </w:rPr>
              <w:t>（狭义专用术语）金属行业、粉末冶金标准固定指代：烧结成型后，对成品零件做组织</w:t>
            </w:r>
            <w:r>
              <w:rPr>
                <w:rFonts w:asciiTheme="minorHAnsi" w:hAnsiTheme="minorHAnsi" w:cstheme="minorHAnsi"/>
                <w:color w:val="auto"/>
                <w:kern w:val="0"/>
                <w:sz w:val="11"/>
                <w:szCs w:val="11"/>
              </w:rPr>
              <w:t xml:space="preserve"> / </w:t>
            </w:r>
            <w:r>
              <w:rPr>
                <w:rFonts w:hint="eastAsia" w:asciiTheme="minorHAnsi" w:hAnsiTheme="minorHAnsi" w:cstheme="minorHAnsi"/>
                <w:color w:val="auto"/>
                <w:kern w:val="0"/>
                <w:sz w:val="11"/>
                <w:szCs w:val="11"/>
              </w:rPr>
              <w:t>性能改性的加热工序（淬火、回火、渗碳、碳氮共渗等）。</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511575BE">
            <w:pPr>
              <w:pStyle w:val="58"/>
              <w:spacing w:line="300" w:lineRule="exact"/>
              <w:jc w:val="left"/>
              <w:rPr>
                <w:rFonts w:eastAsia="宋体" w:asciiTheme="minorHAnsi" w:hAnsiTheme="minorHAnsi" w:cstheme="minorHAnsi"/>
                <w:color w:val="auto"/>
                <w:kern w:val="0"/>
                <w:szCs w:val="21"/>
              </w:rPr>
            </w:pPr>
            <w:r>
              <w:rPr>
                <w:rStyle w:val="54"/>
                <w:rFonts w:eastAsia="宋体" w:asciiTheme="minorHAnsi" w:hAnsiTheme="minorHAnsi" w:cstheme="minorHAnsi"/>
                <w:color w:val="auto"/>
                <w:kern w:val="0"/>
                <w:szCs w:val="21"/>
              </w:rPr>
              <w:t>扩散合金粉  diffusion-alloyed powder</w:t>
            </w:r>
          </w:p>
          <w:p w14:paraId="3F52CD32">
            <w:pPr>
              <w:spacing w:line="300" w:lineRule="exact"/>
              <w:ind w:firstLine="420"/>
              <w:jc w:val="left"/>
              <w:rPr>
                <w:rFonts w:asciiTheme="minorHAnsi" w:hAnsiTheme="minorHAnsi" w:cstheme="minorHAnsi"/>
                <w:color w:val="auto"/>
                <w:kern w:val="0"/>
                <w:szCs w:val="21"/>
              </w:rPr>
            </w:pPr>
            <w:r>
              <w:rPr>
                <w:rFonts w:hint="eastAsia" w:asciiTheme="minorHAnsi" w:hAnsiTheme="minorHAnsi" w:cstheme="minorHAnsi"/>
                <w:color w:val="auto"/>
                <w:kern w:val="0"/>
                <w:szCs w:val="21"/>
              </w:rPr>
              <w:t>通过</w:t>
            </w:r>
            <w:r>
              <w:rPr>
                <w:rFonts w:hint="eastAsia" w:asciiTheme="minorHAnsi" w:hAnsiTheme="minorHAnsi" w:cstheme="minorHAnsi"/>
                <w:color w:val="auto"/>
                <w:kern w:val="0"/>
                <w:szCs w:val="21"/>
                <w:highlight w:val="yellow"/>
              </w:rPr>
              <w:t>扩散热处理</w:t>
            </w:r>
            <w:r>
              <w:rPr>
                <w:rFonts w:hint="eastAsia" w:asciiTheme="minorHAnsi" w:hAnsiTheme="minorHAnsi" w:cstheme="minorHAnsi"/>
                <w:color w:val="auto"/>
                <w:kern w:val="0"/>
                <w:szCs w:val="21"/>
              </w:rPr>
              <w:t>过程制备的部分合金粉</w:t>
            </w:r>
            <w:r>
              <w:rPr>
                <w:rFonts w:asciiTheme="minorHAnsi" w:hAnsiTheme="minorHAnsi" w:cstheme="minorHAnsi"/>
                <w:color w:val="auto"/>
                <w:kern w:val="0"/>
                <w:szCs w:val="21"/>
              </w:rPr>
              <w:t>（3.1.3）</w:t>
            </w:r>
            <w:r>
              <w:rPr>
                <w:rFonts w:hint="eastAsia" w:asciiTheme="minorHAnsi" w:hAnsiTheme="minorHAnsi" w:cstheme="minorHAnsi"/>
                <w:color w:val="auto"/>
                <w:kern w:val="0"/>
                <w:szCs w:val="21"/>
              </w:rPr>
              <w:t>。</w:t>
            </w:r>
          </w:p>
          <w:p w14:paraId="6696C277">
            <w:pPr>
              <w:spacing w:line="300" w:lineRule="exact"/>
              <w:ind w:firstLine="420"/>
              <w:jc w:val="left"/>
              <w:rPr>
                <w:rFonts w:asciiTheme="minorHAnsi" w:hAnsiTheme="minorHAnsi" w:cstheme="minorHAnsi"/>
                <w:color w:val="auto"/>
                <w:kern w:val="0"/>
                <w:szCs w:val="21"/>
              </w:rPr>
            </w:pPr>
            <w:r>
              <w:rPr>
                <w:rFonts w:hint="eastAsia" w:asciiTheme="minorHAnsi" w:hAnsiTheme="minorHAnsi" w:cstheme="minorHAnsi"/>
                <w:color w:val="auto"/>
                <w:kern w:val="0"/>
                <w:szCs w:val="21"/>
              </w:rPr>
              <w:t>通过扩散加热工艺制备的部分合金粉</w:t>
            </w:r>
            <w:r>
              <w:rPr>
                <w:rFonts w:asciiTheme="minorHAnsi" w:hAnsiTheme="minorHAnsi" w:cstheme="minorHAnsi"/>
                <w:color w:val="auto"/>
                <w:kern w:val="0"/>
                <w:szCs w:val="21"/>
              </w:rPr>
              <w:t>（3.1.3）</w:t>
            </w:r>
            <w:r>
              <w:rPr>
                <w:rFonts w:hint="eastAsia" w:asciiTheme="minorHAnsi" w:hAnsiTheme="minorHAnsi" w:cstheme="minorHAnsi"/>
                <w:color w:val="auto"/>
                <w:kern w:val="0"/>
                <w:szCs w:val="21"/>
              </w:rPr>
              <w:t>。</w:t>
            </w:r>
          </w:p>
          <w:p w14:paraId="40AF3E20">
            <w:pPr>
              <w:spacing w:line="300" w:lineRule="exact"/>
              <w:jc w:val="left"/>
              <w:rPr>
                <w:rFonts w:asciiTheme="minorHAnsi" w:hAnsiTheme="minorHAnsi" w:cstheme="minorHAnsi"/>
                <w:color w:val="auto"/>
                <w:kern w:val="0"/>
                <w:szCs w:val="21"/>
              </w:rPr>
            </w:pPr>
          </w:p>
        </w:tc>
        <w:tc>
          <w:tcPr>
            <w:tcW w:w="2503" w:type="dxa"/>
            <w:tcBorders>
              <w:top w:val="single" w:color="auto" w:sz="4" w:space="0"/>
              <w:left w:val="single" w:color="auto" w:sz="4" w:space="0"/>
              <w:bottom w:val="single" w:color="auto" w:sz="4" w:space="0"/>
              <w:right w:val="single" w:color="auto" w:sz="4" w:space="0"/>
            </w:tcBorders>
          </w:tcPr>
          <w:p w14:paraId="1DEF24DF">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扩散合金粉</w:t>
            </w:r>
          </w:p>
          <w:p w14:paraId="7A665148">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通过涉及扩散的热处理过程而得到的部分合金粉末(3.1.3)。</w:t>
            </w:r>
          </w:p>
        </w:tc>
        <w:tc>
          <w:tcPr>
            <w:tcW w:w="2164" w:type="dxa"/>
            <w:tcBorders>
              <w:top w:val="single" w:color="auto" w:sz="4" w:space="0"/>
              <w:left w:val="single" w:color="auto" w:sz="4" w:space="0"/>
              <w:bottom w:val="single" w:color="auto" w:sz="4" w:space="0"/>
              <w:right w:val="single" w:color="auto" w:sz="4" w:space="0"/>
            </w:tcBorders>
          </w:tcPr>
          <w:p w14:paraId="424921EE">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扩散合金粉</w:t>
            </w:r>
            <w:r>
              <w:rPr>
                <w:rFonts w:asciiTheme="minorHAnsi" w:hAnsiTheme="minorHAnsi" w:cstheme="minorHAnsi"/>
                <w:color w:val="auto"/>
                <w:kern w:val="0"/>
                <w:szCs w:val="21"/>
              </w:rPr>
              <w:br w:type="textWrapping"/>
            </w:r>
            <w:r>
              <w:rPr>
                <w:rFonts w:asciiTheme="minorHAnsi" w:hAnsiTheme="minorHAnsi" w:cstheme="minorHAnsi"/>
                <w:color w:val="auto"/>
                <w:kern w:val="0"/>
                <w:szCs w:val="21"/>
              </w:rPr>
              <w:t>通过涉及扩散的热处理工艺制备的部分合金化粉（3.1.3）</w:t>
            </w:r>
          </w:p>
        </w:tc>
      </w:tr>
      <w:tr w14:paraId="11F027E9">
        <w:tblPrEx>
          <w:tblCellMar>
            <w:top w:w="0" w:type="dxa"/>
            <w:left w:w="108" w:type="dxa"/>
            <w:bottom w:w="0" w:type="dxa"/>
            <w:right w:w="108" w:type="dxa"/>
          </w:tblCellMar>
        </w:tblPrEx>
        <w:trPr>
          <w:trHeight w:val="2262"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562C8340">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3.1.34</w:t>
            </w: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04B4004D">
            <w:pPr>
              <w:spacing w:before="120" w:after="120" w:line="300" w:lineRule="exact"/>
              <w:jc w:val="left"/>
              <w:rPr>
                <w:rFonts w:asciiTheme="minorHAnsi" w:hAnsiTheme="minorHAnsi" w:cstheme="minorHAnsi"/>
                <w:color w:val="auto"/>
                <w:kern w:val="0"/>
                <w:szCs w:val="21"/>
              </w:rPr>
            </w:pPr>
            <w:r>
              <w:rPr>
                <w:rFonts w:asciiTheme="minorHAnsi" w:hAnsiTheme="minorHAnsi" w:cstheme="minorHAnsi"/>
                <w:b/>
                <w:bCs/>
                <w:color w:val="auto"/>
                <w:kern w:val="0"/>
                <w:szCs w:val="21"/>
              </w:rPr>
              <w:t xml:space="preserve">feedstock </w:t>
            </w:r>
            <w:r>
              <w:rPr>
                <w:rFonts w:asciiTheme="minorHAnsi" w:hAnsiTheme="minorHAnsi" w:cstheme="minorHAnsi"/>
                <w:color w:val="auto"/>
                <w:kern w:val="0"/>
                <w:szCs w:val="21"/>
              </w:rPr>
              <w:t xml:space="preserve"> </w:t>
            </w:r>
          </w:p>
          <w:p w14:paraId="087C397B">
            <w:pPr>
              <w:spacing w:before="120" w:after="120"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plasticized powder used as raw material for injection moulding or powder extrusion</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20B5DD4E">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坯料（feedstock）：用作注射成形或粉末挤压原料的塑化粉末。</w:t>
            </w: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7BF7C6F5">
            <w:pPr>
              <w:kinsoku w:val="0"/>
              <w:autoSpaceDE w:val="0"/>
              <w:autoSpaceDN w:val="0"/>
              <w:adjustRightInd w:val="0"/>
              <w:spacing w:line="300" w:lineRule="exact"/>
              <w:jc w:val="left"/>
              <w:textAlignment w:val="baseline"/>
              <w:outlineLvl w:val="2"/>
              <w:rPr>
                <w:rFonts w:asciiTheme="minorHAnsi" w:hAnsiTheme="minorHAnsi" w:cstheme="minorHAnsi"/>
                <w:b/>
                <w:color w:val="auto"/>
                <w:kern w:val="0"/>
                <w:szCs w:val="21"/>
              </w:rPr>
            </w:pPr>
            <w:r>
              <w:rPr>
                <w:rFonts w:asciiTheme="minorHAnsi" w:hAnsiTheme="minorHAnsi" w:cstheme="minorHAnsi"/>
                <w:b/>
                <w:color w:val="auto"/>
                <w:kern w:val="0"/>
                <w:szCs w:val="21"/>
              </w:rPr>
              <w:t>feedstock</w:t>
            </w:r>
          </w:p>
          <w:p w14:paraId="6B98AC19">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mouldable mixture of metal powder and binder (3.1.9) used for injection moulding or powder extrusion</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5B0F281A">
            <w:pPr>
              <w:pStyle w:val="58"/>
              <w:spacing w:line="300" w:lineRule="exact"/>
              <w:jc w:val="left"/>
              <w:rPr>
                <w:rStyle w:val="54"/>
                <w:rFonts w:eastAsia="宋体" w:asciiTheme="minorHAnsi" w:hAnsiTheme="minorHAnsi" w:cstheme="minorHAnsi"/>
                <w:b w:val="0"/>
                <w:bCs w:val="0"/>
                <w:color w:val="auto"/>
                <w:kern w:val="0"/>
                <w:szCs w:val="21"/>
              </w:rPr>
            </w:pPr>
            <w:r>
              <w:rPr>
                <w:rStyle w:val="54"/>
                <w:rFonts w:eastAsia="宋体" w:asciiTheme="minorHAnsi" w:hAnsiTheme="minorHAnsi" w:cstheme="minorHAnsi"/>
                <w:color w:val="auto"/>
                <w:kern w:val="0"/>
                <w:szCs w:val="21"/>
              </w:rPr>
              <w:t>坯料  feedstock</w:t>
            </w:r>
          </w:p>
          <w:p w14:paraId="6F82525F">
            <w:pPr>
              <w:spacing w:line="300" w:lineRule="exact"/>
              <w:ind w:firstLine="420"/>
              <w:jc w:val="left"/>
              <w:rPr>
                <w:rFonts w:asciiTheme="minorHAnsi" w:hAnsiTheme="minorHAnsi" w:cstheme="minorHAnsi"/>
                <w:color w:val="auto"/>
                <w:kern w:val="0"/>
                <w:szCs w:val="21"/>
              </w:rPr>
            </w:pPr>
            <w:r>
              <w:rPr>
                <w:rFonts w:asciiTheme="minorHAnsi" w:hAnsiTheme="minorHAnsi" w:cstheme="minorHAnsi"/>
                <w:color w:val="auto"/>
                <w:kern w:val="0"/>
                <w:szCs w:val="21"/>
              </w:rPr>
              <w:t>用于注射成形或粉末挤压的金属粉末与粘结剂（3.1.9）的可模塑混合物。</w:t>
            </w:r>
          </w:p>
          <w:p w14:paraId="759EFA0C">
            <w:pPr>
              <w:spacing w:line="300" w:lineRule="exact"/>
              <w:jc w:val="left"/>
              <w:rPr>
                <w:rFonts w:asciiTheme="minorHAnsi" w:hAnsiTheme="minorHAnsi" w:cstheme="minorHAnsi"/>
                <w:color w:val="auto"/>
                <w:kern w:val="0"/>
                <w:szCs w:val="21"/>
              </w:rPr>
            </w:pPr>
          </w:p>
        </w:tc>
        <w:tc>
          <w:tcPr>
            <w:tcW w:w="2503" w:type="dxa"/>
            <w:tcBorders>
              <w:top w:val="single" w:color="auto" w:sz="4" w:space="0"/>
              <w:left w:val="single" w:color="auto" w:sz="4" w:space="0"/>
              <w:bottom w:val="single" w:color="auto" w:sz="4" w:space="0"/>
              <w:right w:val="single" w:color="auto" w:sz="4" w:space="0"/>
            </w:tcBorders>
          </w:tcPr>
          <w:p w14:paraId="6EEBA228">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坯料</w:t>
            </w:r>
          </w:p>
          <w:p w14:paraId="60B8C5DA">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用于注射成型或粉末挤压加工，可成型的金属粉末和粘合剂(3.1.9)的混合物。</w:t>
            </w:r>
          </w:p>
        </w:tc>
        <w:tc>
          <w:tcPr>
            <w:tcW w:w="2164" w:type="dxa"/>
            <w:tcBorders>
              <w:top w:val="single" w:color="auto" w:sz="4" w:space="0"/>
              <w:left w:val="single" w:color="auto" w:sz="4" w:space="0"/>
              <w:bottom w:val="single" w:color="auto" w:sz="4" w:space="0"/>
              <w:right w:val="single" w:color="auto" w:sz="4" w:space="0"/>
            </w:tcBorders>
          </w:tcPr>
          <w:p w14:paraId="2B8B16A3">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坯料</w:t>
            </w:r>
            <w:r>
              <w:rPr>
                <w:rFonts w:asciiTheme="minorHAnsi" w:hAnsiTheme="minorHAnsi" w:cstheme="minorHAnsi"/>
                <w:color w:val="auto"/>
                <w:kern w:val="0"/>
                <w:szCs w:val="21"/>
              </w:rPr>
              <w:br w:type="textWrapping"/>
            </w:r>
            <w:r>
              <w:rPr>
                <w:rFonts w:asciiTheme="minorHAnsi" w:hAnsiTheme="minorHAnsi" w:cstheme="minorHAnsi"/>
                <w:color w:val="auto"/>
                <w:kern w:val="0"/>
                <w:szCs w:val="21"/>
              </w:rPr>
              <w:t>用于注射成型或粉末挤压成型的金属粉末与粘结剂（3.1.9）的可塑混合物</w:t>
            </w:r>
          </w:p>
        </w:tc>
      </w:tr>
      <w:tr w14:paraId="447D369F">
        <w:tblPrEx>
          <w:tblCellMar>
            <w:top w:w="0" w:type="dxa"/>
            <w:left w:w="108" w:type="dxa"/>
            <w:bottom w:w="0" w:type="dxa"/>
            <w:right w:w="108" w:type="dxa"/>
          </w:tblCellMar>
        </w:tblPrEx>
        <w:trPr>
          <w:trHeight w:val="1832"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4537CE11">
            <w:pPr>
              <w:spacing w:line="300" w:lineRule="exact"/>
              <w:jc w:val="left"/>
              <w:rPr>
                <w:rFonts w:asciiTheme="minorHAnsi" w:hAnsiTheme="minorHAnsi" w:cstheme="minorHAnsi"/>
                <w:color w:val="auto"/>
                <w:kern w:val="0"/>
                <w:szCs w:val="21"/>
              </w:rPr>
            </w:pPr>
            <w:r>
              <w:rPr>
                <w:rFonts w:asciiTheme="minorHAnsi" w:hAnsiTheme="minorHAnsi" w:cstheme="minorHAnsi"/>
                <w:color w:val="auto"/>
                <w:szCs w:val="21"/>
              </w:rPr>
              <w:t>3.1.38</w:t>
            </w: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08E93367">
            <w:pPr>
              <w:snapToGrid w:val="0"/>
              <w:spacing w:before="120" w:after="120" w:line="300" w:lineRule="exact"/>
              <w:jc w:val="left"/>
              <w:rPr>
                <w:rFonts w:asciiTheme="minorHAnsi" w:hAnsiTheme="minorHAnsi" w:cstheme="minorHAnsi"/>
                <w:b/>
                <w:bCs/>
                <w:color w:val="auto"/>
                <w:szCs w:val="21"/>
              </w:rPr>
            </w:pPr>
            <w:r>
              <w:rPr>
                <w:rFonts w:asciiTheme="minorHAnsi" w:hAnsiTheme="minorHAnsi" w:cstheme="minorHAnsi"/>
                <w:b/>
                <w:bCs/>
                <w:color w:val="auto"/>
                <w:szCs w:val="21"/>
              </w:rPr>
              <w:t xml:space="preserve">flaky / flaked  </w:t>
            </w:r>
          </w:p>
          <w:p w14:paraId="7565A5FF">
            <w:pPr>
              <w:snapToGrid w:val="0"/>
              <w:spacing w:before="120" w:after="120" w:line="300" w:lineRule="exact"/>
              <w:jc w:val="left"/>
              <w:rPr>
                <w:rFonts w:asciiTheme="minorHAnsi" w:hAnsiTheme="minorHAnsi" w:cstheme="minorHAnsi"/>
                <w:color w:val="auto"/>
                <w:szCs w:val="21"/>
              </w:rPr>
            </w:pPr>
            <w:r>
              <w:rPr>
                <w:rFonts w:asciiTheme="minorHAnsi" w:hAnsiTheme="minorHAnsi" w:cstheme="minorHAnsi"/>
                <w:color w:val="auto"/>
                <w:szCs w:val="21"/>
              </w:rPr>
              <w:t xml:space="preserve">platelike  </w:t>
            </w:r>
          </w:p>
          <w:p w14:paraId="579E0E96">
            <w:pPr>
              <w:spacing w:before="120" w:after="120" w:line="300" w:lineRule="exact"/>
              <w:jc w:val="left"/>
              <w:rPr>
                <w:rFonts w:asciiTheme="minorHAnsi" w:hAnsiTheme="minorHAnsi" w:cstheme="minorHAnsi"/>
                <w:b/>
                <w:bCs/>
                <w:color w:val="auto"/>
                <w:kern w:val="0"/>
                <w:szCs w:val="21"/>
              </w:rPr>
            </w:pPr>
            <w:r>
              <w:rPr>
                <w:rFonts w:asciiTheme="minorHAnsi" w:hAnsiTheme="minorHAnsi" w:cstheme="minorHAnsi"/>
                <w:color w:val="auto"/>
                <w:szCs w:val="21"/>
              </w:rPr>
              <w:t>See Figure 6</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65A28082">
            <w:pPr>
              <w:spacing w:line="300" w:lineRule="exact"/>
              <w:jc w:val="left"/>
              <w:rPr>
                <w:rFonts w:asciiTheme="minorHAnsi" w:hAnsiTheme="minorHAnsi" w:cstheme="minorHAnsi"/>
                <w:color w:val="auto"/>
                <w:kern w:val="0"/>
                <w:szCs w:val="21"/>
              </w:rPr>
            </w:pPr>
            <w:r>
              <w:rPr>
                <w:rFonts w:asciiTheme="minorHAnsi" w:hAnsiTheme="minorHAnsi" w:cstheme="minorHAnsi"/>
                <w:color w:val="auto"/>
                <w:szCs w:val="21"/>
              </w:rPr>
              <w:t>片状（flaky,flaked）：粉末颗粒形状为扁平状（见图6）。</w:t>
            </w: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2628EA46">
            <w:pPr>
              <w:kinsoku w:val="0"/>
              <w:autoSpaceDE w:val="0"/>
              <w:autoSpaceDN w:val="0"/>
              <w:adjustRightInd w:val="0"/>
              <w:snapToGrid w:val="0"/>
              <w:spacing w:line="300" w:lineRule="exact"/>
              <w:jc w:val="left"/>
              <w:textAlignment w:val="baseline"/>
              <w:outlineLvl w:val="2"/>
              <w:rPr>
                <w:rFonts w:asciiTheme="minorHAnsi" w:hAnsiTheme="minorHAnsi" w:cstheme="minorHAnsi"/>
                <w:b/>
                <w:color w:val="auto"/>
                <w:kern w:val="0"/>
                <w:szCs w:val="21"/>
              </w:rPr>
            </w:pPr>
            <w:r>
              <w:rPr>
                <w:rFonts w:asciiTheme="minorHAnsi" w:hAnsiTheme="minorHAnsi" w:cstheme="minorHAnsi"/>
                <w:b/>
                <w:color w:val="auto"/>
                <w:kern w:val="0"/>
                <w:szCs w:val="21"/>
              </w:rPr>
              <w:t>flaky, adj.</w:t>
            </w:r>
          </w:p>
          <w:p w14:paraId="0AB03A41">
            <w:pPr>
              <w:snapToGrid w:val="0"/>
              <w:spacing w:line="300" w:lineRule="exact"/>
              <w:jc w:val="left"/>
              <w:rPr>
                <w:rFonts w:asciiTheme="minorHAnsi" w:hAnsiTheme="minorHAnsi" w:cstheme="minorHAnsi"/>
                <w:color w:val="auto"/>
                <w:kern w:val="0"/>
                <w:szCs w:val="21"/>
                <w:highlight w:val="red"/>
              </w:rPr>
            </w:pPr>
            <w:r>
              <w:rPr>
                <w:rFonts w:asciiTheme="minorHAnsi" w:hAnsiTheme="minorHAnsi" w:cstheme="minorHAnsi"/>
                <w:color w:val="auto"/>
                <w:kern w:val="0"/>
                <w:szCs w:val="21"/>
              </w:rPr>
              <w:t>plate-like particle form</w:t>
            </w:r>
          </w:p>
          <w:p w14:paraId="25B77348">
            <w:pPr>
              <w:kinsoku w:val="0"/>
              <w:autoSpaceDE w:val="0"/>
              <w:autoSpaceDN w:val="0"/>
              <w:adjustRightInd w:val="0"/>
              <w:spacing w:line="300" w:lineRule="exact"/>
              <w:jc w:val="left"/>
              <w:textAlignment w:val="baseline"/>
              <w:outlineLvl w:val="2"/>
              <w:rPr>
                <w:rFonts w:asciiTheme="minorHAnsi" w:hAnsiTheme="minorHAnsi" w:cstheme="minorHAnsi"/>
                <w:b/>
                <w:color w:val="auto"/>
                <w:kern w:val="0"/>
                <w:szCs w:val="21"/>
              </w:rPr>
            </w:pPr>
            <w:r>
              <w:rPr>
                <w:rFonts w:asciiTheme="minorHAnsi" w:hAnsiTheme="minorHAnsi" w:cstheme="minorHAnsi"/>
                <w:color w:val="auto"/>
                <w:kern w:val="0"/>
                <w:szCs w:val="21"/>
              </w:rPr>
              <w:t>Note 1 to entry: See Figure 6.</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09CE5652">
            <w:pPr>
              <w:pStyle w:val="58"/>
              <w:snapToGrid w:val="0"/>
              <w:spacing w:line="300" w:lineRule="exact"/>
              <w:jc w:val="left"/>
              <w:rPr>
                <w:rStyle w:val="54"/>
                <w:rFonts w:eastAsia="宋体" w:asciiTheme="minorHAnsi" w:hAnsiTheme="minorHAnsi" w:cstheme="minorHAnsi"/>
                <w:b w:val="0"/>
                <w:bCs w:val="0"/>
                <w:color w:val="auto"/>
                <w:szCs w:val="21"/>
              </w:rPr>
            </w:pPr>
            <w:r>
              <w:rPr>
                <w:rStyle w:val="54"/>
                <w:rFonts w:eastAsia="宋体" w:asciiTheme="minorHAnsi" w:hAnsiTheme="minorHAnsi" w:cstheme="minorHAnsi"/>
                <w:color w:val="auto"/>
                <w:szCs w:val="21"/>
              </w:rPr>
              <w:t>片状</w:t>
            </w:r>
            <w:r>
              <w:rPr>
                <w:rStyle w:val="54"/>
                <w:rFonts w:hint="eastAsia" w:eastAsia="宋体" w:asciiTheme="minorHAnsi" w:hAnsiTheme="minorHAnsi" w:cstheme="minorHAnsi"/>
                <w:color w:val="auto"/>
                <w:szCs w:val="21"/>
              </w:rPr>
              <w:t>（形容词）</w:t>
            </w:r>
            <w:r>
              <w:rPr>
                <w:rStyle w:val="54"/>
                <w:rFonts w:eastAsia="宋体" w:asciiTheme="minorHAnsi" w:hAnsiTheme="minorHAnsi" w:cstheme="minorHAnsi"/>
                <w:color w:val="auto"/>
                <w:szCs w:val="21"/>
              </w:rPr>
              <w:t xml:space="preserve">  flaky</w:t>
            </w:r>
          </w:p>
          <w:p w14:paraId="4BD22E01">
            <w:pPr>
              <w:snapToGrid w:val="0"/>
              <w:spacing w:line="300" w:lineRule="exact"/>
              <w:ind w:firstLine="420"/>
              <w:jc w:val="left"/>
              <w:rPr>
                <w:rFonts w:asciiTheme="minorHAnsi" w:hAnsiTheme="minorHAnsi" w:cstheme="minorHAnsi"/>
                <w:color w:val="auto"/>
                <w:szCs w:val="21"/>
              </w:rPr>
            </w:pPr>
            <w:r>
              <w:rPr>
                <w:rFonts w:asciiTheme="minorHAnsi" w:hAnsiTheme="minorHAnsi" w:cstheme="minorHAnsi"/>
                <w:color w:val="auto"/>
                <w:szCs w:val="21"/>
              </w:rPr>
              <w:t>粉末颗粒形状为扁平状。</w:t>
            </w:r>
          </w:p>
          <w:p w14:paraId="593BA844">
            <w:pPr>
              <w:pStyle w:val="58"/>
              <w:spacing w:line="300" w:lineRule="exact"/>
              <w:jc w:val="left"/>
              <w:rPr>
                <w:rStyle w:val="54"/>
                <w:rFonts w:eastAsia="宋体" w:asciiTheme="minorHAnsi" w:hAnsiTheme="minorHAnsi" w:cstheme="minorHAnsi"/>
                <w:b w:val="0"/>
                <w:bCs w:val="0"/>
                <w:color w:val="auto"/>
                <w:kern w:val="0"/>
                <w:szCs w:val="21"/>
              </w:rPr>
            </w:pPr>
            <w:r>
              <w:rPr>
                <w:rFonts w:eastAsia="宋体" w:asciiTheme="minorHAnsi" w:hAnsiTheme="minorHAnsi" w:cstheme="minorHAnsi"/>
                <w:color w:val="auto"/>
                <w:szCs w:val="21"/>
              </w:rPr>
              <w:t>注</w:t>
            </w:r>
            <w:r>
              <w:rPr>
                <w:rFonts w:hint="eastAsia" w:eastAsia="宋体" w:asciiTheme="minorHAnsi" w:hAnsiTheme="minorHAnsi" w:cstheme="minorHAnsi"/>
                <w:color w:val="auto"/>
                <w:szCs w:val="21"/>
              </w:rPr>
              <w:t>1</w:t>
            </w:r>
            <w:r>
              <w:rPr>
                <w:rFonts w:eastAsia="宋体" w:asciiTheme="minorHAnsi" w:hAnsiTheme="minorHAnsi" w:cstheme="minorHAnsi"/>
                <w:color w:val="auto"/>
                <w:szCs w:val="21"/>
              </w:rPr>
              <w:t>：</w:t>
            </w:r>
            <w:r>
              <w:rPr>
                <w:rFonts w:hint="eastAsia" w:eastAsia="宋体" w:asciiTheme="minorHAnsi" w:hAnsiTheme="minorHAnsi" w:cstheme="minorHAnsi"/>
                <w:color w:val="auto"/>
                <w:szCs w:val="21"/>
              </w:rPr>
              <w:t>见图6。</w:t>
            </w:r>
          </w:p>
        </w:tc>
        <w:tc>
          <w:tcPr>
            <w:tcW w:w="2503" w:type="dxa"/>
            <w:tcBorders>
              <w:top w:val="single" w:color="auto" w:sz="4" w:space="0"/>
              <w:left w:val="single" w:color="auto" w:sz="4" w:space="0"/>
              <w:bottom w:val="single" w:color="auto" w:sz="4" w:space="0"/>
              <w:right w:val="single" w:color="auto" w:sz="4" w:space="0"/>
            </w:tcBorders>
          </w:tcPr>
          <w:p w14:paraId="60B3129E">
            <w:pPr>
              <w:snapToGrid w:val="0"/>
              <w:spacing w:line="300" w:lineRule="exact"/>
              <w:jc w:val="left"/>
              <w:rPr>
                <w:rFonts w:asciiTheme="minorHAnsi" w:hAnsiTheme="minorHAnsi" w:cstheme="minorHAnsi"/>
                <w:color w:val="auto"/>
                <w:szCs w:val="21"/>
              </w:rPr>
            </w:pPr>
            <w:r>
              <w:rPr>
                <w:rFonts w:asciiTheme="minorHAnsi" w:hAnsiTheme="minorHAnsi" w:cstheme="minorHAnsi"/>
                <w:color w:val="auto"/>
                <w:szCs w:val="21"/>
              </w:rPr>
              <w:t>片状</w:t>
            </w:r>
          </w:p>
          <w:p w14:paraId="50DE100A">
            <w:pPr>
              <w:snapToGrid w:val="0"/>
              <w:spacing w:line="300" w:lineRule="exact"/>
              <w:jc w:val="left"/>
              <w:rPr>
                <w:rFonts w:asciiTheme="minorHAnsi" w:hAnsiTheme="minorHAnsi" w:cstheme="minorHAnsi"/>
                <w:color w:val="auto"/>
                <w:szCs w:val="21"/>
              </w:rPr>
            </w:pPr>
            <w:r>
              <w:rPr>
                <w:rFonts w:asciiTheme="minorHAnsi" w:hAnsiTheme="minorHAnsi" w:cstheme="minorHAnsi"/>
                <w:color w:val="auto"/>
                <w:szCs w:val="21"/>
              </w:rPr>
              <w:t>粉末颗粒形状为扁平状。</w:t>
            </w:r>
          </w:p>
          <w:p w14:paraId="721A24E6">
            <w:pPr>
              <w:spacing w:line="300" w:lineRule="exact"/>
              <w:jc w:val="left"/>
              <w:rPr>
                <w:rFonts w:asciiTheme="minorHAnsi" w:hAnsiTheme="minorHAnsi" w:cstheme="minorHAnsi"/>
                <w:color w:val="auto"/>
                <w:kern w:val="0"/>
                <w:szCs w:val="21"/>
              </w:rPr>
            </w:pPr>
            <w:r>
              <w:rPr>
                <w:rFonts w:asciiTheme="minorHAnsi" w:hAnsiTheme="minorHAnsi" w:cstheme="minorHAnsi"/>
                <w:color w:val="auto"/>
                <w:szCs w:val="21"/>
              </w:rPr>
              <w:t>注1：见图6。</w:t>
            </w:r>
          </w:p>
        </w:tc>
        <w:tc>
          <w:tcPr>
            <w:tcW w:w="2164" w:type="dxa"/>
            <w:tcBorders>
              <w:top w:val="single" w:color="auto" w:sz="4" w:space="0"/>
              <w:left w:val="single" w:color="auto" w:sz="4" w:space="0"/>
              <w:bottom w:val="single" w:color="auto" w:sz="4" w:space="0"/>
              <w:right w:val="single" w:color="auto" w:sz="4" w:space="0"/>
            </w:tcBorders>
          </w:tcPr>
          <w:p w14:paraId="70068084">
            <w:pPr>
              <w:spacing w:line="300" w:lineRule="exact"/>
              <w:jc w:val="left"/>
              <w:rPr>
                <w:rFonts w:asciiTheme="minorHAnsi" w:hAnsiTheme="minorHAnsi" w:cstheme="minorHAnsi"/>
                <w:color w:val="auto"/>
                <w:kern w:val="0"/>
                <w:szCs w:val="21"/>
              </w:rPr>
            </w:pPr>
            <w:r>
              <w:rPr>
                <w:rFonts w:asciiTheme="minorHAnsi" w:hAnsiTheme="minorHAnsi" w:cstheme="minorHAnsi"/>
                <w:color w:val="auto"/>
                <w:szCs w:val="21"/>
              </w:rPr>
              <w:t>片状，形容词</w:t>
            </w:r>
            <w:r>
              <w:rPr>
                <w:rFonts w:asciiTheme="minorHAnsi" w:hAnsiTheme="minorHAnsi" w:cstheme="minorHAnsi"/>
                <w:color w:val="auto"/>
                <w:szCs w:val="21"/>
              </w:rPr>
              <w:br w:type="textWrapping"/>
            </w:r>
            <w:r>
              <w:rPr>
                <w:rFonts w:asciiTheme="minorHAnsi" w:hAnsiTheme="minorHAnsi" w:cstheme="minorHAnsi"/>
                <w:color w:val="auto"/>
                <w:szCs w:val="21"/>
              </w:rPr>
              <w:t>具有扁平薄片状的颗粒形态</w:t>
            </w:r>
            <w:r>
              <w:rPr>
                <w:rFonts w:asciiTheme="minorHAnsi" w:hAnsiTheme="minorHAnsi" w:cstheme="minorHAnsi"/>
                <w:color w:val="auto"/>
                <w:szCs w:val="21"/>
              </w:rPr>
              <w:br w:type="textWrapping"/>
            </w:r>
            <w:r>
              <w:rPr>
                <w:rFonts w:asciiTheme="minorHAnsi" w:hAnsiTheme="minorHAnsi" w:cstheme="minorHAnsi"/>
                <w:color w:val="auto"/>
                <w:szCs w:val="21"/>
              </w:rPr>
              <w:t>注1：参见图6</w:t>
            </w:r>
          </w:p>
        </w:tc>
      </w:tr>
      <w:tr w14:paraId="316D6C42">
        <w:tblPrEx>
          <w:tblCellMar>
            <w:top w:w="0" w:type="dxa"/>
            <w:left w:w="108" w:type="dxa"/>
            <w:bottom w:w="0" w:type="dxa"/>
            <w:right w:w="108" w:type="dxa"/>
          </w:tblCellMar>
        </w:tblPrEx>
        <w:trPr>
          <w:trHeight w:val="2655"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12A5568B">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3.1.39</w:t>
            </w: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6BF5D1BC">
            <w:pPr>
              <w:spacing w:before="120" w:after="120" w:line="300" w:lineRule="exact"/>
              <w:jc w:val="left"/>
              <w:rPr>
                <w:rFonts w:asciiTheme="minorHAnsi" w:hAnsiTheme="minorHAnsi" w:cstheme="minorHAnsi"/>
                <w:b/>
                <w:bCs/>
                <w:color w:val="auto"/>
                <w:kern w:val="0"/>
                <w:szCs w:val="21"/>
              </w:rPr>
            </w:pPr>
            <w:r>
              <w:rPr>
                <w:rFonts w:asciiTheme="minorHAnsi" w:hAnsiTheme="minorHAnsi" w:cstheme="minorHAnsi"/>
                <w:b/>
                <w:bCs/>
                <w:color w:val="auto"/>
                <w:kern w:val="0"/>
                <w:szCs w:val="21"/>
              </w:rPr>
              <w:t xml:space="preserve">flowability  </w:t>
            </w:r>
          </w:p>
          <w:p w14:paraId="507BFED3">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qualitative term describing the behaviour of a powder when flowing through an opening (see ISO 4490)</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3FEBC349">
            <w:pPr>
              <w:spacing w:before="120" w:after="120"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流动性（flowability）：描述粉末流过一个限定孔的定性术语（见GB/T1482）。</w:t>
            </w:r>
          </w:p>
          <w:p w14:paraId="52AFB12B">
            <w:pPr>
              <w:spacing w:line="300" w:lineRule="exact"/>
              <w:jc w:val="left"/>
              <w:rPr>
                <w:rFonts w:asciiTheme="minorHAnsi" w:hAnsiTheme="minorHAnsi" w:cstheme="minorHAnsi"/>
                <w:color w:val="auto"/>
                <w:szCs w:val="21"/>
              </w:rPr>
            </w:pP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392C9CCF">
            <w:pPr>
              <w:kinsoku w:val="0"/>
              <w:autoSpaceDE w:val="0"/>
              <w:autoSpaceDN w:val="0"/>
              <w:adjustRightInd w:val="0"/>
              <w:spacing w:line="300" w:lineRule="exact"/>
              <w:jc w:val="left"/>
              <w:textAlignment w:val="baseline"/>
              <w:outlineLvl w:val="2"/>
              <w:rPr>
                <w:rFonts w:asciiTheme="minorHAnsi" w:hAnsiTheme="minorHAnsi" w:cstheme="minorHAnsi"/>
                <w:b/>
                <w:color w:val="auto"/>
                <w:kern w:val="0"/>
                <w:szCs w:val="21"/>
              </w:rPr>
            </w:pPr>
            <w:r>
              <w:rPr>
                <w:rFonts w:asciiTheme="minorHAnsi" w:hAnsiTheme="minorHAnsi" w:cstheme="minorHAnsi"/>
                <w:b/>
                <w:color w:val="auto"/>
                <w:kern w:val="0"/>
                <w:szCs w:val="21"/>
              </w:rPr>
              <w:t>flowability</w:t>
            </w:r>
          </w:p>
          <w:p w14:paraId="7F887109">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&lt;qualitative term&gt; behaviour of a powder when flowing through a funnel of defined dimension</w:t>
            </w:r>
          </w:p>
          <w:p w14:paraId="30655D2F">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Note 1 to entry: See ISO 4490 and ISO 13517.</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3BB491BE">
            <w:pPr>
              <w:pStyle w:val="58"/>
              <w:spacing w:line="300" w:lineRule="exact"/>
              <w:jc w:val="left"/>
              <w:rPr>
                <w:rStyle w:val="54"/>
                <w:rFonts w:eastAsia="宋体" w:asciiTheme="minorHAnsi" w:hAnsiTheme="minorHAnsi" w:cstheme="minorHAnsi"/>
                <w:b w:val="0"/>
                <w:bCs w:val="0"/>
                <w:color w:val="auto"/>
                <w:kern w:val="0"/>
                <w:szCs w:val="21"/>
              </w:rPr>
            </w:pPr>
            <w:r>
              <w:rPr>
                <w:rStyle w:val="54"/>
                <w:rFonts w:eastAsia="宋体" w:asciiTheme="minorHAnsi" w:hAnsiTheme="minorHAnsi" w:cstheme="minorHAnsi"/>
                <w:color w:val="auto"/>
                <w:kern w:val="0"/>
                <w:szCs w:val="21"/>
              </w:rPr>
              <w:t>流动性  flowability</w:t>
            </w:r>
          </w:p>
          <w:p w14:paraId="1947EC4F">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&lt;定性术语&gt;粉末流经规定孔径漏斗的行为。</w:t>
            </w:r>
          </w:p>
          <w:p w14:paraId="774154B5">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注1：见GB/T 1482和GB/T 41329。</w:t>
            </w:r>
          </w:p>
        </w:tc>
        <w:tc>
          <w:tcPr>
            <w:tcW w:w="2503" w:type="dxa"/>
            <w:tcBorders>
              <w:top w:val="single" w:color="auto" w:sz="4" w:space="0"/>
              <w:left w:val="single" w:color="auto" w:sz="4" w:space="0"/>
              <w:bottom w:val="single" w:color="auto" w:sz="4" w:space="0"/>
              <w:right w:val="single" w:color="auto" w:sz="4" w:space="0"/>
            </w:tcBorders>
          </w:tcPr>
          <w:p w14:paraId="205BA4EF">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流动性</w:t>
            </w:r>
          </w:p>
          <w:p w14:paraId="76D31DFE">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&lt;定性术语&gt;粉末通过限定孔径漏斗的行为。</w:t>
            </w:r>
          </w:p>
          <w:p w14:paraId="1C3289D1">
            <w:pPr>
              <w:spacing w:line="300" w:lineRule="exact"/>
              <w:jc w:val="left"/>
              <w:rPr>
                <w:rFonts w:asciiTheme="minorHAnsi" w:hAnsiTheme="minorHAnsi" w:cstheme="minorHAnsi"/>
                <w:color w:val="auto"/>
                <w:szCs w:val="21"/>
              </w:rPr>
            </w:pPr>
          </w:p>
        </w:tc>
        <w:tc>
          <w:tcPr>
            <w:tcW w:w="2164" w:type="dxa"/>
            <w:tcBorders>
              <w:top w:val="single" w:color="auto" w:sz="4" w:space="0"/>
              <w:left w:val="single" w:color="auto" w:sz="4" w:space="0"/>
              <w:bottom w:val="single" w:color="auto" w:sz="4" w:space="0"/>
              <w:right w:val="single" w:color="auto" w:sz="4" w:space="0"/>
            </w:tcBorders>
          </w:tcPr>
          <w:p w14:paraId="59DDEA2B">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流动性</w:t>
            </w:r>
            <w:r>
              <w:rPr>
                <w:rFonts w:asciiTheme="minorHAnsi" w:hAnsiTheme="minorHAnsi" w:cstheme="minorHAnsi"/>
                <w:color w:val="auto"/>
                <w:kern w:val="0"/>
                <w:szCs w:val="21"/>
              </w:rPr>
              <w:br w:type="textWrapping"/>
            </w:r>
            <w:r>
              <w:rPr>
                <w:rFonts w:asciiTheme="minorHAnsi" w:hAnsiTheme="minorHAnsi" w:cstheme="minorHAnsi"/>
                <w:color w:val="auto"/>
                <w:kern w:val="0"/>
                <w:szCs w:val="21"/>
              </w:rPr>
              <w:t>&lt;定性术语&gt; 粉末流经规定尺寸漏斗时的行为</w:t>
            </w:r>
            <w:r>
              <w:rPr>
                <w:rFonts w:asciiTheme="minorHAnsi" w:hAnsiTheme="minorHAnsi" w:cstheme="minorHAnsi"/>
                <w:color w:val="auto"/>
                <w:kern w:val="0"/>
                <w:szCs w:val="21"/>
              </w:rPr>
              <w:br w:type="textWrapping"/>
            </w:r>
            <w:r>
              <w:rPr>
                <w:rFonts w:asciiTheme="minorHAnsi" w:hAnsiTheme="minorHAnsi" w:cstheme="minorHAnsi"/>
                <w:color w:val="auto"/>
                <w:kern w:val="0"/>
                <w:szCs w:val="21"/>
              </w:rPr>
              <w:br w:type="textWrapping"/>
            </w:r>
            <w:r>
              <w:rPr>
                <w:rFonts w:asciiTheme="minorHAnsi" w:hAnsiTheme="minorHAnsi" w:cstheme="minorHAnsi"/>
                <w:color w:val="auto"/>
                <w:kern w:val="0"/>
                <w:szCs w:val="21"/>
              </w:rPr>
              <w:t>注1：参见ISO 4490和ISO 13517</w:t>
            </w:r>
          </w:p>
        </w:tc>
      </w:tr>
      <w:tr w14:paraId="26D23B0C">
        <w:tblPrEx>
          <w:tblCellMar>
            <w:top w:w="0" w:type="dxa"/>
            <w:left w:w="108" w:type="dxa"/>
            <w:bottom w:w="0" w:type="dxa"/>
            <w:right w:w="108" w:type="dxa"/>
          </w:tblCellMar>
        </w:tblPrEx>
        <w:trPr>
          <w:trHeight w:val="1268"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4DDEE463">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3.1.42</w:t>
            </w: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7AEC7D95">
            <w:pPr>
              <w:spacing w:before="120" w:after="120" w:line="300" w:lineRule="exact"/>
              <w:jc w:val="left"/>
              <w:rPr>
                <w:rFonts w:asciiTheme="minorHAnsi" w:hAnsiTheme="minorHAnsi" w:cstheme="minorHAnsi"/>
                <w:color w:val="auto"/>
                <w:kern w:val="0"/>
                <w:szCs w:val="21"/>
              </w:rPr>
            </w:pPr>
            <w:r>
              <w:rPr>
                <w:rFonts w:asciiTheme="minorHAnsi" w:hAnsiTheme="minorHAnsi" w:cstheme="minorHAnsi"/>
                <w:b/>
                <w:bCs/>
                <w:color w:val="auto"/>
                <w:kern w:val="0"/>
                <w:szCs w:val="21"/>
              </w:rPr>
              <w:t xml:space="preserve">granular </w:t>
            </w:r>
            <w:r>
              <w:rPr>
                <w:rFonts w:asciiTheme="minorHAnsi" w:hAnsiTheme="minorHAnsi" w:cstheme="minorHAnsi"/>
                <w:color w:val="auto"/>
                <w:kern w:val="0"/>
                <w:szCs w:val="21"/>
              </w:rPr>
              <w:t xml:space="preserve"> </w:t>
            </w:r>
          </w:p>
          <w:p w14:paraId="5D9AB23E">
            <w:pPr>
              <w:spacing w:before="120" w:after="120"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 xml:space="preserve">approximately equidimensional but of irregular shape  </w:t>
            </w:r>
          </w:p>
          <w:p w14:paraId="12B4CAC5">
            <w:pPr>
              <w:spacing w:before="120" w:after="120"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See Figure 7</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3CD39DAA">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粒状（granular）：粉末颗粒接近等轴，但形状不规则（见图7）。</w:t>
            </w: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1D546225">
            <w:pPr>
              <w:kinsoku w:val="0"/>
              <w:autoSpaceDE w:val="0"/>
              <w:autoSpaceDN w:val="0"/>
              <w:adjustRightInd w:val="0"/>
              <w:spacing w:line="300" w:lineRule="exact"/>
              <w:jc w:val="left"/>
              <w:textAlignment w:val="baseline"/>
              <w:outlineLvl w:val="2"/>
              <w:rPr>
                <w:rFonts w:asciiTheme="minorHAnsi" w:hAnsiTheme="minorHAnsi" w:cstheme="minorHAnsi"/>
                <w:b/>
                <w:color w:val="auto"/>
                <w:kern w:val="0"/>
                <w:szCs w:val="21"/>
              </w:rPr>
            </w:pPr>
            <w:r>
              <w:rPr>
                <w:rFonts w:asciiTheme="minorHAnsi" w:hAnsiTheme="minorHAnsi" w:cstheme="minorHAnsi"/>
                <w:b/>
                <w:color w:val="auto"/>
                <w:kern w:val="0"/>
                <w:szCs w:val="21"/>
              </w:rPr>
              <w:t>granular, adj.</w:t>
            </w:r>
          </w:p>
          <w:p w14:paraId="4945E1AF">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approximately equidimensional non-spherical shape</w:t>
            </w:r>
          </w:p>
          <w:p w14:paraId="18EFD1EA">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Note 1 to entry: See Figure 7.</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4354C198">
            <w:pPr>
              <w:pStyle w:val="58"/>
              <w:spacing w:line="300" w:lineRule="exact"/>
              <w:jc w:val="left"/>
              <w:rPr>
                <w:rStyle w:val="54"/>
                <w:rFonts w:eastAsia="宋体" w:asciiTheme="minorHAnsi" w:hAnsiTheme="minorHAnsi" w:cstheme="minorHAnsi"/>
                <w:b w:val="0"/>
                <w:bCs w:val="0"/>
                <w:color w:val="auto"/>
                <w:kern w:val="0"/>
                <w:szCs w:val="21"/>
              </w:rPr>
            </w:pPr>
            <w:r>
              <w:rPr>
                <w:rStyle w:val="54"/>
                <w:rFonts w:eastAsia="宋体" w:asciiTheme="minorHAnsi" w:hAnsiTheme="minorHAnsi" w:cstheme="minorHAnsi"/>
                <w:color w:val="auto"/>
                <w:kern w:val="0"/>
                <w:szCs w:val="21"/>
              </w:rPr>
              <w:t>粒状</w:t>
            </w:r>
            <w:r>
              <w:rPr>
                <w:rStyle w:val="54"/>
                <w:rFonts w:hint="eastAsia" w:eastAsia="宋体" w:asciiTheme="minorHAnsi" w:hAnsiTheme="minorHAnsi" w:cstheme="minorHAnsi"/>
                <w:color w:val="auto"/>
                <w:szCs w:val="21"/>
              </w:rPr>
              <w:t>（形容词）</w:t>
            </w:r>
            <w:r>
              <w:rPr>
                <w:rStyle w:val="54"/>
                <w:rFonts w:eastAsia="宋体" w:asciiTheme="minorHAnsi" w:hAnsiTheme="minorHAnsi" w:cstheme="minorHAnsi"/>
                <w:color w:val="auto"/>
                <w:kern w:val="0"/>
                <w:szCs w:val="21"/>
              </w:rPr>
              <w:t xml:space="preserve">  granular</w:t>
            </w:r>
          </w:p>
          <w:p w14:paraId="2593B7EA">
            <w:pPr>
              <w:spacing w:line="300" w:lineRule="exact"/>
              <w:ind w:left="480"/>
              <w:jc w:val="left"/>
              <w:rPr>
                <w:rFonts w:asciiTheme="minorHAnsi" w:hAnsiTheme="minorHAnsi" w:cstheme="minorHAnsi"/>
                <w:color w:val="auto"/>
                <w:kern w:val="0"/>
                <w:szCs w:val="21"/>
                <w:highlight w:val="red"/>
              </w:rPr>
            </w:pPr>
            <w:r>
              <w:rPr>
                <w:rFonts w:hint="eastAsia" w:asciiTheme="minorHAnsi" w:hAnsiTheme="minorHAnsi" w:cstheme="minorHAnsi"/>
                <w:color w:val="auto"/>
                <w:kern w:val="0"/>
                <w:szCs w:val="21"/>
              </w:rPr>
              <w:t>粉末颗粒</w:t>
            </w:r>
            <w:r>
              <w:rPr>
                <w:rFonts w:asciiTheme="minorHAnsi" w:hAnsiTheme="minorHAnsi" w:cstheme="minorHAnsi"/>
                <w:color w:val="auto"/>
                <w:kern w:val="0"/>
                <w:szCs w:val="21"/>
              </w:rPr>
              <w:t>近似等轴的非球形形状。</w:t>
            </w:r>
          </w:p>
          <w:p w14:paraId="2F0361BA">
            <w:pPr>
              <w:spacing w:line="300" w:lineRule="exact"/>
              <w:ind w:left="480"/>
              <w:jc w:val="left"/>
              <w:rPr>
                <w:rFonts w:asciiTheme="minorHAnsi" w:hAnsiTheme="minorHAnsi" w:cstheme="minorHAnsi"/>
                <w:color w:val="auto"/>
                <w:kern w:val="0"/>
                <w:szCs w:val="21"/>
              </w:rPr>
            </w:pPr>
            <w:r>
              <w:rPr>
                <w:rFonts w:asciiTheme="minorHAnsi" w:hAnsiTheme="minorHAnsi" w:cstheme="minorHAnsi"/>
                <w:color w:val="auto"/>
                <w:kern w:val="0"/>
                <w:szCs w:val="21"/>
              </w:rPr>
              <w:t>注1：</w:t>
            </w:r>
            <w:r>
              <w:rPr>
                <w:rFonts w:hint="eastAsia" w:asciiTheme="minorHAnsi" w:hAnsiTheme="minorHAnsi" w:cstheme="minorHAnsi"/>
                <w:color w:val="auto"/>
                <w:kern w:val="0"/>
                <w:szCs w:val="21"/>
              </w:rPr>
              <w:t>见图7。</w:t>
            </w:r>
          </w:p>
        </w:tc>
        <w:tc>
          <w:tcPr>
            <w:tcW w:w="2503" w:type="dxa"/>
            <w:tcBorders>
              <w:top w:val="single" w:color="auto" w:sz="4" w:space="0"/>
              <w:left w:val="single" w:color="auto" w:sz="4" w:space="0"/>
              <w:bottom w:val="single" w:color="auto" w:sz="4" w:space="0"/>
              <w:right w:val="single" w:color="auto" w:sz="4" w:space="0"/>
            </w:tcBorders>
          </w:tcPr>
          <w:p w14:paraId="2FC8EE9E">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粒状</w:t>
            </w:r>
          </w:p>
          <w:p w14:paraId="4A76F944">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粉末颗粒近似等轴，但形状为非球形结构。</w:t>
            </w:r>
          </w:p>
          <w:p w14:paraId="514585AF">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注1：见图7。</w:t>
            </w:r>
          </w:p>
        </w:tc>
        <w:tc>
          <w:tcPr>
            <w:tcW w:w="2164" w:type="dxa"/>
            <w:tcBorders>
              <w:top w:val="single" w:color="auto" w:sz="4" w:space="0"/>
              <w:left w:val="single" w:color="auto" w:sz="4" w:space="0"/>
              <w:bottom w:val="single" w:color="auto" w:sz="4" w:space="0"/>
              <w:right w:val="single" w:color="auto" w:sz="4" w:space="0"/>
            </w:tcBorders>
          </w:tcPr>
          <w:p w14:paraId="73267E8F">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粒状，形容词</w:t>
            </w:r>
            <w:r>
              <w:rPr>
                <w:rFonts w:asciiTheme="minorHAnsi" w:hAnsiTheme="minorHAnsi" w:cstheme="minorHAnsi"/>
                <w:color w:val="auto"/>
                <w:kern w:val="0"/>
                <w:szCs w:val="21"/>
              </w:rPr>
              <w:br w:type="textWrapping"/>
            </w:r>
            <w:r>
              <w:rPr>
                <w:rFonts w:asciiTheme="minorHAnsi" w:hAnsiTheme="minorHAnsi" w:cstheme="minorHAnsi"/>
                <w:color w:val="auto"/>
                <w:kern w:val="0"/>
                <w:szCs w:val="21"/>
              </w:rPr>
              <w:t>近似等轴的非球形形状</w:t>
            </w:r>
            <w:r>
              <w:rPr>
                <w:rFonts w:asciiTheme="minorHAnsi" w:hAnsiTheme="minorHAnsi" w:cstheme="minorHAnsi"/>
                <w:color w:val="auto"/>
                <w:kern w:val="0"/>
                <w:szCs w:val="21"/>
              </w:rPr>
              <w:br w:type="textWrapping"/>
            </w:r>
            <w:r>
              <w:rPr>
                <w:rFonts w:asciiTheme="minorHAnsi" w:hAnsiTheme="minorHAnsi" w:cstheme="minorHAnsi"/>
                <w:color w:val="auto"/>
                <w:kern w:val="0"/>
                <w:szCs w:val="21"/>
              </w:rPr>
              <w:t>注1：参见图7</w:t>
            </w:r>
          </w:p>
        </w:tc>
      </w:tr>
      <w:tr w14:paraId="67277D64">
        <w:tblPrEx>
          <w:tblCellMar>
            <w:top w:w="0" w:type="dxa"/>
            <w:left w:w="108" w:type="dxa"/>
            <w:bottom w:w="0" w:type="dxa"/>
            <w:right w:w="108" w:type="dxa"/>
          </w:tblCellMar>
        </w:tblPrEx>
        <w:trPr>
          <w:trHeight w:val="1356"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6A300204">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3.1.44</w:t>
            </w: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4ECA384E">
            <w:pPr>
              <w:spacing w:before="120" w:after="120" w:line="300" w:lineRule="exact"/>
              <w:jc w:val="left"/>
              <w:rPr>
                <w:rFonts w:asciiTheme="minorHAnsi" w:hAnsiTheme="minorHAnsi" w:cstheme="minorHAnsi"/>
                <w:b/>
                <w:bCs/>
                <w:color w:val="auto"/>
                <w:kern w:val="0"/>
                <w:szCs w:val="21"/>
              </w:rPr>
            </w:pPr>
            <w:r>
              <w:rPr>
                <w:rFonts w:asciiTheme="minorHAnsi" w:hAnsiTheme="minorHAnsi" w:cstheme="minorHAnsi"/>
                <w:b/>
                <w:bCs/>
                <w:color w:val="auto"/>
                <w:kern w:val="0"/>
                <w:szCs w:val="21"/>
              </w:rPr>
              <w:t xml:space="preserve">hydrogen loss  </w:t>
            </w:r>
          </w:p>
          <w:p w14:paraId="3EDEF4E8">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relative loss in mass of a powder or compact caused by heating in an atmosphere of purified hydrogen under specified conditions (see ISO 4491-2)</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0A6649B1">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氢损（hydrogen loss）：金属粉末或压坯在规定的条件下在纯氢中加热所引起的相对质量损失（见GB/T5158）。</w:t>
            </w: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1125C3E0">
            <w:pPr>
              <w:kinsoku w:val="0"/>
              <w:autoSpaceDE w:val="0"/>
              <w:autoSpaceDN w:val="0"/>
              <w:adjustRightInd w:val="0"/>
              <w:spacing w:line="300" w:lineRule="exact"/>
              <w:jc w:val="left"/>
              <w:textAlignment w:val="baseline"/>
              <w:outlineLvl w:val="2"/>
              <w:rPr>
                <w:rFonts w:asciiTheme="minorHAnsi" w:hAnsiTheme="minorHAnsi" w:cstheme="minorHAnsi"/>
                <w:b/>
                <w:color w:val="auto"/>
                <w:kern w:val="0"/>
                <w:szCs w:val="21"/>
              </w:rPr>
            </w:pPr>
            <w:r>
              <w:rPr>
                <w:rFonts w:asciiTheme="minorHAnsi" w:hAnsiTheme="minorHAnsi" w:cstheme="minorHAnsi"/>
                <w:b/>
                <w:color w:val="auto"/>
                <w:kern w:val="0"/>
                <w:szCs w:val="21"/>
              </w:rPr>
              <w:t>hydrogen loss</w:t>
            </w:r>
          </w:p>
          <w:p w14:paraId="70D8212B">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loss in weight of metal powder or of a compact caused by heating a representative sample for a specified time and temperature in a purified hydrogen atmosphere</w:t>
            </w:r>
          </w:p>
          <w:p w14:paraId="2E7D62B0">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Note 1 to entry: Broadly, a measure of the oxygen content of the sample when applied to materials containing only such oxides as are reducible with hydrogen and no hydride forming element. See also ISO 4491-2.</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1B3FBB5A">
            <w:pPr>
              <w:pStyle w:val="58"/>
              <w:spacing w:line="300" w:lineRule="exact"/>
              <w:jc w:val="left"/>
              <w:rPr>
                <w:rStyle w:val="54"/>
                <w:rFonts w:eastAsia="宋体" w:asciiTheme="minorHAnsi" w:hAnsiTheme="minorHAnsi" w:cstheme="minorHAnsi"/>
                <w:b w:val="0"/>
                <w:bCs w:val="0"/>
                <w:color w:val="auto"/>
                <w:kern w:val="0"/>
                <w:szCs w:val="21"/>
              </w:rPr>
            </w:pPr>
            <w:r>
              <w:rPr>
                <w:rStyle w:val="54"/>
                <w:rFonts w:eastAsia="宋体" w:asciiTheme="minorHAnsi" w:hAnsiTheme="minorHAnsi" w:cstheme="minorHAnsi"/>
                <w:color w:val="auto"/>
                <w:kern w:val="0"/>
                <w:szCs w:val="21"/>
              </w:rPr>
              <w:t>氢损  hydrogen loss</w:t>
            </w:r>
          </w:p>
          <w:p w14:paraId="7703351F">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金属粉末或压坯的代表性试样，在纯氢气氛中，按规定时间和温度加热所引起的质量损失。</w:t>
            </w:r>
          </w:p>
          <w:p w14:paraId="5119E6C3">
            <w:pPr>
              <w:spacing w:line="300" w:lineRule="exact"/>
              <w:ind w:firstLine="420"/>
              <w:jc w:val="left"/>
              <w:rPr>
                <w:rFonts w:asciiTheme="minorHAnsi" w:hAnsiTheme="minorHAnsi" w:cstheme="minorHAnsi"/>
                <w:color w:val="auto"/>
                <w:kern w:val="0"/>
                <w:szCs w:val="21"/>
              </w:rPr>
            </w:pPr>
            <w:r>
              <w:rPr>
                <w:rFonts w:asciiTheme="minorHAnsi" w:hAnsiTheme="minorHAnsi" w:cstheme="minorHAnsi"/>
                <w:color w:val="auto"/>
                <w:kern w:val="0"/>
                <w:szCs w:val="21"/>
              </w:rPr>
              <w:t>注</w:t>
            </w:r>
            <w:r>
              <w:rPr>
                <w:rFonts w:hint="eastAsia" w:asciiTheme="minorHAnsi" w:hAnsiTheme="minorHAnsi" w:cstheme="minorHAnsi"/>
                <w:color w:val="auto"/>
                <w:kern w:val="0"/>
                <w:szCs w:val="21"/>
              </w:rPr>
              <w:t>1</w:t>
            </w:r>
            <w:r>
              <w:rPr>
                <w:rFonts w:asciiTheme="minorHAnsi" w:hAnsiTheme="minorHAnsi" w:cstheme="minorHAnsi"/>
                <w:color w:val="auto"/>
                <w:kern w:val="0"/>
                <w:szCs w:val="21"/>
              </w:rPr>
              <w:t>：广义上，当应用于仅含有可被氢还原的氧化物且不含氢化物形成元素的材料时，氢损是衡量试样氧含量的一种量度。见GB/T 5158。</w:t>
            </w:r>
          </w:p>
          <w:p w14:paraId="69B6B475">
            <w:pPr>
              <w:spacing w:line="300" w:lineRule="exact"/>
              <w:jc w:val="left"/>
              <w:rPr>
                <w:rFonts w:asciiTheme="minorHAnsi" w:hAnsiTheme="minorHAnsi" w:cstheme="minorHAnsi"/>
                <w:color w:val="auto"/>
                <w:kern w:val="0"/>
                <w:szCs w:val="21"/>
              </w:rPr>
            </w:pPr>
          </w:p>
        </w:tc>
        <w:tc>
          <w:tcPr>
            <w:tcW w:w="2503" w:type="dxa"/>
            <w:tcBorders>
              <w:top w:val="single" w:color="auto" w:sz="4" w:space="0"/>
              <w:left w:val="single" w:color="auto" w:sz="4" w:space="0"/>
              <w:bottom w:val="single" w:color="auto" w:sz="4" w:space="0"/>
              <w:right w:val="single" w:color="auto" w:sz="4" w:space="0"/>
            </w:tcBorders>
          </w:tcPr>
          <w:p w14:paraId="2135E2BE">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氢损</w:t>
            </w:r>
          </w:p>
          <w:p w14:paraId="2B485EA1">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金属粉末或压坯在特定时间和温度条件下，在纯氢气氛围中加热过程中的重量损失。</w:t>
            </w:r>
          </w:p>
          <w:p w14:paraId="12630488">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注1：对于仅含可被氢还原的氧化物、且不含氢化物形成元素的材料，该值可广义地作为试样氧含量的量度。见GB/T 5158。</w:t>
            </w:r>
          </w:p>
        </w:tc>
        <w:tc>
          <w:tcPr>
            <w:tcW w:w="2164" w:type="dxa"/>
            <w:tcBorders>
              <w:top w:val="single" w:color="auto" w:sz="4" w:space="0"/>
              <w:left w:val="single" w:color="auto" w:sz="4" w:space="0"/>
              <w:bottom w:val="single" w:color="auto" w:sz="4" w:space="0"/>
              <w:right w:val="single" w:color="auto" w:sz="4" w:space="0"/>
            </w:tcBorders>
          </w:tcPr>
          <w:p w14:paraId="7BB1982A">
            <w:pPr>
              <w:spacing w:line="300" w:lineRule="exact"/>
              <w:jc w:val="left"/>
              <w:rPr>
                <w:rFonts w:asciiTheme="minorHAnsi" w:hAnsiTheme="minorHAnsi" w:cstheme="minorHAnsi"/>
                <w:color w:val="auto"/>
                <w:kern w:val="0"/>
                <w:sz w:val="18"/>
                <w:szCs w:val="18"/>
              </w:rPr>
            </w:pPr>
            <w:r>
              <w:rPr>
                <w:rFonts w:asciiTheme="minorHAnsi" w:hAnsiTheme="minorHAnsi" w:cstheme="minorHAnsi"/>
                <w:color w:val="auto"/>
                <w:kern w:val="0"/>
                <w:sz w:val="18"/>
                <w:szCs w:val="18"/>
              </w:rPr>
              <w:t>氢损</w:t>
            </w:r>
            <w:r>
              <w:rPr>
                <w:rFonts w:asciiTheme="minorHAnsi" w:hAnsiTheme="minorHAnsi" w:cstheme="minorHAnsi"/>
                <w:color w:val="auto"/>
                <w:kern w:val="0"/>
                <w:sz w:val="18"/>
                <w:szCs w:val="18"/>
              </w:rPr>
              <w:br w:type="textWrapping"/>
            </w:r>
            <w:r>
              <w:rPr>
                <w:rFonts w:asciiTheme="minorHAnsi" w:hAnsiTheme="minorHAnsi" w:cstheme="minorHAnsi"/>
                <w:color w:val="auto"/>
                <w:kern w:val="0"/>
                <w:sz w:val="18"/>
                <w:szCs w:val="18"/>
              </w:rPr>
              <w:t>金属粉末或压坯在纯氢气气氛中，于规定时间和温度下加热代表性样品所造成的重量损失</w:t>
            </w:r>
            <w:r>
              <w:rPr>
                <w:rFonts w:asciiTheme="minorHAnsi" w:hAnsiTheme="minorHAnsi" w:cstheme="minorHAnsi"/>
                <w:color w:val="auto"/>
                <w:kern w:val="0"/>
                <w:sz w:val="18"/>
                <w:szCs w:val="18"/>
              </w:rPr>
              <w:br w:type="textWrapping"/>
            </w:r>
            <w:r>
              <w:rPr>
                <w:rFonts w:asciiTheme="minorHAnsi" w:hAnsiTheme="minorHAnsi" w:cstheme="minorHAnsi"/>
                <w:color w:val="auto"/>
                <w:kern w:val="0"/>
                <w:sz w:val="18"/>
                <w:szCs w:val="18"/>
              </w:rPr>
              <w:t>注1： 广义上，当应用于仅含有可被氢还原的氧化物且不含氢化物形成元素的材料时，氢损是衡量试样氧含量的一种度量。另见 ISO 4491-2</w:t>
            </w:r>
          </w:p>
        </w:tc>
      </w:tr>
      <w:tr w14:paraId="173455EE">
        <w:tblPrEx>
          <w:tblCellMar>
            <w:top w:w="0" w:type="dxa"/>
            <w:left w:w="108" w:type="dxa"/>
            <w:bottom w:w="0" w:type="dxa"/>
            <w:right w:w="108" w:type="dxa"/>
          </w:tblCellMar>
        </w:tblPrEx>
        <w:trPr>
          <w:trHeight w:val="586"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71024229">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3.1.47</w:t>
            </w: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7EB1211E">
            <w:pPr>
              <w:spacing w:before="120" w:after="120" w:line="300" w:lineRule="exact"/>
              <w:jc w:val="left"/>
              <w:rPr>
                <w:rFonts w:asciiTheme="minorHAnsi" w:hAnsiTheme="minorHAnsi" w:cstheme="minorHAnsi"/>
                <w:color w:val="auto"/>
                <w:kern w:val="0"/>
                <w:szCs w:val="21"/>
              </w:rPr>
            </w:pPr>
            <w:r>
              <w:rPr>
                <w:rFonts w:asciiTheme="minorHAnsi" w:hAnsiTheme="minorHAnsi" w:cstheme="minorHAnsi"/>
                <w:b/>
                <w:bCs/>
                <w:color w:val="auto"/>
                <w:kern w:val="0"/>
                <w:szCs w:val="21"/>
              </w:rPr>
              <w:t>lubricant</w:t>
            </w:r>
            <w:r>
              <w:rPr>
                <w:rFonts w:asciiTheme="minorHAnsi" w:hAnsiTheme="minorHAnsi" w:cstheme="minorHAnsi"/>
                <w:color w:val="auto"/>
                <w:kern w:val="0"/>
                <w:szCs w:val="21"/>
              </w:rPr>
              <w:t xml:space="preserve">  </w:t>
            </w:r>
          </w:p>
          <w:p w14:paraId="6C507069">
            <w:pPr>
              <w:spacing w:before="120" w:after="120"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substance added to a powder to reduce the friction between particles and between the compact and the tool surfaces</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64F5575D">
            <w:pPr>
              <w:spacing w:before="120" w:after="120"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润滑剂（lubricant）：为了减少颗粒之间及压坯与模壁表面之间的摩擦而加入粉末中的物质。</w:t>
            </w: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3325884B">
            <w:pPr>
              <w:kinsoku w:val="0"/>
              <w:autoSpaceDE w:val="0"/>
              <w:autoSpaceDN w:val="0"/>
              <w:adjustRightInd w:val="0"/>
              <w:spacing w:line="300" w:lineRule="exact"/>
              <w:jc w:val="left"/>
              <w:textAlignment w:val="baseline"/>
              <w:outlineLvl w:val="2"/>
              <w:rPr>
                <w:rFonts w:asciiTheme="minorHAnsi" w:hAnsiTheme="minorHAnsi" w:cstheme="minorHAnsi"/>
                <w:b/>
                <w:color w:val="auto"/>
                <w:kern w:val="0"/>
                <w:szCs w:val="21"/>
              </w:rPr>
            </w:pPr>
            <w:r>
              <w:rPr>
                <w:rFonts w:asciiTheme="minorHAnsi" w:hAnsiTheme="minorHAnsi" w:cstheme="minorHAnsi"/>
                <w:b/>
                <w:color w:val="auto"/>
                <w:kern w:val="0"/>
                <w:szCs w:val="21"/>
              </w:rPr>
              <w:t>lubricant</w:t>
            </w:r>
          </w:p>
          <w:p w14:paraId="41EA623D">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material used to reduce inter-particle friction and the friction between the powder mass and the tooling</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57C79274">
            <w:pPr>
              <w:pStyle w:val="58"/>
              <w:spacing w:line="300" w:lineRule="exact"/>
              <w:jc w:val="left"/>
              <w:rPr>
                <w:rStyle w:val="54"/>
                <w:rFonts w:eastAsia="宋体" w:asciiTheme="minorHAnsi" w:hAnsiTheme="minorHAnsi" w:cstheme="minorHAnsi"/>
                <w:b w:val="0"/>
                <w:bCs w:val="0"/>
                <w:color w:val="auto"/>
                <w:kern w:val="0"/>
                <w:szCs w:val="21"/>
              </w:rPr>
            </w:pPr>
            <w:r>
              <w:rPr>
                <w:rStyle w:val="54"/>
                <w:rFonts w:eastAsia="宋体" w:asciiTheme="minorHAnsi" w:hAnsiTheme="minorHAnsi" w:cstheme="minorHAnsi"/>
                <w:color w:val="auto"/>
                <w:kern w:val="0"/>
                <w:szCs w:val="21"/>
              </w:rPr>
              <w:t>润滑剂  lubricant</w:t>
            </w:r>
          </w:p>
          <w:p w14:paraId="1E4A533F">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用于减少颗粒间摩擦以及粉末体与模具间摩擦的材料。</w:t>
            </w:r>
          </w:p>
        </w:tc>
        <w:tc>
          <w:tcPr>
            <w:tcW w:w="2503" w:type="dxa"/>
            <w:tcBorders>
              <w:top w:val="single" w:color="auto" w:sz="4" w:space="0"/>
              <w:left w:val="single" w:color="auto" w:sz="4" w:space="0"/>
              <w:bottom w:val="single" w:color="auto" w:sz="4" w:space="0"/>
              <w:right w:val="single" w:color="auto" w:sz="4" w:space="0"/>
            </w:tcBorders>
          </w:tcPr>
          <w:p w14:paraId="246848F7">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润滑剂</w:t>
            </w:r>
          </w:p>
          <w:p w14:paraId="4FC40498">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用于降低颗粒间摩擦以及粉末与模具之间摩擦的材料。</w:t>
            </w:r>
          </w:p>
        </w:tc>
        <w:tc>
          <w:tcPr>
            <w:tcW w:w="2164" w:type="dxa"/>
            <w:tcBorders>
              <w:top w:val="single" w:color="auto" w:sz="4" w:space="0"/>
              <w:left w:val="single" w:color="auto" w:sz="4" w:space="0"/>
              <w:bottom w:val="single" w:color="auto" w:sz="4" w:space="0"/>
              <w:right w:val="single" w:color="auto" w:sz="4" w:space="0"/>
            </w:tcBorders>
          </w:tcPr>
          <w:p w14:paraId="2DF12565">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润滑剂</w:t>
            </w:r>
            <w:r>
              <w:rPr>
                <w:rFonts w:asciiTheme="minorHAnsi" w:hAnsiTheme="minorHAnsi" w:cstheme="minorHAnsi"/>
                <w:color w:val="auto"/>
                <w:kern w:val="0"/>
                <w:szCs w:val="21"/>
              </w:rPr>
              <w:br w:type="textWrapping"/>
            </w:r>
            <w:r>
              <w:rPr>
                <w:rFonts w:asciiTheme="minorHAnsi" w:hAnsiTheme="minorHAnsi" w:cstheme="minorHAnsi"/>
                <w:color w:val="auto"/>
                <w:kern w:val="0"/>
                <w:szCs w:val="21"/>
              </w:rPr>
              <w:t>用于减小颗粒间摩擦以及粉末体与模具之间摩擦的材料</w:t>
            </w:r>
          </w:p>
        </w:tc>
      </w:tr>
      <w:tr w14:paraId="5A6C6DBF">
        <w:tblPrEx>
          <w:tblCellMar>
            <w:top w:w="0" w:type="dxa"/>
            <w:left w:w="108" w:type="dxa"/>
            <w:bottom w:w="0" w:type="dxa"/>
            <w:right w:w="108" w:type="dxa"/>
          </w:tblCellMar>
        </w:tblPrEx>
        <w:trPr>
          <w:trHeight w:val="3702"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4DD154D1">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3.1.51</w:t>
            </w: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72AFA918">
            <w:pPr>
              <w:spacing w:before="120" w:after="120" w:line="200" w:lineRule="exact"/>
              <w:jc w:val="left"/>
              <w:rPr>
                <w:rFonts w:asciiTheme="minorHAnsi" w:hAnsiTheme="minorHAnsi" w:cstheme="minorHAnsi"/>
                <w:color w:val="auto"/>
                <w:kern w:val="0"/>
                <w:szCs w:val="21"/>
              </w:rPr>
            </w:pPr>
            <w:r>
              <w:rPr>
                <w:rFonts w:asciiTheme="minorHAnsi" w:hAnsiTheme="minorHAnsi" w:cstheme="minorHAnsi"/>
                <w:b/>
                <w:bCs/>
                <w:color w:val="auto"/>
                <w:kern w:val="0"/>
                <w:szCs w:val="21"/>
              </w:rPr>
              <w:t>milling</w:t>
            </w:r>
            <w:r>
              <w:rPr>
                <w:rFonts w:asciiTheme="minorHAnsi" w:hAnsiTheme="minorHAnsi" w:cstheme="minorHAnsi"/>
                <w:color w:val="auto"/>
                <w:kern w:val="0"/>
                <w:szCs w:val="21"/>
              </w:rPr>
              <w:t xml:space="preserve">  </w:t>
            </w:r>
          </w:p>
          <w:p w14:paraId="57F6EF62">
            <w:pPr>
              <w:spacing w:before="120" w:after="120" w:line="2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 xml:space="preserve">general term for the mechanical treatment of powder, resulting in, for example:  </w:t>
            </w:r>
          </w:p>
          <w:p w14:paraId="374A7192">
            <w:pPr>
              <w:spacing w:before="120" w:after="120" w:line="2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 xml:space="preserve">a) modification of particle size or shape (comminution, agglomeration, etc.);  </w:t>
            </w:r>
          </w:p>
          <w:p w14:paraId="3DF3C841">
            <w:pPr>
              <w:spacing w:before="120" w:after="120" w:line="2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 xml:space="preserve">b) intimate mixing;  </w:t>
            </w:r>
          </w:p>
          <w:p w14:paraId="4C5633C3">
            <w:pPr>
              <w:spacing w:line="2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c) coating of the particles of one constituent with another constituent</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220CAAFD">
            <w:pPr>
              <w:spacing w:before="120" w:after="120"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研磨（milling）：粉末机械处理的一般术语，其目的在于：</w:t>
            </w:r>
          </w:p>
          <w:p w14:paraId="5B087C02">
            <w:pPr>
              <w:spacing w:before="120" w:after="120"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a) 改变粒度或形状（粉碎，团粒化等）；</w:t>
            </w:r>
          </w:p>
          <w:p w14:paraId="6F8A393B">
            <w:pPr>
              <w:spacing w:before="120" w:after="120"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b) 充分混合；</w:t>
            </w:r>
          </w:p>
          <w:p w14:paraId="24C28AD7">
            <w:pPr>
              <w:spacing w:before="120" w:after="120"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c) 一种组分的颗粒被另一种组分包覆。</w:t>
            </w: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56551E10">
            <w:pPr>
              <w:spacing w:line="300" w:lineRule="exact"/>
              <w:jc w:val="left"/>
              <w:rPr>
                <w:rFonts w:asciiTheme="minorHAnsi" w:hAnsiTheme="minorHAnsi" w:cstheme="minorHAnsi"/>
                <w:b/>
                <w:bCs/>
                <w:color w:val="auto"/>
                <w:kern w:val="0"/>
                <w:szCs w:val="21"/>
              </w:rPr>
            </w:pPr>
            <w:r>
              <w:rPr>
                <w:rFonts w:asciiTheme="minorHAnsi" w:hAnsiTheme="minorHAnsi" w:cstheme="minorHAnsi"/>
                <w:b/>
                <w:bCs/>
                <w:color w:val="auto"/>
                <w:kern w:val="0"/>
                <w:szCs w:val="21"/>
              </w:rPr>
              <w:t>milling</w:t>
            </w:r>
          </w:p>
          <w:p w14:paraId="1A6F425A">
            <w:pPr>
              <w:spacing w:line="300" w:lineRule="exact"/>
              <w:jc w:val="left"/>
              <w:rPr>
                <w:rFonts w:asciiTheme="minorHAnsi" w:hAnsiTheme="minorHAnsi" w:cstheme="minorHAnsi"/>
                <w:color w:val="auto"/>
                <w:kern w:val="0"/>
                <w:szCs w:val="21"/>
                <w:highlight w:val="red"/>
              </w:rPr>
            </w:pPr>
            <w:r>
              <w:rPr>
                <w:rFonts w:asciiTheme="minorHAnsi" w:hAnsiTheme="minorHAnsi" w:cstheme="minorHAnsi"/>
                <w:color w:val="auto"/>
                <w:kern w:val="0"/>
                <w:szCs w:val="21"/>
              </w:rPr>
              <w:t>mechanical treatment of metal powder, or metal powder mixtures, as in a ball mill, to alter the size or shape of the individual particles or to coat one component of the mixture with another</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395137CF">
            <w:pPr>
              <w:pStyle w:val="58"/>
              <w:spacing w:line="300" w:lineRule="exact"/>
              <w:jc w:val="left"/>
              <w:rPr>
                <w:rStyle w:val="54"/>
                <w:rFonts w:eastAsia="宋体" w:asciiTheme="minorHAnsi" w:hAnsiTheme="minorHAnsi" w:cstheme="minorHAnsi"/>
                <w:b w:val="0"/>
                <w:bCs w:val="0"/>
                <w:color w:val="auto"/>
                <w:kern w:val="0"/>
                <w:szCs w:val="21"/>
              </w:rPr>
            </w:pPr>
            <w:r>
              <w:rPr>
                <w:rStyle w:val="54"/>
                <w:rFonts w:eastAsia="宋体" w:asciiTheme="minorHAnsi" w:hAnsiTheme="minorHAnsi" w:cstheme="minorHAnsi"/>
                <w:color w:val="auto"/>
                <w:kern w:val="0"/>
                <w:szCs w:val="21"/>
              </w:rPr>
              <w:t>研磨  milling</w:t>
            </w:r>
          </w:p>
          <w:p w14:paraId="7BD6D41E">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对金属粉末或金属粉末混合物进行机械处理</w:t>
            </w:r>
            <w:r>
              <w:rPr>
                <w:rFonts w:hint="eastAsia" w:asciiTheme="minorHAnsi" w:hAnsiTheme="minorHAnsi" w:cstheme="minorHAnsi"/>
                <w:color w:val="auto"/>
                <w:kern w:val="0"/>
                <w:szCs w:val="21"/>
              </w:rPr>
              <w:t>的过程</w:t>
            </w:r>
            <w:r>
              <w:rPr>
                <w:rFonts w:asciiTheme="minorHAnsi" w:hAnsiTheme="minorHAnsi" w:cstheme="minorHAnsi"/>
                <w:color w:val="auto"/>
                <w:kern w:val="0"/>
                <w:szCs w:val="21"/>
              </w:rPr>
              <w:t>，如在球磨机中进行，以改变单个颗粒的尺寸或形状，或将混合物中的一种组分包覆在另一种组分上。</w:t>
            </w:r>
          </w:p>
        </w:tc>
        <w:tc>
          <w:tcPr>
            <w:tcW w:w="2503" w:type="dxa"/>
            <w:tcBorders>
              <w:top w:val="single" w:color="auto" w:sz="4" w:space="0"/>
              <w:left w:val="single" w:color="auto" w:sz="4" w:space="0"/>
              <w:bottom w:val="single" w:color="auto" w:sz="4" w:space="0"/>
              <w:right w:val="single" w:color="auto" w:sz="4" w:space="0"/>
            </w:tcBorders>
          </w:tcPr>
          <w:p w14:paraId="7B946D85">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研磨</w:t>
            </w:r>
          </w:p>
          <w:p w14:paraId="083A7371">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对金属粉末或金属粉末混合物进行机械处理，例如在球磨机中，以改变单个颗粒的大小或形状，或使混合物中的一种成分被另一种成分包覆。</w:t>
            </w:r>
          </w:p>
        </w:tc>
        <w:tc>
          <w:tcPr>
            <w:tcW w:w="2164" w:type="dxa"/>
            <w:tcBorders>
              <w:top w:val="single" w:color="auto" w:sz="4" w:space="0"/>
              <w:left w:val="single" w:color="auto" w:sz="4" w:space="0"/>
              <w:bottom w:val="single" w:color="auto" w:sz="4" w:space="0"/>
              <w:right w:val="single" w:color="auto" w:sz="4" w:space="0"/>
            </w:tcBorders>
          </w:tcPr>
          <w:p w14:paraId="456B6DB9">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 xml:space="preserve">研磨 </w:t>
            </w:r>
          </w:p>
          <w:p w14:paraId="455D2A79">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粉末机械处理的一般术语，其目的在于：</w:t>
            </w:r>
          </w:p>
          <w:p w14:paraId="22333CC0">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 xml:space="preserve"> a）改变粒度或形状(粉碎，团粒化等）;</w:t>
            </w:r>
          </w:p>
          <w:p w14:paraId="22AE4E98">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 xml:space="preserve"> b）充分混合；</w:t>
            </w:r>
          </w:p>
          <w:p w14:paraId="1409E394">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 xml:space="preserve"> c）一种组分的颗粒被另一种组分包覆。</w:t>
            </w:r>
          </w:p>
        </w:tc>
      </w:tr>
      <w:tr w14:paraId="70090234">
        <w:tblPrEx>
          <w:tblCellMar>
            <w:top w:w="0" w:type="dxa"/>
            <w:left w:w="108" w:type="dxa"/>
            <w:bottom w:w="0" w:type="dxa"/>
            <w:right w:w="108" w:type="dxa"/>
          </w:tblCellMar>
        </w:tblPrEx>
        <w:trPr>
          <w:trHeight w:val="1879"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0CBB0F15">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3.1.63</w:t>
            </w: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7F3E522C">
            <w:pPr>
              <w:spacing w:before="120" w:after="120" w:line="300" w:lineRule="exact"/>
              <w:jc w:val="left"/>
              <w:rPr>
                <w:rFonts w:asciiTheme="minorHAnsi" w:hAnsiTheme="minorHAnsi" w:cstheme="minorHAnsi"/>
                <w:b/>
                <w:bCs/>
                <w:color w:val="auto"/>
                <w:szCs w:val="21"/>
              </w:rPr>
            </w:pPr>
            <w:r>
              <w:rPr>
                <w:rFonts w:asciiTheme="minorHAnsi" w:hAnsiTheme="minorHAnsi" w:cstheme="minorHAnsi"/>
                <w:b/>
                <w:bCs/>
                <w:color w:val="auto"/>
                <w:szCs w:val="21"/>
              </w:rPr>
              <w:t xml:space="preserve">powder  </w:t>
            </w:r>
          </w:p>
          <w:p w14:paraId="14E34F02">
            <w:pPr>
              <w:spacing w:before="120" w:after="120" w:line="300" w:lineRule="exact"/>
              <w:jc w:val="left"/>
              <w:rPr>
                <w:rFonts w:asciiTheme="minorHAnsi" w:hAnsiTheme="minorHAnsi" w:cstheme="minorHAnsi"/>
                <w:color w:val="auto"/>
                <w:kern w:val="0"/>
                <w:szCs w:val="21"/>
              </w:rPr>
            </w:pPr>
            <w:r>
              <w:rPr>
                <w:rFonts w:asciiTheme="minorHAnsi" w:hAnsiTheme="minorHAnsi" w:cstheme="minorHAnsi"/>
                <w:color w:val="auto"/>
                <w:szCs w:val="21"/>
              </w:rPr>
              <w:t>assembly of discrete particles usually less than 1 mm in size</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6F5ABE4A">
            <w:pPr>
              <w:spacing w:before="120" w:after="120" w:line="300" w:lineRule="exact"/>
              <w:jc w:val="left"/>
              <w:rPr>
                <w:rFonts w:asciiTheme="minorHAnsi" w:hAnsiTheme="minorHAnsi" w:cstheme="minorHAnsi"/>
                <w:color w:val="auto"/>
                <w:kern w:val="0"/>
                <w:szCs w:val="21"/>
              </w:rPr>
            </w:pPr>
            <w:r>
              <w:rPr>
                <w:rFonts w:asciiTheme="minorHAnsi" w:hAnsiTheme="minorHAnsi" w:cstheme="minorHAnsi"/>
                <w:color w:val="auto"/>
                <w:szCs w:val="21"/>
              </w:rPr>
              <w:t>粉末（powder）：通常指尺寸小于1mm的离散颗粒集合体。</w:t>
            </w: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0743106D">
            <w:pPr>
              <w:spacing w:line="300" w:lineRule="exact"/>
              <w:jc w:val="left"/>
              <w:rPr>
                <w:rFonts w:asciiTheme="minorHAnsi" w:hAnsiTheme="minorHAnsi" w:cstheme="minorHAnsi"/>
                <w:b/>
                <w:color w:val="auto"/>
                <w:szCs w:val="21"/>
              </w:rPr>
            </w:pPr>
            <w:r>
              <w:rPr>
                <w:rFonts w:asciiTheme="minorHAnsi" w:hAnsiTheme="minorHAnsi" w:cstheme="minorHAnsi"/>
                <w:b/>
                <w:color w:val="auto"/>
                <w:szCs w:val="21"/>
              </w:rPr>
              <w:t>powder</w:t>
            </w:r>
          </w:p>
          <w:p w14:paraId="32D9DCAC">
            <w:pPr>
              <w:spacing w:line="300" w:lineRule="exact"/>
              <w:jc w:val="left"/>
              <w:rPr>
                <w:rFonts w:asciiTheme="minorHAnsi" w:hAnsiTheme="minorHAnsi" w:cstheme="minorHAnsi"/>
                <w:color w:val="auto"/>
                <w:kern w:val="0"/>
                <w:szCs w:val="21"/>
              </w:rPr>
            </w:pPr>
            <w:r>
              <w:rPr>
                <w:rFonts w:asciiTheme="minorHAnsi" w:hAnsiTheme="minorHAnsi" w:cstheme="minorHAnsi"/>
                <w:color w:val="auto"/>
                <w:szCs w:val="21"/>
              </w:rPr>
              <w:t>particles that are usually less than 1 mm in size</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6AF3795D">
            <w:pPr>
              <w:pStyle w:val="58"/>
              <w:spacing w:line="300" w:lineRule="exact"/>
              <w:jc w:val="left"/>
              <w:rPr>
                <w:rStyle w:val="54"/>
                <w:rFonts w:eastAsia="宋体" w:asciiTheme="minorHAnsi" w:hAnsiTheme="minorHAnsi" w:cstheme="minorHAnsi"/>
                <w:b w:val="0"/>
                <w:bCs w:val="0"/>
                <w:color w:val="auto"/>
                <w:szCs w:val="21"/>
              </w:rPr>
            </w:pPr>
            <w:r>
              <w:rPr>
                <w:rStyle w:val="54"/>
                <w:rFonts w:eastAsia="宋体" w:asciiTheme="minorHAnsi" w:hAnsiTheme="minorHAnsi" w:cstheme="minorHAnsi"/>
                <w:color w:val="auto"/>
                <w:szCs w:val="21"/>
              </w:rPr>
              <w:t>粉末  powder</w:t>
            </w:r>
          </w:p>
          <w:p w14:paraId="1983DE8C">
            <w:pPr>
              <w:spacing w:line="300" w:lineRule="exact"/>
              <w:ind w:firstLine="420"/>
              <w:jc w:val="left"/>
              <w:rPr>
                <w:rFonts w:asciiTheme="minorHAnsi" w:hAnsiTheme="minorHAnsi" w:cstheme="minorHAnsi"/>
                <w:color w:val="auto"/>
                <w:szCs w:val="21"/>
              </w:rPr>
            </w:pPr>
            <w:r>
              <w:rPr>
                <w:rFonts w:asciiTheme="minorHAnsi" w:hAnsiTheme="minorHAnsi" w:cstheme="minorHAnsi"/>
                <w:color w:val="auto"/>
                <w:szCs w:val="21"/>
              </w:rPr>
              <w:t>通常指尺寸小于1 mm的颗粒。</w:t>
            </w:r>
          </w:p>
          <w:p w14:paraId="72FD5AC7">
            <w:pPr>
              <w:spacing w:line="300" w:lineRule="exact"/>
              <w:jc w:val="left"/>
              <w:rPr>
                <w:rFonts w:asciiTheme="minorHAnsi" w:hAnsiTheme="minorHAnsi" w:cstheme="minorHAnsi"/>
                <w:color w:val="auto"/>
                <w:kern w:val="0"/>
                <w:szCs w:val="21"/>
              </w:rPr>
            </w:pPr>
          </w:p>
        </w:tc>
        <w:tc>
          <w:tcPr>
            <w:tcW w:w="2503" w:type="dxa"/>
            <w:tcBorders>
              <w:top w:val="single" w:color="auto" w:sz="4" w:space="0"/>
              <w:left w:val="single" w:color="auto" w:sz="4" w:space="0"/>
              <w:bottom w:val="single" w:color="auto" w:sz="4" w:space="0"/>
              <w:right w:val="single" w:color="auto" w:sz="4" w:space="0"/>
            </w:tcBorders>
          </w:tcPr>
          <w:p w14:paraId="7C906DCA">
            <w:pPr>
              <w:spacing w:line="300" w:lineRule="exact"/>
              <w:jc w:val="left"/>
              <w:rPr>
                <w:rFonts w:asciiTheme="minorHAnsi" w:hAnsiTheme="minorHAnsi" w:cstheme="minorHAnsi"/>
                <w:color w:val="auto"/>
                <w:szCs w:val="21"/>
              </w:rPr>
            </w:pPr>
            <w:r>
              <w:rPr>
                <w:rFonts w:asciiTheme="minorHAnsi" w:hAnsiTheme="minorHAnsi" w:cstheme="minorHAnsi"/>
                <w:color w:val="auto"/>
                <w:szCs w:val="21"/>
              </w:rPr>
              <w:t>粉末</w:t>
            </w:r>
          </w:p>
          <w:p w14:paraId="4BD0D4FE">
            <w:pPr>
              <w:spacing w:line="300" w:lineRule="exact"/>
              <w:jc w:val="left"/>
              <w:rPr>
                <w:rFonts w:asciiTheme="minorHAnsi" w:hAnsiTheme="minorHAnsi" w:cstheme="minorHAnsi"/>
                <w:color w:val="auto"/>
                <w:kern w:val="0"/>
                <w:szCs w:val="21"/>
              </w:rPr>
            </w:pPr>
            <w:r>
              <w:rPr>
                <w:rFonts w:asciiTheme="minorHAnsi" w:hAnsiTheme="minorHAnsi" w:cstheme="minorHAnsi"/>
                <w:color w:val="auto"/>
                <w:szCs w:val="21"/>
              </w:rPr>
              <w:t>通常小于1毫米的颗粒</w:t>
            </w:r>
          </w:p>
        </w:tc>
        <w:tc>
          <w:tcPr>
            <w:tcW w:w="2164" w:type="dxa"/>
            <w:tcBorders>
              <w:top w:val="single" w:color="auto" w:sz="4" w:space="0"/>
              <w:left w:val="single" w:color="auto" w:sz="4" w:space="0"/>
              <w:bottom w:val="single" w:color="auto" w:sz="4" w:space="0"/>
              <w:right w:val="single" w:color="auto" w:sz="4" w:space="0"/>
            </w:tcBorders>
          </w:tcPr>
          <w:p w14:paraId="258802CB">
            <w:pPr>
              <w:spacing w:line="300" w:lineRule="exact"/>
              <w:jc w:val="left"/>
              <w:rPr>
                <w:rFonts w:asciiTheme="minorHAnsi" w:hAnsiTheme="minorHAnsi" w:cstheme="minorHAnsi"/>
                <w:color w:val="auto"/>
                <w:szCs w:val="21"/>
              </w:rPr>
            </w:pPr>
            <w:r>
              <w:rPr>
                <w:rFonts w:asciiTheme="minorHAnsi" w:hAnsiTheme="minorHAnsi" w:cstheme="minorHAnsi"/>
                <w:color w:val="auto"/>
                <w:szCs w:val="21"/>
              </w:rPr>
              <w:t xml:space="preserve">粉末 </w:t>
            </w:r>
          </w:p>
          <w:p w14:paraId="6DDFFC83">
            <w:pPr>
              <w:spacing w:line="300" w:lineRule="exact"/>
              <w:jc w:val="left"/>
              <w:rPr>
                <w:rFonts w:asciiTheme="minorHAnsi" w:hAnsiTheme="minorHAnsi" w:cstheme="minorHAnsi"/>
                <w:color w:val="auto"/>
                <w:szCs w:val="21"/>
              </w:rPr>
            </w:pPr>
            <w:r>
              <w:rPr>
                <w:rFonts w:asciiTheme="minorHAnsi" w:hAnsiTheme="minorHAnsi" w:cstheme="minorHAnsi"/>
                <w:color w:val="auto"/>
                <w:szCs w:val="21"/>
              </w:rPr>
              <w:t>通常指尺寸小于1mm的离散颗粒的集合体。</w:t>
            </w:r>
          </w:p>
          <w:p w14:paraId="44E71477">
            <w:pPr>
              <w:spacing w:line="300" w:lineRule="exact"/>
              <w:jc w:val="left"/>
              <w:rPr>
                <w:rFonts w:asciiTheme="minorHAnsi" w:hAnsiTheme="minorHAnsi" w:cstheme="minorHAnsi"/>
                <w:color w:val="auto"/>
                <w:kern w:val="0"/>
                <w:szCs w:val="21"/>
              </w:rPr>
            </w:pPr>
          </w:p>
        </w:tc>
      </w:tr>
      <w:tr w14:paraId="3003351F">
        <w:tblPrEx>
          <w:tblCellMar>
            <w:top w:w="0" w:type="dxa"/>
            <w:left w:w="108" w:type="dxa"/>
            <w:bottom w:w="0" w:type="dxa"/>
            <w:right w:w="108" w:type="dxa"/>
          </w:tblCellMar>
        </w:tblPrEx>
        <w:trPr>
          <w:trHeight w:val="3410"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24A67117">
            <w:pPr>
              <w:spacing w:line="300" w:lineRule="exact"/>
              <w:jc w:val="left"/>
              <w:rPr>
                <w:rFonts w:asciiTheme="minorHAnsi" w:hAnsiTheme="minorHAnsi" w:cstheme="minorHAnsi"/>
                <w:color w:val="auto"/>
                <w:kern w:val="0"/>
                <w:szCs w:val="21"/>
              </w:rPr>
            </w:pPr>
            <w:r>
              <w:rPr>
                <w:rFonts w:asciiTheme="minorHAnsi" w:hAnsiTheme="minorHAnsi"/>
                <w:color w:val="auto"/>
                <w:szCs w:val="21"/>
              </w:rPr>
              <w:t>3.1.76</w:t>
            </w: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204D3DEC">
            <w:pPr>
              <w:spacing w:before="120" w:after="120" w:line="300" w:lineRule="exact"/>
              <w:jc w:val="left"/>
              <w:rPr>
                <w:rFonts w:asciiTheme="minorHAnsi" w:hAnsiTheme="minorHAnsi" w:eastAsiaTheme="minorEastAsia" w:cstheme="minorHAnsi"/>
                <w:b/>
                <w:bCs/>
                <w:color w:val="auto"/>
                <w:szCs w:val="21"/>
              </w:rPr>
            </w:pPr>
            <w:r>
              <w:rPr>
                <w:rFonts w:asciiTheme="minorHAnsi" w:hAnsiTheme="minorHAnsi" w:eastAsiaTheme="minorEastAsia" w:cstheme="minorHAnsi"/>
                <w:b/>
                <w:bCs/>
                <w:color w:val="auto"/>
                <w:szCs w:val="21"/>
              </w:rPr>
              <w:t xml:space="preserve">sieve analysis / screen analysis / screen classification  </w:t>
            </w:r>
          </w:p>
          <w:p w14:paraId="4E4D53E9">
            <w:pPr>
              <w:spacing w:before="120" w:after="120" w:line="300" w:lineRule="exact"/>
              <w:jc w:val="left"/>
              <w:rPr>
                <w:rFonts w:asciiTheme="minorHAnsi" w:hAnsiTheme="minorHAnsi" w:eastAsiaTheme="minorEastAsia" w:cstheme="minorHAnsi"/>
                <w:b/>
                <w:bCs/>
                <w:color w:val="auto"/>
                <w:szCs w:val="21"/>
              </w:rPr>
            </w:pPr>
            <w:r>
              <w:rPr>
                <w:rFonts w:asciiTheme="minorHAnsi" w:hAnsiTheme="minorHAnsi" w:eastAsiaTheme="minorEastAsia" w:cstheme="minorHAnsi"/>
                <w:color w:val="auto"/>
                <w:szCs w:val="21"/>
              </w:rPr>
              <w:t>determination of particle size distribution by sieving (also used to describe the test result) (see ISO 4497)</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0798EEEF">
            <w:pPr>
              <w:spacing w:before="120" w:after="120" w:line="300" w:lineRule="exact"/>
              <w:jc w:val="left"/>
              <w:rPr>
                <w:rFonts w:asciiTheme="minorHAnsi" w:hAnsiTheme="minorHAnsi" w:eastAsiaTheme="minorEastAsia" w:cstheme="minorHAnsi"/>
                <w:color w:val="auto"/>
                <w:szCs w:val="21"/>
              </w:rPr>
            </w:pPr>
            <w:r>
              <w:rPr>
                <w:rFonts w:asciiTheme="minorHAnsi" w:hAnsiTheme="minorHAnsi" w:eastAsiaTheme="minorEastAsia" w:cstheme="minorHAnsi"/>
                <w:color w:val="auto"/>
                <w:szCs w:val="21"/>
              </w:rPr>
              <w:t>筛分析（sieve analysis, screen analysis, screen classification）：用筛测定粉末粒度分布（也用于描述测试结果）（见GB/T1480）。</w:t>
            </w: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1112FFC6">
            <w:pPr>
              <w:spacing w:line="300" w:lineRule="exact"/>
              <w:rPr>
                <w:rFonts w:asciiTheme="minorHAnsi" w:hAnsiTheme="minorHAnsi" w:eastAsiaTheme="minorEastAsia" w:cstheme="minorHAnsi"/>
                <w:b/>
                <w:color w:val="auto"/>
                <w:szCs w:val="21"/>
              </w:rPr>
            </w:pPr>
            <w:r>
              <w:rPr>
                <w:rFonts w:asciiTheme="minorHAnsi" w:hAnsiTheme="minorHAnsi" w:eastAsiaTheme="minorEastAsia" w:cstheme="minorHAnsi"/>
                <w:b/>
                <w:color w:val="auto"/>
                <w:szCs w:val="21"/>
              </w:rPr>
              <w:t>sieve analysis</w:t>
            </w:r>
          </w:p>
          <w:p w14:paraId="20EB0435">
            <w:pPr>
              <w:spacing w:line="300" w:lineRule="exact"/>
              <w:rPr>
                <w:rFonts w:asciiTheme="minorHAnsi" w:hAnsiTheme="minorHAnsi" w:eastAsiaTheme="minorEastAsia" w:cstheme="minorHAnsi"/>
                <w:b/>
                <w:color w:val="auto"/>
                <w:szCs w:val="21"/>
              </w:rPr>
            </w:pPr>
            <w:r>
              <w:rPr>
                <w:rFonts w:asciiTheme="minorHAnsi" w:hAnsiTheme="minorHAnsi" w:eastAsiaTheme="minorEastAsia" w:cstheme="minorHAnsi"/>
                <w:b/>
                <w:color w:val="auto"/>
                <w:szCs w:val="21"/>
              </w:rPr>
              <w:t>screen analysis</w:t>
            </w:r>
          </w:p>
          <w:p w14:paraId="730D1E59">
            <w:pPr>
              <w:spacing w:line="300" w:lineRule="exact"/>
              <w:rPr>
                <w:rFonts w:asciiTheme="minorHAnsi" w:hAnsiTheme="minorHAnsi" w:eastAsiaTheme="minorEastAsia" w:cstheme="minorHAnsi"/>
                <w:b/>
                <w:color w:val="auto"/>
                <w:szCs w:val="21"/>
              </w:rPr>
            </w:pPr>
            <w:r>
              <w:rPr>
                <w:rFonts w:asciiTheme="minorHAnsi" w:hAnsiTheme="minorHAnsi" w:eastAsiaTheme="minorEastAsia" w:cstheme="minorHAnsi"/>
                <w:b/>
                <w:color w:val="auto"/>
                <w:szCs w:val="21"/>
              </w:rPr>
              <w:t>screen classification</w:t>
            </w:r>
          </w:p>
          <w:p w14:paraId="595225E8">
            <w:pPr>
              <w:spacing w:line="300" w:lineRule="exact"/>
              <w:rPr>
                <w:rFonts w:asciiTheme="minorHAnsi" w:hAnsiTheme="minorHAnsi" w:eastAsiaTheme="minorEastAsia" w:cstheme="minorHAnsi"/>
                <w:color w:val="auto"/>
                <w:szCs w:val="21"/>
              </w:rPr>
            </w:pPr>
            <w:r>
              <w:rPr>
                <w:rFonts w:asciiTheme="minorHAnsi" w:hAnsiTheme="minorHAnsi" w:eastAsiaTheme="minorEastAsia" w:cstheme="minorHAnsi"/>
                <w:color w:val="auto"/>
                <w:szCs w:val="21"/>
              </w:rPr>
              <w:t>particle size distribution (3.1.61), usually expressed as the weight percentage retained upon each of a series of standard sieves of decreasing size and the percentage passed by the sieve of finest size</w:t>
            </w:r>
          </w:p>
          <w:p w14:paraId="3F850C93">
            <w:pPr>
              <w:spacing w:line="300" w:lineRule="exact"/>
              <w:jc w:val="left"/>
              <w:rPr>
                <w:rFonts w:asciiTheme="minorHAnsi" w:hAnsiTheme="minorHAnsi" w:eastAsiaTheme="minorEastAsia" w:cstheme="minorHAnsi"/>
                <w:b/>
                <w:color w:val="auto"/>
                <w:szCs w:val="21"/>
              </w:rPr>
            </w:pPr>
            <w:r>
              <w:rPr>
                <w:rFonts w:asciiTheme="minorHAnsi" w:hAnsiTheme="minorHAnsi" w:eastAsiaTheme="minorEastAsia" w:cstheme="minorHAnsi"/>
                <w:color w:val="auto"/>
                <w:szCs w:val="21"/>
              </w:rPr>
              <w:t>Note 1 to entry: See also ISO 4497.</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6E402E54">
            <w:pPr>
              <w:pStyle w:val="58"/>
              <w:spacing w:line="300" w:lineRule="exact"/>
              <w:rPr>
                <w:rStyle w:val="54"/>
                <w:rFonts w:asciiTheme="minorHAnsi" w:hAnsiTheme="minorHAnsi" w:eastAsiaTheme="minorEastAsia" w:cstheme="minorHAnsi"/>
                <w:b w:val="0"/>
                <w:bCs w:val="0"/>
                <w:color w:val="auto"/>
                <w:szCs w:val="21"/>
              </w:rPr>
            </w:pPr>
            <w:r>
              <w:rPr>
                <w:rStyle w:val="54"/>
                <w:rFonts w:asciiTheme="minorHAnsi" w:hAnsiTheme="minorHAnsi" w:eastAsiaTheme="minorEastAsia" w:cstheme="minorHAnsi"/>
                <w:color w:val="auto"/>
                <w:szCs w:val="21"/>
              </w:rPr>
              <w:t>筛分析  sieve analysis，screen analysis，screen classification</w:t>
            </w:r>
          </w:p>
          <w:p w14:paraId="2F3E3EEF">
            <w:pPr>
              <w:spacing w:line="300" w:lineRule="exact"/>
              <w:ind w:firstLine="420"/>
              <w:rPr>
                <w:rStyle w:val="54"/>
                <w:rFonts w:asciiTheme="minorHAnsi" w:hAnsiTheme="minorHAnsi" w:eastAsiaTheme="minorEastAsia" w:cstheme="minorHAnsi"/>
                <w:b w:val="0"/>
                <w:bCs w:val="0"/>
                <w:color w:val="auto"/>
                <w:szCs w:val="21"/>
              </w:rPr>
            </w:pPr>
            <w:r>
              <w:rPr>
                <w:rStyle w:val="54"/>
                <w:rFonts w:asciiTheme="minorHAnsi" w:hAnsiTheme="minorHAnsi" w:eastAsiaTheme="minorEastAsia" w:cstheme="minorHAnsi"/>
                <w:color w:val="auto"/>
                <w:szCs w:val="21"/>
              </w:rPr>
              <w:t>粒度分布（3.1.61），通常表示为在一系列尺寸递减的标准筛</w:t>
            </w:r>
            <w:r>
              <w:rPr>
                <w:rStyle w:val="54"/>
                <w:rFonts w:hint="eastAsia" w:asciiTheme="minorHAnsi" w:hAnsiTheme="minorHAnsi" w:eastAsiaTheme="minorEastAsia" w:cstheme="minorHAnsi"/>
                <w:color w:val="auto"/>
                <w:szCs w:val="21"/>
              </w:rPr>
              <w:t>的筛上物</w:t>
            </w:r>
            <w:r>
              <w:rPr>
                <w:rStyle w:val="54"/>
                <w:rFonts w:asciiTheme="minorHAnsi" w:hAnsiTheme="minorHAnsi" w:eastAsiaTheme="minorEastAsia" w:cstheme="minorHAnsi"/>
                <w:color w:val="auto"/>
                <w:szCs w:val="21"/>
              </w:rPr>
              <w:t>重量百分比，以及通过最细筛</w:t>
            </w:r>
            <w:r>
              <w:rPr>
                <w:rStyle w:val="54"/>
                <w:rFonts w:hint="eastAsia" w:asciiTheme="minorHAnsi" w:hAnsiTheme="minorHAnsi" w:eastAsiaTheme="minorEastAsia" w:cstheme="minorHAnsi"/>
                <w:color w:val="auto"/>
                <w:szCs w:val="21"/>
              </w:rPr>
              <w:t>的</w:t>
            </w:r>
            <w:r>
              <w:rPr>
                <w:rStyle w:val="54"/>
                <w:rFonts w:asciiTheme="minorHAnsi" w:hAnsiTheme="minorHAnsi" w:eastAsiaTheme="minorEastAsia" w:cstheme="minorHAnsi"/>
                <w:color w:val="auto"/>
                <w:szCs w:val="21"/>
              </w:rPr>
              <w:t>筛</w:t>
            </w:r>
            <w:r>
              <w:rPr>
                <w:rStyle w:val="54"/>
                <w:rFonts w:hint="eastAsia" w:asciiTheme="minorHAnsi" w:hAnsiTheme="minorHAnsi" w:eastAsiaTheme="minorEastAsia" w:cstheme="minorHAnsi"/>
                <w:color w:val="auto"/>
                <w:szCs w:val="21"/>
              </w:rPr>
              <w:t>下物</w:t>
            </w:r>
            <w:r>
              <w:rPr>
                <w:rStyle w:val="54"/>
                <w:rFonts w:asciiTheme="minorHAnsi" w:hAnsiTheme="minorHAnsi" w:eastAsiaTheme="minorEastAsia" w:cstheme="minorHAnsi"/>
                <w:color w:val="auto"/>
                <w:szCs w:val="21"/>
              </w:rPr>
              <w:t>重量百分比。</w:t>
            </w:r>
          </w:p>
          <w:p w14:paraId="02011864">
            <w:pPr>
              <w:spacing w:line="300" w:lineRule="exact"/>
              <w:ind w:firstLine="420"/>
              <w:rPr>
                <w:rStyle w:val="54"/>
                <w:rFonts w:asciiTheme="minorHAnsi" w:hAnsiTheme="minorHAnsi" w:eastAsiaTheme="minorEastAsia" w:cstheme="minorHAnsi"/>
                <w:b w:val="0"/>
                <w:bCs w:val="0"/>
                <w:color w:val="auto"/>
                <w:szCs w:val="21"/>
              </w:rPr>
            </w:pPr>
            <w:r>
              <w:rPr>
                <w:rFonts w:asciiTheme="minorHAnsi" w:hAnsiTheme="minorHAnsi" w:eastAsiaTheme="minorEastAsia" w:cstheme="minorHAnsi"/>
                <w:color w:val="auto"/>
                <w:szCs w:val="21"/>
              </w:rPr>
              <w:t>注1：</w:t>
            </w:r>
            <w:r>
              <w:rPr>
                <w:rStyle w:val="54"/>
                <w:rFonts w:asciiTheme="minorHAnsi" w:hAnsiTheme="minorHAnsi" w:eastAsiaTheme="minorEastAsia" w:cstheme="minorHAnsi"/>
                <w:color w:val="auto"/>
                <w:szCs w:val="21"/>
              </w:rPr>
              <w:t>见GB/T 1480</w:t>
            </w:r>
            <w:r>
              <w:rPr>
                <w:rStyle w:val="54"/>
                <w:rFonts w:hint="eastAsia" w:asciiTheme="minorHAnsi" w:hAnsiTheme="minorHAnsi" w:eastAsiaTheme="minorEastAsia" w:cstheme="minorHAnsi"/>
                <w:color w:val="auto"/>
                <w:szCs w:val="21"/>
              </w:rPr>
              <w:t>。</w:t>
            </w:r>
          </w:p>
          <w:p w14:paraId="7F116554">
            <w:pPr>
              <w:pStyle w:val="58"/>
              <w:spacing w:line="300" w:lineRule="exact"/>
              <w:jc w:val="left"/>
              <w:rPr>
                <w:rStyle w:val="54"/>
                <w:rFonts w:asciiTheme="minorHAnsi" w:hAnsiTheme="minorHAnsi" w:eastAsiaTheme="minorEastAsia" w:cstheme="minorHAnsi"/>
                <w:b w:val="0"/>
                <w:bCs w:val="0"/>
                <w:color w:val="auto"/>
                <w:szCs w:val="21"/>
              </w:rPr>
            </w:pPr>
          </w:p>
        </w:tc>
        <w:tc>
          <w:tcPr>
            <w:tcW w:w="2503" w:type="dxa"/>
            <w:tcBorders>
              <w:top w:val="single" w:color="auto" w:sz="4" w:space="0"/>
              <w:left w:val="single" w:color="auto" w:sz="4" w:space="0"/>
              <w:bottom w:val="single" w:color="auto" w:sz="4" w:space="0"/>
              <w:right w:val="single" w:color="auto" w:sz="4" w:space="0"/>
            </w:tcBorders>
          </w:tcPr>
          <w:p w14:paraId="59693FC7">
            <w:pPr>
              <w:spacing w:line="300" w:lineRule="exact"/>
              <w:rPr>
                <w:rFonts w:asciiTheme="minorHAnsi" w:hAnsiTheme="minorHAnsi" w:eastAsiaTheme="minorEastAsia" w:cstheme="minorHAnsi"/>
                <w:color w:val="auto"/>
                <w:szCs w:val="21"/>
              </w:rPr>
            </w:pPr>
            <w:r>
              <w:rPr>
                <w:rFonts w:asciiTheme="minorHAnsi" w:hAnsiTheme="minorHAnsi" w:eastAsiaTheme="minorEastAsia" w:cstheme="minorHAnsi"/>
                <w:color w:val="auto"/>
                <w:szCs w:val="21"/>
              </w:rPr>
              <w:t>筛分析</w:t>
            </w:r>
          </w:p>
          <w:p w14:paraId="35C0943A">
            <w:pPr>
              <w:spacing w:line="300" w:lineRule="exact"/>
              <w:rPr>
                <w:rFonts w:asciiTheme="minorHAnsi" w:hAnsiTheme="minorHAnsi" w:eastAsiaTheme="minorEastAsia" w:cstheme="minorHAnsi"/>
                <w:color w:val="auto"/>
                <w:szCs w:val="21"/>
              </w:rPr>
            </w:pPr>
            <w:r>
              <w:rPr>
                <w:rFonts w:asciiTheme="minorHAnsi" w:hAnsiTheme="minorHAnsi" w:eastAsiaTheme="minorEastAsia" w:cstheme="minorHAnsi"/>
                <w:color w:val="auto"/>
                <w:szCs w:val="21"/>
              </w:rPr>
              <w:t>用筛测定粉末粒度分布</w:t>
            </w:r>
          </w:p>
          <w:p w14:paraId="3803543B">
            <w:pPr>
              <w:spacing w:line="300" w:lineRule="exact"/>
              <w:jc w:val="left"/>
              <w:rPr>
                <w:rFonts w:asciiTheme="minorHAnsi" w:hAnsiTheme="minorHAnsi" w:eastAsiaTheme="minorEastAsia" w:cstheme="minorHAnsi"/>
                <w:color w:val="auto"/>
                <w:szCs w:val="21"/>
              </w:rPr>
            </w:pPr>
            <w:r>
              <w:rPr>
                <w:rFonts w:asciiTheme="minorHAnsi" w:hAnsiTheme="minorHAnsi" w:eastAsiaTheme="minorEastAsia" w:cstheme="minorHAnsi"/>
                <w:color w:val="auto"/>
                <w:szCs w:val="21"/>
              </w:rPr>
              <w:t>注1：另见ISO 4497。</w:t>
            </w:r>
          </w:p>
        </w:tc>
        <w:tc>
          <w:tcPr>
            <w:tcW w:w="2164" w:type="dxa"/>
            <w:tcBorders>
              <w:top w:val="single" w:color="auto" w:sz="4" w:space="0"/>
              <w:left w:val="single" w:color="auto" w:sz="4" w:space="0"/>
              <w:bottom w:val="single" w:color="auto" w:sz="4" w:space="0"/>
              <w:right w:val="single" w:color="auto" w:sz="4" w:space="0"/>
            </w:tcBorders>
          </w:tcPr>
          <w:p w14:paraId="72C32922">
            <w:pPr>
              <w:spacing w:line="300" w:lineRule="exact"/>
              <w:rPr>
                <w:rFonts w:asciiTheme="minorHAnsi" w:hAnsiTheme="minorHAnsi" w:eastAsiaTheme="minorEastAsia" w:cstheme="minorHAnsi"/>
                <w:color w:val="auto"/>
                <w:szCs w:val="21"/>
              </w:rPr>
            </w:pPr>
            <w:r>
              <w:rPr>
                <w:rFonts w:asciiTheme="minorHAnsi" w:hAnsiTheme="minorHAnsi" w:eastAsiaTheme="minorEastAsia" w:cstheme="minorHAnsi"/>
                <w:color w:val="auto"/>
                <w:szCs w:val="21"/>
              </w:rPr>
              <w:t xml:space="preserve">筛分析 </w:t>
            </w:r>
          </w:p>
          <w:p w14:paraId="440DE50D">
            <w:pPr>
              <w:spacing w:line="300" w:lineRule="exact"/>
              <w:rPr>
                <w:rFonts w:asciiTheme="minorHAnsi" w:hAnsiTheme="minorHAnsi" w:eastAsiaTheme="minorEastAsia" w:cstheme="minorHAnsi"/>
                <w:color w:val="auto"/>
                <w:szCs w:val="21"/>
              </w:rPr>
            </w:pPr>
            <w:r>
              <w:rPr>
                <w:rFonts w:asciiTheme="minorHAnsi" w:hAnsiTheme="minorHAnsi" w:eastAsiaTheme="minorEastAsia" w:cstheme="minorHAnsi"/>
                <w:color w:val="auto"/>
                <w:szCs w:val="21"/>
              </w:rPr>
              <w:t>用筛测定粉末粒度分布(也用于描述测试结果)(见GB/T 1480)。</w:t>
            </w:r>
          </w:p>
          <w:p w14:paraId="64190C8C">
            <w:pPr>
              <w:spacing w:line="300" w:lineRule="exact"/>
              <w:jc w:val="left"/>
              <w:rPr>
                <w:rFonts w:asciiTheme="minorHAnsi" w:hAnsiTheme="minorHAnsi" w:eastAsiaTheme="minorEastAsia" w:cstheme="minorHAnsi"/>
                <w:color w:val="auto"/>
                <w:szCs w:val="21"/>
              </w:rPr>
            </w:pPr>
          </w:p>
        </w:tc>
      </w:tr>
      <w:tr w14:paraId="53D53E35">
        <w:tblPrEx>
          <w:tblCellMar>
            <w:top w:w="0" w:type="dxa"/>
            <w:left w:w="108" w:type="dxa"/>
            <w:bottom w:w="0" w:type="dxa"/>
            <w:right w:w="108" w:type="dxa"/>
          </w:tblCellMar>
        </w:tblPrEx>
        <w:trPr>
          <w:trHeight w:val="1487"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0619AD13">
            <w:pPr>
              <w:spacing w:line="300" w:lineRule="exact"/>
              <w:jc w:val="left"/>
              <w:rPr>
                <w:rFonts w:asciiTheme="minorHAnsi" w:hAnsiTheme="minorHAnsi"/>
                <w:color w:val="auto"/>
                <w:szCs w:val="21"/>
              </w:rPr>
            </w:pPr>
            <w:r>
              <w:rPr>
                <w:rFonts w:asciiTheme="minorHAnsi" w:hAnsiTheme="minorHAnsi" w:cstheme="minorHAnsi"/>
                <w:color w:val="auto"/>
                <w:szCs w:val="21"/>
              </w:rPr>
              <w:t>3.1.79</w:t>
            </w:r>
            <w:r>
              <w:rPr>
                <w:rFonts w:asciiTheme="minorHAnsi" w:hAnsiTheme="minorHAnsi" w:cstheme="minorHAnsi"/>
                <w:color w:val="auto"/>
                <w:kern w:val="0"/>
                <w:szCs w:val="21"/>
              </w:rPr>
              <w:t xml:space="preserve"> </w:t>
            </w: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221157F8">
            <w:pPr>
              <w:snapToGrid w:val="0"/>
              <w:spacing w:before="120" w:after="120" w:line="300" w:lineRule="exact"/>
              <w:jc w:val="left"/>
              <w:rPr>
                <w:rFonts w:asciiTheme="minorHAnsi" w:hAnsiTheme="minorHAnsi" w:cstheme="minorHAnsi"/>
                <w:color w:val="auto"/>
                <w:szCs w:val="21"/>
              </w:rPr>
            </w:pPr>
            <w:r>
              <w:rPr>
                <w:rFonts w:asciiTheme="minorHAnsi" w:hAnsiTheme="minorHAnsi" w:cstheme="minorHAnsi"/>
                <w:b/>
                <w:bCs/>
                <w:color w:val="auto"/>
                <w:szCs w:val="21"/>
              </w:rPr>
              <w:t xml:space="preserve">specific surface area </w:t>
            </w:r>
            <w:r>
              <w:rPr>
                <w:rFonts w:asciiTheme="minorHAnsi" w:hAnsiTheme="minorHAnsi" w:cstheme="minorHAnsi"/>
                <w:color w:val="auto"/>
                <w:szCs w:val="21"/>
              </w:rPr>
              <w:t xml:space="preserve"> </w:t>
            </w:r>
          </w:p>
          <w:p w14:paraId="0E688310">
            <w:pPr>
              <w:spacing w:before="120" w:after="120" w:line="300" w:lineRule="exact"/>
              <w:jc w:val="left"/>
              <w:rPr>
                <w:rFonts w:asciiTheme="minorHAnsi" w:hAnsiTheme="minorHAnsi" w:eastAsiaTheme="minorEastAsia" w:cstheme="minorHAnsi"/>
                <w:b/>
                <w:bCs/>
                <w:color w:val="auto"/>
                <w:szCs w:val="21"/>
              </w:rPr>
            </w:pPr>
            <w:r>
              <w:rPr>
                <w:rFonts w:asciiTheme="minorHAnsi" w:hAnsiTheme="minorHAnsi" w:cstheme="minorHAnsi"/>
                <w:color w:val="auto"/>
                <w:szCs w:val="21"/>
              </w:rPr>
              <w:t>total surface area of the particles per unit mass of powder</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5A78B89B">
            <w:pPr>
              <w:spacing w:before="120" w:after="120" w:line="300" w:lineRule="exact"/>
              <w:jc w:val="left"/>
              <w:rPr>
                <w:rFonts w:asciiTheme="minorHAnsi" w:hAnsiTheme="minorHAnsi" w:eastAsiaTheme="minorEastAsia" w:cstheme="minorHAnsi"/>
                <w:color w:val="auto"/>
                <w:szCs w:val="21"/>
              </w:rPr>
            </w:pPr>
            <w:r>
              <w:rPr>
                <w:rFonts w:asciiTheme="minorHAnsi" w:hAnsiTheme="minorHAnsi" w:cstheme="minorHAnsi"/>
                <w:color w:val="auto"/>
                <w:szCs w:val="21"/>
              </w:rPr>
              <w:t>比表面积（specific surface area）：单位质量粉末的总表面积。</w:t>
            </w: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644EEA33">
            <w:pPr>
              <w:snapToGrid w:val="0"/>
              <w:spacing w:line="300" w:lineRule="exact"/>
              <w:jc w:val="left"/>
              <w:rPr>
                <w:rFonts w:asciiTheme="minorHAnsi" w:hAnsiTheme="minorHAnsi" w:cstheme="minorHAnsi"/>
                <w:b/>
                <w:color w:val="auto"/>
                <w:szCs w:val="21"/>
              </w:rPr>
            </w:pPr>
            <w:r>
              <w:rPr>
                <w:rFonts w:asciiTheme="minorHAnsi" w:hAnsiTheme="minorHAnsi" w:cstheme="minorHAnsi"/>
                <w:b/>
                <w:color w:val="auto"/>
                <w:szCs w:val="21"/>
              </w:rPr>
              <w:t>specific surface area</w:t>
            </w:r>
          </w:p>
          <w:p w14:paraId="427B82D7">
            <w:pPr>
              <w:spacing w:line="300" w:lineRule="exact"/>
              <w:rPr>
                <w:rFonts w:asciiTheme="minorHAnsi" w:hAnsiTheme="minorHAnsi" w:eastAsiaTheme="minorEastAsia" w:cstheme="minorHAnsi"/>
                <w:b/>
                <w:color w:val="auto"/>
                <w:szCs w:val="21"/>
              </w:rPr>
            </w:pPr>
            <w:r>
              <w:rPr>
                <w:rFonts w:asciiTheme="minorHAnsi" w:hAnsiTheme="minorHAnsi" w:cstheme="minorHAnsi"/>
                <w:color w:val="auto"/>
                <w:szCs w:val="21"/>
              </w:rPr>
              <w:t>&lt;of a powder&gt; total surface area of the particles per unit mass of powder</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1757438E">
            <w:pPr>
              <w:pStyle w:val="58"/>
              <w:snapToGrid w:val="0"/>
              <w:spacing w:line="300" w:lineRule="exact"/>
              <w:jc w:val="left"/>
              <w:rPr>
                <w:rStyle w:val="54"/>
                <w:rFonts w:eastAsia="宋体" w:asciiTheme="minorHAnsi" w:hAnsiTheme="minorHAnsi" w:cstheme="minorHAnsi"/>
                <w:b w:val="0"/>
                <w:bCs w:val="0"/>
                <w:color w:val="auto"/>
                <w:szCs w:val="21"/>
              </w:rPr>
            </w:pPr>
            <w:r>
              <w:rPr>
                <w:rStyle w:val="54"/>
                <w:rFonts w:eastAsia="宋体" w:asciiTheme="minorHAnsi" w:hAnsiTheme="minorHAnsi" w:cstheme="minorHAnsi"/>
                <w:color w:val="auto"/>
                <w:szCs w:val="21"/>
              </w:rPr>
              <w:t>比表面积  specific surface area</w:t>
            </w:r>
          </w:p>
          <w:p w14:paraId="09C76313">
            <w:pPr>
              <w:snapToGrid w:val="0"/>
              <w:spacing w:line="300" w:lineRule="exact"/>
              <w:ind w:firstLine="420"/>
              <w:jc w:val="left"/>
              <w:rPr>
                <w:rFonts w:asciiTheme="minorHAnsi" w:hAnsiTheme="minorHAnsi" w:cstheme="minorHAnsi"/>
                <w:color w:val="auto"/>
                <w:szCs w:val="21"/>
              </w:rPr>
            </w:pPr>
            <w:r>
              <w:rPr>
                <w:rFonts w:asciiTheme="minorHAnsi" w:hAnsiTheme="minorHAnsi" w:cstheme="minorHAnsi"/>
                <w:color w:val="auto"/>
                <w:szCs w:val="21"/>
              </w:rPr>
              <w:t>&lt;仅适用于粉末&gt;单位质量粉末的总表面积。</w:t>
            </w:r>
          </w:p>
          <w:p w14:paraId="41308421">
            <w:pPr>
              <w:pStyle w:val="58"/>
              <w:spacing w:line="300" w:lineRule="exact"/>
              <w:rPr>
                <w:rStyle w:val="54"/>
                <w:rFonts w:asciiTheme="minorHAnsi" w:hAnsiTheme="minorHAnsi" w:eastAsiaTheme="minorEastAsia" w:cstheme="minorHAnsi"/>
                <w:b w:val="0"/>
                <w:bCs w:val="0"/>
                <w:color w:val="auto"/>
                <w:szCs w:val="21"/>
              </w:rPr>
            </w:pPr>
          </w:p>
        </w:tc>
        <w:tc>
          <w:tcPr>
            <w:tcW w:w="2503" w:type="dxa"/>
            <w:tcBorders>
              <w:top w:val="single" w:color="auto" w:sz="4" w:space="0"/>
              <w:left w:val="single" w:color="auto" w:sz="4" w:space="0"/>
              <w:bottom w:val="single" w:color="auto" w:sz="4" w:space="0"/>
              <w:right w:val="single" w:color="auto" w:sz="4" w:space="0"/>
            </w:tcBorders>
          </w:tcPr>
          <w:p w14:paraId="7D49B09D">
            <w:pPr>
              <w:snapToGrid w:val="0"/>
              <w:spacing w:line="300" w:lineRule="exact"/>
              <w:jc w:val="left"/>
              <w:rPr>
                <w:rFonts w:asciiTheme="minorHAnsi" w:hAnsiTheme="minorHAnsi" w:cstheme="minorHAnsi"/>
                <w:color w:val="auto"/>
                <w:szCs w:val="21"/>
              </w:rPr>
            </w:pPr>
            <w:r>
              <w:rPr>
                <w:rFonts w:asciiTheme="minorHAnsi" w:hAnsiTheme="minorHAnsi" w:cstheme="minorHAnsi"/>
                <w:color w:val="auto"/>
                <w:szCs w:val="21"/>
              </w:rPr>
              <w:t>比表面积</w:t>
            </w:r>
          </w:p>
          <w:p w14:paraId="0F0973F2">
            <w:pPr>
              <w:spacing w:line="300" w:lineRule="exact"/>
              <w:rPr>
                <w:rFonts w:asciiTheme="minorHAnsi" w:hAnsiTheme="minorHAnsi" w:eastAsiaTheme="minorEastAsia" w:cstheme="minorHAnsi"/>
                <w:color w:val="auto"/>
                <w:szCs w:val="21"/>
              </w:rPr>
            </w:pPr>
            <w:r>
              <w:rPr>
                <w:rFonts w:asciiTheme="minorHAnsi" w:hAnsiTheme="minorHAnsi" w:cstheme="minorHAnsi"/>
                <w:color w:val="auto"/>
                <w:szCs w:val="21"/>
              </w:rPr>
              <w:t>单位质量粉末的总表面积</w:t>
            </w:r>
          </w:p>
        </w:tc>
        <w:tc>
          <w:tcPr>
            <w:tcW w:w="2164" w:type="dxa"/>
            <w:tcBorders>
              <w:top w:val="single" w:color="auto" w:sz="4" w:space="0"/>
              <w:left w:val="single" w:color="auto" w:sz="4" w:space="0"/>
              <w:bottom w:val="single" w:color="auto" w:sz="4" w:space="0"/>
              <w:right w:val="single" w:color="auto" w:sz="4" w:space="0"/>
            </w:tcBorders>
          </w:tcPr>
          <w:p w14:paraId="78B1B698">
            <w:pPr>
              <w:snapToGrid w:val="0"/>
              <w:spacing w:line="300" w:lineRule="exact"/>
              <w:jc w:val="left"/>
              <w:rPr>
                <w:rFonts w:asciiTheme="minorHAnsi" w:hAnsiTheme="minorHAnsi" w:cstheme="minorHAnsi"/>
                <w:color w:val="auto"/>
                <w:szCs w:val="21"/>
              </w:rPr>
            </w:pPr>
            <w:r>
              <w:rPr>
                <w:rFonts w:asciiTheme="minorHAnsi" w:hAnsiTheme="minorHAnsi" w:cstheme="minorHAnsi"/>
                <w:color w:val="auto"/>
                <w:szCs w:val="21"/>
              </w:rPr>
              <w:t xml:space="preserve">比表面积  </w:t>
            </w:r>
          </w:p>
          <w:p w14:paraId="54B6E173">
            <w:pPr>
              <w:snapToGrid w:val="0"/>
              <w:spacing w:line="300" w:lineRule="exact"/>
              <w:jc w:val="left"/>
              <w:rPr>
                <w:rFonts w:asciiTheme="minorHAnsi" w:hAnsiTheme="minorHAnsi" w:cstheme="minorHAnsi"/>
                <w:color w:val="auto"/>
                <w:szCs w:val="21"/>
              </w:rPr>
            </w:pPr>
            <w:r>
              <w:rPr>
                <w:rFonts w:asciiTheme="minorHAnsi" w:hAnsiTheme="minorHAnsi" w:cstheme="minorHAnsi"/>
                <w:color w:val="auto"/>
                <w:szCs w:val="21"/>
              </w:rPr>
              <w:t>单位质量粉末的总表面积。</w:t>
            </w:r>
          </w:p>
          <w:p w14:paraId="06F3D8EA">
            <w:pPr>
              <w:spacing w:line="300" w:lineRule="exact"/>
              <w:rPr>
                <w:rFonts w:asciiTheme="minorHAnsi" w:hAnsiTheme="minorHAnsi" w:eastAsiaTheme="minorEastAsia" w:cstheme="minorHAnsi"/>
                <w:color w:val="auto"/>
                <w:szCs w:val="21"/>
              </w:rPr>
            </w:pPr>
          </w:p>
        </w:tc>
      </w:tr>
      <w:tr w14:paraId="0AC019B9">
        <w:tblPrEx>
          <w:tblCellMar>
            <w:top w:w="0" w:type="dxa"/>
            <w:left w:w="108" w:type="dxa"/>
            <w:bottom w:w="0" w:type="dxa"/>
            <w:right w:w="108" w:type="dxa"/>
          </w:tblCellMar>
        </w:tblPrEx>
        <w:trPr>
          <w:trHeight w:val="509" w:hRule="atLeast"/>
          <w:jc w:val="center"/>
        </w:trPr>
        <w:tc>
          <w:tcPr>
            <w:tcW w:w="16316" w:type="dxa"/>
            <w:gridSpan w:val="7"/>
            <w:tcBorders>
              <w:top w:val="single" w:color="auto" w:sz="4" w:space="0"/>
              <w:left w:val="single" w:color="auto" w:sz="4" w:space="0"/>
              <w:bottom w:val="single" w:color="auto" w:sz="4" w:space="0"/>
              <w:right w:val="single" w:color="auto" w:sz="4" w:space="0"/>
            </w:tcBorders>
            <w:shd w:val="clear" w:color="auto" w:fill="auto"/>
          </w:tcPr>
          <w:p w14:paraId="36C04FBF">
            <w:pPr>
              <w:spacing w:line="300" w:lineRule="exact"/>
              <w:jc w:val="left"/>
              <w:rPr>
                <w:rFonts w:asciiTheme="minorHAnsi" w:hAnsiTheme="minorHAnsi" w:cstheme="minorHAnsi"/>
                <w:color w:val="auto"/>
                <w:kern w:val="0"/>
                <w:szCs w:val="21"/>
              </w:rPr>
            </w:pPr>
            <w:r>
              <w:rPr>
                <w:rFonts w:asciiTheme="minorHAnsi" w:hAnsiTheme="minorHAnsi" w:cstheme="minorHAnsi"/>
                <w:b/>
                <w:bCs/>
                <w:color w:val="auto"/>
                <w:kern w:val="0"/>
                <w:szCs w:val="21"/>
              </w:rPr>
              <w:t>3.2修改14条术语及定义</w:t>
            </w:r>
          </w:p>
        </w:tc>
      </w:tr>
      <w:tr w14:paraId="6EF19D3F">
        <w:tblPrEx>
          <w:tblCellMar>
            <w:top w:w="0" w:type="dxa"/>
            <w:left w:w="108" w:type="dxa"/>
            <w:bottom w:w="0" w:type="dxa"/>
            <w:right w:w="108" w:type="dxa"/>
          </w:tblCellMar>
        </w:tblPrEx>
        <w:trPr>
          <w:trHeight w:val="2288"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06A77EB1">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3.2.5</w:t>
            </w: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62B3ED6B">
            <w:pPr>
              <w:spacing w:before="120" w:after="120" w:line="300" w:lineRule="exact"/>
              <w:jc w:val="left"/>
              <w:rPr>
                <w:rFonts w:asciiTheme="minorHAnsi" w:hAnsiTheme="minorHAnsi" w:cstheme="minorHAnsi"/>
                <w:b/>
                <w:bCs/>
                <w:color w:val="auto"/>
                <w:kern w:val="0"/>
                <w:szCs w:val="21"/>
              </w:rPr>
            </w:pPr>
            <w:r>
              <w:rPr>
                <w:rFonts w:asciiTheme="minorHAnsi" w:hAnsiTheme="minorHAnsi" w:cstheme="minorHAnsi"/>
                <w:b/>
                <w:bCs/>
                <w:color w:val="auto"/>
                <w:kern w:val="0"/>
                <w:szCs w:val="21"/>
              </w:rPr>
              <w:t xml:space="preserve">blank  </w:t>
            </w:r>
          </w:p>
          <w:p w14:paraId="2BA806A7">
            <w:pPr>
              <w:spacing w:before="120" w:after="120"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a compact or a presintered or sintered object of unfinished dimensions or shape</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6813F3E8">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毛坯（blank）：没有达到最终尺寸和形状的压坯、预烧结坯或烧结坯。</w:t>
            </w: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6080F0CF">
            <w:pPr>
              <w:spacing w:line="300" w:lineRule="exact"/>
              <w:jc w:val="left"/>
              <w:rPr>
                <w:rFonts w:asciiTheme="minorHAnsi" w:hAnsiTheme="minorHAnsi" w:cstheme="minorHAnsi"/>
                <w:b/>
                <w:bCs/>
                <w:color w:val="auto"/>
                <w:kern w:val="0"/>
                <w:szCs w:val="21"/>
              </w:rPr>
            </w:pPr>
            <w:r>
              <w:rPr>
                <w:rFonts w:asciiTheme="minorHAnsi" w:hAnsiTheme="minorHAnsi" w:cstheme="minorHAnsi"/>
                <w:b/>
                <w:bCs/>
                <w:color w:val="auto"/>
                <w:kern w:val="0"/>
                <w:szCs w:val="21"/>
              </w:rPr>
              <w:t>blank</w:t>
            </w:r>
          </w:p>
          <w:p w14:paraId="4DA313C2">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pressed, presintered, or fully sintered compact, usually in the unfinished condition, requiring cutting,</w:t>
            </w:r>
          </w:p>
          <w:p w14:paraId="0439DC29">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machining, or some other operation to give it its final shape</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3ABFCCD6">
            <w:pPr>
              <w:pStyle w:val="58"/>
              <w:spacing w:line="300" w:lineRule="exact"/>
              <w:jc w:val="left"/>
              <w:rPr>
                <w:rStyle w:val="54"/>
                <w:rFonts w:eastAsia="宋体" w:asciiTheme="minorHAnsi" w:hAnsiTheme="minorHAnsi" w:cstheme="minorHAnsi"/>
                <w:b w:val="0"/>
                <w:bCs w:val="0"/>
                <w:color w:val="auto"/>
                <w:kern w:val="0"/>
                <w:szCs w:val="21"/>
              </w:rPr>
            </w:pPr>
            <w:r>
              <w:rPr>
                <w:rStyle w:val="54"/>
                <w:rFonts w:eastAsia="宋体" w:asciiTheme="minorHAnsi" w:hAnsiTheme="minorHAnsi" w:cstheme="minorHAnsi"/>
                <w:color w:val="auto"/>
                <w:kern w:val="0"/>
                <w:szCs w:val="21"/>
              </w:rPr>
              <w:t>毛坯  blank</w:t>
            </w:r>
          </w:p>
          <w:p w14:paraId="6B221391">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经压制、预烧结或完全烧结的压坯，通常为半成品状态，需要经过切割、机械加工或其他操作才能获得最终形状。</w:t>
            </w:r>
          </w:p>
        </w:tc>
        <w:tc>
          <w:tcPr>
            <w:tcW w:w="2503" w:type="dxa"/>
            <w:tcBorders>
              <w:top w:val="single" w:color="auto" w:sz="4" w:space="0"/>
              <w:left w:val="single" w:color="auto" w:sz="4" w:space="0"/>
              <w:bottom w:val="single" w:color="auto" w:sz="4" w:space="0"/>
              <w:right w:val="single" w:color="auto" w:sz="4" w:space="0"/>
            </w:tcBorders>
          </w:tcPr>
          <w:p w14:paraId="15559C1D">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毛坯</w:t>
            </w:r>
          </w:p>
          <w:p w14:paraId="1052B085">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压制、预烧结或完全烧结而成的块状物，通常处于未加工状态，需要进行切割、加工或其他操作最终成形。</w:t>
            </w:r>
          </w:p>
        </w:tc>
        <w:tc>
          <w:tcPr>
            <w:tcW w:w="2164" w:type="dxa"/>
            <w:tcBorders>
              <w:top w:val="single" w:color="auto" w:sz="4" w:space="0"/>
              <w:left w:val="single" w:color="auto" w:sz="4" w:space="0"/>
              <w:bottom w:val="single" w:color="auto" w:sz="4" w:space="0"/>
              <w:right w:val="single" w:color="auto" w:sz="4" w:space="0"/>
            </w:tcBorders>
          </w:tcPr>
          <w:p w14:paraId="4F4AA9B2">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 xml:space="preserve">毛坯  </w:t>
            </w:r>
          </w:p>
          <w:p w14:paraId="7E5CE129">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没有达到最终尺寸和形状的压坯、预烧结坯或烧结坯。</w:t>
            </w:r>
          </w:p>
          <w:p w14:paraId="4C36D762">
            <w:pPr>
              <w:spacing w:line="300" w:lineRule="exact"/>
              <w:jc w:val="left"/>
              <w:rPr>
                <w:rFonts w:asciiTheme="minorHAnsi" w:hAnsiTheme="minorHAnsi" w:cstheme="minorHAnsi"/>
                <w:color w:val="auto"/>
                <w:kern w:val="0"/>
                <w:szCs w:val="21"/>
              </w:rPr>
            </w:pPr>
          </w:p>
        </w:tc>
      </w:tr>
      <w:tr w14:paraId="05604EC2">
        <w:tblPrEx>
          <w:tblCellMar>
            <w:top w:w="0" w:type="dxa"/>
            <w:left w:w="108" w:type="dxa"/>
            <w:bottom w:w="0" w:type="dxa"/>
            <w:right w:w="108" w:type="dxa"/>
          </w:tblCellMar>
        </w:tblPrEx>
        <w:trPr>
          <w:trHeight w:val="2124"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462A6123">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3.2.8</w:t>
            </w:r>
          </w:p>
          <w:p w14:paraId="62DD613E">
            <w:pPr>
              <w:spacing w:line="300" w:lineRule="exact"/>
              <w:jc w:val="left"/>
              <w:rPr>
                <w:rFonts w:asciiTheme="minorHAnsi" w:hAnsiTheme="minorHAnsi" w:cstheme="minorHAnsi"/>
                <w:color w:val="auto"/>
                <w:kern w:val="0"/>
                <w:szCs w:val="21"/>
              </w:rPr>
            </w:pP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61E86615">
            <w:pPr>
              <w:spacing w:before="120" w:after="120" w:line="300" w:lineRule="exact"/>
              <w:jc w:val="left"/>
              <w:rPr>
                <w:rFonts w:asciiTheme="minorHAnsi" w:hAnsiTheme="minorHAnsi" w:cstheme="minorHAnsi"/>
                <w:b/>
                <w:bCs/>
                <w:color w:val="auto"/>
                <w:kern w:val="0"/>
                <w:szCs w:val="21"/>
              </w:rPr>
            </w:pPr>
            <w:r>
              <w:rPr>
                <w:rFonts w:asciiTheme="minorHAnsi" w:hAnsiTheme="minorHAnsi" w:cstheme="minorHAnsi"/>
                <w:b/>
                <w:bCs/>
                <w:color w:val="auto"/>
                <w:kern w:val="0"/>
                <w:szCs w:val="21"/>
              </w:rPr>
              <w:t xml:space="preserve">clamp ring  </w:t>
            </w:r>
          </w:p>
          <w:p w14:paraId="2BA11650">
            <w:pPr>
              <w:spacing w:before="120" w:after="120"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 xml:space="preserve">member of the tool set (ring) designed to clamp a bolster  </w:t>
            </w:r>
          </w:p>
          <w:p w14:paraId="5DE1B701">
            <w:pPr>
              <w:spacing w:before="120" w:after="120"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See Figure 13</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37368731">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压紧环（clamp ring）：用于压紧模套的模架零件（环）（见图13）。</w:t>
            </w: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41ED36DF">
            <w:pPr>
              <w:spacing w:line="300" w:lineRule="exact"/>
              <w:jc w:val="left"/>
              <w:rPr>
                <w:rFonts w:asciiTheme="minorHAnsi" w:hAnsiTheme="minorHAnsi" w:cstheme="minorHAnsi"/>
                <w:b/>
                <w:bCs/>
                <w:color w:val="auto"/>
                <w:kern w:val="0"/>
                <w:szCs w:val="21"/>
              </w:rPr>
            </w:pPr>
            <w:r>
              <w:rPr>
                <w:rFonts w:asciiTheme="minorHAnsi" w:hAnsiTheme="minorHAnsi" w:cstheme="minorHAnsi"/>
                <w:b/>
                <w:bCs/>
                <w:color w:val="auto"/>
                <w:kern w:val="0"/>
                <w:szCs w:val="21"/>
              </w:rPr>
              <w:t>clamp ring</w:t>
            </w:r>
          </w:p>
          <w:p w14:paraId="445EDB35">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member of the tool set ring designed to clamp a die (3.2.23), punch (3.2.72) or a core rod (3.2.18)</w:t>
            </w:r>
          </w:p>
          <w:p w14:paraId="060C6410">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Note 1 to entry: See Figures 11 and 13.</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24676B31">
            <w:pPr>
              <w:pStyle w:val="58"/>
              <w:spacing w:line="300" w:lineRule="exact"/>
              <w:jc w:val="left"/>
              <w:rPr>
                <w:rStyle w:val="54"/>
                <w:rFonts w:eastAsia="宋体" w:asciiTheme="minorHAnsi" w:hAnsiTheme="minorHAnsi" w:cstheme="minorHAnsi"/>
                <w:b w:val="0"/>
                <w:bCs w:val="0"/>
                <w:color w:val="auto"/>
                <w:kern w:val="0"/>
                <w:szCs w:val="21"/>
              </w:rPr>
            </w:pPr>
            <w:r>
              <w:rPr>
                <w:rStyle w:val="54"/>
                <w:rFonts w:eastAsia="宋体" w:asciiTheme="minorHAnsi" w:hAnsiTheme="minorHAnsi" w:cstheme="minorHAnsi"/>
                <w:color w:val="auto"/>
                <w:kern w:val="0"/>
                <w:szCs w:val="21"/>
              </w:rPr>
              <w:t>压紧环  clamp ring</w:t>
            </w:r>
          </w:p>
          <w:p w14:paraId="2E88052D">
            <w:pPr>
              <w:spacing w:line="300" w:lineRule="exact"/>
              <w:ind w:firstLine="420"/>
              <w:jc w:val="left"/>
              <w:rPr>
                <w:rFonts w:asciiTheme="minorHAnsi" w:hAnsiTheme="minorHAnsi" w:cstheme="minorHAnsi"/>
                <w:color w:val="auto"/>
                <w:kern w:val="0"/>
                <w:szCs w:val="21"/>
              </w:rPr>
            </w:pPr>
            <w:r>
              <w:rPr>
                <w:rFonts w:asciiTheme="minorHAnsi" w:hAnsiTheme="minorHAnsi" w:cstheme="minorHAnsi"/>
                <w:color w:val="auto"/>
                <w:kern w:val="0"/>
                <w:szCs w:val="21"/>
              </w:rPr>
              <w:t>用于压紧阴模(3.2.23)、模冲(3.2.27)和芯棒(3.2.18)的环形模架零件。</w:t>
            </w:r>
          </w:p>
          <w:p w14:paraId="333B690A">
            <w:pPr>
              <w:spacing w:line="300" w:lineRule="exact"/>
              <w:ind w:left="480"/>
              <w:jc w:val="left"/>
              <w:rPr>
                <w:rFonts w:asciiTheme="minorHAnsi" w:hAnsiTheme="minorHAnsi" w:cstheme="minorHAnsi"/>
                <w:color w:val="auto"/>
                <w:kern w:val="0"/>
                <w:szCs w:val="21"/>
              </w:rPr>
            </w:pPr>
            <w:r>
              <w:rPr>
                <w:rFonts w:asciiTheme="minorHAnsi" w:hAnsiTheme="minorHAnsi" w:cstheme="minorHAnsi"/>
                <w:color w:val="auto"/>
                <w:kern w:val="0"/>
                <w:szCs w:val="21"/>
              </w:rPr>
              <w:t>注1：</w:t>
            </w:r>
            <w:r>
              <w:rPr>
                <w:rFonts w:hint="eastAsia" w:asciiTheme="minorHAnsi" w:hAnsiTheme="minorHAnsi" w:cstheme="minorHAnsi"/>
                <w:color w:val="auto"/>
                <w:kern w:val="0"/>
                <w:szCs w:val="21"/>
              </w:rPr>
              <w:t>见图1</w:t>
            </w:r>
            <w:r>
              <w:rPr>
                <w:rFonts w:asciiTheme="minorHAnsi" w:hAnsiTheme="minorHAnsi" w:cstheme="minorHAnsi"/>
                <w:color w:val="auto"/>
                <w:kern w:val="0"/>
                <w:szCs w:val="21"/>
              </w:rPr>
              <w:t>1和图13。</w:t>
            </w:r>
          </w:p>
          <w:p w14:paraId="0939685F">
            <w:pPr>
              <w:spacing w:line="300" w:lineRule="exact"/>
              <w:jc w:val="left"/>
              <w:rPr>
                <w:rFonts w:asciiTheme="minorHAnsi" w:hAnsiTheme="minorHAnsi" w:cstheme="minorHAnsi"/>
                <w:color w:val="auto"/>
                <w:kern w:val="0"/>
                <w:szCs w:val="21"/>
              </w:rPr>
            </w:pPr>
          </w:p>
        </w:tc>
        <w:tc>
          <w:tcPr>
            <w:tcW w:w="2503" w:type="dxa"/>
            <w:tcBorders>
              <w:top w:val="single" w:color="auto" w:sz="4" w:space="0"/>
              <w:left w:val="single" w:color="auto" w:sz="4" w:space="0"/>
              <w:bottom w:val="single" w:color="auto" w:sz="4" w:space="0"/>
              <w:right w:val="single" w:color="auto" w:sz="4" w:space="0"/>
            </w:tcBorders>
          </w:tcPr>
          <w:p w14:paraId="7A65BFC7">
            <w:pPr>
              <w:spacing w:line="300" w:lineRule="exact"/>
              <w:jc w:val="left"/>
              <w:rPr>
                <w:rFonts w:asciiTheme="minorHAnsi" w:hAnsiTheme="minorHAnsi" w:cstheme="minorHAnsi"/>
                <w:color w:val="auto"/>
                <w:kern w:val="0"/>
                <w:szCs w:val="21"/>
              </w:rPr>
            </w:pPr>
            <w:r>
              <w:rPr>
                <w:rStyle w:val="54"/>
                <w:rFonts w:asciiTheme="minorHAnsi" w:hAnsiTheme="minorHAnsi" w:cstheme="minorHAnsi"/>
                <w:color w:val="auto"/>
                <w:kern w:val="0"/>
                <w:szCs w:val="21"/>
              </w:rPr>
              <w:t>压紧环</w:t>
            </w:r>
          </w:p>
          <w:p w14:paraId="2C7B2922">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用于压紧阴模（3.2.23）、模冲（3.2.27）和芯棒（3.2.28）的模架零件（环）。</w:t>
            </w:r>
          </w:p>
          <w:p w14:paraId="0BE5D04D">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注：见图11和图13。</w:t>
            </w:r>
          </w:p>
        </w:tc>
        <w:tc>
          <w:tcPr>
            <w:tcW w:w="2164" w:type="dxa"/>
            <w:tcBorders>
              <w:top w:val="single" w:color="auto" w:sz="4" w:space="0"/>
              <w:left w:val="single" w:color="auto" w:sz="4" w:space="0"/>
              <w:bottom w:val="single" w:color="auto" w:sz="4" w:space="0"/>
              <w:right w:val="single" w:color="auto" w:sz="4" w:space="0"/>
            </w:tcBorders>
          </w:tcPr>
          <w:p w14:paraId="0A74D060">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 xml:space="preserve">压紧环 </w:t>
            </w:r>
          </w:p>
          <w:p w14:paraId="3E6AA168">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用于压紧模套的模架零件(环)(见图13)。</w:t>
            </w:r>
          </w:p>
          <w:p w14:paraId="1BBEE4E8">
            <w:pPr>
              <w:spacing w:line="300" w:lineRule="exact"/>
              <w:jc w:val="left"/>
              <w:rPr>
                <w:rFonts w:asciiTheme="minorHAnsi" w:hAnsiTheme="minorHAnsi" w:cstheme="minorHAnsi"/>
                <w:color w:val="auto"/>
                <w:kern w:val="0"/>
                <w:szCs w:val="21"/>
              </w:rPr>
            </w:pPr>
          </w:p>
        </w:tc>
      </w:tr>
      <w:tr w14:paraId="115F3565">
        <w:tblPrEx>
          <w:tblCellMar>
            <w:top w:w="0" w:type="dxa"/>
            <w:left w:w="108" w:type="dxa"/>
            <w:bottom w:w="0" w:type="dxa"/>
            <w:right w:w="108" w:type="dxa"/>
          </w:tblCellMar>
        </w:tblPrEx>
        <w:trPr>
          <w:trHeight w:val="2382"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5ABA1DF9">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3.2.10</w:t>
            </w: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311CCDD2">
            <w:pPr>
              <w:spacing w:before="120" w:after="120" w:line="300" w:lineRule="exact"/>
              <w:jc w:val="left"/>
              <w:rPr>
                <w:rFonts w:asciiTheme="minorHAnsi" w:hAnsiTheme="minorHAnsi" w:cstheme="minorHAnsi"/>
                <w:b/>
                <w:bCs/>
                <w:color w:val="auto"/>
                <w:kern w:val="0"/>
                <w:szCs w:val="21"/>
              </w:rPr>
            </w:pPr>
            <w:r>
              <w:rPr>
                <w:rFonts w:asciiTheme="minorHAnsi" w:hAnsiTheme="minorHAnsi" w:cstheme="minorHAnsi"/>
                <w:b/>
                <w:bCs/>
                <w:color w:val="auto"/>
                <w:kern w:val="0"/>
                <w:szCs w:val="21"/>
              </w:rPr>
              <w:t xml:space="preserve">cold pressing  </w:t>
            </w:r>
          </w:p>
          <w:p w14:paraId="3910CE80">
            <w:pPr>
              <w:spacing w:before="120" w:after="120"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pressing of a powder, normally uniaxially, at ambient temperature</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54CEDCD7">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冷压（cold pressing）：粉末在室温下的单轴向压制。</w:t>
            </w: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1EFB03DE">
            <w:pPr>
              <w:spacing w:line="300" w:lineRule="exact"/>
              <w:jc w:val="left"/>
              <w:rPr>
                <w:rFonts w:asciiTheme="minorHAnsi" w:hAnsiTheme="minorHAnsi" w:cstheme="minorHAnsi"/>
                <w:b/>
                <w:bCs/>
                <w:color w:val="auto"/>
                <w:kern w:val="0"/>
                <w:szCs w:val="21"/>
              </w:rPr>
            </w:pPr>
            <w:r>
              <w:rPr>
                <w:rFonts w:asciiTheme="minorHAnsi" w:hAnsiTheme="minorHAnsi" w:cstheme="minorHAnsi"/>
                <w:b/>
                <w:bCs/>
                <w:color w:val="auto"/>
                <w:kern w:val="0"/>
                <w:szCs w:val="21"/>
              </w:rPr>
              <w:t>cold pressing</w:t>
            </w:r>
          </w:p>
          <w:p w14:paraId="1ED0145F">
            <w:pPr>
              <w:spacing w:line="300" w:lineRule="exact"/>
              <w:jc w:val="left"/>
              <w:rPr>
                <w:rFonts w:asciiTheme="minorHAnsi" w:hAnsiTheme="minorHAnsi" w:cstheme="minorHAnsi"/>
                <w:b/>
                <w:bCs/>
                <w:color w:val="auto"/>
                <w:kern w:val="0"/>
                <w:szCs w:val="21"/>
              </w:rPr>
            </w:pPr>
            <w:r>
              <w:rPr>
                <w:rFonts w:asciiTheme="minorHAnsi" w:hAnsiTheme="minorHAnsi" w:cstheme="minorHAnsi"/>
                <w:b/>
                <w:bCs/>
                <w:color w:val="auto"/>
                <w:kern w:val="0"/>
                <w:szCs w:val="21"/>
              </w:rPr>
              <w:t>cold compacting</w:t>
            </w:r>
          </w:p>
          <w:p w14:paraId="2FAA473F">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pressing metal powder using either compacting tools or CIP mould at ambient temperature</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327C0159">
            <w:pPr>
              <w:pStyle w:val="58"/>
              <w:spacing w:line="300" w:lineRule="exact"/>
              <w:jc w:val="left"/>
              <w:rPr>
                <w:rStyle w:val="54"/>
                <w:rFonts w:eastAsia="宋体" w:asciiTheme="minorHAnsi" w:hAnsiTheme="minorHAnsi" w:cstheme="minorHAnsi"/>
                <w:b w:val="0"/>
                <w:bCs w:val="0"/>
                <w:color w:val="auto"/>
                <w:kern w:val="0"/>
                <w:szCs w:val="21"/>
              </w:rPr>
            </w:pPr>
            <w:r>
              <w:rPr>
                <w:rStyle w:val="54"/>
                <w:rFonts w:eastAsia="宋体" w:asciiTheme="minorHAnsi" w:hAnsiTheme="minorHAnsi" w:cstheme="minorHAnsi"/>
                <w:color w:val="auto"/>
                <w:kern w:val="0"/>
                <w:szCs w:val="21"/>
              </w:rPr>
              <w:t>冷压  cold pressing，cold compacting</w:t>
            </w:r>
          </w:p>
          <w:p w14:paraId="5A4C756B">
            <w:pPr>
              <w:spacing w:line="300" w:lineRule="exact"/>
              <w:ind w:firstLine="420"/>
              <w:jc w:val="left"/>
              <w:rPr>
                <w:rFonts w:asciiTheme="minorHAnsi" w:hAnsiTheme="minorHAnsi" w:cstheme="minorHAnsi"/>
                <w:color w:val="auto"/>
                <w:kern w:val="0"/>
                <w:szCs w:val="21"/>
              </w:rPr>
            </w:pPr>
            <w:r>
              <w:rPr>
                <w:rFonts w:asciiTheme="minorHAnsi" w:hAnsiTheme="minorHAnsi" w:cstheme="minorHAnsi"/>
                <w:color w:val="auto"/>
                <w:kern w:val="0"/>
                <w:szCs w:val="21"/>
              </w:rPr>
              <w:t>在室温下，采用压制模具或冷等静压（CIP）模具对金属粉末进行压制。</w:t>
            </w:r>
          </w:p>
        </w:tc>
        <w:tc>
          <w:tcPr>
            <w:tcW w:w="2503" w:type="dxa"/>
            <w:tcBorders>
              <w:top w:val="single" w:color="auto" w:sz="4" w:space="0"/>
              <w:left w:val="single" w:color="auto" w:sz="4" w:space="0"/>
              <w:bottom w:val="single" w:color="auto" w:sz="4" w:space="0"/>
              <w:right w:val="single" w:color="auto" w:sz="4" w:space="0"/>
            </w:tcBorders>
          </w:tcPr>
          <w:p w14:paraId="42416BA7">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冷压</w:t>
            </w:r>
          </w:p>
          <w:p w14:paraId="62CBC114">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在常温下使用压制工具或CIP模具压紧金属粉末。</w:t>
            </w:r>
          </w:p>
        </w:tc>
        <w:tc>
          <w:tcPr>
            <w:tcW w:w="2164" w:type="dxa"/>
            <w:tcBorders>
              <w:top w:val="single" w:color="auto" w:sz="4" w:space="0"/>
              <w:left w:val="single" w:color="auto" w:sz="4" w:space="0"/>
              <w:bottom w:val="single" w:color="auto" w:sz="4" w:space="0"/>
              <w:right w:val="single" w:color="auto" w:sz="4" w:space="0"/>
            </w:tcBorders>
          </w:tcPr>
          <w:p w14:paraId="3DBB0D2F">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 xml:space="preserve">冷压  </w:t>
            </w:r>
          </w:p>
          <w:p w14:paraId="4BF593A6">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粉末在室温下的单轴向压制。</w:t>
            </w:r>
          </w:p>
          <w:p w14:paraId="272E1D66">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使用压制工具或CIP模具在室温下压制金属粉末（直译版本）。</w:t>
            </w:r>
          </w:p>
          <w:p w14:paraId="2F2AA095">
            <w:pPr>
              <w:spacing w:line="300" w:lineRule="exact"/>
              <w:jc w:val="left"/>
              <w:rPr>
                <w:rFonts w:asciiTheme="minorHAnsi" w:hAnsiTheme="minorHAnsi" w:cstheme="minorHAnsi"/>
                <w:color w:val="auto"/>
                <w:kern w:val="0"/>
                <w:szCs w:val="21"/>
              </w:rPr>
            </w:pPr>
          </w:p>
        </w:tc>
      </w:tr>
      <w:tr w14:paraId="605B7719">
        <w:tblPrEx>
          <w:tblCellMar>
            <w:top w:w="0" w:type="dxa"/>
            <w:left w:w="108" w:type="dxa"/>
            <w:bottom w:w="0" w:type="dxa"/>
            <w:right w:w="108" w:type="dxa"/>
          </w:tblCellMar>
        </w:tblPrEx>
        <w:trPr>
          <w:trHeight w:val="2382"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0C901F30">
            <w:pPr>
              <w:snapToGrid w:val="0"/>
              <w:spacing w:line="300" w:lineRule="exact"/>
              <w:jc w:val="left"/>
              <w:rPr>
                <w:rFonts w:asciiTheme="minorHAnsi" w:hAnsiTheme="minorHAnsi" w:cstheme="minorHAnsi"/>
                <w:color w:val="auto"/>
                <w:szCs w:val="21"/>
              </w:rPr>
            </w:pPr>
            <w:r>
              <w:rPr>
                <w:rFonts w:asciiTheme="minorHAnsi" w:hAnsiTheme="minorHAnsi" w:cstheme="minorHAnsi"/>
                <w:color w:val="auto"/>
                <w:szCs w:val="21"/>
              </w:rPr>
              <w:t>3.2.35</w:t>
            </w:r>
            <w:r>
              <w:rPr>
                <w:rFonts w:asciiTheme="minorHAnsi" w:hAnsiTheme="minorHAnsi" w:cstheme="minorHAnsi"/>
                <w:color w:val="auto"/>
                <w:kern w:val="0"/>
                <w:szCs w:val="21"/>
              </w:rPr>
              <w:t xml:space="preserve"> </w:t>
            </w:r>
          </w:p>
          <w:p w14:paraId="10093075">
            <w:pPr>
              <w:spacing w:line="300" w:lineRule="exact"/>
              <w:jc w:val="left"/>
              <w:rPr>
                <w:rFonts w:asciiTheme="minorHAnsi" w:hAnsiTheme="minorHAnsi" w:cstheme="minorHAnsi"/>
                <w:color w:val="auto"/>
                <w:kern w:val="0"/>
                <w:szCs w:val="21"/>
              </w:rPr>
            </w:pP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4B94BEF0">
            <w:pPr>
              <w:snapToGrid w:val="0"/>
              <w:spacing w:before="120" w:after="120" w:line="300" w:lineRule="exact"/>
              <w:jc w:val="left"/>
              <w:rPr>
                <w:rFonts w:asciiTheme="minorHAnsi" w:hAnsiTheme="minorHAnsi" w:cstheme="minorHAnsi"/>
                <w:b/>
                <w:bCs/>
                <w:color w:val="auto"/>
                <w:szCs w:val="21"/>
              </w:rPr>
            </w:pPr>
            <w:r>
              <w:rPr>
                <w:rFonts w:asciiTheme="minorHAnsi" w:hAnsiTheme="minorHAnsi" w:cstheme="minorHAnsi"/>
                <w:b/>
                <w:bCs/>
                <w:color w:val="auto"/>
                <w:szCs w:val="21"/>
              </w:rPr>
              <w:t xml:space="preserve">explosive compaction  </w:t>
            </w:r>
          </w:p>
          <w:p w14:paraId="246DCD23">
            <w:pPr>
              <w:spacing w:before="120" w:after="120" w:line="300" w:lineRule="exact"/>
              <w:jc w:val="left"/>
              <w:rPr>
                <w:rFonts w:asciiTheme="minorHAnsi" w:hAnsiTheme="minorHAnsi" w:cstheme="minorHAnsi"/>
                <w:b/>
                <w:bCs/>
                <w:color w:val="auto"/>
                <w:kern w:val="0"/>
                <w:szCs w:val="21"/>
              </w:rPr>
            </w:pPr>
            <w:r>
              <w:rPr>
                <w:rFonts w:asciiTheme="minorHAnsi" w:hAnsiTheme="minorHAnsi" w:cstheme="minorHAnsi"/>
                <w:color w:val="auto"/>
                <w:szCs w:val="21"/>
              </w:rPr>
              <w:t>high-energy consolidation by means of a detonation wave</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23638A4A">
            <w:pPr>
              <w:spacing w:line="300" w:lineRule="exact"/>
              <w:jc w:val="left"/>
              <w:rPr>
                <w:rFonts w:asciiTheme="minorHAnsi" w:hAnsiTheme="minorHAnsi" w:cstheme="minorHAnsi"/>
                <w:color w:val="auto"/>
                <w:kern w:val="0"/>
                <w:szCs w:val="21"/>
              </w:rPr>
            </w:pPr>
            <w:r>
              <w:rPr>
                <w:rFonts w:asciiTheme="minorHAnsi" w:hAnsiTheme="minorHAnsi" w:cstheme="minorHAnsi"/>
                <w:color w:val="auto"/>
                <w:szCs w:val="21"/>
              </w:rPr>
              <w:t>爆炸成形（explosive compaction）：借助爆炸波的高能使粉末固结。</w:t>
            </w: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3CBCF2CE">
            <w:pPr>
              <w:snapToGrid w:val="0"/>
              <w:spacing w:line="300" w:lineRule="exact"/>
              <w:jc w:val="left"/>
              <w:rPr>
                <w:rFonts w:asciiTheme="minorHAnsi" w:hAnsiTheme="minorHAnsi" w:cstheme="minorHAnsi"/>
                <w:b/>
                <w:bCs/>
                <w:color w:val="auto"/>
                <w:szCs w:val="21"/>
              </w:rPr>
            </w:pPr>
            <w:r>
              <w:rPr>
                <w:rFonts w:asciiTheme="minorHAnsi" w:hAnsiTheme="minorHAnsi" w:cstheme="minorHAnsi"/>
                <w:b/>
                <w:bCs/>
                <w:color w:val="auto"/>
                <w:szCs w:val="21"/>
              </w:rPr>
              <w:t>explosive compaction</w:t>
            </w:r>
          </w:p>
          <w:p w14:paraId="37BB8BF9">
            <w:pPr>
              <w:spacing w:line="300" w:lineRule="exact"/>
              <w:jc w:val="left"/>
              <w:rPr>
                <w:rFonts w:asciiTheme="minorHAnsi" w:hAnsiTheme="minorHAnsi" w:cstheme="minorHAnsi"/>
                <w:b/>
                <w:bCs/>
                <w:color w:val="auto"/>
                <w:kern w:val="0"/>
                <w:szCs w:val="21"/>
              </w:rPr>
            </w:pPr>
            <w:r>
              <w:rPr>
                <w:rFonts w:asciiTheme="minorHAnsi" w:hAnsiTheme="minorHAnsi" w:cstheme="minorHAnsi"/>
                <w:color w:val="auto"/>
                <w:szCs w:val="21"/>
              </w:rPr>
              <w:t>high-energy consolidation by means of a detonation shock wave</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30F59FB5">
            <w:pPr>
              <w:pStyle w:val="58"/>
              <w:snapToGrid w:val="0"/>
              <w:spacing w:line="300" w:lineRule="exact"/>
              <w:jc w:val="left"/>
              <w:rPr>
                <w:rStyle w:val="54"/>
                <w:rFonts w:eastAsia="宋体" w:asciiTheme="minorHAnsi" w:hAnsiTheme="minorHAnsi" w:cstheme="minorHAnsi"/>
                <w:b w:val="0"/>
                <w:bCs w:val="0"/>
                <w:color w:val="auto"/>
                <w:szCs w:val="21"/>
              </w:rPr>
            </w:pPr>
            <w:r>
              <w:rPr>
                <w:rStyle w:val="54"/>
                <w:rFonts w:eastAsia="宋体" w:asciiTheme="minorHAnsi" w:hAnsiTheme="minorHAnsi" w:cstheme="minorHAnsi"/>
                <w:color w:val="auto"/>
                <w:szCs w:val="21"/>
              </w:rPr>
              <w:t>爆炸成形  explosive compaction</w:t>
            </w:r>
          </w:p>
          <w:p w14:paraId="59FCAAD5">
            <w:pPr>
              <w:pStyle w:val="58"/>
              <w:snapToGrid w:val="0"/>
              <w:spacing w:line="300" w:lineRule="exact"/>
              <w:jc w:val="left"/>
              <w:rPr>
                <w:rFonts w:eastAsia="宋体" w:asciiTheme="minorHAnsi" w:hAnsiTheme="minorHAnsi" w:cstheme="minorHAnsi"/>
                <w:color w:val="auto"/>
                <w:szCs w:val="21"/>
              </w:rPr>
            </w:pPr>
            <w:r>
              <w:rPr>
                <w:rFonts w:eastAsia="宋体" w:asciiTheme="minorHAnsi" w:hAnsiTheme="minorHAnsi" w:cstheme="minorHAnsi"/>
                <w:color w:val="auto"/>
                <w:szCs w:val="21"/>
              </w:rPr>
              <w:t>借助爆炸冲击波的高能使粉末固结。</w:t>
            </w:r>
          </w:p>
          <w:p w14:paraId="4D32A38A">
            <w:pPr>
              <w:pStyle w:val="58"/>
              <w:spacing w:line="300" w:lineRule="exact"/>
              <w:jc w:val="left"/>
              <w:rPr>
                <w:rStyle w:val="54"/>
                <w:rFonts w:eastAsia="宋体" w:asciiTheme="minorHAnsi" w:hAnsiTheme="minorHAnsi" w:cstheme="minorHAnsi"/>
                <w:b w:val="0"/>
                <w:bCs w:val="0"/>
                <w:color w:val="auto"/>
                <w:kern w:val="0"/>
                <w:szCs w:val="21"/>
              </w:rPr>
            </w:pPr>
          </w:p>
        </w:tc>
        <w:tc>
          <w:tcPr>
            <w:tcW w:w="2503" w:type="dxa"/>
            <w:tcBorders>
              <w:top w:val="single" w:color="auto" w:sz="4" w:space="0"/>
              <w:left w:val="single" w:color="auto" w:sz="4" w:space="0"/>
              <w:bottom w:val="single" w:color="auto" w:sz="4" w:space="0"/>
              <w:right w:val="single" w:color="auto" w:sz="4" w:space="0"/>
            </w:tcBorders>
          </w:tcPr>
          <w:p w14:paraId="2AB8D022">
            <w:pPr>
              <w:snapToGrid w:val="0"/>
              <w:spacing w:line="300" w:lineRule="exact"/>
              <w:jc w:val="left"/>
              <w:rPr>
                <w:rFonts w:asciiTheme="minorHAnsi" w:hAnsiTheme="minorHAnsi" w:cstheme="minorHAnsi"/>
                <w:color w:val="auto"/>
                <w:szCs w:val="21"/>
              </w:rPr>
            </w:pPr>
            <w:r>
              <w:rPr>
                <w:rFonts w:asciiTheme="minorHAnsi" w:hAnsiTheme="minorHAnsi" w:cstheme="minorHAnsi"/>
                <w:color w:val="auto"/>
                <w:szCs w:val="21"/>
              </w:rPr>
              <w:t>爆炸成形</w:t>
            </w:r>
          </w:p>
          <w:p w14:paraId="0F156A84">
            <w:pPr>
              <w:spacing w:line="300" w:lineRule="exact"/>
              <w:jc w:val="left"/>
              <w:rPr>
                <w:rFonts w:asciiTheme="minorHAnsi" w:hAnsiTheme="minorHAnsi" w:cstheme="minorHAnsi"/>
                <w:color w:val="auto"/>
                <w:kern w:val="0"/>
                <w:szCs w:val="21"/>
              </w:rPr>
            </w:pPr>
            <w:r>
              <w:rPr>
                <w:rFonts w:asciiTheme="minorHAnsi" w:hAnsiTheme="minorHAnsi" w:cstheme="minorHAnsi"/>
                <w:color w:val="auto"/>
                <w:szCs w:val="21"/>
              </w:rPr>
              <w:t>借助爆炸波的高能使粉末固结。</w:t>
            </w:r>
          </w:p>
        </w:tc>
        <w:tc>
          <w:tcPr>
            <w:tcW w:w="2164" w:type="dxa"/>
            <w:tcBorders>
              <w:top w:val="single" w:color="auto" w:sz="4" w:space="0"/>
              <w:left w:val="single" w:color="auto" w:sz="4" w:space="0"/>
              <w:bottom w:val="single" w:color="auto" w:sz="4" w:space="0"/>
              <w:right w:val="single" w:color="auto" w:sz="4" w:space="0"/>
            </w:tcBorders>
          </w:tcPr>
          <w:p w14:paraId="43A40C57">
            <w:pPr>
              <w:snapToGrid w:val="0"/>
              <w:spacing w:line="300" w:lineRule="exact"/>
              <w:jc w:val="left"/>
              <w:rPr>
                <w:rFonts w:asciiTheme="minorHAnsi" w:hAnsiTheme="minorHAnsi" w:cstheme="minorHAnsi"/>
                <w:color w:val="auto"/>
                <w:szCs w:val="21"/>
              </w:rPr>
            </w:pPr>
            <w:r>
              <w:rPr>
                <w:rFonts w:asciiTheme="minorHAnsi" w:hAnsiTheme="minorHAnsi" w:cstheme="minorHAnsi"/>
                <w:color w:val="auto"/>
                <w:szCs w:val="21"/>
              </w:rPr>
              <w:t xml:space="preserve">爆炸成形   </w:t>
            </w:r>
          </w:p>
          <w:p w14:paraId="077A3CE7">
            <w:pPr>
              <w:snapToGrid w:val="0"/>
              <w:spacing w:line="300" w:lineRule="exact"/>
              <w:jc w:val="left"/>
              <w:rPr>
                <w:rFonts w:asciiTheme="minorHAnsi" w:hAnsiTheme="minorHAnsi" w:cstheme="minorHAnsi"/>
                <w:color w:val="auto"/>
                <w:szCs w:val="21"/>
              </w:rPr>
            </w:pPr>
            <w:r>
              <w:rPr>
                <w:rFonts w:asciiTheme="minorHAnsi" w:hAnsiTheme="minorHAnsi" w:cstheme="minorHAnsi"/>
                <w:color w:val="auto"/>
                <w:szCs w:val="21"/>
              </w:rPr>
              <w:t>借助爆炸波的高能使粉末固结。</w:t>
            </w:r>
          </w:p>
          <w:p w14:paraId="777F0E7B">
            <w:pPr>
              <w:spacing w:line="300" w:lineRule="exact"/>
              <w:jc w:val="left"/>
              <w:rPr>
                <w:rFonts w:asciiTheme="minorHAnsi" w:hAnsiTheme="minorHAnsi" w:cstheme="minorHAnsi"/>
                <w:color w:val="auto"/>
                <w:kern w:val="0"/>
                <w:szCs w:val="21"/>
              </w:rPr>
            </w:pPr>
          </w:p>
        </w:tc>
      </w:tr>
      <w:tr w14:paraId="50AB1A76">
        <w:tblPrEx>
          <w:tblCellMar>
            <w:top w:w="0" w:type="dxa"/>
            <w:left w:w="108" w:type="dxa"/>
            <w:bottom w:w="0" w:type="dxa"/>
            <w:right w:w="108" w:type="dxa"/>
          </w:tblCellMar>
        </w:tblPrEx>
        <w:trPr>
          <w:trHeight w:val="2541"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2FF4E202">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3.2.36</w:t>
            </w:r>
          </w:p>
          <w:p w14:paraId="608F3E17">
            <w:pPr>
              <w:spacing w:line="300" w:lineRule="exact"/>
              <w:jc w:val="left"/>
              <w:rPr>
                <w:rFonts w:asciiTheme="minorHAnsi" w:hAnsiTheme="minorHAnsi" w:cstheme="minorHAnsi"/>
                <w:color w:val="auto"/>
                <w:kern w:val="0"/>
                <w:szCs w:val="21"/>
              </w:rPr>
            </w:pP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724DF09D">
            <w:pPr>
              <w:spacing w:before="120" w:after="120" w:line="300" w:lineRule="exact"/>
              <w:jc w:val="left"/>
              <w:rPr>
                <w:rFonts w:asciiTheme="minorHAnsi" w:hAnsiTheme="minorHAnsi" w:cstheme="minorHAnsi"/>
                <w:color w:val="auto"/>
                <w:kern w:val="0"/>
                <w:szCs w:val="21"/>
              </w:rPr>
            </w:pPr>
            <w:r>
              <w:rPr>
                <w:rFonts w:asciiTheme="minorHAnsi" w:hAnsiTheme="minorHAnsi" w:cstheme="minorHAnsi"/>
                <w:b/>
                <w:bCs/>
                <w:color w:val="auto"/>
                <w:kern w:val="0"/>
                <w:szCs w:val="21"/>
              </w:rPr>
              <w:t>feed shoe</w:t>
            </w:r>
            <w:r>
              <w:rPr>
                <w:rFonts w:asciiTheme="minorHAnsi" w:hAnsiTheme="minorHAnsi" w:cstheme="minorHAnsi"/>
                <w:color w:val="auto"/>
                <w:kern w:val="0"/>
                <w:szCs w:val="21"/>
              </w:rPr>
              <w:t xml:space="preserve">  </w:t>
            </w:r>
          </w:p>
          <w:p w14:paraId="3314A555">
            <w:pPr>
              <w:spacing w:before="120" w:after="120"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 xml:space="preserve">part of the compacting press filling the powder into the die cavity of the tool set  </w:t>
            </w:r>
          </w:p>
          <w:p w14:paraId="3A176FBE">
            <w:pPr>
              <w:spacing w:before="120" w:after="120"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See Figure 11</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302698E7">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装粉靴（feed shoe）：模架中用于将粉末送入阴模型腔中的压制成形压机的部件（见图11）。</w:t>
            </w: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53C49754">
            <w:pPr>
              <w:spacing w:line="300" w:lineRule="exact"/>
              <w:jc w:val="left"/>
              <w:rPr>
                <w:rFonts w:asciiTheme="minorHAnsi" w:hAnsiTheme="minorHAnsi" w:cstheme="minorHAnsi"/>
                <w:b/>
                <w:bCs/>
                <w:color w:val="auto"/>
                <w:kern w:val="0"/>
                <w:szCs w:val="21"/>
              </w:rPr>
            </w:pPr>
            <w:r>
              <w:rPr>
                <w:rFonts w:asciiTheme="minorHAnsi" w:hAnsiTheme="minorHAnsi" w:cstheme="minorHAnsi"/>
                <w:b/>
                <w:bCs/>
                <w:color w:val="auto"/>
                <w:kern w:val="0"/>
                <w:szCs w:val="21"/>
              </w:rPr>
              <w:t>feed shoe</w:t>
            </w:r>
          </w:p>
          <w:p w14:paraId="37EE614F">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part of the compacting (3.2.12) press that delivers powder to the die cavity, usually by sliding an open</w:t>
            </w:r>
          </w:p>
          <w:p w14:paraId="4F17EDD6">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bottomed powder container over the open top of the die (3.2.23)</w:t>
            </w:r>
          </w:p>
          <w:p w14:paraId="640C1849">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Note 1 to entry: See Figure 14.</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3F0C97CA">
            <w:pPr>
              <w:pStyle w:val="58"/>
              <w:spacing w:line="300" w:lineRule="exact"/>
              <w:jc w:val="left"/>
              <w:rPr>
                <w:rStyle w:val="54"/>
                <w:rFonts w:eastAsia="宋体" w:asciiTheme="minorHAnsi" w:hAnsiTheme="minorHAnsi" w:cstheme="minorHAnsi"/>
                <w:b w:val="0"/>
                <w:bCs w:val="0"/>
                <w:color w:val="auto"/>
                <w:kern w:val="0"/>
                <w:szCs w:val="21"/>
              </w:rPr>
            </w:pPr>
            <w:r>
              <w:rPr>
                <w:rStyle w:val="54"/>
                <w:rFonts w:eastAsia="宋体" w:asciiTheme="minorHAnsi" w:hAnsiTheme="minorHAnsi" w:cstheme="minorHAnsi"/>
                <w:color w:val="auto"/>
                <w:kern w:val="0"/>
                <w:szCs w:val="21"/>
              </w:rPr>
              <w:t>装粉靴  feed shoe</w:t>
            </w:r>
          </w:p>
          <w:p w14:paraId="6127F01B">
            <w:pPr>
              <w:spacing w:line="300" w:lineRule="exact"/>
              <w:ind w:firstLine="420"/>
              <w:jc w:val="left"/>
              <w:rPr>
                <w:rFonts w:asciiTheme="minorHAnsi" w:hAnsiTheme="minorHAnsi" w:cstheme="minorHAnsi"/>
                <w:color w:val="auto"/>
                <w:kern w:val="0"/>
                <w:szCs w:val="21"/>
              </w:rPr>
            </w:pPr>
            <w:r>
              <w:rPr>
                <w:rFonts w:asciiTheme="minorHAnsi" w:hAnsiTheme="minorHAnsi" w:cstheme="minorHAnsi"/>
                <w:color w:val="auto"/>
                <w:kern w:val="0"/>
                <w:szCs w:val="21"/>
              </w:rPr>
              <w:t>压制成形（3.2.12）压力机的部件，通常通过将底部开口的装粉容器在阴模（3.2.23）开口顶部滑动，将粉末送入模腔。</w:t>
            </w:r>
          </w:p>
          <w:p w14:paraId="54331FD6">
            <w:pPr>
              <w:spacing w:line="300" w:lineRule="exact"/>
              <w:ind w:firstLine="420"/>
              <w:jc w:val="left"/>
              <w:rPr>
                <w:rFonts w:asciiTheme="minorHAnsi" w:hAnsiTheme="minorHAnsi" w:cstheme="minorHAnsi"/>
                <w:color w:val="auto"/>
                <w:kern w:val="0"/>
                <w:szCs w:val="21"/>
              </w:rPr>
            </w:pPr>
            <w:r>
              <w:rPr>
                <w:rStyle w:val="54"/>
                <w:rFonts w:asciiTheme="minorHAnsi" w:hAnsiTheme="minorHAnsi" w:cstheme="minorHAnsi"/>
                <w:color w:val="auto"/>
                <w:kern w:val="0"/>
                <w:szCs w:val="21"/>
              </w:rPr>
              <w:t>注1：见</w:t>
            </w:r>
            <w:r>
              <w:rPr>
                <w:rStyle w:val="54"/>
                <w:rFonts w:hint="eastAsia" w:asciiTheme="minorHAnsi" w:hAnsiTheme="minorHAnsi" w:cstheme="minorHAnsi"/>
                <w:color w:val="auto"/>
                <w:kern w:val="0"/>
                <w:szCs w:val="21"/>
              </w:rPr>
              <w:t>图1</w:t>
            </w:r>
            <w:r>
              <w:rPr>
                <w:rStyle w:val="54"/>
                <w:rFonts w:asciiTheme="minorHAnsi" w:hAnsiTheme="minorHAnsi" w:cstheme="minorHAnsi"/>
                <w:color w:val="auto"/>
                <w:kern w:val="0"/>
                <w:szCs w:val="21"/>
              </w:rPr>
              <w:t>4</w:t>
            </w:r>
            <w:r>
              <w:rPr>
                <w:rStyle w:val="54"/>
                <w:rFonts w:hint="eastAsia" w:asciiTheme="minorHAnsi" w:hAnsiTheme="minorHAnsi" w:cstheme="minorHAnsi"/>
                <w:color w:val="auto"/>
                <w:kern w:val="0"/>
                <w:szCs w:val="21"/>
              </w:rPr>
              <w:t>。</w:t>
            </w:r>
          </w:p>
        </w:tc>
        <w:tc>
          <w:tcPr>
            <w:tcW w:w="2503" w:type="dxa"/>
            <w:tcBorders>
              <w:top w:val="single" w:color="auto" w:sz="4" w:space="0"/>
              <w:left w:val="single" w:color="auto" w:sz="4" w:space="0"/>
              <w:bottom w:val="single" w:color="auto" w:sz="4" w:space="0"/>
              <w:right w:val="single" w:color="auto" w:sz="4" w:space="0"/>
            </w:tcBorders>
          </w:tcPr>
          <w:p w14:paraId="48594163">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给料板</w:t>
            </w:r>
          </w:p>
          <w:p w14:paraId="232E5B58">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是压制机（3.2.12）的一个部件，用于将粉末送入模具型腔，其通常工作方式为：将一个底部开口的粉料容器滑过阴模（3.2.23）的顶部开口。 注：见图14</w:t>
            </w:r>
          </w:p>
        </w:tc>
        <w:tc>
          <w:tcPr>
            <w:tcW w:w="2164" w:type="dxa"/>
            <w:tcBorders>
              <w:top w:val="single" w:color="auto" w:sz="4" w:space="0"/>
              <w:left w:val="single" w:color="auto" w:sz="4" w:space="0"/>
              <w:bottom w:val="single" w:color="auto" w:sz="4" w:space="0"/>
              <w:right w:val="single" w:color="auto" w:sz="4" w:space="0"/>
            </w:tcBorders>
          </w:tcPr>
          <w:p w14:paraId="4472F36B">
            <w:pPr>
              <w:spacing w:line="300" w:lineRule="exact"/>
              <w:jc w:val="left"/>
              <w:rPr>
                <w:rFonts w:asciiTheme="minorHAnsi" w:hAnsiTheme="minorHAnsi" w:cstheme="minorHAnsi"/>
                <w:color w:val="auto"/>
                <w:kern w:val="0"/>
                <w:szCs w:val="21"/>
              </w:rPr>
            </w:pPr>
            <w:bookmarkStart w:id="52" w:name="_Hlk160218850"/>
            <w:r>
              <w:rPr>
                <w:rFonts w:asciiTheme="minorHAnsi" w:hAnsiTheme="minorHAnsi" w:cstheme="minorHAnsi"/>
                <w:color w:val="auto"/>
                <w:kern w:val="0"/>
                <w:szCs w:val="21"/>
              </w:rPr>
              <w:t>装粉靴</w:t>
            </w:r>
            <w:bookmarkEnd w:id="52"/>
          </w:p>
          <w:p w14:paraId="08F12F69">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模架中用于将粉末送入阴模型腔中的压制成形压机的部件(见图11)。</w:t>
            </w:r>
          </w:p>
          <w:p w14:paraId="27B472F6">
            <w:pPr>
              <w:spacing w:line="300" w:lineRule="exact"/>
              <w:jc w:val="left"/>
              <w:rPr>
                <w:rFonts w:asciiTheme="minorHAnsi" w:hAnsiTheme="minorHAnsi" w:cstheme="minorHAnsi"/>
                <w:color w:val="auto"/>
                <w:kern w:val="0"/>
                <w:szCs w:val="21"/>
              </w:rPr>
            </w:pPr>
          </w:p>
        </w:tc>
      </w:tr>
      <w:tr w14:paraId="507158E2">
        <w:tblPrEx>
          <w:tblCellMar>
            <w:top w:w="0" w:type="dxa"/>
            <w:left w:w="108" w:type="dxa"/>
            <w:bottom w:w="0" w:type="dxa"/>
            <w:right w:w="108" w:type="dxa"/>
          </w:tblCellMar>
        </w:tblPrEx>
        <w:trPr>
          <w:trHeight w:val="3963"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4F230B91">
            <w:pPr>
              <w:snapToGrid w:val="0"/>
              <w:spacing w:line="300" w:lineRule="exact"/>
              <w:jc w:val="left"/>
              <w:rPr>
                <w:rFonts w:asciiTheme="minorHAnsi" w:hAnsiTheme="minorHAnsi" w:cstheme="minorHAnsi"/>
                <w:color w:val="auto"/>
                <w:kern w:val="0"/>
                <w:szCs w:val="21"/>
              </w:rPr>
            </w:pPr>
            <w:r>
              <w:rPr>
                <w:rFonts w:asciiTheme="minorHAnsi" w:hAnsiTheme="minorHAnsi" w:cstheme="minorHAnsi"/>
                <w:color w:val="auto"/>
                <w:szCs w:val="21"/>
              </w:rPr>
              <w:t>3.2.43</w:t>
            </w:r>
            <w:r>
              <w:rPr>
                <w:rFonts w:asciiTheme="minorHAnsi" w:hAnsiTheme="minorHAnsi" w:cstheme="minorHAnsi"/>
                <w:color w:val="auto"/>
                <w:kern w:val="0"/>
                <w:szCs w:val="21"/>
              </w:rPr>
              <w:t xml:space="preserve"> </w:t>
            </w:r>
          </w:p>
          <w:p w14:paraId="0E7F8655">
            <w:pPr>
              <w:snapToGrid w:val="0"/>
              <w:spacing w:line="300" w:lineRule="exact"/>
              <w:jc w:val="left"/>
              <w:rPr>
                <w:rFonts w:asciiTheme="minorHAnsi" w:hAnsiTheme="minorHAnsi" w:cstheme="minorHAnsi"/>
                <w:color w:val="auto"/>
                <w:szCs w:val="21"/>
              </w:rPr>
            </w:pPr>
          </w:p>
          <w:p w14:paraId="4D511763">
            <w:pPr>
              <w:spacing w:line="300" w:lineRule="exact"/>
              <w:jc w:val="left"/>
              <w:rPr>
                <w:rFonts w:asciiTheme="minorHAnsi" w:hAnsiTheme="minorHAnsi" w:cstheme="minorHAnsi"/>
                <w:color w:val="auto"/>
                <w:kern w:val="0"/>
                <w:szCs w:val="21"/>
              </w:rPr>
            </w:pP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3AFB06C2">
            <w:pPr>
              <w:snapToGrid w:val="0"/>
              <w:spacing w:before="120" w:after="120" w:line="300" w:lineRule="exact"/>
              <w:jc w:val="left"/>
              <w:rPr>
                <w:rFonts w:asciiTheme="minorHAnsi" w:hAnsiTheme="minorHAnsi" w:cstheme="minorHAnsi"/>
                <w:b/>
                <w:bCs/>
                <w:color w:val="auto"/>
                <w:szCs w:val="21"/>
              </w:rPr>
            </w:pPr>
            <w:r>
              <w:rPr>
                <w:rFonts w:asciiTheme="minorHAnsi" w:hAnsiTheme="minorHAnsi" w:cstheme="minorHAnsi"/>
                <w:b/>
                <w:bCs/>
                <w:color w:val="auto"/>
                <w:szCs w:val="21"/>
              </w:rPr>
              <w:t xml:space="preserve">fork  </w:t>
            </w:r>
          </w:p>
          <w:p w14:paraId="4B3F197E">
            <w:pPr>
              <w:snapToGrid w:val="0"/>
              <w:spacing w:before="120" w:after="120" w:line="300" w:lineRule="exact"/>
              <w:jc w:val="left"/>
              <w:rPr>
                <w:rFonts w:asciiTheme="minorHAnsi" w:hAnsiTheme="minorHAnsi" w:cstheme="minorHAnsi"/>
                <w:color w:val="auto"/>
                <w:szCs w:val="21"/>
              </w:rPr>
            </w:pPr>
            <w:r>
              <w:rPr>
                <w:rFonts w:asciiTheme="minorHAnsi" w:hAnsiTheme="minorHAnsi" w:cstheme="minorHAnsi"/>
                <w:color w:val="auto"/>
                <w:szCs w:val="21"/>
              </w:rPr>
              <w:t xml:space="preserve">part of the tool set pressing adaptor, necessary in connection with the wedge for the compaction and uncovering of multi-sectional objects  </w:t>
            </w:r>
          </w:p>
          <w:p w14:paraId="4EC1C885">
            <w:pPr>
              <w:spacing w:before="120" w:after="120" w:line="300" w:lineRule="exact"/>
              <w:jc w:val="left"/>
              <w:rPr>
                <w:rFonts w:asciiTheme="minorHAnsi" w:hAnsiTheme="minorHAnsi" w:cstheme="minorHAnsi"/>
                <w:b/>
                <w:bCs/>
                <w:color w:val="auto"/>
                <w:kern w:val="0"/>
                <w:szCs w:val="21"/>
              </w:rPr>
            </w:pPr>
            <w:r>
              <w:rPr>
                <w:rFonts w:asciiTheme="minorHAnsi" w:hAnsiTheme="minorHAnsi" w:cstheme="minorHAnsi"/>
                <w:color w:val="auto"/>
                <w:szCs w:val="21"/>
              </w:rPr>
              <w:t>See Figure 13</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7B3676AC">
            <w:pPr>
              <w:spacing w:line="300" w:lineRule="exact"/>
              <w:jc w:val="left"/>
              <w:rPr>
                <w:rFonts w:asciiTheme="minorHAnsi" w:hAnsiTheme="minorHAnsi" w:cstheme="minorHAnsi"/>
                <w:color w:val="auto"/>
                <w:kern w:val="0"/>
                <w:szCs w:val="21"/>
              </w:rPr>
            </w:pPr>
            <w:r>
              <w:rPr>
                <w:rFonts w:asciiTheme="minorHAnsi" w:hAnsiTheme="minorHAnsi" w:cstheme="minorHAnsi"/>
                <w:color w:val="auto"/>
                <w:szCs w:val="21"/>
              </w:rPr>
              <w:t>拨叉（fork）：在多截面压坯的压制和脱出过程中必须和铁相连接的压制接合器的模架零件（见图13）。</w:t>
            </w: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737394F3">
            <w:pPr>
              <w:snapToGrid w:val="0"/>
              <w:spacing w:line="300" w:lineRule="exact"/>
              <w:jc w:val="left"/>
              <w:rPr>
                <w:rFonts w:asciiTheme="minorHAnsi" w:hAnsiTheme="minorHAnsi" w:cstheme="minorHAnsi"/>
                <w:b/>
                <w:bCs/>
                <w:color w:val="auto"/>
                <w:szCs w:val="21"/>
              </w:rPr>
            </w:pPr>
            <w:r>
              <w:rPr>
                <w:rFonts w:asciiTheme="minorHAnsi" w:hAnsiTheme="minorHAnsi" w:cstheme="minorHAnsi"/>
                <w:b/>
                <w:bCs/>
                <w:color w:val="auto"/>
                <w:szCs w:val="21"/>
              </w:rPr>
              <w:t>fork</w:t>
            </w:r>
          </w:p>
          <w:p w14:paraId="342620D8">
            <w:pPr>
              <w:snapToGrid w:val="0"/>
              <w:spacing w:line="300" w:lineRule="exact"/>
              <w:jc w:val="left"/>
              <w:rPr>
                <w:rFonts w:asciiTheme="minorHAnsi" w:hAnsiTheme="minorHAnsi" w:cstheme="minorHAnsi"/>
                <w:color w:val="auto"/>
                <w:szCs w:val="21"/>
              </w:rPr>
            </w:pPr>
            <w:r>
              <w:rPr>
                <w:rFonts w:asciiTheme="minorHAnsi" w:hAnsiTheme="minorHAnsi" w:cstheme="minorHAnsi"/>
                <w:color w:val="auto"/>
                <w:szCs w:val="21"/>
              </w:rPr>
              <w:t xml:space="preserve">part of the tool set pressing adaptor, used </w:t>
            </w:r>
            <w:r>
              <w:rPr>
                <w:rFonts w:hint="eastAsia" w:asciiTheme="minorHAnsi" w:hAnsiTheme="minorHAnsi" w:cstheme="minorHAnsi"/>
                <w:color w:val="auto"/>
                <w:szCs w:val="21"/>
              </w:rPr>
              <w:t>i</w:t>
            </w:r>
            <w:r>
              <w:rPr>
                <w:rFonts w:asciiTheme="minorHAnsi" w:hAnsiTheme="minorHAnsi" w:cstheme="minorHAnsi"/>
                <w:color w:val="auto"/>
                <w:szCs w:val="21"/>
              </w:rPr>
              <w:t>n connection with the wedge (3.2.100) for the compaction</w:t>
            </w:r>
          </w:p>
          <w:p w14:paraId="35C6CDF8">
            <w:pPr>
              <w:spacing w:line="300" w:lineRule="exact"/>
              <w:jc w:val="left"/>
              <w:rPr>
                <w:rFonts w:asciiTheme="minorHAnsi" w:hAnsiTheme="minorHAnsi" w:cstheme="minorHAnsi"/>
                <w:b/>
                <w:bCs/>
                <w:color w:val="auto"/>
                <w:kern w:val="0"/>
                <w:szCs w:val="21"/>
              </w:rPr>
            </w:pPr>
            <w:r>
              <w:rPr>
                <w:rFonts w:asciiTheme="minorHAnsi" w:hAnsiTheme="minorHAnsi" w:cstheme="minorHAnsi"/>
                <w:color w:val="auto"/>
                <w:szCs w:val="21"/>
              </w:rPr>
              <w:t>and uncovering of multi-sectional objects</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26D87238">
            <w:pPr>
              <w:pStyle w:val="58"/>
              <w:snapToGrid w:val="0"/>
              <w:spacing w:line="300" w:lineRule="exact"/>
              <w:jc w:val="left"/>
              <w:rPr>
                <w:rStyle w:val="54"/>
                <w:rFonts w:eastAsia="宋体" w:asciiTheme="minorHAnsi" w:hAnsiTheme="minorHAnsi" w:cstheme="minorHAnsi"/>
                <w:b w:val="0"/>
                <w:bCs w:val="0"/>
                <w:color w:val="auto"/>
                <w:szCs w:val="21"/>
              </w:rPr>
            </w:pPr>
            <w:r>
              <w:rPr>
                <w:rStyle w:val="54"/>
                <w:rFonts w:eastAsia="宋体" w:asciiTheme="minorHAnsi" w:hAnsiTheme="minorHAnsi" w:cstheme="minorHAnsi"/>
                <w:color w:val="auto"/>
                <w:szCs w:val="21"/>
              </w:rPr>
              <w:t>拨叉  fork</w:t>
            </w:r>
          </w:p>
          <w:p w14:paraId="58A2A0FD">
            <w:pPr>
              <w:snapToGrid w:val="0"/>
              <w:spacing w:line="300" w:lineRule="exact"/>
              <w:ind w:firstLine="420"/>
              <w:jc w:val="left"/>
              <w:rPr>
                <w:rFonts w:asciiTheme="minorHAnsi" w:hAnsiTheme="minorHAnsi" w:cstheme="minorHAnsi"/>
                <w:b/>
                <w:color w:val="auto"/>
                <w:szCs w:val="21"/>
              </w:rPr>
            </w:pPr>
            <w:r>
              <w:rPr>
                <w:rStyle w:val="54"/>
                <w:rFonts w:asciiTheme="minorHAnsi" w:hAnsiTheme="minorHAnsi" w:cstheme="minorHAnsi"/>
                <w:color w:val="auto"/>
                <w:szCs w:val="21"/>
              </w:rPr>
              <w:t>在多截面压坯的压制和脱出过程中和楔铁（3.2.100）相连接的压制接合器的模架零件。</w:t>
            </w:r>
          </w:p>
          <w:p w14:paraId="7206F129">
            <w:pPr>
              <w:pStyle w:val="58"/>
              <w:spacing w:line="300" w:lineRule="exact"/>
              <w:jc w:val="left"/>
              <w:rPr>
                <w:rStyle w:val="54"/>
                <w:rFonts w:eastAsia="宋体" w:asciiTheme="minorHAnsi" w:hAnsiTheme="minorHAnsi" w:cstheme="minorHAnsi"/>
                <w:b w:val="0"/>
                <w:bCs w:val="0"/>
                <w:color w:val="auto"/>
                <w:kern w:val="0"/>
                <w:szCs w:val="21"/>
              </w:rPr>
            </w:pPr>
          </w:p>
        </w:tc>
        <w:tc>
          <w:tcPr>
            <w:tcW w:w="2503" w:type="dxa"/>
            <w:tcBorders>
              <w:top w:val="single" w:color="auto" w:sz="4" w:space="0"/>
              <w:left w:val="single" w:color="auto" w:sz="4" w:space="0"/>
              <w:bottom w:val="single" w:color="auto" w:sz="4" w:space="0"/>
              <w:right w:val="single" w:color="auto" w:sz="4" w:space="0"/>
            </w:tcBorders>
          </w:tcPr>
          <w:p w14:paraId="0F5E9747">
            <w:pPr>
              <w:snapToGrid w:val="0"/>
              <w:spacing w:line="300" w:lineRule="exact"/>
              <w:jc w:val="left"/>
              <w:rPr>
                <w:rFonts w:asciiTheme="minorHAnsi" w:hAnsiTheme="minorHAnsi" w:cstheme="minorHAnsi"/>
                <w:color w:val="auto"/>
                <w:szCs w:val="21"/>
              </w:rPr>
            </w:pPr>
            <w:r>
              <w:rPr>
                <w:rFonts w:asciiTheme="minorHAnsi" w:hAnsiTheme="minorHAnsi" w:cstheme="minorHAnsi"/>
                <w:color w:val="auto"/>
                <w:szCs w:val="21"/>
              </w:rPr>
              <w:t>拨叉</w:t>
            </w:r>
          </w:p>
          <w:p w14:paraId="3ADE2921">
            <w:pPr>
              <w:spacing w:line="300" w:lineRule="exact"/>
              <w:jc w:val="left"/>
              <w:rPr>
                <w:rFonts w:asciiTheme="minorHAnsi" w:hAnsiTheme="minorHAnsi" w:cstheme="minorHAnsi"/>
                <w:color w:val="auto"/>
                <w:kern w:val="0"/>
                <w:szCs w:val="21"/>
              </w:rPr>
            </w:pPr>
            <w:r>
              <w:rPr>
                <w:rFonts w:asciiTheme="minorHAnsi" w:hAnsiTheme="minorHAnsi" w:cstheme="minorHAnsi"/>
                <w:color w:val="auto"/>
                <w:szCs w:val="21"/>
              </w:rPr>
              <w:t>在多截面压坯的压制和脱出过程中必须和楔铁相连接的压制接合器的模架零件。</w:t>
            </w:r>
          </w:p>
        </w:tc>
        <w:tc>
          <w:tcPr>
            <w:tcW w:w="2164" w:type="dxa"/>
            <w:tcBorders>
              <w:top w:val="single" w:color="auto" w:sz="4" w:space="0"/>
              <w:left w:val="single" w:color="auto" w:sz="4" w:space="0"/>
              <w:bottom w:val="single" w:color="auto" w:sz="4" w:space="0"/>
              <w:right w:val="single" w:color="auto" w:sz="4" w:space="0"/>
            </w:tcBorders>
          </w:tcPr>
          <w:p w14:paraId="77DCA283">
            <w:pPr>
              <w:snapToGrid w:val="0"/>
              <w:spacing w:line="300" w:lineRule="exact"/>
              <w:jc w:val="left"/>
              <w:rPr>
                <w:rFonts w:asciiTheme="minorHAnsi" w:hAnsiTheme="minorHAnsi" w:cstheme="minorHAnsi"/>
                <w:color w:val="auto"/>
                <w:szCs w:val="21"/>
              </w:rPr>
            </w:pPr>
            <w:r>
              <w:rPr>
                <w:rFonts w:asciiTheme="minorHAnsi" w:hAnsiTheme="minorHAnsi" w:cstheme="minorHAnsi"/>
                <w:color w:val="auto"/>
                <w:szCs w:val="21"/>
              </w:rPr>
              <w:t xml:space="preserve">拨叉   </w:t>
            </w:r>
          </w:p>
          <w:p w14:paraId="66537F63">
            <w:pPr>
              <w:snapToGrid w:val="0"/>
              <w:spacing w:line="300" w:lineRule="exact"/>
              <w:jc w:val="left"/>
              <w:rPr>
                <w:rFonts w:asciiTheme="minorHAnsi" w:hAnsiTheme="minorHAnsi" w:cstheme="minorHAnsi"/>
                <w:color w:val="auto"/>
                <w:szCs w:val="21"/>
              </w:rPr>
            </w:pPr>
            <w:r>
              <w:rPr>
                <w:rFonts w:asciiTheme="minorHAnsi" w:hAnsiTheme="minorHAnsi" w:cstheme="minorHAnsi"/>
                <w:color w:val="auto"/>
                <w:szCs w:val="21"/>
              </w:rPr>
              <w:t>在多截面压坯的压制和脱出过程中必须和楔铁相连接的压制接合器的模架零件(见图13)。</w:t>
            </w:r>
          </w:p>
          <w:p w14:paraId="2C4AE649">
            <w:pPr>
              <w:spacing w:line="300" w:lineRule="exact"/>
              <w:jc w:val="left"/>
              <w:rPr>
                <w:rFonts w:asciiTheme="minorHAnsi" w:hAnsiTheme="minorHAnsi" w:cstheme="minorHAnsi"/>
                <w:color w:val="auto"/>
                <w:kern w:val="0"/>
                <w:szCs w:val="21"/>
              </w:rPr>
            </w:pPr>
          </w:p>
        </w:tc>
      </w:tr>
      <w:tr w14:paraId="525EEF44">
        <w:tblPrEx>
          <w:tblCellMar>
            <w:top w:w="0" w:type="dxa"/>
            <w:left w:w="108" w:type="dxa"/>
            <w:bottom w:w="0" w:type="dxa"/>
            <w:right w:w="108" w:type="dxa"/>
          </w:tblCellMar>
        </w:tblPrEx>
        <w:trPr>
          <w:trHeight w:val="1691"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276BB231">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3.2.46</w:t>
            </w:r>
          </w:p>
          <w:p w14:paraId="699FBE57">
            <w:pPr>
              <w:spacing w:line="300" w:lineRule="exact"/>
              <w:jc w:val="left"/>
              <w:rPr>
                <w:rFonts w:asciiTheme="minorHAnsi" w:hAnsiTheme="minorHAnsi" w:cstheme="minorHAnsi"/>
                <w:color w:val="auto"/>
                <w:kern w:val="0"/>
                <w:szCs w:val="21"/>
              </w:rPr>
            </w:pP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305606D1">
            <w:pPr>
              <w:spacing w:before="120" w:after="120" w:line="300" w:lineRule="exact"/>
              <w:jc w:val="left"/>
              <w:rPr>
                <w:rFonts w:asciiTheme="minorHAnsi" w:hAnsiTheme="minorHAnsi" w:cstheme="minorHAnsi"/>
                <w:color w:val="auto"/>
                <w:kern w:val="0"/>
                <w:szCs w:val="21"/>
              </w:rPr>
            </w:pPr>
            <w:r>
              <w:rPr>
                <w:rFonts w:asciiTheme="minorHAnsi" w:hAnsiTheme="minorHAnsi" w:cstheme="minorHAnsi"/>
                <w:b/>
                <w:bCs/>
                <w:color w:val="auto"/>
                <w:kern w:val="0"/>
                <w:szCs w:val="21"/>
              </w:rPr>
              <w:t xml:space="preserve">green density </w:t>
            </w:r>
            <w:r>
              <w:rPr>
                <w:rFonts w:asciiTheme="minorHAnsi" w:hAnsiTheme="minorHAnsi" w:cstheme="minorHAnsi"/>
                <w:color w:val="auto"/>
                <w:kern w:val="0"/>
                <w:szCs w:val="21"/>
              </w:rPr>
              <w:t xml:space="preserve"> </w:t>
            </w:r>
          </w:p>
          <w:p w14:paraId="6F505963">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mass per unit volume of a compact</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78822685">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生坯密度（green density）：压坯单位体积的质量。</w:t>
            </w: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340CAA63">
            <w:pPr>
              <w:spacing w:line="300" w:lineRule="exact"/>
              <w:jc w:val="left"/>
              <w:rPr>
                <w:rFonts w:asciiTheme="minorHAnsi" w:hAnsiTheme="minorHAnsi" w:cstheme="minorHAnsi"/>
                <w:b/>
                <w:bCs/>
                <w:color w:val="auto"/>
                <w:kern w:val="0"/>
                <w:szCs w:val="21"/>
              </w:rPr>
            </w:pPr>
            <w:r>
              <w:rPr>
                <w:rFonts w:asciiTheme="minorHAnsi" w:hAnsiTheme="minorHAnsi" w:cstheme="minorHAnsi"/>
                <w:b/>
                <w:bCs/>
                <w:color w:val="auto"/>
                <w:kern w:val="0"/>
                <w:szCs w:val="21"/>
              </w:rPr>
              <w:t>green density</w:t>
            </w:r>
          </w:p>
          <w:p w14:paraId="64F16B5C">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mass per unit volume of an unsintered compact</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1CB088A2">
            <w:pPr>
              <w:pStyle w:val="58"/>
              <w:spacing w:line="300" w:lineRule="exact"/>
              <w:jc w:val="left"/>
              <w:rPr>
                <w:rStyle w:val="54"/>
                <w:rFonts w:eastAsia="宋体" w:asciiTheme="minorHAnsi" w:hAnsiTheme="minorHAnsi" w:cstheme="minorHAnsi"/>
                <w:b w:val="0"/>
                <w:bCs w:val="0"/>
                <w:color w:val="auto"/>
                <w:kern w:val="0"/>
                <w:szCs w:val="21"/>
              </w:rPr>
            </w:pPr>
            <w:r>
              <w:rPr>
                <w:rStyle w:val="54"/>
                <w:rFonts w:eastAsia="宋体" w:asciiTheme="minorHAnsi" w:hAnsiTheme="minorHAnsi" w:cstheme="minorHAnsi"/>
                <w:color w:val="auto"/>
                <w:kern w:val="0"/>
                <w:szCs w:val="21"/>
              </w:rPr>
              <w:t>生坯密度  green density</w:t>
            </w:r>
          </w:p>
          <w:p w14:paraId="3B766B05">
            <w:pPr>
              <w:spacing w:line="300" w:lineRule="exact"/>
              <w:ind w:firstLine="420"/>
              <w:jc w:val="left"/>
              <w:rPr>
                <w:rStyle w:val="54"/>
                <w:rFonts w:asciiTheme="minorHAnsi" w:hAnsiTheme="minorHAnsi" w:cstheme="minorHAnsi"/>
                <w:b w:val="0"/>
                <w:bCs w:val="0"/>
                <w:color w:val="auto"/>
                <w:kern w:val="0"/>
                <w:szCs w:val="21"/>
              </w:rPr>
            </w:pPr>
            <w:r>
              <w:rPr>
                <w:rStyle w:val="54"/>
                <w:rFonts w:asciiTheme="minorHAnsi" w:hAnsiTheme="minorHAnsi" w:cstheme="minorHAnsi"/>
                <w:color w:val="auto"/>
                <w:kern w:val="0"/>
                <w:szCs w:val="21"/>
              </w:rPr>
              <w:t>未烧结压坯单位体积的质量。</w:t>
            </w:r>
          </w:p>
          <w:p w14:paraId="48F4732F">
            <w:pPr>
              <w:spacing w:line="300" w:lineRule="exact"/>
              <w:jc w:val="left"/>
              <w:rPr>
                <w:rFonts w:asciiTheme="minorHAnsi" w:hAnsiTheme="minorHAnsi" w:cstheme="minorHAnsi"/>
                <w:color w:val="auto"/>
                <w:kern w:val="0"/>
                <w:szCs w:val="21"/>
              </w:rPr>
            </w:pPr>
          </w:p>
        </w:tc>
        <w:tc>
          <w:tcPr>
            <w:tcW w:w="2503" w:type="dxa"/>
            <w:tcBorders>
              <w:top w:val="single" w:color="auto" w:sz="4" w:space="0"/>
              <w:left w:val="single" w:color="auto" w:sz="4" w:space="0"/>
              <w:bottom w:val="single" w:color="auto" w:sz="4" w:space="0"/>
              <w:right w:val="single" w:color="auto" w:sz="4" w:space="0"/>
            </w:tcBorders>
          </w:tcPr>
          <w:p w14:paraId="64F3C024">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生坯密度</w:t>
            </w:r>
          </w:p>
          <w:p w14:paraId="761F1EC2">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生坯单位体积质量。</w:t>
            </w:r>
          </w:p>
        </w:tc>
        <w:tc>
          <w:tcPr>
            <w:tcW w:w="2164" w:type="dxa"/>
            <w:tcBorders>
              <w:top w:val="single" w:color="auto" w:sz="4" w:space="0"/>
              <w:left w:val="single" w:color="auto" w:sz="4" w:space="0"/>
              <w:bottom w:val="single" w:color="auto" w:sz="4" w:space="0"/>
              <w:right w:val="single" w:color="auto" w:sz="4" w:space="0"/>
            </w:tcBorders>
          </w:tcPr>
          <w:p w14:paraId="22EBF815">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 xml:space="preserve">生坯密度 </w:t>
            </w:r>
          </w:p>
          <w:p w14:paraId="5198FDFE">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压坯单位体积的质量。</w:t>
            </w:r>
          </w:p>
          <w:p w14:paraId="7554D43C">
            <w:pPr>
              <w:spacing w:line="300" w:lineRule="exact"/>
              <w:jc w:val="left"/>
              <w:rPr>
                <w:rFonts w:asciiTheme="minorHAnsi" w:hAnsiTheme="minorHAnsi" w:cstheme="minorHAnsi"/>
                <w:color w:val="auto"/>
                <w:kern w:val="0"/>
                <w:szCs w:val="21"/>
              </w:rPr>
            </w:pPr>
          </w:p>
        </w:tc>
      </w:tr>
      <w:tr w14:paraId="1DCA5C36">
        <w:tblPrEx>
          <w:tblCellMar>
            <w:top w:w="0" w:type="dxa"/>
            <w:left w:w="108" w:type="dxa"/>
            <w:bottom w:w="0" w:type="dxa"/>
            <w:right w:w="108" w:type="dxa"/>
          </w:tblCellMar>
        </w:tblPrEx>
        <w:trPr>
          <w:trHeight w:val="678"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1F0DEC15">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3.2.48</w:t>
            </w:r>
          </w:p>
          <w:p w14:paraId="74269613">
            <w:pPr>
              <w:spacing w:line="300" w:lineRule="exact"/>
              <w:jc w:val="left"/>
              <w:rPr>
                <w:rFonts w:asciiTheme="minorHAnsi" w:hAnsiTheme="minorHAnsi" w:cstheme="minorHAnsi"/>
                <w:color w:val="auto"/>
                <w:kern w:val="0"/>
                <w:szCs w:val="21"/>
              </w:rPr>
            </w:pP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07585CCE">
            <w:pPr>
              <w:spacing w:before="120" w:after="120" w:line="300" w:lineRule="exact"/>
              <w:jc w:val="left"/>
              <w:rPr>
                <w:rFonts w:asciiTheme="minorHAnsi" w:hAnsiTheme="minorHAnsi" w:cstheme="minorHAnsi"/>
                <w:b/>
                <w:bCs/>
                <w:color w:val="auto"/>
                <w:kern w:val="0"/>
                <w:szCs w:val="21"/>
              </w:rPr>
            </w:pPr>
            <w:r>
              <w:rPr>
                <w:rFonts w:asciiTheme="minorHAnsi" w:hAnsiTheme="minorHAnsi" w:cstheme="minorHAnsi"/>
                <w:b/>
                <w:bCs/>
                <w:color w:val="auto"/>
                <w:kern w:val="0"/>
                <w:szCs w:val="21"/>
              </w:rPr>
              <w:t xml:space="preserve">green strength  </w:t>
            </w:r>
          </w:p>
          <w:p w14:paraId="63ECEEBA">
            <w:pPr>
              <w:spacing w:before="120" w:after="120"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 xml:space="preserve">mechanical strength of a compact  </w:t>
            </w:r>
          </w:p>
          <w:p w14:paraId="138F2FA3">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NOTE This may be measured by radial crushing (see ISO 2739) or transverse rupture (see ISO 3995)</w:t>
            </w:r>
          </w:p>
          <w:p w14:paraId="7723406D">
            <w:pPr>
              <w:spacing w:line="300" w:lineRule="exact"/>
              <w:jc w:val="left"/>
              <w:rPr>
                <w:rFonts w:asciiTheme="minorHAnsi" w:hAnsiTheme="minorHAnsi" w:cstheme="minorHAnsi"/>
                <w:color w:val="auto"/>
                <w:kern w:val="0"/>
                <w:szCs w:val="21"/>
              </w:rPr>
            </w:pPr>
          </w:p>
          <w:p w14:paraId="1E6B88FD">
            <w:pPr>
              <w:spacing w:line="300" w:lineRule="exact"/>
              <w:jc w:val="left"/>
              <w:rPr>
                <w:rFonts w:asciiTheme="minorHAnsi" w:hAnsiTheme="minorHAnsi" w:cstheme="minorHAnsi"/>
                <w:color w:val="auto"/>
                <w:szCs w:val="21"/>
              </w:rPr>
            </w:pP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1E732143">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生坯强度（green strength）：压坯的力学强度（见GB/T 6804和GB/T5160）。</w:t>
            </w: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41CFC887">
            <w:pPr>
              <w:spacing w:line="300" w:lineRule="exact"/>
              <w:jc w:val="left"/>
              <w:rPr>
                <w:rFonts w:asciiTheme="minorHAnsi" w:hAnsiTheme="minorHAnsi" w:cstheme="minorHAnsi"/>
                <w:b/>
                <w:bCs/>
                <w:color w:val="auto"/>
                <w:kern w:val="0"/>
                <w:szCs w:val="21"/>
              </w:rPr>
            </w:pPr>
            <w:r>
              <w:rPr>
                <w:rFonts w:asciiTheme="minorHAnsi" w:hAnsiTheme="minorHAnsi" w:cstheme="minorHAnsi"/>
                <w:b/>
                <w:bCs/>
                <w:color w:val="auto"/>
                <w:kern w:val="0"/>
                <w:szCs w:val="21"/>
              </w:rPr>
              <w:t>green strength</w:t>
            </w:r>
          </w:p>
          <w:p w14:paraId="5B4CBDEE">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mechanical strength of an unsintered compact</w:t>
            </w:r>
          </w:p>
          <w:p w14:paraId="2A1F39F7">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Note 1 to entry: This may be measured by radial crushing (see ISO 2739) or transverse rupture (see ISO 3995).</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0AFF7ECB">
            <w:pPr>
              <w:pStyle w:val="58"/>
              <w:spacing w:line="300" w:lineRule="exact"/>
              <w:jc w:val="left"/>
              <w:rPr>
                <w:rStyle w:val="54"/>
                <w:rFonts w:eastAsia="宋体" w:asciiTheme="minorHAnsi" w:hAnsiTheme="minorHAnsi" w:cstheme="minorHAnsi"/>
                <w:b w:val="0"/>
                <w:bCs w:val="0"/>
                <w:color w:val="auto"/>
                <w:kern w:val="0"/>
                <w:szCs w:val="21"/>
              </w:rPr>
            </w:pPr>
            <w:r>
              <w:rPr>
                <w:rStyle w:val="54"/>
                <w:rFonts w:eastAsia="宋体" w:asciiTheme="minorHAnsi" w:hAnsiTheme="minorHAnsi" w:cstheme="minorHAnsi"/>
                <w:color w:val="auto"/>
                <w:kern w:val="0"/>
                <w:szCs w:val="21"/>
              </w:rPr>
              <w:t>生坯强度  green strength</w:t>
            </w:r>
          </w:p>
          <w:p w14:paraId="06AFDEDB">
            <w:pPr>
              <w:spacing w:line="300" w:lineRule="exact"/>
              <w:ind w:firstLine="420"/>
              <w:jc w:val="left"/>
              <w:rPr>
                <w:rStyle w:val="54"/>
                <w:rFonts w:asciiTheme="minorHAnsi" w:hAnsiTheme="minorHAnsi" w:cstheme="minorHAnsi"/>
                <w:b w:val="0"/>
                <w:bCs w:val="0"/>
                <w:color w:val="auto"/>
                <w:kern w:val="0"/>
                <w:szCs w:val="21"/>
              </w:rPr>
            </w:pPr>
            <w:r>
              <w:rPr>
                <w:rStyle w:val="54"/>
                <w:rFonts w:asciiTheme="minorHAnsi" w:hAnsiTheme="minorHAnsi" w:cstheme="minorHAnsi"/>
                <w:color w:val="auto"/>
                <w:kern w:val="0"/>
                <w:szCs w:val="21"/>
              </w:rPr>
              <w:t>未烧结压坯的力学强度。</w:t>
            </w:r>
          </w:p>
          <w:p w14:paraId="24053860">
            <w:pPr>
              <w:spacing w:line="300" w:lineRule="exact"/>
              <w:ind w:firstLine="420"/>
              <w:jc w:val="left"/>
              <w:rPr>
                <w:rFonts w:asciiTheme="minorHAnsi" w:hAnsiTheme="minorHAnsi" w:cstheme="minorHAnsi"/>
                <w:color w:val="auto"/>
                <w:kern w:val="0"/>
                <w:szCs w:val="21"/>
              </w:rPr>
            </w:pPr>
            <w:r>
              <w:rPr>
                <w:rStyle w:val="54"/>
                <w:rFonts w:asciiTheme="minorHAnsi" w:hAnsiTheme="minorHAnsi" w:cstheme="minorHAnsi"/>
                <w:color w:val="auto"/>
                <w:kern w:val="0"/>
                <w:szCs w:val="21"/>
              </w:rPr>
              <w:t>注1：</w:t>
            </w:r>
            <w:r>
              <w:rPr>
                <w:rFonts w:asciiTheme="minorHAnsi" w:hAnsiTheme="minorHAnsi" w:cstheme="minorHAnsi"/>
                <w:color w:val="auto"/>
                <w:kern w:val="0"/>
                <w:szCs w:val="21"/>
              </w:rPr>
              <w:t xml:space="preserve">可通过径向压溃法（见 </w:t>
            </w:r>
            <w:r>
              <w:rPr>
                <w:rStyle w:val="54"/>
                <w:rFonts w:asciiTheme="minorHAnsi" w:hAnsiTheme="minorHAnsi" w:cstheme="minorHAnsi"/>
                <w:color w:val="auto"/>
                <w:kern w:val="0"/>
                <w:szCs w:val="21"/>
              </w:rPr>
              <w:t>GB/T 6804</w:t>
            </w:r>
            <w:r>
              <w:rPr>
                <w:rFonts w:asciiTheme="minorHAnsi" w:hAnsiTheme="minorHAnsi" w:cstheme="minorHAnsi"/>
                <w:color w:val="auto"/>
                <w:kern w:val="0"/>
                <w:szCs w:val="21"/>
              </w:rPr>
              <w:t xml:space="preserve">）或横向断裂法（见 </w:t>
            </w:r>
            <w:r>
              <w:rPr>
                <w:rStyle w:val="54"/>
                <w:rFonts w:asciiTheme="minorHAnsi" w:hAnsiTheme="minorHAnsi" w:cstheme="minorHAnsi"/>
                <w:color w:val="auto"/>
                <w:kern w:val="0"/>
                <w:szCs w:val="21"/>
              </w:rPr>
              <w:t>GB/T 5160</w:t>
            </w:r>
            <w:r>
              <w:rPr>
                <w:rFonts w:asciiTheme="minorHAnsi" w:hAnsiTheme="minorHAnsi" w:cstheme="minorHAnsi"/>
                <w:color w:val="auto"/>
                <w:kern w:val="0"/>
                <w:szCs w:val="21"/>
              </w:rPr>
              <w:t>）进行测定。</w:t>
            </w:r>
          </w:p>
          <w:p w14:paraId="775072EB">
            <w:pPr>
              <w:widowControl/>
              <w:spacing w:line="300" w:lineRule="exact"/>
              <w:jc w:val="left"/>
              <w:rPr>
                <w:rFonts w:asciiTheme="minorHAnsi" w:hAnsiTheme="minorHAnsi" w:cstheme="minorHAnsi"/>
                <w:color w:val="auto"/>
                <w:kern w:val="0"/>
                <w:szCs w:val="21"/>
                <w:highlight w:val="red"/>
              </w:rPr>
            </w:pPr>
          </w:p>
          <w:p w14:paraId="64559C7A">
            <w:pPr>
              <w:spacing w:line="300" w:lineRule="exact"/>
              <w:ind w:firstLine="420"/>
              <w:jc w:val="left"/>
              <w:rPr>
                <w:rFonts w:asciiTheme="minorHAnsi" w:hAnsiTheme="minorHAnsi" w:cstheme="minorHAnsi"/>
                <w:color w:val="auto"/>
                <w:kern w:val="0"/>
                <w:szCs w:val="21"/>
              </w:rPr>
            </w:pPr>
          </w:p>
          <w:p w14:paraId="4360DEF2">
            <w:pPr>
              <w:spacing w:line="300" w:lineRule="exact"/>
              <w:jc w:val="left"/>
              <w:rPr>
                <w:rFonts w:asciiTheme="minorHAnsi" w:hAnsiTheme="minorHAnsi" w:cstheme="minorHAnsi"/>
                <w:color w:val="auto"/>
                <w:kern w:val="0"/>
                <w:szCs w:val="21"/>
              </w:rPr>
            </w:pPr>
          </w:p>
        </w:tc>
        <w:tc>
          <w:tcPr>
            <w:tcW w:w="2503" w:type="dxa"/>
            <w:tcBorders>
              <w:top w:val="single" w:color="auto" w:sz="4" w:space="0"/>
              <w:left w:val="single" w:color="auto" w:sz="4" w:space="0"/>
              <w:bottom w:val="single" w:color="auto" w:sz="4" w:space="0"/>
              <w:right w:val="single" w:color="auto" w:sz="4" w:space="0"/>
            </w:tcBorders>
          </w:tcPr>
          <w:p w14:paraId="7655AF98">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生坯强度</w:t>
            </w:r>
          </w:p>
          <w:p w14:paraId="503E5793">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为烧结压坯的力学性能。</w:t>
            </w:r>
          </w:p>
          <w:p w14:paraId="02B277E6">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注：这可以通过径向压碎测试（参见 ISO 2739）或横向断裂测试（参见ISO 3995）来衡量。</w:t>
            </w:r>
          </w:p>
        </w:tc>
        <w:tc>
          <w:tcPr>
            <w:tcW w:w="2164" w:type="dxa"/>
            <w:tcBorders>
              <w:top w:val="single" w:color="auto" w:sz="4" w:space="0"/>
              <w:left w:val="single" w:color="auto" w:sz="4" w:space="0"/>
              <w:bottom w:val="single" w:color="auto" w:sz="4" w:space="0"/>
              <w:right w:val="single" w:color="auto" w:sz="4" w:space="0"/>
            </w:tcBorders>
          </w:tcPr>
          <w:p w14:paraId="13AE6FB3">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 xml:space="preserve">生坯强度 </w:t>
            </w:r>
          </w:p>
          <w:p w14:paraId="25FFE1E6">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压坯的力学强度(见GB/T 6804和GB/T 5160)。</w:t>
            </w:r>
          </w:p>
          <w:p w14:paraId="648A040D">
            <w:pPr>
              <w:spacing w:line="300" w:lineRule="exact"/>
              <w:jc w:val="left"/>
              <w:rPr>
                <w:rFonts w:asciiTheme="minorHAnsi" w:hAnsiTheme="minorHAnsi" w:cstheme="minorHAnsi"/>
                <w:color w:val="auto"/>
                <w:kern w:val="0"/>
                <w:szCs w:val="21"/>
              </w:rPr>
            </w:pPr>
          </w:p>
        </w:tc>
      </w:tr>
      <w:tr w14:paraId="7FC915B1">
        <w:tblPrEx>
          <w:tblCellMar>
            <w:top w:w="0" w:type="dxa"/>
            <w:left w:w="108" w:type="dxa"/>
            <w:bottom w:w="0" w:type="dxa"/>
            <w:right w:w="108" w:type="dxa"/>
          </w:tblCellMar>
        </w:tblPrEx>
        <w:trPr>
          <w:trHeight w:val="678"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77405643">
            <w:pPr>
              <w:snapToGrid w:val="0"/>
              <w:spacing w:line="300" w:lineRule="exact"/>
              <w:jc w:val="left"/>
              <w:rPr>
                <w:rFonts w:asciiTheme="minorHAnsi" w:hAnsiTheme="minorHAnsi" w:cstheme="minorHAnsi"/>
                <w:color w:val="auto"/>
                <w:kern w:val="0"/>
                <w:szCs w:val="21"/>
              </w:rPr>
            </w:pPr>
            <w:r>
              <w:rPr>
                <w:rFonts w:asciiTheme="minorHAnsi" w:hAnsiTheme="minorHAnsi" w:cstheme="minorHAnsi"/>
                <w:color w:val="auto"/>
                <w:szCs w:val="21"/>
              </w:rPr>
              <w:t>3.2.49</w:t>
            </w:r>
            <w:r>
              <w:rPr>
                <w:rFonts w:asciiTheme="minorHAnsi" w:hAnsiTheme="minorHAnsi" w:cstheme="minorHAnsi"/>
                <w:color w:val="auto"/>
                <w:kern w:val="0"/>
                <w:szCs w:val="21"/>
              </w:rPr>
              <w:t xml:space="preserve"> </w:t>
            </w:r>
          </w:p>
          <w:p w14:paraId="7A3A2F96">
            <w:pPr>
              <w:snapToGrid w:val="0"/>
              <w:spacing w:line="300" w:lineRule="exact"/>
              <w:jc w:val="left"/>
              <w:rPr>
                <w:rFonts w:asciiTheme="minorHAnsi" w:hAnsiTheme="minorHAnsi" w:cstheme="minorHAnsi"/>
                <w:color w:val="auto"/>
                <w:szCs w:val="21"/>
              </w:rPr>
            </w:pPr>
          </w:p>
          <w:p w14:paraId="25409963">
            <w:pPr>
              <w:spacing w:line="300" w:lineRule="exact"/>
              <w:jc w:val="left"/>
              <w:rPr>
                <w:rFonts w:asciiTheme="minorHAnsi" w:hAnsiTheme="minorHAnsi" w:cstheme="minorHAnsi"/>
                <w:color w:val="auto"/>
                <w:kern w:val="0"/>
                <w:szCs w:val="21"/>
              </w:rPr>
            </w:pP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3A49233D">
            <w:pPr>
              <w:snapToGrid w:val="0"/>
              <w:spacing w:before="120" w:after="120" w:line="300" w:lineRule="exact"/>
              <w:jc w:val="left"/>
              <w:rPr>
                <w:rFonts w:asciiTheme="minorHAnsi" w:hAnsiTheme="minorHAnsi" w:cstheme="minorHAnsi"/>
                <w:b/>
                <w:bCs/>
                <w:color w:val="auto"/>
                <w:szCs w:val="21"/>
              </w:rPr>
            </w:pPr>
            <w:r>
              <w:rPr>
                <w:rFonts w:asciiTheme="minorHAnsi" w:hAnsiTheme="minorHAnsi" w:cstheme="minorHAnsi"/>
                <w:b/>
                <w:bCs/>
                <w:color w:val="auto"/>
                <w:szCs w:val="21"/>
              </w:rPr>
              <w:t xml:space="preserve">column  </w:t>
            </w:r>
          </w:p>
          <w:p w14:paraId="22D99E73">
            <w:pPr>
              <w:snapToGrid w:val="0"/>
              <w:spacing w:before="120" w:after="120" w:line="300" w:lineRule="exact"/>
              <w:jc w:val="left"/>
              <w:rPr>
                <w:rFonts w:asciiTheme="minorHAnsi" w:hAnsiTheme="minorHAnsi" w:cstheme="minorHAnsi"/>
                <w:color w:val="auto"/>
                <w:szCs w:val="21"/>
              </w:rPr>
            </w:pPr>
            <w:r>
              <w:rPr>
                <w:rFonts w:asciiTheme="minorHAnsi" w:hAnsiTheme="minorHAnsi" w:cstheme="minorHAnsi"/>
                <w:color w:val="auto"/>
                <w:szCs w:val="21"/>
              </w:rPr>
              <w:t xml:space="preserve">part of the tool set adaptor guiding the moving parts of the tool set (die plate and base plate) in the compacting direction  </w:t>
            </w:r>
          </w:p>
          <w:p w14:paraId="11A0599A">
            <w:pPr>
              <w:spacing w:before="120" w:after="120" w:line="300" w:lineRule="exact"/>
              <w:jc w:val="left"/>
              <w:rPr>
                <w:rFonts w:asciiTheme="minorHAnsi" w:hAnsiTheme="minorHAnsi" w:cstheme="minorHAnsi"/>
                <w:b/>
                <w:bCs/>
                <w:color w:val="auto"/>
                <w:kern w:val="0"/>
                <w:szCs w:val="21"/>
              </w:rPr>
            </w:pPr>
            <w:r>
              <w:rPr>
                <w:rFonts w:asciiTheme="minorHAnsi" w:hAnsiTheme="minorHAnsi" w:cstheme="minorHAnsi"/>
                <w:color w:val="auto"/>
                <w:szCs w:val="21"/>
              </w:rPr>
              <w:t>See Figure 13</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4F9A28C9">
            <w:pPr>
              <w:spacing w:line="300" w:lineRule="exact"/>
              <w:jc w:val="left"/>
              <w:rPr>
                <w:rFonts w:asciiTheme="minorHAnsi" w:hAnsiTheme="minorHAnsi" w:cstheme="minorHAnsi"/>
                <w:color w:val="auto"/>
                <w:kern w:val="0"/>
                <w:szCs w:val="21"/>
              </w:rPr>
            </w:pPr>
            <w:r>
              <w:rPr>
                <w:rFonts w:asciiTheme="minorHAnsi" w:hAnsiTheme="minorHAnsi" w:cstheme="minorHAnsi"/>
                <w:color w:val="auto"/>
                <w:szCs w:val="21"/>
              </w:rPr>
              <w:t>柱（column）：模架的活动零件，阴模固定板和底板在压制方向导向用的模架接合器零件（见图13）。</w:t>
            </w: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681B7791">
            <w:pPr>
              <w:snapToGrid w:val="0"/>
              <w:spacing w:line="300" w:lineRule="exact"/>
              <w:jc w:val="left"/>
              <w:rPr>
                <w:rFonts w:asciiTheme="minorHAnsi" w:hAnsiTheme="minorHAnsi" w:cstheme="minorHAnsi"/>
                <w:b/>
                <w:bCs/>
                <w:color w:val="auto"/>
                <w:szCs w:val="21"/>
              </w:rPr>
            </w:pPr>
            <w:r>
              <w:rPr>
                <w:rFonts w:asciiTheme="minorHAnsi" w:hAnsiTheme="minorHAnsi" w:cstheme="minorHAnsi"/>
                <w:b/>
                <w:bCs/>
                <w:color w:val="auto"/>
                <w:szCs w:val="21"/>
              </w:rPr>
              <w:t>guide rod</w:t>
            </w:r>
          </w:p>
          <w:p w14:paraId="00C6D9A2">
            <w:pPr>
              <w:snapToGrid w:val="0"/>
              <w:spacing w:line="300" w:lineRule="exact"/>
              <w:jc w:val="left"/>
              <w:rPr>
                <w:rFonts w:asciiTheme="minorHAnsi" w:hAnsiTheme="minorHAnsi" w:cstheme="minorHAnsi"/>
                <w:b/>
                <w:bCs/>
                <w:color w:val="auto"/>
                <w:szCs w:val="21"/>
              </w:rPr>
            </w:pPr>
            <w:r>
              <w:rPr>
                <w:rFonts w:asciiTheme="minorHAnsi" w:hAnsiTheme="minorHAnsi" w:cstheme="minorHAnsi"/>
                <w:b/>
                <w:bCs/>
                <w:color w:val="auto"/>
                <w:szCs w:val="21"/>
              </w:rPr>
              <w:t>column</w:t>
            </w:r>
          </w:p>
          <w:p w14:paraId="6797DB2A">
            <w:pPr>
              <w:snapToGrid w:val="0"/>
              <w:spacing w:line="300" w:lineRule="exact"/>
              <w:jc w:val="left"/>
              <w:rPr>
                <w:rFonts w:asciiTheme="minorHAnsi" w:hAnsiTheme="minorHAnsi" w:cstheme="minorHAnsi"/>
                <w:color w:val="auto"/>
                <w:szCs w:val="21"/>
              </w:rPr>
            </w:pPr>
            <w:r>
              <w:rPr>
                <w:rFonts w:asciiTheme="minorHAnsi" w:hAnsiTheme="minorHAnsi" w:cstheme="minorHAnsi"/>
                <w:color w:val="auto"/>
                <w:szCs w:val="21"/>
              </w:rPr>
              <w:t>part of the tool set adaptor guiding the moving parts of the upper part of the tool set with the die plate</w:t>
            </w:r>
          </w:p>
          <w:p w14:paraId="47BFC6C1">
            <w:pPr>
              <w:snapToGrid w:val="0"/>
              <w:spacing w:line="300" w:lineRule="exact"/>
              <w:jc w:val="left"/>
              <w:rPr>
                <w:rFonts w:asciiTheme="minorHAnsi" w:hAnsiTheme="minorHAnsi" w:cstheme="minorHAnsi"/>
                <w:color w:val="auto"/>
                <w:szCs w:val="21"/>
              </w:rPr>
            </w:pPr>
            <w:r>
              <w:rPr>
                <w:rFonts w:asciiTheme="minorHAnsi" w:hAnsiTheme="minorHAnsi" w:cstheme="minorHAnsi"/>
                <w:color w:val="auto"/>
                <w:szCs w:val="21"/>
              </w:rPr>
              <w:t>in the compacting direction</w:t>
            </w:r>
          </w:p>
          <w:p w14:paraId="2338C005">
            <w:pPr>
              <w:spacing w:line="300" w:lineRule="exact"/>
              <w:jc w:val="left"/>
              <w:rPr>
                <w:rFonts w:asciiTheme="minorHAnsi" w:hAnsiTheme="minorHAnsi" w:cstheme="minorHAnsi"/>
                <w:b/>
                <w:bCs/>
                <w:color w:val="auto"/>
                <w:kern w:val="0"/>
                <w:szCs w:val="21"/>
              </w:rPr>
            </w:pPr>
            <w:r>
              <w:rPr>
                <w:rFonts w:asciiTheme="minorHAnsi" w:hAnsiTheme="minorHAnsi" w:cstheme="minorHAnsi"/>
                <w:color w:val="auto"/>
                <w:szCs w:val="21"/>
              </w:rPr>
              <w:t>Note 1 to entry: See Figure 11 and 12.</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532B347D">
            <w:pPr>
              <w:pStyle w:val="58"/>
              <w:snapToGrid w:val="0"/>
              <w:spacing w:line="300" w:lineRule="exact"/>
              <w:jc w:val="left"/>
              <w:rPr>
                <w:rStyle w:val="54"/>
                <w:rFonts w:eastAsia="宋体" w:asciiTheme="minorHAnsi" w:hAnsiTheme="minorHAnsi" w:cstheme="minorHAnsi"/>
                <w:b w:val="0"/>
                <w:bCs w:val="0"/>
                <w:color w:val="auto"/>
                <w:szCs w:val="21"/>
              </w:rPr>
            </w:pPr>
            <w:r>
              <w:rPr>
                <w:rStyle w:val="54"/>
                <w:rFonts w:hint="eastAsia" w:eastAsia="宋体" w:asciiTheme="minorHAnsi" w:hAnsiTheme="minorHAnsi" w:cstheme="minorHAnsi"/>
                <w:color w:val="auto"/>
                <w:szCs w:val="21"/>
              </w:rPr>
              <w:t>导</w:t>
            </w:r>
            <w:r>
              <w:rPr>
                <w:rStyle w:val="54"/>
                <w:rFonts w:eastAsia="宋体" w:asciiTheme="minorHAnsi" w:hAnsiTheme="minorHAnsi" w:cstheme="minorHAnsi"/>
                <w:color w:val="auto"/>
                <w:szCs w:val="21"/>
              </w:rPr>
              <w:t>柱  guide rod，column</w:t>
            </w:r>
          </w:p>
          <w:p w14:paraId="3B8993D9">
            <w:pPr>
              <w:pStyle w:val="58"/>
              <w:snapToGrid w:val="0"/>
              <w:spacing w:line="300" w:lineRule="exact"/>
              <w:jc w:val="left"/>
              <w:rPr>
                <w:rStyle w:val="54"/>
                <w:rFonts w:eastAsia="宋体" w:asciiTheme="minorHAnsi" w:hAnsiTheme="minorHAnsi" w:cstheme="minorHAnsi"/>
                <w:b w:val="0"/>
                <w:bCs w:val="0"/>
                <w:color w:val="auto"/>
                <w:szCs w:val="21"/>
              </w:rPr>
            </w:pPr>
            <w:r>
              <w:rPr>
                <w:rStyle w:val="54"/>
                <w:rFonts w:eastAsia="宋体" w:asciiTheme="minorHAnsi" w:hAnsiTheme="minorHAnsi" w:cstheme="minorHAnsi"/>
                <w:color w:val="auto"/>
                <w:szCs w:val="21"/>
              </w:rPr>
              <w:t>模架上部的活动零件，阴模固定板在压制方向导向用的模架接合器零件。</w:t>
            </w:r>
          </w:p>
          <w:p w14:paraId="27F9D003">
            <w:pPr>
              <w:pStyle w:val="58"/>
              <w:snapToGrid w:val="0"/>
              <w:spacing w:line="300" w:lineRule="exact"/>
              <w:jc w:val="left"/>
              <w:rPr>
                <w:rStyle w:val="54"/>
                <w:rFonts w:eastAsia="宋体" w:asciiTheme="minorHAnsi" w:hAnsiTheme="minorHAnsi" w:cstheme="minorHAnsi"/>
                <w:b w:val="0"/>
                <w:bCs w:val="0"/>
                <w:color w:val="auto"/>
                <w:szCs w:val="21"/>
              </w:rPr>
            </w:pPr>
            <w:r>
              <w:rPr>
                <w:rStyle w:val="54"/>
                <w:rFonts w:eastAsia="宋体" w:asciiTheme="minorHAnsi" w:hAnsiTheme="minorHAnsi" w:cstheme="minorHAnsi"/>
                <w:color w:val="auto"/>
                <w:szCs w:val="21"/>
              </w:rPr>
              <w:t>注：见图11和12。</w:t>
            </w:r>
          </w:p>
          <w:p w14:paraId="35ADD74F">
            <w:pPr>
              <w:pStyle w:val="58"/>
              <w:spacing w:line="300" w:lineRule="exact"/>
              <w:jc w:val="left"/>
              <w:rPr>
                <w:rStyle w:val="54"/>
                <w:rFonts w:eastAsia="宋体" w:asciiTheme="minorHAnsi" w:hAnsiTheme="minorHAnsi" w:cstheme="minorHAnsi"/>
                <w:b w:val="0"/>
                <w:bCs w:val="0"/>
                <w:color w:val="auto"/>
                <w:kern w:val="0"/>
                <w:szCs w:val="21"/>
              </w:rPr>
            </w:pPr>
          </w:p>
        </w:tc>
        <w:tc>
          <w:tcPr>
            <w:tcW w:w="2503" w:type="dxa"/>
            <w:tcBorders>
              <w:top w:val="single" w:color="auto" w:sz="4" w:space="0"/>
              <w:left w:val="single" w:color="auto" w:sz="4" w:space="0"/>
              <w:bottom w:val="single" w:color="auto" w:sz="4" w:space="0"/>
              <w:right w:val="single" w:color="auto" w:sz="4" w:space="0"/>
            </w:tcBorders>
          </w:tcPr>
          <w:p w14:paraId="6929D1D4">
            <w:pPr>
              <w:snapToGrid w:val="0"/>
              <w:spacing w:line="300" w:lineRule="exact"/>
              <w:jc w:val="left"/>
              <w:rPr>
                <w:rFonts w:asciiTheme="minorHAnsi" w:hAnsiTheme="minorHAnsi" w:cstheme="minorHAnsi"/>
                <w:color w:val="auto"/>
                <w:szCs w:val="21"/>
              </w:rPr>
            </w:pPr>
            <w:r>
              <w:rPr>
                <w:rFonts w:asciiTheme="minorHAnsi" w:hAnsiTheme="minorHAnsi" w:cstheme="minorHAnsi"/>
                <w:color w:val="auto"/>
                <w:szCs w:val="21"/>
              </w:rPr>
              <w:t>导杆</w:t>
            </w:r>
          </w:p>
          <w:p w14:paraId="0463B3F2">
            <w:pPr>
              <w:snapToGrid w:val="0"/>
              <w:spacing w:line="300" w:lineRule="exact"/>
              <w:jc w:val="left"/>
              <w:rPr>
                <w:rFonts w:asciiTheme="minorHAnsi" w:hAnsiTheme="minorHAnsi" w:cstheme="minorHAnsi"/>
                <w:color w:val="auto"/>
                <w:szCs w:val="21"/>
              </w:rPr>
            </w:pPr>
            <w:r>
              <w:rPr>
                <w:rFonts w:asciiTheme="minorHAnsi" w:hAnsiTheme="minorHAnsi" w:cstheme="minorHAnsi"/>
                <w:color w:val="auto"/>
                <w:szCs w:val="21"/>
              </w:rPr>
              <w:t>模架的活动零件，阴模固定板和底板在压制方向导向用的模架接合器零件。</w:t>
            </w:r>
          </w:p>
          <w:p w14:paraId="7FFAFD0A">
            <w:pPr>
              <w:spacing w:line="300" w:lineRule="exact"/>
              <w:jc w:val="left"/>
              <w:rPr>
                <w:rFonts w:asciiTheme="minorHAnsi" w:hAnsiTheme="minorHAnsi" w:cstheme="minorHAnsi"/>
                <w:color w:val="auto"/>
                <w:kern w:val="0"/>
                <w:szCs w:val="21"/>
              </w:rPr>
            </w:pPr>
            <w:r>
              <w:rPr>
                <w:rFonts w:asciiTheme="minorHAnsi" w:hAnsiTheme="minorHAnsi" w:cstheme="minorHAnsi"/>
                <w:color w:val="auto"/>
                <w:szCs w:val="21"/>
              </w:rPr>
              <w:t>见图11和图12.</w:t>
            </w:r>
          </w:p>
        </w:tc>
        <w:tc>
          <w:tcPr>
            <w:tcW w:w="2164" w:type="dxa"/>
            <w:tcBorders>
              <w:top w:val="single" w:color="auto" w:sz="4" w:space="0"/>
              <w:left w:val="single" w:color="auto" w:sz="4" w:space="0"/>
              <w:bottom w:val="single" w:color="auto" w:sz="4" w:space="0"/>
              <w:right w:val="single" w:color="auto" w:sz="4" w:space="0"/>
            </w:tcBorders>
          </w:tcPr>
          <w:p w14:paraId="5ACA5654">
            <w:pPr>
              <w:snapToGrid w:val="0"/>
              <w:spacing w:line="300" w:lineRule="exact"/>
              <w:jc w:val="left"/>
              <w:rPr>
                <w:rFonts w:asciiTheme="minorHAnsi" w:hAnsiTheme="minorHAnsi" w:cstheme="minorHAnsi"/>
                <w:color w:val="auto"/>
                <w:szCs w:val="21"/>
              </w:rPr>
            </w:pPr>
            <w:r>
              <w:rPr>
                <w:rFonts w:asciiTheme="minorHAnsi" w:hAnsiTheme="minorHAnsi" w:cstheme="minorHAnsi"/>
                <w:color w:val="auto"/>
                <w:szCs w:val="21"/>
              </w:rPr>
              <w:t xml:space="preserve">柱  </w:t>
            </w:r>
          </w:p>
          <w:p w14:paraId="1F5EAB5C">
            <w:pPr>
              <w:snapToGrid w:val="0"/>
              <w:spacing w:line="300" w:lineRule="exact"/>
              <w:jc w:val="left"/>
              <w:rPr>
                <w:rFonts w:asciiTheme="minorHAnsi" w:hAnsiTheme="minorHAnsi" w:cstheme="minorHAnsi"/>
                <w:color w:val="auto"/>
                <w:szCs w:val="21"/>
              </w:rPr>
            </w:pPr>
            <w:r>
              <w:rPr>
                <w:rFonts w:asciiTheme="minorHAnsi" w:hAnsiTheme="minorHAnsi" w:cstheme="minorHAnsi"/>
                <w:color w:val="auto"/>
                <w:szCs w:val="21"/>
              </w:rPr>
              <w:t>模架上部的活动零件，阴膜固定板在压制方向导向用的模架接合器零件(见图13和14)。</w:t>
            </w:r>
          </w:p>
          <w:p w14:paraId="0DE0AFE8">
            <w:pPr>
              <w:spacing w:line="300" w:lineRule="exact"/>
              <w:jc w:val="left"/>
              <w:rPr>
                <w:rFonts w:asciiTheme="minorHAnsi" w:hAnsiTheme="minorHAnsi" w:cstheme="minorHAnsi"/>
                <w:color w:val="auto"/>
                <w:kern w:val="0"/>
                <w:szCs w:val="21"/>
              </w:rPr>
            </w:pPr>
          </w:p>
        </w:tc>
      </w:tr>
      <w:tr w14:paraId="0E1344FC">
        <w:tblPrEx>
          <w:tblCellMar>
            <w:top w:w="0" w:type="dxa"/>
            <w:left w:w="108" w:type="dxa"/>
            <w:bottom w:w="0" w:type="dxa"/>
            <w:right w:w="108" w:type="dxa"/>
          </w:tblCellMar>
        </w:tblPrEx>
        <w:trPr>
          <w:trHeight w:val="678"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60523344">
            <w:pPr>
              <w:spacing w:line="300" w:lineRule="exact"/>
              <w:jc w:val="left"/>
              <w:rPr>
                <w:rFonts w:asciiTheme="minorHAnsi" w:hAnsiTheme="minorHAnsi" w:cstheme="minorHAnsi"/>
                <w:color w:val="auto"/>
                <w:kern w:val="0"/>
                <w:szCs w:val="21"/>
              </w:rPr>
            </w:pPr>
            <w:r>
              <w:rPr>
                <w:rFonts w:asciiTheme="minorHAnsi" w:hAnsiTheme="minorHAnsi" w:cstheme="minorHAnsi"/>
                <w:color w:val="auto"/>
                <w:szCs w:val="21"/>
              </w:rPr>
              <w:t>3.2.54</w:t>
            </w:r>
            <w:r>
              <w:rPr>
                <w:rFonts w:asciiTheme="minorHAnsi" w:hAnsiTheme="minorHAnsi" w:cstheme="minorHAnsi"/>
                <w:color w:val="auto"/>
                <w:kern w:val="0"/>
                <w:szCs w:val="21"/>
              </w:rPr>
              <w:t xml:space="preserve"> </w:t>
            </w: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4C859D3B">
            <w:pPr>
              <w:snapToGrid w:val="0"/>
              <w:spacing w:before="120" w:after="120" w:line="300" w:lineRule="exact"/>
              <w:jc w:val="left"/>
              <w:rPr>
                <w:rFonts w:asciiTheme="minorHAnsi" w:hAnsiTheme="minorHAnsi" w:cstheme="minorHAnsi"/>
                <w:b/>
                <w:bCs/>
                <w:color w:val="auto"/>
                <w:szCs w:val="21"/>
              </w:rPr>
            </w:pPr>
            <w:r>
              <w:rPr>
                <w:rFonts w:asciiTheme="minorHAnsi" w:hAnsiTheme="minorHAnsi" w:cstheme="minorHAnsi"/>
                <w:b/>
                <w:bCs/>
                <w:color w:val="auto"/>
                <w:szCs w:val="21"/>
              </w:rPr>
              <w:t xml:space="preserve">lifting rod  </w:t>
            </w:r>
          </w:p>
          <w:p w14:paraId="3CEDBEFE">
            <w:pPr>
              <w:snapToGrid w:val="0"/>
              <w:spacing w:before="120" w:after="120" w:line="300" w:lineRule="exact"/>
              <w:jc w:val="left"/>
              <w:rPr>
                <w:rFonts w:asciiTheme="minorHAnsi" w:hAnsiTheme="minorHAnsi" w:cstheme="minorHAnsi"/>
                <w:color w:val="auto"/>
                <w:szCs w:val="21"/>
              </w:rPr>
            </w:pPr>
            <w:r>
              <w:rPr>
                <w:rFonts w:asciiTheme="minorHAnsi" w:hAnsiTheme="minorHAnsi" w:cstheme="minorHAnsi"/>
                <w:color w:val="auto"/>
                <w:szCs w:val="21"/>
              </w:rPr>
              <w:t xml:space="preserve">member of the tool set (pin) bringing the lower punch into the filling position  </w:t>
            </w:r>
          </w:p>
          <w:p w14:paraId="07C4F8F5">
            <w:pPr>
              <w:spacing w:before="120" w:after="120" w:line="300" w:lineRule="exact"/>
              <w:jc w:val="left"/>
              <w:rPr>
                <w:rFonts w:asciiTheme="minorHAnsi" w:hAnsiTheme="minorHAnsi" w:cstheme="minorHAnsi"/>
                <w:b/>
                <w:bCs/>
                <w:color w:val="auto"/>
                <w:kern w:val="0"/>
                <w:szCs w:val="21"/>
              </w:rPr>
            </w:pPr>
            <w:r>
              <w:rPr>
                <w:rFonts w:asciiTheme="minorHAnsi" w:hAnsiTheme="minorHAnsi" w:cstheme="minorHAnsi"/>
                <w:color w:val="auto"/>
                <w:szCs w:val="21"/>
              </w:rPr>
              <w:t>See Figure 13</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2A8F8AF3">
            <w:pPr>
              <w:spacing w:line="300" w:lineRule="exact"/>
              <w:jc w:val="left"/>
              <w:rPr>
                <w:rFonts w:asciiTheme="minorHAnsi" w:hAnsiTheme="minorHAnsi" w:cstheme="minorHAnsi"/>
                <w:color w:val="auto"/>
                <w:kern w:val="0"/>
                <w:szCs w:val="21"/>
              </w:rPr>
            </w:pPr>
            <w:r>
              <w:rPr>
                <w:rFonts w:asciiTheme="minorHAnsi" w:hAnsiTheme="minorHAnsi" w:cstheme="minorHAnsi"/>
                <w:color w:val="auto"/>
                <w:szCs w:val="21"/>
              </w:rPr>
              <w:t>调节杆（lifting rod）：使下模冲进入装粉位置的模架零件（见图13）。</w:t>
            </w: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5FD24BBD">
            <w:pPr>
              <w:snapToGrid w:val="0"/>
              <w:spacing w:line="300" w:lineRule="exact"/>
              <w:jc w:val="left"/>
              <w:rPr>
                <w:rFonts w:asciiTheme="minorHAnsi" w:hAnsiTheme="minorHAnsi" w:cstheme="minorHAnsi"/>
                <w:b/>
                <w:bCs/>
                <w:color w:val="auto"/>
                <w:szCs w:val="21"/>
              </w:rPr>
            </w:pPr>
            <w:r>
              <w:rPr>
                <w:rFonts w:asciiTheme="minorHAnsi" w:hAnsiTheme="minorHAnsi" w:cstheme="minorHAnsi"/>
                <w:b/>
                <w:bCs/>
                <w:color w:val="auto"/>
                <w:szCs w:val="21"/>
              </w:rPr>
              <w:t>lifting rod</w:t>
            </w:r>
          </w:p>
          <w:p w14:paraId="21B08C18">
            <w:pPr>
              <w:spacing w:line="300" w:lineRule="exact"/>
              <w:jc w:val="left"/>
              <w:rPr>
                <w:rFonts w:asciiTheme="minorHAnsi" w:hAnsiTheme="minorHAnsi" w:cstheme="minorHAnsi"/>
                <w:b/>
                <w:bCs/>
                <w:color w:val="auto"/>
                <w:kern w:val="0"/>
                <w:szCs w:val="21"/>
              </w:rPr>
            </w:pPr>
            <w:r>
              <w:rPr>
                <w:rFonts w:asciiTheme="minorHAnsi" w:hAnsiTheme="minorHAnsi" w:cstheme="minorHAnsi"/>
                <w:color w:val="auto"/>
                <w:szCs w:val="21"/>
              </w:rPr>
              <w:t>member of the tool set bringing the lower punch (3.2.57) into the filling position</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0CFB46EB">
            <w:pPr>
              <w:pStyle w:val="58"/>
              <w:snapToGrid w:val="0"/>
              <w:spacing w:line="300" w:lineRule="exact"/>
              <w:jc w:val="left"/>
              <w:rPr>
                <w:rStyle w:val="54"/>
                <w:rFonts w:eastAsia="宋体" w:asciiTheme="minorHAnsi" w:hAnsiTheme="minorHAnsi" w:cstheme="minorHAnsi"/>
                <w:b w:val="0"/>
                <w:bCs w:val="0"/>
                <w:color w:val="auto"/>
                <w:szCs w:val="21"/>
              </w:rPr>
            </w:pPr>
            <w:r>
              <w:rPr>
                <w:rStyle w:val="54"/>
                <w:rFonts w:eastAsia="宋体" w:asciiTheme="minorHAnsi" w:hAnsiTheme="minorHAnsi" w:cstheme="minorHAnsi"/>
                <w:color w:val="auto"/>
                <w:szCs w:val="21"/>
              </w:rPr>
              <w:t>调节杆  lifting rod</w:t>
            </w:r>
          </w:p>
          <w:p w14:paraId="1EDC62D1">
            <w:pPr>
              <w:snapToGrid w:val="0"/>
              <w:spacing w:line="300" w:lineRule="exact"/>
              <w:ind w:firstLine="420"/>
              <w:jc w:val="left"/>
              <w:rPr>
                <w:rStyle w:val="54"/>
                <w:rFonts w:asciiTheme="minorHAnsi" w:hAnsiTheme="minorHAnsi" w:cstheme="minorHAnsi"/>
                <w:b w:val="0"/>
                <w:bCs w:val="0"/>
                <w:color w:val="auto"/>
                <w:szCs w:val="21"/>
              </w:rPr>
            </w:pPr>
            <w:r>
              <w:rPr>
                <w:rStyle w:val="54"/>
                <w:rFonts w:asciiTheme="minorHAnsi" w:hAnsiTheme="minorHAnsi" w:cstheme="minorHAnsi"/>
                <w:color w:val="auto"/>
                <w:szCs w:val="21"/>
              </w:rPr>
              <w:t>使下模冲（3.2.57）进入装粉位置的模架零件。</w:t>
            </w:r>
          </w:p>
          <w:p w14:paraId="07C79D4F">
            <w:pPr>
              <w:pStyle w:val="58"/>
              <w:spacing w:line="300" w:lineRule="exact"/>
              <w:jc w:val="left"/>
              <w:rPr>
                <w:rStyle w:val="54"/>
                <w:rFonts w:eastAsia="宋体" w:asciiTheme="minorHAnsi" w:hAnsiTheme="minorHAnsi" w:cstheme="minorHAnsi"/>
                <w:b w:val="0"/>
                <w:bCs w:val="0"/>
                <w:color w:val="auto"/>
                <w:kern w:val="0"/>
                <w:szCs w:val="21"/>
              </w:rPr>
            </w:pPr>
          </w:p>
        </w:tc>
        <w:tc>
          <w:tcPr>
            <w:tcW w:w="2503" w:type="dxa"/>
            <w:tcBorders>
              <w:top w:val="single" w:color="auto" w:sz="4" w:space="0"/>
              <w:left w:val="single" w:color="auto" w:sz="4" w:space="0"/>
              <w:bottom w:val="single" w:color="auto" w:sz="4" w:space="0"/>
              <w:right w:val="single" w:color="auto" w:sz="4" w:space="0"/>
            </w:tcBorders>
          </w:tcPr>
          <w:p w14:paraId="0FEA87B7">
            <w:pPr>
              <w:snapToGrid w:val="0"/>
              <w:spacing w:line="300" w:lineRule="exact"/>
              <w:jc w:val="left"/>
              <w:rPr>
                <w:rFonts w:asciiTheme="minorHAnsi" w:hAnsiTheme="minorHAnsi" w:cstheme="minorHAnsi"/>
                <w:color w:val="auto"/>
                <w:szCs w:val="21"/>
              </w:rPr>
            </w:pPr>
            <w:r>
              <w:rPr>
                <w:rFonts w:asciiTheme="minorHAnsi" w:hAnsiTheme="minorHAnsi" w:cstheme="minorHAnsi"/>
                <w:color w:val="auto"/>
                <w:szCs w:val="21"/>
              </w:rPr>
              <w:t>调节杆</w:t>
            </w:r>
          </w:p>
          <w:p w14:paraId="33652ACF">
            <w:pPr>
              <w:spacing w:line="300" w:lineRule="exact"/>
              <w:jc w:val="left"/>
              <w:rPr>
                <w:rFonts w:asciiTheme="minorHAnsi" w:hAnsiTheme="minorHAnsi" w:cstheme="minorHAnsi"/>
                <w:color w:val="auto"/>
                <w:kern w:val="0"/>
                <w:szCs w:val="21"/>
              </w:rPr>
            </w:pPr>
            <w:r>
              <w:rPr>
                <w:rFonts w:asciiTheme="minorHAnsi" w:hAnsiTheme="minorHAnsi" w:cstheme="minorHAnsi"/>
                <w:color w:val="auto"/>
                <w:szCs w:val="21"/>
              </w:rPr>
              <w:t>将下模冲（3.2.57） 推至填充位置的模架零件。</w:t>
            </w:r>
          </w:p>
        </w:tc>
        <w:tc>
          <w:tcPr>
            <w:tcW w:w="2164" w:type="dxa"/>
            <w:tcBorders>
              <w:top w:val="single" w:color="auto" w:sz="4" w:space="0"/>
              <w:left w:val="single" w:color="auto" w:sz="4" w:space="0"/>
              <w:bottom w:val="single" w:color="auto" w:sz="4" w:space="0"/>
              <w:right w:val="single" w:color="auto" w:sz="4" w:space="0"/>
            </w:tcBorders>
          </w:tcPr>
          <w:p w14:paraId="4B280AEF">
            <w:pPr>
              <w:snapToGrid w:val="0"/>
              <w:spacing w:line="300" w:lineRule="exact"/>
              <w:jc w:val="left"/>
              <w:rPr>
                <w:rFonts w:asciiTheme="minorHAnsi" w:hAnsiTheme="minorHAnsi" w:cstheme="minorHAnsi"/>
                <w:color w:val="auto"/>
                <w:szCs w:val="21"/>
              </w:rPr>
            </w:pPr>
            <w:r>
              <w:rPr>
                <w:rFonts w:asciiTheme="minorHAnsi" w:hAnsiTheme="minorHAnsi" w:cstheme="minorHAnsi"/>
                <w:color w:val="auto"/>
                <w:szCs w:val="21"/>
              </w:rPr>
              <w:t>调节杆</w:t>
            </w:r>
          </w:p>
          <w:p w14:paraId="5A385474">
            <w:pPr>
              <w:snapToGrid w:val="0"/>
              <w:spacing w:line="300" w:lineRule="exact"/>
              <w:jc w:val="left"/>
              <w:rPr>
                <w:rFonts w:asciiTheme="minorHAnsi" w:hAnsiTheme="minorHAnsi" w:cstheme="minorHAnsi"/>
                <w:color w:val="auto"/>
                <w:szCs w:val="21"/>
              </w:rPr>
            </w:pPr>
            <w:r>
              <w:rPr>
                <w:rFonts w:asciiTheme="minorHAnsi" w:hAnsiTheme="minorHAnsi" w:cstheme="minorHAnsi"/>
                <w:color w:val="auto"/>
                <w:szCs w:val="21"/>
              </w:rPr>
              <w:t>使下模冲（3.2.57）进入装粉位置的模架零件。</w:t>
            </w:r>
          </w:p>
          <w:p w14:paraId="3E0CD9FB">
            <w:pPr>
              <w:spacing w:line="300" w:lineRule="exact"/>
              <w:jc w:val="left"/>
              <w:rPr>
                <w:rFonts w:asciiTheme="minorHAnsi" w:hAnsiTheme="minorHAnsi" w:cstheme="minorHAnsi"/>
                <w:color w:val="auto"/>
                <w:kern w:val="0"/>
                <w:szCs w:val="21"/>
              </w:rPr>
            </w:pPr>
          </w:p>
        </w:tc>
      </w:tr>
      <w:tr w14:paraId="550AB5CB">
        <w:tblPrEx>
          <w:tblCellMar>
            <w:top w:w="0" w:type="dxa"/>
            <w:left w:w="108" w:type="dxa"/>
            <w:bottom w:w="0" w:type="dxa"/>
            <w:right w:w="108" w:type="dxa"/>
          </w:tblCellMar>
        </w:tblPrEx>
        <w:trPr>
          <w:trHeight w:val="1751"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144A2003">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3.2.66</w:t>
            </w:r>
          </w:p>
          <w:p w14:paraId="7ABAC9DC">
            <w:pPr>
              <w:spacing w:line="300" w:lineRule="exact"/>
              <w:jc w:val="left"/>
              <w:rPr>
                <w:rFonts w:asciiTheme="minorHAnsi" w:hAnsiTheme="minorHAnsi" w:cstheme="minorHAnsi"/>
                <w:color w:val="auto"/>
                <w:kern w:val="0"/>
                <w:szCs w:val="21"/>
              </w:rPr>
            </w:pP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6ADEF4A8">
            <w:pPr>
              <w:spacing w:before="120" w:after="120" w:line="300" w:lineRule="exact"/>
              <w:jc w:val="left"/>
              <w:rPr>
                <w:rFonts w:asciiTheme="minorHAnsi" w:hAnsiTheme="minorHAnsi" w:cstheme="minorHAnsi"/>
                <w:color w:val="auto"/>
                <w:kern w:val="0"/>
                <w:szCs w:val="21"/>
              </w:rPr>
            </w:pPr>
            <w:r>
              <w:rPr>
                <w:rFonts w:asciiTheme="minorHAnsi" w:hAnsiTheme="minorHAnsi" w:cstheme="minorHAnsi"/>
                <w:b/>
                <w:bCs/>
                <w:color w:val="auto"/>
                <w:kern w:val="0"/>
                <w:szCs w:val="21"/>
              </w:rPr>
              <w:t>overfill system</w:t>
            </w:r>
            <w:r>
              <w:rPr>
                <w:rFonts w:asciiTheme="minorHAnsi" w:hAnsiTheme="minorHAnsi" w:cstheme="minorHAnsi"/>
                <w:color w:val="auto"/>
                <w:kern w:val="0"/>
                <w:szCs w:val="21"/>
              </w:rPr>
              <w:t xml:space="preserve">  </w:t>
            </w:r>
          </w:p>
          <w:p w14:paraId="065CB510">
            <w:pPr>
              <w:spacing w:before="120" w:after="120"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See Figure 11</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2D9AED2C">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过量装粉法（overfill system）：见图11。</w:t>
            </w: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2B8979F7">
            <w:pPr>
              <w:spacing w:line="300" w:lineRule="exact"/>
              <w:jc w:val="left"/>
              <w:rPr>
                <w:rFonts w:asciiTheme="minorHAnsi" w:hAnsiTheme="minorHAnsi" w:cstheme="minorHAnsi"/>
                <w:b/>
                <w:bCs/>
                <w:color w:val="auto"/>
                <w:kern w:val="0"/>
                <w:szCs w:val="21"/>
              </w:rPr>
            </w:pPr>
            <w:r>
              <w:rPr>
                <w:rFonts w:asciiTheme="minorHAnsi" w:hAnsiTheme="minorHAnsi" w:cstheme="minorHAnsi"/>
                <w:b/>
                <w:bCs/>
                <w:color w:val="auto"/>
                <w:kern w:val="0"/>
                <w:szCs w:val="21"/>
              </w:rPr>
              <w:t>overfill</w:t>
            </w:r>
          </w:p>
          <w:p w14:paraId="5418CF6C">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powder filling sequence pushing the powder up into the feed shoe (3.2.36) to ensure proper filling</w:t>
            </w:r>
          </w:p>
          <w:p w14:paraId="56DA4224">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Note 1 to entry: see Figure 14.</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0E284C1A">
            <w:pPr>
              <w:pStyle w:val="58"/>
              <w:spacing w:line="300" w:lineRule="exact"/>
              <w:jc w:val="left"/>
              <w:rPr>
                <w:rStyle w:val="54"/>
                <w:rFonts w:eastAsia="宋体" w:asciiTheme="minorHAnsi" w:hAnsiTheme="minorHAnsi" w:cstheme="minorHAnsi"/>
                <w:b w:val="0"/>
                <w:bCs w:val="0"/>
                <w:color w:val="auto"/>
                <w:kern w:val="0"/>
                <w:szCs w:val="21"/>
              </w:rPr>
            </w:pPr>
            <w:r>
              <w:rPr>
                <w:rStyle w:val="54"/>
                <w:rFonts w:eastAsia="宋体" w:asciiTheme="minorHAnsi" w:hAnsiTheme="minorHAnsi" w:cstheme="minorHAnsi"/>
                <w:color w:val="auto"/>
                <w:kern w:val="0"/>
                <w:szCs w:val="21"/>
              </w:rPr>
              <w:t>过量装粉  overfill</w:t>
            </w:r>
          </w:p>
          <w:p w14:paraId="3AFC3FF0">
            <w:pPr>
              <w:spacing w:line="300" w:lineRule="exact"/>
              <w:ind w:firstLine="420"/>
              <w:jc w:val="left"/>
              <w:rPr>
                <w:rFonts w:asciiTheme="minorHAnsi" w:hAnsiTheme="minorHAnsi" w:cstheme="minorHAnsi"/>
                <w:color w:val="auto"/>
                <w:kern w:val="0"/>
                <w:szCs w:val="21"/>
              </w:rPr>
            </w:pPr>
            <w:r>
              <w:rPr>
                <w:rFonts w:asciiTheme="minorHAnsi" w:hAnsiTheme="minorHAnsi" w:cstheme="minorHAnsi"/>
                <w:color w:val="auto"/>
                <w:kern w:val="0"/>
                <w:szCs w:val="21"/>
              </w:rPr>
              <w:t>将粉末向上推入装粉靴（3.2.36）以确保充分填充的装粉工序。</w:t>
            </w:r>
          </w:p>
          <w:p w14:paraId="7A2DA064">
            <w:pPr>
              <w:spacing w:line="300" w:lineRule="exact"/>
              <w:ind w:firstLine="420"/>
              <w:jc w:val="left"/>
              <w:rPr>
                <w:rFonts w:asciiTheme="minorHAnsi" w:hAnsiTheme="minorHAnsi" w:cstheme="minorHAnsi"/>
                <w:color w:val="auto"/>
                <w:kern w:val="0"/>
                <w:szCs w:val="21"/>
              </w:rPr>
            </w:pPr>
            <w:r>
              <w:rPr>
                <w:rFonts w:asciiTheme="minorHAnsi" w:hAnsiTheme="minorHAnsi" w:cstheme="minorHAnsi"/>
                <w:color w:val="auto"/>
                <w:kern w:val="0"/>
                <w:szCs w:val="21"/>
              </w:rPr>
              <w:t>注1：见</w:t>
            </w:r>
            <w:r>
              <w:rPr>
                <w:rFonts w:hint="eastAsia" w:asciiTheme="minorHAnsi" w:hAnsiTheme="minorHAnsi" w:cstheme="minorHAnsi"/>
                <w:color w:val="auto"/>
                <w:kern w:val="0"/>
                <w:szCs w:val="21"/>
              </w:rPr>
              <w:t>图1</w:t>
            </w:r>
            <w:r>
              <w:rPr>
                <w:rFonts w:asciiTheme="minorHAnsi" w:hAnsiTheme="minorHAnsi" w:cstheme="minorHAnsi"/>
                <w:color w:val="auto"/>
                <w:kern w:val="0"/>
                <w:szCs w:val="21"/>
              </w:rPr>
              <w:t>4</w:t>
            </w:r>
            <w:r>
              <w:rPr>
                <w:rFonts w:hint="eastAsia" w:asciiTheme="minorHAnsi" w:hAnsiTheme="minorHAnsi" w:cstheme="minorHAnsi"/>
                <w:color w:val="auto"/>
                <w:kern w:val="0"/>
                <w:szCs w:val="21"/>
              </w:rPr>
              <w:t>。</w:t>
            </w:r>
          </w:p>
          <w:p w14:paraId="436F2419">
            <w:pPr>
              <w:spacing w:line="300" w:lineRule="exact"/>
              <w:jc w:val="left"/>
              <w:rPr>
                <w:rFonts w:asciiTheme="minorHAnsi" w:hAnsiTheme="minorHAnsi" w:cstheme="minorHAnsi"/>
                <w:color w:val="auto"/>
                <w:kern w:val="0"/>
                <w:szCs w:val="21"/>
              </w:rPr>
            </w:pPr>
          </w:p>
        </w:tc>
        <w:tc>
          <w:tcPr>
            <w:tcW w:w="2503" w:type="dxa"/>
            <w:tcBorders>
              <w:top w:val="single" w:color="auto" w:sz="4" w:space="0"/>
              <w:left w:val="single" w:color="auto" w:sz="4" w:space="0"/>
              <w:bottom w:val="single" w:color="auto" w:sz="4" w:space="0"/>
              <w:right w:val="single" w:color="auto" w:sz="4" w:space="0"/>
            </w:tcBorders>
          </w:tcPr>
          <w:p w14:paraId="19C8B205">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 xml:space="preserve">过量填充 </w:t>
            </w:r>
            <w:r>
              <w:rPr>
                <w:rFonts w:asciiTheme="minorHAnsi" w:hAnsiTheme="minorHAnsi" w:cstheme="minorHAnsi"/>
                <w:color w:val="auto"/>
                <w:kern w:val="0"/>
                <w:szCs w:val="21"/>
              </w:rPr>
              <w:br w:type="textWrapping"/>
            </w:r>
            <w:r>
              <w:rPr>
                <w:rFonts w:asciiTheme="minorHAnsi" w:hAnsiTheme="minorHAnsi" w:cstheme="minorHAnsi"/>
                <w:color w:val="auto"/>
                <w:kern w:val="0"/>
                <w:szCs w:val="21"/>
              </w:rPr>
              <w:t>粉末填充工序，即将粉末向上推入送粉靴 (3.2.36) 以确保充分填充。</w:t>
            </w:r>
          </w:p>
          <w:p w14:paraId="4362229D">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注 1：参见图 14。</w:t>
            </w:r>
          </w:p>
        </w:tc>
        <w:tc>
          <w:tcPr>
            <w:tcW w:w="2164" w:type="dxa"/>
            <w:tcBorders>
              <w:top w:val="single" w:color="auto" w:sz="4" w:space="0"/>
              <w:left w:val="single" w:color="auto" w:sz="4" w:space="0"/>
              <w:bottom w:val="single" w:color="auto" w:sz="4" w:space="0"/>
              <w:right w:val="single" w:color="auto" w:sz="4" w:space="0"/>
            </w:tcBorders>
          </w:tcPr>
          <w:p w14:paraId="26D6AEBD">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 xml:space="preserve">过量装粉 </w:t>
            </w:r>
          </w:p>
          <w:p w14:paraId="14FA4A00">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将粉末向上推入装粉靴（3.2.36）以确保充分填充的装粉工序。</w:t>
            </w:r>
          </w:p>
          <w:p w14:paraId="60F5A476">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注1：见图14.</w:t>
            </w:r>
          </w:p>
          <w:p w14:paraId="4AB32120">
            <w:pPr>
              <w:spacing w:line="300" w:lineRule="exact"/>
              <w:jc w:val="left"/>
              <w:rPr>
                <w:rFonts w:asciiTheme="minorHAnsi" w:hAnsiTheme="minorHAnsi" w:cstheme="minorHAnsi"/>
                <w:color w:val="auto"/>
                <w:kern w:val="0"/>
                <w:szCs w:val="21"/>
              </w:rPr>
            </w:pPr>
          </w:p>
        </w:tc>
      </w:tr>
      <w:tr w14:paraId="4778CEF1">
        <w:tblPrEx>
          <w:tblCellMar>
            <w:top w:w="0" w:type="dxa"/>
            <w:left w:w="108" w:type="dxa"/>
            <w:bottom w:w="0" w:type="dxa"/>
            <w:right w:w="108" w:type="dxa"/>
          </w:tblCellMar>
        </w:tblPrEx>
        <w:trPr>
          <w:trHeight w:val="2121"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16ED1F8A">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3.2.88</w:t>
            </w:r>
          </w:p>
          <w:p w14:paraId="21DFAF1A">
            <w:pPr>
              <w:spacing w:line="300" w:lineRule="exact"/>
              <w:jc w:val="left"/>
              <w:rPr>
                <w:rFonts w:asciiTheme="minorHAnsi" w:hAnsiTheme="minorHAnsi" w:cstheme="minorHAnsi"/>
                <w:color w:val="auto"/>
                <w:kern w:val="0"/>
                <w:szCs w:val="21"/>
              </w:rPr>
            </w:pP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1D4D343E">
            <w:pPr>
              <w:spacing w:before="120" w:after="120"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 xml:space="preserve">underfill system  </w:t>
            </w:r>
          </w:p>
          <w:p w14:paraId="35D9E00D">
            <w:pPr>
              <w:spacing w:before="120" w:after="120"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See Figure 12</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02752F0A">
            <w:pPr>
              <w:spacing w:before="120" w:after="120"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欠量装粉法（underfill system）：见图12。</w:t>
            </w:r>
          </w:p>
          <w:p w14:paraId="649A3DB7">
            <w:pPr>
              <w:spacing w:line="300" w:lineRule="exact"/>
              <w:jc w:val="left"/>
              <w:rPr>
                <w:rFonts w:asciiTheme="minorHAnsi" w:hAnsiTheme="minorHAnsi" w:cstheme="minorHAnsi"/>
                <w:color w:val="auto"/>
                <w:szCs w:val="21"/>
              </w:rPr>
            </w:pP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0C3E8056">
            <w:pPr>
              <w:spacing w:line="300" w:lineRule="exact"/>
              <w:jc w:val="left"/>
              <w:rPr>
                <w:rFonts w:asciiTheme="minorHAnsi" w:hAnsiTheme="minorHAnsi" w:cstheme="minorHAnsi"/>
                <w:b/>
                <w:bCs/>
                <w:color w:val="auto"/>
                <w:kern w:val="0"/>
                <w:szCs w:val="21"/>
              </w:rPr>
            </w:pPr>
            <w:r>
              <w:rPr>
                <w:rFonts w:asciiTheme="minorHAnsi" w:hAnsiTheme="minorHAnsi" w:cstheme="minorHAnsi"/>
                <w:b/>
                <w:bCs/>
                <w:color w:val="auto"/>
                <w:kern w:val="0"/>
                <w:szCs w:val="21"/>
              </w:rPr>
              <w:t>underfill</w:t>
            </w:r>
          </w:p>
          <w:p w14:paraId="54CE081B">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powder filling sequence displacing the powder down into the die cavity after filling to minimize powder spillage</w:t>
            </w:r>
          </w:p>
          <w:p w14:paraId="7F19DBBB">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Note 1 to entry: See Figure 15.</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1E0F92AA">
            <w:pPr>
              <w:pStyle w:val="58"/>
              <w:spacing w:line="300" w:lineRule="exact"/>
              <w:jc w:val="left"/>
              <w:rPr>
                <w:rStyle w:val="54"/>
                <w:rFonts w:eastAsia="宋体" w:asciiTheme="minorHAnsi" w:hAnsiTheme="minorHAnsi" w:cstheme="minorHAnsi"/>
                <w:b w:val="0"/>
                <w:bCs w:val="0"/>
                <w:color w:val="auto"/>
                <w:kern w:val="0"/>
                <w:szCs w:val="21"/>
              </w:rPr>
            </w:pPr>
            <w:r>
              <w:rPr>
                <w:rStyle w:val="54"/>
                <w:rFonts w:eastAsia="宋体" w:asciiTheme="minorHAnsi" w:hAnsiTheme="minorHAnsi" w:cstheme="minorHAnsi"/>
                <w:color w:val="auto"/>
                <w:kern w:val="0"/>
                <w:szCs w:val="21"/>
              </w:rPr>
              <w:t>欠量装粉  underfill</w:t>
            </w:r>
          </w:p>
          <w:p w14:paraId="567A55CE">
            <w:pPr>
              <w:spacing w:line="300" w:lineRule="exact"/>
              <w:ind w:firstLine="420"/>
              <w:jc w:val="left"/>
              <w:rPr>
                <w:rFonts w:asciiTheme="minorHAnsi" w:hAnsiTheme="minorHAnsi" w:cstheme="minorHAnsi"/>
                <w:color w:val="auto"/>
                <w:kern w:val="0"/>
                <w:szCs w:val="21"/>
              </w:rPr>
            </w:pPr>
            <w:r>
              <w:rPr>
                <w:rFonts w:asciiTheme="minorHAnsi" w:hAnsiTheme="minorHAnsi" w:cstheme="minorHAnsi"/>
                <w:color w:val="auto"/>
                <w:kern w:val="0"/>
                <w:szCs w:val="21"/>
              </w:rPr>
              <w:t>装粉后，将粉末向下推入阴模腔，以最大限度减少粉末溢出的装粉</w:t>
            </w:r>
            <w:r>
              <w:rPr>
                <w:rFonts w:hint="eastAsia" w:ascii="Calibri" w:hAnsi="Calibri" w:cs="Calibri"/>
                <w:i/>
                <w:iCs/>
                <w:color w:val="auto"/>
                <w:kern w:val="0"/>
                <w:szCs w:val="21"/>
              </w:rPr>
              <w:t>操作</w:t>
            </w:r>
            <w:r>
              <w:rPr>
                <w:rFonts w:asciiTheme="minorHAnsi" w:hAnsiTheme="minorHAnsi" w:cstheme="minorHAnsi"/>
                <w:color w:val="auto"/>
                <w:kern w:val="0"/>
                <w:szCs w:val="21"/>
              </w:rPr>
              <w:t>。</w:t>
            </w:r>
          </w:p>
          <w:p w14:paraId="2E3A95B5">
            <w:pPr>
              <w:spacing w:line="300" w:lineRule="exact"/>
              <w:ind w:firstLine="420"/>
              <w:jc w:val="left"/>
              <w:rPr>
                <w:rFonts w:asciiTheme="minorHAnsi" w:hAnsiTheme="minorHAnsi" w:cstheme="minorHAnsi"/>
                <w:color w:val="auto"/>
                <w:kern w:val="0"/>
                <w:szCs w:val="21"/>
              </w:rPr>
            </w:pPr>
            <w:r>
              <w:rPr>
                <w:rFonts w:asciiTheme="minorHAnsi" w:hAnsiTheme="minorHAnsi" w:cstheme="minorHAnsi"/>
                <w:color w:val="auto"/>
                <w:kern w:val="0"/>
                <w:szCs w:val="21"/>
              </w:rPr>
              <w:t>注1：见图15。</w:t>
            </w:r>
          </w:p>
          <w:p w14:paraId="188DFA60">
            <w:pPr>
              <w:spacing w:line="300" w:lineRule="exact"/>
              <w:jc w:val="left"/>
              <w:rPr>
                <w:rFonts w:asciiTheme="minorHAnsi" w:hAnsiTheme="minorHAnsi" w:cstheme="minorHAnsi"/>
                <w:color w:val="auto"/>
                <w:kern w:val="0"/>
                <w:szCs w:val="21"/>
              </w:rPr>
            </w:pPr>
          </w:p>
        </w:tc>
        <w:tc>
          <w:tcPr>
            <w:tcW w:w="2503" w:type="dxa"/>
            <w:tcBorders>
              <w:top w:val="single" w:color="auto" w:sz="4" w:space="0"/>
              <w:left w:val="single" w:color="auto" w:sz="4" w:space="0"/>
              <w:bottom w:val="single" w:color="auto" w:sz="4" w:space="0"/>
              <w:right w:val="single" w:color="auto" w:sz="4" w:space="0"/>
            </w:tcBorders>
          </w:tcPr>
          <w:p w14:paraId="19CB0281">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 xml:space="preserve">欠量装粉 </w:t>
            </w:r>
            <w:r>
              <w:rPr>
                <w:rFonts w:asciiTheme="minorHAnsi" w:hAnsiTheme="minorHAnsi" w:cstheme="minorHAnsi"/>
                <w:color w:val="auto"/>
                <w:kern w:val="0"/>
                <w:szCs w:val="21"/>
              </w:rPr>
              <w:br w:type="textWrapping"/>
            </w:r>
            <w:r>
              <w:rPr>
                <w:rFonts w:asciiTheme="minorHAnsi" w:hAnsiTheme="minorHAnsi" w:cstheme="minorHAnsi"/>
                <w:color w:val="auto"/>
                <w:kern w:val="0"/>
                <w:szCs w:val="21"/>
              </w:rPr>
              <w:t>粉末填充工序，即在填充后将粉末向下推入阴模型腔，以尽量减少粉末溢洒。</w:t>
            </w:r>
          </w:p>
          <w:p w14:paraId="1C2BC93C">
            <w:pPr>
              <w:spacing w:line="300" w:lineRule="exact"/>
              <w:jc w:val="left"/>
              <w:rPr>
                <w:rFonts w:asciiTheme="minorHAnsi" w:hAnsiTheme="minorHAnsi" w:cstheme="minorHAnsi"/>
                <w:color w:val="auto"/>
                <w:kern w:val="0"/>
                <w:szCs w:val="21"/>
              </w:rPr>
            </w:pPr>
          </w:p>
        </w:tc>
        <w:tc>
          <w:tcPr>
            <w:tcW w:w="2164" w:type="dxa"/>
            <w:tcBorders>
              <w:top w:val="single" w:color="auto" w:sz="4" w:space="0"/>
              <w:left w:val="single" w:color="auto" w:sz="4" w:space="0"/>
              <w:bottom w:val="single" w:color="auto" w:sz="4" w:space="0"/>
              <w:right w:val="single" w:color="auto" w:sz="4" w:space="0"/>
            </w:tcBorders>
          </w:tcPr>
          <w:p w14:paraId="56D3C961">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 xml:space="preserve">欠量装粉 </w:t>
            </w:r>
          </w:p>
          <w:p w14:paraId="15E16C20">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装粉后将粉末向下填充到模腔中以尽量减少粉末洒落的装粉工序。</w:t>
            </w:r>
          </w:p>
          <w:p w14:paraId="03FDD1F5">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注1：见图15。</w:t>
            </w:r>
          </w:p>
          <w:p w14:paraId="3B6C5EAC">
            <w:pPr>
              <w:spacing w:line="300" w:lineRule="exact"/>
              <w:jc w:val="left"/>
              <w:rPr>
                <w:rFonts w:asciiTheme="minorHAnsi" w:hAnsiTheme="minorHAnsi" w:cstheme="minorHAnsi"/>
                <w:color w:val="auto"/>
                <w:kern w:val="0"/>
                <w:szCs w:val="21"/>
              </w:rPr>
            </w:pPr>
          </w:p>
        </w:tc>
      </w:tr>
      <w:tr w14:paraId="0D467A30">
        <w:tblPrEx>
          <w:tblCellMar>
            <w:top w:w="0" w:type="dxa"/>
            <w:left w:w="108" w:type="dxa"/>
            <w:bottom w:w="0" w:type="dxa"/>
            <w:right w:w="108" w:type="dxa"/>
          </w:tblCellMar>
        </w:tblPrEx>
        <w:trPr>
          <w:trHeight w:val="3131"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00A7C0F5">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3.2.98</w:t>
            </w:r>
          </w:p>
          <w:p w14:paraId="3EA21C78">
            <w:pPr>
              <w:spacing w:line="300" w:lineRule="exact"/>
              <w:jc w:val="left"/>
              <w:rPr>
                <w:rFonts w:asciiTheme="minorHAnsi" w:hAnsiTheme="minorHAnsi" w:cstheme="minorHAnsi"/>
                <w:color w:val="auto"/>
                <w:kern w:val="0"/>
                <w:szCs w:val="21"/>
              </w:rPr>
            </w:pP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6C2AFA8A">
            <w:pPr>
              <w:spacing w:before="120" w:after="120" w:line="300" w:lineRule="exact"/>
              <w:jc w:val="left"/>
              <w:rPr>
                <w:rFonts w:asciiTheme="minorHAnsi" w:hAnsiTheme="minorHAnsi" w:cstheme="minorHAnsi"/>
                <w:b/>
                <w:bCs/>
                <w:color w:val="auto"/>
                <w:kern w:val="0"/>
                <w:szCs w:val="21"/>
              </w:rPr>
            </w:pPr>
            <w:r>
              <w:rPr>
                <w:rFonts w:asciiTheme="minorHAnsi" w:hAnsiTheme="minorHAnsi" w:cstheme="minorHAnsi"/>
                <w:b/>
                <w:bCs/>
                <w:color w:val="auto"/>
                <w:kern w:val="0"/>
                <w:szCs w:val="21"/>
              </w:rPr>
              <w:t xml:space="preserve">warm pressing  </w:t>
            </w:r>
          </w:p>
          <w:p w14:paraId="47DA685C">
            <w:pPr>
              <w:spacing w:before="120" w:after="120"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pressing of a powder, normally uniaxially, at a temperature between ambient and that at which substantial diffusion would occur, in order to obtain enhanced densification</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20E25E60">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温压（warm pressing）：通常在环境温度和可能发生扩散的温度之间的温度下所进行的单轴向粉末压制，旨在增强致密化。</w:t>
            </w: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274B5142">
            <w:pPr>
              <w:spacing w:line="300" w:lineRule="exact"/>
              <w:jc w:val="left"/>
              <w:rPr>
                <w:rFonts w:asciiTheme="minorHAnsi" w:hAnsiTheme="minorHAnsi" w:cstheme="minorHAnsi"/>
                <w:b/>
                <w:bCs/>
                <w:color w:val="auto"/>
                <w:kern w:val="0"/>
                <w:szCs w:val="21"/>
              </w:rPr>
            </w:pPr>
            <w:r>
              <w:rPr>
                <w:rFonts w:asciiTheme="minorHAnsi" w:hAnsiTheme="minorHAnsi" w:cstheme="minorHAnsi"/>
                <w:b/>
                <w:bCs/>
                <w:color w:val="auto"/>
                <w:kern w:val="0"/>
                <w:szCs w:val="21"/>
              </w:rPr>
              <w:t>warm pressing</w:t>
            </w:r>
          </w:p>
          <w:p w14:paraId="0F79164A">
            <w:pPr>
              <w:spacing w:line="300" w:lineRule="exact"/>
              <w:jc w:val="left"/>
              <w:rPr>
                <w:rFonts w:asciiTheme="minorHAnsi" w:hAnsiTheme="minorHAnsi" w:cstheme="minorHAnsi"/>
                <w:b/>
                <w:bCs/>
                <w:color w:val="auto"/>
                <w:kern w:val="0"/>
                <w:szCs w:val="21"/>
              </w:rPr>
            </w:pPr>
            <w:r>
              <w:rPr>
                <w:rFonts w:asciiTheme="minorHAnsi" w:hAnsiTheme="minorHAnsi" w:cstheme="minorHAnsi"/>
                <w:b/>
                <w:bCs/>
                <w:color w:val="auto"/>
                <w:kern w:val="0"/>
                <w:szCs w:val="21"/>
              </w:rPr>
              <w:t>warm compacting</w:t>
            </w:r>
          </w:p>
          <w:p w14:paraId="3358C909">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pressing metal powder using heated powder and heated compaction tools to get higher density than</w:t>
            </w:r>
          </w:p>
          <w:p w14:paraId="702521ED">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obtained by cold pressing (3.2.10)</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5B93821F">
            <w:pPr>
              <w:pStyle w:val="58"/>
              <w:spacing w:line="300" w:lineRule="exact"/>
              <w:jc w:val="left"/>
              <w:rPr>
                <w:rStyle w:val="54"/>
                <w:rFonts w:eastAsia="宋体" w:asciiTheme="minorHAnsi" w:hAnsiTheme="minorHAnsi" w:cstheme="minorHAnsi"/>
                <w:b w:val="0"/>
                <w:bCs w:val="0"/>
                <w:color w:val="auto"/>
                <w:kern w:val="0"/>
                <w:szCs w:val="21"/>
              </w:rPr>
            </w:pPr>
            <w:r>
              <w:rPr>
                <w:rStyle w:val="54"/>
                <w:rFonts w:eastAsia="宋体" w:asciiTheme="minorHAnsi" w:hAnsiTheme="minorHAnsi" w:cstheme="minorHAnsi"/>
                <w:color w:val="auto"/>
                <w:kern w:val="0"/>
                <w:szCs w:val="21"/>
              </w:rPr>
              <w:t>温压  warm pressing，warm compacting</w:t>
            </w:r>
          </w:p>
          <w:p w14:paraId="44F3D75F">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使用加热的粉末和加热的压制模具对金属粉末进行压制，以获得比冷压 (3.2.10) 更高的密度。</w:t>
            </w:r>
          </w:p>
        </w:tc>
        <w:tc>
          <w:tcPr>
            <w:tcW w:w="2503" w:type="dxa"/>
            <w:tcBorders>
              <w:top w:val="single" w:color="auto" w:sz="4" w:space="0"/>
              <w:left w:val="single" w:color="auto" w:sz="4" w:space="0"/>
              <w:bottom w:val="single" w:color="auto" w:sz="4" w:space="0"/>
              <w:right w:val="single" w:color="auto" w:sz="4" w:space="0"/>
            </w:tcBorders>
          </w:tcPr>
          <w:p w14:paraId="599A37DE">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温压</w:t>
            </w:r>
            <w:r>
              <w:rPr>
                <w:rFonts w:asciiTheme="minorHAnsi" w:hAnsiTheme="minorHAnsi" w:cstheme="minorHAnsi"/>
                <w:color w:val="auto"/>
                <w:kern w:val="0"/>
                <w:szCs w:val="21"/>
              </w:rPr>
              <w:br w:type="textWrapping"/>
            </w:r>
            <w:r>
              <w:rPr>
                <w:rFonts w:asciiTheme="minorHAnsi" w:hAnsiTheme="minorHAnsi" w:cstheme="minorHAnsi"/>
                <w:color w:val="auto"/>
                <w:kern w:val="0"/>
                <w:szCs w:val="21"/>
              </w:rPr>
              <w:t>温热成形</w:t>
            </w:r>
            <w:r>
              <w:rPr>
                <w:rFonts w:asciiTheme="minorHAnsi" w:hAnsiTheme="minorHAnsi" w:cstheme="minorHAnsi"/>
                <w:color w:val="auto"/>
                <w:kern w:val="0"/>
                <w:szCs w:val="21"/>
              </w:rPr>
              <w:br w:type="textWrapping"/>
            </w:r>
            <w:r>
              <w:rPr>
                <w:rFonts w:asciiTheme="minorHAnsi" w:hAnsiTheme="minorHAnsi" w:cstheme="minorHAnsi"/>
                <w:color w:val="auto"/>
                <w:kern w:val="0"/>
                <w:szCs w:val="21"/>
              </w:rPr>
              <w:t>使用加热的粉末和加热的成形模具压制金属粉末，以获得比冷压 (3.2.10) 更高的密度。</w:t>
            </w:r>
          </w:p>
          <w:p w14:paraId="0C5E301F">
            <w:pPr>
              <w:spacing w:line="300" w:lineRule="exact"/>
              <w:jc w:val="left"/>
              <w:rPr>
                <w:rFonts w:asciiTheme="minorHAnsi" w:hAnsiTheme="minorHAnsi" w:cstheme="minorHAnsi"/>
                <w:color w:val="auto"/>
                <w:kern w:val="0"/>
                <w:szCs w:val="21"/>
              </w:rPr>
            </w:pPr>
          </w:p>
        </w:tc>
        <w:tc>
          <w:tcPr>
            <w:tcW w:w="2164" w:type="dxa"/>
            <w:tcBorders>
              <w:top w:val="single" w:color="auto" w:sz="4" w:space="0"/>
              <w:left w:val="single" w:color="auto" w:sz="4" w:space="0"/>
              <w:bottom w:val="single" w:color="auto" w:sz="4" w:space="0"/>
              <w:right w:val="single" w:color="auto" w:sz="4" w:space="0"/>
            </w:tcBorders>
          </w:tcPr>
          <w:p w14:paraId="1468BB07">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温压</w:t>
            </w:r>
          </w:p>
          <w:p w14:paraId="10DBC400">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使用加热的粉末和加热的压制工具压制金属粉末，以获得比冷压（3.2.10）更高的密度。</w:t>
            </w:r>
          </w:p>
          <w:p w14:paraId="59FB0047">
            <w:pPr>
              <w:spacing w:line="300" w:lineRule="exact"/>
              <w:jc w:val="left"/>
              <w:rPr>
                <w:rFonts w:asciiTheme="minorHAnsi" w:hAnsiTheme="minorHAnsi" w:cstheme="minorHAnsi"/>
                <w:color w:val="auto"/>
                <w:kern w:val="0"/>
                <w:szCs w:val="21"/>
              </w:rPr>
            </w:pPr>
          </w:p>
        </w:tc>
      </w:tr>
      <w:tr w14:paraId="24733DDA">
        <w:tblPrEx>
          <w:tblCellMar>
            <w:top w:w="0" w:type="dxa"/>
            <w:left w:w="108" w:type="dxa"/>
            <w:bottom w:w="0" w:type="dxa"/>
            <w:right w:w="108" w:type="dxa"/>
          </w:tblCellMar>
        </w:tblPrEx>
        <w:trPr>
          <w:trHeight w:val="2893"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63CA4778">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3.2.100</w:t>
            </w:r>
          </w:p>
          <w:p w14:paraId="6224C419">
            <w:pPr>
              <w:spacing w:line="300" w:lineRule="exact"/>
              <w:jc w:val="left"/>
              <w:rPr>
                <w:rFonts w:asciiTheme="minorHAnsi" w:hAnsiTheme="minorHAnsi" w:cstheme="minorHAnsi"/>
                <w:color w:val="auto"/>
                <w:kern w:val="0"/>
                <w:szCs w:val="21"/>
              </w:rPr>
            </w:pP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3783D670">
            <w:pPr>
              <w:spacing w:before="120" w:after="120" w:line="300" w:lineRule="exact"/>
              <w:jc w:val="left"/>
              <w:rPr>
                <w:rFonts w:asciiTheme="minorHAnsi" w:hAnsiTheme="minorHAnsi" w:cstheme="minorHAnsi"/>
                <w:b/>
                <w:bCs/>
                <w:color w:val="auto"/>
                <w:kern w:val="0"/>
                <w:szCs w:val="21"/>
              </w:rPr>
            </w:pPr>
            <w:r>
              <w:rPr>
                <w:rFonts w:asciiTheme="minorHAnsi" w:hAnsiTheme="minorHAnsi" w:cstheme="minorHAnsi"/>
                <w:b/>
                <w:bCs/>
                <w:color w:val="auto"/>
                <w:kern w:val="0"/>
                <w:szCs w:val="21"/>
              </w:rPr>
              <w:t xml:space="preserve">wedge  </w:t>
            </w:r>
          </w:p>
          <w:p w14:paraId="57C65AFB">
            <w:pPr>
              <w:spacing w:before="120" w:after="120"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 xml:space="preserve">part of the tool set pressing adaptor, in connection with the fork necessary for the compaction and the ejection of multi-sectional objects  </w:t>
            </w:r>
          </w:p>
          <w:p w14:paraId="6F9D3648">
            <w:pPr>
              <w:spacing w:before="120" w:after="120"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See Figure 13</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7D3865F5">
            <w:pPr>
              <w:spacing w:before="120" w:after="120"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 xml:space="preserve"> 楔铁（wedge）：在多截面压坯的压制和脱出过程中必须和拨叉相连接的压制接合器的模架零件（见图13）。</w:t>
            </w:r>
          </w:p>
          <w:p w14:paraId="77AC674E">
            <w:pPr>
              <w:spacing w:before="120" w:after="120" w:line="300" w:lineRule="exact"/>
              <w:jc w:val="left"/>
              <w:rPr>
                <w:rFonts w:asciiTheme="minorHAnsi" w:hAnsiTheme="minorHAnsi" w:cstheme="minorHAnsi"/>
                <w:color w:val="auto"/>
                <w:szCs w:val="21"/>
              </w:rPr>
            </w:pP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2C040C8E">
            <w:pPr>
              <w:spacing w:line="300" w:lineRule="exact"/>
              <w:jc w:val="left"/>
              <w:rPr>
                <w:rFonts w:asciiTheme="minorHAnsi" w:hAnsiTheme="minorHAnsi" w:cstheme="minorHAnsi"/>
                <w:b/>
                <w:bCs/>
                <w:color w:val="auto"/>
                <w:kern w:val="0"/>
                <w:szCs w:val="21"/>
              </w:rPr>
            </w:pPr>
            <w:r>
              <w:rPr>
                <w:rFonts w:asciiTheme="minorHAnsi" w:hAnsiTheme="minorHAnsi" w:cstheme="minorHAnsi"/>
                <w:b/>
                <w:bCs/>
                <w:color w:val="auto"/>
                <w:kern w:val="0"/>
                <w:szCs w:val="21"/>
              </w:rPr>
              <w:t>wedge</w:t>
            </w:r>
          </w:p>
          <w:p w14:paraId="326268BF">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part of the tool set pressing adaptor, in connection with the fork (3.2.43), enabling the compaction and</w:t>
            </w:r>
          </w:p>
          <w:p w14:paraId="045933F8">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the ejection of multi-sectional objects</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6D2B56A1">
            <w:pPr>
              <w:pStyle w:val="58"/>
              <w:spacing w:line="300" w:lineRule="exact"/>
              <w:jc w:val="left"/>
              <w:rPr>
                <w:rFonts w:eastAsia="宋体" w:asciiTheme="minorHAnsi" w:hAnsiTheme="minorHAnsi" w:cstheme="minorHAnsi"/>
                <w:color w:val="auto"/>
                <w:kern w:val="0"/>
                <w:szCs w:val="21"/>
              </w:rPr>
            </w:pPr>
            <w:r>
              <w:rPr>
                <w:rStyle w:val="54"/>
                <w:rFonts w:eastAsia="宋体" w:asciiTheme="minorHAnsi" w:hAnsiTheme="minorHAnsi" w:cstheme="minorHAnsi"/>
                <w:color w:val="auto"/>
                <w:kern w:val="0"/>
                <w:szCs w:val="21"/>
              </w:rPr>
              <w:t>楔铁  wedge</w:t>
            </w:r>
          </w:p>
          <w:p w14:paraId="32A75EC4">
            <w:pPr>
              <w:pStyle w:val="58"/>
              <w:spacing w:line="300" w:lineRule="exact"/>
              <w:jc w:val="left"/>
              <w:rPr>
                <w:rFonts w:eastAsia="宋体" w:asciiTheme="minorHAnsi" w:hAnsiTheme="minorHAnsi" w:cstheme="minorHAnsi"/>
                <w:color w:val="auto"/>
                <w:kern w:val="0"/>
                <w:szCs w:val="21"/>
              </w:rPr>
            </w:pPr>
            <w:r>
              <w:rPr>
                <w:rFonts w:eastAsia="宋体" w:asciiTheme="minorHAnsi" w:hAnsiTheme="minorHAnsi" w:cstheme="minorHAnsi"/>
                <w:color w:val="auto"/>
                <w:kern w:val="0"/>
                <w:szCs w:val="21"/>
              </w:rPr>
              <w:t>压制接合器的模架部件，与拨叉（3.2.43）配合，实现多截面压坯的压制与脱模。</w:t>
            </w:r>
          </w:p>
          <w:p w14:paraId="59EB5DD8">
            <w:pPr>
              <w:spacing w:line="300" w:lineRule="exact"/>
              <w:jc w:val="left"/>
              <w:rPr>
                <w:rFonts w:asciiTheme="minorHAnsi" w:hAnsiTheme="minorHAnsi" w:cstheme="minorHAnsi"/>
                <w:color w:val="auto"/>
                <w:kern w:val="0"/>
                <w:szCs w:val="21"/>
              </w:rPr>
            </w:pPr>
          </w:p>
        </w:tc>
        <w:tc>
          <w:tcPr>
            <w:tcW w:w="2503" w:type="dxa"/>
            <w:tcBorders>
              <w:top w:val="single" w:color="auto" w:sz="4" w:space="0"/>
              <w:left w:val="single" w:color="auto" w:sz="4" w:space="0"/>
              <w:bottom w:val="single" w:color="auto" w:sz="4" w:space="0"/>
              <w:right w:val="single" w:color="auto" w:sz="4" w:space="0"/>
            </w:tcBorders>
          </w:tcPr>
          <w:p w14:paraId="357BFCBD">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 xml:space="preserve">楔块 </w:t>
            </w:r>
            <w:r>
              <w:rPr>
                <w:rFonts w:asciiTheme="minorHAnsi" w:hAnsiTheme="minorHAnsi" w:cstheme="minorHAnsi"/>
                <w:color w:val="auto"/>
                <w:kern w:val="0"/>
                <w:szCs w:val="21"/>
              </w:rPr>
              <w:br w:type="textWrapping"/>
            </w:r>
            <w:r>
              <w:rPr>
                <w:rFonts w:asciiTheme="minorHAnsi" w:hAnsiTheme="minorHAnsi" w:cstheme="minorHAnsi"/>
                <w:color w:val="auto"/>
                <w:kern w:val="0"/>
                <w:szCs w:val="21"/>
              </w:rPr>
              <w:t>与拨叉 (3.2.43) 联用，使多截面制品能够被压实和脱模的部件。</w:t>
            </w:r>
          </w:p>
          <w:p w14:paraId="709BAD42">
            <w:pPr>
              <w:spacing w:line="300" w:lineRule="exact"/>
              <w:jc w:val="left"/>
              <w:rPr>
                <w:rFonts w:asciiTheme="minorHAnsi" w:hAnsiTheme="minorHAnsi" w:cstheme="minorHAnsi"/>
                <w:color w:val="auto"/>
                <w:kern w:val="0"/>
                <w:szCs w:val="21"/>
              </w:rPr>
            </w:pPr>
          </w:p>
        </w:tc>
        <w:tc>
          <w:tcPr>
            <w:tcW w:w="2164" w:type="dxa"/>
            <w:tcBorders>
              <w:top w:val="single" w:color="auto" w:sz="4" w:space="0"/>
              <w:left w:val="single" w:color="auto" w:sz="4" w:space="0"/>
              <w:bottom w:val="single" w:color="auto" w:sz="4" w:space="0"/>
              <w:right w:val="single" w:color="auto" w:sz="4" w:space="0"/>
            </w:tcBorders>
          </w:tcPr>
          <w:p w14:paraId="1F52AB93">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楔铁</w:t>
            </w:r>
          </w:p>
          <w:p w14:paraId="418CDDC6">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在多截面压坯的压制和脱出过程中必须和拨叉（3.2.43）相连接的压制接合器的模架零件。</w:t>
            </w:r>
          </w:p>
          <w:p w14:paraId="5424D7AF">
            <w:pPr>
              <w:spacing w:line="300" w:lineRule="exact"/>
              <w:jc w:val="left"/>
              <w:rPr>
                <w:rFonts w:asciiTheme="minorHAnsi" w:hAnsiTheme="minorHAnsi" w:cstheme="minorHAnsi"/>
                <w:color w:val="auto"/>
                <w:kern w:val="0"/>
                <w:szCs w:val="21"/>
              </w:rPr>
            </w:pPr>
          </w:p>
        </w:tc>
      </w:tr>
      <w:tr w14:paraId="6D477593">
        <w:tblPrEx>
          <w:tblCellMar>
            <w:top w:w="0" w:type="dxa"/>
            <w:left w:w="108" w:type="dxa"/>
            <w:bottom w:w="0" w:type="dxa"/>
            <w:right w:w="108" w:type="dxa"/>
          </w:tblCellMar>
        </w:tblPrEx>
        <w:trPr>
          <w:trHeight w:val="331" w:hRule="atLeast"/>
          <w:jc w:val="center"/>
        </w:trPr>
        <w:tc>
          <w:tcPr>
            <w:tcW w:w="16316" w:type="dxa"/>
            <w:gridSpan w:val="7"/>
            <w:tcBorders>
              <w:top w:val="single" w:color="auto" w:sz="4" w:space="0"/>
              <w:left w:val="single" w:color="auto" w:sz="4" w:space="0"/>
              <w:bottom w:val="single" w:color="auto" w:sz="4" w:space="0"/>
              <w:right w:val="single" w:color="auto" w:sz="4" w:space="0"/>
            </w:tcBorders>
            <w:shd w:val="clear" w:color="auto" w:fill="auto"/>
          </w:tcPr>
          <w:p w14:paraId="74188F89">
            <w:pPr>
              <w:spacing w:line="300" w:lineRule="exact"/>
              <w:jc w:val="left"/>
              <w:rPr>
                <w:rFonts w:asciiTheme="minorHAnsi" w:hAnsiTheme="minorHAnsi" w:cstheme="minorHAnsi"/>
                <w:color w:val="auto"/>
                <w:kern w:val="0"/>
                <w:szCs w:val="21"/>
              </w:rPr>
            </w:pPr>
            <w:r>
              <w:rPr>
                <w:rFonts w:asciiTheme="minorHAnsi" w:hAnsiTheme="minorHAnsi" w:cstheme="minorHAnsi"/>
                <w:b/>
                <w:bCs/>
                <w:color w:val="auto"/>
                <w:kern w:val="0"/>
                <w:szCs w:val="21"/>
              </w:rPr>
              <w:t>3.3修改5条术语及定义</w:t>
            </w:r>
          </w:p>
        </w:tc>
      </w:tr>
      <w:tr w14:paraId="737428F7">
        <w:tblPrEx>
          <w:tblCellMar>
            <w:top w:w="0" w:type="dxa"/>
            <w:left w:w="108" w:type="dxa"/>
            <w:bottom w:w="0" w:type="dxa"/>
            <w:right w:w="108" w:type="dxa"/>
          </w:tblCellMar>
        </w:tblPrEx>
        <w:trPr>
          <w:trHeight w:val="2167"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69767D83">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3.3.8</w:t>
            </w: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01BA0733">
            <w:pPr>
              <w:spacing w:before="120" w:after="120" w:line="300" w:lineRule="exact"/>
              <w:jc w:val="left"/>
              <w:rPr>
                <w:rFonts w:asciiTheme="minorHAnsi" w:hAnsiTheme="minorHAnsi" w:cstheme="minorHAnsi"/>
                <w:b/>
                <w:bCs/>
                <w:color w:val="auto"/>
                <w:kern w:val="0"/>
                <w:szCs w:val="21"/>
              </w:rPr>
            </w:pPr>
            <w:r>
              <w:rPr>
                <w:rFonts w:asciiTheme="minorHAnsi" w:hAnsiTheme="minorHAnsi" w:cstheme="minorHAnsi"/>
                <w:b/>
                <w:bCs/>
                <w:color w:val="auto"/>
                <w:kern w:val="0"/>
                <w:szCs w:val="21"/>
              </w:rPr>
              <w:t xml:space="preserve">binder removal  </w:t>
            </w:r>
          </w:p>
          <w:p w14:paraId="58B2E5A0">
            <w:pPr>
              <w:spacing w:before="120" w:after="120"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any thermal or chemical process whereby the binder is removed from a metal injection moulded part</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62200A82">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粘结剂脱除（binder removal）：通过热或化学的方法脱除注射成形或挤压成形零件中粘结剂的工艺。</w:t>
            </w: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024016D7">
            <w:pPr>
              <w:spacing w:line="300" w:lineRule="exact"/>
              <w:jc w:val="left"/>
              <w:rPr>
                <w:rFonts w:asciiTheme="minorHAnsi" w:hAnsiTheme="minorHAnsi" w:cstheme="minorHAnsi"/>
                <w:b/>
                <w:bCs/>
                <w:color w:val="auto"/>
                <w:kern w:val="0"/>
                <w:szCs w:val="21"/>
              </w:rPr>
            </w:pPr>
            <w:r>
              <w:rPr>
                <w:rFonts w:asciiTheme="minorHAnsi" w:hAnsiTheme="minorHAnsi" w:cstheme="minorHAnsi"/>
                <w:b/>
                <w:bCs/>
                <w:color w:val="auto"/>
                <w:kern w:val="0"/>
                <w:szCs w:val="21"/>
              </w:rPr>
              <w:t>binder removal</w:t>
            </w:r>
          </w:p>
          <w:p w14:paraId="6FB8E203">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thermal or chemical process whereby the binder is removed from a metal injection moulded part</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22C377DE">
            <w:pPr>
              <w:pStyle w:val="58"/>
              <w:spacing w:line="300" w:lineRule="exact"/>
              <w:jc w:val="left"/>
              <w:rPr>
                <w:rStyle w:val="54"/>
                <w:rFonts w:eastAsia="宋体" w:asciiTheme="minorHAnsi" w:hAnsiTheme="minorHAnsi" w:cstheme="minorHAnsi"/>
                <w:b w:val="0"/>
                <w:bCs w:val="0"/>
                <w:color w:val="auto"/>
                <w:kern w:val="0"/>
                <w:szCs w:val="21"/>
              </w:rPr>
            </w:pPr>
            <w:r>
              <w:rPr>
                <w:rStyle w:val="54"/>
                <w:rFonts w:eastAsia="宋体" w:asciiTheme="minorHAnsi" w:hAnsiTheme="minorHAnsi" w:cstheme="minorHAnsi"/>
                <w:color w:val="auto"/>
                <w:kern w:val="0"/>
                <w:szCs w:val="21"/>
              </w:rPr>
              <w:t>粘结剂脱除  binder removal</w:t>
            </w:r>
          </w:p>
          <w:p w14:paraId="3FDA43E9">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从金属注射成形</w:t>
            </w:r>
            <w:r>
              <w:rPr>
                <w:rFonts w:hint="eastAsia" w:asciiTheme="minorHAnsi" w:hAnsiTheme="minorHAnsi" w:cstheme="minorHAnsi"/>
                <w:i/>
                <w:color w:val="auto"/>
                <w:kern w:val="0"/>
                <w:szCs w:val="21"/>
              </w:rPr>
              <w:t>坯</w:t>
            </w:r>
            <w:r>
              <w:rPr>
                <w:rFonts w:asciiTheme="minorHAnsi" w:hAnsiTheme="minorHAnsi" w:cstheme="minorHAnsi"/>
                <w:color w:val="auto"/>
                <w:kern w:val="0"/>
                <w:szCs w:val="21"/>
              </w:rPr>
              <w:t>件中脱除粘结剂的热处理或化学处理工艺。</w:t>
            </w:r>
          </w:p>
        </w:tc>
        <w:tc>
          <w:tcPr>
            <w:tcW w:w="2503" w:type="dxa"/>
            <w:tcBorders>
              <w:top w:val="single" w:color="auto" w:sz="4" w:space="0"/>
              <w:left w:val="single" w:color="auto" w:sz="4" w:space="0"/>
              <w:bottom w:val="single" w:color="auto" w:sz="4" w:space="0"/>
              <w:right w:val="single" w:color="auto" w:sz="4" w:space="0"/>
            </w:tcBorders>
          </w:tcPr>
          <w:p w14:paraId="336C0754">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粘结剂脱除</w:t>
            </w:r>
          </w:p>
          <w:p w14:paraId="5261F882">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通过热或化学的方法脱除注射成形或挤压成形零件中粘结剂的工艺。</w:t>
            </w:r>
          </w:p>
        </w:tc>
        <w:tc>
          <w:tcPr>
            <w:tcW w:w="2164" w:type="dxa"/>
            <w:tcBorders>
              <w:top w:val="single" w:color="auto" w:sz="4" w:space="0"/>
              <w:left w:val="single" w:color="auto" w:sz="4" w:space="0"/>
              <w:bottom w:val="single" w:color="auto" w:sz="4" w:space="0"/>
              <w:right w:val="single" w:color="auto" w:sz="4" w:space="0"/>
            </w:tcBorders>
          </w:tcPr>
          <w:p w14:paraId="138768A6">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粘结剂脱除</w:t>
            </w:r>
          </w:p>
          <w:p w14:paraId="4CC65E7A">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通过热或化学的方法脱除注射成形或挤压成形零件中粘结剂的工艺。</w:t>
            </w:r>
          </w:p>
          <w:p w14:paraId="712354AB">
            <w:pPr>
              <w:spacing w:line="300" w:lineRule="exact"/>
              <w:jc w:val="left"/>
              <w:rPr>
                <w:rFonts w:asciiTheme="minorHAnsi" w:hAnsiTheme="minorHAnsi" w:cstheme="minorHAnsi"/>
                <w:color w:val="auto"/>
                <w:kern w:val="0"/>
                <w:szCs w:val="21"/>
              </w:rPr>
            </w:pPr>
          </w:p>
        </w:tc>
      </w:tr>
      <w:tr w14:paraId="7D865B8A">
        <w:tblPrEx>
          <w:tblCellMar>
            <w:top w:w="0" w:type="dxa"/>
            <w:left w:w="108" w:type="dxa"/>
            <w:bottom w:w="0" w:type="dxa"/>
            <w:right w:w="108" w:type="dxa"/>
          </w:tblCellMar>
        </w:tblPrEx>
        <w:trPr>
          <w:trHeight w:val="3840"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4A548DE1">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3.3.27</w:t>
            </w: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28D3DE36">
            <w:pPr>
              <w:spacing w:before="120" w:after="120" w:line="300" w:lineRule="exact"/>
              <w:jc w:val="left"/>
              <w:rPr>
                <w:rFonts w:asciiTheme="minorHAnsi" w:hAnsiTheme="minorHAnsi" w:cstheme="minorHAnsi"/>
                <w:color w:val="auto"/>
                <w:kern w:val="0"/>
                <w:szCs w:val="21"/>
              </w:rPr>
            </w:pPr>
            <w:r>
              <w:rPr>
                <w:rFonts w:asciiTheme="minorHAnsi" w:hAnsiTheme="minorHAnsi" w:cstheme="minorHAnsi"/>
                <w:b/>
                <w:bCs/>
                <w:color w:val="auto"/>
                <w:kern w:val="0"/>
                <w:szCs w:val="21"/>
              </w:rPr>
              <w:t xml:space="preserve">gas pressure sintering </w:t>
            </w:r>
            <w:r>
              <w:rPr>
                <w:rFonts w:asciiTheme="minorHAnsi" w:hAnsiTheme="minorHAnsi" w:cstheme="minorHAnsi"/>
                <w:color w:val="auto"/>
                <w:kern w:val="0"/>
                <w:szCs w:val="21"/>
              </w:rPr>
              <w:t xml:space="preserve"> </w:t>
            </w:r>
          </w:p>
          <w:p w14:paraId="63007F8D">
            <w:pPr>
              <w:spacing w:before="120" w:after="120"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process for the production of powder metallurgy parts comprising sintering followed by hot isostatic pressing in the same furnace chamber in order to eliminate residual porosity</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252A3E6F">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气压烧结（gas pressure sintering）：烧结和随后的热等静压在同一炉膛中进行的粉末冶金制品制造方法，其目的是为了消除残余孔隙度。</w:t>
            </w: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60A9E59D">
            <w:pPr>
              <w:spacing w:line="300" w:lineRule="exact"/>
              <w:jc w:val="left"/>
              <w:rPr>
                <w:rFonts w:asciiTheme="minorHAnsi" w:hAnsiTheme="minorHAnsi" w:cstheme="minorHAnsi"/>
                <w:b/>
                <w:bCs/>
                <w:color w:val="auto"/>
                <w:kern w:val="0"/>
                <w:szCs w:val="21"/>
              </w:rPr>
            </w:pPr>
            <w:r>
              <w:rPr>
                <w:rFonts w:asciiTheme="minorHAnsi" w:hAnsiTheme="minorHAnsi" w:cstheme="minorHAnsi"/>
                <w:b/>
                <w:bCs/>
                <w:color w:val="auto"/>
                <w:kern w:val="0"/>
                <w:szCs w:val="21"/>
              </w:rPr>
              <w:t>gas pressure sintering</w:t>
            </w:r>
          </w:p>
          <w:p w14:paraId="70DAA833">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 xml:space="preserve">process for the production of powder metallurgy parts comprising sintering followed by hot isostatic </w:t>
            </w:r>
          </w:p>
          <w:p w14:paraId="0F73A983">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pressing (3.2.50) in the same furnace chamber in order to eliminate residual porosity</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633AB92A">
            <w:pPr>
              <w:pStyle w:val="58"/>
              <w:spacing w:line="300" w:lineRule="exact"/>
              <w:jc w:val="left"/>
              <w:rPr>
                <w:rStyle w:val="54"/>
                <w:rFonts w:eastAsia="宋体" w:asciiTheme="minorHAnsi" w:hAnsiTheme="minorHAnsi" w:cstheme="minorHAnsi"/>
                <w:b w:val="0"/>
                <w:bCs w:val="0"/>
                <w:color w:val="auto"/>
                <w:kern w:val="0"/>
                <w:szCs w:val="21"/>
              </w:rPr>
            </w:pPr>
            <w:r>
              <w:rPr>
                <w:rStyle w:val="54"/>
                <w:rFonts w:eastAsia="宋体" w:asciiTheme="minorHAnsi" w:hAnsiTheme="minorHAnsi" w:cstheme="minorHAnsi"/>
                <w:color w:val="auto"/>
                <w:kern w:val="0"/>
                <w:szCs w:val="21"/>
              </w:rPr>
              <w:t>气压烧结  gas pressure sintering</w:t>
            </w:r>
          </w:p>
          <w:p w14:paraId="5EDE7166">
            <w:pPr>
              <w:pStyle w:val="58"/>
              <w:spacing w:line="300" w:lineRule="exact"/>
              <w:jc w:val="left"/>
              <w:rPr>
                <w:rStyle w:val="54"/>
                <w:rFonts w:eastAsia="宋体" w:asciiTheme="minorHAnsi" w:hAnsiTheme="minorHAnsi" w:cstheme="minorHAnsi"/>
                <w:b w:val="0"/>
                <w:bCs w:val="0"/>
                <w:color w:val="auto"/>
                <w:kern w:val="0"/>
                <w:szCs w:val="21"/>
              </w:rPr>
            </w:pPr>
          </w:p>
          <w:p w14:paraId="16B13A89">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在同一炉腔内先进行烧结、随后进行热等静压（3.2.50）的粉末冶金零件制备工艺，用以消除残余孔隙。</w:t>
            </w:r>
          </w:p>
        </w:tc>
        <w:tc>
          <w:tcPr>
            <w:tcW w:w="2503" w:type="dxa"/>
            <w:tcBorders>
              <w:top w:val="single" w:color="auto" w:sz="4" w:space="0"/>
              <w:left w:val="single" w:color="auto" w:sz="4" w:space="0"/>
              <w:bottom w:val="single" w:color="auto" w:sz="4" w:space="0"/>
              <w:right w:val="single" w:color="auto" w:sz="4" w:space="0"/>
            </w:tcBorders>
          </w:tcPr>
          <w:p w14:paraId="281F6380">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气压烧结</w:t>
            </w:r>
          </w:p>
          <w:p w14:paraId="5738F526">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烧结和随后的热等静压(3.2.50) 在同一炉膛中进行的粉末冶金制品制造方法，其目的是为了消除残余孔隙度。</w:t>
            </w:r>
          </w:p>
        </w:tc>
        <w:tc>
          <w:tcPr>
            <w:tcW w:w="2164" w:type="dxa"/>
            <w:tcBorders>
              <w:top w:val="single" w:color="auto" w:sz="4" w:space="0"/>
              <w:left w:val="single" w:color="auto" w:sz="4" w:space="0"/>
              <w:bottom w:val="single" w:color="auto" w:sz="4" w:space="0"/>
              <w:right w:val="single" w:color="auto" w:sz="4" w:space="0"/>
            </w:tcBorders>
          </w:tcPr>
          <w:p w14:paraId="3F218FDE">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气压烧结</w:t>
            </w:r>
          </w:p>
          <w:p w14:paraId="0599020E">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烧结和随后的热等静压在同一炉膛中进行的粉末冶金制品制造方法，其目的是为了消除残余孔隙度。</w:t>
            </w:r>
          </w:p>
          <w:p w14:paraId="59F094B9">
            <w:pPr>
              <w:spacing w:line="300" w:lineRule="exact"/>
              <w:jc w:val="left"/>
              <w:rPr>
                <w:rFonts w:asciiTheme="minorHAnsi" w:hAnsiTheme="minorHAnsi" w:cstheme="minorHAnsi"/>
                <w:color w:val="auto"/>
                <w:kern w:val="0"/>
                <w:szCs w:val="21"/>
              </w:rPr>
            </w:pPr>
          </w:p>
        </w:tc>
      </w:tr>
      <w:tr w14:paraId="0A62B1B3">
        <w:tblPrEx>
          <w:tblCellMar>
            <w:top w:w="0" w:type="dxa"/>
            <w:left w:w="108" w:type="dxa"/>
            <w:bottom w:w="0" w:type="dxa"/>
            <w:right w:w="108" w:type="dxa"/>
          </w:tblCellMar>
        </w:tblPrEx>
        <w:trPr>
          <w:trHeight w:val="3269"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2672B146">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3.3.35</w:t>
            </w: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190792E3">
            <w:pPr>
              <w:spacing w:before="120" w:after="120" w:line="300" w:lineRule="exact"/>
              <w:jc w:val="left"/>
              <w:rPr>
                <w:rFonts w:asciiTheme="minorHAnsi" w:hAnsiTheme="minorHAnsi" w:cstheme="minorHAnsi"/>
                <w:color w:val="auto"/>
                <w:kern w:val="0"/>
                <w:szCs w:val="21"/>
              </w:rPr>
            </w:pPr>
            <w:r>
              <w:rPr>
                <w:rFonts w:asciiTheme="minorHAnsi" w:hAnsiTheme="minorHAnsi" w:cstheme="minorHAnsi"/>
                <w:b/>
                <w:bCs/>
                <w:color w:val="auto"/>
                <w:kern w:val="0"/>
                <w:szCs w:val="21"/>
              </w:rPr>
              <w:t>mesh belt furnace</w:t>
            </w:r>
            <w:r>
              <w:rPr>
                <w:rFonts w:asciiTheme="minorHAnsi" w:hAnsiTheme="minorHAnsi" w:cstheme="minorHAnsi"/>
                <w:color w:val="auto"/>
                <w:kern w:val="0"/>
                <w:szCs w:val="21"/>
              </w:rPr>
              <w:t xml:space="preserve">  </w:t>
            </w:r>
          </w:p>
          <w:p w14:paraId="529ADABE">
            <w:pPr>
              <w:spacing w:before="120" w:after="120"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furnace through which the components are continuously transported by means of a mesh belt which is normally protected by a muffle</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19C6816B">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 xml:space="preserve"> 网带炉（mesh belt furnace）：一般由马弗保护的网带将零件实现炉内连续输送的烧结炉。</w:t>
            </w: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6F5FA9E7">
            <w:pPr>
              <w:spacing w:line="300" w:lineRule="exact"/>
              <w:jc w:val="left"/>
              <w:rPr>
                <w:rFonts w:asciiTheme="minorHAnsi" w:hAnsiTheme="minorHAnsi" w:cstheme="minorHAnsi"/>
                <w:b/>
                <w:bCs/>
                <w:color w:val="auto"/>
                <w:kern w:val="0"/>
                <w:szCs w:val="21"/>
              </w:rPr>
            </w:pPr>
            <w:r>
              <w:rPr>
                <w:rFonts w:asciiTheme="minorHAnsi" w:hAnsiTheme="minorHAnsi" w:cstheme="minorHAnsi"/>
                <w:b/>
                <w:bCs/>
                <w:color w:val="auto"/>
                <w:kern w:val="0"/>
                <w:szCs w:val="21"/>
              </w:rPr>
              <w:t>mesh belt furnace</w:t>
            </w:r>
          </w:p>
          <w:p w14:paraId="4406006C">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furnace through which the components are continuously transported by means of a mesh belt</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354B12AA">
            <w:pPr>
              <w:pStyle w:val="58"/>
              <w:spacing w:line="300" w:lineRule="exact"/>
              <w:jc w:val="left"/>
              <w:rPr>
                <w:rStyle w:val="54"/>
                <w:rFonts w:eastAsia="宋体" w:asciiTheme="minorHAnsi" w:hAnsiTheme="minorHAnsi" w:cstheme="minorHAnsi"/>
                <w:b w:val="0"/>
                <w:bCs w:val="0"/>
                <w:color w:val="auto"/>
                <w:kern w:val="0"/>
                <w:szCs w:val="21"/>
              </w:rPr>
            </w:pPr>
            <w:r>
              <w:rPr>
                <w:rStyle w:val="54"/>
                <w:rFonts w:eastAsia="宋体" w:asciiTheme="minorHAnsi" w:hAnsiTheme="minorHAnsi" w:cstheme="minorHAnsi"/>
                <w:color w:val="auto"/>
                <w:kern w:val="0"/>
                <w:szCs w:val="21"/>
              </w:rPr>
              <w:t>网带炉  mesh belt furnace</w:t>
            </w:r>
          </w:p>
          <w:p w14:paraId="1C17DF06">
            <w:pPr>
              <w:spacing w:line="300" w:lineRule="exact"/>
              <w:ind w:firstLine="420"/>
              <w:jc w:val="left"/>
              <w:rPr>
                <w:rFonts w:asciiTheme="minorHAnsi" w:hAnsiTheme="minorHAnsi" w:cstheme="minorHAnsi"/>
                <w:color w:val="auto"/>
                <w:kern w:val="0"/>
                <w:szCs w:val="21"/>
              </w:rPr>
            </w:pPr>
            <w:r>
              <w:rPr>
                <w:rFonts w:asciiTheme="minorHAnsi" w:hAnsiTheme="minorHAnsi" w:cstheme="minorHAnsi"/>
                <w:color w:val="auto"/>
                <w:kern w:val="0"/>
                <w:szCs w:val="21"/>
              </w:rPr>
              <w:t>通过网带连续输送零件的烧结炉。</w:t>
            </w:r>
          </w:p>
          <w:p w14:paraId="5AD3A5CC">
            <w:pPr>
              <w:spacing w:line="300" w:lineRule="exact"/>
              <w:jc w:val="left"/>
              <w:rPr>
                <w:rFonts w:asciiTheme="minorHAnsi" w:hAnsiTheme="minorHAnsi" w:cstheme="minorHAnsi"/>
                <w:color w:val="auto"/>
                <w:kern w:val="0"/>
                <w:szCs w:val="21"/>
              </w:rPr>
            </w:pPr>
          </w:p>
        </w:tc>
        <w:tc>
          <w:tcPr>
            <w:tcW w:w="2503" w:type="dxa"/>
            <w:tcBorders>
              <w:top w:val="single" w:color="auto" w:sz="4" w:space="0"/>
              <w:left w:val="single" w:color="auto" w:sz="4" w:space="0"/>
              <w:bottom w:val="single" w:color="auto" w:sz="4" w:space="0"/>
              <w:right w:val="single" w:color="auto" w:sz="4" w:space="0"/>
            </w:tcBorders>
          </w:tcPr>
          <w:p w14:paraId="048C5AEE">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网带炉</w:t>
            </w:r>
          </w:p>
          <w:p w14:paraId="17890B72">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通过网带实现零件连续输送的炉子。</w:t>
            </w:r>
          </w:p>
          <w:p w14:paraId="7F88C39E">
            <w:pPr>
              <w:spacing w:line="300" w:lineRule="exact"/>
              <w:jc w:val="left"/>
              <w:rPr>
                <w:rFonts w:asciiTheme="minorHAnsi" w:hAnsiTheme="minorHAnsi" w:cstheme="minorHAnsi"/>
                <w:color w:val="auto"/>
                <w:kern w:val="0"/>
                <w:szCs w:val="21"/>
              </w:rPr>
            </w:pPr>
          </w:p>
        </w:tc>
        <w:tc>
          <w:tcPr>
            <w:tcW w:w="2164" w:type="dxa"/>
            <w:tcBorders>
              <w:top w:val="single" w:color="auto" w:sz="4" w:space="0"/>
              <w:left w:val="single" w:color="auto" w:sz="4" w:space="0"/>
              <w:bottom w:val="single" w:color="auto" w:sz="4" w:space="0"/>
              <w:right w:val="single" w:color="auto" w:sz="4" w:space="0"/>
            </w:tcBorders>
          </w:tcPr>
          <w:p w14:paraId="3CC56EDF">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 xml:space="preserve">网带炉 </w:t>
            </w:r>
          </w:p>
          <w:p w14:paraId="7D3B3F31">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由网带实现零件炉内连续输送的烧结炉。</w:t>
            </w:r>
          </w:p>
          <w:p w14:paraId="64F4475D">
            <w:pPr>
              <w:spacing w:line="300" w:lineRule="exact"/>
              <w:jc w:val="left"/>
              <w:rPr>
                <w:rFonts w:asciiTheme="minorHAnsi" w:hAnsiTheme="minorHAnsi" w:cstheme="minorHAnsi"/>
                <w:color w:val="auto"/>
                <w:kern w:val="0"/>
                <w:szCs w:val="21"/>
              </w:rPr>
            </w:pPr>
          </w:p>
        </w:tc>
      </w:tr>
      <w:tr w14:paraId="1971A2E1">
        <w:tblPrEx>
          <w:tblCellMar>
            <w:top w:w="0" w:type="dxa"/>
            <w:left w:w="108" w:type="dxa"/>
            <w:bottom w:w="0" w:type="dxa"/>
            <w:right w:w="108" w:type="dxa"/>
          </w:tblCellMar>
        </w:tblPrEx>
        <w:trPr>
          <w:trHeight w:val="2817"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0747DD9F">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3.3.62</w:t>
            </w: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6B0DDC13">
            <w:pPr>
              <w:spacing w:before="120" w:after="120" w:line="300" w:lineRule="exact"/>
              <w:jc w:val="left"/>
              <w:rPr>
                <w:rFonts w:asciiTheme="minorHAnsi" w:hAnsiTheme="minorHAnsi" w:cstheme="minorHAnsi"/>
                <w:b/>
                <w:bCs/>
                <w:color w:val="auto"/>
                <w:kern w:val="0"/>
                <w:szCs w:val="21"/>
              </w:rPr>
            </w:pPr>
            <w:r>
              <w:rPr>
                <w:rFonts w:asciiTheme="minorHAnsi" w:hAnsiTheme="minorHAnsi" w:cstheme="minorHAnsi"/>
                <w:b/>
                <w:bCs/>
                <w:color w:val="auto"/>
                <w:kern w:val="0"/>
                <w:szCs w:val="21"/>
              </w:rPr>
              <w:t xml:space="preserve">sintering furnace  </w:t>
            </w:r>
          </w:p>
          <w:p w14:paraId="0DC0B167">
            <w:pPr>
              <w:spacing w:before="120" w:after="120"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general term for a furnace used together with a sintering atmosphere for the sintering of powder metallurgy components</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3462707F">
            <w:pPr>
              <w:spacing w:before="120" w:after="120"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烧结炉（sintering furnace）：用于烧结粉末冶金零件的炉子连同烧结气氛的总称。</w:t>
            </w: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3F8274D4">
            <w:pPr>
              <w:spacing w:line="300" w:lineRule="exact"/>
              <w:jc w:val="left"/>
              <w:rPr>
                <w:rFonts w:asciiTheme="minorHAnsi" w:hAnsiTheme="minorHAnsi" w:cstheme="minorHAnsi"/>
                <w:b/>
                <w:color w:val="auto"/>
                <w:kern w:val="0"/>
                <w:szCs w:val="21"/>
              </w:rPr>
            </w:pPr>
            <w:r>
              <w:rPr>
                <w:rFonts w:asciiTheme="minorHAnsi" w:hAnsiTheme="minorHAnsi" w:cstheme="minorHAnsi"/>
                <w:b/>
                <w:color w:val="auto"/>
                <w:kern w:val="0"/>
                <w:szCs w:val="21"/>
              </w:rPr>
              <w:t>sintering furnace</w:t>
            </w:r>
          </w:p>
          <w:p w14:paraId="0AC8C7CE">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 xml:space="preserve">furnace used together with a </w:t>
            </w:r>
            <w:r>
              <w:rPr>
                <w:rFonts w:asciiTheme="minorHAnsi" w:hAnsiTheme="minorHAnsi" w:cstheme="minorHAnsi"/>
                <w:i/>
                <w:color w:val="auto"/>
                <w:kern w:val="0"/>
                <w:szCs w:val="21"/>
              </w:rPr>
              <w:t>sintering atmosphere</w:t>
            </w:r>
            <w:r>
              <w:rPr>
                <w:rFonts w:asciiTheme="minorHAnsi" w:hAnsiTheme="minorHAnsi" w:cstheme="minorHAnsi"/>
                <w:color w:val="auto"/>
                <w:kern w:val="0"/>
                <w:szCs w:val="21"/>
              </w:rPr>
              <w:t xml:space="preserve"> (3.3.61) for the sintering of powder metallurgy components</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53A5D4B2">
            <w:pPr>
              <w:pStyle w:val="58"/>
              <w:spacing w:line="300" w:lineRule="exact"/>
              <w:jc w:val="left"/>
              <w:rPr>
                <w:rStyle w:val="54"/>
                <w:rFonts w:eastAsia="宋体" w:asciiTheme="minorHAnsi" w:hAnsiTheme="minorHAnsi" w:cstheme="minorHAnsi"/>
                <w:b w:val="0"/>
                <w:bCs w:val="0"/>
                <w:color w:val="auto"/>
                <w:kern w:val="0"/>
                <w:szCs w:val="21"/>
              </w:rPr>
            </w:pPr>
            <w:r>
              <w:rPr>
                <w:rStyle w:val="54"/>
                <w:rFonts w:eastAsia="宋体" w:asciiTheme="minorHAnsi" w:hAnsiTheme="minorHAnsi" w:cstheme="minorHAnsi"/>
                <w:color w:val="auto"/>
                <w:kern w:val="0"/>
                <w:szCs w:val="21"/>
              </w:rPr>
              <w:t>烧结炉  sintering furnace</w:t>
            </w:r>
          </w:p>
          <w:p w14:paraId="1BDD869C">
            <w:pPr>
              <w:spacing w:line="300" w:lineRule="exact"/>
              <w:ind w:firstLine="420"/>
              <w:jc w:val="left"/>
              <w:rPr>
                <w:rStyle w:val="54"/>
                <w:rFonts w:asciiTheme="minorHAnsi" w:hAnsiTheme="minorHAnsi" w:cstheme="minorHAnsi"/>
                <w:b w:val="0"/>
                <w:bCs w:val="0"/>
                <w:color w:val="auto"/>
                <w:kern w:val="0"/>
                <w:szCs w:val="21"/>
              </w:rPr>
            </w:pPr>
            <w:r>
              <w:rPr>
                <w:rStyle w:val="54"/>
                <w:rFonts w:asciiTheme="minorHAnsi" w:hAnsiTheme="minorHAnsi" w:cstheme="minorHAnsi"/>
                <w:color w:val="auto"/>
                <w:kern w:val="0"/>
                <w:szCs w:val="21"/>
              </w:rPr>
              <w:t>在烧结气氛（3.3.61）下，烧结粉末冶金零件的炉子。</w:t>
            </w:r>
          </w:p>
          <w:p w14:paraId="1C81CF43">
            <w:pPr>
              <w:spacing w:line="300" w:lineRule="exact"/>
              <w:jc w:val="left"/>
              <w:rPr>
                <w:rFonts w:asciiTheme="minorHAnsi" w:hAnsiTheme="minorHAnsi" w:cstheme="minorHAnsi"/>
                <w:color w:val="auto"/>
                <w:kern w:val="0"/>
                <w:szCs w:val="21"/>
              </w:rPr>
            </w:pPr>
          </w:p>
        </w:tc>
        <w:tc>
          <w:tcPr>
            <w:tcW w:w="2503" w:type="dxa"/>
            <w:tcBorders>
              <w:top w:val="single" w:color="auto" w:sz="4" w:space="0"/>
              <w:left w:val="single" w:color="auto" w:sz="4" w:space="0"/>
              <w:bottom w:val="single" w:color="auto" w:sz="4" w:space="0"/>
              <w:right w:val="single" w:color="auto" w:sz="4" w:space="0"/>
            </w:tcBorders>
          </w:tcPr>
          <w:p w14:paraId="3AF906D8">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烧结炉</w:t>
            </w:r>
          </w:p>
          <w:p w14:paraId="7E886D93">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与烧结气氛（3.3.61）一起用于粉末冶金材料烧结的炉子</w:t>
            </w:r>
          </w:p>
        </w:tc>
        <w:tc>
          <w:tcPr>
            <w:tcW w:w="2164" w:type="dxa"/>
            <w:tcBorders>
              <w:top w:val="single" w:color="auto" w:sz="4" w:space="0"/>
              <w:left w:val="single" w:color="auto" w:sz="4" w:space="0"/>
              <w:bottom w:val="single" w:color="auto" w:sz="4" w:space="0"/>
              <w:right w:val="single" w:color="auto" w:sz="4" w:space="0"/>
            </w:tcBorders>
          </w:tcPr>
          <w:p w14:paraId="52E089D3">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 xml:space="preserve">烧结炉  </w:t>
            </w:r>
          </w:p>
          <w:p w14:paraId="0B145360">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用于烧结粉末冶金零件的炉子连同烧结气氛的总称。</w:t>
            </w:r>
          </w:p>
          <w:p w14:paraId="25CF36AF">
            <w:pPr>
              <w:spacing w:line="300" w:lineRule="exact"/>
              <w:jc w:val="left"/>
              <w:rPr>
                <w:rFonts w:asciiTheme="minorHAnsi" w:hAnsiTheme="minorHAnsi" w:cstheme="minorHAnsi"/>
                <w:color w:val="auto"/>
                <w:kern w:val="0"/>
                <w:szCs w:val="21"/>
              </w:rPr>
            </w:pPr>
          </w:p>
        </w:tc>
      </w:tr>
      <w:tr w14:paraId="354C7DAE">
        <w:tblPrEx>
          <w:tblCellMar>
            <w:top w:w="0" w:type="dxa"/>
            <w:left w:w="108" w:type="dxa"/>
            <w:bottom w:w="0" w:type="dxa"/>
            <w:right w:w="108" w:type="dxa"/>
          </w:tblCellMar>
        </w:tblPrEx>
        <w:trPr>
          <w:trHeight w:val="2817"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37825A45">
            <w:pPr>
              <w:spacing w:line="300" w:lineRule="exact"/>
              <w:jc w:val="left"/>
              <w:rPr>
                <w:rFonts w:asciiTheme="minorHAnsi" w:hAnsiTheme="minorHAnsi" w:cstheme="minorHAnsi"/>
                <w:color w:val="auto"/>
                <w:kern w:val="0"/>
                <w:szCs w:val="21"/>
              </w:rPr>
            </w:pPr>
            <w:r>
              <w:rPr>
                <w:rFonts w:asciiTheme="minorHAnsi" w:hAnsiTheme="minorHAnsi" w:cstheme="minorHAnsi"/>
                <w:color w:val="auto"/>
                <w:szCs w:val="21"/>
              </w:rPr>
              <w:t>3.3.66</w:t>
            </w: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1ECDDC50">
            <w:pPr>
              <w:snapToGrid w:val="0"/>
              <w:spacing w:before="120" w:after="120" w:line="300" w:lineRule="exact"/>
              <w:jc w:val="left"/>
              <w:rPr>
                <w:rFonts w:asciiTheme="minorHAnsi" w:hAnsiTheme="minorHAnsi" w:cstheme="minorHAnsi"/>
                <w:color w:val="auto"/>
                <w:szCs w:val="21"/>
              </w:rPr>
            </w:pPr>
            <w:r>
              <w:rPr>
                <w:rFonts w:asciiTheme="minorHAnsi" w:hAnsiTheme="minorHAnsi" w:cstheme="minorHAnsi"/>
                <w:b/>
                <w:bCs/>
                <w:color w:val="auto"/>
                <w:szCs w:val="21"/>
              </w:rPr>
              <w:t xml:space="preserve">solid hardness </w:t>
            </w:r>
            <w:r>
              <w:rPr>
                <w:rFonts w:asciiTheme="minorHAnsi" w:hAnsiTheme="minorHAnsi" w:cstheme="minorHAnsi"/>
                <w:color w:val="auto"/>
                <w:szCs w:val="21"/>
              </w:rPr>
              <w:t xml:space="preserve"> </w:t>
            </w:r>
          </w:p>
          <w:p w14:paraId="5A89BB55">
            <w:pPr>
              <w:spacing w:before="120" w:after="120" w:line="300" w:lineRule="exact"/>
              <w:jc w:val="left"/>
              <w:rPr>
                <w:rFonts w:asciiTheme="minorHAnsi" w:hAnsiTheme="minorHAnsi" w:cstheme="minorHAnsi"/>
                <w:b/>
                <w:bCs/>
                <w:color w:val="auto"/>
                <w:kern w:val="0"/>
                <w:szCs w:val="21"/>
              </w:rPr>
            </w:pPr>
            <w:r>
              <w:rPr>
                <w:rFonts w:asciiTheme="minorHAnsi" w:hAnsiTheme="minorHAnsi" w:cstheme="minorHAnsi"/>
                <w:color w:val="auto"/>
                <w:szCs w:val="21"/>
              </w:rPr>
              <w:t>hardness of a phase, particle or area of a material measured under specified conditions so as to exclude the effects of porosity e.g. by microhardness testing (see ISO 4498)</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70E496A6">
            <w:pPr>
              <w:spacing w:before="120" w:after="120" w:line="300" w:lineRule="exact"/>
              <w:jc w:val="left"/>
              <w:rPr>
                <w:rFonts w:asciiTheme="minorHAnsi" w:hAnsiTheme="minorHAnsi" w:cstheme="minorHAnsi"/>
                <w:color w:val="auto"/>
                <w:kern w:val="0"/>
                <w:szCs w:val="21"/>
              </w:rPr>
            </w:pPr>
            <w:r>
              <w:rPr>
                <w:rFonts w:asciiTheme="minorHAnsi" w:hAnsiTheme="minorHAnsi" w:cstheme="minorHAnsi"/>
                <w:color w:val="auto"/>
                <w:szCs w:val="21"/>
              </w:rPr>
              <w:t>实体硬度（solid hardness）：在规定条件下测定的烧结材料的某一相或颗粒或某一区域的硬度，它排除了孔隙的影响，例如用显微硬度测量（见GB/T9097.1）。</w:t>
            </w: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0C74584B">
            <w:pPr>
              <w:snapToGrid w:val="0"/>
              <w:spacing w:line="300" w:lineRule="exact"/>
              <w:jc w:val="left"/>
              <w:rPr>
                <w:rFonts w:asciiTheme="minorHAnsi" w:hAnsiTheme="minorHAnsi" w:cstheme="minorHAnsi"/>
                <w:b/>
                <w:color w:val="auto"/>
                <w:szCs w:val="21"/>
              </w:rPr>
            </w:pPr>
            <w:r>
              <w:rPr>
                <w:rFonts w:asciiTheme="minorHAnsi" w:hAnsiTheme="minorHAnsi" w:cstheme="minorHAnsi"/>
                <w:b/>
                <w:color w:val="auto"/>
                <w:szCs w:val="21"/>
              </w:rPr>
              <w:t>solid hardness</w:t>
            </w:r>
          </w:p>
          <w:p w14:paraId="666BDDA1">
            <w:pPr>
              <w:snapToGrid w:val="0"/>
              <w:spacing w:line="300" w:lineRule="exact"/>
              <w:jc w:val="left"/>
              <w:rPr>
                <w:rFonts w:asciiTheme="minorHAnsi" w:hAnsiTheme="minorHAnsi" w:cstheme="minorHAnsi"/>
                <w:color w:val="auto"/>
                <w:szCs w:val="21"/>
              </w:rPr>
            </w:pPr>
            <w:r>
              <w:rPr>
                <w:rFonts w:asciiTheme="minorHAnsi" w:hAnsiTheme="minorHAnsi" w:cstheme="minorHAnsi"/>
                <w:color w:val="auto"/>
                <w:szCs w:val="21"/>
              </w:rPr>
              <w:t>hardness of a phase, particle or area of a material measured under specified conditions so as to exclude the effects of porosity</w:t>
            </w:r>
          </w:p>
          <w:p w14:paraId="53226605">
            <w:pPr>
              <w:snapToGrid w:val="0"/>
              <w:spacing w:line="300" w:lineRule="exact"/>
              <w:jc w:val="left"/>
              <w:rPr>
                <w:rFonts w:asciiTheme="minorHAnsi" w:hAnsiTheme="minorHAnsi" w:cstheme="minorHAnsi"/>
                <w:color w:val="auto"/>
                <w:szCs w:val="21"/>
              </w:rPr>
            </w:pPr>
          </w:p>
          <w:p w14:paraId="69B0A34F">
            <w:pPr>
              <w:snapToGrid w:val="0"/>
              <w:spacing w:line="300" w:lineRule="exact"/>
              <w:jc w:val="left"/>
              <w:rPr>
                <w:rFonts w:asciiTheme="minorHAnsi" w:hAnsiTheme="minorHAnsi" w:cstheme="minorHAnsi"/>
                <w:color w:val="auto"/>
                <w:szCs w:val="21"/>
              </w:rPr>
            </w:pPr>
            <w:r>
              <w:rPr>
                <w:rFonts w:asciiTheme="minorHAnsi" w:hAnsiTheme="minorHAnsi" w:cstheme="minorHAnsi"/>
                <w:color w:val="auto"/>
                <w:szCs w:val="21"/>
              </w:rPr>
              <w:t>Note 1 to entry: See also ISO 4498.</w:t>
            </w:r>
          </w:p>
          <w:p w14:paraId="3875F134">
            <w:pPr>
              <w:snapToGrid w:val="0"/>
              <w:spacing w:line="300" w:lineRule="exact"/>
              <w:jc w:val="left"/>
              <w:rPr>
                <w:rFonts w:asciiTheme="minorHAnsi" w:hAnsiTheme="minorHAnsi" w:cstheme="minorHAnsi"/>
                <w:color w:val="auto"/>
                <w:szCs w:val="21"/>
              </w:rPr>
            </w:pPr>
          </w:p>
          <w:p w14:paraId="1FB33A20">
            <w:pPr>
              <w:spacing w:line="300" w:lineRule="exact"/>
              <w:jc w:val="left"/>
              <w:rPr>
                <w:rFonts w:asciiTheme="minorHAnsi" w:hAnsiTheme="minorHAnsi" w:cstheme="minorHAnsi"/>
                <w:b/>
                <w:color w:val="auto"/>
                <w:kern w:val="0"/>
                <w:szCs w:val="21"/>
              </w:rPr>
            </w:pPr>
            <w:r>
              <w:rPr>
                <w:rFonts w:asciiTheme="minorHAnsi" w:hAnsiTheme="minorHAnsi" w:cstheme="minorHAnsi"/>
                <w:color w:val="auto"/>
                <w:szCs w:val="21"/>
              </w:rPr>
              <w:t>Note 2 to entry: Microhardness testing is an example of a specified condition.</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39C9961F">
            <w:pPr>
              <w:pStyle w:val="58"/>
              <w:snapToGrid w:val="0"/>
              <w:spacing w:line="300" w:lineRule="exact"/>
              <w:jc w:val="left"/>
              <w:rPr>
                <w:rStyle w:val="54"/>
                <w:rFonts w:eastAsia="宋体" w:asciiTheme="minorHAnsi" w:hAnsiTheme="minorHAnsi" w:cstheme="minorHAnsi"/>
                <w:b w:val="0"/>
                <w:bCs w:val="0"/>
                <w:color w:val="auto"/>
                <w:szCs w:val="21"/>
              </w:rPr>
            </w:pPr>
            <w:r>
              <w:rPr>
                <w:rStyle w:val="54"/>
                <w:rFonts w:eastAsia="宋体" w:asciiTheme="minorHAnsi" w:hAnsiTheme="minorHAnsi" w:cstheme="minorHAnsi"/>
                <w:color w:val="auto"/>
                <w:szCs w:val="21"/>
              </w:rPr>
              <w:t>实体硬度 solid hardness</w:t>
            </w:r>
          </w:p>
          <w:p w14:paraId="0590FB75">
            <w:pPr>
              <w:snapToGrid w:val="0"/>
              <w:spacing w:line="300" w:lineRule="exact"/>
              <w:ind w:firstLine="420"/>
              <w:jc w:val="left"/>
              <w:rPr>
                <w:rFonts w:asciiTheme="minorHAnsi" w:hAnsiTheme="minorHAnsi" w:cstheme="minorHAnsi"/>
                <w:color w:val="auto"/>
                <w:szCs w:val="21"/>
              </w:rPr>
            </w:pPr>
            <w:r>
              <w:rPr>
                <w:rFonts w:asciiTheme="minorHAnsi" w:hAnsiTheme="minorHAnsi" w:cstheme="minorHAnsi"/>
                <w:color w:val="auto"/>
                <w:szCs w:val="21"/>
              </w:rPr>
              <w:t>在规定条件下测定的烧结材料的某一相或颗粒或某一区域的硬度，它排除了孔隙的影响。</w:t>
            </w:r>
          </w:p>
          <w:p w14:paraId="260B62F7">
            <w:pPr>
              <w:snapToGrid w:val="0"/>
              <w:spacing w:line="300" w:lineRule="exact"/>
              <w:ind w:firstLine="420"/>
              <w:jc w:val="left"/>
              <w:rPr>
                <w:rFonts w:asciiTheme="minorHAnsi" w:hAnsiTheme="minorHAnsi" w:cstheme="minorHAnsi"/>
                <w:color w:val="auto"/>
                <w:szCs w:val="21"/>
              </w:rPr>
            </w:pPr>
            <w:r>
              <w:rPr>
                <w:rFonts w:asciiTheme="minorHAnsi" w:hAnsiTheme="minorHAnsi" w:cstheme="minorHAnsi"/>
                <w:color w:val="auto"/>
                <w:szCs w:val="21"/>
              </w:rPr>
              <w:t>注1：见GB/T 9097。</w:t>
            </w:r>
          </w:p>
          <w:p w14:paraId="1DE05EB2">
            <w:pPr>
              <w:snapToGrid w:val="0"/>
              <w:spacing w:line="300" w:lineRule="exact"/>
              <w:ind w:firstLine="420"/>
              <w:jc w:val="left"/>
              <w:rPr>
                <w:rFonts w:asciiTheme="minorHAnsi" w:hAnsiTheme="minorHAnsi" w:cstheme="minorHAnsi"/>
                <w:color w:val="auto"/>
                <w:szCs w:val="21"/>
              </w:rPr>
            </w:pPr>
            <w:r>
              <w:rPr>
                <w:rFonts w:asciiTheme="minorHAnsi" w:hAnsiTheme="minorHAnsi" w:cstheme="minorHAnsi"/>
                <w:color w:val="auto"/>
                <w:szCs w:val="21"/>
              </w:rPr>
              <w:t>注2：显微硬度测试是指定条件的一个示例。</w:t>
            </w:r>
          </w:p>
          <w:p w14:paraId="439D98A6">
            <w:pPr>
              <w:pStyle w:val="58"/>
              <w:spacing w:line="300" w:lineRule="exact"/>
              <w:jc w:val="left"/>
              <w:rPr>
                <w:rStyle w:val="54"/>
                <w:rFonts w:eastAsia="宋体" w:asciiTheme="minorHAnsi" w:hAnsiTheme="minorHAnsi" w:cstheme="minorHAnsi"/>
                <w:b w:val="0"/>
                <w:bCs w:val="0"/>
                <w:color w:val="auto"/>
                <w:kern w:val="0"/>
                <w:szCs w:val="21"/>
              </w:rPr>
            </w:pPr>
          </w:p>
        </w:tc>
        <w:tc>
          <w:tcPr>
            <w:tcW w:w="2503" w:type="dxa"/>
            <w:tcBorders>
              <w:top w:val="single" w:color="auto" w:sz="4" w:space="0"/>
              <w:left w:val="single" w:color="auto" w:sz="4" w:space="0"/>
              <w:bottom w:val="single" w:color="auto" w:sz="4" w:space="0"/>
              <w:right w:val="single" w:color="auto" w:sz="4" w:space="0"/>
            </w:tcBorders>
          </w:tcPr>
          <w:p w14:paraId="0FF5E4CF">
            <w:pPr>
              <w:snapToGrid w:val="0"/>
              <w:spacing w:line="300" w:lineRule="exact"/>
              <w:jc w:val="left"/>
              <w:rPr>
                <w:rFonts w:asciiTheme="minorHAnsi" w:hAnsiTheme="minorHAnsi" w:cstheme="minorHAnsi"/>
                <w:color w:val="auto"/>
                <w:szCs w:val="21"/>
              </w:rPr>
            </w:pPr>
            <w:r>
              <w:rPr>
                <w:rFonts w:asciiTheme="minorHAnsi" w:hAnsiTheme="minorHAnsi" w:cstheme="minorHAnsi"/>
                <w:color w:val="auto"/>
                <w:szCs w:val="21"/>
              </w:rPr>
              <w:t>实体硬度</w:t>
            </w:r>
          </w:p>
          <w:p w14:paraId="67579E22">
            <w:pPr>
              <w:snapToGrid w:val="0"/>
              <w:spacing w:line="300" w:lineRule="exact"/>
              <w:jc w:val="left"/>
              <w:rPr>
                <w:rFonts w:asciiTheme="minorHAnsi" w:hAnsiTheme="minorHAnsi" w:cstheme="minorHAnsi"/>
                <w:color w:val="auto"/>
                <w:szCs w:val="21"/>
              </w:rPr>
            </w:pPr>
            <w:r>
              <w:rPr>
                <w:rFonts w:asciiTheme="minorHAnsi" w:hAnsiTheme="minorHAnsi" w:cstheme="minorHAnsi"/>
                <w:color w:val="auto"/>
                <w:szCs w:val="21"/>
              </w:rPr>
              <w:t>在规定条件下测定的烧结材料的某一相或颗粒或某一区域的硬度，它排除了孔隙的影响</w:t>
            </w:r>
          </w:p>
          <w:p w14:paraId="275A5C63">
            <w:pPr>
              <w:snapToGrid w:val="0"/>
              <w:spacing w:line="300" w:lineRule="exact"/>
              <w:jc w:val="left"/>
              <w:rPr>
                <w:rFonts w:asciiTheme="minorHAnsi" w:hAnsiTheme="minorHAnsi" w:cstheme="minorHAnsi"/>
                <w:color w:val="auto"/>
                <w:szCs w:val="21"/>
              </w:rPr>
            </w:pPr>
          </w:p>
          <w:p w14:paraId="50971A3B">
            <w:pPr>
              <w:snapToGrid w:val="0"/>
              <w:spacing w:line="300" w:lineRule="exact"/>
              <w:jc w:val="left"/>
              <w:rPr>
                <w:rFonts w:asciiTheme="minorHAnsi" w:hAnsiTheme="minorHAnsi" w:cstheme="minorHAnsi"/>
                <w:color w:val="auto"/>
                <w:szCs w:val="21"/>
              </w:rPr>
            </w:pPr>
            <w:r>
              <w:rPr>
                <w:rFonts w:asciiTheme="minorHAnsi" w:hAnsiTheme="minorHAnsi" w:cstheme="minorHAnsi"/>
                <w:color w:val="auto"/>
                <w:szCs w:val="21"/>
              </w:rPr>
              <w:t>注1：见ISO 4498。</w:t>
            </w:r>
          </w:p>
          <w:p w14:paraId="4FD62239">
            <w:pPr>
              <w:spacing w:line="300" w:lineRule="exact"/>
              <w:jc w:val="left"/>
              <w:rPr>
                <w:rFonts w:asciiTheme="minorHAnsi" w:hAnsiTheme="minorHAnsi" w:cstheme="minorHAnsi"/>
                <w:color w:val="auto"/>
                <w:kern w:val="0"/>
                <w:szCs w:val="21"/>
              </w:rPr>
            </w:pPr>
            <w:r>
              <w:rPr>
                <w:rFonts w:asciiTheme="minorHAnsi" w:hAnsiTheme="minorHAnsi" w:cstheme="minorHAnsi"/>
                <w:color w:val="auto"/>
                <w:szCs w:val="21"/>
              </w:rPr>
              <w:t>注2：显微硬度测试是特定条件的一个例子。</w:t>
            </w:r>
          </w:p>
        </w:tc>
        <w:tc>
          <w:tcPr>
            <w:tcW w:w="2164" w:type="dxa"/>
            <w:tcBorders>
              <w:top w:val="single" w:color="auto" w:sz="4" w:space="0"/>
              <w:left w:val="single" w:color="auto" w:sz="4" w:space="0"/>
              <w:bottom w:val="single" w:color="auto" w:sz="4" w:space="0"/>
              <w:right w:val="single" w:color="auto" w:sz="4" w:space="0"/>
            </w:tcBorders>
          </w:tcPr>
          <w:p w14:paraId="64EBC7E9">
            <w:pPr>
              <w:snapToGrid w:val="0"/>
              <w:spacing w:line="300" w:lineRule="exact"/>
              <w:jc w:val="left"/>
              <w:rPr>
                <w:rFonts w:asciiTheme="minorHAnsi" w:hAnsiTheme="minorHAnsi" w:cstheme="minorHAnsi"/>
                <w:color w:val="auto"/>
                <w:szCs w:val="21"/>
              </w:rPr>
            </w:pPr>
            <w:r>
              <w:rPr>
                <w:rFonts w:asciiTheme="minorHAnsi" w:hAnsiTheme="minorHAnsi" w:cstheme="minorHAnsi"/>
                <w:color w:val="auto"/>
                <w:szCs w:val="21"/>
              </w:rPr>
              <w:t xml:space="preserve">实体硬度  </w:t>
            </w:r>
          </w:p>
          <w:p w14:paraId="4461225E">
            <w:pPr>
              <w:snapToGrid w:val="0"/>
              <w:spacing w:line="300" w:lineRule="exact"/>
              <w:jc w:val="left"/>
              <w:rPr>
                <w:rFonts w:asciiTheme="minorHAnsi" w:hAnsiTheme="minorHAnsi" w:cstheme="minorHAnsi"/>
                <w:color w:val="auto"/>
                <w:szCs w:val="21"/>
              </w:rPr>
            </w:pPr>
            <w:r>
              <w:rPr>
                <w:rFonts w:asciiTheme="minorHAnsi" w:hAnsiTheme="minorHAnsi" w:cstheme="minorHAnsi"/>
                <w:color w:val="auto"/>
                <w:szCs w:val="21"/>
              </w:rPr>
              <w:t>在规定条件下测定的烧结材料的某一相或颗粒或某一区域的硬度，它排除了孔隙的影响，例如用显微硬度测量(见GB/T 9097.1)。</w:t>
            </w:r>
          </w:p>
          <w:p w14:paraId="5D703921">
            <w:pPr>
              <w:spacing w:line="300" w:lineRule="exact"/>
              <w:jc w:val="left"/>
              <w:rPr>
                <w:rFonts w:asciiTheme="minorHAnsi" w:hAnsiTheme="minorHAnsi" w:cstheme="minorHAnsi"/>
                <w:color w:val="auto"/>
                <w:kern w:val="0"/>
                <w:szCs w:val="21"/>
              </w:rPr>
            </w:pPr>
          </w:p>
        </w:tc>
      </w:tr>
      <w:tr w14:paraId="54A0D7EB">
        <w:tblPrEx>
          <w:tblCellMar>
            <w:top w:w="0" w:type="dxa"/>
            <w:left w:w="108" w:type="dxa"/>
            <w:bottom w:w="0" w:type="dxa"/>
            <w:right w:w="108" w:type="dxa"/>
          </w:tblCellMar>
        </w:tblPrEx>
        <w:trPr>
          <w:trHeight w:val="383" w:hRule="atLeast"/>
          <w:jc w:val="center"/>
        </w:trPr>
        <w:tc>
          <w:tcPr>
            <w:tcW w:w="16316" w:type="dxa"/>
            <w:gridSpan w:val="7"/>
            <w:tcBorders>
              <w:top w:val="single" w:color="auto" w:sz="4" w:space="0"/>
              <w:left w:val="single" w:color="auto" w:sz="4" w:space="0"/>
              <w:bottom w:val="single" w:color="auto" w:sz="4" w:space="0"/>
              <w:right w:val="single" w:color="auto" w:sz="4" w:space="0"/>
            </w:tcBorders>
            <w:shd w:val="clear" w:color="auto" w:fill="auto"/>
          </w:tcPr>
          <w:p w14:paraId="527E5C1E">
            <w:pPr>
              <w:spacing w:line="300" w:lineRule="exact"/>
              <w:jc w:val="left"/>
              <w:rPr>
                <w:rFonts w:asciiTheme="minorHAnsi" w:hAnsiTheme="minorHAnsi" w:cstheme="minorHAnsi"/>
                <w:color w:val="auto"/>
                <w:kern w:val="0"/>
                <w:szCs w:val="21"/>
              </w:rPr>
            </w:pPr>
            <w:r>
              <w:rPr>
                <w:rFonts w:asciiTheme="minorHAnsi" w:hAnsiTheme="minorHAnsi" w:cstheme="minorHAnsi"/>
                <w:b/>
                <w:bCs/>
                <w:color w:val="auto"/>
                <w:kern w:val="0"/>
                <w:szCs w:val="21"/>
              </w:rPr>
              <w:t>3.4修改2条术语及定义</w:t>
            </w:r>
          </w:p>
        </w:tc>
      </w:tr>
      <w:tr w14:paraId="7451E148">
        <w:tblPrEx>
          <w:tblCellMar>
            <w:top w:w="0" w:type="dxa"/>
            <w:left w:w="108" w:type="dxa"/>
            <w:bottom w:w="0" w:type="dxa"/>
            <w:right w:w="108" w:type="dxa"/>
          </w:tblCellMar>
        </w:tblPrEx>
        <w:trPr>
          <w:trHeight w:val="3131"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3988373A">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3.4.7</w:t>
            </w: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39BB7247">
            <w:pPr>
              <w:spacing w:before="120" w:after="120"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 xml:space="preserve">re-pressing  </w:t>
            </w:r>
          </w:p>
          <w:p w14:paraId="671BEF33">
            <w:pPr>
              <w:spacing w:before="120" w:after="120" w:line="300" w:lineRule="exact"/>
              <w:jc w:val="left"/>
              <w:rPr>
                <w:rFonts w:asciiTheme="minorHAnsi" w:hAnsiTheme="minorHAnsi" w:cstheme="minorHAnsi"/>
                <w:b/>
                <w:color w:val="auto"/>
                <w:szCs w:val="21"/>
              </w:rPr>
            </w:pPr>
            <w:r>
              <w:rPr>
                <w:rFonts w:asciiTheme="minorHAnsi" w:hAnsiTheme="minorHAnsi" w:cstheme="minorHAnsi"/>
                <w:color w:val="auto"/>
                <w:kern w:val="0"/>
                <w:szCs w:val="21"/>
              </w:rPr>
              <w:t>application of pressure to a sintered object usually for the purpose of improving some physical and/or mechanical property (see sizing 4002 and coining 4003)</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35B45676">
            <w:pPr>
              <w:spacing w:before="120" w:after="120"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复压（re-pressing）：为了提高物理和（或）力学性能，通常对烧结制品施加压力（见4002,4003）。</w:t>
            </w:r>
          </w:p>
          <w:p w14:paraId="6265CC06">
            <w:pPr>
              <w:spacing w:line="300" w:lineRule="exact"/>
              <w:jc w:val="left"/>
              <w:rPr>
                <w:rFonts w:asciiTheme="minorHAnsi" w:hAnsiTheme="minorHAnsi" w:cstheme="minorHAnsi"/>
                <w:color w:val="auto"/>
                <w:szCs w:val="21"/>
              </w:rPr>
            </w:pP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7650F63E">
            <w:pPr>
              <w:spacing w:line="300" w:lineRule="exact"/>
              <w:jc w:val="left"/>
              <w:rPr>
                <w:rFonts w:asciiTheme="minorHAnsi" w:hAnsiTheme="minorHAnsi" w:cstheme="minorHAnsi"/>
                <w:b/>
                <w:color w:val="auto"/>
                <w:kern w:val="0"/>
                <w:szCs w:val="21"/>
              </w:rPr>
            </w:pPr>
            <w:r>
              <w:rPr>
                <w:rFonts w:asciiTheme="minorHAnsi" w:hAnsiTheme="minorHAnsi" w:cstheme="minorHAnsi"/>
                <w:b/>
                <w:color w:val="auto"/>
                <w:kern w:val="0"/>
                <w:szCs w:val="21"/>
              </w:rPr>
              <w:t>re-pressing</w:t>
            </w:r>
          </w:p>
          <w:p w14:paraId="1B03903A">
            <w:pPr>
              <w:spacing w:line="300" w:lineRule="exact"/>
              <w:jc w:val="left"/>
              <w:rPr>
                <w:rFonts w:asciiTheme="minorHAnsi" w:hAnsiTheme="minorHAnsi" w:cstheme="minorHAnsi"/>
                <w:bCs/>
                <w:color w:val="auto"/>
                <w:kern w:val="0"/>
                <w:szCs w:val="21"/>
              </w:rPr>
            </w:pPr>
            <w:r>
              <w:rPr>
                <w:rFonts w:asciiTheme="minorHAnsi" w:hAnsiTheme="minorHAnsi" w:cstheme="minorHAnsi"/>
                <w:bCs/>
                <w:color w:val="auto"/>
                <w:kern w:val="0"/>
                <w:szCs w:val="21"/>
              </w:rPr>
              <w:t>application of pressure to a sintered object usually for the purpose of improving some physical and/or</w:t>
            </w:r>
          </w:p>
          <w:p w14:paraId="72C0C387">
            <w:pPr>
              <w:spacing w:line="300" w:lineRule="exact"/>
              <w:jc w:val="left"/>
              <w:rPr>
                <w:rFonts w:asciiTheme="minorHAnsi" w:hAnsiTheme="minorHAnsi" w:cstheme="minorHAnsi"/>
                <w:bCs/>
                <w:color w:val="auto"/>
                <w:kern w:val="0"/>
                <w:szCs w:val="21"/>
              </w:rPr>
            </w:pPr>
            <w:r>
              <w:rPr>
                <w:rFonts w:asciiTheme="minorHAnsi" w:hAnsiTheme="minorHAnsi" w:cstheme="minorHAnsi"/>
                <w:bCs/>
                <w:color w:val="auto"/>
                <w:kern w:val="0"/>
                <w:szCs w:val="21"/>
              </w:rPr>
              <w:t>mechanical property</w:t>
            </w:r>
          </w:p>
          <w:p w14:paraId="681A16AA">
            <w:pPr>
              <w:spacing w:line="300" w:lineRule="exact"/>
              <w:jc w:val="left"/>
              <w:rPr>
                <w:rFonts w:asciiTheme="minorHAnsi" w:hAnsiTheme="minorHAnsi" w:cstheme="minorHAnsi"/>
                <w:bCs/>
                <w:color w:val="auto"/>
                <w:kern w:val="0"/>
                <w:szCs w:val="21"/>
              </w:rPr>
            </w:pPr>
            <w:r>
              <w:rPr>
                <w:rFonts w:asciiTheme="minorHAnsi" w:hAnsiTheme="minorHAnsi" w:cstheme="minorHAnsi"/>
                <w:bCs/>
                <w:color w:val="auto"/>
                <w:kern w:val="0"/>
                <w:szCs w:val="21"/>
              </w:rPr>
              <w:t>Note 1 to entry: Examples of re-pressing processes are sizing (3.4.9) and coining (3.4.1)</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4BE46514">
            <w:pPr>
              <w:pStyle w:val="58"/>
              <w:spacing w:line="300" w:lineRule="exact"/>
              <w:jc w:val="left"/>
              <w:rPr>
                <w:rFonts w:eastAsia="宋体" w:asciiTheme="minorHAnsi" w:hAnsiTheme="minorHAnsi" w:cstheme="minorHAnsi"/>
                <w:color w:val="auto"/>
                <w:kern w:val="0"/>
                <w:szCs w:val="21"/>
              </w:rPr>
            </w:pPr>
            <w:r>
              <w:rPr>
                <w:rFonts w:eastAsia="宋体" w:asciiTheme="minorHAnsi" w:hAnsiTheme="minorHAnsi" w:cstheme="minorHAnsi"/>
                <w:color w:val="auto"/>
                <w:kern w:val="0"/>
                <w:szCs w:val="21"/>
              </w:rPr>
              <w:t>复压  re-pressing</w:t>
            </w:r>
          </w:p>
          <w:p w14:paraId="14068AA2">
            <w:pPr>
              <w:spacing w:line="300" w:lineRule="exact"/>
              <w:ind w:firstLine="420"/>
              <w:jc w:val="left"/>
              <w:rPr>
                <w:rFonts w:asciiTheme="minorHAnsi" w:hAnsiTheme="minorHAnsi" w:cstheme="minorHAnsi"/>
                <w:color w:val="auto"/>
                <w:kern w:val="0"/>
                <w:szCs w:val="21"/>
              </w:rPr>
            </w:pPr>
            <w:r>
              <w:rPr>
                <w:rFonts w:asciiTheme="minorHAnsi" w:hAnsiTheme="minorHAnsi" w:cstheme="minorHAnsi"/>
                <w:color w:val="auto"/>
                <w:kern w:val="0"/>
                <w:szCs w:val="21"/>
              </w:rPr>
              <w:t>对烧结制品施加压力，</w:t>
            </w:r>
            <w:r>
              <w:rPr>
                <w:rFonts w:hint="eastAsia" w:asciiTheme="minorHAnsi" w:hAnsiTheme="minorHAnsi" w:cstheme="minorHAnsi"/>
                <w:color w:val="auto"/>
                <w:kern w:val="0"/>
                <w:szCs w:val="21"/>
              </w:rPr>
              <w:t>以</w:t>
            </w:r>
            <w:r>
              <w:rPr>
                <w:rFonts w:asciiTheme="minorHAnsi" w:hAnsiTheme="minorHAnsi" w:cstheme="minorHAnsi"/>
                <w:color w:val="auto"/>
                <w:kern w:val="0"/>
                <w:szCs w:val="21"/>
              </w:rPr>
              <w:t>提高物理和(或)力学性能。</w:t>
            </w:r>
          </w:p>
          <w:p w14:paraId="5A011E93">
            <w:pPr>
              <w:spacing w:line="300" w:lineRule="exact"/>
              <w:ind w:firstLine="420"/>
              <w:jc w:val="left"/>
              <w:rPr>
                <w:rFonts w:asciiTheme="minorHAnsi" w:hAnsiTheme="minorHAnsi" w:cstheme="minorHAnsi"/>
                <w:color w:val="auto"/>
                <w:kern w:val="0"/>
                <w:szCs w:val="21"/>
              </w:rPr>
            </w:pPr>
            <w:r>
              <w:rPr>
                <w:rFonts w:asciiTheme="minorHAnsi" w:hAnsiTheme="minorHAnsi" w:cstheme="minorHAnsi"/>
                <w:color w:val="auto"/>
                <w:kern w:val="0"/>
                <w:szCs w:val="21"/>
              </w:rPr>
              <w:t>注1：复压工艺的示例包括精整（3.4.9）和整形（3.4.1）。</w:t>
            </w:r>
          </w:p>
          <w:p w14:paraId="77FED04E">
            <w:pPr>
              <w:spacing w:line="300" w:lineRule="exact"/>
              <w:jc w:val="left"/>
              <w:rPr>
                <w:rFonts w:asciiTheme="minorHAnsi" w:hAnsiTheme="minorHAnsi" w:cstheme="minorHAnsi"/>
                <w:b/>
                <w:color w:val="auto"/>
                <w:kern w:val="0"/>
                <w:szCs w:val="21"/>
              </w:rPr>
            </w:pPr>
          </w:p>
        </w:tc>
        <w:tc>
          <w:tcPr>
            <w:tcW w:w="2503" w:type="dxa"/>
            <w:tcBorders>
              <w:top w:val="single" w:color="auto" w:sz="4" w:space="0"/>
              <w:left w:val="single" w:color="auto" w:sz="4" w:space="0"/>
              <w:bottom w:val="single" w:color="auto" w:sz="4" w:space="0"/>
              <w:right w:val="single" w:color="auto" w:sz="4" w:space="0"/>
            </w:tcBorders>
          </w:tcPr>
          <w:p w14:paraId="058A378D">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复压</w:t>
            </w:r>
          </w:p>
          <w:p w14:paraId="2281CF67">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为了提高物理和(或)力学性能，通常对烧结制品施加压力</w:t>
            </w:r>
          </w:p>
          <w:p w14:paraId="68FE5837">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注1：再压制工艺的示例包括定径（3.4.9）和压印（3.4.1）</w:t>
            </w:r>
          </w:p>
        </w:tc>
        <w:tc>
          <w:tcPr>
            <w:tcW w:w="2164" w:type="dxa"/>
            <w:tcBorders>
              <w:top w:val="single" w:color="auto" w:sz="4" w:space="0"/>
              <w:left w:val="single" w:color="auto" w:sz="4" w:space="0"/>
              <w:bottom w:val="single" w:color="auto" w:sz="4" w:space="0"/>
              <w:right w:val="single" w:color="auto" w:sz="4" w:space="0"/>
            </w:tcBorders>
          </w:tcPr>
          <w:p w14:paraId="008B1FDC">
            <w:pPr>
              <w:spacing w:line="300" w:lineRule="exact"/>
              <w:jc w:val="left"/>
              <w:rPr>
                <w:rFonts w:asciiTheme="minorHAnsi" w:hAnsiTheme="minorHAnsi" w:cstheme="minorHAnsi"/>
                <w:color w:val="auto"/>
                <w:kern w:val="0"/>
                <w:szCs w:val="21"/>
              </w:rPr>
            </w:pPr>
          </w:p>
        </w:tc>
      </w:tr>
      <w:tr w14:paraId="428E3F89">
        <w:tblPrEx>
          <w:tblCellMar>
            <w:top w:w="0" w:type="dxa"/>
            <w:left w:w="108" w:type="dxa"/>
            <w:bottom w:w="0" w:type="dxa"/>
            <w:right w:w="108" w:type="dxa"/>
          </w:tblCellMar>
        </w:tblPrEx>
        <w:trPr>
          <w:trHeight w:val="2971"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043C875D">
            <w:pPr>
              <w:spacing w:line="300" w:lineRule="exact"/>
              <w:jc w:val="left"/>
              <w:rPr>
                <w:rFonts w:asciiTheme="minorHAnsi" w:hAnsiTheme="minorHAnsi" w:cstheme="minorHAnsi"/>
                <w:color w:val="auto"/>
                <w:kern w:val="0"/>
                <w:szCs w:val="21"/>
              </w:rPr>
            </w:pPr>
            <w:r>
              <w:rPr>
                <w:rFonts w:asciiTheme="minorHAnsi" w:hAnsiTheme="minorHAnsi" w:cstheme="minorHAnsi"/>
                <w:color w:val="auto"/>
                <w:szCs w:val="21"/>
              </w:rPr>
              <w:t>3.4.10</w:t>
            </w: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2121B1B6">
            <w:pPr>
              <w:snapToGrid w:val="0"/>
              <w:spacing w:before="120" w:after="120" w:line="300" w:lineRule="exact"/>
              <w:jc w:val="left"/>
              <w:rPr>
                <w:rFonts w:asciiTheme="minorHAnsi" w:hAnsiTheme="minorHAnsi" w:cstheme="minorHAnsi"/>
                <w:color w:val="auto"/>
                <w:szCs w:val="21"/>
              </w:rPr>
            </w:pPr>
            <w:r>
              <w:rPr>
                <w:rFonts w:asciiTheme="minorHAnsi" w:hAnsiTheme="minorHAnsi" w:cstheme="minorHAnsi"/>
                <w:color w:val="auto"/>
                <w:szCs w:val="21"/>
              </w:rPr>
              <w:t xml:space="preserve">steam treatment  </w:t>
            </w:r>
          </w:p>
          <w:p w14:paraId="24AB4C11">
            <w:pPr>
              <w:spacing w:before="120" w:after="120" w:line="300" w:lineRule="exact"/>
              <w:jc w:val="left"/>
              <w:rPr>
                <w:rFonts w:asciiTheme="minorHAnsi" w:hAnsiTheme="minorHAnsi" w:cstheme="minorHAnsi"/>
                <w:color w:val="auto"/>
                <w:kern w:val="0"/>
                <w:szCs w:val="21"/>
              </w:rPr>
            </w:pPr>
            <w:r>
              <w:rPr>
                <w:rFonts w:asciiTheme="minorHAnsi" w:hAnsiTheme="minorHAnsi" w:cstheme="minorHAnsi"/>
                <w:color w:val="auto"/>
                <w:szCs w:val="21"/>
              </w:rPr>
              <w:t>heating of a ferrous sintered object in superheated steam to improve certain properties by the formation of a surface layer of black iron oxide</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5A91DD73">
            <w:pPr>
              <w:spacing w:before="120" w:after="120" w:line="300" w:lineRule="exact"/>
              <w:jc w:val="left"/>
              <w:rPr>
                <w:rFonts w:asciiTheme="minorHAnsi" w:hAnsiTheme="minorHAnsi" w:cstheme="minorHAnsi"/>
                <w:color w:val="auto"/>
                <w:kern w:val="0"/>
                <w:szCs w:val="21"/>
              </w:rPr>
            </w:pPr>
            <w:r>
              <w:rPr>
                <w:rFonts w:asciiTheme="minorHAnsi" w:hAnsiTheme="minorHAnsi" w:cstheme="minorHAnsi"/>
                <w:color w:val="auto"/>
                <w:szCs w:val="21"/>
              </w:rPr>
              <w:t>水蒸汽处理（steam treatment）：将烧结铁基制品在过热水蒸汽中加热，使表层形成四氧化三铁保护膜，从而提高某些性能。</w:t>
            </w: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28E9643D">
            <w:pPr>
              <w:snapToGrid w:val="0"/>
              <w:spacing w:line="300" w:lineRule="exact"/>
              <w:jc w:val="left"/>
              <w:rPr>
                <w:rFonts w:asciiTheme="minorHAnsi" w:hAnsiTheme="minorHAnsi" w:cstheme="minorHAnsi"/>
                <w:b/>
                <w:color w:val="auto"/>
                <w:szCs w:val="21"/>
              </w:rPr>
            </w:pPr>
            <w:r>
              <w:rPr>
                <w:rFonts w:asciiTheme="minorHAnsi" w:hAnsiTheme="minorHAnsi" w:cstheme="minorHAnsi"/>
                <w:b/>
                <w:color w:val="auto"/>
                <w:szCs w:val="21"/>
              </w:rPr>
              <w:t>steam treatment</w:t>
            </w:r>
          </w:p>
          <w:p w14:paraId="1CB73B60">
            <w:pPr>
              <w:snapToGrid w:val="0"/>
              <w:spacing w:line="300" w:lineRule="exact"/>
              <w:jc w:val="left"/>
              <w:rPr>
                <w:rFonts w:asciiTheme="minorHAnsi" w:hAnsiTheme="minorHAnsi" w:cstheme="minorHAnsi"/>
                <w:bCs/>
                <w:color w:val="auto"/>
                <w:szCs w:val="21"/>
              </w:rPr>
            </w:pPr>
            <w:r>
              <w:rPr>
                <w:rFonts w:asciiTheme="minorHAnsi" w:hAnsiTheme="minorHAnsi" w:cstheme="minorHAnsi"/>
                <w:bCs/>
                <w:color w:val="auto"/>
                <w:szCs w:val="21"/>
              </w:rPr>
              <w:t>heating of a ferrous sintered object in superheated steam to improve certain properties by the formation</w:t>
            </w:r>
          </w:p>
          <w:p w14:paraId="3C6D82BB">
            <w:pPr>
              <w:snapToGrid w:val="0"/>
              <w:spacing w:line="300" w:lineRule="exact"/>
              <w:jc w:val="left"/>
              <w:rPr>
                <w:rFonts w:asciiTheme="minorHAnsi" w:hAnsiTheme="minorHAnsi" w:cstheme="minorHAnsi"/>
                <w:bCs/>
                <w:color w:val="auto"/>
                <w:szCs w:val="21"/>
              </w:rPr>
            </w:pPr>
            <w:r>
              <w:rPr>
                <w:rFonts w:asciiTheme="minorHAnsi" w:hAnsiTheme="minorHAnsi" w:cstheme="minorHAnsi"/>
                <w:bCs/>
                <w:color w:val="auto"/>
                <w:szCs w:val="21"/>
              </w:rPr>
              <w:t>of a surface layer of black iron oxide</w:t>
            </w:r>
          </w:p>
          <w:p w14:paraId="503D03E5">
            <w:pPr>
              <w:spacing w:line="300" w:lineRule="exact"/>
              <w:jc w:val="left"/>
              <w:rPr>
                <w:rFonts w:asciiTheme="minorHAnsi" w:hAnsiTheme="minorHAnsi" w:cstheme="minorHAnsi"/>
                <w:b/>
                <w:color w:val="auto"/>
                <w:kern w:val="0"/>
                <w:szCs w:val="21"/>
              </w:rPr>
            </w:pPr>
            <w:r>
              <w:rPr>
                <w:rFonts w:asciiTheme="minorHAnsi" w:hAnsiTheme="minorHAnsi" w:cstheme="minorHAnsi"/>
                <w:bCs/>
                <w:color w:val="auto"/>
                <w:szCs w:val="21"/>
              </w:rPr>
              <w:t>Note 1 to entry: Black iron oxide: Fe3O4.</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4FCB385D">
            <w:pPr>
              <w:pStyle w:val="58"/>
              <w:snapToGrid w:val="0"/>
              <w:spacing w:line="300" w:lineRule="exact"/>
              <w:jc w:val="left"/>
              <w:rPr>
                <w:rFonts w:eastAsia="宋体" w:asciiTheme="minorHAnsi" w:hAnsiTheme="minorHAnsi" w:cstheme="minorHAnsi"/>
                <w:color w:val="auto"/>
                <w:szCs w:val="21"/>
              </w:rPr>
            </w:pPr>
            <w:r>
              <w:rPr>
                <w:rFonts w:eastAsia="宋体" w:asciiTheme="minorHAnsi" w:hAnsiTheme="minorHAnsi" w:cstheme="minorHAnsi"/>
                <w:color w:val="auto"/>
                <w:szCs w:val="21"/>
              </w:rPr>
              <w:t>水蒸汽处理  steam treatment</w:t>
            </w:r>
          </w:p>
          <w:p w14:paraId="423E2F43">
            <w:pPr>
              <w:snapToGrid w:val="0"/>
              <w:spacing w:line="300" w:lineRule="exact"/>
              <w:ind w:firstLine="420"/>
              <w:jc w:val="left"/>
              <w:rPr>
                <w:rFonts w:asciiTheme="minorHAnsi" w:hAnsiTheme="minorHAnsi" w:cstheme="minorHAnsi"/>
                <w:color w:val="auto"/>
                <w:szCs w:val="21"/>
              </w:rPr>
            </w:pPr>
            <w:r>
              <w:rPr>
                <w:rFonts w:asciiTheme="minorHAnsi" w:hAnsiTheme="minorHAnsi" w:cstheme="minorHAnsi"/>
                <w:color w:val="auto"/>
                <w:szCs w:val="21"/>
              </w:rPr>
              <w:t>将烧结铁基制品在过热水蒸汽中加热，使表层形</w:t>
            </w:r>
            <w:r>
              <w:rPr>
                <w:rFonts w:hint="eastAsia" w:asciiTheme="minorHAnsi" w:hAnsiTheme="minorHAnsi" w:cstheme="minorHAnsi"/>
                <w:color w:val="auto"/>
                <w:szCs w:val="21"/>
              </w:rPr>
              <w:t>成</w:t>
            </w:r>
            <w:r>
              <w:rPr>
                <w:rFonts w:asciiTheme="minorHAnsi" w:hAnsiTheme="minorHAnsi" w:cstheme="minorHAnsi"/>
                <w:color w:val="auto"/>
                <w:szCs w:val="21"/>
              </w:rPr>
              <w:t>黑色氧化铁保护膜，从而提高某些性能。</w:t>
            </w:r>
          </w:p>
          <w:p w14:paraId="66A7F142">
            <w:pPr>
              <w:snapToGrid w:val="0"/>
              <w:spacing w:line="300" w:lineRule="exact"/>
              <w:ind w:firstLine="420"/>
              <w:jc w:val="left"/>
              <w:rPr>
                <w:rFonts w:asciiTheme="minorHAnsi" w:hAnsiTheme="minorHAnsi" w:cstheme="minorHAnsi"/>
                <w:color w:val="auto"/>
                <w:szCs w:val="21"/>
              </w:rPr>
            </w:pPr>
            <w:r>
              <w:rPr>
                <w:rFonts w:asciiTheme="minorHAnsi" w:hAnsiTheme="minorHAnsi" w:cstheme="minorHAnsi"/>
                <w:color w:val="auto"/>
                <w:szCs w:val="21"/>
              </w:rPr>
              <w:t>注1：黑色氧化铁：四氧化三铁。</w:t>
            </w:r>
          </w:p>
          <w:p w14:paraId="53DF5B99">
            <w:pPr>
              <w:pStyle w:val="58"/>
              <w:spacing w:line="300" w:lineRule="exact"/>
              <w:jc w:val="left"/>
              <w:rPr>
                <w:rFonts w:eastAsia="宋体" w:asciiTheme="minorHAnsi" w:hAnsiTheme="minorHAnsi" w:cstheme="minorHAnsi"/>
                <w:color w:val="auto"/>
                <w:kern w:val="0"/>
                <w:szCs w:val="21"/>
              </w:rPr>
            </w:pPr>
          </w:p>
        </w:tc>
        <w:tc>
          <w:tcPr>
            <w:tcW w:w="2503" w:type="dxa"/>
            <w:tcBorders>
              <w:top w:val="single" w:color="auto" w:sz="4" w:space="0"/>
              <w:left w:val="single" w:color="auto" w:sz="4" w:space="0"/>
              <w:bottom w:val="single" w:color="auto" w:sz="4" w:space="0"/>
              <w:right w:val="single" w:color="auto" w:sz="4" w:space="0"/>
            </w:tcBorders>
          </w:tcPr>
          <w:p w14:paraId="3AC9E8A1">
            <w:pPr>
              <w:snapToGrid w:val="0"/>
              <w:spacing w:line="300" w:lineRule="exact"/>
              <w:jc w:val="left"/>
              <w:rPr>
                <w:rFonts w:asciiTheme="minorHAnsi" w:hAnsiTheme="minorHAnsi" w:cstheme="minorHAnsi"/>
                <w:color w:val="auto"/>
                <w:szCs w:val="21"/>
              </w:rPr>
            </w:pPr>
            <w:r>
              <w:rPr>
                <w:rFonts w:asciiTheme="minorHAnsi" w:hAnsiTheme="minorHAnsi" w:cstheme="minorHAnsi"/>
                <w:color w:val="auto"/>
                <w:szCs w:val="21"/>
              </w:rPr>
              <w:t>水蒸汽处理</w:t>
            </w:r>
          </w:p>
          <w:p w14:paraId="6EEE3F7A">
            <w:pPr>
              <w:snapToGrid w:val="0"/>
              <w:spacing w:line="300" w:lineRule="exact"/>
              <w:jc w:val="left"/>
              <w:rPr>
                <w:rFonts w:asciiTheme="minorHAnsi" w:hAnsiTheme="minorHAnsi" w:cstheme="minorHAnsi"/>
                <w:color w:val="auto"/>
                <w:szCs w:val="21"/>
              </w:rPr>
            </w:pPr>
            <w:r>
              <w:rPr>
                <w:rFonts w:asciiTheme="minorHAnsi" w:hAnsiTheme="minorHAnsi" w:cstheme="minorHAnsi"/>
                <w:color w:val="auto"/>
                <w:szCs w:val="21"/>
              </w:rPr>
              <w:t>在过热蒸汽中加热铁烧结体，通过形成黑色氧化铁表层来改善某些性能</w:t>
            </w:r>
          </w:p>
          <w:p w14:paraId="4506271A">
            <w:pPr>
              <w:spacing w:line="300" w:lineRule="exact"/>
              <w:jc w:val="left"/>
              <w:rPr>
                <w:rFonts w:asciiTheme="minorHAnsi" w:hAnsiTheme="minorHAnsi" w:cstheme="minorHAnsi"/>
                <w:color w:val="auto"/>
                <w:kern w:val="0"/>
                <w:szCs w:val="21"/>
              </w:rPr>
            </w:pPr>
            <w:r>
              <w:rPr>
                <w:rFonts w:asciiTheme="minorHAnsi" w:hAnsiTheme="minorHAnsi" w:cstheme="minorHAnsi"/>
                <w:color w:val="auto"/>
                <w:szCs w:val="21"/>
              </w:rPr>
              <w:t>注1：黑色氧化铁：Fe3O4。</w:t>
            </w:r>
          </w:p>
        </w:tc>
        <w:tc>
          <w:tcPr>
            <w:tcW w:w="2164" w:type="dxa"/>
            <w:tcBorders>
              <w:top w:val="single" w:color="auto" w:sz="4" w:space="0"/>
              <w:left w:val="single" w:color="auto" w:sz="4" w:space="0"/>
              <w:bottom w:val="single" w:color="auto" w:sz="4" w:space="0"/>
              <w:right w:val="single" w:color="auto" w:sz="4" w:space="0"/>
            </w:tcBorders>
          </w:tcPr>
          <w:p w14:paraId="1816ECFC">
            <w:pPr>
              <w:spacing w:line="300" w:lineRule="exact"/>
              <w:jc w:val="left"/>
              <w:rPr>
                <w:rFonts w:asciiTheme="minorHAnsi" w:hAnsiTheme="minorHAnsi" w:cstheme="minorHAnsi"/>
                <w:color w:val="auto"/>
                <w:kern w:val="0"/>
                <w:szCs w:val="21"/>
              </w:rPr>
            </w:pPr>
          </w:p>
        </w:tc>
      </w:tr>
      <w:tr w14:paraId="328F1E54">
        <w:tblPrEx>
          <w:tblCellMar>
            <w:top w:w="0" w:type="dxa"/>
            <w:left w:w="108" w:type="dxa"/>
            <w:bottom w:w="0" w:type="dxa"/>
            <w:right w:w="108" w:type="dxa"/>
          </w:tblCellMar>
        </w:tblPrEx>
        <w:trPr>
          <w:trHeight w:val="356" w:hRule="atLeast"/>
          <w:jc w:val="center"/>
        </w:trPr>
        <w:tc>
          <w:tcPr>
            <w:tcW w:w="16316" w:type="dxa"/>
            <w:gridSpan w:val="7"/>
            <w:tcBorders>
              <w:top w:val="single" w:color="auto" w:sz="4" w:space="0"/>
              <w:left w:val="single" w:color="auto" w:sz="4" w:space="0"/>
              <w:bottom w:val="single" w:color="auto" w:sz="4" w:space="0"/>
              <w:right w:val="single" w:color="auto" w:sz="4" w:space="0"/>
            </w:tcBorders>
            <w:shd w:val="clear" w:color="auto" w:fill="auto"/>
          </w:tcPr>
          <w:p w14:paraId="66284941">
            <w:pPr>
              <w:spacing w:line="300" w:lineRule="exact"/>
              <w:jc w:val="left"/>
              <w:rPr>
                <w:rFonts w:asciiTheme="minorHAnsi" w:hAnsiTheme="minorHAnsi" w:cstheme="minorHAnsi"/>
                <w:color w:val="auto"/>
                <w:kern w:val="0"/>
                <w:szCs w:val="21"/>
              </w:rPr>
            </w:pPr>
            <w:r>
              <w:rPr>
                <w:rFonts w:asciiTheme="minorHAnsi" w:hAnsiTheme="minorHAnsi" w:cstheme="minorHAnsi"/>
                <w:b/>
                <w:bCs/>
                <w:color w:val="auto"/>
                <w:kern w:val="0"/>
                <w:szCs w:val="21"/>
              </w:rPr>
              <w:t>3.5修改6条术语及定义</w:t>
            </w:r>
          </w:p>
        </w:tc>
      </w:tr>
      <w:tr w14:paraId="37E11DA2">
        <w:tblPrEx>
          <w:tblCellMar>
            <w:top w:w="0" w:type="dxa"/>
            <w:left w:w="108" w:type="dxa"/>
            <w:bottom w:w="0" w:type="dxa"/>
            <w:right w:w="108" w:type="dxa"/>
          </w:tblCellMar>
        </w:tblPrEx>
        <w:trPr>
          <w:trHeight w:val="3088"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378B3C95">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3.5.1</w:t>
            </w: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739FDF37">
            <w:pPr>
              <w:spacing w:before="120" w:after="120" w:line="300" w:lineRule="exact"/>
              <w:jc w:val="left"/>
              <w:rPr>
                <w:rFonts w:asciiTheme="minorHAnsi" w:hAnsiTheme="minorHAnsi" w:cstheme="minorHAnsi"/>
                <w:b/>
                <w:bCs/>
                <w:color w:val="auto"/>
                <w:kern w:val="0"/>
                <w:szCs w:val="21"/>
              </w:rPr>
            </w:pPr>
            <w:r>
              <w:rPr>
                <w:rFonts w:asciiTheme="minorHAnsi" w:hAnsiTheme="minorHAnsi" w:cstheme="minorHAnsi"/>
                <w:b/>
                <w:bCs/>
                <w:color w:val="auto"/>
                <w:kern w:val="0"/>
                <w:szCs w:val="21"/>
              </w:rPr>
              <w:t xml:space="preserve">cermet  </w:t>
            </w:r>
          </w:p>
          <w:p w14:paraId="57433EEF">
            <w:pPr>
              <w:spacing w:before="120" w:after="120"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sintered material containing at least one metallic phase and at least one non-metallic phase which is generally of a ceramic nature</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49D23DB3">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金属陶瓷（cermet）：由至少一种金属相和至少一种通常具有陶瓷性质的非金属相组成的烧结材料。</w:t>
            </w: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2195E4EE">
            <w:pPr>
              <w:spacing w:line="300" w:lineRule="exact"/>
              <w:jc w:val="left"/>
              <w:rPr>
                <w:rFonts w:asciiTheme="minorHAnsi" w:hAnsiTheme="minorHAnsi" w:cstheme="minorHAnsi"/>
                <w:b/>
                <w:color w:val="auto"/>
                <w:kern w:val="0"/>
                <w:szCs w:val="21"/>
              </w:rPr>
            </w:pPr>
            <w:r>
              <w:rPr>
                <w:rFonts w:asciiTheme="minorHAnsi" w:hAnsiTheme="minorHAnsi" w:cstheme="minorHAnsi"/>
                <w:b/>
                <w:color w:val="auto"/>
                <w:kern w:val="0"/>
                <w:szCs w:val="21"/>
              </w:rPr>
              <w:t>cermet</w:t>
            </w:r>
          </w:p>
          <w:p w14:paraId="0E7C3D54">
            <w:pPr>
              <w:spacing w:line="300" w:lineRule="exact"/>
              <w:jc w:val="left"/>
              <w:rPr>
                <w:rFonts w:asciiTheme="minorHAnsi" w:hAnsiTheme="minorHAnsi" w:cstheme="minorHAnsi"/>
                <w:color w:val="auto"/>
                <w:kern w:val="0"/>
                <w:szCs w:val="21"/>
              </w:rPr>
            </w:pPr>
            <w:r>
              <w:rPr>
                <w:rFonts w:asciiTheme="minorHAnsi" w:hAnsiTheme="minorHAnsi" w:cstheme="minorHAnsi"/>
                <w:i/>
                <w:color w:val="auto"/>
                <w:kern w:val="0"/>
                <w:szCs w:val="21"/>
              </w:rPr>
              <w:t>sintered material</w:t>
            </w:r>
            <w:r>
              <w:rPr>
                <w:rFonts w:asciiTheme="minorHAnsi" w:hAnsiTheme="minorHAnsi" w:cstheme="minorHAnsi"/>
                <w:color w:val="auto"/>
                <w:kern w:val="0"/>
                <w:szCs w:val="21"/>
              </w:rPr>
              <w:t xml:space="preserve"> (3.5.10) containing at least one metallic phase and at least one non-metallic phase which is generally of a ceramic nature and the main constituent being titanium carbide, titanium nitride and titanium carbonitride</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4F498234">
            <w:pPr>
              <w:pStyle w:val="58"/>
              <w:spacing w:line="300" w:lineRule="exact"/>
              <w:jc w:val="left"/>
              <w:rPr>
                <w:rFonts w:eastAsia="宋体" w:asciiTheme="minorHAnsi" w:hAnsiTheme="minorHAnsi" w:cstheme="minorHAnsi"/>
                <w:color w:val="auto"/>
                <w:kern w:val="0"/>
                <w:szCs w:val="21"/>
              </w:rPr>
            </w:pPr>
            <w:r>
              <w:rPr>
                <w:rFonts w:eastAsia="宋体" w:asciiTheme="minorHAnsi" w:hAnsiTheme="minorHAnsi" w:cstheme="minorHAnsi"/>
                <w:color w:val="auto"/>
                <w:kern w:val="0"/>
                <w:szCs w:val="21"/>
              </w:rPr>
              <w:t>金属陶瓷  cermet</w:t>
            </w:r>
          </w:p>
          <w:p w14:paraId="5214D1B1">
            <w:pPr>
              <w:spacing w:line="300" w:lineRule="exact"/>
              <w:ind w:firstLine="420"/>
              <w:jc w:val="left"/>
              <w:rPr>
                <w:rFonts w:asciiTheme="minorHAnsi" w:hAnsiTheme="minorHAnsi" w:cstheme="minorHAnsi"/>
                <w:color w:val="auto"/>
                <w:kern w:val="0"/>
                <w:szCs w:val="21"/>
              </w:rPr>
            </w:pPr>
          </w:p>
          <w:p w14:paraId="03BD541D">
            <w:pPr>
              <w:spacing w:line="300" w:lineRule="exact"/>
              <w:jc w:val="left"/>
              <w:rPr>
                <w:rFonts w:asciiTheme="minorHAnsi" w:hAnsiTheme="minorHAnsi" w:cstheme="minorHAnsi"/>
                <w:i/>
                <w:color w:val="auto"/>
                <w:kern w:val="0"/>
                <w:szCs w:val="21"/>
              </w:rPr>
            </w:pPr>
            <w:r>
              <w:rPr>
                <w:rFonts w:asciiTheme="minorHAnsi" w:hAnsiTheme="minorHAnsi" w:cstheme="minorHAnsi"/>
                <w:color w:val="auto"/>
                <w:kern w:val="0"/>
                <w:szCs w:val="21"/>
              </w:rPr>
              <w:t>一种烧结材料（3.5.10），含有至少一种金属相和至少一种通常具有陶瓷性质的非金属相，其主成分为碳化钛、氮化钛、碳氮化钛。</w:t>
            </w:r>
          </w:p>
        </w:tc>
        <w:tc>
          <w:tcPr>
            <w:tcW w:w="2503" w:type="dxa"/>
            <w:tcBorders>
              <w:top w:val="single" w:color="auto" w:sz="4" w:space="0"/>
              <w:left w:val="single" w:color="auto" w:sz="4" w:space="0"/>
              <w:bottom w:val="single" w:color="auto" w:sz="4" w:space="0"/>
              <w:right w:val="single" w:color="auto" w:sz="4" w:space="0"/>
            </w:tcBorders>
          </w:tcPr>
          <w:p w14:paraId="115083BA">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金属陶瓷</w:t>
            </w:r>
          </w:p>
          <w:p w14:paraId="58DA29F8">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烧结材料（3.5.10），其包含至少一种金属相和至少一种非金属相，通常具有陶瓷性质，主要成分是碳化钛、氮化钛和碳氮化钛</w:t>
            </w:r>
          </w:p>
        </w:tc>
        <w:tc>
          <w:tcPr>
            <w:tcW w:w="2164" w:type="dxa"/>
            <w:tcBorders>
              <w:top w:val="single" w:color="auto" w:sz="4" w:space="0"/>
              <w:left w:val="single" w:color="auto" w:sz="4" w:space="0"/>
              <w:bottom w:val="single" w:color="auto" w:sz="4" w:space="0"/>
              <w:right w:val="single" w:color="auto" w:sz="4" w:space="0"/>
            </w:tcBorders>
          </w:tcPr>
          <w:p w14:paraId="44890029">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金属陶瓷  cermet</w:t>
            </w:r>
          </w:p>
          <w:p w14:paraId="56D80267">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由至少一种金属相和至少一种通常具有陶瓷性质的非金属相组成的烧结材料，并且主要由碳化钛、氮化钛和碳氮化钛组成。（添加的）</w:t>
            </w:r>
          </w:p>
        </w:tc>
      </w:tr>
      <w:tr w14:paraId="10F4950D">
        <w:tblPrEx>
          <w:tblCellMar>
            <w:top w:w="0" w:type="dxa"/>
            <w:left w:w="108" w:type="dxa"/>
            <w:bottom w:w="0" w:type="dxa"/>
            <w:right w:w="108" w:type="dxa"/>
          </w:tblCellMar>
        </w:tblPrEx>
        <w:trPr>
          <w:trHeight w:val="4315"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523A9F20">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3.5.2</w:t>
            </w: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2DF76F36">
            <w:pPr>
              <w:spacing w:before="120" w:after="120" w:line="300" w:lineRule="exact"/>
              <w:jc w:val="left"/>
              <w:rPr>
                <w:rFonts w:asciiTheme="minorHAnsi" w:hAnsiTheme="minorHAnsi" w:cstheme="minorHAnsi"/>
                <w:color w:val="auto"/>
                <w:kern w:val="0"/>
                <w:szCs w:val="21"/>
              </w:rPr>
            </w:pPr>
            <w:r>
              <w:rPr>
                <w:rFonts w:asciiTheme="minorHAnsi" w:hAnsiTheme="minorHAnsi" w:cstheme="minorHAnsi"/>
                <w:b/>
                <w:bCs/>
                <w:color w:val="auto"/>
                <w:kern w:val="0"/>
                <w:szCs w:val="21"/>
              </w:rPr>
              <w:t xml:space="preserve">dispersion-strengthened material </w:t>
            </w:r>
            <w:r>
              <w:rPr>
                <w:rFonts w:asciiTheme="minorHAnsi" w:hAnsiTheme="minorHAnsi" w:cstheme="minorHAnsi"/>
                <w:color w:val="auto"/>
                <w:kern w:val="0"/>
                <w:szCs w:val="21"/>
              </w:rPr>
              <w:t xml:space="preserve"> </w:t>
            </w:r>
          </w:p>
          <w:p w14:paraId="08722344">
            <w:pPr>
              <w:spacing w:before="120" w:after="120"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 xml:space="preserve">metal-matrix composite in which the second (and any other) phase is in the form of a fine dispersion in the metallic matrix (which is the first phase)  </w:t>
            </w:r>
          </w:p>
          <w:p w14:paraId="1DBFA778">
            <w:pPr>
              <w:spacing w:before="120" w:after="120"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NOTE The dispersed phase serves to increase the strength of the material.</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5C88702C">
            <w:pPr>
              <w:spacing w:before="120" w:after="120"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弥散强化材料（dispersion-strengthened material）：金属基复合材料，其中的第二相（或其他相）微细弥散状，弥散相用于提高材料的强度。注：弥散相用于提高材料强度。</w:t>
            </w:r>
          </w:p>
          <w:p w14:paraId="7944300E">
            <w:pPr>
              <w:spacing w:line="300" w:lineRule="exact"/>
              <w:jc w:val="left"/>
              <w:rPr>
                <w:rFonts w:asciiTheme="minorHAnsi" w:hAnsiTheme="minorHAnsi" w:cstheme="minorHAnsi"/>
                <w:color w:val="auto"/>
                <w:szCs w:val="21"/>
              </w:rPr>
            </w:pP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47F494C1">
            <w:pPr>
              <w:spacing w:line="300" w:lineRule="exact"/>
              <w:jc w:val="left"/>
              <w:rPr>
                <w:rFonts w:asciiTheme="minorHAnsi" w:hAnsiTheme="minorHAnsi" w:cstheme="minorHAnsi"/>
                <w:b/>
                <w:color w:val="auto"/>
                <w:kern w:val="0"/>
                <w:szCs w:val="21"/>
              </w:rPr>
            </w:pPr>
            <w:r>
              <w:rPr>
                <w:rFonts w:asciiTheme="minorHAnsi" w:hAnsiTheme="minorHAnsi" w:cstheme="minorHAnsi"/>
                <w:b/>
                <w:color w:val="auto"/>
                <w:kern w:val="0"/>
                <w:szCs w:val="21"/>
              </w:rPr>
              <w:t>dispersion-strengthened material</w:t>
            </w:r>
          </w:p>
          <w:p w14:paraId="0CFB79C5">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metal-matrix composite with one or more secondary phases of fine dispersions</w:t>
            </w:r>
          </w:p>
          <w:p w14:paraId="267B4340">
            <w:pPr>
              <w:spacing w:line="300" w:lineRule="exact"/>
              <w:jc w:val="left"/>
              <w:rPr>
                <w:rFonts w:asciiTheme="minorHAnsi" w:hAnsiTheme="minorHAnsi" w:cstheme="minorHAnsi"/>
                <w:color w:val="auto"/>
                <w:kern w:val="0"/>
                <w:szCs w:val="21"/>
              </w:rPr>
            </w:pPr>
          </w:p>
          <w:p w14:paraId="61CFA911">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Note 1 to entry: The dispersed phase serves to increase the strength of the material.</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7695E191">
            <w:pPr>
              <w:pStyle w:val="58"/>
              <w:spacing w:line="300" w:lineRule="exact"/>
              <w:jc w:val="left"/>
              <w:rPr>
                <w:rFonts w:eastAsia="宋体" w:asciiTheme="minorHAnsi" w:hAnsiTheme="minorHAnsi" w:cstheme="minorHAnsi"/>
                <w:color w:val="auto"/>
                <w:kern w:val="0"/>
                <w:szCs w:val="21"/>
              </w:rPr>
            </w:pPr>
            <w:r>
              <w:rPr>
                <w:rFonts w:eastAsia="宋体" w:asciiTheme="minorHAnsi" w:hAnsiTheme="minorHAnsi" w:cstheme="minorHAnsi"/>
                <w:color w:val="auto"/>
                <w:kern w:val="0"/>
                <w:szCs w:val="21"/>
              </w:rPr>
              <w:t>弥散强化材料  dispersion-strengthened material</w:t>
            </w:r>
          </w:p>
          <w:p w14:paraId="6EFB6332">
            <w:pPr>
              <w:spacing w:line="300" w:lineRule="exact"/>
              <w:ind w:firstLine="420"/>
              <w:jc w:val="left"/>
              <w:rPr>
                <w:rFonts w:asciiTheme="minorHAnsi" w:hAnsiTheme="minorHAnsi" w:cstheme="minorHAnsi"/>
                <w:color w:val="auto"/>
                <w:kern w:val="0"/>
                <w:szCs w:val="21"/>
              </w:rPr>
            </w:pPr>
            <w:r>
              <w:rPr>
                <w:rFonts w:asciiTheme="minorHAnsi" w:hAnsiTheme="minorHAnsi" w:cstheme="minorHAnsi"/>
                <w:color w:val="auto"/>
                <w:kern w:val="0"/>
                <w:szCs w:val="21"/>
              </w:rPr>
              <w:t>含有一种或多种细小弥散分布第二相的金属基复合材料。</w:t>
            </w:r>
          </w:p>
          <w:p w14:paraId="3D19682E">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注 1：弥散相的作用是提高材料的强度。</w:t>
            </w:r>
          </w:p>
        </w:tc>
        <w:tc>
          <w:tcPr>
            <w:tcW w:w="2503" w:type="dxa"/>
            <w:tcBorders>
              <w:top w:val="single" w:color="auto" w:sz="4" w:space="0"/>
              <w:left w:val="single" w:color="auto" w:sz="4" w:space="0"/>
              <w:bottom w:val="single" w:color="auto" w:sz="4" w:space="0"/>
              <w:right w:val="single" w:color="auto" w:sz="4" w:space="0"/>
            </w:tcBorders>
          </w:tcPr>
          <w:p w14:paraId="12BE7FA9">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弥散强化材料</w:t>
            </w:r>
          </w:p>
          <w:p w14:paraId="31342CCB">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一种基体中分布有一相或多相细小弥散第二相的金属基复合材料。</w:t>
            </w:r>
          </w:p>
          <w:p w14:paraId="39A73CA4">
            <w:pPr>
              <w:spacing w:line="300" w:lineRule="exact"/>
              <w:jc w:val="left"/>
              <w:rPr>
                <w:rFonts w:asciiTheme="minorHAnsi" w:hAnsiTheme="minorHAnsi" w:cstheme="minorHAnsi"/>
                <w:color w:val="auto"/>
                <w:kern w:val="0"/>
                <w:szCs w:val="21"/>
              </w:rPr>
            </w:pPr>
          </w:p>
          <w:p w14:paraId="5FCE31B3">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注1：弥散相用于提高材料的强度。</w:t>
            </w:r>
          </w:p>
        </w:tc>
        <w:tc>
          <w:tcPr>
            <w:tcW w:w="2164" w:type="dxa"/>
            <w:tcBorders>
              <w:top w:val="single" w:color="auto" w:sz="4" w:space="0"/>
              <w:left w:val="single" w:color="auto" w:sz="4" w:space="0"/>
              <w:bottom w:val="single" w:color="auto" w:sz="4" w:space="0"/>
              <w:right w:val="single" w:color="auto" w:sz="4" w:space="0"/>
            </w:tcBorders>
          </w:tcPr>
          <w:p w14:paraId="04557CDE">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 xml:space="preserve">弥散强化材料  </w:t>
            </w:r>
          </w:p>
          <w:p w14:paraId="5EA40625">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金属基复合材料，其中的第二相(或其他相)呈微细弥散状，弥散相用于提高材料的强度。/</w:t>
            </w:r>
          </w:p>
          <w:p w14:paraId="558CADCE">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金属基复合材料，具有一个或多个呈微细弥散状的第二相，其中弥散相用于提高材料的强度。（内容有所改变）</w:t>
            </w:r>
          </w:p>
        </w:tc>
      </w:tr>
      <w:tr w14:paraId="618B1C25">
        <w:tblPrEx>
          <w:tblCellMar>
            <w:top w:w="0" w:type="dxa"/>
            <w:left w:w="108" w:type="dxa"/>
            <w:bottom w:w="0" w:type="dxa"/>
            <w:right w:w="108" w:type="dxa"/>
          </w:tblCellMar>
        </w:tblPrEx>
        <w:trPr>
          <w:trHeight w:val="4686"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1206C5B4">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3.5.3</w:t>
            </w: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28DB43CA">
            <w:pPr>
              <w:spacing w:before="120" w:after="120" w:line="300" w:lineRule="exact"/>
              <w:jc w:val="left"/>
              <w:rPr>
                <w:rFonts w:asciiTheme="minorHAnsi" w:hAnsiTheme="minorHAnsi" w:cstheme="minorHAnsi"/>
                <w:b/>
                <w:bCs/>
                <w:color w:val="auto"/>
                <w:kern w:val="0"/>
                <w:szCs w:val="21"/>
              </w:rPr>
            </w:pPr>
            <w:r>
              <w:rPr>
                <w:rFonts w:asciiTheme="minorHAnsi" w:hAnsiTheme="minorHAnsi" w:cstheme="minorHAnsi"/>
                <w:b/>
                <w:bCs/>
                <w:color w:val="auto"/>
                <w:kern w:val="0"/>
                <w:szCs w:val="21"/>
              </w:rPr>
              <w:t xml:space="preserve">hardmetal / cemented carbide  </w:t>
            </w:r>
          </w:p>
          <w:p w14:paraId="7EC4551A">
            <w:pPr>
              <w:spacing w:before="120" w:after="120"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sintered material characterized by high strength and wear resistance and comprising one or more carbides of refractory metals as the main component together with a metallic binder phase</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4D01B38A">
            <w:pPr>
              <w:spacing w:before="120" w:after="120"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硬质合金（hardmetal;cemented carbide）：由作为主要组元的一种或几种难熔金属碳化物和金属粘结剂相组成的烧结材料，其特点是具有高强度和高耐磨性。</w:t>
            </w:r>
          </w:p>
          <w:p w14:paraId="5551A0F4">
            <w:pPr>
              <w:spacing w:line="300" w:lineRule="exact"/>
              <w:jc w:val="left"/>
              <w:rPr>
                <w:rFonts w:asciiTheme="minorHAnsi" w:hAnsiTheme="minorHAnsi" w:cstheme="minorHAnsi"/>
                <w:color w:val="auto"/>
                <w:szCs w:val="21"/>
              </w:rPr>
            </w:pP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37989917">
            <w:pPr>
              <w:spacing w:line="300" w:lineRule="exact"/>
              <w:jc w:val="left"/>
              <w:rPr>
                <w:rFonts w:asciiTheme="minorHAnsi" w:hAnsiTheme="minorHAnsi" w:cstheme="minorHAnsi"/>
                <w:b/>
                <w:color w:val="auto"/>
                <w:kern w:val="0"/>
                <w:szCs w:val="21"/>
              </w:rPr>
            </w:pPr>
            <w:r>
              <w:rPr>
                <w:rFonts w:asciiTheme="minorHAnsi" w:hAnsiTheme="minorHAnsi" w:cstheme="minorHAnsi"/>
                <w:b/>
                <w:color w:val="auto"/>
                <w:kern w:val="0"/>
                <w:szCs w:val="21"/>
              </w:rPr>
              <w:t>hardmetal</w:t>
            </w:r>
          </w:p>
          <w:p w14:paraId="7435E922">
            <w:pPr>
              <w:spacing w:line="300" w:lineRule="exact"/>
              <w:jc w:val="left"/>
              <w:rPr>
                <w:rFonts w:asciiTheme="minorHAnsi" w:hAnsiTheme="minorHAnsi" w:cstheme="minorHAnsi"/>
                <w:b/>
                <w:color w:val="auto"/>
                <w:kern w:val="0"/>
                <w:szCs w:val="21"/>
              </w:rPr>
            </w:pPr>
            <w:r>
              <w:rPr>
                <w:rFonts w:asciiTheme="minorHAnsi" w:hAnsiTheme="minorHAnsi" w:cstheme="minorHAnsi"/>
                <w:b/>
                <w:color w:val="auto"/>
                <w:kern w:val="0"/>
                <w:szCs w:val="21"/>
              </w:rPr>
              <w:t>cemented carbide</w:t>
            </w:r>
          </w:p>
          <w:p w14:paraId="533DBF20">
            <w:pPr>
              <w:spacing w:line="300" w:lineRule="exact"/>
              <w:jc w:val="left"/>
              <w:rPr>
                <w:rFonts w:asciiTheme="minorHAnsi" w:hAnsiTheme="minorHAnsi" w:cstheme="minorHAnsi"/>
                <w:color w:val="auto"/>
                <w:kern w:val="0"/>
                <w:szCs w:val="21"/>
              </w:rPr>
            </w:pPr>
            <w:r>
              <w:rPr>
                <w:rFonts w:asciiTheme="minorHAnsi" w:hAnsiTheme="minorHAnsi" w:cstheme="minorHAnsi"/>
                <w:i/>
                <w:color w:val="auto"/>
                <w:kern w:val="0"/>
                <w:szCs w:val="21"/>
              </w:rPr>
              <w:t>sintered material</w:t>
            </w:r>
            <w:r>
              <w:rPr>
                <w:rFonts w:asciiTheme="minorHAnsi" w:hAnsiTheme="minorHAnsi" w:cstheme="minorHAnsi"/>
                <w:color w:val="auto"/>
                <w:kern w:val="0"/>
                <w:szCs w:val="21"/>
              </w:rPr>
              <w:t xml:space="preserve"> (3.5.10) characterized by high strength and wear resistance comprising one or more carbides of refractory metals as the main component together with a metallic </w:t>
            </w:r>
            <w:r>
              <w:rPr>
                <w:rFonts w:asciiTheme="minorHAnsi" w:hAnsiTheme="minorHAnsi" w:cstheme="minorHAnsi"/>
                <w:i/>
                <w:color w:val="auto"/>
                <w:kern w:val="0"/>
                <w:szCs w:val="21"/>
              </w:rPr>
              <w:t>binder phase</w:t>
            </w:r>
            <w:r>
              <w:rPr>
                <w:rFonts w:asciiTheme="minorHAnsi" w:hAnsiTheme="minorHAnsi" w:cstheme="minorHAnsi"/>
                <w:color w:val="auto"/>
                <w:kern w:val="0"/>
                <w:szCs w:val="21"/>
              </w:rPr>
              <w:t xml:space="preserve"> (3.3.7), where the main constituent of the refractory metal carbides consists of tungsten carbide</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02DA1F8C">
            <w:pPr>
              <w:pStyle w:val="58"/>
              <w:spacing w:line="300" w:lineRule="exact"/>
              <w:jc w:val="left"/>
              <w:rPr>
                <w:rFonts w:eastAsia="宋体" w:asciiTheme="minorHAnsi" w:hAnsiTheme="minorHAnsi" w:cstheme="minorHAnsi"/>
                <w:color w:val="auto"/>
                <w:kern w:val="0"/>
                <w:szCs w:val="21"/>
              </w:rPr>
            </w:pPr>
            <w:r>
              <w:rPr>
                <w:rFonts w:eastAsia="宋体" w:asciiTheme="minorHAnsi" w:hAnsiTheme="minorHAnsi" w:cstheme="minorHAnsi"/>
                <w:color w:val="auto"/>
                <w:kern w:val="0"/>
                <w:szCs w:val="21"/>
              </w:rPr>
              <w:t>硬质合金  hardmetal，cemented carbide</w:t>
            </w:r>
          </w:p>
          <w:p w14:paraId="04F8E713">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以一种或多种难熔金属碳化物为主成分，并含有金属粘结相（3.3.7）的烧结材料（3.5.10），其特点是具有高</w:t>
            </w:r>
            <w:r>
              <w:rPr>
                <w:rFonts w:hint="eastAsia" w:asciiTheme="minorHAnsi" w:hAnsiTheme="minorHAnsi" w:cstheme="minorHAnsi"/>
                <w:color w:val="auto"/>
                <w:kern w:val="0"/>
                <w:szCs w:val="21"/>
              </w:rPr>
              <w:t>硬</w:t>
            </w:r>
            <w:r>
              <w:rPr>
                <w:rFonts w:asciiTheme="minorHAnsi" w:hAnsiTheme="minorHAnsi" w:cstheme="minorHAnsi"/>
                <w:color w:val="auto"/>
                <w:kern w:val="0"/>
                <w:szCs w:val="21"/>
              </w:rPr>
              <w:t>度和高耐磨性，其中难熔金属碳化物的主成分为碳化钨。</w:t>
            </w:r>
          </w:p>
          <w:p w14:paraId="5BC573A2">
            <w:pPr>
              <w:spacing w:line="300" w:lineRule="exact"/>
              <w:jc w:val="left"/>
              <w:rPr>
                <w:rFonts w:asciiTheme="minorHAnsi" w:hAnsiTheme="minorHAnsi" w:cstheme="minorHAnsi"/>
                <w:color w:val="auto"/>
                <w:kern w:val="0"/>
                <w:szCs w:val="21"/>
              </w:rPr>
            </w:pPr>
          </w:p>
        </w:tc>
        <w:tc>
          <w:tcPr>
            <w:tcW w:w="2503" w:type="dxa"/>
            <w:tcBorders>
              <w:top w:val="single" w:color="auto" w:sz="4" w:space="0"/>
              <w:left w:val="single" w:color="auto" w:sz="4" w:space="0"/>
              <w:bottom w:val="single" w:color="auto" w:sz="4" w:space="0"/>
              <w:right w:val="single" w:color="auto" w:sz="4" w:space="0"/>
            </w:tcBorders>
          </w:tcPr>
          <w:p w14:paraId="40F1F35F">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硬质合金</w:t>
            </w:r>
          </w:p>
          <w:p w14:paraId="1D1252CA">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以高强度和耐磨性为特征的烧结材料（3.5.10），由一种或多种难熔金属的碳化物为主相与金属粘结相（3.3.7）构成，其中难熔金属碳化物的主要成分是碳化钨</w:t>
            </w:r>
          </w:p>
        </w:tc>
        <w:tc>
          <w:tcPr>
            <w:tcW w:w="2164" w:type="dxa"/>
            <w:tcBorders>
              <w:top w:val="single" w:color="auto" w:sz="4" w:space="0"/>
              <w:left w:val="single" w:color="auto" w:sz="4" w:space="0"/>
              <w:bottom w:val="single" w:color="auto" w:sz="4" w:space="0"/>
              <w:right w:val="single" w:color="auto" w:sz="4" w:space="0"/>
            </w:tcBorders>
          </w:tcPr>
          <w:p w14:paraId="62FEC99A">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 xml:space="preserve">硬质合金  </w:t>
            </w:r>
          </w:p>
          <w:p w14:paraId="6388F7F4">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由作为主要组元的一种或几种难熔金属碳化物和金属粘结剂组成的烧结材料，其特点是具有高强度和高耐磨性，其中难熔金属碳化物主要由碳化钨组成。（增加的）</w:t>
            </w:r>
          </w:p>
          <w:p w14:paraId="189D31C5">
            <w:pPr>
              <w:spacing w:line="300" w:lineRule="exact"/>
              <w:jc w:val="left"/>
              <w:rPr>
                <w:rFonts w:asciiTheme="minorHAnsi" w:hAnsiTheme="minorHAnsi" w:cstheme="minorHAnsi"/>
                <w:color w:val="auto"/>
                <w:kern w:val="0"/>
                <w:szCs w:val="21"/>
              </w:rPr>
            </w:pPr>
          </w:p>
        </w:tc>
      </w:tr>
      <w:tr w14:paraId="0D909420">
        <w:tblPrEx>
          <w:tblCellMar>
            <w:top w:w="0" w:type="dxa"/>
            <w:left w:w="108" w:type="dxa"/>
            <w:bottom w:w="0" w:type="dxa"/>
            <w:right w:w="108" w:type="dxa"/>
          </w:tblCellMar>
        </w:tblPrEx>
        <w:trPr>
          <w:trHeight w:val="4686"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30C39F85">
            <w:pPr>
              <w:spacing w:line="300" w:lineRule="exact"/>
              <w:jc w:val="left"/>
              <w:rPr>
                <w:rFonts w:asciiTheme="minorHAnsi" w:hAnsiTheme="minorHAnsi" w:cstheme="minorHAnsi"/>
                <w:color w:val="auto"/>
                <w:kern w:val="0"/>
                <w:szCs w:val="21"/>
              </w:rPr>
            </w:pPr>
            <w:r>
              <w:rPr>
                <w:rFonts w:asciiTheme="minorHAnsi" w:hAnsiTheme="minorHAnsi" w:cstheme="minorHAnsi"/>
                <w:color w:val="auto"/>
                <w:szCs w:val="21"/>
              </w:rPr>
              <w:t>3.5.6</w:t>
            </w: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5BCB7041">
            <w:pPr>
              <w:snapToGrid w:val="0"/>
              <w:spacing w:before="120" w:after="120" w:line="300" w:lineRule="exact"/>
              <w:jc w:val="left"/>
              <w:rPr>
                <w:rFonts w:asciiTheme="minorHAnsi" w:hAnsiTheme="minorHAnsi" w:cstheme="minorHAnsi"/>
                <w:b/>
                <w:bCs/>
                <w:color w:val="auto"/>
                <w:szCs w:val="21"/>
              </w:rPr>
            </w:pPr>
            <w:r>
              <w:rPr>
                <w:rFonts w:asciiTheme="minorHAnsi" w:hAnsiTheme="minorHAnsi" w:cstheme="minorHAnsi"/>
                <w:b/>
                <w:bCs/>
                <w:color w:val="auto"/>
                <w:szCs w:val="21"/>
              </w:rPr>
              <w:t xml:space="preserve">sintered electrical contact material  </w:t>
            </w:r>
          </w:p>
          <w:p w14:paraId="269E5DA2">
            <w:pPr>
              <w:spacing w:before="120" w:after="120" w:line="300" w:lineRule="exact"/>
              <w:jc w:val="left"/>
              <w:rPr>
                <w:rFonts w:asciiTheme="minorHAnsi" w:hAnsiTheme="minorHAnsi" w:cstheme="minorHAnsi"/>
                <w:b/>
                <w:bCs/>
                <w:color w:val="auto"/>
                <w:kern w:val="0"/>
                <w:szCs w:val="21"/>
              </w:rPr>
            </w:pPr>
            <w:r>
              <w:rPr>
                <w:rFonts w:asciiTheme="minorHAnsi" w:hAnsiTheme="minorHAnsi" w:cstheme="minorHAnsi"/>
                <w:color w:val="auto"/>
                <w:szCs w:val="21"/>
              </w:rPr>
              <w:t>sintered material with high conductivity and resistance to arc erosion, such as tungsten-copper, tungsten-silver, silver-graphite and silver-cadmium oxide composite</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247AD889">
            <w:pPr>
              <w:spacing w:before="120" w:after="120" w:line="300" w:lineRule="exact"/>
              <w:jc w:val="left"/>
              <w:rPr>
                <w:rFonts w:asciiTheme="minorHAnsi" w:hAnsiTheme="minorHAnsi" w:cstheme="minorHAnsi"/>
                <w:color w:val="auto"/>
                <w:kern w:val="0"/>
                <w:szCs w:val="21"/>
              </w:rPr>
            </w:pPr>
            <w:r>
              <w:rPr>
                <w:rFonts w:asciiTheme="minorHAnsi" w:hAnsiTheme="minorHAnsi" w:cstheme="minorHAnsi"/>
                <w:color w:val="auto"/>
                <w:szCs w:val="21"/>
              </w:rPr>
              <w:t>烧结电触头材料（sintered electrical contact material）：具有高电导率和抗电弧烧蚀的烧结材料，例如钨-铜，钨-银，银-石墨和银-氧化镉复合材料。</w:t>
            </w: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17D1BA97">
            <w:pPr>
              <w:snapToGrid w:val="0"/>
              <w:spacing w:line="300" w:lineRule="exact"/>
              <w:jc w:val="left"/>
              <w:rPr>
                <w:rFonts w:asciiTheme="minorHAnsi" w:hAnsiTheme="minorHAnsi" w:cstheme="minorHAnsi"/>
                <w:b/>
                <w:color w:val="auto"/>
                <w:szCs w:val="21"/>
              </w:rPr>
            </w:pPr>
            <w:r>
              <w:rPr>
                <w:rFonts w:asciiTheme="minorHAnsi" w:hAnsiTheme="minorHAnsi" w:cstheme="minorHAnsi"/>
                <w:b/>
                <w:color w:val="auto"/>
                <w:szCs w:val="21"/>
              </w:rPr>
              <w:t>sintered electrical contact material</w:t>
            </w:r>
          </w:p>
          <w:p w14:paraId="63EFFCE2">
            <w:pPr>
              <w:snapToGrid w:val="0"/>
              <w:spacing w:line="300" w:lineRule="exact"/>
              <w:jc w:val="left"/>
              <w:rPr>
                <w:rFonts w:asciiTheme="minorHAnsi" w:hAnsiTheme="minorHAnsi" w:cstheme="minorHAnsi"/>
                <w:color w:val="auto"/>
                <w:szCs w:val="21"/>
              </w:rPr>
            </w:pPr>
            <w:r>
              <w:rPr>
                <w:rFonts w:asciiTheme="minorHAnsi" w:hAnsiTheme="minorHAnsi" w:cstheme="minorHAnsi"/>
                <w:i/>
                <w:color w:val="auto"/>
                <w:szCs w:val="21"/>
              </w:rPr>
              <w:t>sintered materia</w:t>
            </w:r>
            <w:r>
              <w:rPr>
                <w:rFonts w:asciiTheme="minorHAnsi" w:hAnsiTheme="minorHAnsi" w:cstheme="minorHAnsi"/>
                <w:color w:val="auto"/>
                <w:szCs w:val="21"/>
              </w:rPr>
              <w:t>l (3.5.10) with high conductivity and resistance to arc erosion</w:t>
            </w:r>
          </w:p>
          <w:p w14:paraId="08C555A1">
            <w:pPr>
              <w:snapToGrid w:val="0"/>
              <w:spacing w:line="300" w:lineRule="exact"/>
              <w:jc w:val="left"/>
              <w:rPr>
                <w:rFonts w:asciiTheme="minorHAnsi" w:hAnsiTheme="minorHAnsi" w:cstheme="minorHAnsi"/>
                <w:color w:val="auto"/>
                <w:szCs w:val="21"/>
              </w:rPr>
            </w:pPr>
          </w:p>
          <w:p w14:paraId="1572A7B4">
            <w:pPr>
              <w:spacing w:line="300" w:lineRule="exact"/>
              <w:jc w:val="left"/>
              <w:rPr>
                <w:rFonts w:asciiTheme="minorHAnsi" w:hAnsiTheme="minorHAnsi" w:cstheme="minorHAnsi"/>
                <w:b/>
                <w:color w:val="auto"/>
                <w:kern w:val="0"/>
                <w:szCs w:val="21"/>
              </w:rPr>
            </w:pPr>
            <w:r>
              <w:rPr>
                <w:rFonts w:asciiTheme="minorHAnsi" w:hAnsiTheme="minorHAnsi" w:cstheme="minorHAnsi"/>
                <w:color w:val="auto"/>
                <w:szCs w:val="21"/>
              </w:rPr>
              <w:t>Note 1 to entry: For example, tungsten-silver, silver-graphite and silver-cadmium oxide composite.</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6A98704A">
            <w:pPr>
              <w:pStyle w:val="58"/>
              <w:snapToGrid w:val="0"/>
              <w:spacing w:line="300" w:lineRule="exact"/>
              <w:jc w:val="left"/>
              <w:rPr>
                <w:rFonts w:eastAsia="宋体" w:asciiTheme="minorHAnsi" w:hAnsiTheme="minorHAnsi" w:cstheme="minorHAnsi"/>
                <w:color w:val="auto"/>
                <w:szCs w:val="21"/>
              </w:rPr>
            </w:pPr>
            <w:r>
              <w:rPr>
                <w:rFonts w:eastAsia="宋体" w:asciiTheme="minorHAnsi" w:hAnsiTheme="minorHAnsi" w:cstheme="minorHAnsi"/>
                <w:color w:val="auto"/>
                <w:szCs w:val="21"/>
              </w:rPr>
              <w:t>烧结电触头材料  sintered electrical contact material</w:t>
            </w:r>
          </w:p>
          <w:p w14:paraId="7518C728">
            <w:pPr>
              <w:snapToGrid w:val="0"/>
              <w:spacing w:line="300" w:lineRule="exact"/>
              <w:ind w:firstLine="420"/>
              <w:jc w:val="left"/>
              <w:rPr>
                <w:rFonts w:asciiTheme="minorHAnsi" w:hAnsiTheme="minorHAnsi" w:cstheme="minorHAnsi"/>
                <w:color w:val="auto"/>
                <w:szCs w:val="21"/>
              </w:rPr>
            </w:pPr>
            <w:r>
              <w:rPr>
                <w:rFonts w:asciiTheme="minorHAnsi" w:hAnsiTheme="minorHAnsi" w:cstheme="minorHAnsi"/>
                <w:color w:val="auto"/>
                <w:szCs w:val="21"/>
              </w:rPr>
              <w:t>具有高电导率和抗电弧烧蚀的烧结材料（3.5.10）</w:t>
            </w:r>
          </w:p>
          <w:p w14:paraId="529D4889">
            <w:pPr>
              <w:snapToGrid w:val="0"/>
              <w:spacing w:line="300" w:lineRule="exact"/>
              <w:ind w:firstLine="420"/>
              <w:jc w:val="left"/>
              <w:rPr>
                <w:rFonts w:asciiTheme="minorHAnsi" w:hAnsiTheme="minorHAnsi" w:cstheme="minorHAnsi"/>
                <w:color w:val="auto"/>
                <w:szCs w:val="21"/>
              </w:rPr>
            </w:pPr>
            <w:r>
              <w:rPr>
                <w:rFonts w:asciiTheme="minorHAnsi" w:hAnsiTheme="minorHAnsi" w:cstheme="minorHAnsi"/>
                <w:color w:val="auto"/>
                <w:szCs w:val="21"/>
              </w:rPr>
              <w:t>注1：例如钨–银、银–石墨及银–氧化镉复合材料。</w:t>
            </w:r>
          </w:p>
          <w:p w14:paraId="76F4851C">
            <w:pPr>
              <w:pStyle w:val="58"/>
              <w:spacing w:line="300" w:lineRule="exact"/>
              <w:jc w:val="left"/>
              <w:rPr>
                <w:rFonts w:eastAsia="宋体" w:asciiTheme="minorHAnsi" w:hAnsiTheme="minorHAnsi" w:cstheme="minorHAnsi"/>
                <w:color w:val="auto"/>
                <w:kern w:val="0"/>
                <w:szCs w:val="21"/>
              </w:rPr>
            </w:pPr>
          </w:p>
        </w:tc>
        <w:tc>
          <w:tcPr>
            <w:tcW w:w="2503" w:type="dxa"/>
            <w:tcBorders>
              <w:top w:val="single" w:color="auto" w:sz="4" w:space="0"/>
              <w:left w:val="single" w:color="auto" w:sz="4" w:space="0"/>
              <w:bottom w:val="single" w:color="auto" w:sz="4" w:space="0"/>
              <w:right w:val="single" w:color="auto" w:sz="4" w:space="0"/>
            </w:tcBorders>
          </w:tcPr>
          <w:p w14:paraId="1DA37F1B">
            <w:pPr>
              <w:snapToGrid w:val="0"/>
              <w:spacing w:line="300" w:lineRule="exact"/>
              <w:jc w:val="left"/>
              <w:rPr>
                <w:rFonts w:asciiTheme="minorHAnsi" w:hAnsiTheme="minorHAnsi" w:cstheme="minorHAnsi"/>
                <w:color w:val="auto"/>
                <w:szCs w:val="21"/>
              </w:rPr>
            </w:pPr>
            <w:r>
              <w:rPr>
                <w:rFonts w:asciiTheme="minorHAnsi" w:hAnsiTheme="minorHAnsi" w:cstheme="minorHAnsi"/>
                <w:color w:val="auto"/>
                <w:szCs w:val="21"/>
              </w:rPr>
              <w:t>烧结电接触材料</w:t>
            </w:r>
          </w:p>
          <w:p w14:paraId="244FF312">
            <w:pPr>
              <w:snapToGrid w:val="0"/>
              <w:spacing w:line="300" w:lineRule="exact"/>
              <w:jc w:val="left"/>
              <w:rPr>
                <w:rFonts w:asciiTheme="minorHAnsi" w:hAnsiTheme="minorHAnsi" w:cstheme="minorHAnsi"/>
                <w:color w:val="auto"/>
                <w:szCs w:val="21"/>
              </w:rPr>
            </w:pPr>
            <w:r>
              <w:rPr>
                <w:rFonts w:asciiTheme="minorHAnsi" w:hAnsiTheme="minorHAnsi" w:cstheme="minorHAnsi"/>
                <w:color w:val="auto"/>
                <w:szCs w:val="21"/>
              </w:rPr>
              <w:t>高导电性和耐电弧侵蚀的烧结材料（3.5.10）</w:t>
            </w:r>
          </w:p>
          <w:p w14:paraId="2A2CBF39">
            <w:pPr>
              <w:snapToGrid w:val="0"/>
              <w:spacing w:line="300" w:lineRule="exact"/>
              <w:jc w:val="left"/>
              <w:rPr>
                <w:rFonts w:asciiTheme="minorHAnsi" w:hAnsiTheme="minorHAnsi" w:cstheme="minorHAnsi"/>
                <w:color w:val="auto"/>
                <w:szCs w:val="21"/>
              </w:rPr>
            </w:pPr>
          </w:p>
          <w:p w14:paraId="11B0C4B4">
            <w:pPr>
              <w:spacing w:line="300" w:lineRule="exact"/>
              <w:jc w:val="left"/>
              <w:rPr>
                <w:rFonts w:asciiTheme="minorHAnsi" w:hAnsiTheme="minorHAnsi" w:cstheme="minorHAnsi"/>
                <w:color w:val="auto"/>
                <w:kern w:val="0"/>
                <w:szCs w:val="21"/>
              </w:rPr>
            </w:pPr>
            <w:r>
              <w:rPr>
                <w:rFonts w:asciiTheme="minorHAnsi" w:hAnsiTheme="minorHAnsi" w:cstheme="minorHAnsi"/>
                <w:color w:val="auto"/>
                <w:szCs w:val="21"/>
              </w:rPr>
              <w:t>注1：例如，钨-银、银-石墨和银-镉氧化物复合材料</w:t>
            </w:r>
          </w:p>
        </w:tc>
        <w:tc>
          <w:tcPr>
            <w:tcW w:w="2164" w:type="dxa"/>
            <w:tcBorders>
              <w:top w:val="single" w:color="auto" w:sz="4" w:space="0"/>
              <w:left w:val="single" w:color="auto" w:sz="4" w:space="0"/>
              <w:bottom w:val="single" w:color="auto" w:sz="4" w:space="0"/>
              <w:right w:val="single" w:color="auto" w:sz="4" w:space="0"/>
            </w:tcBorders>
          </w:tcPr>
          <w:p w14:paraId="4576DC72">
            <w:pPr>
              <w:snapToGrid w:val="0"/>
              <w:spacing w:line="300" w:lineRule="exact"/>
              <w:jc w:val="left"/>
              <w:rPr>
                <w:rFonts w:asciiTheme="minorHAnsi" w:hAnsiTheme="minorHAnsi" w:cstheme="minorHAnsi"/>
                <w:color w:val="auto"/>
                <w:szCs w:val="21"/>
              </w:rPr>
            </w:pPr>
            <w:r>
              <w:rPr>
                <w:rFonts w:asciiTheme="minorHAnsi" w:hAnsiTheme="minorHAnsi" w:cstheme="minorHAnsi"/>
                <w:color w:val="auto"/>
                <w:szCs w:val="21"/>
              </w:rPr>
              <w:t>烧结电触头材料</w:t>
            </w:r>
          </w:p>
          <w:p w14:paraId="7BF3DDF2">
            <w:pPr>
              <w:snapToGrid w:val="0"/>
              <w:spacing w:line="300" w:lineRule="exact"/>
              <w:jc w:val="left"/>
              <w:rPr>
                <w:rFonts w:asciiTheme="minorHAnsi" w:hAnsiTheme="minorHAnsi" w:cstheme="minorHAnsi"/>
                <w:color w:val="auto"/>
                <w:szCs w:val="21"/>
              </w:rPr>
            </w:pPr>
            <w:r>
              <w:rPr>
                <w:rFonts w:asciiTheme="minorHAnsi" w:hAnsiTheme="minorHAnsi" w:cstheme="minorHAnsi"/>
                <w:color w:val="auto"/>
                <w:szCs w:val="21"/>
              </w:rPr>
              <w:t>具有高电导率和抗电弧烧蚀的烧结材料，例如钨-铜，钨-银，银-石墨和银-氧化镉复合材料。</w:t>
            </w:r>
          </w:p>
          <w:p w14:paraId="559699A1">
            <w:pPr>
              <w:spacing w:line="300" w:lineRule="exact"/>
              <w:jc w:val="left"/>
              <w:rPr>
                <w:rFonts w:asciiTheme="minorHAnsi" w:hAnsiTheme="minorHAnsi" w:cstheme="minorHAnsi"/>
                <w:color w:val="auto"/>
                <w:kern w:val="0"/>
                <w:szCs w:val="21"/>
              </w:rPr>
            </w:pPr>
          </w:p>
        </w:tc>
      </w:tr>
      <w:tr w14:paraId="098D5F2E">
        <w:tblPrEx>
          <w:tblCellMar>
            <w:top w:w="0" w:type="dxa"/>
            <w:left w:w="108" w:type="dxa"/>
            <w:bottom w:w="0" w:type="dxa"/>
            <w:right w:w="108" w:type="dxa"/>
          </w:tblCellMar>
        </w:tblPrEx>
        <w:trPr>
          <w:trHeight w:val="4667"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7E8F52E8">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3.5.12</w:t>
            </w: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5B6C92D4">
            <w:pPr>
              <w:spacing w:before="120" w:after="120" w:line="300" w:lineRule="exact"/>
              <w:jc w:val="left"/>
              <w:rPr>
                <w:rFonts w:asciiTheme="minorHAnsi" w:hAnsiTheme="minorHAnsi" w:cstheme="minorHAnsi"/>
                <w:color w:val="auto"/>
                <w:kern w:val="0"/>
                <w:szCs w:val="21"/>
              </w:rPr>
            </w:pPr>
            <w:r>
              <w:rPr>
                <w:rFonts w:asciiTheme="minorHAnsi" w:hAnsiTheme="minorHAnsi" w:cstheme="minorHAnsi"/>
                <w:b/>
                <w:bCs/>
                <w:color w:val="auto"/>
                <w:kern w:val="0"/>
                <w:szCs w:val="21"/>
              </w:rPr>
              <w:t>sintered metal-matrix composite (MMC)</w:t>
            </w:r>
            <w:r>
              <w:rPr>
                <w:rFonts w:asciiTheme="minorHAnsi" w:hAnsiTheme="minorHAnsi" w:cstheme="minorHAnsi"/>
                <w:color w:val="auto"/>
                <w:kern w:val="0"/>
                <w:szCs w:val="21"/>
              </w:rPr>
              <w:t xml:space="preserve">  </w:t>
            </w:r>
          </w:p>
          <w:p w14:paraId="6F49B54A">
            <w:pPr>
              <w:spacing w:before="120" w:after="120"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sintered material consisting of a metal matrix and a dispersed second phase (plus possibly other dispersed phases) essentially insoluble in the matrix</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79BCD5C2">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烧结金属基复合材料（Sintered metal-matrix composite(MMC)）：由金属基体和基本上不溶于基体的弥散第二相（可能加上其他弥散相）组成的烧结材料。</w:t>
            </w: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5C6179AC">
            <w:pPr>
              <w:spacing w:line="300" w:lineRule="exact"/>
              <w:jc w:val="left"/>
              <w:rPr>
                <w:rFonts w:asciiTheme="minorHAnsi" w:hAnsiTheme="minorHAnsi" w:cstheme="minorHAnsi"/>
                <w:b/>
                <w:color w:val="auto"/>
                <w:kern w:val="0"/>
                <w:szCs w:val="21"/>
              </w:rPr>
            </w:pPr>
            <w:r>
              <w:rPr>
                <w:rFonts w:asciiTheme="minorHAnsi" w:hAnsiTheme="minorHAnsi" w:cstheme="minorHAnsi"/>
                <w:b/>
                <w:color w:val="auto"/>
                <w:kern w:val="0"/>
                <w:szCs w:val="21"/>
              </w:rPr>
              <w:t>sintered metal-matrix composite</w:t>
            </w:r>
          </w:p>
          <w:p w14:paraId="2285A19D">
            <w:pPr>
              <w:spacing w:line="300" w:lineRule="exact"/>
              <w:jc w:val="left"/>
              <w:rPr>
                <w:rFonts w:asciiTheme="minorHAnsi" w:hAnsiTheme="minorHAnsi" w:cstheme="minorHAnsi"/>
                <w:b/>
                <w:color w:val="auto"/>
                <w:kern w:val="0"/>
                <w:szCs w:val="21"/>
              </w:rPr>
            </w:pPr>
            <w:r>
              <w:rPr>
                <w:rFonts w:asciiTheme="minorHAnsi" w:hAnsiTheme="minorHAnsi" w:cstheme="minorHAnsi"/>
                <w:b/>
                <w:color w:val="auto"/>
                <w:kern w:val="0"/>
                <w:szCs w:val="21"/>
              </w:rPr>
              <w:t>MMC</w:t>
            </w:r>
          </w:p>
          <w:p w14:paraId="7B95CD9D">
            <w:pPr>
              <w:spacing w:line="300" w:lineRule="exact"/>
              <w:jc w:val="left"/>
              <w:rPr>
                <w:rFonts w:asciiTheme="minorHAnsi" w:hAnsiTheme="minorHAnsi" w:cstheme="minorHAnsi"/>
                <w:color w:val="auto"/>
                <w:kern w:val="0"/>
                <w:szCs w:val="21"/>
              </w:rPr>
            </w:pPr>
            <w:r>
              <w:rPr>
                <w:rFonts w:asciiTheme="minorHAnsi" w:hAnsiTheme="minorHAnsi" w:cstheme="minorHAnsi"/>
                <w:i/>
                <w:color w:val="auto"/>
                <w:kern w:val="0"/>
                <w:szCs w:val="21"/>
              </w:rPr>
              <w:t>sintered material</w:t>
            </w:r>
            <w:r>
              <w:rPr>
                <w:rFonts w:asciiTheme="minorHAnsi" w:hAnsiTheme="minorHAnsi" w:cstheme="minorHAnsi"/>
                <w:color w:val="auto"/>
                <w:kern w:val="0"/>
                <w:szCs w:val="21"/>
              </w:rPr>
              <w:t xml:space="preserve"> (3.5.10) consisting of a metal matrix and a dispersed second phase plus possibly other dispersed phases essentially insoluble in the matrix</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3CFDE81C">
            <w:pPr>
              <w:pStyle w:val="58"/>
              <w:spacing w:line="300" w:lineRule="exact"/>
              <w:jc w:val="left"/>
              <w:rPr>
                <w:rFonts w:eastAsia="宋体" w:asciiTheme="minorHAnsi" w:hAnsiTheme="minorHAnsi" w:cstheme="minorHAnsi"/>
                <w:color w:val="auto"/>
                <w:kern w:val="0"/>
                <w:szCs w:val="21"/>
              </w:rPr>
            </w:pPr>
            <w:r>
              <w:rPr>
                <w:rFonts w:eastAsia="宋体" w:asciiTheme="minorHAnsi" w:hAnsiTheme="minorHAnsi" w:cstheme="minorHAnsi"/>
                <w:color w:val="auto"/>
                <w:kern w:val="0"/>
                <w:szCs w:val="21"/>
              </w:rPr>
              <w:t>烧结金属基复合材料  sintered metal-matrix composite（MMC）</w:t>
            </w:r>
          </w:p>
          <w:p w14:paraId="73BE5F8C">
            <w:pPr>
              <w:spacing w:line="300" w:lineRule="exact"/>
              <w:ind w:firstLine="420"/>
              <w:jc w:val="left"/>
              <w:rPr>
                <w:rFonts w:asciiTheme="minorHAnsi" w:hAnsiTheme="minorHAnsi" w:cstheme="minorHAnsi"/>
                <w:color w:val="auto"/>
                <w:kern w:val="0"/>
                <w:szCs w:val="21"/>
              </w:rPr>
            </w:pPr>
            <w:r>
              <w:rPr>
                <w:rFonts w:asciiTheme="minorHAnsi" w:hAnsiTheme="minorHAnsi" w:cstheme="minorHAnsi"/>
                <w:color w:val="auto"/>
                <w:kern w:val="0"/>
                <w:szCs w:val="21"/>
              </w:rPr>
              <w:t>由金属基体和弥散第二相，以及可能存在的其他弥散相组成的烧结材料（3.5.10），这些弥散相基本不溶于基体。</w:t>
            </w:r>
          </w:p>
          <w:p w14:paraId="696474D8">
            <w:pPr>
              <w:spacing w:line="300" w:lineRule="exact"/>
              <w:jc w:val="left"/>
              <w:rPr>
                <w:rFonts w:asciiTheme="minorHAnsi" w:hAnsiTheme="minorHAnsi" w:cstheme="minorHAnsi"/>
                <w:i/>
                <w:color w:val="auto"/>
                <w:kern w:val="0"/>
                <w:szCs w:val="21"/>
              </w:rPr>
            </w:pPr>
          </w:p>
        </w:tc>
        <w:tc>
          <w:tcPr>
            <w:tcW w:w="2503" w:type="dxa"/>
            <w:tcBorders>
              <w:top w:val="single" w:color="auto" w:sz="4" w:space="0"/>
              <w:left w:val="single" w:color="auto" w:sz="4" w:space="0"/>
              <w:bottom w:val="single" w:color="auto" w:sz="4" w:space="0"/>
              <w:right w:val="single" w:color="auto" w:sz="4" w:space="0"/>
            </w:tcBorders>
          </w:tcPr>
          <w:p w14:paraId="4DE36D64">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烧结金属基复合材料</w:t>
            </w:r>
          </w:p>
          <w:p w14:paraId="28E876E3">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MMC</w:t>
            </w:r>
          </w:p>
          <w:p w14:paraId="7925A8F8">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烧结材料（3.5.10），由金属基质和弥散第二相以及可能存在的其他基本不溶于基质的弥散相组成</w:t>
            </w:r>
          </w:p>
        </w:tc>
        <w:tc>
          <w:tcPr>
            <w:tcW w:w="2164" w:type="dxa"/>
            <w:tcBorders>
              <w:top w:val="single" w:color="auto" w:sz="4" w:space="0"/>
              <w:left w:val="single" w:color="auto" w:sz="4" w:space="0"/>
              <w:bottom w:val="single" w:color="auto" w:sz="4" w:space="0"/>
              <w:right w:val="single" w:color="auto" w:sz="4" w:space="0"/>
            </w:tcBorders>
          </w:tcPr>
          <w:p w14:paraId="34D02F60">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 xml:space="preserve">烧结金属基复合材料  </w:t>
            </w:r>
          </w:p>
          <w:p w14:paraId="31B64453">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由金属基体和基本上不溶于基体的弥散第二相(可能加上其他弥散相)组成的烧结材料。</w:t>
            </w:r>
          </w:p>
          <w:p w14:paraId="386804D0">
            <w:pPr>
              <w:spacing w:line="300" w:lineRule="exact"/>
              <w:jc w:val="left"/>
              <w:rPr>
                <w:rFonts w:asciiTheme="minorHAnsi" w:hAnsiTheme="minorHAnsi" w:cstheme="minorHAnsi"/>
                <w:color w:val="auto"/>
                <w:kern w:val="0"/>
                <w:szCs w:val="21"/>
              </w:rPr>
            </w:pPr>
          </w:p>
        </w:tc>
      </w:tr>
      <w:tr w14:paraId="339458C0">
        <w:tblPrEx>
          <w:tblCellMar>
            <w:top w:w="0" w:type="dxa"/>
            <w:left w:w="108" w:type="dxa"/>
            <w:bottom w:w="0" w:type="dxa"/>
            <w:right w:w="108" w:type="dxa"/>
          </w:tblCellMar>
        </w:tblPrEx>
        <w:trPr>
          <w:trHeight w:val="633" w:hRule="atLeast"/>
          <w:jc w:val="center"/>
        </w:trPr>
        <w:tc>
          <w:tcPr>
            <w:tcW w:w="875" w:type="dxa"/>
            <w:tcBorders>
              <w:top w:val="single" w:color="auto" w:sz="4" w:space="0"/>
              <w:left w:val="single" w:color="auto" w:sz="4" w:space="0"/>
              <w:bottom w:val="single" w:color="auto" w:sz="4" w:space="0"/>
              <w:right w:val="single" w:color="auto" w:sz="4" w:space="0"/>
            </w:tcBorders>
            <w:shd w:val="clear" w:color="auto" w:fill="auto"/>
          </w:tcPr>
          <w:p w14:paraId="0F89235B">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3.5.13</w:t>
            </w:r>
          </w:p>
        </w:tc>
        <w:tc>
          <w:tcPr>
            <w:tcW w:w="2121" w:type="dxa"/>
            <w:tcBorders>
              <w:top w:val="single" w:color="auto" w:sz="4" w:space="0"/>
              <w:left w:val="single" w:color="auto" w:sz="4" w:space="0"/>
              <w:bottom w:val="single" w:color="auto" w:sz="4" w:space="0"/>
              <w:right w:val="single" w:color="auto" w:sz="4" w:space="0"/>
            </w:tcBorders>
            <w:shd w:val="clear" w:color="auto" w:fill="auto"/>
          </w:tcPr>
          <w:p w14:paraId="1B1E2404">
            <w:pPr>
              <w:spacing w:before="120" w:after="120" w:line="300" w:lineRule="exact"/>
              <w:jc w:val="left"/>
              <w:rPr>
                <w:rFonts w:asciiTheme="minorHAnsi" w:hAnsiTheme="minorHAnsi" w:cstheme="minorHAnsi"/>
                <w:b/>
                <w:bCs/>
                <w:color w:val="auto"/>
                <w:kern w:val="0"/>
                <w:szCs w:val="21"/>
              </w:rPr>
            </w:pPr>
            <w:r>
              <w:rPr>
                <w:rFonts w:asciiTheme="minorHAnsi" w:hAnsiTheme="minorHAnsi" w:cstheme="minorHAnsi"/>
                <w:b/>
                <w:bCs/>
                <w:color w:val="auto"/>
                <w:kern w:val="0"/>
                <w:szCs w:val="21"/>
              </w:rPr>
              <w:t xml:space="preserve">sintered part  </w:t>
            </w:r>
          </w:p>
          <w:p w14:paraId="6E586BA4">
            <w:pPr>
              <w:spacing w:before="120" w:after="120"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sintered product/component, formed from powder and strengthened by sintering, that normally has close tolerances and is ready to be installed</w:t>
            </w:r>
          </w:p>
        </w:tc>
        <w:tc>
          <w:tcPr>
            <w:tcW w:w="1980" w:type="dxa"/>
            <w:tcBorders>
              <w:top w:val="single" w:color="auto" w:sz="4" w:space="0"/>
              <w:left w:val="single" w:color="auto" w:sz="4" w:space="0"/>
              <w:bottom w:val="single" w:color="auto" w:sz="4" w:space="0"/>
              <w:right w:val="single" w:color="auto" w:sz="4" w:space="0"/>
            </w:tcBorders>
            <w:shd w:val="clear" w:color="auto" w:fill="auto"/>
          </w:tcPr>
          <w:p w14:paraId="512669A3">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烧结零件（sintered part）：由粉末成形并经烧结强化的烧结制品，零件通常都具有精密的公差和便于安装的特点。</w:t>
            </w:r>
          </w:p>
        </w:tc>
        <w:tc>
          <w:tcPr>
            <w:tcW w:w="3832" w:type="dxa"/>
            <w:tcBorders>
              <w:top w:val="single" w:color="auto" w:sz="4" w:space="0"/>
              <w:left w:val="single" w:color="auto" w:sz="4" w:space="0"/>
              <w:bottom w:val="single" w:color="auto" w:sz="4" w:space="0"/>
              <w:right w:val="single" w:color="auto" w:sz="4" w:space="0"/>
            </w:tcBorders>
            <w:shd w:val="clear" w:color="auto" w:fill="auto"/>
          </w:tcPr>
          <w:p w14:paraId="49AF842E">
            <w:pPr>
              <w:spacing w:line="300" w:lineRule="exact"/>
              <w:jc w:val="left"/>
              <w:rPr>
                <w:rFonts w:asciiTheme="minorHAnsi" w:hAnsiTheme="minorHAnsi" w:cstheme="minorHAnsi"/>
                <w:b/>
                <w:color w:val="auto"/>
                <w:kern w:val="0"/>
                <w:szCs w:val="21"/>
              </w:rPr>
            </w:pPr>
            <w:r>
              <w:rPr>
                <w:rFonts w:asciiTheme="minorHAnsi" w:hAnsiTheme="minorHAnsi" w:cstheme="minorHAnsi"/>
                <w:b/>
                <w:color w:val="auto"/>
                <w:kern w:val="0"/>
                <w:szCs w:val="21"/>
              </w:rPr>
              <w:t>sintered part</w:t>
            </w:r>
          </w:p>
          <w:p w14:paraId="6D6EBD1D">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product or component, formed from powder and strengthened by sintering</w:t>
            </w:r>
          </w:p>
        </w:tc>
        <w:tc>
          <w:tcPr>
            <w:tcW w:w="2841" w:type="dxa"/>
            <w:tcBorders>
              <w:top w:val="single" w:color="auto" w:sz="4" w:space="0"/>
              <w:left w:val="single" w:color="auto" w:sz="4" w:space="0"/>
              <w:bottom w:val="single" w:color="auto" w:sz="4" w:space="0"/>
              <w:right w:val="single" w:color="auto" w:sz="4" w:space="0"/>
            </w:tcBorders>
            <w:shd w:val="clear" w:color="auto" w:fill="DEEBF6"/>
          </w:tcPr>
          <w:p w14:paraId="4C59EAA9">
            <w:pPr>
              <w:pStyle w:val="58"/>
              <w:spacing w:line="300" w:lineRule="exact"/>
              <w:jc w:val="left"/>
              <w:rPr>
                <w:rFonts w:eastAsia="宋体" w:asciiTheme="minorHAnsi" w:hAnsiTheme="minorHAnsi" w:cstheme="minorHAnsi"/>
                <w:color w:val="auto"/>
                <w:kern w:val="0"/>
                <w:szCs w:val="21"/>
              </w:rPr>
            </w:pPr>
            <w:r>
              <w:rPr>
                <w:rFonts w:eastAsia="宋体" w:asciiTheme="minorHAnsi" w:hAnsiTheme="minorHAnsi" w:cstheme="minorHAnsi"/>
                <w:color w:val="auto"/>
                <w:kern w:val="0"/>
                <w:szCs w:val="21"/>
              </w:rPr>
              <w:t>烧结零件  sintered part</w:t>
            </w:r>
          </w:p>
          <w:p w14:paraId="308C293E">
            <w:pPr>
              <w:spacing w:line="300" w:lineRule="exact"/>
              <w:ind w:firstLine="420"/>
              <w:jc w:val="left"/>
              <w:rPr>
                <w:rStyle w:val="54"/>
                <w:rFonts w:asciiTheme="minorHAnsi" w:hAnsiTheme="minorHAnsi" w:cstheme="minorHAnsi"/>
                <w:b w:val="0"/>
                <w:bCs w:val="0"/>
                <w:color w:val="auto"/>
                <w:kern w:val="0"/>
                <w:szCs w:val="21"/>
              </w:rPr>
            </w:pPr>
            <w:r>
              <w:rPr>
                <w:rStyle w:val="54"/>
                <w:rFonts w:asciiTheme="minorHAnsi" w:hAnsiTheme="minorHAnsi" w:cstheme="minorHAnsi"/>
                <w:color w:val="auto"/>
                <w:kern w:val="0"/>
                <w:szCs w:val="21"/>
              </w:rPr>
              <w:t>由粉末成形并经烧结强化的制品或零件。</w:t>
            </w:r>
          </w:p>
          <w:p w14:paraId="0C16ECD1">
            <w:pPr>
              <w:spacing w:line="300" w:lineRule="exact"/>
              <w:jc w:val="left"/>
              <w:rPr>
                <w:rFonts w:asciiTheme="minorHAnsi" w:hAnsiTheme="minorHAnsi" w:cstheme="minorHAnsi"/>
                <w:color w:val="auto"/>
                <w:kern w:val="0"/>
                <w:szCs w:val="21"/>
              </w:rPr>
            </w:pPr>
          </w:p>
        </w:tc>
        <w:tc>
          <w:tcPr>
            <w:tcW w:w="2503" w:type="dxa"/>
            <w:tcBorders>
              <w:top w:val="single" w:color="auto" w:sz="4" w:space="0"/>
              <w:left w:val="single" w:color="auto" w:sz="4" w:space="0"/>
              <w:bottom w:val="single" w:color="auto" w:sz="4" w:space="0"/>
              <w:right w:val="single" w:color="auto" w:sz="4" w:space="0"/>
            </w:tcBorders>
          </w:tcPr>
          <w:p w14:paraId="6687D7BA">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烧结零件</w:t>
            </w:r>
          </w:p>
          <w:p w14:paraId="046BF78E">
            <w:pPr>
              <w:spacing w:line="300" w:lineRule="exact"/>
              <w:jc w:val="left"/>
              <w:rPr>
                <w:rFonts w:asciiTheme="minorHAnsi" w:hAnsiTheme="minorHAnsi" w:cstheme="minorHAnsi"/>
                <w:color w:val="auto"/>
                <w:szCs w:val="21"/>
              </w:rPr>
            </w:pPr>
            <w:r>
              <w:rPr>
                <w:rFonts w:asciiTheme="minorHAnsi" w:hAnsiTheme="minorHAnsi" w:cstheme="minorHAnsi"/>
                <w:color w:val="auto"/>
                <w:kern w:val="0"/>
                <w:szCs w:val="21"/>
              </w:rPr>
              <w:t>由粉末成型并通过烧结强化值得的产品或部件</w:t>
            </w:r>
          </w:p>
        </w:tc>
        <w:tc>
          <w:tcPr>
            <w:tcW w:w="2164" w:type="dxa"/>
            <w:tcBorders>
              <w:top w:val="single" w:color="auto" w:sz="4" w:space="0"/>
              <w:left w:val="single" w:color="auto" w:sz="4" w:space="0"/>
              <w:bottom w:val="single" w:color="auto" w:sz="4" w:space="0"/>
              <w:right w:val="single" w:color="auto" w:sz="4" w:space="0"/>
            </w:tcBorders>
          </w:tcPr>
          <w:p w14:paraId="3D04B52A">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 xml:space="preserve">烧结零件  </w:t>
            </w:r>
          </w:p>
          <w:p w14:paraId="78A6D708">
            <w:pPr>
              <w:spacing w:line="300" w:lineRule="exact"/>
              <w:jc w:val="left"/>
              <w:rPr>
                <w:rFonts w:asciiTheme="minorHAnsi" w:hAnsiTheme="minorHAnsi" w:cstheme="minorHAnsi"/>
                <w:color w:val="auto"/>
                <w:kern w:val="0"/>
                <w:szCs w:val="21"/>
              </w:rPr>
            </w:pPr>
            <w:r>
              <w:rPr>
                <w:rFonts w:asciiTheme="minorHAnsi" w:hAnsiTheme="minorHAnsi" w:cstheme="minorHAnsi"/>
                <w:color w:val="auto"/>
                <w:kern w:val="0"/>
                <w:szCs w:val="21"/>
              </w:rPr>
              <w:t>由粉末成形并经烧结强化的烧结制品，零件通常都具有精密的公差和便于安装的特点。</w:t>
            </w:r>
          </w:p>
        </w:tc>
      </w:tr>
      <w:bookmarkEnd w:id="51"/>
    </w:tbl>
    <w:p w14:paraId="5D1D878E">
      <w:pPr>
        <w:spacing w:line="300" w:lineRule="exact"/>
        <w:jc w:val="left"/>
        <w:rPr>
          <w:rFonts w:asciiTheme="minorHAnsi" w:hAnsiTheme="minorHAnsi" w:cstheme="minorHAnsi"/>
          <w:color w:val="auto"/>
          <w:sz w:val="18"/>
          <w:szCs w:val="18"/>
        </w:rPr>
      </w:pPr>
    </w:p>
    <w:p w14:paraId="572F7D48">
      <w:pPr>
        <w:spacing w:line="300" w:lineRule="exact"/>
        <w:rPr>
          <w:rFonts w:asciiTheme="minorHAnsi" w:hAnsiTheme="minorHAnsi" w:cstheme="minorHAnsi"/>
          <w:color w:val="auto"/>
          <w:sz w:val="22"/>
        </w:rPr>
      </w:pPr>
    </w:p>
    <w:p w14:paraId="61A2B841">
      <w:pPr>
        <w:spacing w:line="300" w:lineRule="exact"/>
        <w:rPr>
          <w:rFonts w:asciiTheme="minorHAnsi" w:hAnsiTheme="minorHAnsi" w:cstheme="minorHAnsi"/>
          <w:color w:val="auto"/>
          <w:sz w:val="22"/>
        </w:rPr>
      </w:pPr>
    </w:p>
    <w:p w14:paraId="64314EF1">
      <w:pPr>
        <w:spacing w:line="300" w:lineRule="exact"/>
        <w:rPr>
          <w:rFonts w:asciiTheme="minorHAnsi" w:hAnsiTheme="minorHAnsi" w:cstheme="minorHAnsi"/>
          <w:color w:val="auto"/>
          <w:sz w:val="22"/>
        </w:rPr>
      </w:pPr>
    </w:p>
    <w:p w14:paraId="3D69E0CB">
      <w:pPr>
        <w:spacing w:line="300" w:lineRule="exact"/>
        <w:rPr>
          <w:rFonts w:asciiTheme="minorHAnsi" w:hAnsiTheme="minorHAnsi" w:cstheme="minorHAnsi"/>
          <w:b/>
          <w:color w:val="auto"/>
          <w:sz w:val="28"/>
          <w:szCs w:val="28"/>
        </w:rPr>
      </w:pPr>
      <w:r>
        <w:rPr>
          <w:rFonts w:hint="eastAsia" w:asciiTheme="minorHAnsi" w:hAnsiTheme="minorHAnsi" w:cstheme="minorHAnsi"/>
          <w:b/>
          <w:color w:val="auto"/>
          <w:sz w:val="28"/>
          <w:szCs w:val="28"/>
        </w:rPr>
        <w:t>附表3</w:t>
      </w:r>
    </w:p>
    <w:p w14:paraId="07346077">
      <w:pPr>
        <w:spacing w:line="300" w:lineRule="exact"/>
        <w:rPr>
          <w:rFonts w:asciiTheme="minorHAnsi" w:hAnsiTheme="minorHAnsi" w:cstheme="minorHAnsi"/>
          <w:color w:val="auto"/>
          <w:sz w:val="22"/>
        </w:rPr>
      </w:pPr>
    </w:p>
    <w:tbl>
      <w:tblPr>
        <w:tblStyle w:val="59"/>
        <w:tblW w:w="154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2450"/>
        <w:gridCol w:w="2102"/>
        <w:gridCol w:w="2376"/>
        <w:gridCol w:w="3044"/>
        <w:gridCol w:w="2663"/>
        <w:gridCol w:w="2125"/>
      </w:tblGrid>
      <w:tr w14:paraId="3FD56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5432" w:type="dxa"/>
            <w:gridSpan w:val="7"/>
            <w:tcBorders>
              <w:top w:val="single" w:color="auto" w:sz="4" w:space="0"/>
              <w:left w:val="single" w:color="auto" w:sz="4" w:space="0"/>
              <w:bottom w:val="single" w:color="auto" w:sz="4" w:space="0"/>
              <w:right w:val="single" w:color="auto" w:sz="4" w:space="0"/>
            </w:tcBorders>
            <w:shd w:val="clear" w:color="auto" w:fill="EDEDED" w:themeFill="accent3" w:themeFillTint="32"/>
            <w:vAlign w:val="center"/>
          </w:tcPr>
          <w:p w14:paraId="1CCB5700">
            <w:pPr>
              <w:spacing w:line="300" w:lineRule="exact"/>
              <w:jc w:val="center"/>
              <w:rPr>
                <w:rFonts w:eastAsia="宋体" w:asciiTheme="minorHAnsi" w:hAnsiTheme="minorHAnsi" w:cstheme="minorHAnsi"/>
                <w:color w:val="auto"/>
                <w:kern w:val="0"/>
                <w:szCs w:val="21"/>
              </w:rPr>
            </w:pPr>
            <w:r>
              <w:rPr>
                <w:rFonts w:hint="eastAsia" w:eastAsia="宋体" w:asciiTheme="minorHAnsi" w:hAnsiTheme="minorHAnsi" w:cstheme="minorHAnsi"/>
                <w:b/>
                <w:bCs/>
                <w:color w:val="auto"/>
                <w:kern w:val="0"/>
                <w:sz w:val="28"/>
                <w:szCs w:val="28"/>
              </w:rPr>
              <w:t>英文未变但中文修改的词条</w:t>
            </w:r>
          </w:p>
        </w:tc>
      </w:tr>
      <w:tr w14:paraId="15E88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2" w:type="dxa"/>
            <w:tcBorders>
              <w:top w:val="single" w:color="auto" w:sz="4" w:space="0"/>
              <w:left w:val="single" w:color="auto" w:sz="4" w:space="0"/>
              <w:bottom w:val="single" w:color="auto" w:sz="4" w:space="0"/>
              <w:right w:val="single" w:color="auto" w:sz="4" w:space="0"/>
            </w:tcBorders>
            <w:shd w:val="clear" w:color="auto" w:fill="EDEDED" w:themeFill="accent3" w:themeFillTint="32"/>
            <w:vAlign w:val="center"/>
          </w:tcPr>
          <w:p w14:paraId="79B3FC00">
            <w:pPr>
              <w:spacing w:line="300" w:lineRule="exact"/>
              <w:jc w:val="center"/>
              <w:rPr>
                <w:rFonts w:asciiTheme="minorHAnsi" w:hAnsiTheme="minorHAnsi" w:eastAsiaTheme="minorEastAsia" w:cstheme="minorBidi"/>
                <w:b/>
                <w:bCs/>
                <w:color w:val="auto"/>
                <w:szCs w:val="21"/>
              </w:rPr>
            </w:pPr>
            <w:r>
              <w:rPr>
                <w:rFonts w:eastAsia="宋体" w:asciiTheme="minorHAnsi" w:hAnsiTheme="minorHAnsi" w:cstheme="minorHAnsi"/>
                <w:b/>
                <w:bCs/>
                <w:color w:val="auto"/>
                <w:kern w:val="0"/>
                <w:sz w:val="20"/>
                <w:szCs w:val="20"/>
              </w:rPr>
              <w:t>词条号</w:t>
            </w:r>
          </w:p>
        </w:tc>
        <w:tc>
          <w:tcPr>
            <w:tcW w:w="2450" w:type="dxa"/>
            <w:tcBorders>
              <w:top w:val="single" w:color="auto" w:sz="4" w:space="0"/>
              <w:left w:val="single" w:color="auto" w:sz="4" w:space="0"/>
              <w:bottom w:val="single" w:color="auto" w:sz="4" w:space="0"/>
              <w:right w:val="single" w:color="auto" w:sz="4" w:space="0"/>
            </w:tcBorders>
            <w:shd w:val="clear" w:color="auto" w:fill="EDEDED" w:themeFill="accent3" w:themeFillTint="32"/>
            <w:vAlign w:val="center"/>
          </w:tcPr>
          <w:p w14:paraId="08D784B7">
            <w:pPr>
              <w:spacing w:line="300" w:lineRule="exact"/>
              <w:jc w:val="center"/>
              <w:rPr>
                <w:rFonts w:ascii="Times New Roman" w:hAnsi="Times New Roman" w:eastAsia="等线" w:cs="Times New Roman"/>
                <w:b/>
                <w:bCs/>
                <w:color w:val="auto"/>
                <w:sz w:val="22"/>
              </w:rPr>
            </w:pPr>
            <w:r>
              <w:rPr>
                <w:rFonts w:eastAsia="宋体" w:asciiTheme="minorHAnsi" w:hAnsiTheme="minorHAnsi" w:cstheme="minorHAnsi"/>
                <w:b/>
                <w:bCs/>
                <w:color w:val="auto"/>
                <w:kern w:val="0"/>
                <w:szCs w:val="21"/>
              </w:rPr>
              <w:t>2008版英文内容</w:t>
            </w:r>
          </w:p>
        </w:tc>
        <w:tc>
          <w:tcPr>
            <w:tcW w:w="2102" w:type="dxa"/>
            <w:tcBorders>
              <w:top w:val="single" w:color="auto" w:sz="4" w:space="0"/>
              <w:left w:val="single" w:color="auto" w:sz="4" w:space="0"/>
              <w:bottom w:val="single" w:color="auto" w:sz="4" w:space="0"/>
              <w:right w:val="single" w:color="auto" w:sz="4" w:space="0"/>
            </w:tcBorders>
            <w:shd w:val="clear" w:color="auto" w:fill="EDEDED" w:themeFill="accent3" w:themeFillTint="32"/>
            <w:vAlign w:val="center"/>
          </w:tcPr>
          <w:p w14:paraId="4F0B0592">
            <w:pPr>
              <w:spacing w:line="300" w:lineRule="exact"/>
              <w:jc w:val="center"/>
              <w:rPr>
                <w:rFonts w:ascii="Arial" w:hAnsi="Arial" w:eastAsia="等线" w:cs="Arial"/>
                <w:b/>
                <w:bCs/>
                <w:color w:val="auto"/>
                <w:sz w:val="22"/>
              </w:rPr>
            </w:pPr>
            <w:r>
              <w:rPr>
                <w:rFonts w:eastAsia="宋体" w:asciiTheme="minorHAnsi" w:hAnsiTheme="minorHAnsi" w:cstheme="minorHAnsi"/>
                <w:b/>
                <w:bCs/>
                <w:color w:val="auto"/>
                <w:kern w:val="0"/>
                <w:szCs w:val="21"/>
              </w:rPr>
              <w:t>2008版中文</w:t>
            </w:r>
          </w:p>
        </w:tc>
        <w:tc>
          <w:tcPr>
            <w:tcW w:w="2376" w:type="dxa"/>
            <w:tcBorders>
              <w:top w:val="single" w:color="auto" w:sz="4" w:space="0"/>
              <w:left w:val="single" w:color="auto" w:sz="4" w:space="0"/>
              <w:bottom w:val="single" w:color="auto" w:sz="4" w:space="0"/>
              <w:right w:val="single" w:color="auto" w:sz="4" w:space="0"/>
            </w:tcBorders>
            <w:shd w:val="clear" w:color="auto" w:fill="EDEDED" w:themeFill="accent3" w:themeFillTint="32"/>
            <w:vAlign w:val="center"/>
          </w:tcPr>
          <w:p w14:paraId="74E18881">
            <w:pPr>
              <w:spacing w:line="300" w:lineRule="exact"/>
              <w:jc w:val="center"/>
              <w:rPr>
                <w:rFonts w:ascii="Calibri Light" w:hAnsi="Calibri Light" w:eastAsia="Cambria" w:cs="Calibri Light"/>
                <w:b/>
                <w:bCs/>
                <w:color w:val="auto"/>
                <w:kern w:val="0"/>
                <w:szCs w:val="21"/>
              </w:rPr>
            </w:pPr>
            <w:r>
              <w:rPr>
                <w:rFonts w:eastAsia="宋体" w:asciiTheme="minorHAnsi" w:hAnsiTheme="minorHAnsi" w:cstheme="minorHAnsi"/>
                <w:b/>
                <w:bCs/>
                <w:color w:val="auto"/>
                <w:kern w:val="0"/>
                <w:szCs w:val="21"/>
              </w:rPr>
              <w:t>英文内容</w:t>
            </w:r>
          </w:p>
        </w:tc>
        <w:tc>
          <w:tcPr>
            <w:tcW w:w="3044" w:type="dxa"/>
            <w:tcBorders>
              <w:top w:val="single" w:color="auto" w:sz="4" w:space="0"/>
              <w:left w:val="single" w:color="auto" w:sz="4" w:space="0"/>
              <w:bottom w:val="single" w:color="auto" w:sz="4" w:space="0"/>
              <w:right w:val="single" w:color="auto" w:sz="4" w:space="0"/>
            </w:tcBorders>
            <w:shd w:val="clear" w:color="auto" w:fill="EDEDED" w:themeFill="accent3" w:themeFillTint="32"/>
            <w:vAlign w:val="center"/>
          </w:tcPr>
          <w:p w14:paraId="0B3EAE3C">
            <w:pPr>
              <w:spacing w:line="300" w:lineRule="exact"/>
              <w:jc w:val="center"/>
              <w:rPr>
                <w:rFonts w:asciiTheme="minorHAnsi" w:hAnsiTheme="minorHAnsi" w:eastAsiaTheme="minorEastAsia" w:cstheme="minorBidi"/>
                <w:b/>
                <w:bCs/>
                <w:color w:val="auto"/>
                <w:kern w:val="0"/>
                <w:szCs w:val="21"/>
              </w:rPr>
            </w:pPr>
            <w:r>
              <w:rPr>
                <w:rFonts w:hint="eastAsia" w:asciiTheme="minorHAnsi" w:hAnsiTheme="minorHAnsi" w:eastAsiaTheme="minorEastAsia" w:cstheme="minorBidi"/>
                <w:b/>
                <w:bCs/>
                <w:color w:val="auto"/>
                <w:kern w:val="0"/>
                <w:szCs w:val="21"/>
              </w:rPr>
              <w:t>最终讨论定稿</w:t>
            </w:r>
          </w:p>
        </w:tc>
        <w:tc>
          <w:tcPr>
            <w:tcW w:w="4788" w:type="dxa"/>
            <w:gridSpan w:val="2"/>
            <w:tcBorders>
              <w:top w:val="single" w:color="auto" w:sz="4" w:space="0"/>
              <w:left w:val="single" w:color="auto" w:sz="4" w:space="0"/>
              <w:bottom w:val="single" w:color="auto" w:sz="4" w:space="0"/>
              <w:right w:val="single" w:color="auto" w:sz="4" w:space="0"/>
            </w:tcBorders>
            <w:shd w:val="clear" w:color="auto" w:fill="EDEDED" w:themeFill="accent3" w:themeFillTint="32"/>
            <w:vAlign w:val="center"/>
          </w:tcPr>
          <w:p w14:paraId="7EAEE087">
            <w:pPr>
              <w:spacing w:line="300" w:lineRule="exact"/>
              <w:jc w:val="center"/>
              <w:rPr>
                <w:rFonts w:asciiTheme="minorHAnsi" w:hAnsiTheme="minorHAnsi" w:eastAsiaTheme="minorEastAsia" w:cstheme="minorBidi"/>
                <w:b/>
                <w:bCs/>
                <w:color w:val="auto"/>
                <w:kern w:val="0"/>
                <w:szCs w:val="21"/>
              </w:rPr>
            </w:pPr>
            <w:r>
              <w:rPr>
                <w:rFonts w:hint="eastAsia" w:asciiTheme="minorHAnsi" w:hAnsiTheme="minorHAnsi" w:eastAsiaTheme="minorEastAsia" w:cstheme="minorBidi"/>
                <w:b/>
                <w:bCs/>
                <w:color w:val="auto"/>
                <w:kern w:val="0"/>
                <w:szCs w:val="21"/>
              </w:rPr>
              <w:t>其他单位意见</w:t>
            </w:r>
          </w:p>
        </w:tc>
      </w:tr>
      <w:tr w14:paraId="2DF5D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6" w:hRule="atLeast"/>
          <w:jc w:val="center"/>
        </w:trPr>
        <w:tc>
          <w:tcPr>
            <w:tcW w:w="672" w:type="dxa"/>
            <w:tcBorders>
              <w:top w:val="single" w:color="auto" w:sz="4" w:space="0"/>
              <w:left w:val="single" w:color="auto" w:sz="4" w:space="0"/>
              <w:bottom w:val="single" w:color="auto" w:sz="4" w:space="0"/>
              <w:right w:val="single" w:color="auto" w:sz="4" w:space="0"/>
            </w:tcBorders>
            <w:shd w:val="clear" w:color="auto" w:fill="auto"/>
          </w:tcPr>
          <w:p w14:paraId="145F96AE">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3.1.15</w:t>
            </w:r>
          </w:p>
        </w:tc>
        <w:tc>
          <w:tcPr>
            <w:tcW w:w="2450" w:type="dxa"/>
            <w:tcBorders>
              <w:top w:val="single" w:color="auto" w:sz="4" w:space="0"/>
              <w:left w:val="single" w:color="auto" w:sz="4" w:space="0"/>
              <w:bottom w:val="single" w:color="auto" w:sz="4" w:space="0"/>
              <w:right w:val="single" w:color="auto" w:sz="4" w:space="0"/>
            </w:tcBorders>
            <w:shd w:val="clear" w:color="auto" w:fill="auto"/>
          </w:tcPr>
          <w:p w14:paraId="32243DB8">
            <w:pPr>
              <w:spacing w:before="120" w:after="120"/>
              <w:jc w:val="left"/>
              <w:rPr>
                <w:rFonts w:ascii="Times New Roman" w:hAnsi="Times New Roman" w:cs="Times New Roman" w:eastAsiaTheme="minorEastAsia"/>
                <w:b/>
                <w:bCs/>
                <w:color w:val="auto"/>
              </w:rPr>
            </w:pPr>
            <w:r>
              <w:rPr>
                <w:rFonts w:ascii="Times New Roman" w:hAnsi="Times New Roman" w:eastAsia="等线" w:cs="Times New Roman"/>
                <w:b/>
                <w:bCs/>
                <w:color w:val="auto"/>
                <w:sz w:val="22"/>
              </w:rPr>
              <w:t xml:space="preserve">carbonyl powder  </w:t>
            </w:r>
          </w:p>
          <w:p w14:paraId="336091A3">
            <w:pPr>
              <w:spacing w:before="120" w:after="120"/>
              <w:jc w:val="left"/>
              <w:rPr>
                <w:rFonts w:ascii="Times New Roman" w:hAnsi="Times New Roman" w:cs="Times New Roman" w:eastAsiaTheme="minorEastAsia"/>
                <w:color w:val="auto"/>
                <w:szCs w:val="21"/>
              </w:rPr>
            </w:pPr>
            <w:r>
              <w:rPr>
                <w:rFonts w:ascii="Times New Roman" w:hAnsi="Times New Roman" w:eastAsia="等线" w:cs="Times New Roman"/>
                <w:color w:val="auto"/>
                <w:sz w:val="22"/>
              </w:rPr>
              <w:t>powder produced by the thermal decomposition of a metal carbonyl</w:t>
            </w:r>
          </w:p>
        </w:tc>
        <w:tc>
          <w:tcPr>
            <w:tcW w:w="2102" w:type="dxa"/>
            <w:tcBorders>
              <w:top w:val="single" w:color="auto" w:sz="4" w:space="0"/>
              <w:left w:val="single" w:color="auto" w:sz="4" w:space="0"/>
              <w:bottom w:val="single" w:color="auto" w:sz="4" w:space="0"/>
              <w:right w:val="single" w:color="auto" w:sz="4" w:space="0"/>
            </w:tcBorders>
            <w:shd w:val="clear" w:color="auto" w:fill="auto"/>
          </w:tcPr>
          <w:p w14:paraId="1ABFF33B">
            <w:pPr>
              <w:spacing w:before="120" w:after="120" w:line="288" w:lineRule="auto"/>
              <w:jc w:val="left"/>
              <w:rPr>
                <w:rFonts w:asciiTheme="minorHAnsi" w:hAnsiTheme="minorHAnsi" w:eastAsiaTheme="minorEastAsia" w:cstheme="minorBidi"/>
                <w:color w:val="auto"/>
                <w:szCs w:val="21"/>
              </w:rPr>
            </w:pPr>
            <w:r>
              <w:rPr>
                <w:rFonts w:ascii="Arial" w:hAnsi="Arial" w:eastAsia="等线" w:cs="Arial"/>
                <w:color w:val="auto"/>
                <w:sz w:val="22"/>
              </w:rPr>
              <w:t>羰基粉（carbonyl powder）：热离解金属羰基化合物而制得的粉末。</w:t>
            </w:r>
          </w:p>
        </w:tc>
        <w:tc>
          <w:tcPr>
            <w:tcW w:w="2376" w:type="dxa"/>
            <w:tcBorders>
              <w:top w:val="single" w:color="auto" w:sz="4" w:space="0"/>
              <w:left w:val="single" w:color="auto" w:sz="4" w:space="0"/>
              <w:bottom w:val="single" w:color="auto" w:sz="4" w:space="0"/>
              <w:right w:val="single" w:color="auto" w:sz="4" w:space="0"/>
            </w:tcBorders>
            <w:shd w:val="clear" w:color="auto" w:fill="auto"/>
          </w:tcPr>
          <w:p w14:paraId="50E2F02E">
            <w:pPr>
              <w:kinsoku w:val="0"/>
              <w:autoSpaceDE w:val="0"/>
              <w:autoSpaceDN w:val="0"/>
              <w:adjustRightInd w:val="0"/>
              <w:jc w:val="left"/>
              <w:textAlignment w:val="baseline"/>
              <w:outlineLvl w:val="2"/>
              <w:rPr>
                <w:rFonts w:ascii="Cambria" w:hAnsi="Cambria" w:eastAsia="Cambria" w:cs="Cambria"/>
                <w:b/>
                <w:color w:val="auto"/>
                <w:kern w:val="0"/>
                <w:szCs w:val="21"/>
              </w:rPr>
            </w:pPr>
            <w:r>
              <w:rPr>
                <w:rFonts w:ascii="Cambria" w:hAnsi="Cambria" w:eastAsia="Cambria" w:cs="Cambria"/>
                <w:b/>
                <w:color w:val="auto"/>
                <w:kern w:val="0"/>
                <w:szCs w:val="21"/>
              </w:rPr>
              <w:t>carbonyl powder</w:t>
            </w:r>
          </w:p>
          <w:p w14:paraId="2D24F512">
            <w:pPr>
              <w:rPr>
                <w:rFonts w:asciiTheme="minorHAnsi" w:hAnsiTheme="minorHAnsi" w:eastAsiaTheme="minorEastAsia" w:cstheme="minorBidi"/>
                <w:color w:val="auto"/>
                <w:szCs w:val="21"/>
              </w:rPr>
            </w:pPr>
            <w:r>
              <w:rPr>
                <w:rFonts w:ascii="Cambria" w:hAnsi="Cambria" w:eastAsia="Cambria" w:cs="Cambria"/>
                <w:color w:val="auto"/>
                <w:kern w:val="0"/>
                <w:szCs w:val="21"/>
              </w:rPr>
              <w:t>powder produced by the thermal decomposition of a metal carbonyl</w:t>
            </w:r>
          </w:p>
        </w:tc>
        <w:tc>
          <w:tcPr>
            <w:tcW w:w="3044" w:type="dxa"/>
            <w:tcBorders>
              <w:top w:val="single" w:color="auto" w:sz="4" w:space="0"/>
              <w:left w:val="single" w:color="auto" w:sz="4" w:space="0"/>
              <w:bottom w:val="single" w:color="auto" w:sz="4" w:space="0"/>
              <w:right w:val="single" w:color="auto" w:sz="4" w:space="0"/>
            </w:tcBorders>
            <w:shd w:val="clear" w:color="auto" w:fill="DAE3F3" w:themeFill="accent1" w:themeFillTint="32"/>
          </w:tcPr>
          <w:p w14:paraId="7DDA7DA4">
            <w:pPr>
              <w:pStyle w:val="32"/>
              <w:ind w:firstLine="442"/>
              <w:rPr>
                <w:rStyle w:val="54"/>
                <w:rFonts w:ascii="黑体" w:hAnsi="黑体" w:eastAsia="黑体" w:cs="黑体"/>
                <w:b w:val="0"/>
                <w:bCs w:val="0"/>
                <w:color w:val="auto"/>
              </w:rPr>
            </w:pPr>
            <w:r>
              <w:rPr>
                <w:rStyle w:val="54"/>
                <w:rFonts w:hint="eastAsia" w:ascii="黑体" w:hAnsi="黑体" w:eastAsia="黑体" w:cs="黑体"/>
                <w:color w:val="auto"/>
              </w:rPr>
              <w:t>羰基粉  carbonyl powder</w:t>
            </w:r>
          </w:p>
          <w:p w14:paraId="4212EF12">
            <w:pPr>
              <w:ind w:firstLine="420"/>
              <w:rPr>
                <w:rFonts w:ascii="Arial" w:hAnsi="Arial" w:eastAsia="宋体" w:cs="Arial"/>
                <w:color w:val="auto"/>
                <w:szCs w:val="21"/>
              </w:rPr>
            </w:pPr>
            <w:r>
              <w:rPr>
                <w:rFonts w:hint="eastAsia" w:ascii="Arial" w:hAnsi="Arial" w:cs="Arial" w:eastAsiaTheme="minorEastAsia"/>
                <w:color w:val="auto"/>
                <w:szCs w:val="21"/>
              </w:rPr>
              <w:t>热分解金属羰基化合物而制得的粉末。</w:t>
            </w:r>
          </w:p>
          <w:p w14:paraId="6B6A4DFE">
            <w:pPr>
              <w:rPr>
                <w:rFonts w:ascii="Cambria" w:hAnsi="Cambria" w:eastAsia="Cambria" w:cs="Cambria"/>
                <w:color w:val="auto"/>
                <w:kern w:val="0"/>
                <w:szCs w:val="21"/>
              </w:rPr>
            </w:pPr>
          </w:p>
        </w:tc>
        <w:tc>
          <w:tcPr>
            <w:tcW w:w="2663" w:type="dxa"/>
            <w:tcBorders>
              <w:top w:val="single" w:color="auto" w:sz="4" w:space="0"/>
              <w:left w:val="single" w:color="auto" w:sz="4" w:space="0"/>
              <w:bottom w:val="single" w:color="auto" w:sz="4" w:space="0"/>
              <w:right w:val="single" w:color="auto" w:sz="4" w:space="0"/>
            </w:tcBorders>
            <w:shd w:val="clear" w:color="auto" w:fill="auto"/>
          </w:tcPr>
          <w:p w14:paraId="683EFBE9">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羰基粉末</w:t>
            </w:r>
          </w:p>
          <w:p w14:paraId="5353168D">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热</w:t>
            </w:r>
            <w:r>
              <w:rPr>
                <w:rFonts w:hint="eastAsia" w:asciiTheme="minorHAnsi" w:hAnsiTheme="minorHAnsi" w:eastAsiaTheme="minorEastAsia" w:cstheme="minorBidi"/>
                <w:color w:val="auto"/>
                <w:szCs w:val="21"/>
              </w:rPr>
              <w:t>分</w:t>
            </w:r>
            <w:r>
              <w:rPr>
                <w:rFonts w:asciiTheme="minorHAnsi" w:hAnsiTheme="minorHAnsi" w:eastAsiaTheme="minorEastAsia" w:cstheme="minorBidi"/>
                <w:color w:val="auto"/>
                <w:szCs w:val="21"/>
              </w:rPr>
              <w:t>解金属羰基化合物而</w:t>
            </w:r>
            <w:r>
              <w:rPr>
                <w:rFonts w:hint="eastAsia" w:asciiTheme="minorHAnsi" w:hAnsiTheme="minorHAnsi" w:eastAsiaTheme="minorEastAsia" w:cstheme="minorBidi"/>
                <w:color w:val="auto"/>
                <w:szCs w:val="21"/>
              </w:rPr>
              <w:t>制得</w:t>
            </w:r>
            <w:r>
              <w:rPr>
                <w:rFonts w:asciiTheme="minorHAnsi" w:hAnsiTheme="minorHAnsi" w:eastAsiaTheme="minorEastAsia" w:cstheme="minorBidi"/>
                <w:color w:val="auto"/>
                <w:szCs w:val="21"/>
              </w:rPr>
              <w:t>的粉末。</w:t>
            </w:r>
          </w:p>
        </w:tc>
        <w:tc>
          <w:tcPr>
            <w:tcW w:w="2125" w:type="dxa"/>
            <w:tcBorders>
              <w:top w:val="single" w:color="auto" w:sz="4" w:space="0"/>
              <w:left w:val="single" w:color="auto" w:sz="4" w:space="0"/>
              <w:bottom w:val="single" w:color="auto" w:sz="4" w:space="0"/>
              <w:right w:val="single" w:color="auto" w:sz="4" w:space="0"/>
            </w:tcBorders>
          </w:tcPr>
          <w:p w14:paraId="3594F132">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羰基粉</w:t>
            </w:r>
            <w:r>
              <w:rPr>
                <w:rFonts w:hint="eastAsia" w:asciiTheme="minorHAnsi" w:hAnsiTheme="minorHAnsi" w:eastAsiaTheme="minorEastAsia" w:cstheme="minorBidi"/>
                <w:color w:val="auto"/>
                <w:szCs w:val="21"/>
              </w:rPr>
              <w:br w:type="textWrapping"/>
            </w:r>
            <w:r>
              <w:rPr>
                <w:rFonts w:hint="eastAsia" w:asciiTheme="minorHAnsi" w:hAnsiTheme="minorHAnsi" w:eastAsiaTheme="minorEastAsia" w:cstheme="minorBidi"/>
                <w:color w:val="auto"/>
                <w:szCs w:val="21"/>
              </w:rPr>
              <w:t>通过金属羰基化合物的热分解产生的粉末</w:t>
            </w:r>
          </w:p>
        </w:tc>
      </w:tr>
      <w:tr w14:paraId="37147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7" w:hRule="atLeast"/>
          <w:jc w:val="center"/>
        </w:trPr>
        <w:tc>
          <w:tcPr>
            <w:tcW w:w="672" w:type="dxa"/>
            <w:tcBorders>
              <w:top w:val="single" w:color="auto" w:sz="4" w:space="0"/>
              <w:left w:val="single" w:color="auto" w:sz="4" w:space="0"/>
              <w:bottom w:val="single" w:color="auto" w:sz="4" w:space="0"/>
              <w:right w:val="single" w:color="auto" w:sz="4" w:space="0"/>
            </w:tcBorders>
            <w:shd w:val="clear" w:color="auto" w:fill="auto"/>
          </w:tcPr>
          <w:p w14:paraId="4BBB7BEB">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3.1.19</w:t>
            </w:r>
          </w:p>
        </w:tc>
        <w:tc>
          <w:tcPr>
            <w:tcW w:w="2450" w:type="dxa"/>
            <w:tcBorders>
              <w:top w:val="single" w:color="auto" w:sz="4" w:space="0"/>
              <w:left w:val="single" w:color="auto" w:sz="4" w:space="0"/>
              <w:bottom w:val="single" w:color="auto" w:sz="4" w:space="0"/>
              <w:right w:val="single" w:color="auto" w:sz="4" w:space="0"/>
            </w:tcBorders>
            <w:shd w:val="clear" w:color="auto" w:fill="auto"/>
          </w:tcPr>
          <w:p w14:paraId="728DB39F">
            <w:pPr>
              <w:spacing w:before="120" w:after="120"/>
              <w:jc w:val="left"/>
              <w:rPr>
                <w:rFonts w:ascii="Times New Roman" w:hAnsi="Times New Roman" w:cs="Times New Roman" w:eastAsiaTheme="minorEastAsia"/>
                <w:b/>
                <w:bCs/>
                <w:color w:val="auto"/>
              </w:rPr>
            </w:pPr>
            <w:r>
              <w:rPr>
                <w:rFonts w:ascii="Times New Roman" w:hAnsi="Times New Roman" w:eastAsia="等线" w:cs="Times New Roman"/>
                <w:b/>
                <w:bCs/>
                <w:color w:val="auto"/>
                <w:sz w:val="22"/>
              </w:rPr>
              <w:t xml:space="preserve">coated powder  </w:t>
            </w:r>
          </w:p>
          <w:p w14:paraId="4130BF04">
            <w:pPr>
              <w:spacing w:before="120" w:after="120"/>
              <w:jc w:val="left"/>
              <w:rPr>
                <w:rFonts w:ascii="Times New Roman" w:hAnsi="Times New Roman" w:cs="Times New Roman" w:eastAsiaTheme="minorEastAsia"/>
                <w:color w:val="auto"/>
                <w:szCs w:val="21"/>
              </w:rPr>
            </w:pPr>
            <w:r>
              <w:rPr>
                <w:rFonts w:ascii="Times New Roman" w:hAnsi="Times New Roman" w:eastAsia="等线" w:cs="Times New Roman"/>
                <w:color w:val="auto"/>
                <w:sz w:val="22"/>
              </w:rPr>
              <w:t>powder consisting of particles having a surface layer of different composition</w:t>
            </w:r>
          </w:p>
        </w:tc>
        <w:tc>
          <w:tcPr>
            <w:tcW w:w="2102" w:type="dxa"/>
            <w:tcBorders>
              <w:top w:val="single" w:color="auto" w:sz="4" w:space="0"/>
              <w:left w:val="single" w:color="auto" w:sz="4" w:space="0"/>
              <w:bottom w:val="single" w:color="auto" w:sz="4" w:space="0"/>
              <w:right w:val="single" w:color="auto" w:sz="4" w:space="0"/>
            </w:tcBorders>
            <w:shd w:val="clear" w:color="auto" w:fill="auto"/>
          </w:tcPr>
          <w:p w14:paraId="061CD7CB">
            <w:pPr>
              <w:rPr>
                <w:rFonts w:asciiTheme="minorHAnsi" w:hAnsiTheme="minorHAnsi" w:eastAsiaTheme="minorEastAsia" w:cstheme="minorBidi"/>
                <w:color w:val="auto"/>
                <w:szCs w:val="21"/>
              </w:rPr>
            </w:pPr>
            <w:r>
              <w:rPr>
                <w:rFonts w:ascii="Arial" w:hAnsi="Arial" w:eastAsia="等线" w:cs="Arial"/>
                <w:color w:val="auto"/>
                <w:sz w:val="22"/>
              </w:rPr>
              <w:t>包覆粉（coated powder）：由一层异种成分包覆在颗粒表面而形成的复合粉。</w:t>
            </w:r>
          </w:p>
        </w:tc>
        <w:tc>
          <w:tcPr>
            <w:tcW w:w="2376" w:type="dxa"/>
            <w:tcBorders>
              <w:top w:val="single" w:color="auto" w:sz="4" w:space="0"/>
              <w:left w:val="single" w:color="auto" w:sz="4" w:space="0"/>
              <w:bottom w:val="single" w:color="auto" w:sz="4" w:space="0"/>
              <w:right w:val="single" w:color="auto" w:sz="4" w:space="0"/>
            </w:tcBorders>
            <w:shd w:val="clear" w:color="auto" w:fill="auto"/>
          </w:tcPr>
          <w:p w14:paraId="1B8F4A55">
            <w:pPr>
              <w:kinsoku w:val="0"/>
              <w:autoSpaceDE w:val="0"/>
              <w:autoSpaceDN w:val="0"/>
              <w:adjustRightInd w:val="0"/>
              <w:jc w:val="left"/>
              <w:textAlignment w:val="baseline"/>
              <w:outlineLvl w:val="2"/>
              <w:rPr>
                <w:rFonts w:ascii="Cambria" w:hAnsi="Cambria" w:eastAsia="Cambria" w:cs="Cambria"/>
                <w:b/>
                <w:color w:val="auto"/>
                <w:kern w:val="0"/>
                <w:szCs w:val="21"/>
              </w:rPr>
            </w:pPr>
            <w:r>
              <w:rPr>
                <w:rFonts w:ascii="Cambria" w:hAnsi="Cambria" w:eastAsia="Cambria" w:cs="Cambria"/>
                <w:b/>
                <w:color w:val="auto"/>
                <w:kern w:val="0"/>
                <w:szCs w:val="21"/>
              </w:rPr>
              <w:t>coated powder</w:t>
            </w:r>
          </w:p>
          <w:p w14:paraId="63237292">
            <w:pPr>
              <w:rPr>
                <w:rFonts w:asciiTheme="minorHAnsi" w:hAnsiTheme="minorHAnsi" w:eastAsiaTheme="minorEastAsia" w:cstheme="minorBidi"/>
                <w:color w:val="auto"/>
                <w:szCs w:val="21"/>
              </w:rPr>
            </w:pPr>
            <w:r>
              <w:rPr>
                <w:rFonts w:ascii="Cambria" w:hAnsi="Cambria" w:eastAsia="Cambria" w:cs="Cambria"/>
                <w:color w:val="auto"/>
                <w:kern w:val="0"/>
                <w:szCs w:val="21"/>
              </w:rPr>
              <w:t>powder consisting of particles having a surface layer of different composition</w:t>
            </w:r>
          </w:p>
        </w:tc>
        <w:tc>
          <w:tcPr>
            <w:tcW w:w="3044" w:type="dxa"/>
            <w:tcBorders>
              <w:top w:val="single" w:color="auto" w:sz="4" w:space="0"/>
              <w:left w:val="single" w:color="auto" w:sz="4" w:space="0"/>
              <w:bottom w:val="single" w:color="auto" w:sz="4" w:space="0"/>
              <w:right w:val="single" w:color="auto" w:sz="4" w:space="0"/>
            </w:tcBorders>
            <w:shd w:val="clear" w:color="auto" w:fill="DAE3F3" w:themeFill="accent1" w:themeFillTint="32"/>
          </w:tcPr>
          <w:p w14:paraId="61EF471E">
            <w:pPr>
              <w:pStyle w:val="32"/>
              <w:ind w:firstLine="442"/>
              <w:rPr>
                <w:rStyle w:val="54"/>
                <w:rFonts w:ascii="黑体" w:hAnsi="黑体" w:eastAsia="黑体" w:cs="黑体"/>
                <w:b w:val="0"/>
                <w:bCs w:val="0"/>
                <w:color w:val="auto"/>
              </w:rPr>
            </w:pPr>
            <w:r>
              <w:rPr>
                <w:rStyle w:val="54"/>
                <w:rFonts w:hint="eastAsia" w:ascii="黑体" w:hAnsi="黑体" w:eastAsia="黑体" w:cs="黑体"/>
                <w:color w:val="auto"/>
              </w:rPr>
              <w:t>包覆粉  coated powder</w:t>
            </w:r>
          </w:p>
          <w:p w14:paraId="3388424F">
            <w:pPr>
              <w:ind w:left="480"/>
              <w:rPr>
                <w:rFonts w:ascii="Arial" w:hAnsi="Arial" w:cs="Arial" w:eastAsiaTheme="minorEastAsia"/>
                <w:color w:val="auto"/>
                <w:szCs w:val="21"/>
              </w:rPr>
            </w:pPr>
            <w:r>
              <w:rPr>
                <w:rFonts w:hint="eastAsia" w:ascii="Arial" w:hAnsi="Arial" w:cs="Arial" w:eastAsiaTheme="minorEastAsia"/>
                <w:color w:val="auto"/>
                <w:szCs w:val="21"/>
              </w:rPr>
              <w:t>由不同</w:t>
            </w:r>
            <w:r>
              <w:rPr>
                <w:rFonts w:ascii="Arial" w:hAnsi="Arial" w:cs="Arial" w:eastAsiaTheme="minorEastAsia"/>
                <w:color w:val="auto"/>
                <w:szCs w:val="21"/>
              </w:rPr>
              <w:t>成分</w:t>
            </w:r>
            <w:r>
              <w:rPr>
                <w:rFonts w:hint="eastAsia" w:ascii="Arial" w:hAnsi="Arial" w:cs="Arial" w:eastAsiaTheme="minorEastAsia"/>
                <w:color w:val="auto"/>
                <w:szCs w:val="21"/>
              </w:rPr>
              <w:t>的表层</w:t>
            </w:r>
            <w:r>
              <w:rPr>
                <w:rFonts w:ascii="Arial" w:hAnsi="Arial" w:cs="Arial" w:eastAsiaTheme="minorEastAsia"/>
                <w:color w:val="auto"/>
                <w:szCs w:val="21"/>
              </w:rPr>
              <w:t>包覆在颗粒表面</w:t>
            </w:r>
            <w:r>
              <w:rPr>
                <w:rFonts w:hint="eastAsia" w:ascii="Arial" w:hAnsi="Arial" w:cs="Arial" w:eastAsiaTheme="minorEastAsia"/>
                <w:color w:val="auto"/>
                <w:szCs w:val="21"/>
              </w:rPr>
              <w:t>而</w:t>
            </w:r>
            <w:r>
              <w:rPr>
                <w:rFonts w:ascii="Arial" w:hAnsi="Arial" w:cs="Arial" w:eastAsiaTheme="minorEastAsia"/>
                <w:color w:val="auto"/>
                <w:szCs w:val="21"/>
              </w:rPr>
              <w:t>形成的粉</w:t>
            </w:r>
            <w:r>
              <w:rPr>
                <w:rFonts w:hint="eastAsia" w:ascii="Arial" w:hAnsi="Arial" w:cs="Arial" w:eastAsiaTheme="minorEastAsia"/>
                <w:color w:val="auto"/>
                <w:szCs w:val="21"/>
              </w:rPr>
              <w:t>末</w:t>
            </w:r>
            <w:r>
              <w:rPr>
                <w:rFonts w:ascii="Arial" w:hAnsi="Arial" w:cs="Arial" w:eastAsiaTheme="minorEastAsia"/>
                <w:color w:val="auto"/>
                <w:szCs w:val="21"/>
              </w:rPr>
              <w:t>。</w:t>
            </w:r>
          </w:p>
          <w:p w14:paraId="0D64A692">
            <w:pPr>
              <w:rPr>
                <w:rFonts w:ascii="Cambria" w:hAnsi="Cambria" w:eastAsia="Cambria" w:cs="Cambria"/>
                <w:color w:val="auto"/>
                <w:kern w:val="0"/>
                <w:szCs w:val="21"/>
              </w:rPr>
            </w:pPr>
          </w:p>
        </w:tc>
        <w:tc>
          <w:tcPr>
            <w:tcW w:w="2663" w:type="dxa"/>
            <w:tcBorders>
              <w:top w:val="single" w:color="auto" w:sz="4" w:space="0"/>
              <w:left w:val="single" w:color="auto" w:sz="4" w:space="0"/>
              <w:bottom w:val="single" w:color="auto" w:sz="4" w:space="0"/>
              <w:right w:val="single" w:color="auto" w:sz="4" w:space="0"/>
            </w:tcBorders>
            <w:shd w:val="clear" w:color="auto" w:fill="auto"/>
          </w:tcPr>
          <w:p w14:paraId="6956E8A8">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包覆粉</w:t>
            </w:r>
          </w:p>
          <w:p w14:paraId="46286905">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由表层</w:t>
            </w:r>
            <w:r>
              <w:rPr>
                <w:rFonts w:hint="eastAsia" w:asciiTheme="minorHAnsi" w:hAnsiTheme="minorHAnsi" w:eastAsiaTheme="minorEastAsia" w:cstheme="minorBidi"/>
                <w:color w:val="auto"/>
                <w:szCs w:val="21"/>
              </w:rPr>
              <w:t>具有</w:t>
            </w:r>
            <w:r>
              <w:rPr>
                <w:rFonts w:asciiTheme="minorHAnsi" w:hAnsiTheme="minorHAnsi" w:eastAsiaTheme="minorEastAsia" w:cstheme="minorBidi"/>
                <w:color w:val="auto"/>
                <w:szCs w:val="21"/>
              </w:rPr>
              <w:t>不同成分的颗粒组成的粉末。</w:t>
            </w:r>
          </w:p>
        </w:tc>
        <w:tc>
          <w:tcPr>
            <w:tcW w:w="2125" w:type="dxa"/>
            <w:tcBorders>
              <w:top w:val="single" w:color="auto" w:sz="4" w:space="0"/>
              <w:left w:val="single" w:color="auto" w:sz="4" w:space="0"/>
              <w:bottom w:val="single" w:color="auto" w:sz="4" w:space="0"/>
              <w:right w:val="single" w:color="auto" w:sz="4" w:space="0"/>
            </w:tcBorders>
          </w:tcPr>
          <w:p w14:paraId="1751C58D">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包覆粉</w:t>
            </w:r>
            <w:r>
              <w:rPr>
                <w:rFonts w:hint="eastAsia" w:asciiTheme="minorHAnsi" w:hAnsiTheme="minorHAnsi" w:eastAsiaTheme="minorEastAsia" w:cstheme="minorBidi"/>
                <w:color w:val="auto"/>
                <w:szCs w:val="21"/>
              </w:rPr>
              <w:br w:type="textWrapping"/>
            </w:r>
            <w:r>
              <w:rPr>
                <w:rFonts w:hint="eastAsia" w:asciiTheme="minorHAnsi" w:hAnsiTheme="minorHAnsi" w:eastAsiaTheme="minorEastAsia" w:cstheme="minorBidi"/>
                <w:color w:val="auto"/>
                <w:szCs w:val="21"/>
              </w:rPr>
              <w:t>由表层具有不同成分的颗粒组成的粉末</w:t>
            </w:r>
          </w:p>
        </w:tc>
      </w:tr>
      <w:tr w14:paraId="3F094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atLeast"/>
          <w:jc w:val="center"/>
        </w:trPr>
        <w:tc>
          <w:tcPr>
            <w:tcW w:w="672" w:type="dxa"/>
            <w:tcBorders>
              <w:top w:val="single" w:color="auto" w:sz="4" w:space="0"/>
              <w:left w:val="single" w:color="auto" w:sz="4" w:space="0"/>
              <w:bottom w:val="single" w:color="auto" w:sz="4" w:space="0"/>
              <w:right w:val="single" w:color="auto" w:sz="4" w:space="0"/>
            </w:tcBorders>
            <w:shd w:val="clear" w:color="auto" w:fill="auto"/>
          </w:tcPr>
          <w:p w14:paraId="276B54B9">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3.1.33</w:t>
            </w:r>
          </w:p>
        </w:tc>
        <w:tc>
          <w:tcPr>
            <w:tcW w:w="2450" w:type="dxa"/>
            <w:tcBorders>
              <w:top w:val="single" w:color="auto" w:sz="4" w:space="0"/>
              <w:left w:val="single" w:color="auto" w:sz="4" w:space="0"/>
              <w:bottom w:val="single" w:color="auto" w:sz="4" w:space="0"/>
              <w:right w:val="single" w:color="auto" w:sz="4" w:space="0"/>
            </w:tcBorders>
            <w:shd w:val="clear" w:color="auto" w:fill="auto"/>
          </w:tcPr>
          <w:p w14:paraId="5B9E0789">
            <w:pPr>
              <w:spacing w:before="120" w:after="120"/>
              <w:jc w:val="left"/>
              <w:rPr>
                <w:rFonts w:ascii="Times New Roman" w:hAnsi="Times New Roman" w:cs="Times New Roman" w:eastAsiaTheme="minorEastAsia"/>
                <w:b/>
                <w:bCs/>
                <w:color w:val="auto"/>
              </w:rPr>
            </w:pPr>
            <w:r>
              <w:rPr>
                <w:rFonts w:ascii="Times New Roman" w:hAnsi="Times New Roman" w:eastAsia="等线" w:cs="Times New Roman"/>
                <w:b/>
                <w:bCs/>
                <w:color w:val="auto"/>
                <w:sz w:val="22"/>
              </w:rPr>
              <w:t xml:space="preserve">elutriation  </w:t>
            </w:r>
          </w:p>
          <w:p w14:paraId="5893F3CD">
            <w:pPr>
              <w:spacing w:before="120" w:after="120"/>
              <w:jc w:val="left"/>
              <w:rPr>
                <w:rFonts w:ascii="Times New Roman" w:hAnsi="Times New Roman" w:cs="Times New Roman" w:eastAsiaTheme="minorEastAsia"/>
                <w:color w:val="auto"/>
              </w:rPr>
            </w:pPr>
            <w:r>
              <w:rPr>
                <w:rFonts w:ascii="Times New Roman" w:hAnsi="Times New Roman" w:eastAsia="等线" w:cs="Times New Roman"/>
                <w:color w:val="auto"/>
                <w:sz w:val="22"/>
              </w:rPr>
              <w:t xml:space="preserve">classification of a powder through movement of the particles through a fluid medium  </w:t>
            </w:r>
          </w:p>
          <w:p w14:paraId="3EFCE1EE">
            <w:pPr>
              <w:spacing w:before="120" w:after="120"/>
              <w:jc w:val="left"/>
              <w:rPr>
                <w:rFonts w:ascii="Times New Roman" w:hAnsi="Times New Roman" w:cs="Times New Roman" w:eastAsiaTheme="minorEastAsia"/>
                <w:color w:val="auto"/>
                <w:szCs w:val="21"/>
              </w:rPr>
            </w:pPr>
            <w:r>
              <w:rPr>
                <w:rFonts w:ascii="Times New Roman" w:hAnsi="Times New Roman" w:eastAsia="等线" w:cs="Times New Roman"/>
                <w:color w:val="auto"/>
                <w:sz w:val="22"/>
              </w:rPr>
              <w:t>EXAMPLES Air classification and liquid classification.</w:t>
            </w:r>
          </w:p>
        </w:tc>
        <w:tc>
          <w:tcPr>
            <w:tcW w:w="2102" w:type="dxa"/>
            <w:tcBorders>
              <w:top w:val="single" w:color="auto" w:sz="4" w:space="0"/>
              <w:left w:val="single" w:color="auto" w:sz="4" w:space="0"/>
              <w:bottom w:val="single" w:color="auto" w:sz="4" w:space="0"/>
              <w:right w:val="single" w:color="auto" w:sz="4" w:space="0"/>
            </w:tcBorders>
            <w:shd w:val="clear" w:color="auto" w:fill="auto"/>
          </w:tcPr>
          <w:p w14:paraId="067434DE">
            <w:pPr>
              <w:rPr>
                <w:rFonts w:asciiTheme="minorHAnsi" w:hAnsiTheme="minorHAnsi" w:eastAsiaTheme="minorEastAsia" w:cstheme="minorBidi"/>
                <w:color w:val="auto"/>
                <w:szCs w:val="21"/>
              </w:rPr>
            </w:pPr>
            <w:r>
              <w:rPr>
                <w:rFonts w:ascii="Arial" w:hAnsi="Arial" w:eastAsia="等线" w:cs="Arial"/>
                <w:color w:val="auto"/>
                <w:sz w:val="22"/>
              </w:rPr>
              <w:t>淘析（elutriation）：粉末颗粒通过在流体介质中运动而分级。例如：气体分级和液体分级。</w:t>
            </w:r>
          </w:p>
        </w:tc>
        <w:tc>
          <w:tcPr>
            <w:tcW w:w="2376" w:type="dxa"/>
            <w:tcBorders>
              <w:top w:val="single" w:color="auto" w:sz="4" w:space="0"/>
              <w:left w:val="single" w:color="auto" w:sz="4" w:space="0"/>
              <w:bottom w:val="single" w:color="auto" w:sz="4" w:space="0"/>
              <w:right w:val="single" w:color="auto" w:sz="4" w:space="0"/>
            </w:tcBorders>
            <w:shd w:val="clear" w:color="auto" w:fill="auto"/>
          </w:tcPr>
          <w:p w14:paraId="331CCE1D">
            <w:pPr>
              <w:kinsoku w:val="0"/>
              <w:autoSpaceDE w:val="0"/>
              <w:autoSpaceDN w:val="0"/>
              <w:adjustRightInd w:val="0"/>
              <w:jc w:val="left"/>
              <w:textAlignment w:val="baseline"/>
              <w:outlineLvl w:val="2"/>
              <w:rPr>
                <w:rFonts w:ascii="Cambria" w:hAnsi="Cambria" w:eastAsia="Cambria" w:cs="Cambria"/>
                <w:b/>
                <w:color w:val="auto"/>
                <w:kern w:val="0"/>
                <w:szCs w:val="21"/>
              </w:rPr>
            </w:pPr>
            <w:r>
              <w:rPr>
                <w:rFonts w:ascii="Cambria" w:hAnsi="Cambria" w:eastAsia="Cambria" w:cs="Cambria"/>
                <w:b/>
                <w:color w:val="auto"/>
                <w:kern w:val="0"/>
                <w:szCs w:val="21"/>
              </w:rPr>
              <w:t>elutriation</w:t>
            </w:r>
          </w:p>
          <w:p w14:paraId="731C017A">
            <w:pPr>
              <w:rPr>
                <w:rFonts w:ascii="Cambria" w:hAnsi="Cambria" w:eastAsia="Cambria" w:cs="Cambria"/>
                <w:color w:val="auto"/>
                <w:kern w:val="0"/>
                <w:szCs w:val="21"/>
              </w:rPr>
            </w:pPr>
            <w:r>
              <w:rPr>
                <w:rFonts w:ascii="Cambria" w:hAnsi="Cambria" w:eastAsia="Cambria" w:cs="Cambria"/>
                <w:color w:val="auto"/>
                <w:kern w:val="0"/>
                <w:szCs w:val="21"/>
              </w:rPr>
              <w:t>classification (3.1.18) of a powder through movement of the particles through a fluid medium</w:t>
            </w:r>
          </w:p>
          <w:p w14:paraId="1471A873">
            <w:pPr>
              <w:rPr>
                <w:rFonts w:asciiTheme="minorHAnsi" w:hAnsiTheme="minorHAnsi" w:eastAsiaTheme="minorEastAsia" w:cstheme="minorBidi"/>
                <w:color w:val="auto"/>
                <w:szCs w:val="21"/>
              </w:rPr>
            </w:pPr>
            <w:r>
              <w:rPr>
                <w:rFonts w:ascii="Cambria" w:hAnsi="Cambria" w:eastAsia="Cambria" w:cs="Cambria"/>
                <w:color w:val="auto"/>
                <w:kern w:val="0"/>
                <w:szCs w:val="21"/>
              </w:rPr>
              <w:t>EXAMPLE Air classification and liquid classification.</w:t>
            </w:r>
          </w:p>
        </w:tc>
        <w:tc>
          <w:tcPr>
            <w:tcW w:w="3044" w:type="dxa"/>
            <w:tcBorders>
              <w:top w:val="single" w:color="auto" w:sz="4" w:space="0"/>
              <w:left w:val="single" w:color="auto" w:sz="4" w:space="0"/>
              <w:bottom w:val="single" w:color="auto" w:sz="4" w:space="0"/>
              <w:right w:val="single" w:color="auto" w:sz="4" w:space="0"/>
            </w:tcBorders>
            <w:shd w:val="clear" w:color="auto" w:fill="DAE3F3" w:themeFill="accent1" w:themeFillTint="32"/>
          </w:tcPr>
          <w:p w14:paraId="6757F275">
            <w:pPr>
              <w:pStyle w:val="32"/>
              <w:ind w:firstLine="442"/>
              <w:rPr>
                <w:rStyle w:val="54"/>
                <w:rFonts w:ascii="黑体" w:hAnsi="黑体" w:eastAsia="黑体" w:cs="黑体"/>
                <w:b w:val="0"/>
                <w:bCs w:val="0"/>
                <w:color w:val="auto"/>
              </w:rPr>
            </w:pPr>
            <w:r>
              <w:rPr>
                <w:rStyle w:val="54"/>
                <w:rFonts w:hint="eastAsia" w:ascii="黑体" w:hAnsi="黑体" w:eastAsia="黑体" w:cs="黑体"/>
                <w:color w:val="auto"/>
              </w:rPr>
              <w:t>淘析   elutriation</w:t>
            </w:r>
          </w:p>
          <w:p w14:paraId="33FD5290">
            <w:pPr>
              <w:ind w:left="480"/>
              <w:rPr>
                <w:rFonts w:ascii="Arial" w:hAnsi="Arial" w:cs="Arial" w:eastAsiaTheme="minorEastAsia"/>
                <w:color w:val="auto"/>
                <w:szCs w:val="21"/>
              </w:rPr>
            </w:pPr>
            <w:r>
              <w:rPr>
                <w:rFonts w:ascii="Arial" w:hAnsi="Arial" w:cs="Arial" w:eastAsiaTheme="minorEastAsia"/>
                <w:color w:val="auto"/>
                <w:szCs w:val="21"/>
              </w:rPr>
              <w:t>粉末颗粒通过在流体介质中</w:t>
            </w:r>
            <w:r>
              <w:rPr>
                <w:rFonts w:hint="eastAsia" w:ascii="Arial" w:hAnsi="Arial" w:cs="Arial" w:eastAsiaTheme="minorEastAsia"/>
                <w:color w:val="auto"/>
                <w:szCs w:val="21"/>
              </w:rPr>
              <w:t>的</w:t>
            </w:r>
            <w:r>
              <w:rPr>
                <w:rFonts w:ascii="Arial" w:hAnsi="Arial" w:cs="Arial" w:eastAsiaTheme="minorEastAsia"/>
                <w:color w:val="auto"/>
                <w:szCs w:val="21"/>
              </w:rPr>
              <w:t>运动</w:t>
            </w:r>
            <w:r>
              <w:rPr>
                <w:rFonts w:ascii="Arial" w:hAnsi="Arial" w:eastAsia="等线" w:cs="Arial"/>
                <w:color w:val="auto"/>
                <w:sz w:val="22"/>
              </w:rPr>
              <w:t>而</w:t>
            </w:r>
            <w:r>
              <w:rPr>
                <w:rFonts w:ascii="Arial" w:hAnsi="Arial" w:cs="Arial" w:eastAsiaTheme="minorEastAsia"/>
                <w:color w:val="auto"/>
                <w:szCs w:val="21"/>
              </w:rPr>
              <w:t>分级</w:t>
            </w:r>
            <w:r>
              <w:rPr>
                <w:rFonts w:hint="eastAsia" w:ascii="Arial" w:hAnsi="Arial" w:cs="Arial" w:eastAsiaTheme="minorEastAsia"/>
                <w:color w:val="auto"/>
                <w:szCs w:val="21"/>
              </w:rPr>
              <w:t>（3.1.18）</w:t>
            </w:r>
            <w:r>
              <w:rPr>
                <w:rFonts w:ascii="Arial" w:hAnsi="Arial" w:cs="Arial" w:eastAsiaTheme="minorEastAsia"/>
                <w:color w:val="auto"/>
                <w:szCs w:val="21"/>
              </w:rPr>
              <w:t>。</w:t>
            </w:r>
          </w:p>
          <w:p w14:paraId="185532E9">
            <w:pPr>
              <w:ind w:left="480"/>
              <w:rPr>
                <w:rFonts w:ascii="Cambria" w:hAnsi="Cambria" w:eastAsia="Cambria" w:cs="Cambria"/>
                <w:color w:val="auto"/>
                <w:kern w:val="0"/>
                <w:szCs w:val="21"/>
              </w:rPr>
            </w:pPr>
            <w:r>
              <w:rPr>
                <w:rFonts w:hint="eastAsia" w:ascii="Arial" w:hAnsi="Arial" w:cs="Arial" w:eastAsiaTheme="minorEastAsia"/>
                <w:color w:val="auto"/>
                <w:szCs w:val="21"/>
              </w:rPr>
              <w:t>示例</w:t>
            </w:r>
            <w:r>
              <w:rPr>
                <w:rFonts w:ascii="Arial" w:hAnsi="Arial" w:cs="Arial" w:eastAsiaTheme="minorEastAsia"/>
                <w:color w:val="auto"/>
                <w:szCs w:val="21"/>
              </w:rPr>
              <w:t>：气体分级和液体分级。</w:t>
            </w:r>
          </w:p>
        </w:tc>
        <w:tc>
          <w:tcPr>
            <w:tcW w:w="2663" w:type="dxa"/>
            <w:tcBorders>
              <w:top w:val="single" w:color="auto" w:sz="4" w:space="0"/>
              <w:left w:val="single" w:color="auto" w:sz="4" w:space="0"/>
              <w:bottom w:val="single" w:color="auto" w:sz="4" w:space="0"/>
              <w:right w:val="single" w:color="auto" w:sz="4" w:space="0"/>
            </w:tcBorders>
            <w:shd w:val="clear" w:color="auto" w:fill="auto"/>
          </w:tcPr>
          <w:p w14:paraId="178ECAE5">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淘析</w:t>
            </w:r>
          </w:p>
          <w:p w14:paraId="5C0A7A26">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粉末颗粒通过在流体介质中运动而分级</w:t>
            </w:r>
            <w:r>
              <w:rPr>
                <w:rFonts w:ascii="Cambria" w:hAnsi="Cambria" w:eastAsia="Cambria" w:cs="Cambria"/>
                <w:color w:val="auto"/>
                <w:kern w:val="0"/>
                <w:szCs w:val="21"/>
              </w:rPr>
              <w:t>(3.1.18)</w:t>
            </w:r>
            <w:r>
              <w:rPr>
                <w:rFonts w:asciiTheme="minorHAnsi" w:hAnsiTheme="minorHAnsi" w:eastAsiaTheme="minorEastAsia" w:cstheme="minorBidi"/>
                <w:color w:val="auto"/>
                <w:szCs w:val="21"/>
              </w:rPr>
              <w:t>。</w:t>
            </w:r>
          </w:p>
          <w:p w14:paraId="18FCDE2C">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例如：气体分级和液体分级</w:t>
            </w:r>
          </w:p>
        </w:tc>
        <w:tc>
          <w:tcPr>
            <w:tcW w:w="2125" w:type="dxa"/>
            <w:tcBorders>
              <w:top w:val="single" w:color="auto" w:sz="4" w:space="0"/>
              <w:left w:val="single" w:color="auto" w:sz="4" w:space="0"/>
              <w:bottom w:val="single" w:color="auto" w:sz="4" w:space="0"/>
              <w:right w:val="single" w:color="auto" w:sz="4" w:space="0"/>
            </w:tcBorders>
          </w:tcPr>
          <w:p w14:paraId="37E3F3B5">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淘析</w:t>
            </w:r>
            <w:r>
              <w:rPr>
                <w:rFonts w:hint="eastAsia" w:asciiTheme="minorHAnsi" w:hAnsiTheme="minorHAnsi" w:eastAsiaTheme="minorEastAsia" w:cstheme="minorBidi"/>
                <w:color w:val="auto"/>
                <w:szCs w:val="21"/>
              </w:rPr>
              <w:br w:type="textWrapping"/>
            </w:r>
            <w:r>
              <w:rPr>
                <w:rFonts w:hint="eastAsia" w:asciiTheme="minorHAnsi" w:hAnsiTheme="minorHAnsi" w:eastAsiaTheme="minorEastAsia" w:cstheme="minorBidi"/>
                <w:color w:val="auto"/>
                <w:szCs w:val="21"/>
              </w:rPr>
              <w:t>通过粉末颗粒在流体介质中的运动进行粉末分级（3.1.18）</w:t>
            </w:r>
            <w:r>
              <w:rPr>
                <w:rFonts w:hint="eastAsia" w:asciiTheme="minorHAnsi" w:hAnsiTheme="minorHAnsi" w:eastAsiaTheme="minorEastAsia" w:cstheme="minorBidi"/>
                <w:color w:val="auto"/>
                <w:szCs w:val="21"/>
              </w:rPr>
              <w:br w:type="textWrapping"/>
            </w:r>
            <w:r>
              <w:rPr>
                <w:rFonts w:hint="eastAsia" w:asciiTheme="minorHAnsi" w:hAnsiTheme="minorHAnsi" w:eastAsiaTheme="minorEastAsia" w:cstheme="minorBidi"/>
                <w:color w:val="auto"/>
                <w:szCs w:val="21"/>
              </w:rPr>
              <w:br w:type="textWrapping"/>
            </w:r>
            <w:r>
              <w:rPr>
                <w:rFonts w:hint="eastAsia" w:asciiTheme="minorHAnsi" w:hAnsiTheme="minorHAnsi" w:eastAsiaTheme="minorEastAsia" w:cstheme="minorBidi"/>
                <w:color w:val="auto"/>
                <w:szCs w:val="21"/>
              </w:rPr>
              <w:t>例 空气分级和液体分级</w:t>
            </w:r>
          </w:p>
        </w:tc>
      </w:tr>
      <w:tr w14:paraId="2838E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2" w:hRule="atLeast"/>
          <w:jc w:val="center"/>
        </w:trPr>
        <w:tc>
          <w:tcPr>
            <w:tcW w:w="672" w:type="dxa"/>
            <w:tcBorders>
              <w:top w:val="single" w:color="auto" w:sz="4" w:space="0"/>
              <w:left w:val="single" w:color="auto" w:sz="4" w:space="0"/>
              <w:bottom w:val="single" w:color="auto" w:sz="4" w:space="0"/>
              <w:right w:val="single" w:color="auto" w:sz="4" w:space="0"/>
            </w:tcBorders>
            <w:shd w:val="clear" w:color="auto" w:fill="auto"/>
          </w:tcPr>
          <w:p w14:paraId="625BA93E">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3.1.36</w:t>
            </w:r>
          </w:p>
        </w:tc>
        <w:tc>
          <w:tcPr>
            <w:tcW w:w="2450" w:type="dxa"/>
            <w:tcBorders>
              <w:top w:val="single" w:color="auto" w:sz="4" w:space="0"/>
              <w:left w:val="single" w:color="auto" w:sz="4" w:space="0"/>
              <w:bottom w:val="single" w:color="auto" w:sz="4" w:space="0"/>
              <w:right w:val="single" w:color="auto" w:sz="4" w:space="0"/>
            </w:tcBorders>
            <w:shd w:val="clear" w:color="auto" w:fill="auto"/>
          </w:tcPr>
          <w:p w14:paraId="717888FC">
            <w:pPr>
              <w:spacing w:before="120" w:after="120"/>
              <w:jc w:val="left"/>
              <w:rPr>
                <w:rFonts w:ascii="Times New Roman" w:hAnsi="Times New Roman" w:cs="Times New Roman" w:eastAsiaTheme="minorEastAsia"/>
                <w:color w:val="auto"/>
              </w:rPr>
            </w:pPr>
            <w:r>
              <w:rPr>
                <w:rFonts w:ascii="Times New Roman" w:hAnsi="Times New Roman" w:eastAsia="等线" w:cs="Times New Roman"/>
                <w:b/>
                <w:bCs/>
                <w:color w:val="auto"/>
                <w:sz w:val="22"/>
              </w:rPr>
              <w:t xml:space="preserve">fill factor </w:t>
            </w:r>
            <w:r>
              <w:rPr>
                <w:rFonts w:ascii="Times New Roman" w:hAnsi="Times New Roman" w:eastAsia="等线" w:cs="Times New Roman"/>
                <w:color w:val="auto"/>
                <w:sz w:val="22"/>
              </w:rPr>
              <w:t xml:space="preserve"> </w:t>
            </w:r>
          </w:p>
          <w:p w14:paraId="382C271B">
            <w:pPr>
              <w:rPr>
                <w:rFonts w:ascii="Times New Roman" w:hAnsi="Times New Roman" w:cs="Times New Roman" w:eastAsiaTheme="minorEastAsia"/>
                <w:color w:val="auto"/>
                <w:szCs w:val="21"/>
              </w:rPr>
            </w:pPr>
            <w:r>
              <w:rPr>
                <w:rFonts w:ascii="Times New Roman" w:hAnsi="Times New Roman" w:eastAsia="等线" w:cs="Times New Roman"/>
                <w:color w:val="auto"/>
                <w:sz w:val="22"/>
              </w:rPr>
              <w:t>in uniaxial pressing, the ratio of the height to which a powder fills a die to the height of the compact, measured after ejection from the die</w:t>
            </w:r>
          </w:p>
        </w:tc>
        <w:tc>
          <w:tcPr>
            <w:tcW w:w="2102" w:type="dxa"/>
            <w:tcBorders>
              <w:top w:val="single" w:color="auto" w:sz="4" w:space="0"/>
              <w:left w:val="single" w:color="auto" w:sz="4" w:space="0"/>
              <w:bottom w:val="single" w:color="auto" w:sz="4" w:space="0"/>
              <w:right w:val="single" w:color="auto" w:sz="4" w:space="0"/>
            </w:tcBorders>
            <w:shd w:val="clear" w:color="auto" w:fill="auto"/>
          </w:tcPr>
          <w:p w14:paraId="10E4FE85">
            <w:pPr>
              <w:rPr>
                <w:rFonts w:asciiTheme="minorHAnsi" w:hAnsiTheme="minorHAnsi" w:eastAsiaTheme="minorEastAsia" w:cstheme="minorBidi"/>
                <w:color w:val="auto"/>
                <w:szCs w:val="21"/>
              </w:rPr>
            </w:pPr>
            <w:r>
              <w:rPr>
                <w:rFonts w:ascii="Arial" w:hAnsi="Arial" w:eastAsia="等线" w:cs="Arial"/>
                <w:color w:val="auto"/>
                <w:sz w:val="22"/>
              </w:rPr>
              <w:t xml:space="preserve"> 装填系数（fill factor）：粉末充填模具的高度与脱模后压坯高度之比。</w:t>
            </w:r>
          </w:p>
        </w:tc>
        <w:tc>
          <w:tcPr>
            <w:tcW w:w="2376" w:type="dxa"/>
            <w:tcBorders>
              <w:top w:val="single" w:color="auto" w:sz="4" w:space="0"/>
              <w:left w:val="single" w:color="auto" w:sz="4" w:space="0"/>
              <w:bottom w:val="single" w:color="auto" w:sz="4" w:space="0"/>
              <w:right w:val="single" w:color="auto" w:sz="4" w:space="0"/>
            </w:tcBorders>
            <w:shd w:val="clear" w:color="auto" w:fill="auto"/>
          </w:tcPr>
          <w:p w14:paraId="3C04E146">
            <w:pPr>
              <w:kinsoku w:val="0"/>
              <w:autoSpaceDE w:val="0"/>
              <w:autoSpaceDN w:val="0"/>
              <w:adjustRightInd w:val="0"/>
              <w:jc w:val="left"/>
              <w:textAlignment w:val="baseline"/>
              <w:outlineLvl w:val="2"/>
              <w:rPr>
                <w:rFonts w:ascii="Cambria" w:hAnsi="Cambria" w:eastAsia="Cambria" w:cs="Cambria"/>
                <w:b/>
                <w:color w:val="auto"/>
                <w:kern w:val="0"/>
                <w:szCs w:val="21"/>
              </w:rPr>
            </w:pPr>
            <w:r>
              <w:rPr>
                <w:rFonts w:ascii="Cambria" w:hAnsi="Cambria" w:eastAsia="Cambria" w:cs="Cambria"/>
                <w:b/>
                <w:color w:val="auto"/>
                <w:kern w:val="0"/>
                <w:szCs w:val="21"/>
              </w:rPr>
              <w:t>fill factor</w:t>
            </w:r>
          </w:p>
          <w:p w14:paraId="224313AC">
            <w:pPr>
              <w:rPr>
                <w:rFonts w:asciiTheme="minorHAnsi" w:hAnsiTheme="minorHAnsi" w:eastAsiaTheme="minorEastAsia" w:cstheme="minorBidi"/>
                <w:color w:val="auto"/>
                <w:szCs w:val="21"/>
              </w:rPr>
            </w:pPr>
            <w:r>
              <w:rPr>
                <w:rFonts w:ascii="Cambria" w:hAnsi="Cambria" w:eastAsia="Cambria" w:cs="Cambria"/>
                <w:color w:val="auto"/>
                <w:kern w:val="0"/>
                <w:szCs w:val="21"/>
              </w:rPr>
              <w:t>&lt;uniaxial pressing&gt; ratio of the height to which a powder fills a die to the height of the compact, measured after ejection from the die</w:t>
            </w:r>
          </w:p>
        </w:tc>
        <w:tc>
          <w:tcPr>
            <w:tcW w:w="3044" w:type="dxa"/>
            <w:tcBorders>
              <w:top w:val="single" w:color="auto" w:sz="4" w:space="0"/>
              <w:left w:val="single" w:color="auto" w:sz="4" w:space="0"/>
              <w:bottom w:val="single" w:color="auto" w:sz="4" w:space="0"/>
              <w:right w:val="single" w:color="auto" w:sz="4" w:space="0"/>
            </w:tcBorders>
            <w:shd w:val="clear" w:color="auto" w:fill="DAE3F3" w:themeFill="accent1" w:themeFillTint="32"/>
          </w:tcPr>
          <w:p w14:paraId="02566DC7">
            <w:pPr>
              <w:pStyle w:val="32"/>
              <w:ind w:firstLine="442"/>
              <w:rPr>
                <w:rStyle w:val="54"/>
                <w:rFonts w:ascii="黑体" w:hAnsi="黑体" w:eastAsia="黑体" w:cs="黑体"/>
                <w:b w:val="0"/>
                <w:bCs w:val="0"/>
                <w:color w:val="auto"/>
              </w:rPr>
            </w:pPr>
            <w:r>
              <w:rPr>
                <w:rStyle w:val="54"/>
                <w:rFonts w:hint="eastAsia" w:ascii="黑体" w:hAnsi="黑体" w:eastAsia="黑体" w:cs="黑体"/>
                <w:color w:val="auto"/>
              </w:rPr>
              <w:t>装填系数  fill factor</w:t>
            </w:r>
          </w:p>
          <w:p w14:paraId="48BE18ED">
            <w:pPr>
              <w:ind w:left="480"/>
              <w:rPr>
                <w:rFonts w:ascii="Arial" w:hAnsi="Arial" w:cs="Arial" w:eastAsiaTheme="minorEastAsia"/>
                <w:color w:val="auto"/>
                <w:szCs w:val="21"/>
              </w:rPr>
            </w:pPr>
            <w:r>
              <w:rPr>
                <w:rFonts w:hint="eastAsia" w:asciiTheme="minorHAnsi" w:hAnsiTheme="minorHAnsi" w:eastAsiaTheme="minorEastAsia" w:cstheme="minorBidi"/>
                <w:color w:val="auto"/>
                <w:szCs w:val="21"/>
              </w:rPr>
              <w:t xml:space="preserve">&lt;单轴向压制&gt; </w:t>
            </w:r>
            <w:r>
              <w:rPr>
                <w:rFonts w:ascii="Arial" w:hAnsi="Arial" w:cs="Arial" w:eastAsiaTheme="minorEastAsia"/>
                <w:color w:val="auto"/>
                <w:szCs w:val="21"/>
              </w:rPr>
              <w:t>粉末充填模具的高度与脱模后压坯高度之比。</w:t>
            </w:r>
          </w:p>
          <w:p w14:paraId="3FCF0754">
            <w:pPr>
              <w:rPr>
                <w:rFonts w:ascii="Cambria" w:hAnsi="Cambria" w:eastAsia="Cambria" w:cs="Cambria"/>
                <w:color w:val="auto"/>
                <w:kern w:val="0"/>
                <w:szCs w:val="21"/>
              </w:rPr>
            </w:pPr>
          </w:p>
        </w:tc>
        <w:tc>
          <w:tcPr>
            <w:tcW w:w="2663" w:type="dxa"/>
            <w:tcBorders>
              <w:top w:val="single" w:color="auto" w:sz="4" w:space="0"/>
              <w:left w:val="single" w:color="auto" w:sz="4" w:space="0"/>
              <w:bottom w:val="single" w:color="auto" w:sz="4" w:space="0"/>
              <w:right w:val="single" w:color="auto" w:sz="4" w:space="0"/>
            </w:tcBorders>
            <w:shd w:val="clear" w:color="auto" w:fill="auto"/>
          </w:tcPr>
          <w:p w14:paraId="0458FA16">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装填</w:t>
            </w:r>
            <w:r>
              <w:rPr>
                <w:rFonts w:asciiTheme="minorHAnsi" w:hAnsiTheme="minorHAnsi" w:eastAsiaTheme="minorEastAsia" w:cstheme="minorBidi"/>
                <w:color w:val="auto"/>
                <w:szCs w:val="21"/>
              </w:rPr>
              <w:t>系数</w:t>
            </w:r>
          </w:p>
          <w:p w14:paraId="647EC5ED">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粉末填充磨具的高度与脱模后压坯高度的比例。</w:t>
            </w:r>
          </w:p>
        </w:tc>
        <w:tc>
          <w:tcPr>
            <w:tcW w:w="2125" w:type="dxa"/>
            <w:tcBorders>
              <w:top w:val="single" w:color="auto" w:sz="4" w:space="0"/>
              <w:left w:val="single" w:color="auto" w:sz="4" w:space="0"/>
              <w:bottom w:val="single" w:color="auto" w:sz="4" w:space="0"/>
              <w:right w:val="single" w:color="auto" w:sz="4" w:space="0"/>
            </w:tcBorders>
          </w:tcPr>
          <w:p w14:paraId="6E7C0E2E">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装填系数</w:t>
            </w:r>
            <w:r>
              <w:rPr>
                <w:rFonts w:hint="eastAsia" w:asciiTheme="minorHAnsi" w:hAnsiTheme="minorHAnsi" w:eastAsiaTheme="minorEastAsia" w:cstheme="minorBidi"/>
                <w:color w:val="auto"/>
                <w:szCs w:val="21"/>
              </w:rPr>
              <w:br w:type="textWrapping"/>
            </w:r>
            <w:r>
              <w:rPr>
                <w:rFonts w:hint="eastAsia" w:asciiTheme="minorHAnsi" w:hAnsiTheme="minorHAnsi" w:eastAsiaTheme="minorEastAsia" w:cstheme="minorBidi"/>
                <w:color w:val="auto"/>
                <w:szCs w:val="21"/>
              </w:rPr>
              <w:t>&lt;单轴向压制&gt; 粉末填充模具的高度与压坯（从模具中脱出后测得）的高度之比</w:t>
            </w:r>
          </w:p>
        </w:tc>
      </w:tr>
      <w:tr w14:paraId="374AF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672" w:type="dxa"/>
            <w:tcBorders>
              <w:top w:val="single" w:color="auto" w:sz="4" w:space="0"/>
              <w:left w:val="single" w:color="auto" w:sz="4" w:space="0"/>
              <w:bottom w:val="single" w:color="auto" w:sz="4" w:space="0"/>
              <w:right w:val="single" w:color="auto" w:sz="4" w:space="0"/>
            </w:tcBorders>
            <w:shd w:val="clear" w:color="auto" w:fill="auto"/>
          </w:tcPr>
          <w:p w14:paraId="2A4CD3CB">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3.1.40</w:t>
            </w:r>
          </w:p>
        </w:tc>
        <w:tc>
          <w:tcPr>
            <w:tcW w:w="2450" w:type="dxa"/>
            <w:tcBorders>
              <w:top w:val="single" w:color="auto" w:sz="4" w:space="0"/>
              <w:left w:val="single" w:color="auto" w:sz="4" w:space="0"/>
              <w:bottom w:val="single" w:color="auto" w:sz="4" w:space="0"/>
              <w:right w:val="single" w:color="auto" w:sz="4" w:space="0"/>
            </w:tcBorders>
            <w:shd w:val="clear" w:color="auto" w:fill="auto"/>
          </w:tcPr>
          <w:p w14:paraId="6065EAB6">
            <w:pPr>
              <w:spacing w:before="120" w:after="120"/>
              <w:jc w:val="left"/>
              <w:rPr>
                <w:rFonts w:ascii="Times New Roman" w:hAnsi="Times New Roman" w:cs="Times New Roman" w:eastAsiaTheme="minorEastAsia"/>
                <w:color w:val="auto"/>
              </w:rPr>
            </w:pPr>
            <w:r>
              <w:rPr>
                <w:rFonts w:ascii="Times New Roman" w:hAnsi="Times New Roman" w:eastAsia="等线" w:cs="Times New Roman"/>
                <w:b/>
                <w:bCs/>
                <w:color w:val="auto"/>
                <w:sz w:val="22"/>
              </w:rPr>
              <w:t xml:space="preserve">flowmeter </w:t>
            </w:r>
            <w:r>
              <w:rPr>
                <w:rFonts w:ascii="Times New Roman" w:hAnsi="Times New Roman" w:eastAsia="等线" w:cs="Times New Roman"/>
                <w:color w:val="auto"/>
                <w:sz w:val="22"/>
              </w:rPr>
              <w:t xml:space="preserve"> </w:t>
            </w:r>
          </w:p>
          <w:p w14:paraId="40EA2B66">
            <w:pPr>
              <w:spacing w:before="120" w:after="120"/>
              <w:jc w:val="left"/>
              <w:rPr>
                <w:rFonts w:ascii="Times New Roman" w:hAnsi="Times New Roman" w:cs="Times New Roman" w:eastAsiaTheme="minorEastAsia"/>
                <w:color w:val="auto"/>
                <w:szCs w:val="21"/>
              </w:rPr>
            </w:pPr>
            <w:r>
              <w:rPr>
                <w:rFonts w:ascii="Times New Roman" w:hAnsi="Times New Roman" w:eastAsia="等线" w:cs="Times New Roman"/>
                <w:color w:val="auto"/>
                <w:sz w:val="22"/>
              </w:rPr>
              <w:t>standardized funnel and cylindrical cup used for the determination of apparent density (see 1502 and ISO 3923-1 and ISO 3923-2) and flow time (see 1510 and ISO 4490)</w:t>
            </w:r>
          </w:p>
        </w:tc>
        <w:tc>
          <w:tcPr>
            <w:tcW w:w="2102" w:type="dxa"/>
            <w:tcBorders>
              <w:top w:val="single" w:color="auto" w:sz="4" w:space="0"/>
              <w:left w:val="single" w:color="auto" w:sz="4" w:space="0"/>
              <w:bottom w:val="single" w:color="auto" w:sz="4" w:space="0"/>
              <w:right w:val="single" w:color="auto" w:sz="4" w:space="0"/>
            </w:tcBorders>
            <w:shd w:val="clear" w:color="auto" w:fill="auto"/>
          </w:tcPr>
          <w:p w14:paraId="728FB561">
            <w:pPr>
              <w:rPr>
                <w:rFonts w:asciiTheme="minorHAnsi" w:hAnsiTheme="minorHAnsi" w:eastAsiaTheme="minorEastAsia" w:cstheme="minorBidi"/>
                <w:color w:val="auto"/>
                <w:szCs w:val="21"/>
              </w:rPr>
            </w:pPr>
            <w:r>
              <w:rPr>
                <w:rFonts w:ascii="Arial" w:hAnsi="Arial" w:eastAsia="等线" w:cs="Arial"/>
                <w:color w:val="auto"/>
                <w:sz w:val="22"/>
              </w:rPr>
              <w:t>流速计（flowmeter）：用于测量松装密度和流动性的标准漏斗和圆柱形杯（分别见1502和GB/T1479、GB/T5060、1510 和GB/T1482）。</w:t>
            </w:r>
          </w:p>
        </w:tc>
        <w:tc>
          <w:tcPr>
            <w:tcW w:w="2376" w:type="dxa"/>
            <w:tcBorders>
              <w:top w:val="single" w:color="auto" w:sz="4" w:space="0"/>
              <w:left w:val="single" w:color="auto" w:sz="4" w:space="0"/>
              <w:bottom w:val="single" w:color="auto" w:sz="4" w:space="0"/>
              <w:right w:val="single" w:color="auto" w:sz="4" w:space="0"/>
            </w:tcBorders>
            <w:shd w:val="clear" w:color="auto" w:fill="auto"/>
          </w:tcPr>
          <w:p w14:paraId="0E2E3577">
            <w:pPr>
              <w:kinsoku w:val="0"/>
              <w:autoSpaceDE w:val="0"/>
              <w:autoSpaceDN w:val="0"/>
              <w:adjustRightInd w:val="0"/>
              <w:jc w:val="left"/>
              <w:textAlignment w:val="baseline"/>
              <w:outlineLvl w:val="2"/>
              <w:rPr>
                <w:rFonts w:ascii="Cambria" w:hAnsi="Cambria" w:eastAsia="Cambria" w:cs="Cambria"/>
                <w:b/>
                <w:color w:val="auto"/>
                <w:kern w:val="0"/>
                <w:szCs w:val="21"/>
              </w:rPr>
            </w:pPr>
            <w:r>
              <w:rPr>
                <w:rFonts w:ascii="Cambria" w:hAnsi="Cambria" w:eastAsia="Cambria" w:cs="Cambria"/>
                <w:b/>
                <w:color w:val="auto"/>
                <w:kern w:val="0"/>
                <w:szCs w:val="21"/>
              </w:rPr>
              <w:t>flowmeter</w:t>
            </w:r>
          </w:p>
          <w:p w14:paraId="1DC5C703">
            <w:pPr>
              <w:rPr>
                <w:rFonts w:ascii="Cambria" w:hAnsi="Cambria" w:eastAsia="Cambria" w:cs="Cambria"/>
                <w:color w:val="auto"/>
                <w:kern w:val="0"/>
                <w:szCs w:val="21"/>
              </w:rPr>
            </w:pPr>
            <w:r>
              <w:rPr>
                <w:rFonts w:ascii="Cambria" w:hAnsi="Cambria" w:eastAsia="Cambria" w:cs="Cambria"/>
                <w:color w:val="auto"/>
                <w:kern w:val="0"/>
                <w:szCs w:val="21"/>
              </w:rPr>
              <w:t>standardized funnel and cylindrical cup used for the determination of apparent density (3.1.6) and flow rate (3.1.41)</w:t>
            </w:r>
          </w:p>
          <w:p w14:paraId="47707B15">
            <w:pPr>
              <w:rPr>
                <w:rFonts w:ascii="Calibri Light" w:hAnsi="Calibri Light" w:eastAsia="Cambria" w:cs="Calibri Light"/>
                <w:color w:val="auto"/>
                <w:kern w:val="0"/>
                <w:szCs w:val="21"/>
              </w:rPr>
            </w:pPr>
            <w:r>
              <w:rPr>
                <w:rFonts w:ascii="Calibri Light" w:hAnsi="Calibri Light" w:eastAsia="Cambria" w:cs="Calibri Light"/>
                <w:color w:val="auto"/>
                <w:kern w:val="0"/>
                <w:szCs w:val="21"/>
              </w:rPr>
              <w:t xml:space="preserve">Note 1 to entry: For apparent density see ISO 3923-1 and ISO 3923-2. </w:t>
            </w:r>
          </w:p>
          <w:p w14:paraId="412EA8EC">
            <w:pPr>
              <w:rPr>
                <w:rFonts w:asciiTheme="minorHAnsi" w:hAnsiTheme="minorHAnsi" w:eastAsiaTheme="minorEastAsia" w:cstheme="minorBidi"/>
                <w:color w:val="auto"/>
                <w:szCs w:val="21"/>
              </w:rPr>
            </w:pPr>
            <w:r>
              <w:rPr>
                <w:rFonts w:ascii="Calibri Light" w:hAnsi="Calibri Light" w:eastAsia="Cambria" w:cs="Calibri Light"/>
                <w:color w:val="auto"/>
                <w:kern w:val="0"/>
                <w:szCs w:val="21"/>
              </w:rPr>
              <w:t>Note 2 to entry: For flow rate see ISO 4490 and ISO 13517.</w:t>
            </w:r>
          </w:p>
        </w:tc>
        <w:tc>
          <w:tcPr>
            <w:tcW w:w="3044" w:type="dxa"/>
            <w:tcBorders>
              <w:top w:val="single" w:color="auto" w:sz="4" w:space="0"/>
              <w:left w:val="single" w:color="auto" w:sz="4" w:space="0"/>
              <w:bottom w:val="single" w:color="auto" w:sz="4" w:space="0"/>
              <w:right w:val="single" w:color="auto" w:sz="4" w:space="0"/>
            </w:tcBorders>
            <w:shd w:val="clear" w:color="auto" w:fill="DAE3F3" w:themeFill="accent1" w:themeFillTint="32"/>
          </w:tcPr>
          <w:p w14:paraId="36134CD6">
            <w:pPr>
              <w:pStyle w:val="32"/>
              <w:ind w:firstLine="442"/>
              <w:rPr>
                <w:rStyle w:val="54"/>
                <w:rFonts w:ascii="黑体" w:hAnsi="黑体" w:eastAsia="黑体" w:cs="黑体"/>
                <w:b w:val="0"/>
                <w:bCs w:val="0"/>
                <w:color w:val="auto"/>
              </w:rPr>
            </w:pPr>
            <w:r>
              <w:rPr>
                <w:rStyle w:val="54"/>
                <w:rFonts w:hint="eastAsia" w:ascii="黑体" w:hAnsi="黑体" w:eastAsia="黑体" w:cs="黑体"/>
                <w:color w:val="auto"/>
              </w:rPr>
              <w:t>流速计  flowmeter</w:t>
            </w:r>
          </w:p>
          <w:p w14:paraId="1D778530">
            <w:pPr>
              <w:ind w:firstLine="420"/>
              <w:jc w:val="left"/>
              <w:rPr>
                <w:rFonts w:ascii="Arial" w:hAnsi="Arial" w:cs="Arial" w:eastAsiaTheme="minorEastAsia"/>
                <w:color w:val="auto"/>
                <w:szCs w:val="21"/>
              </w:rPr>
            </w:pPr>
            <w:r>
              <w:rPr>
                <w:rFonts w:ascii="Arial" w:hAnsi="Arial" w:cs="Arial" w:eastAsiaTheme="minorEastAsia"/>
                <w:color w:val="auto"/>
                <w:szCs w:val="21"/>
              </w:rPr>
              <w:t>用于测量松装密度</w:t>
            </w:r>
            <w:r>
              <w:rPr>
                <w:rFonts w:hint="eastAsia" w:ascii="Arial" w:hAnsi="Arial" w:cs="Arial" w:eastAsiaTheme="minorEastAsia"/>
                <w:color w:val="auto"/>
                <w:szCs w:val="21"/>
              </w:rPr>
              <w:t>（3.1.6）</w:t>
            </w:r>
            <w:r>
              <w:rPr>
                <w:rFonts w:ascii="Arial" w:hAnsi="Arial" w:cs="Arial" w:eastAsiaTheme="minorEastAsia"/>
                <w:color w:val="auto"/>
                <w:szCs w:val="21"/>
              </w:rPr>
              <w:t>和流动性</w:t>
            </w:r>
            <w:r>
              <w:rPr>
                <w:rFonts w:hint="eastAsia" w:ascii="Arial" w:hAnsi="Arial" w:cs="Arial" w:eastAsiaTheme="minorEastAsia"/>
                <w:color w:val="auto"/>
                <w:szCs w:val="21"/>
              </w:rPr>
              <w:t>（3.1.41）</w:t>
            </w:r>
            <w:r>
              <w:rPr>
                <w:rFonts w:ascii="Arial" w:hAnsi="Arial" w:cs="Arial" w:eastAsiaTheme="minorEastAsia"/>
                <w:color w:val="auto"/>
                <w:szCs w:val="21"/>
              </w:rPr>
              <w:t>的标准漏斗和圆柱形杯</w:t>
            </w:r>
            <w:r>
              <w:rPr>
                <w:rFonts w:hint="eastAsia" w:ascii="Arial" w:hAnsi="Arial" w:cs="Arial" w:eastAsiaTheme="minorEastAsia"/>
                <w:color w:val="auto"/>
                <w:szCs w:val="21"/>
              </w:rPr>
              <w:t>。</w:t>
            </w:r>
          </w:p>
          <w:p w14:paraId="0D3D34F1">
            <w:pPr>
              <w:ind w:firstLine="420"/>
              <w:jc w:val="left"/>
              <w:rPr>
                <w:rFonts w:ascii="Arial" w:hAnsi="Arial" w:cs="Arial" w:eastAsiaTheme="minorEastAsia"/>
                <w:color w:val="auto"/>
                <w:szCs w:val="21"/>
              </w:rPr>
            </w:pPr>
            <w:r>
              <w:rPr>
                <w:rFonts w:hint="eastAsia" w:ascii="Arial" w:hAnsi="Arial" w:cs="Arial" w:eastAsiaTheme="minorEastAsia"/>
                <w:color w:val="auto"/>
                <w:szCs w:val="21"/>
              </w:rPr>
              <w:t>注1：</w:t>
            </w:r>
            <w:r>
              <w:rPr>
                <w:rFonts w:hint="eastAsia" w:asciiTheme="minorHAnsi" w:hAnsiTheme="minorHAnsi" w:eastAsiaTheme="minorEastAsia" w:cstheme="minorBidi"/>
                <w:color w:val="auto"/>
                <w:szCs w:val="21"/>
              </w:rPr>
              <w:t>松装密度参见</w:t>
            </w:r>
            <w:r>
              <w:rPr>
                <w:rFonts w:ascii="Arial" w:hAnsi="Arial" w:cs="Arial" w:eastAsiaTheme="minorEastAsia"/>
                <w:color w:val="auto"/>
                <w:szCs w:val="21"/>
              </w:rPr>
              <w:t>GB/T1479</w:t>
            </w:r>
            <w:r>
              <w:rPr>
                <w:rFonts w:hint="eastAsia" w:ascii="Arial" w:hAnsi="Arial" w:cs="Arial" w:eastAsiaTheme="minorEastAsia"/>
                <w:color w:val="auto"/>
                <w:szCs w:val="21"/>
              </w:rPr>
              <w:t>.1</w:t>
            </w:r>
            <w:r>
              <w:rPr>
                <w:rFonts w:ascii="Arial" w:hAnsi="Arial" w:cs="Arial" w:eastAsiaTheme="minorEastAsia"/>
                <w:color w:val="auto"/>
                <w:szCs w:val="21"/>
              </w:rPr>
              <w:t>和GB/T1479</w:t>
            </w:r>
            <w:r>
              <w:rPr>
                <w:rFonts w:hint="eastAsia" w:ascii="Arial" w:hAnsi="Arial" w:cs="Arial" w:eastAsiaTheme="minorEastAsia"/>
                <w:color w:val="auto"/>
                <w:szCs w:val="21"/>
              </w:rPr>
              <w:t>.2。</w:t>
            </w:r>
          </w:p>
          <w:p w14:paraId="0024C55D">
            <w:pPr>
              <w:ind w:firstLine="420"/>
              <w:jc w:val="left"/>
              <w:rPr>
                <w:rFonts w:ascii="Arial" w:hAnsi="Arial" w:eastAsia="宋体" w:cs="Arial"/>
                <w:color w:val="auto"/>
                <w:szCs w:val="21"/>
                <w:highlight w:val="yellow"/>
              </w:rPr>
            </w:pPr>
            <w:r>
              <w:rPr>
                <w:rFonts w:hint="eastAsia" w:ascii="Arial" w:hAnsi="Arial" w:cs="Arial" w:eastAsiaTheme="minorEastAsia"/>
                <w:color w:val="auto"/>
                <w:szCs w:val="21"/>
              </w:rPr>
              <w:t>注2：</w:t>
            </w:r>
            <w:r>
              <w:rPr>
                <w:rFonts w:hint="eastAsia" w:asciiTheme="minorHAnsi" w:hAnsiTheme="minorHAnsi" w:eastAsiaTheme="minorEastAsia" w:cstheme="minorBidi"/>
                <w:color w:val="auto"/>
                <w:szCs w:val="21"/>
              </w:rPr>
              <w:t>流动性参见</w:t>
            </w:r>
            <w:r>
              <w:rPr>
                <w:rFonts w:ascii="Arial" w:hAnsi="Arial" w:cs="Arial" w:eastAsiaTheme="minorEastAsia"/>
                <w:color w:val="auto"/>
                <w:szCs w:val="21"/>
              </w:rPr>
              <w:t>GB/T 1482和GB/T</w:t>
            </w:r>
            <w:r>
              <w:rPr>
                <w:rFonts w:hint="eastAsia" w:ascii="Arial" w:hAnsi="Arial" w:cs="Arial" w:eastAsiaTheme="minorEastAsia"/>
                <w:color w:val="auto"/>
                <w:szCs w:val="21"/>
              </w:rPr>
              <w:t>41329。</w:t>
            </w:r>
          </w:p>
          <w:p w14:paraId="1DB44306">
            <w:pPr>
              <w:rPr>
                <w:rFonts w:ascii="Calibri Light" w:hAnsi="Calibri Light" w:eastAsia="Cambria" w:cs="Calibri Light"/>
                <w:color w:val="auto"/>
                <w:kern w:val="0"/>
                <w:szCs w:val="21"/>
              </w:rPr>
            </w:pPr>
          </w:p>
        </w:tc>
        <w:tc>
          <w:tcPr>
            <w:tcW w:w="2663" w:type="dxa"/>
            <w:tcBorders>
              <w:top w:val="single" w:color="auto" w:sz="4" w:space="0"/>
              <w:left w:val="single" w:color="auto" w:sz="4" w:space="0"/>
              <w:bottom w:val="single" w:color="auto" w:sz="4" w:space="0"/>
              <w:right w:val="single" w:color="auto" w:sz="4" w:space="0"/>
            </w:tcBorders>
            <w:shd w:val="clear" w:color="auto" w:fill="auto"/>
          </w:tcPr>
          <w:p w14:paraId="277C068A">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流</w:t>
            </w:r>
            <w:r>
              <w:rPr>
                <w:rFonts w:hint="eastAsia" w:asciiTheme="minorHAnsi" w:hAnsiTheme="minorHAnsi" w:eastAsiaTheme="minorEastAsia" w:cstheme="minorBidi"/>
                <w:color w:val="auto"/>
                <w:szCs w:val="21"/>
              </w:rPr>
              <w:t>速</w:t>
            </w:r>
            <w:r>
              <w:rPr>
                <w:rFonts w:asciiTheme="minorHAnsi" w:hAnsiTheme="minorHAnsi" w:eastAsiaTheme="minorEastAsia" w:cstheme="minorBidi"/>
                <w:color w:val="auto"/>
                <w:szCs w:val="21"/>
              </w:rPr>
              <w:t>计</w:t>
            </w:r>
          </w:p>
          <w:p w14:paraId="5C139753">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用于测定松装密度</w:t>
            </w:r>
            <w:r>
              <w:rPr>
                <w:rFonts w:ascii="Cambria" w:hAnsi="Cambria" w:eastAsia="Cambria" w:cs="Cambria"/>
                <w:color w:val="auto"/>
                <w:kern w:val="0"/>
                <w:szCs w:val="21"/>
              </w:rPr>
              <w:t>(3.1.6)</w:t>
            </w:r>
            <w:r>
              <w:rPr>
                <w:rFonts w:asciiTheme="minorHAnsi" w:hAnsiTheme="minorHAnsi" w:eastAsiaTheme="minorEastAsia" w:cstheme="minorBidi"/>
                <w:color w:val="auto"/>
                <w:szCs w:val="21"/>
              </w:rPr>
              <w:t>和流</w:t>
            </w:r>
            <w:r>
              <w:rPr>
                <w:rFonts w:hint="eastAsia" w:asciiTheme="minorHAnsi" w:hAnsiTheme="minorHAnsi" w:eastAsiaTheme="minorEastAsia" w:cstheme="minorBidi"/>
                <w:color w:val="auto"/>
                <w:szCs w:val="21"/>
              </w:rPr>
              <w:t>动性</w:t>
            </w:r>
            <w:r>
              <w:rPr>
                <w:rFonts w:ascii="Cambria" w:hAnsi="Cambria" w:eastAsia="Cambria" w:cs="Cambria"/>
                <w:color w:val="auto"/>
                <w:kern w:val="0"/>
                <w:szCs w:val="21"/>
              </w:rPr>
              <w:t>(3.1.41)</w:t>
            </w:r>
            <w:r>
              <w:rPr>
                <w:rFonts w:asciiTheme="minorHAnsi" w:hAnsiTheme="minorHAnsi" w:eastAsiaTheme="minorEastAsia" w:cstheme="minorBidi"/>
                <w:color w:val="auto"/>
                <w:szCs w:val="21"/>
              </w:rPr>
              <w:t>的标准漏斗和圆柱形杯。</w:t>
            </w:r>
          </w:p>
          <w:p w14:paraId="76A13805">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注1：松装密度见GB/T 1479.1和GB/T 1479.2。</w:t>
            </w:r>
          </w:p>
          <w:p w14:paraId="21EF1519">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注2：流动性见GB/T 1482和GB/T 41329。</w:t>
            </w:r>
          </w:p>
        </w:tc>
        <w:tc>
          <w:tcPr>
            <w:tcW w:w="2125" w:type="dxa"/>
            <w:tcBorders>
              <w:top w:val="single" w:color="auto" w:sz="4" w:space="0"/>
              <w:left w:val="single" w:color="auto" w:sz="4" w:space="0"/>
              <w:bottom w:val="single" w:color="auto" w:sz="4" w:space="0"/>
              <w:right w:val="single" w:color="auto" w:sz="4" w:space="0"/>
            </w:tcBorders>
          </w:tcPr>
          <w:p w14:paraId="6C092E88">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流速计</w:t>
            </w:r>
            <w:r>
              <w:rPr>
                <w:rFonts w:hint="eastAsia" w:asciiTheme="minorHAnsi" w:hAnsiTheme="minorHAnsi" w:eastAsiaTheme="minorEastAsia" w:cstheme="minorBidi"/>
                <w:color w:val="auto"/>
                <w:szCs w:val="21"/>
              </w:rPr>
              <w:br w:type="textWrapping"/>
            </w:r>
            <w:r>
              <w:rPr>
                <w:rFonts w:hint="eastAsia" w:asciiTheme="minorHAnsi" w:hAnsiTheme="minorHAnsi" w:eastAsiaTheme="minorEastAsia" w:cstheme="minorBidi"/>
                <w:color w:val="auto"/>
                <w:szCs w:val="21"/>
              </w:rPr>
              <w:t>用于测定表观密度 (3.1.6) 和流速(3.1.41) 的标准漏斗和圆柱形杯</w:t>
            </w:r>
            <w:r>
              <w:rPr>
                <w:rFonts w:hint="eastAsia" w:asciiTheme="minorHAnsi" w:hAnsiTheme="minorHAnsi" w:eastAsiaTheme="minorEastAsia" w:cstheme="minorBidi"/>
                <w:color w:val="auto"/>
                <w:szCs w:val="21"/>
              </w:rPr>
              <w:br w:type="textWrapping"/>
            </w:r>
            <w:r>
              <w:rPr>
                <w:rFonts w:hint="eastAsia" w:asciiTheme="minorHAnsi" w:hAnsiTheme="minorHAnsi" w:eastAsiaTheme="minorEastAsia" w:cstheme="minorBidi"/>
                <w:color w:val="auto"/>
                <w:szCs w:val="21"/>
              </w:rPr>
              <w:br w:type="textWrapping"/>
            </w:r>
            <w:r>
              <w:rPr>
                <w:rFonts w:hint="eastAsia" w:asciiTheme="minorHAnsi" w:hAnsiTheme="minorHAnsi" w:eastAsiaTheme="minorEastAsia" w:cstheme="minorBidi"/>
                <w:color w:val="auto"/>
                <w:szCs w:val="21"/>
              </w:rPr>
              <w:t>注1：表观密度参见ISO 3923-1和ISO 3923-2</w:t>
            </w:r>
            <w:r>
              <w:rPr>
                <w:rFonts w:hint="eastAsia" w:asciiTheme="minorHAnsi" w:hAnsiTheme="minorHAnsi" w:eastAsiaTheme="minorEastAsia" w:cstheme="minorBidi"/>
                <w:color w:val="auto"/>
                <w:szCs w:val="21"/>
              </w:rPr>
              <w:br w:type="textWrapping"/>
            </w:r>
            <w:r>
              <w:rPr>
                <w:rFonts w:hint="eastAsia" w:asciiTheme="minorHAnsi" w:hAnsiTheme="minorHAnsi" w:eastAsiaTheme="minorEastAsia" w:cstheme="minorBidi"/>
                <w:color w:val="auto"/>
                <w:szCs w:val="21"/>
              </w:rPr>
              <w:br w:type="textWrapping"/>
            </w:r>
            <w:r>
              <w:rPr>
                <w:rFonts w:hint="eastAsia" w:asciiTheme="minorHAnsi" w:hAnsiTheme="minorHAnsi" w:eastAsiaTheme="minorEastAsia" w:cstheme="minorBidi"/>
                <w:color w:val="auto"/>
                <w:szCs w:val="21"/>
              </w:rPr>
              <w:t>注2：流速参见ISO 4490和ISO 13517</w:t>
            </w:r>
          </w:p>
        </w:tc>
      </w:tr>
      <w:tr w14:paraId="00C51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2" w:hRule="atLeast"/>
          <w:jc w:val="center"/>
        </w:trPr>
        <w:tc>
          <w:tcPr>
            <w:tcW w:w="672" w:type="dxa"/>
            <w:tcBorders>
              <w:top w:val="single" w:color="auto" w:sz="4" w:space="0"/>
              <w:left w:val="single" w:color="auto" w:sz="4" w:space="0"/>
              <w:bottom w:val="single" w:color="auto" w:sz="4" w:space="0"/>
              <w:right w:val="single" w:color="auto" w:sz="4" w:space="0"/>
            </w:tcBorders>
            <w:shd w:val="clear" w:color="auto" w:fill="auto"/>
          </w:tcPr>
          <w:p w14:paraId="521B63F0">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3.1.43</w:t>
            </w:r>
          </w:p>
        </w:tc>
        <w:tc>
          <w:tcPr>
            <w:tcW w:w="2450" w:type="dxa"/>
            <w:tcBorders>
              <w:top w:val="single" w:color="auto" w:sz="4" w:space="0"/>
              <w:left w:val="single" w:color="auto" w:sz="4" w:space="0"/>
              <w:bottom w:val="single" w:color="auto" w:sz="4" w:space="0"/>
              <w:right w:val="single" w:color="auto" w:sz="4" w:space="0"/>
            </w:tcBorders>
            <w:shd w:val="clear" w:color="auto" w:fill="auto"/>
          </w:tcPr>
          <w:p w14:paraId="7FD5DE20">
            <w:pPr>
              <w:spacing w:before="120" w:after="120"/>
              <w:jc w:val="left"/>
              <w:rPr>
                <w:rFonts w:ascii="Times New Roman" w:hAnsi="Times New Roman" w:cs="Times New Roman" w:eastAsiaTheme="minorEastAsia"/>
                <w:color w:val="auto"/>
              </w:rPr>
            </w:pPr>
            <w:r>
              <w:rPr>
                <w:rFonts w:ascii="Times New Roman" w:hAnsi="Times New Roman" w:eastAsia="等线" w:cs="Times New Roman"/>
                <w:b/>
                <w:bCs/>
                <w:color w:val="auto"/>
                <w:sz w:val="22"/>
              </w:rPr>
              <w:t xml:space="preserve">granulation </w:t>
            </w:r>
            <w:r>
              <w:rPr>
                <w:rFonts w:ascii="Times New Roman" w:hAnsi="Times New Roman" w:eastAsia="等线" w:cs="Times New Roman"/>
                <w:color w:val="auto"/>
                <w:sz w:val="22"/>
              </w:rPr>
              <w:t xml:space="preserve"> </w:t>
            </w:r>
          </w:p>
          <w:p w14:paraId="4AB78010">
            <w:pPr>
              <w:rPr>
                <w:rFonts w:ascii="Times New Roman" w:hAnsi="Times New Roman" w:cs="Times New Roman" w:eastAsiaTheme="minorEastAsia"/>
                <w:color w:val="auto"/>
                <w:szCs w:val="21"/>
              </w:rPr>
            </w:pPr>
            <w:r>
              <w:rPr>
                <w:rFonts w:ascii="Times New Roman" w:hAnsi="Times New Roman" w:eastAsia="等线" w:cs="Times New Roman"/>
                <w:color w:val="auto"/>
                <w:sz w:val="22"/>
              </w:rPr>
              <w:t>agglomeration of fine particles to obtain a coarser powder with improved flowability</w:t>
            </w:r>
          </w:p>
        </w:tc>
        <w:tc>
          <w:tcPr>
            <w:tcW w:w="2102" w:type="dxa"/>
            <w:tcBorders>
              <w:top w:val="single" w:color="auto" w:sz="4" w:space="0"/>
              <w:left w:val="single" w:color="auto" w:sz="4" w:space="0"/>
              <w:bottom w:val="single" w:color="auto" w:sz="4" w:space="0"/>
              <w:right w:val="single" w:color="auto" w:sz="4" w:space="0"/>
            </w:tcBorders>
            <w:shd w:val="clear" w:color="auto" w:fill="auto"/>
          </w:tcPr>
          <w:p w14:paraId="7CB8CB30">
            <w:pPr>
              <w:rPr>
                <w:rFonts w:asciiTheme="minorHAnsi" w:hAnsiTheme="minorHAnsi" w:eastAsiaTheme="minorEastAsia" w:cstheme="minorBidi"/>
                <w:color w:val="auto"/>
                <w:szCs w:val="21"/>
              </w:rPr>
            </w:pPr>
            <w:r>
              <w:rPr>
                <w:rFonts w:ascii="Arial" w:hAnsi="Arial" w:eastAsia="等线" w:cs="Arial"/>
                <w:color w:val="auto"/>
                <w:sz w:val="22"/>
              </w:rPr>
              <w:t xml:space="preserve"> 制粒（granulation）：为改善粉末流动性而使较细颗粒团聚成粗粉团粒的工艺。</w:t>
            </w:r>
          </w:p>
        </w:tc>
        <w:tc>
          <w:tcPr>
            <w:tcW w:w="2376" w:type="dxa"/>
            <w:tcBorders>
              <w:top w:val="single" w:color="auto" w:sz="4" w:space="0"/>
              <w:left w:val="single" w:color="auto" w:sz="4" w:space="0"/>
              <w:bottom w:val="single" w:color="auto" w:sz="4" w:space="0"/>
              <w:right w:val="single" w:color="auto" w:sz="4" w:space="0"/>
            </w:tcBorders>
            <w:shd w:val="clear" w:color="auto" w:fill="auto"/>
          </w:tcPr>
          <w:p w14:paraId="5857E76C">
            <w:pPr>
              <w:kinsoku w:val="0"/>
              <w:autoSpaceDE w:val="0"/>
              <w:autoSpaceDN w:val="0"/>
              <w:adjustRightInd w:val="0"/>
              <w:jc w:val="left"/>
              <w:textAlignment w:val="baseline"/>
              <w:outlineLvl w:val="2"/>
              <w:rPr>
                <w:rFonts w:ascii="Cambria" w:hAnsi="Cambria" w:eastAsia="Cambria" w:cs="Cambria"/>
                <w:b/>
                <w:color w:val="auto"/>
                <w:kern w:val="0"/>
                <w:szCs w:val="21"/>
              </w:rPr>
            </w:pPr>
            <w:r>
              <w:rPr>
                <w:rFonts w:ascii="Cambria" w:hAnsi="Cambria" w:eastAsia="Cambria" w:cs="Cambria"/>
                <w:b/>
                <w:color w:val="auto"/>
                <w:kern w:val="0"/>
                <w:szCs w:val="21"/>
              </w:rPr>
              <w:t>granulation</w:t>
            </w:r>
          </w:p>
          <w:p w14:paraId="3F560528">
            <w:pPr>
              <w:rPr>
                <w:rFonts w:asciiTheme="minorHAnsi" w:hAnsiTheme="minorHAnsi" w:eastAsiaTheme="minorEastAsia" w:cstheme="minorBidi"/>
                <w:color w:val="auto"/>
                <w:szCs w:val="21"/>
              </w:rPr>
            </w:pPr>
            <w:r>
              <w:rPr>
                <w:rFonts w:ascii="Cambria" w:hAnsi="Cambria" w:eastAsia="Cambria" w:cs="Cambria"/>
                <w:color w:val="auto"/>
                <w:kern w:val="0"/>
                <w:szCs w:val="21"/>
              </w:rPr>
              <w:t>agglomeration of fine particles to obtain a coarser powder with improved flowability</w:t>
            </w:r>
          </w:p>
        </w:tc>
        <w:tc>
          <w:tcPr>
            <w:tcW w:w="3044" w:type="dxa"/>
            <w:tcBorders>
              <w:top w:val="single" w:color="auto" w:sz="4" w:space="0"/>
              <w:left w:val="single" w:color="auto" w:sz="4" w:space="0"/>
              <w:bottom w:val="single" w:color="auto" w:sz="4" w:space="0"/>
              <w:right w:val="single" w:color="auto" w:sz="4" w:space="0"/>
            </w:tcBorders>
            <w:shd w:val="clear" w:color="auto" w:fill="DAE3F3" w:themeFill="accent1" w:themeFillTint="32"/>
          </w:tcPr>
          <w:p w14:paraId="6210B116">
            <w:pPr>
              <w:pStyle w:val="32"/>
              <w:ind w:firstLine="442"/>
              <w:rPr>
                <w:rStyle w:val="54"/>
                <w:rFonts w:ascii="黑体" w:hAnsi="黑体" w:eastAsia="黑体" w:cs="黑体"/>
                <w:b w:val="0"/>
                <w:bCs w:val="0"/>
                <w:color w:val="auto"/>
              </w:rPr>
            </w:pPr>
            <w:r>
              <w:rPr>
                <w:rStyle w:val="54"/>
                <w:rFonts w:hint="eastAsia" w:ascii="黑体" w:hAnsi="黑体" w:eastAsia="黑体" w:cs="黑体"/>
                <w:color w:val="auto"/>
              </w:rPr>
              <w:t>制粒  granulation</w:t>
            </w:r>
          </w:p>
          <w:p w14:paraId="356685DD">
            <w:pPr>
              <w:rPr>
                <w:rFonts w:ascii="Arial" w:hAnsi="Arial" w:cs="Arial" w:eastAsiaTheme="minorEastAsia"/>
                <w:color w:val="auto"/>
                <w:szCs w:val="21"/>
              </w:rPr>
            </w:pPr>
            <w:r>
              <w:rPr>
                <w:rFonts w:hint="eastAsia" w:asciiTheme="minorHAnsi" w:hAnsiTheme="minorHAnsi" w:eastAsiaTheme="minorEastAsia" w:cstheme="minorBidi"/>
                <w:color w:val="auto"/>
                <w:szCs w:val="21"/>
              </w:rPr>
              <w:t>将细颗粒团聚以获得流动性更佳的粗粉的工艺</w:t>
            </w:r>
          </w:p>
          <w:p w14:paraId="392A4634">
            <w:pPr>
              <w:rPr>
                <w:rFonts w:ascii="Cambria" w:hAnsi="Cambria" w:eastAsia="Cambria" w:cs="Cambria"/>
                <w:color w:val="auto"/>
                <w:kern w:val="0"/>
                <w:szCs w:val="21"/>
              </w:rPr>
            </w:pPr>
          </w:p>
        </w:tc>
        <w:tc>
          <w:tcPr>
            <w:tcW w:w="2663" w:type="dxa"/>
            <w:tcBorders>
              <w:top w:val="single" w:color="auto" w:sz="4" w:space="0"/>
              <w:left w:val="single" w:color="auto" w:sz="4" w:space="0"/>
              <w:bottom w:val="single" w:color="auto" w:sz="4" w:space="0"/>
              <w:right w:val="single" w:color="auto" w:sz="4" w:space="0"/>
            </w:tcBorders>
            <w:shd w:val="clear" w:color="auto" w:fill="auto"/>
          </w:tcPr>
          <w:p w14:paraId="25D40758">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制粒</w:t>
            </w:r>
          </w:p>
          <w:p w14:paraId="522A7543">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为改善</w:t>
            </w:r>
            <w:r>
              <w:rPr>
                <w:rFonts w:hint="eastAsia" w:asciiTheme="minorHAnsi" w:hAnsiTheme="minorHAnsi" w:eastAsiaTheme="minorEastAsia" w:cstheme="minorBidi"/>
                <w:color w:val="auto"/>
                <w:szCs w:val="21"/>
              </w:rPr>
              <w:t>粉末</w:t>
            </w:r>
            <w:r>
              <w:rPr>
                <w:rFonts w:asciiTheme="minorHAnsi" w:hAnsiTheme="minorHAnsi" w:eastAsiaTheme="minorEastAsia" w:cstheme="minorBidi"/>
                <w:color w:val="auto"/>
                <w:szCs w:val="21"/>
              </w:rPr>
              <w:t>流动性而使</w:t>
            </w:r>
            <w:r>
              <w:rPr>
                <w:rFonts w:hint="eastAsia" w:asciiTheme="minorHAnsi" w:hAnsiTheme="minorHAnsi" w:eastAsiaTheme="minorEastAsia" w:cstheme="minorBidi"/>
                <w:color w:val="auto"/>
                <w:szCs w:val="21"/>
              </w:rPr>
              <w:t>较</w:t>
            </w:r>
            <w:r>
              <w:rPr>
                <w:rFonts w:asciiTheme="minorHAnsi" w:hAnsiTheme="minorHAnsi" w:eastAsiaTheme="minorEastAsia" w:cstheme="minorBidi"/>
                <w:color w:val="auto"/>
                <w:szCs w:val="21"/>
              </w:rPr>
              <w:t>细颗粒团聚成粗粉</w:t>
            </w:r>
            <w:r>
              <w:rPr>
                <w:rFonts w:hint="eastAsia" w:asciiTheme="minorHAnsi" w:hAnsiTheme="minorHAnsi" w:eastAsiaTheme="minorEastAsia" w:cstheme="minorBidi"/>
                <w:color w:val="auto"/>
                <w:szCs w:val="21"/>
              </w:rPr>
              <w:t>团粒</w:t>
            </w:r>
            <w:r>
              <w:rPr>
                <w:rFonts w:asciiTheme="minorHAnsi" w:hAnsiTheme="minorHAnsi" w:eastAsiaTheme="minorEastAsia" w:cstheme="minorBidi"/>
                <w:color w:val="auto"/>
                <w:szCs w:val="21"/>
              </w:rPr>
              <w:t>的工艺。</w:t>
            </w:r>
          </w:p>
        </w:tc>
        <w:tc>
          <w:tcPr>
            <w:tcW w:w="2125" w:type="dxa"/>
            <w:tcBorders>
              <w:top w:val="single" w:color="auto" w:sz="4" w:space="0"/>
              <w:left w:val="single" w:color="auto" w:sz="4" w:space="0"/>
              <w:bottom w:val="single" w:color="auto" w:sz="4" w:space="0"/>
              <w:right w:val="single" w:color="auto" w:sz="4" w:space="0"/>
            </w:tcBorders>
          </w:tcPr>
          <w:p w14:paraId="41E17151">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制粒</w:t>
            </w:r>
            <w:r>
              <w:rPr>
                <w:rFonts w:hint="eastAsia" w:asciiTheme="minorHAnsi" w:hAnsiTheme="minorHAnsi" w:eastAsiaTheme="minorEastAsia" w:cstheme="minorBidi"/>
                <w:color w:val="auto"/>
                <w:szCs w:val="21"/>
              </w:rPr>
              <w:br w:type="textWrapping"/>
            </w:r>
            <w:r>
              <w:rPr>
                <w:rFonts w:hint="eastAsia" w:asciiTheme="minorHAnsi" w:hAnsiTheme="minorHAnsi" w:eastAsiaTheme="minorEastAsia" w:cstheme="minorBidi"/>
                <w:color w:val="auto"/>
                <w:szCs w:val="21"/>
              </w:rPr>
              <w:t>将细颗粒团聚以获得流动性更佳的粗粉的工艺</w:t>
            </w:r>
          </w:p>
        </w:tc>
      </w:tr>
      <w:tr w14:paraId="13BAC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2" w:type="dxa"/>
            <w:tcBorders>
              <w:top w:val="single" w:color="auto" w:sz="4" w:space="0"/>
              <w:left w:val="single" w:color="auto" w:sz="4" w:space="0"/>
              <w:bottom w:val="single" w:color="auto" w:sz="4" w:space="0"/>
              <w:right w:val="single" w:color="auto" w:sz="4" w:space="0"/>
            </w:tcBorders>
          </w:tcPr>
          <w:p w14:paraId="2360F648">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3.1.69</w:t>
            </w:r>
          </w:p>
        </w:tc>
        <w:tc>
          <w:tcPr>
            <w:tcW w:w="2450" w:type="dxa"/>
            <w:tcBorders>
              <w:top w:val="single" w:color="auto" w:sz="4" w:space="0"/>
              <w:left w:val="single" w:color="auto" w:sz="4" w:space="0"/>
              <w:bottom w:val="single" w:color="auto" w:sz="4" w:space="0"/>
              <w:right w:val="single" w:color="auto" w:sz="4" w:space="0"/>
            </w:tcBorders>
            <w:shd w:val="clear" w:color="auto" w:fill="auto"/>
          </w:tcPr>
          <w:p w14:paraId="59D4E659">
            <w:pPr>
              <w:spacing w:before="120" w:after="120"/>
              <w:jc w:val="left"/>
              <w:rPr>
                <w:rFonts w:ascii="Times New Roman" w:hAnsi="Times New Roman" w:cs="Times New Roman" w:eastAsiaTheme="minorEastAsia"/>
                <w:color w:val="auto"/>
              </w:rPr>
            </w:pPr>
            <w:r>
              <w:rPr>
                <w:rFonts w:ascii="Times New Roman" w:hAnsi="Times New Roman" w:eastAsia="等线" w:cs="Times New Roman"/>
                <w:b/>
                <w:bCs/>
                <w:color w:val="auto"/>
                <w:sz w:val="22"/>
              </w:rPr>
              <w:t xml:space="preserve">rapidly solidified powder </w:t>
            </w:r>
            <w:r>
              <w:rPr>
                <w:rFonts w:ascii="Times New Roman" w:hAnsi="Times New Roman" w:eastAsia="等线" w:cs="Times New Roman"/>
                <w:color w:val="auto"/>
                <w:sz w:val="22"/>
              </w:rPr>
              <w:t xml:space="preserve"> </w:t>
            </w:r>
          </w:p>
          <w:p w14:paraId="5795C088">
            <w:pPr>
              <w:spacing w:before="120" w:after="120"/>
              <w:jc w:val="left"/>
              <w:rPr>
                <w:rFonts w:ascii="Times New Roman" w:hAnsi="Times New Roman" w:cs="Times New Roman" w:eastAsiaTheme="minorEastAsia"/>
                <w:color w:val="auto"/>
                <w:kern w:val="0"/>
                <w:sz w:val="22"/>
                <w:szCs w:val="20"/>
              </w:rPr>
            </w:pPr>
            <w:r>
              <w:rPr>
                <w:rFonts w:ascii="Times New Roman" w:hAnsi="Times New Roman" w:eastAsia="等线" w:cs="Times New Roman"/>
                <w:color w:val="auto"/>
                <w:sz w:val="22"/>
              </w:rPr>
              <w:t>powder produced directly or indirectly at high solidification rates such that the particles have a modified or metastable microstructure</w:t>
            </w:r>
          </w:p>
        </w:tc>
        <w:tc>
          <w:tcPr>
            <w:tcW w:w="2102" w:type="dxa"/>
            <w:tcBorders>
              <w:top w:val="single" w:color="auto" w:sz="4" w:space="0"/>
              <w:left w:val="single" w:color="auto" w:sz="4" w:space="0"/>
              <w:bottom w:val="single" w:color="auto" w:sz="4" w:space="0"/>
              <w:right w:val="single" w:color="auto" w:sz="4" w:space="0"/>
            </w:tcBorders>
            <w:shd w:val="clear" w:color="auto" w:fill="auto"/>
          </w:tcPr>
          <w:p w14:paraId="2707FB9F">
            <w:pPr>
              <w:rPr>
                <w:rFonts w:asciiTheme="minorHAnsi" w:hAnsiTheme="minorHAnsi" w:eastAsiaTheme="minorEastAsia" w:cstheme="minorBidi"/>
                <w:color w:val="auto"/>
                <w:szCs w:val="21"/>
              </w:rPr>
            </w:pPr>
            <w:r>
              <w:rPr>
                <w:rFonts w:ascii="Arial" w:hAnsi="Arial" w:eastAsia="等线" w:cs="Arial"/>
                <w:color w:val="auto"/>
                <w:sz w:val="22"/>
              </w:rPr>
              <w:t>快速冷凝粉（rapidly solidified powder）：直接或间接通过高冷凝速率制得的粉末，其颗粒具有改进的或亚稳的微观结构。</w:t>
            </w:r>
          </w:p>
        </w:tc>
        <w:tc>
          <w:tcPr>
            <w:tcW w:w="2376" w:type="dxa"/>
            <w:tcBorders>
              <w:top w:val="single" w:color="auto" w:sz="4" w:space="0"/>
              <w:left w:val="single" w:color="auto" w:sz="4" w:space="0"/>
              <w:bottom w:val="single" w:color="auto" w:sz="4" w:space="0"/>
              <w:right w:val="single" w:color="auto" w:sz="4" w:space="0"/>
            </w:tcBorders>
          </w:tcPr>
          <w:p w14:paraId="784CD0E9">
            <w:pPr>
              <w:rPr>
                <w:rFonts w:ascii="Times New Roman" w:hAnsi="Times New Roman" w:eastAsia="宋体" w:cs="Times New Roman"/>
                <w:b/>
                <w:color w:val="auto"/>
                <w:szCs w:val="21"/>
              </w:rPr>
            </w:pPr>
            <w:r>
              <w:rPr>
                <w:rFonts w:ascii="Times New Roman" w:hAnsi="Times New Roman" w:eastAsia="宋体" w:cs="Times New Roman"/>
                <w:b/>
                <w:color w:val="auto"/>
                <w:szCs w:val="21"/>
              </w:rPr>
              <w:t>rapidly solidified powder</w:t>
            </w:r>
          </w:p>
          <w:p w14:paraId="35F765CB">
            <w:pPr>
              <w:rPr>
                <w:rFonts w:asciiTheme="minorHAnsi" w:hAnsiTheme="minorHAnsi" w:eastAsiaTheme="minorEastAsia" w:cstheme="minorBidi"/>
                <w:color w:val="auto"/>
                <w:szCs w:val="21"/>
              </w:rPr>
            </w:pPr>
            <w:r>
              <w:rPr>
                <w:rFonts w:ascii="Times New Roman" w:hAnsi="Times New Roman" w:eastAsia="宋体" w:cs="Times New Roman"/>
                <w:color w:val="auto"/>
                <w:szCs w:val="21"/>
              </w:rPr>
              <w:t>powder produced directly or in-directly at high solidification rates such that the particles have a modified or metastable microstructure</w:t>
            </w:r>
          </w:p>
        </w:tc>
        <w:tc>
          <w:tcPr>
            <w:tcW w:w="3044" w:type="dxa"/>
            <w:tcBorders>
              <w:top w:val="single" w:color="auto" w:sz="4" w:space="0"/>
              <w:left w:val="single" w:color="auto" w:sz="4" w:space="0"/>
              <w:bottom w:val="single" w:color="auto" w:sz="4" w:space="0"/>
              <w:right w:val="single" w:color="auto" w:sz="4" w:space="0"/>
            </w:tcBorders>
            <w:shd w:val="clear" w:color="auto" w:fill="DAE3F3" w:themeFill="accent1" w:themeFillTint="32"/>
          </w:tcPr>
          <w:p w14:paraId="6F08ECFE">
            <w:pPr>
              <w:pStyle w:val="32"/>
              <w:ind w:firstLine="442"/>
              <w:rPr>
                <w:rStyle w:val="54"/>
                <w:rFonts w:ascii="黑体" w:hAnsi="黑体" w:eastAsia="黑体" w:cs="黑体"/>
                <w:b w:val="0"/>
                <w:bCs w:val="0"/>
                <w:color w:val="auto"/>
              </w:rPr>
            </w:pPr>
            <w:r>
              <w:rPr>
                <w:rStyle w:val="54"/>
                <w:rFonts w:hint="eastAsia" w:ascii="黑体" w:hAnsi="黑体" w:eastAsia="黑体" w:cs="黑体"/>
                <w:color w:val="auto"/>
              </w:rPr>
              <w:t>快速冷凝粉  rapidly solidified powder</w:t>
            </w:r>
          </w:p>
          <w:p w14:paraId="4478BAB8">
            <w:pPr>
              <w:ind w:firstLine="420" w:firstLineChars="200"/>
              <w:rPr>
                <w:rFonts w:ascii="Arial" w:hAnsi="Arial" w:cs="Arial" w:eastAsiaTheme="minorEastAsia"/>
                <w:color w:val="auto"/>
                <w:szCs w:val="21"/>
              </w:rPr>
            </w:pPr>
            <w:r>
              <w:rPr>
                <w:rFonts w:asciiTheme="minorHAnsi" w:hAnsiTheme="minorHAnsi" w:eastAsiaTheme="minorEastAsia" w:cstheme="minorBidi"/>
                <w:color w:val="auto"/>
                <w:szCs w:val="21"/>
              </w:rPr>
              <w:t>以高凝固速率直接或间接</w:t>
            </w:r>
            <w:r>
              <w:rPr>
                <w:rFonts w:hint="eastAsia" w:asciiTheme="minorHAnsi" w:hAnsiTheme="minorHAnsi" w:eastAsiaTheme="minorEastAsia" w:cstheme="minorBidi"/>
                <w:color w:val="auto"/>
                <w:szCs w:val="21"/>
              </w:rPr>
              <w:t>制得</w:t>
            </w:r>
            <w:r>
              <w:rPr>
                <w:rFonts w:asciiTheme="minorHAnsi" w:hAnsiTheme="minorHAnsi" w:eastAsiaTheme="minorEastAsia" w:cstheme="minorBidi"/>
                <w:color w:val="auto"/>
                <w:szCs w:val="21"/>
              </w:rPr>
              <w:t>的粉末，使颗粒具有改性或亚稳</w:t>
            </w:r>
            <w:r>
              <w:rPr>
                <w:rFonts w:hint="eastAsia" w:asciiTheme="minorHAnsi" w:hAnsiTheme="minorHAnsi" w:eastAsiaTheme="minorEastAsia" w:cstheme="minorBidi"/>
                <w:color w:val="auto"/>
                <w:szCs w:val="21"/>
              </w:rPr>
              <w:t>的</w:t>
            </w:r>
            <w:r>
              <w:rPr>
                <w:rFonts w:asciiTheme="minorHAnsi" w:hAnsiTheme="minorHAnsi" w:eastAsiaTheme="minorEastAsia" w:cstheme="minorBidi"/>
                <w:color w:val="auto"/>
                <w:szCs w:val="21"/>
              </w:rPr>
              <w:t>微观结构</w:t>
            </w:r>
            <w:r>
              <w:rPr>
                <w:rFonts w:hint="eastAsia" w:asciiTheme="minorHAnsi" w:hAnsiTheme="minorHAnsi" w:eastAsiaTheme="minorEastAsia" w:cstheme="minorBidi"/>
                <w:color w:val="auto"/>
                <w:szCs w:val="21"/>
              </w:rPr>
              <w:t>。</w:t>
            </w:r>
          </w:p>
        </w:tc>
        <w:tc>
          <w:tcPr>
            <w:tcW w:w="2663" w:type="dxa"/>
            <w:tcBorders>
              <w:top w:val="single" w:color="auto" w:sz="4" w:space="0"/>
              <w:left w:val="single" w:color="auto" w:sz="4" w:space="0"/>
              <w:bottom w:val="single" w:color="auto" w:sz="4" w:space="0"/>
              <w:right w:val="single" w:color="auto" w:sz="4" w:space="0"/>
            </w:tcBorders>
          </w:tcPr>
          <w:p w14:paraId="669FF4CA">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快速凝固粉末</w:t>
            </w:r>
          </w:p>
          <w:p w14:paraId="217EE252">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以高凝固速率直接或间接生产的粉末，使颗粒具有改性或亚稳态微观结构</w:t>
            </w:r>
          </w:p>
        </w:tc>
        <w:tc>
          <w:tcPr>
            <w:tcW w:w="2125" w:type="dxa"/>
            <w:tcBorders>
              <w:top w:val="single" w:color="auto" w:sz="4" w:space="0"/>
              <w:left w:val="single" w:color="auto" w:sz="4" w:space="0"/>
              <w:bottom w:val="single" w:color="auto" w:sz="4" w:space="0"/>
              <w:right w:val="single" w:color="auto" w:sz="4" w:space="0"/>
            </w:tcBorders>
          </w:tcPr>
          <w:p w14:paraId="1BBD1DB6">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 xml:space="preserve">快速冷凝粉  </w:t>
            </w:r>
          </w:p>
          <w:p w14:paraId="41299241">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直接或间接通过高冷凝速率制得的粉末，其颗粒具有改进的或亚稳的微观结构。</w:t>
            </w:r>
          </w:p>
          <w:p w14:paraId="72DC97DC">
            <w:pPr>
              <w:rPr>
                <w:rFonts w:asciiTheme="minorHAnsi" w:hAnsiTheme="minorHAnsi" w:eastAsiaTheme="minorEastAsia" w:cstheme="minorBidi"/>
                <w:color w:val="auto"/>
                <w:szCs w:val="21"/>
              </w:rPr>
            </w:pPr>
          </w:p>
        </w:tc>
      </w:tr>
      <w:tr w14:paraId="61179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4" w:hRule="atLeast"/>
          <w:jc w:val="center"/>
        </w:trPr>
        <w:tc>
          <w:tcPr>
            <w:tcW w:w="672" w:type="dxa"/>
            <w:tcBorders>
              <w:top w:val="single" w:color="auto" w:sz="4" w:space="0"/>
              <w:left w:val="single" w:color="auto" w:sz="4" w:space="0"/>
              <w:bottom w:val="single" w:color="auto" w:sz="4" w:space="0"/>
              <w:right w:val="single" w:color="auto" w:sz="4" w:space="0"/>
            </w:tcBorders>
            <w:shd w:val="clear" w:color="auto" w:fill="auto"/>
          </w:tcPr>
          <w:p w14:paraId="7E990318">
            <w:pPr>
              <w:rPr>
                <w:rFonts w:ascii="Times New Roman" w:hAnsi="Times New Roman" w:eastAsia="宋体" w:cs="Times New Roman"/>
                <w:color w:val="auto"/>
                <w:szCs w:val="21"/>
              </w:rPr>
            </w:pPr>
            <w:r>
              <w:rPr>
                <w:rFonts w:hint="eastAsia" w:ascii="Times New Roman" w:hAnsi="Times New Roman" w:eastAsia="宋体" w:cs="Times New Roman"/>
                <w:color w:val="auto"/>
                <w:szCs w:val="21"/>
              </w:rPr>
              <w:t>3.2.24</w:t>
            </w:r>
          </w:p>
          <w:p w14:paraId="4F18A8A7">
            <w:pPr>
              <w:rPr>
                <w:rFonts w:asciiTheme="minorHAnsi" w:hAnsiTheme="minorHAnsi" w:eastAsiaTheme="minorEastAsia" w:cstheme="minorBidi"/>
                <w:color w:val="auto"/>
                <w:szCs w:val="21"/>
              </w:rPr>
            </w:pPr>
          </w:p>
        </w:tc>
        <w:tc>
          <w:tcPr>
            <w:tcW w:w="2450" w:type="dxa"/>
            <w:tcBorders>
              <w:top w:val="single" w:color="auto" w:sz="4" w:space="0"/>
              <w:left w:val="single" w:color="auto" w:sz="4" w:space="0"/>
              <w:bottom w:val="single" w:color="auto" w:sz="4" w:space="0"/>
              <w:right w:val="single" w:color="auto" w:sz="4" w:space="0"/>
            </w:tcBorders>
            <w:shd w:val="clear" w:color="auto" w:fill="auto"/>
          </w:tcPr>
          <w:p w14:paraId="000AEF1B">
            <w:pPr>
              <w:spacing w:before="120" w:after="120"/>
              <w:jc w:val="left"/>
              <w:rPr>
                <w:rFonts w:ascii="Times New Roman" w:hAnsi="Times New Roman" w:cs="Times New Roman" w:eastAsiaTheme="minorEastAsia"/>
                <w:color w:val="auto"/>
              </w:rPr>
            </w:pPr>
            <w:r>
              <w:rPr>
                <w:rFonts w:ascii="Times New Roman" w:hAnsi="Times New Roman" w:eastAsia="等线" w:cs="Times New Roman"/>
                <w:b/>
                <w:bCs/>
                <w:color w:val="auto"/>
                <w:sz w:val="22"/>
              </w:rPr>
              <w:t>die plate</w:t>
            </w:r>
            <w:r>
              <w:rPr>
                <w:rFonts w:ascii="Times New Roman" w:hAnsi="Times New Roman" w:eastAsia="等线" w:cs="Times New Roman"/>
                <w:color w:val="auto"/>
                <w:sz w:val="22"/>
              </w:rPr>
              <w:t xml:space="preserve">  </w:t>
            </w:r>
          </w:p>
          <w:p w14:paraId="3E838985">
            <w:pPr>
              <w:spacing w:before="120" w:after="120"/>
              <w:jc w:val="left"/>
              <w:rPr>
                <w:rFonts w:ascii="Times New Roman" w:hAnsi="Times New Roman" w:cs="Times New Roman" w:eastAsiaTheme="minorEastAsia"/>
                <w:color w:val="auto"/>
              </w:rPr>
            </w:pPr>
            <w:r>
              <w:rPr>
                <w:rFonts w:ascii="Times New Roman" w:hAnsi="Times New Roman" w:eastAsia="等线" w:cs="Times New Roman"/>
                <w:color w:val="auto"/>
                <w:sz w:val="22"/>
              </w:rPr>
              <w:t xml:space="preserve">upper plate of the tool set adaptor holding the clamp ring, bolster and die  </w:t>
            </w:r>
          </w:p>
          <w:p w14:paraId="573F7B53">
            <w:pPr>
              <w:spacing w:before="120" w:after="120"/>
              <w:jc w:val="left"/>
              <w:rPr>
                <w:rFonts w:ascii="Times New Roman" w:hAnsi="Times New Roman" w:eastAsia="宋体" w:cs="Times New Roman"/>
                <w:color w:val="auto"/>
                <w:szCs w:val="21"/>
              </w:rPr>
            </w:pPr>
            <w:r>
              <w:rPr>
                <w:rFonts w:ascii="Times New Roman" w:hAnsi="Times New Roman" w:eastAsia="等线" w:cs="Times New Roman"/>
                <w:color w:val="auto"/>
                <w:sz w:val="22"/>
              </w:rPr>
              <w:t>See Figure 13</w:t>
            </w:r>
          </w:p>
        </w:tc>
        <w:tc>
          <w:tcPr>
            <w:tcW w:w="2102" w:type="dxa"/>
            <w:tcBorders>
              <w:top w:val="single" w:color="auto" w:sz="4" w:space="0"/>
              <w:left w:val="single" w:color="auto" w:sz="4" w:space="0"/>
              <w:bottom w:val="single" w:color="auto" w:sz="4" w:space="0"/>
              <w:right w:val="single" w:color="auto" w:sz="4" w:space="0"/>
            </w:tcBorders>
            <w:shd w:val="clear" w:color="auto" w:fill="auto"/>
          </w:tcPr>
          <w:p w14:paraId="396AF59F">
            <w:pPr>
              <w:rPr>
                <w:rFonts w:asciiTheme="minorHAnsi" w:hAnsiTheme="minorHAnsi" w:eastAsiaTheme="minorEastAsia" w:cstheme="minorBidi"/>
                <w:color w:val="auto"/>
                <w:szCs w:val="21"/>
              </w:rPr>
            </w:pPr>
            <w:r>
              <w:rPr>
                <w:rFonts w:ascii="Arial" w:hAnsi="Arial" w:eastAsia="等线" w:cs="Arial"/>
                <w:color w:val="auto"/>
                <w:sz w:val="22"/>
              </w:rPr>
              <w:t xml:space="preserve"> 阴模固定板（die plate）：模架接合器的大板，用于支持压紧环、模套和阴模（见图13）。</w:t>
            </w:r>
          </w:p>
        </w:tc>
        <w:tc>
          <w:tcPr>
            <w:tcW w:w="2376" w:type="dxa"/>
            <w:tcBorders>
              <w:top w:val="single" w:color="auto" w:sz="4" w:space="0"/>
              <w:left w:val="single" w:color="auto" w:sz="4" w:space="0"/>
              <w:bottom w:val="single" w:color="auto" w:sz="4" w:space="0"/>
              <w:right w:val="single" w:color="auto" w:sz="4" w:space="0"/>
            </w:tcBorders>
            <w:shd w:val="clear" w:color="auto" w:fill="auto"/>
          </w:tcPr>
          <w:p w14:paraId="575D9FC4">
            <w:pPr>
              <w:rPr>
                <w:rFonts w:ascii="Times New Roman" w:hAnsi="Times New Roman" w:eastAsia="宋体" w:cs="Times New Roman"/>
                <w:b/>
                <w:bCs/>
                <w:color w:val="auto"/>
                <w:szCs w:val="21"/>
              </w:rPr>
            </w:pPr>
            <w:r>
              <w:rPr>
                <w:rFonts w:hint="eastAsia" w:ascii="Times New Roman" w:hAnsi="Times New Roman" w:eastAsia="宋体" w:cs="Times New Roman"/>
                <w:b/>
                <w:bCs/>
                <w:color w:val="auto"/>
                <w:szCs w:val="21"/>
              </w:rPr>
              <w:t>die plate</w:t>
            </w:r>
          </w:p>
          <w:p w14:paraId="3DC6F539">
            <w:pPr>
              <w:rPr>
                <w:rFonts w:ascii="Times New Roman" w:hAnsi="Times New Roman" w:eastAsia="宋体" w:cs="Times New Roman"/>
                <w:color w:val="auto"/>
                <w:szCs w:val="21"/>
              </w:rPr>
            </w:pPr>
            <w:r>
              <w:rPr>
                <w:rFonts w:hint="eastAsia" w:ascii="Times New Roman" w:hAnsi="Times New Roman" w:eastAsia="宋体" w:cs="Times New Roman"/>
                <w:color w:val="auto"/>
                <w:szCs w:val="21"/>
              </w:rPr>
              <w:t>upper plate of the tool set adaptor holding the clamp ring (3.2.8), bolster (3.2.79) and die (3.2.23)</w:t>
            </w:r>
          </w:p>
          <w:p w14:paraId="14BA6F71">
            <w:pPr>
              <w:rPr>
                <w:rFonts w:asciiTheme="minorHAnsi" w:hAnsiTheme="minorHAnsi" w:eastAsiaTheme="minorEastAsia" w:cstheme="minorBidi"/>
                <w:color w:val="auto"/>
                <w:szCs w:val="21"/>
              </w:rPr>
            </w:pPr>
            <w:r>
              <w:rPr>
                <w:rFonts w:ascii="Calibri Light" w:hAnsi="Calibri Light" w:eastAsia="宋体" w:cs="Calibri Light"/>
                <w:color w:val="auto"/>
                <w:szCs w:val="21"/>
              </w:rPr>
              <w:t>Note 1 to entry: See Figures 11 and 12.</w:t>
            </w:r>
          </w:p>
        </w:tc>
        <w:tc>
          <w:tcPr>
            <w:tcW w:w="3044" w:type="dxa"/>
            <w:tcBorders>
              <w:top w:val="single" w:color="auto" w:sz="4" w:space="0"/>
              <w:left w:val="single" w:color="auto" w:sz="4" w:space="0"/>
              <w:bottom w:val="single" w:color="auto" w:sz="4" w:space="0"/>
              <w:right w:val="single" w:color="auto" w:sz="4" w:space="0"/>
            </w:tcBorders>
            <w:shd w:val="clear" w:color="auto" w:fill="DAE3F3" w:themeFill="accent1" w:themeFillTint="32"/>
          </w:tcPr>
          <w:p w14:paraId="4F51EC76">
            <w:pPr>
              <w:pStyle w:val="32"/>
              <w:ind w:firstLine="442"/>
              <w:rPr>
                <w:rStyle w:val="54"/>
                <w:rFonts w:ascii="黑体" w:hAnsi="黑体" w:eastAsia="黑体" w:cs="黑体"/>
                <w:b w:val="0"/>
                <w:bCs w:val="0"/>
                <w:color w:val="auto"/>
              </w:rPr>
            </w:pPr>
            <w:r>
              <w:rPr>
                <w:rStyle w:val="54"/>
                <w:rFonts w:hint="eastAsia" w:ascii="黑体" w:hAnsi="黑体" w:eastAsia="黑体" w:cs="黑体"/>
                <w:color w:val="auto"/>
              </w:rPr>
              <w:t>阴模固定板  die plate</w:t>
            </w:r>
          </w:p>
          <w:p w14:paraId="14E93D5E">
            <w:pPr>
              <w:ind w:firstLine="420"/>
              <w:rPr>
                <w:rFonts w:ascii="Arial" w:hAnsi="Arial" w:cs="Arial" w:eastAsiaTheme="minorEastAsia"/>
                <w:color w:val="auto"/>
                <w:szCs w:val="21"/>
              </w:rPr>
            </w:pPr>
            <w:r>
              <w:rPr>
                <w:rFonts w:ascii="Arial" w:hAnsi="Arial" w:cs="Arial" w:eastAsiaTheme="minorEastAsia"/>
                <w:color w:val="auto"/>
                <w:szCs w:val="21"/>
              </w:rPr>
              <w:t>模架接合器的大板，用于支持压紧环</w:t>
            </w:r>
            <w:r>
              <w:rPr>
                <w:rFonts w:hint="eastAsia" w:ascii="Arial" w:hAnsi="Arial" w:cs="Arial" w:eastAsiaTheme="minorEastAsia"/>
                <w:color w:val="auto"/>
                <w:szCs w:val="21"/>
              </w:rPr>
              <w:t>/压圈（3.2.8）</w:t>
            </w:r>
            <w:r>
              <w:rPr>
                <w:rFonts w:ascii="Arial" w:hAnsi="Arial" w:cs="Arial" w:eastAsiaTheme="minorEastAsia"/>
                <w:color w:val="auto"/>
                <w:szCs w:val="21"/>
              </w:rPr>
              <w:t>、模套</w:t>
            </w:r>
            <w:r>
              <w:rPr>
                <w:rFonts w:hint="eastAsia" w:ascii="Arial" w:hAnsi="Arial" w:cs="Arial" w:eastAsiaTheme="minorEastAsia"/>
                <w:color w:val="auto"/>
                <w:szCs w:val="21"/>
              </w:rPr>
              <w:t>（3.2.79）</w:t>
            </w:r>
            <w:r>
              <w:rPr>
                <w:rFonts w:ascii="Arial" w:hAnsi="Arial" w:cs="Arial" w:eastAsiaTheme="minorEastAsia"/>
                <w:color w:val="auto"/>
                <w:szCs w:val="21"/>
              </w:rPr>
              <w:t>和阴模</w:t>
            </w:r>
            <w:r>
              <w:rPr>
                <w:rFonts w:hint="eastAsia" w:ascii="Arial" w:hAnsi="Arial" w:cs="Arial" w:eastAsiaTheme="minorEastAsia"/>
                <w:color w:val="auto"/>
                <w:szCs w:val="21"/>
              </w:rPr>
              <w:t>（3.2.23）</w:t>
            </w:r>
            <w:r>
              <w:rPr>
                <w:rFonts w:ascii="Arial" w:hAnsi="Arial" w:cs="Arial" w:eastAsiaTheme="minorEastAsia"/>
                <w:color w:val="auto"/>
                <w:szCs w:val="21"/>
              </w:rPr>
              <w:t>。</w:t>
            </w:r>
          </w:p>
          <w:p w14:paraId="52E3F219">
            <w:pPr>
              <w:ind w:left="480"/>
              <w:rPr>
                <w:rFonts w:ascii="Arial" w:hAnsi="Arial" w:cs="Arial" w:eastAsiaTheme="minorEastAsia"/>
                <w:color w:val="auto"/>
                <w:szCs w:val="21"/>
              </w:rPr>
            </w:pPr>
            <w:r>
              <w:rPr>
                <w:rFonts w:ascii="Arial" w:hAnsi="Arial" w:cs="Arial" w:eastAsiaTheme="minorEastAsia"/>
                <w:color w:val="auto"/>
                <w:szCs w:val="21"/>
              </w:rPr>
              <w:t>注：见</w:t>
            </w:r>
            <w:r>
              <w:rPr>
                <w:rFonts w:ascii="Arial" w:hAnsi="Arial" w:cs="Arial" w:eastAsiaTheme="minorEastAsia"/>
                <w:color w:val="auto"/>
                <w:szCs w:val="21"/>
              </w:rPr>
              <w:fldChar w:fldCharType="begin"/>
            </w:r>
            <w:r>
              <w:rPr>
                <w:rFonts w:ascii="Arial" w:hAnsi="Arial" w:cs="Arial" w:eastAsiaTheme="minorEastAsia"/>
                <w:color w:val="auto"/>
                <w:szCs w:val="21"/>
              </w:rPr>
              <w:instrText xml:space="preserve"> REF _Ref68184924 \h  \* MERGEFORMAT </w:instrText>
            </w:r>
            <w:r>
              <w:rPr>
                <w:rFonts w:ascii="Arial" w:hAnsi="Arial" w:cs="Arial" w:eastAsiaTheme="minorEastAsia"/>
                <w:color w:val="auto"/>
                <w:szCs w:val="21"/>
              </w:rPr>
              <w:fldChar w:fldCharType="separate"/>
            </w:r>
            <w:r>
              <w:rPr>
                <w:rFonts w:ascii="Arial" w:hAnsi="Arial" w:cs="Arial" w:eastAsiaTheme="minorEastAsia"/>
                <w:color w:val="auto"/>
                <w:szCs w:val="21"/>
              </w:rPr>
              <w:t>图11</w:t>
            </w:r>
            <w:r>
              <w:rPr>
                <w:rFonts w:ascii="Arial" w:hAnsi="Arial" w:cs="Arial" w:eastAsiaTheme="minorEastAsia"/>
                <w:color w:val="auto"/>
                <w:szCs w:val="21"/>
              </w:rPr>
              <w:fldChar w:fldCharType="end"/>
            </w:r>
            <w:r>
              <w:rPr>
                <w:rFonts w:hint="eastAsia" w:ascii="Arial" w:hAnsi="Arial" w:cs="Arial" w:eastAsiaTheme="minorEastAsia"/>
                <w:color w:val="auto"/>
                <w:szCs w:val="21"/>
              </w:rPr>
              <w:t>和图12</w:t>
            </w:r>
            <w:r>
              <w:rPr>
                <w:rFonts w:ascii="Arial" w:hAnsi="Arial" w:cs="Arial" w:eastAsiaTheme="minorEastAsia"/>
                <w:color w:val="auto"/>
                <w:szCs w:val="21"/>
              </w:rPr>
              <w:t>。</w:t>
            </w:r>
          </w:p>
          <w:p w14:paraId="0DCB96B5">
            <w:pPr>
              <w:rPr>
                <w:rFonts w:ascii="Calibri Light" w:hAnsi="Calibri Light" w:eastAsia="宋体" w:cs="Calibri Light"/>
                <w:color w:val="auto"/>
                <w:szCs w:val="21"/>
              </w:rPr>
            </w:pPr>
          </w:p>
        </w:tc>
        <w:tc>
          <w:tcPr>
            <w:tcW w:w="2663" w:type="dxa"/>
            <w:tcBorders>
              <w:top w:val="single" w:color="auto" w:sz="4" w:space="0"/>
              <w:left w:val="single" w:color="auto" w:sz="4" w:space="0"/>
              <w:bottom w:val="single" w:color="auto" w:sz="4" w:space="0"/>
              <w:right w:val="single" w:color="auto" w:sz="4" w:space="0"/>
            </w:tcBorders>
            <w:shd w:val="clear" w:color="auto" w:fill="auto"/>
          </w:tcPr>
          <w:p w14:paraId="56614743">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阴模固定板</w:t>
            </w:r>
          </w:p>
          <w:p w14:paraId="6CF7C74E">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模架接合器的大板，用于支持压紧环（3.2.8），模套（3.2.79）和阴模（3.2.23）。</w:t>
            </w:r>
          </w:p>
          <w:p w14:paraId="78A5DFBD">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注：见图11和图12.</w:t>
            </w:r>
          </w:p>
        </w:tc>
        <w:tc>
          <w:tcPr>
            <w:tcW w:w="2125" w:type="dxa"/>
            <w:tcBorders>
              <w:top w:val="single" w:color="auto" w:sz="4" w:space="0"/>
              <w:left w:val="single" w:color="auto" w:sz="4" w:space="0"/>
              <w:bottom w:val="single" w:color="auto" w:sz="4" w:space="0"/>
              <w:right w:val="single" w:color="auto" w:sz="4" w:space="0"/>
            </w:tcBorders>
          </w:tcPr>
          <w:p w14:paraId="0E853ECA">
            <w:pPr>
              <w:rPr>
                <w:rFonts w:asciiTheme="minorHAnsi" w:hAnsiTheme="minorHAnsi" w:eastAsiaTheme="minorEastAsia" w:cstheme="minorBidi"/>
                <w:color w:val="auto"/>
                <w:szCs w:val="21"/>
              </w:rPr>
            </w:pPr>
            <w:bookmarkStart w:id="53" w:name="_Hlk159940768"/>
            <w:r>
              <w:rPr>
                <w:rFonts w:hint="eastAsia" w:asciiTheme="minorHAnsi" w:hAnsiTheme="minorHAnsi" w:eastAsiaTheme="minorEastAsia" w:cstheme="minorBidi"/>
                <w:color w:val="auto"/>
                <w:szCs w:val="21"/>
              </w:rPr>
              <w:t>阴模固定板</w:t>
            </w:r>
            <w:bookmarkEnd w:id="53"/>
            <w:r>
              <w:rPr>
                <w:rFonts w:hint="eastAsia" w:asciiTheme="minorHAnsi" w:hAnsiTheme="minorHAnsi" w:eastAsiaTheme="minorEastAsia" w:cstheme="minorBidi"/>
                <w:color w:val="auto"/>
                <w:szCs w:val="21"/>
              </w:rPr>
              <w:t xml:space="preserve">  </w:t>
            </w:r>
          </w:p>
          <w:p w14:paraId="28C678DE">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模架接合器的大板，用于支持压紧环、模套和阴模(见图13)。</w:t>
            </w:r>
          </w:p>
        </w:tc>
      </w:tr>
      <w:tr w14:paraId="10D2A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6" w:hRule="atLeast"/>
          <w:jc w:val="center"/>
        </w:trPr>
        <w:tc>
          <w:tcPr>
            <w:tcW w:w="672" w:type="dxa"/>
            <w:tcBorders>
              <w:top w:val="single" w:color="auto" w:sz="4" w:space="0"/>
              <w:left w:val="single" w:color="auto" w:sz="4" w:space="0"/>
              <w:bottom w:val="single" w:color="auto" w:sz="4" w:space="0"/>
              <w:right w:val="single" w:color="auto" w:sz="4" w:space="0"/>
            </w:tcBorders>
            <w:shd w:val="clear" w:color="auto" w:fill="auto"/>
          </w:tcPr>
          <w:p w14:paraId="61797C5A">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3.2.78</w:t>
            </w:r>
          </w:p>
          <w:p w14:paraId="0CA485AE">
            <w:pPr>
              <w:rPr>
                <w:rFonts w:asciiTheme="minorHAnsi" w:hAnsiTheme="minorHAnsi" w:eastAsiaTheme="minorEastAsia" w:cstheme="minorBidi"/>
                <w:color w:val="auto"/>
                <w:szCs w:val="21"/>
              </w:rPr>
            </w:pPr>
          </w:p>
        </w:tc>
        <w:tc>
          <w:tcPr>
            <w:tcW w:w="2450" w:type="dxa"/>
            <w:tcBorders>
              <w:top w:val="single" w:color="auto" w:sz="4" w:space="0"/>
              <w:left w:val="single" w:color="auto" w:sz="4" w:space="0"/>
              <w:bottom w:val="single" w:color="auto" w:sz="4" w:space="0"/>
              <w:right w:val="single" w:color="auto" w:sz="4" w:space="0"/>
            </w:tcBorders>
            <w:shd w:val="clear" w:color="auto" w:fill="auto"/>
          </w:tcPr>
          <w:p w14:paraId="1EA916CA">
            <w:pPr>
              <w:spacing w:before="120" w:after="120"/>
              <w:jc w:val="left"/>
              <w:rPr>
                <w:rFonts w:ascii="Times New Roman" w:hAnsi="Times New Roman" w:cs="Times New Roman" w:eastAsiaTheme="minorEastAsia"/>
                <w:color w:val="auto"/>
              </w:rPr>
            </w:pPr>
            <w:r>
              <w:rPr>
                <w:rFonts w:ascii="Times New Roman" w:hAnsi="Times New Roman" w:eastAsia="等线" w:cs="Times New Roman"/>
                <w:b/>
                <w:bCs/>
                <w:color w:val="auto"/>
                <w:sz w:val="22"/>
              </w:rPr>
              <w:t xml:space="preserve">shaping </w:t>
            </w:r>
            <w:r>
              <w:rPr>
                <w:rFonts w:ascii="Times New Roman" w:hAnsi="Times New Roman" w:eastAsia="等线" w:cs="Times New Roman"/>
                <w:color w:val="auto"/>
                <w:sz w:val="22"/>
              </w:rPr>
              <w:t xml:space="preserve"> </w:t>
            </w:r>
          </w:p>
          <w:p w14:paraId="57DC0E29">
            <w:pPr>
              <w:spacing w:before="120" w:after="120"/>
              <w:jc w:val="left"/>
              <w:rPr>
                <w:rFonts w:ascii="Times New Roman" w:hAnsi="Times New Roman" w:eastAsia="宋体" w:cs="Times New Roman"/>
                <w:color w:val="auto"/>
                <w:szCs w:val="21"/>
              </w:rPr>
            </w:pPr>
            <w:r>
              <w:rPr>
                <w:rFonts w:ascii="Times New Roman" w:hAnsi="Times New Roman" w:eastAsia="等线" w:cs="Times New Roman"/>
                <w:color w:val="auto"/>
                <w:sz w:val="22"/>
              </w:rPr>
              <w:t>in hardmetal industry: achievement of a desired geometry before final sintering</w:t>
            </w:r>
          </w:p>
        </w:tc>
        <w:tc>
          <w:tcPr>
            <w:tcW w:w="2102" w:type="dxa"/>
            <w:tcBorders>
              <w:top w:val="single" w:color="auto" w:sz="4" w:space="0"/>
              <w:left w:val="single" w:color="auto" w:sz="4" w:space="0"/>
              <w:bottom w:val="single" w:color="auto" w:sz="4" w:space="0"/>
              <w:right w:val="single" w:color="auto" w:sz="4" w:space="0"/>
            </w:tcBorders>
            <w:shd w:val="clear" w:color="auto" w:fill="auto"/>
          </w:tcPr>
          <w:p w14:paraId="30181F60">
            <w:pPr>
              <w:spacing w:before="120" w:after="120" w:line="288" w:lineRule="auto"/>
              <w:jc w:val="left"/>
              <w:rPr>
                <w:rFonts w:asciiTheme="minorHAnsi" w:hAnsiTheme="minorHAnsi" w:eastAsiaTheme="minorEastAsia" w:cstheme="minorBidi"/>
                <w:color w:val="auto"/>
                <w:szCs w:val="21"/>
              </w:rPr>
            </w:pPr>
            <w:r>
              <w:rPr>
                <w:rFonts w:ascii="Arial" w:hAnsi="Arial" w:eastAsia="等线" w:cs="Arial"/>
                <w:color w:val="auto"/>
                <w:sz w:val="22"/>
              </w:rPr>
              <w:t xml:space="preserve"> 修形（shaping）：在最终烧结之前对压坯几何形状进行修整（在硬质合金工业中）。</w:t>
            </w:r>
          </w:p>
        </w:tc>
        <w:tc>
          <w:tcPr>
            <w:tcW w:w="2376" w:type="dxa"/>
            <w:tcBorders>
              <w:top w:val="single" w:color="auto" w:sz="4" w:space="0"/>
              <w:left w:val="single" w:color="auto" w:sz="4" w:space="0"/>
              <w:bottom w:val="single" w:color="auto" w:sz="4" w:space="0"/>
              <w:right w:val="single" w:color="auto" w:sz="4" w:space="0"/>
            </w:tcBorders>
            <w:shd w:val="clear" w:color="auto" w:fill="auto"/>
          </w:tcPr>
          <w:p w14:paraId="28786F9B">
            <w:pPr>
              <w:rPr>
                <w:rFonts w:ascii="Times New Roman" w:hAnsi="Times New Roman" w:eastAsia="宋体" w:cs="Times New Roman"/>
                <w:b/>
                <w:bCs/>
                <w:color w:val="auto"/>
                <w:szCs w:val="21"/>
              </w:rPr>
            </w:pPr>
            <w:r>
              <w:rPr>
                <w:rFonts w:hint="eastAsia" w:ascii="Times New Roman" w:hAnsi="Times New Roman" w:eastAsia="宋体" w:cs="Times New Roman"/>
                <w:b/>
                <w:bCs/>
                <w:color w:val="auto"/>
                <w:szCs w:val="21"/>
              </w:rPr>
              <w:t>shaping</w:t>
            </w:r>
          </w:p>
          <w:p w14:paraId="2F5E5CF5">
            <w:pPr>
              <w:rPr>
                <w:rFonts w:asciiTheme="minorHAnsi" w:hAnsiTheme="minorHAnsi" w:eastAsiaTheme="minorEastAsia" w:cstheme="minorBidi"/>
                <w:color w:val="auto"/>
                <w:szCs w:val="21"/>
              </w:rPr>
            </w:pPr>
            <w:r>
              <w:rPr>
                <w:rFonts w:hint="eastAsia" w:ascii="Times New Roman" w:hAnsi="Times New Roman" w:eastAsia="宋体" w:cs="Times New Roman"/>
                <w:color w:val="auto"/>
                <w:szCs w:val="21"/>
              </w:rPr>
              <w:t>&lt;in hardmetal industry&gt; achievement of a desired geometry before final sintering</w:t>
            </w:r>
          </w:p>
        </w:tc>
        <w:tc>
          <w:tcPr>
            <w:tcW w:w="3044" w:type="dxa"/>
            <w:tcBorders>
              <w:top w:val="single" w:color="auto" w:sz="4" w:space="0"/>
              <w:left w:val="single" w:color="auto" w:sz="4" w:space="0"/>
              <w:bottom w:val="single" w:color="auto" w:sz="4" w:space="0"/>
              <w:right w:val="single" w:color="auto" w:sz="4" w:space="0"/>
            </w:tcBorders>
            <w:shd w:val="clear" w:color="auto" w:fill="DAE3F3" w:themeFill="accent1" w:themeFillTint="32"/>
          </w:tcPr>
          <w:p w14:paraId="52210010">
            <w:pPr>
              <w:pStyle w:val="32"/>
              <w:ind w:firstLine="442"/>
              <w:rPr>
                <w:rStyle w:val="54"/>
                <w:rFonts w:ascii="黑体" w:hAnsi="黑体" w:eastAsia="黑体" w:cs="黑体"/>
                <w:b w:val="0"/>
                <w:bCs w:val="0"/>
                <w:color w:val="auto"/>
              </w:rPr>
            </w:pPr>
            <w:r>
              <w:rPr>
                <w:rStyle w:val="54"/>
                <w:rFonts w:hint="eastAsia" w:ascii="黑体" w:hAnsi="黑体" w:eastAsia="黑体" w:cs="黑体"/>
                <w:color w:val="auto"/>
              </w:rPr>
              <w:t>修形  shaping</w:t>
            </w:r>
          </w:p>
          <w:p w14:paraId="570C5694">
            <w:pPr>
              <w:ind w:firstLine="420"/>
              <w:rPr>
                <w:rFonts w:ascii="Arial" w:hAnsi="Arial" w:cs="Arial" w:eastAsiaTheme="minorEastAsia"/>
                <w:color w:val="auto"/>
                <w:szCs w:val="21"/>
              </w:rPr>
            </w:pPr>
            <w:r>
              <w:rPr>
                <w:rFonts w:hint="eastAsia" w:asciiTheme="minorHAnsi" w:hAnsiTheme="minorHAnsi" w:eastAsiaTheme="minorEastAsia" w:cstheme="minorBidi"/>
                <w:color w:val="auto"/>
                <w:szCs w:val="21"/>
              </w:rPr>
              <w:t xml:space="preserve">&lt;硬质合金行业&gt; </w:t>
            </w:r>
            <w:r>
              <w:rPr>
                <w:rFonts w:ascii="Arial" w:hAnsi="Arial" w:cs="Arial" w:eastAsiaTheme="minorEastAsia"/>
                <w:color w:val="auto"/>
                <w:szCs w:val="21"/>
              </w:rPr>
              <w:t>在最终烧结之前对压坯几何形状进行修整。</w:t>
            </w:r>
          </w:p>
          <w:p w14:paraId="0F6253C5">
            <w:pPr>
              <w:rPr>
                <w:rFonts w:ascii="Times New Roman" w:hAnsi="Times New Roman" w:eastAsia="宋体" w:cs="Times New Roman"/>
                <w:color w:val="auto"/>
                <w:szCs w:val="21"/>
              </w:rPr>
            </w:pPr>
          </w:p>
        </w:tc>
        <w:tc>
          <w:tcPr>
            <w:tcW w:w="2663" w:type="dxa"/>
            <w:tcBorders>
              <w:top w:val="single" w:color="auto" w:sz="4" w:space="0"/>
              <w:left w:val="single" w:color="auto" w:sz="4" w:space="0"/>
              <w:bottom w:val="single" w:color="auto" w:sz="4" w:space="0"/>
              <w:right w:val="single" w:color="auto" w:sz="4" w:space="0"/>
            </w:tcBorders>
            <w:shd w:val="clear" w:color="auto" w:fill="auto"/>
          </w:tcPr>
          <w:p w14:paraId="4A34648A">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成形</w:t>
            </w:r>
          </w:p>
          <w:p w14:paraId="5701CFE8">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&lt;硬质合金行业&gt; 在最终烧结前获得所需几何形状的工艺。</w:t>
            </w:r>
          </w:p>
        </w:tc>
        <w:tc>
          <w:tcPr>
            <w:tcW w:w="2125" w:type="dxa"/>
            <w:tcBorders>
              <w:top w:val="single" w:color="auto" w:sz="4" w:space="0"/>
              <w:left w:val="single" w:color="auto" w:sz="4" w:space="0"/>
              <w:bottom w:val="single" w:color="auto" w:sz="4" w:space="0"/>
              <w:right w:val="single" w:color="auto" w:sz="4" w:space="0"/>
            </w:tcBorders>
          </w:tcPr>
          <w:p w14:paraId="7B91E5F2">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修形</w:t>
            </w:r>
          </w:p>
          <w:p w14:paraId="272F7FFC">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在最终烧结之前对压坯几何形状进行修整（在硬质合金工业中）。</w:t>
            </w:r>
          </w:p>
          <w:p w14:paraId="644D9ED1">
            <w:pPr>
              <w:rPr>
                <w:rFonts w:asciiTheme="minorHAnsi" w:hAnsiTheme="minorHAnsi" w:eastAsiaTheme="minorEastAsia" w:cstheme="minorBidi"/>
                <w:color w:val="auto"/>
                <w:szCs w:val="21"/>
              </w:rPr>
            </w:pPr>
          </w:p>
        </w:tc>
      </w:tr>
      <w:tr w14:paraId="36751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7" w:hRule="atLeast"/>
          <w:jc w:val="center"/>
        </w:trPr>
        <w:tc>
          <w:tcPr>
            <w:tcW w:w="672" w:type="dxa"/>
            <w:tcBorders>
              <w:top w:val="single" w:color="auto" w:sz="4" w:space="0"/>
              <w:left w:val="single" w:color="auto" w:sz="4" w:space="0"/>
              <w:bottom w:val="single" w:color="auto" w:sz="4" w:space="0"/>
              <w:right w:val="single" w:color="auto" w:sz="4" w:space="0"/>
            </w:tcBorders>
            <w:shd w:val="clear" w:color="auto" w:fill="auto"/>
          </w:tcPr>
          <w:p w14:paraId="7B8D6295">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3.2.81</w:t>
            </w:r>
          </w:p>
          <w:p w14:paraId="7A0BFAB1">
            <w:pPr>
              <w:rPr>
                <w:rFonts w:asciiTheme="minorHAnsi" w:hAnsiTheme="minorHAnsi" w:eastAsiaTheme="minorEastAsia" w:cstheme="minorBidi"/>
                <w:color w:val="auto"/>
                <w:szCs w:val="21"/>
              </w:rPr>
            </w:pPr>
          </w:p>
        </w:tc>
        <w:tc>
          <w:tcPr>
            <w:tcW w:w="2450" w:type="dxa"/>
            <w:tcBorders>
              <w:top w:val="single" w:color="auto" w:sz="4" w:space="0"/>
              <w:left w:val="single" w:color="auto" w:sz="4" w:space="0"/>
              <w:bottom w:val="single" w:color="auto" w:sz="4" w:space="0"/>
              <w:right w:val="single" w:color="auto" w:sz="4" w:space="0"/>
            </w:tcBorders>
            <w:shd w:val="clear" w:color="auto" w:fill="auto"/>
          </w:tcPr>
          <w:p w14:paraId="389D4F36">
            <w:pPr>
              <w:spacing w:before="120" w:after="120"/>
              <w:jc w:val="left"/>
              <w:rPr>
                <w:rFonts w:ascii="Times New Roman" w:hAnsi="Times New Roman" w:cs="Times New Roman" w:eastAsiaTheme="minorEastAsia"/>
                <w:color w:val="auto"/>
              </w:rPr>
            </w:pPr>
            <w:r>
              <w:rPr>
                <w:rFonts w:ascii="Times New Roman" w:hAnsi="Times New Roman" w:eastAsia="等线" w:cs="Times New Roman"/>
                <w:b/>
                <w:bCs/>
                <w:color w:val="auto"/>
                <w:sz w:val="22"/>
              </w:rPr>
              <w:t xml:space="preserve">skeleton </w:t>
            </w:r>
            <w:r>
              <w:rPr>
                <w:rFonts w:ascii="Times New Roman" w:hAnsi="Times New Roman" w:eastAsia="等线" w:cs="Times New Roman"/>
                <w:color w:val="auto"/>
                <w:sz w:val="22"/>
              </w:rPr>
              <w:t xml:space="preserve"> </w:t>
            </w:r>
          </w:p>
          <w:p w14:paraId="05F4AEA6">
            <w:pPr>
              <w:spacing w:before="120" w:after="120"/>
              <w:jc w:val="left"/>
              <w:rPr>
                <w:rFonts w:ascii="Times New Roman" w:hAnsi="Times New Roman" w:eastAsia="宋体" w:cs="Times New Roman"/>
                <w:color w:val="auto"/>
                <w:szCs w:val="21"/>
              </w:rPr>
            </w:pPr>
            <w:r>
              <w:rPr>
                <w:rFonts w:ascii="Times New Roman" w:hAnsi="Times New Roman" w:eastAsia="等线" w:cs="Times New Roman"/>
                <w:color w:val="auto"/>
                <w:sz w:val="22"/>
              </w:rPr>
              <w:t>porous compact or sintered object intended for infiltration</w:t>
            </w:r>
          </w:p>
        </w:tc>
        <w:tc>
          <w:tcPr>
            <w:tcW w:w="2102" w:type="dxa"/>
            <w:tcBorders>
              <w:top w:val="single" w:color="auto" w:sz="4" w:space="0"/>
              <w:left w:val="single" w:color="auto" w:sz="4" w:space="0"/>
              <w:bottom w:val="single" w:color="auto" w:sz="4" w:space="0"/>
              <w:right w:val="single" w:color="auto" w:sz="4" w:space="0"/>
            </w:tcBorders>
            <w:shd w:val="clear" w:color="auto" w:fill="auto"/>
          </w:tcPr>
          <w:p w14:paraId="16DCDC97">
            <w:pPr>
              <w:rPr>
                <w:rFonts w:asciiTheme="minorHAnsi" w:hAnsiTheme="minorHAnsi" w:eastAsiaTheme="minorEastAsia" w:cstheme="minorBidi"/>
                <w:color w:val="auto"/>
                <w:szCs w:val="21"/>
              </w:rPr>
            </w:pPr>
            <w:r>
              <w:rPr>
                <w:rFonts w:ascii="Arial" w:hAnsi="Arial" w:eastAsia="等线" w:cs="Arial"/>
                <w:color w:val="auto"/>
                <w:sz w:val="22"/>
              </w:rPr>
              <w:t>骨架（skeleton）：为熔浸用的多孔性压坯或烧结体。</w:t>
            </w:r>
          </w:p>
        </w:tc>
        <w:tc>
          <w:tcPr>
            <w:tcW w:w="2376" w:type="dxa"/>
            <w:tcBorders>
              <w:top w:val="single" w:color="auto" w:sz="4" w:space="0"/>
              <w:left w:val="single" w:color="auto" w:sz="4" w:space="0"/>
              <w:bottom w:val="single" w:color="auto" w:sz="4" w:space="0"/>
              <w:right w:val="single" w:color="auto" w:sz="4" w:space="0"/>
            </w:tcBorders>
            <w:shd w:val="clear" w:color="auto" w:fill="auto"/>
          </w:tcPr>
          <w:p w14:paraId="32074EDE">
            <w:pPr>
              <w:rPr>
                <w:rFonts w:ascii="Times New Roman" w:hAnsi="Times New Roman" w:eastAsia="宋体" w:cs="Times New Roman"/>
                <w:b/>
                <w:bCs/>
                <w:color w:val="auto"/>
                <w:szCs w:val="21"/>
              </w:rPr>
            </w:pPr>
            <w:r>
              <w:rPr>
                <w:rFonts w:hint="eastAsia" w:ascii="Times New Roman" w:hAnsi="Times New Roman" w:eastAsia="宋体" w:cs="Times New Roman"/>
                <w:b/>
                <w:bCs/>
                <w:color w:val="auto"/>
                <w:szCs w:val="21"/>
              </w:rPr>
              <w:t>skeleton</w:t>
            </w:r>
          </w:p>
          <w:p w14:paraId="5D697576">
            <w:pPr>
              <w:rPr>
                <w:rFonts w:asciiTheme="minorHAnsi" w:hAnsiTheme="minorHAnsi" w:eastAsiaTheme="minorEastAsia" w:cstheme="minorBidi"/>
                <w:color w:val="auto"/>
                <w:szCs w:val="21"/>
              </w:rPr>
            </w:pPr>
            <w:r>
              <w:rPr>
                <w:rFonts w:hint="eastAsia" w:ascii="Times New Roman" w:hAnsi="Times New Roman" w:eastAsia="宋体" w:cs="Times New Roman"/>
                <w:color w:val="auto"/>
                <w:szCs w:val="21"/>
              </w:rPr>
              <w:t>porous compact or sintered object intended for infiltration (3.3.31)</w:t>
            </w:r>
          </w:p>
        </w:tc>
        <w:tc>
          <w:tcPr>
            <w:tcW w:w="3044" w:type="dxa"/>
            <w:tcBorders>
              <w:top w:val="single" w:color="auto" w:sz="4" w:space="0"/>
              <w:left w:val="single" w:color="auto" w:sz="4" w:space="0"/>
              <w:bottom w:val="single" w:color="auto" w:sz="4" w:space="0"/>
              <w:right w:val="single" w:color="auto" w:sz="4" w:space="0"/>
            </w:tcBorders>
            <w:shd w:val="clear" w:color="auto" w:fill="DAE3F3" w:themeFill="accent1" w:themeFillTint="32"/>
          </w:tcPr>
          <w:p w14:paraId="31CC0F67">
            <w:pPr>
              <w:pStyle w:val="32"/>
              <w:ind w:firstLine="442"/>
              <w:rPr>
                <w:rStyle w:val="54"/>
                <w:rFonts w:ascii="黑体" w:hAnsi="黑体" w:eastAsia="黑体" w:cs="黑体"/>
                <w:b w:val="0"/>
                <w:bCs w:val="0"/>
                <w:color w:val="auto"/>
              </w:rPr>
            </w:pPr>
            <w:r>
              <w:rPr>
                <w:rStyle w:val="54"/>
                <w:rFonts w:hint="eastAsia" w:ascii="黑体" w:hAnsi="黑体" w:eastAsia="黑体" w:cs="黑体"/>
                <w:color w:val="auto"/>
              </w:rPr>
              <w:t>骨架skeleton</w:t>
            </w:r>
          </w:p>
          <w:p w14:paraId="7C77AC98">
            <w:pPr>
              <w:ind w:firstLine="420"/>
              <w:rPr>
                <w:rFonts w:ascii="Arial" w:hAnsi="Arial" w:cs="Arial" w:eastAsiaTheme="minorEastAsia"/>
                <w:color w:val="auto"/>
                <w:szCs w:val="21"/>
              </w:rPr>
            </w:pPr>
            <w:r>
              <w:rPr>
                <w:rStyle w:val="54"/>
                <w:rFonts w:ascii="Arial" w:hAnsi="Arial" w:cs="Arial" w:eastAsiaTheme="minorEastAsia"/>
                <w:color w:val="auto"/>
              </w:rPr>
              <w:t>为熔</w:t>
            </w:r>
            <w:r>
              <w:rPr>
                <w:rStyle w:val="54"/>
                <w:rFonts w:hint="eastAsia" w:ascii="Arial" w:hAnsi="Arial" w:cs="Arial" w:eastAsiaTheme="minorEastAsia"/>
                <w:color w:val="auto"/>
              </w:rPr>
              <w:t>渗（3.3.31）</w:t>
            </w:r>
            <w:r>
              <w:rPr>
                <w:rStyle w:val="54"/>
                <w:rFonts w:ascii="Arial" w:hAnsi="Arial" w:cs="Arial" w:eastAsiaTheme="minorEastAsia"/>
                <w:color w:val="auto"/>
              </w:rPr>
              <w:t>用的多孔性压坯或烧结体。</w:t>
            </w:r>
          </w:p>
          <w:p w14:paraId="16253CAE">
            <w:pPr>
              <w:rPr>
                <w:rFonts w:ascii="Times New Roman" w:hAnsi="Times New Roman" w:eastAsia="宋体" w:cs="Times New Roman"/>
                <w:color w:val="auto"/>
                <w:szCs w:val="21"/>
              </w:rPr>
            </w:pPr>
          </w:p>
        </w:tc>
        <w:tc>
          <w:tcPr>
            <w:tcW w:w="2663" w:type="dxa"/>
            <w:tcBorders>
              <w:top w:val="single" w:color="auto" w:sz="4" w:space="0"/>
              <w:left w:val="single" w:color="auto" w:sz="4" w:space="0"/>
              <w:bottom w:val="single" w:color="auto" w:sz="4" w:space="0"/>
              <w:right w:val="single" w:color="auto" w:sz="4" w:space="0"/>
            </w:tcBorders>
            <w:shd w:val="clear" w:color="auto" w:fill="auto"/>
          </w:tcPr>
          <w:p w14:paraId="2D95A39F">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 xml:space="preserve">骨架 </w:t>
            </w:r>
            <w:r>
              <w:rPr>
                <w:rFonts w:hint="eastAsia" w:asciiTheme="minorHAnsi" w:hAnsiTheme="minorHAnsi" w:eastAsiaTheme="minorEastAsia" w:cstheme="minorBidi"/>
                <w:color w:val="auto"/>
                <w:szCs w:val="21"/>
              </w:rPr>
              <w:br w:type="textWrapping"/>
            </w:r>
            <w:r>
              <w:rPr>
                <w:rFonts w:hint="eastAsia" w:asciiTheme="minorHAnsi" w:hAnsiTheme="minorHAnsi" w:eastAsiaTheme="minorEastAsia" w:cstheme="minorBidi"/>
                <w:color w:val="auto"/>
                <w:szCs w:val="21"/>
              </w:rPr>
              <w:t>用于熔浸 (3.3.31) 的多孔压坯或烧结体。</w:t>
            </w:r>
          </w:p>
          <w:p w14:paraId="60B2DE61">
            <w:pPr>
              <w:rPr>
                <w:rFonts w:asciiTheme="minorHAnsi" w:hAnsiTheme="minorHAnsi" w:eastAsiaTheme="minorEastAsia" w:cstheme="minorBidi"/>
                <w:color w:val="auto"/>
                <w:szCs w:val="21"/>
              </w:rPr>
            </w:pPr>
          </w:p>
        </w:tc>
        <w:tc>
          <w:tcPr>
            <w:tcW w:w="2125" w:type="dxa"/>
            <w:tcBorders>
              <w:top w:val="single" w:color="auto" w:sz="4" w:space="0"/>
              <w:left w:val="single" w:color="auto" w:sz="4" w:space="0"/>
              <w:bottom w:val="single" w:color="auto" w:sz="4" w:space="0"/>
              <w:right w:val="single" w:color="auto" w:sz="4" w:space="0"/>
            </w:tcBorders>
          </w:tcPr>
          <w:p w14:paraId="490A245A">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 xml:space="preserve">骨架 </w:t>
            </w:r>
          </w:p>
          <w:p w14:paraId="252166DD">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为熔浸（3.3.31）用的多孔性压坯或烧结体。</w:t>
            </w:r>
          </w:p>
          <w:p w14:paraId="0D7401C8">
            <w:pPr>
              <w:rPr>
                <w:rFonts w:asciiTheme="minorHAnsi" w:hAnsiTheme="minorHAnsi" w:eastAsiaTheme="minorEastAsia" w:cstheme="minorBidi"/>
                <w:color w:val="auto"/>
                <w:szCs w:val="21"/>
              </w:rPr>
            </w:pPr>
          </w:p>
        </w:tc>
      </w:tr>
      <w:tr w14:paraId="178F3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jc w:val="center"/>
        </w:trPr>
        <w:tc>
          <w:tcPr>
            <w:tcW w:w="672" w:type="dxa"/>
            <w:tcBorders>
              <w:top w:val="single" w:color="auto" w:sz="4" w:space="0"/>
              <w:left w:val="single" w:color="auto" w:sz="4" w:space="0"/>
              <w:bottom w:val="single" w:color="auto" w:sz="4" w:space="0"/>
              <w:right w:val="single" w:color="auto" w:sz="4" w:space="0"/>
            </w:tcBorders>
            <w:shd w:val="clear" w:color="auto" w:fill="auto"/>
          </w:tcPr>
          <w:p w14:paraId="445EFE57">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3.3.1</w:t>
            </w:r>
          </w:p>
        </w:tc>
        <w:tc>
          <w:tcPr>
            <w:tcW w:w="2450" w:type="dxa"/>
            <w:tcBorders>
              <w:top w:val="single" w:color="auto" w:sz="4" w:space="0"/>
              <w:left w:val="single" w:color="auto" w:sz="4" w:space="0"/>
              <w:bottom w:val="single" w:color="auto" w:sz="4" w:space="0"/>
              <w:right w:val="single" w:color="auto" w:sz="4" w:space="0"/>
            </w:tcBorders>
            <w:shd w:val="clear" w:color="auto" w:fill="auto"/>
          </w:tcPr>
          <w:p w14:paraId="0B502E78">
            <w:pPr>
              <w:spacing w:before="120" w:after="120"/>
              <w:jc w:val="left"/>
              <w:rPr>
                <w:rFonts w:ascii="Times New Roman" w:hAnsi="Times New Roman" w:cs="Times New Roman" w:eastAsiaTheme="minorEastAsia"/>
                <w:color w:val="auto"/>
              </w:rPr>
            </w:pPr>
            <w:r>
              <w:rPr>
                <w:rFonts w:ascii="Times New Roman" w:hAnsi="Times New Roman" w:eastAsia="等线" w:cs="Times New Roman"/>
                <w:b/>
                <w:bCs/>
                <w:color w:val="auto"/>
                <w:sz w:val="22"/>
              </w:rPr>
              <w:t>activated sintering</w:t>
            </w:r>
            <w:r>
              <w:rPr>
                <w:rFonts w:ascii="Times New Roman" w:hAnsi="Times New Roman" w:eastAsia="等线" w:cs="Times New Roman"/>
                <w:color w:val="auto"/>
                <w:sz w:val="22"/>
              </w:rPr>
              <w:t xml:space="preserve">  </w:t>
            </w:r>
          </w:p>
          <w:p w14:paraId="1E13636C">
            <w:pPr>
              <w:spacing w:before="120" w:after="120"/>
              <w:jc w:val="left"/>
              <w:rPr>
                <w:rFonts w:ascii="Times New Roman" w:hAnsi="Times New Roman" w:eastAsia="宋体" w:cs="Times New Roman"/>
                <w:color w:val="auto"/>
                <w:szCs w:val="21"/>
              </w:rPr>
            </w:pPr>
            <w:r>
              <w:rPr>
                <w:rFonts w:ascii="Times New Roman" w:hAnsi="Times New Roman" w:eastAsia="等线" w:cs="Times New Roman"/>
                <w:color w:val="auto"/>
                <w:sz w:val="22"/>
              </w:rPr>
              <w:t>sintering process during which the rate of sintering is increased, for example by addition of a substance to the powder or under the influence of the sintering atmosphere</w:t>
            </w:r>
          </w:p>
        </w:tc>
        <w:tc>
          <w:tcPr>
            <w:tcW w:w="2102" w:type="dxa"/>
            <w:tcBorders>
              <w:top w:val="single" w:color="auto" w:sz="4" w:space="0"/>
              <w:left w:val="single" w:color="auto" w:sz="4" w:space="0"/>
              <w:bottom w:val="single" w:color="auto" w:sz="4" w:space="0"/>
              <w:right w:val="single" w:color="auto" w:sz="4" w:space="0"/>
            </w:tcBorders>
            <w:shd w:val="clear" w:color="auto" w:fill="auto"/>
          </w:tcPr>
          <w:p w14:paraId="68D9F80E">
            <w:pPr>
              <w:rPr>
                <w:rFonts w:asciiTheme="minorHAnsi" w:hAnsiTheme="minorHAnsi" w:eastAsiaTheme="minorEastAsia" w:cstheme="minorBidi"/>
                <w:color w:val="auto"/>
                <w:szCs w:val="21"/>
              </w:rPr>
            </w:pPr>
            <w:r>
              <w:rPr>
                <w:rFonts w:ascii="Arial" w:hAnsi="Arial" w:eastAsia="等线" w:cs="Arial"/>
                <w:color w:val="auto"/>
                <w:sz w:val="22"/>
              </w:rPr>
              <w:t>活化烧结（activated sintering）：提高烧结速度的一种烧结过程。例如，往粉末中添加某种物质或在一定烧结气氛的影响下的烧结。</w:t>
            </w:r>
          </w:p>
        </w:tc>
        <w:tc>
          <w:tcPr>
            <w:tcW w:w="2376" w:type="dxa"/>
            <w:tcBorders>
              <w:top w:val="single" w:color="auto" w:sz="4" w:space="0"/>
              <w:left w:val="single" w:color="auto" w:sz="4" w:space="0"/>
              <w:bottom w:val="single" w:color="auto" w:sz="4" w:space="0"/>
              <w:right w:val="single" w:color="auto" w:sz="4" w:space="0"/>
            </w:tcBorders>
            <w:shd w:val="clear" w:color="auto" w:fill="auto"/>
          </w:tcPr>
          <w:p w14:paraId="0D0E186A">
            <w:pPr>
              <w:rPr>
                <w:rFonts w:ascii="Times New Roman" w:hAnsi="Times New Roman" w:eastAsia="宋体" w:cs="Times New Roman"/>
                <w:b/>
                <w:bCs/>
                <w:color w:val="auto"/>
                <w:szCs w:val="21"/>
              </w:rPr>
            </w:pPr>
            <w:r>
              <w:rPr>
                <w:rFonts w:ascii="Times New Roman" w:hAnsi="Times New Roman" w:eastAsia="宋体" w:cs="Times New Roman"/>
                <w:b/>
                <w:bCs/>
                <w:color w:val="auto"/>
                <w:szCs w:val="21"/>
              </w:rPr>
              <w:t>activated sintering</w:t>
            </w:r>
          </w:p>
          <w:p w14:paraId="70CB607D">
            <w:pPr>
              <w:rPr>
                <w:rFonts w:ascii="Times New Roman" w:hAnsi="Times New Roman" w:eastAsia="宋体" w:cs="Times New Roman"/>
                <w:color w:val="auto"/>
                <w:szCs w:val="21"/>
              </w:rPr>
            </w:pPr>
            <w:r>
              <w:rPr>
                <w:rFonts w:ascii="Times New Roman" w:hAnsi="Times New Roman" w:eastAsia="宋体" w:cs="Times New Roman"/>
                <w:color w:val="auto"/>
                <w:szCs w:val="21"/>
              </w:rPr>
              <w:t>sintering process</w:t>
            </w:r>
            <w:r>
              <w:rPr>
                <w:rFonts w:hint="eastAsia" w:ascii="Times New Roman" w:hAnsi="Times New Roman" w:eastAsia="宋体" w:cs="Times New Roman"/>
                <w:color w:val="auto"/>
                <w:szCs w:val="21"/>
              </w:rPr>
              <w:t xml:space="preserve"> </w:t>
            </w:r>
            <w:r>
              <w:rPr>
                <w:rFonts w:ascii="Times New Roman" w:hAnsi="Times New Roman" w:eastAsia="宋体" w:cs="Times New Roman"/>
                <w:color w:val="auto"/>
                <w:szCs w:val="21"/>
              </w:rPr>
              <w:t>during which the rate of sintering is increased</w:t>
            </w:r>
          </w:p>
          <w:p w14:paraId="45418E46">
            <w:pPr>
              <w:rPr>
                <w:rFonts w:asciiTheme="minorHAnsi" w:hAnsiTheme="minorHAnsi" w:eastAsiaTheme="minorEastAsia" w:cstheme="minorBidi"/>
                <w:color w:val="auto"/>
                <w:szCs w:val="21"/>
              </w:rPr>
            </w:pPr>
            <w:r>
              <w:rPr>
                <w:rFonts w:ascii="Times New Roman" w:hAnsi="Times New Roman" w:eastAsia="宋体" w:cs="Times New Roman"/>
                <w:color w:val="auto"/>
                <w:szCs w:val="21"/>
              </w:rPr>
              <w:t>EXAMPLE Addition of a substance to the powder or under the influence of the sintering</w:t>
            </w:r>
            <w:r>
              <w:rPr>
                <w:rFonts w:hint="eastAsia" w:ascii="Times New Roman" w:hAnsi="Times New Roman" w:eastAsia="宋体" w:cs="Times New Roman"/>
                <w:color w:val="auto"/>
                <w:szCs w:val="21"/>
              </w:rPr>
              <w:t xml:space="preserve"> </w:t>
            </w:r>
            <w:r>
              <w:rPr>
                <w:rFonts w:ascii="Times New Roman" w:hAnsi="Times New Roman" w:eastAsia="宋体" w:cs="Times New Roman"/>
                <w:color w:val="auto"/>
                <w:szCs w:val="21"/>
              </w:rPr>
              <w:t>atmosphere (3.3.61).</w:t>
            </w:r>
          </w:p>
        </w:tc>
        <w:tc>
          <w:tcPr>
            <w:tcW w:w="3044" w:type="dxa"/>
            <w:tcBorders>
              <w:top w:val="single" w:color="auto" w:sz="4" w:space="0"/>
              <w:left w:val="single" w:color="auto" w:sz="4" w:space="0"/>
              <w:bottom w:val="single" w:color="auto" w:sz="4" w:space="0"/>
              <w:right w:val="single" w:color="auto" w:sz="4" w:space="0"/>
            </w:tcBorders>
            <w:shd w:val="clear" w:color="auto" w:fill="DAE3F3" w:themeFill="accent1" w:themeFillTint="32"/>
          </w:tcPr>
          <w:p w14:paraId="7EFBFECC">
            <w:pPr>
              <w:pStyle w:val="32"/>
              <w:ind w:firstLine="442"/>
              <w:rPr>
                <w:rStyle w:val="54"/>
                <w:rFonts w:ascii="黑体" w:hAnsi="黑体" w:eastAsia="黑体" w:cs="黑体"/>
                <w:b w:val="0"/>
                <w:bCs w:val="0"/>
                <w:color w:val="auto"/>
              </w:rPr>
            </w:pPr>
            <w:r>
              <w:rPr>
                <w:rStyle w:val="54"/>
                <w:rFonts w:hint="eastAsia" w:ascii="黑体" w:hAnsi="黑体" w:eastAsia="黑体" w:cs="黑体"/>
                <w:color w:val="auto"/>
              </w:rPr>
              <w:t>活化烧结  activated sintering</w:t>
            </w:r>
          </w:p>
          <w:p w14:paraId="246AE37A">
            <w:pPr>
              <w:ind w:firstLine="420"/>
              <w:rPr>
                <w:rStyle w:val="54"/>
                <w:rFonts w:ascii="Arial" w:hAnsi="Arial" w:cs="Arial" w:eastAsiaTheme="minorEastAsia"/>
                <w:b w:val="0"/>
                <w:bCs w:val="0"/>
                <w:color w:val="auto"/>
              </w:rPr>
            </w:pPr>
            <w:r>
              <w:rPr>
                <w:rStyle w:val="54"/>
                <w:rFonts w:ascii="Arial" w:hAnsi="Arial" w:cs="Arial" w:eastAsiaTheme="minorEastAsia"/>
                <w:color w:val="auto"/>
              </w:rPr>
              <w:t>提高烧结速度的一种烧结过程。</w:t>
            </w:r>
          </w:p>
          <w:p w14:paraId="33A59377">
            <w:pPr>
              <w:ind w:firstLine="420"/>
              <w:rPr>
                <w:rStyle w:val="54"/>
                <w:rFonts w:ascii="Arial" w:hAnsi="Arial" w:cs="Arial" w:eastAsiaTheme="minorEastAsia"/>
                <w:b w:val="0"/>
                <w:bCs w:val="0"/>
                <w:color w:val="auto"/>
              </w:rPr>
            </w:pPr>
            <w:r>
              <w:rPr>
                <w:rStyle w:val="54"/>
                <w:rFonts w:hint="eastAsia" w:ascii="Arial" w:hAnsi="Arial" w:cs="Arial" w:eastAsiaTheme="minorEastAsia"/>
                <w:color w:val="auto"/>
              </w:rPr>
              <w:t>示例：</w:t>
            </w:r>
            <w:r>
              <w:rPr>
                <w:rStyle w:val="54"/>
                <w:rFonts w:ascii="Arial" w:hAnsi="Arial" w:cs="Arial" w:eastAsiaTheme="minorEastAsia"/>
                <w:color w:val="auto"/>
              </w:rPr>
              <w:t>往粉末中添加某种物质或在一定烧结气氛</w:t>
            </w:r>
            <w:r>
              <w:rPr>
                <w:rStyle w:val="54"/>
                <w:rFonts w:hint="eastAsia" w:ascii="Arial" w:hAnsi="Arial" w:cs="Arial" w:eastAsiaTheme="minorEastAsia"/>
                <w:color w:val="auto"/>
              </w:rPr>
              <w:t>（3.3.61）</w:t>
            </w:r>
            <w:r>
              <w:rPr>
                <w:rStyle w:val="54"/>
                <w:rFonts w:ascii="Arial" w:hAnsi="Arial" w:cs="Arial" w:eastAsiaTheme="minorEastAsia"/>
                <w:color w:val="auto"/>
              </w:rPr>
              <w:t>的影响下的烧结。</w:t>
            </w:r>
          </w:p>
          <w:p w14:paraId="72171564">
            <w:pPr>
              <w:rPr>
                <w:rFonts w:ascii="Times New Roman" w:hAnsi="Times New Roman" w:eastAsia="宋体" w:cs="Times New Roman"/>
                <w:color w:val="auto"/>
                <w:szCs w:val="21"/>
              </w:rPr>
            </w:pPr>
          </w:p>
        </w:tc>
        <w:tc>
          <w:tcPr>
            <w:tcW w:w="2663" w:type="dxa"/>
            <w:tcBorders>
              <w:top w:val="single" w:color="auto" w:sz="4" w:space="0"/>
              <w:left w:val="single" w:color="auto" w:sz="4" w:space="0"/>
              <w:bottom w:val="single" w:color="auto" w:sz="4" w:space="0"/>
              <w:right w:val="single" w:color="auto" w:sz="4" w:space="0"/>
            </w:tcBorders>
            <w:shd w:val="clear" w:color="auto" w:fill="auto"/>
          </w:tcPr>
          <w:p w14:paraId="7A9CA35F">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活化烧结</w:t>
            </w:r>
          </w:p>
          <w:p w14:paraId="66347210">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提高烧结速度的一种烧结过程。例如，往粉末中添加某种物质或在一定烧结气氛的影响下的烧结。</w:t>
            </w:r>
            <w:r>
              <w:rPr>
                <w:rFonts w:asciiTheme="minorHAnsi" w:hAnsiTheme="minorHAnsi" w:eastAsiaTheme="minorEastAsia" w:cstheme="minorBidi"/>
                <w:color w:val="auto"/>
                <w:szCs w:val="21"/>
              </w:rPr>
              <w:t>（3.3.61）</w:t>
            </w:r>
          </w:p>
        </w:tc>
        <w:tc>
          <w:tcPr>
            <w:tcW w:w="2125" w:type="dxa"/>
            <w:tcBorders>
              <w:top w:val="single" w:color="auto" w:sz="4" w:space="0"/>
              <w:left w:val="single" w:color="auto" w:sz="4" w:space="0"/>
              <w:bottom w:val="single" w:color="auto" w:sz="4" w:space="0"/>
              <w:right w:val="single" w:color="auto" w:sz="4" w:space="0"/>
            </w:tcBorders>
          </w:tcPr>
          <w:p w14:paraId="0508C814">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 xml:space="preserve">活化烧结 </w:t>
            </w:r>
          </w:p>
          <w:p w14:paraId="3CF048D6">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提高烧结速度的烧结过程。例如，往粉末中添加某种物质或在一定烧结气氛的影响下的烧结。</w:t>
            </w:r>
          </w:p>
          <w:p w14:paraId="6926FB9A">
            <w:pPr>
              <w:rPr>
                <w:rFonts w:asciiTheme="minorHAnsi" w:hAnsiTheme="minorHAnsi" w:eastAsiaTheme="minorEastAsia" w:cstheme="minorBidi"/>
                <w:color w:val="auto"/>
                <w:szCs w:val="21"/>
              </w:rPr>
            </w:pPr>
          </w:p>
        </w:tc>
      </w:tr>
      <w:tr w14:paraId="51BF1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jc w:val="center"/>
        </w:trPr>
        <w:tc>
          <w:tcPr>
            <w:tcW w:w="672" w:type="dxa"/>
            <w:tcBorders>
              <w:top w:val="single" w:color="auto" w:sz="4" w:space="0"/>
              <w:left w:val="single" w:color="auto" w:sz="4" w:space="0"/>
              <w:bottom w:val="single" w:color="auto" w:sz="4" w:space="0"/>
              <w:right w:val="single" w:color="auto" w:sz="4" w:space="0"/>
            </w:tcBorders>
            <w:shd w:val="clear" w:color="auto" w:fill="auto"/>
          </w:tcPr>
          <w:p w14:paraId="6C1E90D9">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3.3.4</w:t>
            </w:r>
          </w:p>
        </w:tc>
        <w:tc>
          <w:tcPr>
            <w:tcW w:w="2450" w:type="dxa"/>
            <w:tcBorders>
              <w:top w:val="single" w:color="auto" w:sz="4" w:space="0"/>
              <w:left w:val="single" w:color="auto" w:sz="4" w:space="0"/>
              <w:bottom w:val="single" w:color="auto" w:sz="4" w:space="0"/>
              <w:right w:val="single" w:color="auto" w:sz="4" w:space="0"/>
            </w:tcBorders>
            <w:shd w:val="clear" w:color="auto" w:fill="auto"/>
          </w:tcPr>
          <w:p w14:paraId="6BA7C49F">
            <w:pPr>
              <w:spacing w:before="120" w:after="120"/>
              <w:jc w:val="left"/>
              <w:rPr>
                <w:rFonts w:ascii="Times New Roman" w:hAnsi="Times New Roman" w:cs="Times New Roman" w:eastAsiaTheme="minorEastAsia"/>
                <w:b/>
                <w:bCs/>
                <w:color w:val="auto"/>
              </w:rPr>
            </w:pPr>
            <w:r>
              <w:rPr>
                <w:rFonts w:ascii="Times New Roman" w:hAnsi="Times New Roman" w:eastAsia="等线" w:cs="Times New Roman"/>
                <w:b/>
                <w:bCs/>
                <w:color w:val="auto"/>
                <w:sz w:val="22"/>
              </w:rPr>
              <w:t xml:space="preserve">batch furnace  </w:t>
            </w:r>
          </w:p>
          <w:p w14:paraId="1E2F0844">
            <w:pPr>
              <w:spacing w:before="120" w:after="120"/>
              <w:jc w:val="left"/>
              <w:rPr>
                <w:rFonts w:ascii="Times New Roman" w:hAnsi="Times New Roman" w:cs="Times New Roman" w:eastAsiaTheme="minorEastAsia"/>
                <w:color w:val="auto"/>
              </w:rPr>
            </w:pPr>
            <w:r>
              <w:rPr>
                <w:rFonts w:ascii="Times New Roman" w:hAnsi="Times New Roman" w:eastAsia="等线" w:cs="Times New Roman"/>
                <w:color w:val="auto"/>
                <w:sz w:val="22"/>
              </w:rPr>
              <w:t xml:space="preserve">furnace designed to sinter separate batches without continuous transport  </w:t>
            </w:r>
          </w:p>
          <w:p w14:paraId="0D5CDFF7">
            <w:pPr>
              <w:rPr>
                <w:rFonts w:ascii="Times New Roman" w:hAnsi="Times New Roman" w:eastAsia="宋体" w:cs="Times New Roman"/>
                <w:color w:val="auto"/>
                <w:szCs w:val="21"/>
              </w:rPr>
            </w:pPr>
            <w:r>
              <w:rPr>
                <w:rFonts w:ascii="Times New Roman" w:hAnsi="Times New Roman" w:eastAsia="等线" w:cs="Times New Roman"/>
                <w:color w:val="auto"/>
                <w:sz w:val="22"/>
              </w:rPr>
              <w:t>EXAMPLE A bell or box furnace</w:t>
            </w:r>
          </w:p>
        </w:tc>
        <w:tc>
          <w:tcPr>
            <w:tcW w:w="2102" w:type="dxa"/>
            <w:tcBorders>
              <w:top w:val="single" w:color="auto" w:sz="4" w:space="0"/>
              <w:left w:val="single" w:color="auto" w:sz="4" w:space="0"/>
              <w:bottom w:val="single" w:color="auto" w:sz="4" w:space="0"/>
              <w:right w:val="single" w:color="auto" w:sz="4" w:space="0"/>
            </w:tcBorders>
            <w:shd w:val="clear" w:color="auto" w:fill="auto"/>
          </w:tcPr>
          <w:p w14:paraId="3F08B03E">
            <w:pPr>
              <w:spacing w:before="120" w:after="120" w:line="288" w:lineRule="auto"/>
              <w:jc w:val="left"/>
              <w:rPr>
                <w:rFonts w:asciiTheme="minorHAnsi" w:hAnsiTheme="minorHAnsi" w:eastAsiaTheme="minorEastAsia" w:cstheme="minorBidi"/>
                <w:color w:val="auto"/>
                <w:szCs w:val="21"/>
              </w:rPr>
            </w:pPr>
            <w:r>
              <w:rPr>
                <w:rFonts w:ascii="Arial" w:hAnsi="Arial" w:eastAsia="等线" w:cs="Arial"/>
                <w:color w:val="auto"/>
                <w:sz w:val="22"/>
              </w:rPr>
              <w:t>间歇炉（batch furnace）：不能连续传送的分批进行烧结的炉子，如钟罩炉或箱式炉。</w:t>
            </w:r>
          </w:p>
        </w:tc>
        <w:tc>
          <w:tcPr>
            <w:tcW w:w="2376" w:type="dxa"/>
            <w:tcBorders>
              <w:top w:val="single" w:color="auto" w:sz="4" w:space="0"/>
              <w:left w:val="single" w:color="auto" w:sz="4" w:space="0"/>
              <w:bottom w:val="single" w:color="auto" w:sz="4" w:space="0"/>
              <w:right w:val="single" w:color="auto" w:sz="4" w:space="0"/>
            </w:tcBorders>
            <w:shd w:val="clear" w:color="auto" w:fill="auto"/>
          </w:tcPr>
          <w:p w14:paraId="4B5E0620">
            <w:pPr>
              <w:rPr>
                <w:rFonts w:ascii="Times New Roman" w:hAnsi="Times New Roman" w:eastAsia="宋体" w:cs="Times New Roman"/>
                <w:b/>
                <w:bCs/>
                <w:color w:val="auto"/>
                <w:szCs w:val="21"/>
              </w:rPr>
            </w:pPr>
            <w:r>
              <w:rPr>
                <w:rFonts w:ascii="Times New Roman" w:hAnsi="Times New Roman" w:eastAsia="宋体" w:cs="Times New Roman"/>
                <w:b/>
                <w:bCs/>
                <w:color w:val="auto"/>
                <w:szCs w:val="21"/>
              </w:rPr>
              <w:t>batch furnace</w:t>
            </w:r>
          </w:p>
          <w:p w14:paraId="711DDE07">
            <w:pPr>
              <w:rPr>
                <w:rFonts w:ascii="Times New Roman" w:hAnsi="Times New Roman" w:eastAsia="宋体" w:cs="Times New Roman"/>
                <w:color w:val="auto"/>
                <w:szCs w:val="21"/>
              </w:rPr>
            </w:pPr>
            <w:r>
              <w:rPr>
                <w:rFonts w:ascii="Times New Roman" w:hAnsi="Times New Roman" w:eastAsia="宋体" w:cs="Times New Roman"/>
                <w:color w:val="auto"/>
                <w:szCs w:val="21"/>
              </w:rPr>
              <w:t>furnace designed to sinter separate batches without continuous transport</w:t>
            </w:r>
          </w:p>
          <w:p w14:paraId="21DB9BAB">
            <w:pPr>
              <w:rPr>
                <w:rFonts w:ascii="Calibri Light" w:hAnsi="Calibri Light" w:eastAsia="宋体" w:cs="Calibri Light"/>
                <w:color w:val="auto"/>
                <w:szCs w:val="21"/>
              </w:rPr>
            </w:pPr>
            <w:r>
              <w:rPr>
                <w:rFonts w:ascii="Calibri Light" w:hAnsi="Calibri Light" w:eastAsia="宋体" w:cs="Calibri Light"/>
                <w:color w:val="auto"/>
                <w:szCs w:val="21"/>
              </w:rPr>
              <w:t>EXAMPLE A bell or box furnace.</w:t>
            </w:r>
          </w:p>
          <w:p w14:paraId="00EFC2F8">
            <w:pPr>
              <w:rPr>
                <w:rFonts w:asciiTheme="minorHAnsi" w:hAnsiTheme="minorHAnsi" w:eastAsiaTheme="minorEastAsia" w:cstheme="minorBidi"/>
                <w:color w:val="auto"/>
                <w:szCs w:val="21"/>
              </w:rPr>
            </w:pPr>
          </w:p>
        </w:tc>
        <w:tc>
          <w:tcPr>
            <w:tcW w:w="3044" w:type="dxa"/>
            <w:tcBorders>
              <w:top w:val="single" w:color="auto" w:sz="4" w:space="0"/>
              <w:left w:val="single" w:color="auto" w:sz="4" w:space="0"/>
              <w:bottom w:val="single" w:color="auto" w:sz="4" w:space="0"/>
              <w:right w:val="single" w:color="auto" w:sz="4" w:space="0"/>
            </w:tcBorders>
            <w:shd w:val="clear" w:color="auto" w:fill="DAE3F3" w:themeFill="accent1" w:themeFillTint="32"/>
          </w:tcPr>
          <w:p w14:paraId="09176164">
            <w:pPr>
              <w:pStyle w:val="32"/>
              <w:ind w:firstLine="442"/>
              <w:rPr>
                <w:rStyle w:val="54"/>
                <w:rFonts w:ascii="黑体" w:hAnsi="黑体" w:eastAsia="黑体" w:cs="黑体"/>
                <w:b w:val="0"/>
                <w:bCs w:val="0"/>
                <w:color w:val="auto"/>
              </w:rPr>
            </w:pPr>
            <w:r>
              <w:rPr>
                <w:rStyle w:val="54"/>
                <w:rFonts w:hint="eastAsia" w:ascii="黑体" w:hAnsi="黑体" w:eastAsia="黑体" w:cs="黑体"/>
                <w:color w:val="auto"/>
              </w:rPr>
              <w:t>间歇炉  batch furnace</w:t>
            </w:r>
          </w:p>
          <w:p w14:paraId="60FFDCC5">
            <w:pPr>
              <w:ind w:firstLine="420"/>
              <w:rPr>
                <w:rStyle w:val="54"/>
                <w:rFonts w:ascii="Arial" w:hAnsi="Arial" w:cs="Arial" w:eastAsiaTheme="minorEastAsia"/>
                <w:b w:val="0"/>
                <w:bCs w:val="0"/>
                <w:color w:val="auto"/>
              </w:rPr>
            </w:pPr>
            <w:r>
              <w:rPr>
                <w:rStyle w:val="54"/>
                <w:rFonts w:ascii="Arial" w:hAnsi="Arial" w:cs="Arial" w:eastAsiaTheme="minorEastAsia"/>
                <w:color w:val="auto"/>
              </w:rPr>
              <w:t>不能连续传送的分批进行烧结的炉子</w:t>
            </w:r>
            <w:r>
              <w:rPr>
                <w:rStyle w:val="54"/>
                <w:rFonts w:hint="eastAsia" w:ascii="Arial" w:hAnsi="Arial" w:cs="Arial" w:eastAsiaTheme="minorEastAsia"/>
                <w:color w:val="auto"/>
              </w:rPr>
              <w:t>。</w:t>
            </w:r>
          </w:p>
          <w:p w14:paraId="52C553AF">
            <w:pPr>
              <w:ind w:firstLine="420"/>
              <w:rPr>
                <w:rStyle w:val="54"/>
                <w:rFonts w:ascii="Arial" w:hAnsi="Arial" w:cs="Arial" w:eastAsiaTheme="minorEastAsia"/>
                <w:b w:val="0"/>
                <w:bCs w:val="0"/>
                <w:color w:val="auto"/>
              </w:rPr>
            </w:pPr>
            <w:r>
              <w:rPr>
                <w:rStyle w:val="54"/>
                <w:rFonts w:hint="eastAsia" w:ascii="Arial" w:hAnsi="Arial" w:cs="Arial" w:eastAsiaTheme="minorEastAsia"/>
                <w:color w:val="auto"/>
              </w:rPr>
              <w:t>示例：</w:t>
            </w:r>
            <w:r>
              <w:rPr>
                <w:rStyle w:val="54"/>
                <w:rFonts w:ascii="Arial" w:hAnsi="Arial" w:cs="Arial" w:eastAsiaTheme="minorEastAsia"/>
                <w:color w:val="auto"/>
              </w:rPr>
              <w:t>钟罩炉或箱式炉。</w:t>
            </w:r>
          </w:p>
          <w:p w14:paraId="7728481F">
            <w:pPr>
              <w:rPr>
                <w:rFonts w:asciiTheme="minorHAnsi" w:hAnsiTheme="minorHAnsi" w:eastAsiaTheme="minorEastAsia" w:cstheme="minorBidi"/>
                <w:color w:val="auto"/>
                <w:szCs w:val="21"/>
              </w:rPr>
            </w:pPr>
          </w:p>
        </w:tc>
        <w:tc>
          <w:tcPr>
            <w:tcW w:w="2663" w:type="dxa"/>
            <w:tcBorders>
              <w:top w:val="single" w:color="auto" w:sz="4" w:space="0"/>
              <w:left w:val="single" w:color="auto" w:sz="4" w:space="0"/>
              <w:bottom w:val="single" w:color="auto" w:sz="4" w:space="0"/>
              <w:right w:val="single" w:color="auto" w:sz="4" w:space="0"/>
            </w:tcBorders>
            <w:shd w:val="clear" w:color="auto" w:fill="auto"/>
          </w:tcPr>
          <w:p w14:paraId="5F63CE83">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间歇炉</w:t>
            </w:r>
          </w:p>
          <w:p w14:paraId="12F65E2B">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不能连续传送的分批进行烧结的炉子，如钟罩炉或箱式炉。</w:t>
            </w:r>
          </w:p>
        </w:tc>
        <w:tc>
          <w:tcPr>
            <w:tcW w:w="2125" w:type="dxa"/>
            <w:tcBorders>
              <w:top w:val="single" w:color="auto" w:sz="4" w:space="0"/>
              <w:left w:val="single" w:color="auto" w:sz="4" w:space="0"/>
              <w:bottom w:val="single" w:color="auto" w:sz="4" w:space="0"/>
              <w:right w:val="single" w:color="auto" w:sz="4" w:space="0"/>
            </w:tcBorders>
          </w:tcPr>
          <w:p w14:paraId="108764A7">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间歇炉</w:t>
            </w:r>
          </w:p>
          <w:p w14:paraId="352D03A8">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不能连续传送的分批进行烧结的炉子，如钟罩炉或箱式炉。</w:t>
            </w:r>
          </w:p>
          <w:p w14:paraId="1AF20539">
            <w:pPr>
              <w:rPr>
                <w:rFonts w:asciiTheme="minorHAnsi" w:hAnsiTheme="minorHAnsi" w:eastAsiaTheme="minorEastAsia" w:cstheme="minorBidi"/>
                <w:color w:val="auto"/>
                <w:szCs w:val="21"/>
              </w:rPr>
            </w:pPr>
          </w:p>
        </w:tc>
      </w:tr>
      <w:tr w14:paraId="1E277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672" w:type="dxa"/>
            <w:tcBorders>
              <w:top w:val="single" w:color="auto" w:sz="4" w:space="0"/>
              <w:left w:val="single" w:color="auto" w:sz="4" w:space="0"/>
              <w:bottom w:val="single" w:color="auto" w:sz="4" w:space="0"/>
              <w:right w:val="single" w:color="auto" w:sz="4" w:space="0"/>
            </w:tcBorders>
            <w:shd w:val="clear" w:color="auto" w:fill="auto"/>
          </w:tcPr>
          <w:p w14:paraId="29DE8DF0">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3.3.7</w:t>
            </w:r>
          </w:p>
        </w:tc>
        <w:tc>
          <w:tcPr>
            <w:tcW w:w="2450" w:type="dxa"/>
            <w:tcBorders>
              <w:top w:val="single" w:color="auto" w:sz="4" w:space="0"/>
              <w:left w:val="single" w:color="auto" w:sz="4" w:space="0"/>
              <w:bottom w:val="single" w:color="auto" w:sz="4" w:space="0"/>
              <w:right w:val="single" w:color="auto" w:sz="4" w:space="0"/>
            </w:tcBorders>
            <w:shd w:val="clear" w:color="auto" w:fill="auto"/>
          </w:tcPr>
          <w:p w14:paraId="59F7F63F">
            <w:pPr>
              <w:spacing w:before="120" w:after="120"/>
              <w:jc w:val="left"/>
              <w:rPr>
                <w:rFonts w:ascii="Times New Roman" w:hAnsi="Times New Roman" w:cs="Times New Roman" w:eastAsiaTheme="minorEastAsia"/>
                <w:color w:val="auto"/>
              </w:rPr>
            </w:pPr>
            <w:r>
              <w:rPr>
                <w:rFonts w:ascii="Times New Roman" w:hAnsi="Times New Roman" w:eastAsia="等线" w:cs="Times New Roman"/>
                <w:b/>
                <w:bCs/>
                <w:color w:val="auto"/>
                <w:sz w:val="22"/>
              </w:rPr>
              <w:t xml:space="preserve">binder phase </w:t>
            </w:r>
            <w:r>
              <w:rPr>
                <w:rFonts w:ascii="Times New Roman" w:hAnsi="Times New Roman" w:eastAsia="等线" w:cs="Times New Roman"/>
                <w:color w:val="auto"/>
                <w:sz w:val="22"/>
              </w:rPr>
              <w:t xml:space="preserve"> </w:t>
            </w:r>
          </w:p>
          <w:p w14:paraId="18AEA25C">
            <w:pPr>
              <w:spacing w:before="120" w:after="120"/>
              <w:jc w:val="left"/>
              <w:rPr>
                <w:rFonts w:ascii="Times New Roman" w:hAnsi="Times New Roman" w:eastAsia="宋体" w:cs="Times New Roman"/>
                <w:color w:val="auto"/>
                <w:szCs w:val="21"/>
              </w:rPr>
            </w:pPr>
            <w:r>
              <w:rPr>
                <w:rFonts w:ascii="Times New Roman" w:hAnsi="Times New Roman" w:eastAsia="等线" w:cs="Times New Roman"/>
                <w:color w:val="auto"/>
                <w:sz w:val="22"/>
              </w:rPr>
              <w:t>hardmetal industry: phase in a heterogeneous sintered material that binds together the other phases</w:t>
            </w:r>
          </w:p>
        </w:tc>
        <w:tc>
          <w:tcPr>
            <w:tcW w:w="2102" w:type="dxa"/>
            <w:tcBorders>
              <w:top w:val="single" w:color="auto" w:sz="4" w:space="0"/>
              <w:left w:val="single" w:color="auto" w:sz="4" w:space="0"/>
              <w:bottom w:val="single" w:color="auto" w:sz="4" w:space="0"/>
              <w:right w:val="single" w:color="auto" w:sz="4" w:space="0"/>
            </w:tcBorders>
            <w:shd w:val="clear" w:color="auto" w:fill="auto"/>
          </w:tcPr>
          <w:p w14:paraId="7E97643B">
            <w:pPr>
              <w:rPr>
                <w:rFonts w:asciiTheme="minorHAnsi" w:hAnsiTheme="minorHAnsi" w:eastAsiaTheme="minorEastAsia" w:cstheme="minorBidi"/>
                <w:color w:val="auto"/>
                <w:szCs w:val="21"/>
              </w:rPr>
            </w:pPr>
            <w:r>
              <w:rPr>
                <w:rFonts w:ascii="Arial" w:hAnsi="Arial" w:eastAsia="等线" w:cs="Arial"/>
                <w:color w:val="auto"/>
                <w:sz w:val="22"/>
              </w:rPr>
              <w:t>粘结相（binder phase）：在多相烧结材料中，将其他相粘结在一起的相。</w:t>
            </w:r>
          </w:p>
        </w:tc>
        <w:tc>
          <w:tcPr>
            <w:tcW w:w="2376" w:type="dxa"/>
            <w:tcBorders>
              <w:top w:val="single" w:color="auto" w:sz="4" w:space="0"/>
              <w:left w:val="single" w:color="auto" w:sz="4" w:space="0"/>
              <w:bottom w:val="single" w:color="auto" w:sz="4" w:space="0"/>
              <w:right w:val="single" w:color="auto" w:sz="4" w:space="0"/>
            </w:tcBorders>
            <w:shd w:val="clear" w:color="auto" w:fill="auto"/>
          </w:tcPr>
          <w:p w14:paraId="10ED3036">
            <w:pPr>
              <w:rPr>
                <w:rFonts w:ascii="Times New Roman" w:hAnsi="Times New Roman" w:eastAsia="宋体" w:cs="Times New Roman"/>
                <w:b/>
                <w:bCs/>
                <w:color w:val="auto"/>
                <w:szCs w:val="21"/>
              </w:rPr>
            </w:pPr>
            <w:r>
              <w:rPr>
                <w:rFonts w:ascii="Times New Roman" w:hAnsi="Times New Roman" w:eastAsia="宋体" w:cs="Times New Roman"/>
                <w:b/>
                <w:bCs/>
                <w:color w:val="auto"/>
                <w:szCs w:val="21"/>
              </w:rPr>
              <w:t>binder phase</w:t>
            </w:r>
          </w:p>
          <w:p w14:paraId="765F35FF">
            <w:pPr>
              <w:rPr>
                <w:rFonts w:ascii="Times New Roman" w:hAnsi="Times New Roman" w:eastAsia="宋体" w:cs="Times New Roman"/>
                <w:color w:val="auto"/>
                <w:szCs w:val="21"/>
              </w:rPr>
            </w:pPr>
            <w:r>
              <w:rPr>
                <w:rFonts w:ascii="Times New Roman" w:hAnsi="Times New Roman" w:eastAsia="宋体" w:cs="Times New Roman"/>
                <w:color w:val="auto"/>
                <w:szCs w:val="21"/>
              </w:rPr>
              <w:t>&lt;hardmetal industry&gt; phase in a heterogeneous sintered material (3.5.10) that binds together the other phases</w:t>
            </w:r>
          </w:p>
          <w:p w14:paraId="3DA7622F">
            <w:pPr>
              <w:rPr>
                <w:rFonts w:asciiTheme="minorHAnsi" w:hAnsiTheme="minorHAnsi" w:eastAsiaTheme="minorEastAsia" w:cstheme="minorBidi"/>
                <w:color w:val="auto"/>
                <w:szCs w:val="21"/>
              </w:rPr>
            </w:pPr>
          </w:p>
        </w:tc>
        <w:tc>
          <w:tcPr>
            <w:tcW w:w="3044" w:type="dxa"/>
            <w:tcBorders>
              <w:top w:val="single" w:color="auto" w:sz="4" w:space="0"/>
              <w:left w:val="single" w:color="auto" w:sz="4" w:space="0"/>
              <w:bottom w:val="single" w:color="auto" w:sz="4" w:space="0"/>
              <w:right w:val="single" w:color="auto" w:sz="4" w:space="0"/>
            </w:tcBorders>
            <w:shd w:val="clear" w:color="auto" w:fill="DAE3F3" w:themeFill="accent1" w:themeFillTint="32"/>
          </w:tcPr>
          <w:p w14:paraId="596E8A4D">
            <w:pPr>
              <w:pStyle w:val="32"/>
              <w:ind w:firstLine="442"/>
              <w:rPr>
                <w:rStyle w:val="54"/>
                <w:rFonts w:ascii="黑体" w:hAnsi="黑体" w:eastAsia="黑体" w:cs="黑体"/>
                <w:b w:val="0"/>
                <w:bCs w:val="0"/>
                <w:color w:val="auto"/>
              </w:rPr>
            </w:pPr>
            <w:r>
              <w:rPr>
                <w:rStyle w:val="54"/>
                <w:rFonts w:hint="eastAsia" w:ascii="黑体" w:hAnsi="黑体" w:eastAsia="黑体" w:cs="黑体"/>
                <w:color w:val="auto"/>
              </w:rPr>
              <w:t>粘结相  binder phase</w:t>
            </w:r>
          </w:p>
          <w:p w14:paraId="00BC9507">
            <w:pPr>
              <w:ind w:firstLine="420"/>
              <w:rPr>
                <w:rStyle w:val="54"/>
                <w:rFonts w:ascii="Arial" w:hAnsi="Arial" w:cs="Arial" w:eastAsiaTheme="minorEastAsia"/>
                <w:b w:val="0"/>
                <w:bCs w:val="0"/>
                <w:color w:val="auto"/>
              </w:rPr>
            </w:pPr>
            <w:r>
              <w:rPr>
                <w:rStyle w:val="54"/>
                <w:rFonts w:hint="eastAsia" w:ascii="Arial" w:hAnsi="Arial" w:cs="Arial" w:eastAsiaTheme="minorEastAsia"/>
                <w:color w:val="auto"/>
              </w:rPr>
              <w:t>&lt;</w:t>
            </w:r>
            <w:r>
              <w:rPr>
                <w:rFonts w:asciiTheme="minorHAnsi" w:hAnsiTheme="minorHAnsi" w:eastAsiaTheme="minorEastAsia" w:cstheme="minorBidi"/>
                <w:color w:val="auto"/>
                <w:szCs w:val="21"/>
              </w:rPr>
              <w:t>硬质合金</w:t>
            </w:r>
            <w:r>
              <w:rPr>
                <w:rFonts w:hint="eastAsia" w:asciiTheme="minorHAnsi" w:hAnsiTheme="minorHAnsi" w:eastAsiaTheme="minorEastAsia" w:cstheme="minorBidi"/>
                <w:color w:val="auto"/>
                <w:szCs w:val="21"/>
              </w:rPr>
              <w:t>行</w:t>
            </w:r>
            <w:r>
              <w:rPr>
                <w:rFonts w:asciiTheme="minorHAnsi" w:hAnsiTheme="minorHAnsi" w:eastAsiaTheme="minorEastAsia" w:cstheme="minorBidi"/>
                <w:color w:val="auto"/>
                <w:szCs w:val="21"/>
              </w:rPr>
              <w:t>业</w:t>
            </w:r>
            <w:r>
              <w:rPr>
                <w:rStyle w:val="54"/>
                <w:rFonts w:hint="eastAsia" w:ascii="Arial" w:hAnsi="Arial" w:cs="Arial" w:eastAsiaTheme="minorEastAsia"/>
                <w:color w:val="auto"/>
              </w:rPr>
              <w:t>&gt;</w:t>
            </w:r>
            <w:r>
              <w:rPr>
                <w:rStyle w:val="54"/>
                <w:rFonts w:ascii="Arial" w:hAnsi="Arial" w:cs="Arial" w:eastAsiaTheme="minorEastAsia"/>
                <w:color w:val="auto"/>
              </w:rPr>
              <w:t>在多相烧结材料</w:t>
            </w:r>
            <w:r>
              <w:rPr>
                <w:rStyle w:val="54"/>
                <w:rFonts w:hint="eastAsia" w:ascii="Arial" w:hAnsi="Arial" w:cs="Arial" w:eastAsiaTheme="minorEastAsia"/>
                <w:color w:val="auto"/>
              </w:rPr>
              <w:t>(3.5.10)</w:t>
            </w:r>
            <w:r>
              <w:rPr>
                <w:rStyle w:val="54"/>
                <w:rFonts w:ascii="Arial" w:hAnsi="Arial" w:cs="Arial" w:eastAsiaTheme="minorEastAsia"/>
                <w:color w:val="auto"/>
              </w:rPr>
              <w:t>中，将其他相粘结在一起的相。</w:t>
            </w:r>
          </w:p>
          <w:p w14:paraId="5DADD3FB">
            <w:pPr>
              <w:rPr>
                <w:rFonts w:asciiTheme="minorHAnsi" w:hAnsiTheme="minorHAnsi" w:eastAsiaTheme="minorEastAsia" w:cstheme="minorBidi"/>
                <w:color w:val="auto"/>
                <w:szCs w:val="21"/>
              </w:rPr>
            </w:pPr>
          </w:p>
        </w:tc>
        <w:tc>
          <w:tcPr>
            <w:tcW w:w="2663" w:type="dxa"/>
            <w:tcBorders>
              <w:top w:val="single" w:color="auto" w:sz="4" w:space="0"/>
              <w:left w:val="single" w:color="auto" w:sz="4" w:space="0"/>
              <w:bottom w:val="single" w:color="auto" w:sz="4" w:space="0"/>
              <w:right w:val="single" w:color="auto" w:sz="4" w:space="0"/>
            </w:tcBorders>
            <w:shd w:val="clear" w:color="auto" w:fill="auto"/>
          </w:tcPr>
          <w:p w14:paraId="70AA24FD">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粘结相</w:t>
            </w:r>
          </w:p>
          <w:p w14:paraId="4A59FD4A">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在多相烧结材料中（3.5.10），将其他相粘结在一起的相。(硬质合金工业)</w:t>
            </w:r>
          </w:p>
          <w:p w14:paraId="7956D1A0">
            <w:pPr>
              <w:rPr>
                <w:rFonts w:asciiTheme="minorHAnsi" w:hAnsiTheme="minorHAnsi" w:eastAsiaTheme="minorEastAsia" w:cstheme="minorBidi"/>
                <w:color w:val="auto"/>
                <w:szCs w:val="21"/>
              </w:rPr>
            </w:pPr>
          </w:p>
        </w:tc>
        <w:tc>
          <w:tcPr>
            <w:tcW w:w="2125" w:type="dxa"/>
            <w:tcBorders>
              <w:top w:val="single" w:color="auto" w:sz="4" w:space="0"/>
              <w:left w:val="single" w:color="auto" w:sz="4" w:space="0"/>
              <w:bottom w:val="single" w:color="auto" w:sz="4" w:space="0"/>
              <w:right w:val="single" w:color="auto" w:sz="4" w:space="0"/>
            </w:tcBorders>
          </w:tcPr>
          <w:p w14:paraId="12B4EDD9">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粘结相</w:t>
            </w:r>
          </w:p>
          <w:p w14:paraId="42156816">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（硬质合金行业中）在多相烧结材料中，将其他相粘结在一起的相。</w:t>
            </w:r>
          </w:p>
          <w:p w14:paraId="4A46EE0E">
            <w:pPr>
              <w:rPr>
                <w:rFonts w:asciiTheme="minorHAnsi" w:hAnsiTheme="minorHAnsi" w:eastAsiaTheme="minorEastAsia" w:cstheme="minorBidi"/>
                <w:color w:val="auto"/>
                <w:szCs w:val="21"/>
              </w:rPr>
            </w:pPr>
          </w:p>
        </w:tc>
      </w:tr>
      <w:tr w14:paraId="7D2FE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4" w:hRule="atLeast"/>
          <w:jc w:val="center"/>
        </w:trPr>
        <w:tc>
          <w:tcPr>
            <w:tcW w:w="672" w:type="dxa"/>
            <w:tcBorders>
              <w:top w:val="single" w:color="auto" w:sz="4" w:space="0"/>
              <w:left w:val="single" w:color="auto" w:sz="4" w:space="0"/>
              <w:bottom w:val="single" w:color="auto" w:sz="4" w:space="0"/>
              <w:right w:val="single" w:color="auto" w:sz="4" w:space="0"/>
            </w:tcBorders>
            <w:shd w:val="clear" w:color="auto" w:fill="auto"/>
          </w:tcPr>
          <w:p w14:paraId="6AD9C7C8">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3.3.12</w:t>
            </w:r>
          </w:p>
        </w:tc>
        <w:tc>
          <w:tcPr>
            <w:tcW w:w="2450" w:type="dxa"/>
            <w:tcBorders>
              <w:top w:val="single" w:color="auto" w:sz="4" w:space="0"/>
              <w:left w:val="single" w:color="auto" w:sz="4" w:space="0"/>
              <w:bottom w:val="single" w:color="auto" w:sz="4" w:space="0"/>
              <w:right w:val="single" w:color="auto" w:sz="4" w:space="0"/>
            </w:tcBorders>
            <w:shd w:val="clear" w:color="auto" w:fill="auto"/>
          </w:tcPr>
          <w:p w14:paraId="3FD2395E">
            <w:pPr>
              <w:spacing w:before="120" w:after="120"/>
              <w:jc w:val="left"/>
              <w:rPr>
                <w:rFonts w:ascii="Times New Roman" w:hAnsi="Times New Roman" w:cs="Times New Roman" w:eastAsiaTheme="minorEastAsia"/>
                <w:b/>
                <w:bCs/>
                <w:color w:val="auto"/>
              </w:rPr>
            </w:pPr>
            <w:r>
              <w:rPr>
                <w:rFonts w:ascii="Times New Roman" w:hAnsi="Times New Roman" w:eastAsia="等线" w:cs="Times New Roman"/>
                <w:b/>
                <w:bCs/>
                <w:color w:val="auto"/>
                <w:sz w:val="22"/>
              </w:rPr>
              <w:t xml:space="preserve">carburizing  </w:t>
            </w:r>
          </w:p>
          <w:p w14:paraId="7EEFB2C5">
            <w:pPr>
              <w:spacing w:before="120" w:after="120"/>
              <w:jc w:val="left"/>
              <w:rPr>
                <w:rFonts w:ascii="Times New Roman" w:hAnsi="Times New Roman" w:eastAsia="宋体" w:cs="Times New Roman"/>
                <w:color w:val="auto"/>
                <w:szCs w:val="21"/>
              </w:rPr>
            </w:pPr>
            <w:r>
              <w:rPr>
                <w:rFonts w:ascii="Times New Roman" w:hAnsi="Times New Roman" w:eastAsia="等线" w:cs="Times New Roman"/>
                <w:color w:val="auto"/>
                <w:sz w:val="22"/>
              </w:rPr>
              <w:t>hardmetal industry: production of a carbide due to a reaction between carbon and metal or carbon and metal oxide</w:t>
            </w:r>
          </w:p>
        </w:tc>
        <w:tc>
          <w:tcPr>
            <w:tcW w:w="2102" w:type="dxa"/>
            <w:tcBorders>
              <w:top w:val="single" w:color="auto" w:sz="4" w:space="0"/>
              <w:left w:val="single" w:color="auto" w:sz="4" w:space="0"/>
              <w:bottom w:val="single" w:color="auto" w:sz="4" w:space="0"/>
              <w:right w:val="single" w:color="auto" w:sz="4" w:space="0"/>
            </w:tcBorders>
            <w:shd w:val="clear" w:color="auto" w:fill="auto"/>
          </w:tcPr>
          <w:p w14:paraId="4CAA37C9">
            <w:pPr>
              <w:spacing w:before="120" w:after="120" w:line="288" w:lineRule="auto"/>
              <w:jc w:val="left"/>
              <w:rPr>
                <w:rFonts w:asciiTheme="minorHAnsi" w:hAnsiTheme="minorHAnsi" w:eastAsiaTheme="minorEastAsia" w:cstheme="minorBidi"/>
                <w:color w:val="auto"/>
                <w:szCs w:val="21"/>
              </w:rPr>
            </w:pPr>
            <w:r>
              <w:rPr>
                <w:rFonts w:ascii="Arial" w:hAnsi="Arial" w:eastAsia="等线" w:cs="Arial"/>
                <w:color w:val="auto"/>
                <w:sz w:val="22"/>
              </w:rPr>
              <w:t>碳化（carburizing）：</w:t>
            </w:r>
            <w:r>
              <w:rPr>
                <w:rFonts w:asciiTheme="minorHAnsi" w:hAnsiTheme="minorHAnsi" w:eastAsiaTheme="minorEastAsia" w:cstheme="minorBidi"/>
                <w:color w:val="auto"/>
                <w:szCs w:val="21"/>
              </w:rPr>
              <w:t>通过碳与金属或金属氧化物间反应制取碳化物的过程。</w:t>
            </w:r>
          </w:p>
        </w:tc>
        <w:tc>
          <w:tcPr>
            <w:tcW w:w="2376" w:type="dxa"/>
            <w:tcBorders>
              <w:top w:val="single" w:color="auto" w:sz="4" w:space="0"/>
              <w:left w:val="single" w:color="auto" w:sz="4" w:space="0"/>
              <w:bottom w:val="single" w:color="auto" w:sz="4" w:space="0"/>
              <w:right w:val="single" w:color="auto" w:sz="4" w:space="0"/>
            </w:tcBorders>
            <w:shd w:val="clear" w:color="auto" w:fill="auto"/>
          </w:tcPr>
          <w:p w14:paraId="392AFC8D">
            <w:pPr>
              <w:rPr>
                <w:rFonts w:ascii="Times New Roman" w:hAnsi="Times New Roman" w:eastAsia="宋体" w:cs="Times New Roman"/>
                <w:b/>
                <w:bCs/>
                <w:color w:val="auto"/>
                <w:szCs w:val="21"/>
              </w:rPr>
            </w:pPr>
            <w:r>
              <w:rPr>
                <w:rFonts w:ascii="Times New Roman" w:hAnsi="Times New Roman" w:eastAsia="宋体" w:cs="Times New Roman"/>
                <w:b/>
                <w:bCs/>
                <w:color w:val="auto"/>
                <w:szCs w:val="21"/>
              </w:rPr>
              <w:t>carburizing</w:t>
            </w:r>
          </w:p>
          <w:p w14:paraId="41278198">
            <w:pPr>
              <w:rPr>
                <w:rFonts w:ascii="Times New Roman" w:hAnsi="Times New Roman" w:eastAsia="宋体" w:cs="Times New Roman"/>
                <w:color w:val="auto"/>
                <w:szCs w:val="21"/>
              </w:rPr>
            </w:pPr>
            <w:r>
              <w:rPr>
                <w:rFonts w:ascii="Times New Roman" w:hAnsi="Times New Roman" w:eastAsia="宋体" w:cs="Times New Roman"/>
                <w:color w:val="auto"/>
                <w:szCs w:val="21"/>
              </w:rPr>
              <w:t>&lt;hardmetal</w:t>
            </w:r>
            <w:r>
              <w:rPr>
                <w:rFonts w:hint="eastAsia" w:ascii="Times New Roman" w:hAnsi="Times New Roman" w:eastAsia="宋体" w:cs="Times New Roman"/>
                <w:color w:val="auto"/>
                <w:szCs w:val="21"/>
              </w:rPr>
              <w:t xml:space="preserve"> </w:t>
            </w:r>
            <w:r>
              <w:rPr>
                <w:rFonts w:ascii="Times New Roman" w:hAnsi="Times New Roman" w:eastAsia="宋体" w:cs="Times New Roman"/>
                <w:color w:val="auto"/>
                <w:szCs w:val="21"/>
              </w:rPr>
              <w:t>industry&gt; production of a carbide due to a reaction between carbon and metal or carbon and metal oxide</w:t>
            </w:r>
          </w:p>
          <w:p w14:paraId="23A36BED">
            <w:pPr>
              <w:rPr>
                <w:rFonts w:asciiTheme="minorHAnsi" w:hAnsiTheme="minorHAnsi" w:eastAsiaTheme="minorEastAsia" w:cstheme="minorBidi"/>
                <w:color w:val="auto"/>
                <w:szCs w:val="21"/>
              </w:rPr>
            </w:pPr>
          </w:p>
        </w:tc>
        <w:tc>
          <w:tcPr>
            <w:tcW w:w="3044" w:type="dxa"/>
            <w:tcBorders>
              <w:top w:val="single" w:color="auto" w:sz="4" w:space="0"/>
              <w:left w:val="single" w:color="auto" w:sz="4" w:space="0"/>
              <w:bottom w:val="single" w:color="auto" w:sz="4" w:space="0"/>
              <w:right w:val="single" w:color="auto" w:sz="4" w:space="0"/>
            </w:tcBorders>
            <w:shd w:val="clear" w:color="auto" w:fill="DAE3F3" w:themeFill="accent1" w:themeFillTint="32"/>
          </w:tcPr>
          <w:p w14:paraId="4F70366B">
            <w:pPr>
              <w:pStyle w:val="32"/>
              <w:ind w:firstLine="442"/>
              <w:rPr>
                <w:rStyle w:val="54"/>
                <w:rFonts w:ascii="黑体" w:hAnsi="黑体" w:eastAsia="黑体" w:cs="黑体"/>
                <w:b w:val="0"/>
                <w:bCs w:val="0"/>
                <w:color w:val="auto"/>
              </w:rPr>
            </w:pPr>
            <w:r>
              <w:rPr>
                <w:rStyle w:val="54"/>
                <w:rFonts w:hint="eastAsia" w:ascii="黑体" w:hAnsi="黑体" w:eastAsia="黑体" w:cs="黑体"/>
                <w:color w:val="auto"/>
              </w:rPr>
              <w:t>碳化  carburizing</w:t>
            </w:r>
          </w:p>
          <w:p w14:paraId="1EE4801D">
            <w:pPr>
              <w:ind w:firstLine="420"/>
              <w:rPr>
                <w:rStyle w:val="54"/>
                <w:rFonts w:ascii="Arial" w:hAnsi="Arial" w:eastAsia="宋体" w:cs="Arial"/>
                <w:b w:val="0"/>
                <w:bCs w:val="0"/>
                <w:color w:val="auto"/>
              </w:rPr>
            </w:pPr>
            <w:r>
              <w:rPr>
                <w:rStyle w:val="54"/>
                <w:rFonts w:ascii="Arial" w:hAnsi="Arial" w:cs="Arial" w:eastAsiaTheme="minorEastAsia"/>
                <w:color w:val="auto"/>
              </w:rPr>
              <w:t>&lt;硬质合金</w:t>
            </w:r>
            <w:r>
              <w:rPr>
                <w:rStyle w:val="54"/>
                <w:rFonts w:hint="eastAsia" w:ascii="Arial" w:hAnsi="Arial" w:cs="Arial" w:eastAsiaTheme="minorEastAsia"/>
                <w:color w:val="auto"/>
              </w:rPr>
              <w:t>行</w:t>
            </w:r>
            <w:r>
              <w:rPr>
                <w:rStyle w:val="54"/>
                <w:rFonts w:ascii="Arial" w:hAnsi="Arial" w:cs="Arial" w:eastAsiaTheme="minorEastAsia"/>
                <w:color w:val="auto"/>
              </w:rPr>
              <w:t>业&gt;</w:t>
            </w:r>
            <w:r>
              <w:rPr>
                <w:rFonts w:asciiTheme="minorHAnsi" w:hAnsiTheme="minorHAnsi" w:eastAsiaTheme="minorEastAsia" w:cstheme="minorBidi"/>
                <w:color w:val="auto"/>
                <w:szCs w:val="21"/>
              </w:rPr>
              <w:t>通过碳与金属或金属氧化物间反应制取碳化物的过程</w:t>
            </w:r>
            <w:r>
              <w:rPr>
                <w:rFonts w:hint="eastAsia" w:asciiTheme="minorHAnsi" w:hAnsiTheme="minorHAnsi" w:eastAsiaTheme="minorEastAsia" w:cstheme="minorBidi"/>
                <w:color w:val="auto"/>
                <w:szCs w:val="21"/>
              </w:rPr>
              <w:t>。</w:t>
            </w:r>
          </w:p>
          <w:p w14:paraId="3F1398D3">
            <w:pPr>
              <w:rPr>
                <w:rFonts w:asciiTheme="minorHAnsi" w:hAnsiTheme="minorHAnsi" w:eastAsiaTheme="minorEastAsia" w:cstheme="minorBidi"/>
                <w:color w:val="auto"/>
                <w:szCs w:val="21"/>
              </w:rPr>
            </w:pPr>
          </w:p>
        </w:tc>
        <w:tc>
          <w:tcPr>
            <w:tcW w:w="2663" w:type="dxa"/>
            <w:tcBorders>
              <w:top w:val="single" w:color="auto" w:sz="4" w:space="0"/>
              <w:left w:val="single" w:color="auto" w:sz="4" w:space="0"/>
              <w:bottom w:val="single" w:color="auto" w:sz="4" w:space="0"/>
              <w:right w:val="single" w:color="auto" w:sz="4" w:space="0"/>
            </w:tcBorders>
            <w:shd w:val="clear" w:color="auto" w:fill="auto"/>
          </w:tcPr>
          <w:p w14:paraId="6DDAAAA5">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碳化</w:t>
            </w:r>
          </w:p>
          <w:p w14:paraId="78D16D88">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w:t>
            </w:r>
            <w:r>
              <w:rPr>
                <w:rFonts w:asciiTheme="minorHAnsi" w:hAnsiTheme="minorHAnsi" w:eastAsiaTheme="minorEastAsia" w:cstheme="minorBidi"/>
                <w:color w:val="auto"/>
                <w:szCs w:val="21"/>
              </w:rPr>
              <w:t>硬质合金工业</w:t>
            </w:r>
            <w:r>
              <w:rPr>
                <w:rFonts w:hint="eastAsia" w:asciiTheme="minorHAnsi" w:hAnsiTheme="minorHAnsi" w:eastAsiaTheme="minorEastAsia" w:cstheme="minorBidi"/>
                <w:color w:val="auto"/>
                <w:szCs w:val="21"/>
              </w:rPr>
              <w:t>）</w:t>
            </w:r>
            <w:r>
              <w:rPr>
                <w:rFonts w:asciiTheme="minorHAnsi" w:hAnsiTheme="minorHAnsi" w:eastAsiaTheme="minorEastAsia" w:cstheme="minorBidi"/>
                <w:color w:val="auto"/>
                <w:szCs w:val="21"/>
              </w:rPr>
              <w:t>通过碳与金属或金属氧化物间反应制取碳化物的过程。</w:t>
            </w:r>
          </w:p>
        </w:tc>
        <w:tc>
          <w:tcPr>
            <w:tcW w:w="2125" w:type="dxa"/>
            <w:tcBorders>
              <w:top w:val="single" w:color="auto" w:sz="4" w:space="0"/>
              <w:left w:val="single" w:color="auto" w:sz="4" w:space="0"/>
              <w:bottom w:val="single" w:color="auto" w:sz="4" w:space="0"/>
              <w:right w:val="single" w:color="auto" w:sz="4" w:space="0"/>
            </w:tcBorders>
          </w:tcPr>
          <w:p w14:paraId="1563E256">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渗碳/碳化</w:t>
            </w:r>
          </w:p>
          <w:p w14:paraId="33EEAE52">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（硬质合金行业中）通过碳与金属或金属氧化物间反应制取碳化物的过程。</w:t>
            </w:r>
          </w:p>
          <w:p w14:paraId="66A258A7">
            <w:pPr>
              <w:rPr>
                <w:rFonts w:asciiTheme="minorHAnsi" w:hAnsiTheme="minorHAnsi" w:eastAsiaTheme="minorEastAsia" w:cstheme="minorBidi"/>
                <w:color w:val="auto"/>
                <w:szCs w:val="21"/>
              </w:rPr>
            </w:pPr>
          </w:p>
        </w:tc>
      </w:tr>
      <w:tr w14:paraId="0F125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8" w:hRule="atLeast"/>
          <w:jc w:val="center"/>
        </w:trPr>
        <w:tc>
          <w:tcPr>
            <w:tcW w:w="672" w:type="dxa"/>
            <w:tcBorders>
              <w:top w:val="single" w:color="auto" w:sz="4" w:space="0"/>
              <w:left w:val="single" w:color="auto" w:sz="4" w:space="0"/>
              <w:bottom w:val="single" w:color="auto" w:sz="4" w:space="0"/>
              <w:right w:val="single" w:color="auto" w:sz="4" w:space="0"/>
            </w:tcBorders>
            <w:shd w:val="clear" w:color="auto" w:fill="auto"/>
          </w:tcPr>
          <w:p w14:paraId="320468B5">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3.3.25</w:t>
            </w:r>
          </w:p>
        </w:tc>
        <w:tc>
          <w:tcPr>
            <w:tcW w:w="2450" w:type="dxa"/>
            <w:tcBorders>
              <w:top w:val="single" w:color="auto" w:sz="4" w:space="0"/>
              <w:left w:val="single" w:color="auto" w:sz="4" w:space="0"/>
              <w:bottom w:val="single" w:color="auto" w:sz="4" w:space="0"/>
              <w:right w:val="single" w:color="auto" w:sz="4" w:space="0"/>
            </w:tcBorders>
            <w:shd w:val="clear" w:color="auto" w:fill="auto"/>
          </w:tcPr>
          <w:p w14:paraId="6E31B11B">
            <w:pPr>
              <w:spacing w:before="120" w:after="120"/>
              <w:jc w:val="left"/>
              <w:rPr>
                <w:rFonts w:ascii="Times New Roman" w:hAnsi="Times New Roman" w:cs="Times New Roman" w:eastAsiaTheme="minorEastAsia"/>
                <w:b/>
                <w:bCs/>
                <w:color w:val="auto"/>
              </w:rPr>
            </w:pPr>
            <w:r>
              <w:rPr>
                <w:rFonts w:ascii="Times New Roman" w:hAnsi="Times New Roman" w:eastAsia="等线" w:cs="Times New Roman"/>
                <w:b/>
                <w:bCs/>
                <w:color w:val="auto"/>
                <w:sz w:val="22"/>
              </w:rPr>
              <w:t xml:space="preserve">fluid permeability  </w:t>
            </w:r>
          </w:p>
          <w:p w14:paraId="03645259">
            <w:pPr>
              <w:spacing w:before="120" w:after="120"/>
              <w:jc w:val="left"/>
              <w:rPr>
                <w:rFonts w:ascii="Times New Roman" w:hAnsi="Times New Roman" w:eastAsia="宋体" w:cs="Times New Roman"/>
                <w:color w:val="auto"/>
                <w:szCs w:val="21"/>
              </w:rPr>
            </w:pPr>
            <w:r>
              <w:rPr>
                <w:rFonts w:ascii="Times New Roman" w:hAnsi="Times New Roman" w:eastAsia="等线" w:cs="Times New Roman"/>
                <w:color w:val="auto"/>
                <w:sz w:val="22"/>
              </w:rPr>
              <w:t>measure of the amount of liquid or gas flowing through a porous object per unit of time, as determined under specified conditions (see ISO 4022)</w:t>
            </w:r>
          </w:p>
        </w:tc>
        <w:tc>
          <w:tcPr>
            <w:tcW w:w="2102" w:type="dxa"/>
            <w:tcBorders>
              <w:top w:val="single" w:color="auto" w:sz="4" w:space="0"/>
              <w:left w:val="single" w:color="auto" w:sz="4" w:space="0"/>
              <w:bottom w:val="single" w:color="auto" w:sz="4" w:space="0"/>
              <w:right w:val="single" w:color="auto" w:sz="4" w:space="0"/>
            </w:tcBorders>
            <w:shd w:val="clear" w:color="auto" w:fill="auto"/>
          </w:tcPr>
          <w:p w14:paraId="3AB7C56C">
            <w:pPr>
              <w:rPr>
                <w:rFonts w:asciiTheme="minorHAnsi" w:hAnsiTheme="minorHAnsi" w:eastAsiaTheme="minorEastAsia" w:cstheme="minorBidi"/>
                <w:color w:val="auto"/>
                <w:szCs w:val="21"/>
              </w:rPr>
            </w:pPr>
            <w:r>
              <w:rPr>
                <w:rFonts w:ascii="Arial" w:hAnsi="Arial" w:eastAsia="等线" w:cs="Arial"/>
                <w:color w:val="auto"/>
                <w:sz w:val="22"/>
              </w:rPr>
              <w:t>流体透过性（fluid permeability）：在规定条件下测定的在单位时间内液体或气体通过多孔体的数量（见GB/T5250）。</w:t>
            </w:r>
          </w:p>
        </w:tc>
        <w:tc>
          <w:tcPr>
            <w:tcW w:w="2376" w:type="dxa"/>
            <w:tcBorders>
              <w:top w:val="single" w:color="auto" w:sz="4" w:space="0"/>
              <w:left w:val="single" w:color="auto" w:sz="4" w:space="0"/>
              <w:bottom w:val="single" w:color="auto" w:sz="4" w:space="0"/>
              <w:right w:val="single" w:color="auto" w:sz="4" w:space="0"/>
            </w:tcBorders>
            <w:shd w:val="clear" w:color="auto" w:fill="auto"/>
          </w:tcPr>
          <w:p w14:paraId="371D96B4">
            <w:pPr>
              <w:rPr>
                <w:rFonts w:ascii="Times New Roman" w:hAnsi="Times New Roman" w:eastAsia="宋体" w:cs="Times New Roman"/>
                <w:b/>
                <w:bCs/>
                <w:color w:val="auto"/>
                <w:szCs w:val="21"/>
              </w:rPr>
            </w:pPr>
            <w:r>
              <w:rPr>
                <w:rFonts w:ascii="Times New Roman" w:hAnsi="Times New Roman" w:eastAsia="宋体" w:cs="Times New Roman"/>
                <w:b/>
                <w:bCs/>
                <w:color w:val="auto"/>
                <w:szCs w:val="21"/>
              </w:rPr>
              <w:t>fluid permeability</w:t>
            </w:r>
          </w:p>
          <w:p w14:paraId="052B4266">
            <w:pPr>
              <w:rPr>
                <w:rFonts w:ascii="Times New Roman" w:hAnsi="Times New Roman" w:eastAsia="宋体" w:cs="Times New Roman"/>
                <w:color w:val="auto"/>
                <w:szCs w:val="21"/>
              </w:rPr>
            </w:pPr>
            <w:r>
              <w:rPr>
                <w:rFonts w:ascii="Times New Roman" w:hAnsi="Times New Roman" w:eastAsia="宋体" w:cs="Times New Roman"/>
                <w:color w:val="auto"/>
                <w:szCs w:val="21"/>
              </w:rPr>
              <w:t xml:space="preserve">measure of the amount of liquid or gas flowing through a porous object per unit of time, as determined </w:t>
            </w:r>
          </w:p>
          <w:p w14:paraId="679EEFB6">
            <w:pPr>
              <w:rPr>
                <w:rFonts w:ascii="Times New Roman" w:hAnsi="Times New Roman" w:eastAsia="宋体" w:cs="Times New Roman"/>
                <w:color w:val="auto"/>
                <w:szCs w:val="21"/>
              </w:rPr>
            </w:pPr>
            <w:r>
              <w:rPr>
                <w:rFonts w:ascii="Times New Roman" w:hAnsi="Times New Roman" w:eastAsia="宋体" w:cs="Times New Roman"/>
                <w:color w:val="auto"/>
                <w:szCs w:val="21"/>
              </w:rPr>
              <w:t>under specified conditions</w:t>
            </w:r>
          </w:p>
          <w:p w14:paraId="575EFCD8">
            <w:pPr>
              <w:rPr>
                <w:rFonts w:asciiTheme="minorHAnsi" w:hAnsiTheme="minorHAnsi" w:eastAsiaTheme="minorEastAsia" w:cstheme="minorBidi"/>
                <w:color w:val="auto"/>
                <w:szCs w:val="21"/>
              </w:rPr>
            </w:pPr>
            <w:r>
              <w:rPr>
                <w:rFonts w:ascii="Calibri Light" w:hAnsi="Calibri Light" w:eastAsia="宋体" w:cs="Calibri Light"/>
                <w:color w:val="auto"/>
                <w:szCs w:val="21"/>
              </w:rPr>
              <w:t>Note 1 to entry: See also ISO 4022.</w:t>
            </w:r>
          </w:p>
        </w:tc>
        <w:tc>
          <w:tcPr>
            <w:tcW w:w="3044" w:type="dxa"/>
            <w:tcBorders>
              <w:top w:val="single" w:color="auto" w:sz="4" w:space="0"/>
              <w:left w:val="single" w:color="auto" w:sz="4" w:space="0"/>
              <w:bottom w:val="single" w:color="auto" w:sz="4" w:space="0"/>
              <w:right w:val="single" w:color="auto" w:sz="4" w:space="0"/>
            </w:tcBorders>
            <w:shd w:val="clear" w:color="auto" w:fill="DAE3F3" w:themeFill="accent1" w:themeFillTint="32"/>
          </w:tcPr>
          <w:p w14:paraId="7216E19A">
            <w:pPr>
              <w:pStyle w:val="32"/>
              <w:ind w:firstLine="442"/>
              <w:rPr>
                <w:rStyle w:val="54"/>
                <w:rFonts w:ascii="黑体" w:hAnsi="黑体" w:eastAsia="黑体" w:cs="黑体"/>
                <w:b w:val="0"/>
                <w:bCs w:val="0"/>
                <w:color w:val="auto"/>
              </w:rPr>
            </w:pPr>
            <w:r>
              <w:rPr>
                <w:rStyle w:val="54"/>
                <w:rFonts w:hint="eastAsia" w:ascii="黑体" w:hAnsi="黑体" w:eastAsia="黑体" w:cs="黑体"/>
                <w:color w:val="auto"/>
              </w:rPr>
              <w:t>流体渗透性  fluid permeability</w:t>
            </w:r>
          </w:p>
          <w:p w14:paraId="72D9C9CD">
            <w:pPr>
              <w:ind w:firstLine="420"/>
              <w:rPr>
                <w:rStyle w:val="54"/>
                <w:rFonts w:ascii="Arial" w:hAnsi="Arial" w:cs="Arial" w:eastAsiaTheme="minorEastAsia"/>
                <w:b w:val="0"/>
                <w:bCs w:val="0"/>
                <w:color w:val="auto"/>
              </w:rPr>
            </w:pPr>
            <w:r>
              <w:rPr>
                <w:rStyle w:val="54"/>
                <w:rFonts w:ascii="Arial" w:hAnsi="Arial" w:cs="Arial" w:eastAsiaTheme="minorEastAsia"/>
                <w:color w:val="auto"/>
              </w:rPr>
              <w:t>在规定条件下测定的在单位时间内液体或气体通过多孔体的数量</w:t>
            </w:r>
            <w:r>
              <w:rPr>
                <w:rStyle w:val="54"/>
                <w:rFonts w:hint="eastAsia" w:ascii="Arial" w:hAnsi="Arial" w:cs="Arial" w:eastAsiaTheme="minorEastAsia"/>
                <w:color w:val="auto"/>
              </w:rPr>
              <w:t>。</w:t>
            </w:r>
          </w:p>
          <w:p w14:paraId="281FBD3A">
            <w:pPr>
              <w:ind w:firstLine="420"/>
              <w:rPr>
                <w:rStyle w:val="54"/>
                <w:rFonts w:ascii="Arial" w:hAnsi="Arial" w:cs="Arial" w:eastAsiaTheme="minorEastAsia"/>
                <w:b w:val="0"/>
                <w:bCs w:val="0"/>
                <w:color w:val="auto"/>
              </w:rPr>
            </w:pPr>
            <w:r>
              <w:rPr>
                <w:rFonts w:asciiTheme="minorHAnsi" w:hAnsiTheme="minorHAnsi" w:eastAsiaTheme="minorEastAsia" w:cstheme="minorBidi"/>
                <w:color w:val="auto"/>
                <w:szCs w:val="21"/>
              </w:rPr>
              <w:t>注：</w:t>
            </w:r>
            <w:r>
              <w:rPr>
                <w:rStyle w:val="54"/>
                <w:rFonts w:ascii="Arial" w:hAnsi="Arial" w:cs="Arial" w:eastAsiaTheme="minorEastAsia"/>
                <w:color w:val="auto"/>
              </w:rPr>
              <w:t>见GB/T</w:t>
            </w:r>
            <w:r>
              <w:rPr>
                <w:rStyle w:val="54"/>
                <w:rFonts w:hint="eastAsia" w:ascii="Arial" w:hAnsi="Arial" w:cs="Arial" w:eastAsiaTheme="minorEastAsia"/>
                <w:color w:val="auto"/>
              </w:rPr>
              <w:t xml:space="preserve"> </w:t>
            </w:r>
            <w:r>
              <w:rPr>
                <w:rStyle w:val="54"/>
                <w:rFonts w:ascii="Arial" w:hAnsi="Arial" w:cs="Arial" w:eastAsiaTheme="minorEastAsia"/>
                <w:color w:val="auto"/>
              </w:rPr>
              <w:t>5250。</w:t>
            </w:r>
          </w:p>
          <w:p w14:paraId="64AB285E">
            <w:pPr>
              <w:rPr>
                <w:rFonts w:ascii="Calibri Light" w:hAnsi="Calibri Light" w:eastAsia="宋体" w:cs="Calibri Light"/>
                <w:color w:val="auto"/>
                <w:szCs w:val="21"/>
              </w:rPr>
            </w:pPr>
          </w:p>
        </w:tc>
        <w:tc>
          <w:tcPr>
            <w:tcW w:w="2663" w:type="dxa"/>
            <w:tcBorders>
              <w:top w:val="single" w:color="auto" w:sz="4" w:space="0"/>
              <w:left w:val="single" w:color="auto" w:sz="4" w:space="0"/>
              <w:bottom w:val="single" w:color="auto" w:sz="4" w:space="0"/>
              <w:right w:val="single" w:color="auto" w:sz="4" w:space="0"/>
            </w:tcBorders>
            <w:shd w:val="clear" w:color="auto" w:fill="auto"/>
          </w:tcPr>
          <w:p w14:paraId="1538973C">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流体</w:t>
            </w:r>
            <w:r>
              <w:rPr>
                <w:rFonts w:hint="eastAsia" w:asciiTheme="minorHAnsi" w:hAnsiTheme="minorHAnsi" w:eastAsiaTheme="minorEastAsia" w:cstheme="minorBidi"/>
                <w:color w:val="auto"/>
                <w:szCs w:val="21"/>
              </w:rPr>
              <w:t>透过性</w:t>
            </w:r>
          </w:p>
          <w:p w14:paraId="370EA0A7">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在规定条件下测定的在单位时间内液体或气体通过多孔体的数量。</w:t>
            </w:r>
          </w:p>
          <w:p w14:paraId="473607ED">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注1：另见 ISO 4022 标准</w:t>
            </w:r>
            <w:r>
              <w:rPr>
                <w:rFonts w:hint="eastAsia" w:asciiTheme="minorHAnsi" w:hAnsiTheme="minorHAnsi" w:eastAsiaTheme="minorEastAsia" w:cstheme="minorBidi"/>
                <w:color w:val="auto"/>
                <w:szCs w:val="21"/>
              </w:rPr>
              <w:t>。</w:t>
            </w:r>
          </w:p>
          <w:p w14:paraId="7EDAE017">
            <w:pPr>
              <w:rPr>
                <w:rFonts w:asciiTheme="minorHAnsi" w:hAnsiTheme="minorHAnsi" w:eastAsiaTheme="minorEastAsia" w:cstheme="minorBidi"/>
                <w:color w:val="auto"/>
                <w:szCs w:val="21"/>
              </w:rPr>
            </w:pPr>
          </w:p>
        </w:tc>
        <w:tc>
          <w:tcPr>
            <w:tcW w:w="2125" w:type="dxa"/>
            <w:tcBorders>
              <w:top w:val="single" w:color="auto" w:sz="4" w:space="0"/>
              <w:left w:val="single" w:color="auto" w:sz="4" w:space="0"/>
              <w:bottom w:val="single" w:color="auto" w:sz="4" w:space="0"/>
              <w:right w:val="single" w:color="auto" w:sz="4" w:space="0"/>
            </w:tcBorders>
          </w:tcPr>
          <w:p w14:paraId="2DD3E01F">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 xml:space="preserve">流体透过性 </w:t>
            </w:r>
          </w:p>
          <w:p w14:paraId="3449D237">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在规定条件下测定的单位时间内液体或气体通过多孔体的数量（见ISO 4022）。</w:t>
            </w:r>
          </w:p>
        </w:tc>
      </w:tr>
      <w:tr w14:paraId="2C060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1" w:hRule="atLeast"/>
          <w:jc w:val="center"/>
        </w:trPr>
        <w:tc>
          <w:tcPr>
            <w:tcW w:w="672" w:type="dxa"/>
            <w:tcBorders>
              <w:top w:val="single" w:color="auto" w:sz="4" w:space="0"/>
              <w:left w:val="single" w:color="auto" w:sz="4" w:space="0"/>
              <w:bottom w:val="single" w:color="auto" w:sz="4" w:space="0"/>
              <w:right w:val="single" w:color="auto" w:sz="4" w:space="0"/>
            </w:tcBorders>
            <w:shd w:val="clear" w:color="auto" w:fill="auto"/>
          </w:tcPr>
          <w:p w14:paraId="4CA1C518">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3.3.28</w:t>
            </w:r>
          </w:p>
        </w:tc>
        <w:tc>
          <w:tcPr>
            <w:tcW w:w="2450" w:type="dxa"/>
            <w:tcBorders>
              <w:top w:val="single" w:color="auto" w:sz="4" w:space="0"/>
              <w:left w:val="single" w:color="auto" w:sz="4" w:space="0"/>
              <w:bottom w:val="single" w:color="auto" w:sz="4" w:space="0"/>
              <w:right w:val="single" w:color="auto" w:sz="4" w:space="0"/>
            </w:tcBorders>
            <w:shd w:val="clear" w:color="auto" w:fill="auto"/>
          </w:tcPr>
          <w:p w14:paraId="7513043B">
            <w:pPr>
              <w:spacing w:before="120" w:after="120"/>
              <w:jc w:val="left"/>
              <w:rPr>
                <w:rFonts w:ascii="Times New Roman" w:hAnsi="Times New Roman" w:cs="Times New Roman" w:eastAsiaTheme="minorEastAsia"/>
                <w:b/>
                <w:bCs/>
                <w:color w:val="auto"/>
              </w:rPr>
            </w:pPr>
            <w:r>
              <w:rPr>
                <w:rFonts w:ascii="Times New Roman" w:hAnsi="Times New Roman" w:eastAsia="等线" w:cs="Times New Roman"/>
                <w:b/>
                <w:bCs/>
                <w:color w:val="auto"/>
                <w:sz w:val="22"/>
              </w:rPr>
              <w:t xml:space="preserve">getter  </w:t>
            </w:r>
          </w:p>
          <w:p w14:paraId="75963574">
            <w:pPr>
              <w:spacing w:before="120" w:after="120"/>
              <w:jc w:val="left"/>
              <w:rPr>
                <w:rFonts w:ascii="Times New Roman" w:hAnsi="Times New Roman" w:eastAsia="宋体" w:cs="Times New Roman"/>
                <w:color w:val="auto"/>
                <w:szCs w:val="21"/>
              </w:rPr>
            </w:pPr>
            <w:r>
              <w:rPr>
                <w:rFonts w:ascii="Times New Roman" w:hAnsi="Times New Roman" w:eastAsia="等线" w:cs="Times New Roman"/>
                <w:color w:val="auto"/>
                <w:sz w:val="22"/>
              </w:rPr>
              <w:t>material used in a sintering process for the purpose of absorbing or chemically binding those substances from the sintering atmosphere that are damaging to the final product</w:t>
            </w:r>
          </w:p>
        </w:tc>
        <w:tc>
          <w:tcPr>
            <w:tcW w:w="2102" w:type="dxa"/>
            <w:tcBorders>
              <w:top w:val="single" w:color="auto" w:sz="4" w:space="0"/>
              <w:left w:val="single" w:color="auto" w:sz="4" w:space="0"/>
              <w:bottom w:val="single" w:color="auto" w:sz="4" w:space="0"/>
              <w:right w:val="single" w:color="auto" w:sz="4" w:space="0"/>
            </w:tcBorders>
            <w:shd w:val="clear" w:color="auto" w:fill="auto"/>
          </w:tcPr>
          <w:p w14:paraId="1E8DA43F">
            <w:pPr>
              <w:rPr>
                <w:rFonts w:asciiTheme="minorHAnsi" w:hAnsiTheme="minorHAnsi" w:eastAsiaTheme="minorEastAsia" w:cstheme="minorBidi"/>
                <w:color w:val="auto"/>
                <w:szCs w:val="21"/>
              </w:rPr>
            </w:pPr>
            <w:r>
              <w:rPr>
                <w:rFonts w:ascii="Arial" w:hAnsi="Arial" w:eastAsia="等线" w:cs="Arial"/>
                <w:color w:val="auto"/>
                <w:sz w:val="22"/>
              </w:rPr>
              <w:t>吸气剂（getter）：在烧结过程中吸收或化合烧结气氛中对最终产品有害物质的材料。</w:t>
            </w:r>
          </w:p>
        </w:tc>
        <w:tc>
          <w:tcPr>
            <w:tcW w:w="2376" w:type="dxa"/>
            <w:tcBorders>
              <w:top w:val="single" w:color="auto" w:sz="4" w:space="0"/>
              <w:left w:val="single" w:color="auto" w:sz="4" w:space="0"/>
              <w:bottom w:val="single" w:color="auto" w:sz="4" w:space="0"/>
              <w:right w:val="single" w:color="auto" w:sz="4" w:space="0"/>
            </w:tcBorders>
            <w:shd w:val="clear" w:color="auto" w:fill="auto"/>
          </w:tcPr>
          <w:p w14:paraId="3AE2B72A">
            <w:pPr>
              <w:rPr>
                <w:rFonts w:ascii="Times New Roman" w:hAnsi="Times New Roman" w:eastAsia="宋体" w:cs="Times New Roman"/>
                <w:b/>
                <w:bCs/>
                <w:color w:val="auto"/>
                <w:szCs w:val="21"/>
              </w:rPr>
            </w:pPr>
            <w:r>
              <w:rPr>
                <w:rFonts w:ascii="Times New Roman" w:hAnsi="Times New Roman" w:eastAsia="宋体" w:cs="Times New Roman"/>
                <w:b/>
                <w:bCs/>
                <w:color w:val="auto"/>
                <w:szCs w:val="21"/>
              </w:rPr>
              <w:t>getter</w:t>
            </w:r>
          </w:p>
          <w:p w14:paraId="26999B87">
            <w:pPr>
              <w:rPr>
                <w:rFonts w:ascii="Times New Roman" w:hAnsi="Times New Roman" w:eastAsia="宋体" w:cs="Times New Roman"/>
                <w:color w:val="auto"/>
                <w:szCs w:val="21"/>
              </w:rPr>
            </w:pPr>
            <w:r>
              <w:rPr>
                <w:rFonts w:ascii="Times New Roman" w:hAnsi="Times New Roman" w:eastAsia="宋体" w:cs="Times New Roman"/>
                <w:color w:val="auto"/>
                <w:szCs w:val="21"/>
              </w:rPr>
              <w:t xml:space="preserve">material used in a sintering process for the purpose of absorbing or chemically binding those substances </w:t>
            </w:r>
          </w:p>
          <w:p w14:paraId="6DF058A4">
            <w:pPr>
              <w:rPr>
                <w:rFonts w:asciiTheme="minorHAnsi" w:hAnsiTheme="minorHAnsi" w:eastAsiaTheme="minorEastAsia" w:cstheme="minorBidi"/>
                <w:color w:val="auto"/>
                <w:szCs w:val="21"/>
              </w:rPr>
            </w:pPr>
            <w:r>
              <w:rPr>
                <w:rFonts w:ascii="Times New Roman" w:hAnsi="Times New Roman" w:eastAsia="宋体" w:cs="Times New Roman"/>
                <w:color w:val="auto"/>
                <w:szCs w:val="21"/>
              </w:rPr>
              <w:t>from the sintering atmosphere (3.3.61) that are damaging to the final product</w:t>
            </w:r>
          </w:p>
        </w:tc>
        <w:tc>
          <w:tcPr>
            <w:tcW w:w="3044" w:type="dxa"/>
            <w:tcBorders>
              <w:top w:val="single" w:color="auto" w:sz="4" w:space="0"/>
              <w:left w:val="single" w:color="auto" w:sz="4" w:space="0"/>
              <w:bottom w:val="single" w:color="auto" w:sz="4" w:space="0"/>
              <w:right w:val="single" w:color="auto" w:sz="4" w:space="0"/>
            </w:tcBorders>
            <w:shd w:val="clear" w:color="auto" w:fill="DAE3F3" w:themeFill="accent1" w:themeFillTint="32"/>
          </w:tcPr>
          <w:p w14:paraId="38857A2C">
            <w:pPr>
              <w:pStyle w:val="32"/>
              <w:ind w:firstLine="442"/>
              <w:rPr>
                <w:rStyle w:val="54"/>
                <w:rFonts w:ascii="黑体" w:hAnsi="黑体" w:eastAsia="黑体" w:cs="黑体"/>
                <w:b w:val="0"/>
                <w:bCs w:val="0"/>
                <w:color w:val="auto"/>
              </w:rPr>
            </w:pPr>
            <w:r>
              <w:rPr>
                <w:rStyle w:val="54"/>
                <w:rFonts w:hint="eastAsia" w:ascii="黑体" w:hAnsi="黑体" w:eastAsia="黑体" w:cs="黑体"/>
                <w:color w:val="auto"/>
              </w:rPr>
              <w:t>吸气剂  getter</w:t>
            </w:r>
          </w:p>
          <w:p w14:paraId="73ACC7B8">
            <w:pPr>
              <w:ind w:firstLine="420"/>
              <w:rPr>
                <w:rStyle w:val="54"/>
                <w:rFonts w:ascii="Arial" w:hAnsi="Arial" w:cs="Arial" w:eastAsiaTheme="minorEastAsia"/>
                <w:b w:val="0"/>
                <w:bCs w:val="0"/>
                <w:color w:val="auto"/>
              </w:rPr>
            </w:pPr>
            <w:r>
              <w:rPr>
                <w:rStyle w:val="54"/>
                <w:rFonts w:ascii="Arial" w:hAnsi="Arial" w:cs="Arial" w:eastAsiaTheme="minorEastAsia"/>
                <w:color w:val="auto"/>
              </w:rPr>
              <w:t>在烧结过程中</w:t>
            </w:r>
            <w:r>
              <w:rPr>
                <w:rStyle w:val="54"/>
                <w:rFonts w:hint="eastAsia" w:ascii="Arial" w:hAnsi="Arial" w:cs="Arial" w:eastAsiaTheme="minorEastAsia"/>
                <w:color w:val="auto"/>
              </w:rPr>
              <w:t>，用于</w:t>
            </w:r>
            <w:r>
              <w:rPr>
                <w:rStyle w:val="54"/>
                <w:rFonts w:ascii="Arial" w:hAnsi="Arial" w:cs="Arial" w:eastAsiaTheme="minorEastAsia"/>
                <w:color w:val="auto"/>
              </w:rPr>
              <w:t>吸收或化合烧结气氛</w:t>
            </w:r>
            <w:r>
              <w:rPr>
                <w:rStyle w:val="54"/>
                <w:rFonts w:hint="eastAsia" w:ascii="Arial" w:hAnsi="Arial" w:cs="Arial" w:eastAsiaTheme="minorEastAsia"/>
                <w:color w:val="auto"/>
              </w:rPr>
              <w:t>（3.3.61）</w:t>
            </w:r>
            <w:r>
              <w:rPr>
                <w:rStyle w:val="54"/>
                <w:rFonts w:ascii="Arial" w:hAnsi="Arial" w:cs="Arial" w:eastAsiaTheme="minorEastAsia"/>
                <w:color w:val="auto"/>
              </w:rPr>
              <w:t>中对最终产品有害</w:t>
            </w:r>
            <w:r>
              <w:rPr>
                <w:rStyle w:val="54"/>
                <w:rFonts w:hint="eastAsia" w:ascii="Arial" w:hAnsi="Arial" w:cs="Arial" w:eastAsiaTheme="minorEastAsia"/>
                <w:color w:val="auto"/>
              </w:rPr>
              <w:t>的物质的</w:t>
            </w:r>
            <w:r>
              <w:rPr>
                <w:rStyle w:val="54"/>
                <w:rFonts w:ascii="Arial" w:hAnsi="Arial" w:cs="Arial" w:eastAsiaTheme="minorEastAsia"/>
                <w:color w:val="auto"/>
              </w:rPr>
              <w:t>材料。</w:t>
            </w:r>
          </w:p>
          <w:p w14:paraId="4676C099">
            <w:pPr>
              <w:ind w:firstLine="420"/>
              <w:rPr>
                <w:rFonts w:ascii="Times New Roman" w:hAnsi="Times New Roman" w:eastAsia="宋体" w:cs="Times New Roman"/>
                <w:color w:val="auto"/>
                <w:szCs w:val="21"/>
              </w:rPr>
            </w:pPr>
          </w:p>
        </w:tc>
        <w:tc>
          <w:tcPr>
            <w:tcW w:w="2663" w:type="dxa"/>
            <w:tcBorders>
              <w:top w:val="single" w:color="auto" w:sz="4" w:space="0"/>
              <w:left w:val="single" w:color="auto" w:sz="4" w:space="0"/>
              <w:bottom w:val="single" w:color="auto" w:sz="4" w:space="0"/>
              <w:right w:val="single" w:color="auto" w:sz="4" w:space="0"/>
            </w:tcBorders>
            <w:shd w:val="clear" w:color="auto" w:fill="auto"/>
          </w:tcPr>
          <w:p w14:paraId="54C79701">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吸气剂</w:t>
            </w:r>
          </w:p>
          <w:p w14:paraId="07F8F103">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在烧结过程中吸收或化合烧结气氛(3.3.61)中对最终产品有害物质的材料。</w:t>
            </w:r>
          </w:p>
        </w:tc>
        <w:tc>
          <w:tcPr>
            <w:tcW w:w="2125" w:type="dxa"/>
            <w:tcBorders>
              <w:top w:val="single" w:color="auto" w:sz="4" w:space="0"/>
              <w:left w:val="single" w:color="auto" w:sz="4" w:space="0"/>
              <w:bottom w:val="single" w:color="auto" w:sz="4" w:space="0"/>
              <w:right w:val="single" w:color="auto" w:sz="4" w:space="0"/>
            </w:tcBorders>
          </w:tcPr>
          <w:p w14:paraId="7442A5ED">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 xml:space="preserve">吸气剂 </w:t>
            </w:r>
          </w:p>
          <w:p w14:paraId="3BE46AE3">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在烧结过程中吸收或化合烧结气氛中对最终产品有害物质的材料。</w:t>
            </w:r>
          </w:p>
          <w:p w14:paraId="44E54E9F">
            <w:pPr>
              <w:rPr>
                <w:rFonts w:asciiTheme="minorHAnsi" w:hAnsiTheme="minorHAnsi" w:eastAsiaTheme="minorEastAsia" w:cstheme="minorBidi"/>
                <w:color w:val="auto"/>
                <w:szCs w:val="21"/>
              </w:rPr>
            </w:pPr>
          </w:p>
        </w:tc>
      </w:tr>
      <w:tr w14:paraId="5FD51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5432" w:type="dxa"/>
            <w:gridSpan w:val="7"/>
            <w:tcBorders>
              <w:top w:val="single" w:color="auto" w:sz="4" w:space="0"/>
              <w:left w:val="single" w:color="auto" w:sz="4" w:space="0"/>
              <w:bottom w:val="single" w:color="auto" w:sz="4" w:space="0"/>
              <w:right w:val="single" w:color="auto" w:sz="4" w:space="0"/>
            </w:tcBorders>
            <w:shd w:val="clear" w:color="auto" w:fill="EDEDED" w:themeFill="accent3" w:themeFillTint="32"/>
          </w:tcPr>
          <w:p w14:paraId="7D4F21EB">
            <w:pPr>
              <w:jc w:val="cente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7.13讨论内容</w:t>
            </w:r>
          </w:p>
        </w:tc>
      </w:tr>
      <w:tr w14:paraId="74BD2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672" w:type="dxa"/>
            <w:tcBorders>
              <w:top w:val="single" w:color="auto" w:sz="4" w:space="0"/>
              <w:left w:val="single" w:color="auto" w:sz="4" w:space="0"/>
              <w:bottom w:val="single" w:color="auto" w:sz="4" w:space="0"/>
              <w:right w:val="single" w:color="auto" w:sz="4" w:space="0"/>
            </w:tcBorders>
            <w:shd w:val="clear" w:color="auto" w:fill="auto"/>
          </w:tcPr>
          <w:p w14:paraId="0DD0C54C">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3.3.38</w:t>
            </w:r>
          </w:p>
        </w:tc>
        <w:tc>
          <w:tcPr>
            <w:tcW w:w="2450" w:type="dxa"/>
            <w:tcBorders>
              <w:top w:val="single" w:color="auto" w:sz="4" w:space="0"/>
              <w:left w:val="single" w:color="auto" w:sz="4" w:space="0"/>
              <w:bottom w:val="single" w:color="auto" w:sz="4" w:space="0"/>
              <w:right w:val="single" w:color="auto" w:sz="4" w:space="0"/>
            </w:tcBorders>
            <w:shd w:val="clear" w:color="auto" w:fill="auto"/>
          </w:tcPr>
          <w:p w14:paraId="1D2DB74C">
            <w:pPr>
              <w:spacing w:before="120" w:after="120"/>
              <w:jc w:val="left"/>
              <w:rPr>
                <w:rFonts w:ascii="Times New Roman" w:hAnsi="Times New Roman" w:cs="Times New Roman" w:eastAsiaTheme="minorEastAsia"/>
                <w:color w:val="auto"/>
              </w:rPr>
            </w:pPr>
            <w:r>
              <w:rPr>
                <w:rFonts w:ascii="Times New Roman" w:hAnsi="Times New Roman" w:eastAsia="等线" w:cs="Times New Roman"/>
                <w:b/>
                <w:bCs/>
                <w:color w:val="auto"/>
                <w:sz w:val="22"/>
              </w:rPr>
              <w:t xml:space="preserve">oil content </w:t>
            </w:r>
            <w:r>
              <w:rPr>
                <w:rFonts w:ascii="Times New Roman" w:hAnsi="Times New Roman" w:eastAsia="等线" w:cs="Times New Roman"/>
                <w:color w:val="auto"/>
                <w:sz w:val="22"/>
              </w:rPr>
              <w:t xml:space="preserve"> </w:t>
            </w:r>
          </w:p>
          <w:p w14:paraId="7DDDAB68">
            <w:pPr>
              <w:spacing w:before="120" w:after="120"/>
              <w:jc w:val="left"/>
              <w:rPr>
                <w:rFonts w:ascii="Times New Roman" w:hAnsi="Times New Roman" w:eastAsia="宋体" w:cs="Times New Roman"/>
                <w:color w:val="auto"/>
                <w:szCs w:val="21"/>
              </w:rPr>
            </w:pPr>
            <w:r>
              <w:rPr>
                <w:rFonts w:ascii="Times New Roman" w:hAnsi="Times New Roman" w:eastAsia="等线" w:cs="Times New Roman"/>
                <w:color w:val="auto"/>
                <w:sz w:val="22"/>
              </w:rPr>
              <w:t>amount of oil contained in an oil-impregnated object, for example an oil-retaining (self lubricating) bearing (see ISO 2738)</w:t>
            </w:r>
          </w:p>
        </w:tc>
        <w:tc>
          <w:tcPr>
            <w:tcW w:w="2102" w:type="dxa"/>
            <w:tcBorders>
              <w:top w:val="single" w:color="auto" w:sz="4" w:space="0"/>
              <w:left w:val="single" w:color="auto" w:sz="4" w:space="0"/>
              <w:bottom w:val="single" w:color="auto" w:sz="4" w:space="0"/>
              <w:right w:val="single" w:color="auto" w:sz="4" w:space="0"/>
            </w:tcBorders>
            <w:shd w:val="clear" w:color="auto" w:fill="auto"/>
          </w:tcPr>
          <w:p w14:paraId="3C05BBF4">
            <w:pPr>
              <w:rPr>
                <w:rFonts w:asciiTheme="minorHAnsi" w:hAnsiTheme="minorHAnsi" w:eastAsiaTheme="minorEastAsia" w:cstheme="minorBidi"/>
                <w:color w:val="auto"/>
                <w:szCs w:val="21"/>
              </w:rPr>
            </w:pPr>
            <w:r>
              <w:rPr>
                <w:rFonts w:ascii="Arial" w:hAnsi="Arial" w:eastAsia="等线" w:cs="Arial"/>
                <w:color w:val="auto"/>
                <w:sz w:val="22"/>
              </w:rPr>
              <w:t>含油量（oil content）：浸油的制品（如含油自润滑轴承）中油的含量（见GB/T5163）。</w:t>
            </w:r>
          </w:p>
        </w:tc>
        <w:tc>
          <w:tcPr>
            <w:tcW w:w="2376" w:type="dxa"/>
            <w:tcBorders>
              <w:top w:val="single" w:color="auto" w:sz="4" w:space="0"/>
              <w:left w:val="single" w:color="auto" w:sz="4" w:space="0"/>
              <w:bottom w:val="single" w:color="auto" w:sz="4" w:space="0"/>
              <w:right w:val="single" w:color="auto" w:sz="4" w:space="0"/>
            </w:tcBorders>
            <w:shd w:val="clear" w:color="auto" w:fill="auto"/>
          </w:tcPr>
          <w:p w14:paraId="43084D31">
            <w:pPr>
              <w:rPr>
                <w:rFonts w:ascii="Times New Roman" w:hAnsi="Times New Roman" w:eastAsia="宋体" w:cs="Times New Roman"/>
                <w:b/>
                <w:bCs/>
                <w:color w:val="auto"/>
                <w:szCs w:val="21"/>
              </w:rPr>
            </w:pPr>
            <w:r>
              <w:rPr>
                <w:rFonts w:ascii="Times New Roman" w:hAnsi="Times New Roman" w:eastAsia="宋体" w:cs="Times New Roman"/>
                <w:b/>
                <w:bCs/>
                <w:color w:val="auto"/>
                <w:szCs w:val="21"/>
              </w:rPr>
              <w:t>oil content</w:t>
            </w:r>
          </w:p>
          <w:p w14:paraId="30862A91">
            <w:pPr>
              <w:rPr>
                <w:rFonts w:ascii="Times New Roman" w:hAnsi="Times New Roman" w:eastAsia="宋体" w:cs="Times New Roman"/>
                <w:color w:val="auto"/>
                <w:szCs w:val="21"/>
              </w:rPr>
            </w:pPr>
            <w:r>
              <w:rPr>
                <w:rFonts w:ascii="Times New Roman" w:hAnsi="Times New Roman" w:eastAsia="宋体" w:cs="Times New Roman"/>
                <w:color w:val="auto"/>
                <w:szCs w:val="21"/>
              </w:rPr>
              <w:t>amount of oil contained in an oil-impregnated object</w:t>
            </w:r>
          </w:p>
          <w:p w14:paraId="261BC762">
            <w:pPr>
              <w:rPr>
                <w:rFonts w:ascii="Times New Roman" w:hAnsi="Times New Roman" w:eastAsia="宋体" w:cs="Times New Roman"/>
                <w:color w:val="auto"/>
                <w:szCs w:val="21"/>
              </w:rPr>
            </w:pPr>
            <w:r>
              <w:rPr>
                <w:rFonts w:ascii="Times New Roman" w:hAnsi="Times New Roman" w:eastAsia="宋体" w:cs="Times New Roman"/>
                <w:color w:val="auto"/>
                <w:szCs w:val="21"/>
              </w:rPr>
              <w:t>EXAMPLE An oil-retaining (self-lubricating) bearing.</w:t>
            </w:r>
          </w:p>
          <w:p w14:paraId="12BCB1C0">
            <w:pPr>
              <w:rPr>
                <w:rFonts w:asciiTheme="minorHAnsi" w:hAnsiTheme="minorHAnsi" w:eastAsiaTheme="minorEastAsia" w:cstheme="minorBidi"/>
                <w:color w:val="auto"/>
                <w:szCs w:val="21"/>
              </w:rPr>
            </w:pPr>
            <w:r>
              <w:rPr>
                <w:rFonts w:ascii="Calibri Light" w:hAnsi="Calibri Light" w:eastAsia="宋体" w:cs="Calibri Light"/>
                <w:color w:val="auto"/>
                <w:szCs w:val="21"/>
              </w:rPr>
              <w:t>Note 1 to entry: See also ISO 2738.</w:t>
            </w:r>
          </w:p>
        </w:tc>
        <w:tc>
          <w:tcPr>
            <w:tcW w:w="3044" w:type="dxa"/>
            <w:tcBorders>
              <w:top w:val="single" w:color="auto" w:sz="4" w:space="0"/>
              <w:left w:val="single" w:color="auto" w:sz="4" w:space="0"/>
              <w:bottom w:val="single" w:color="auto" w:sz="4" w:space="0"/>
              <w:right w:val="single" w:color="auto" w:sz="4" w:space="0"/>
            </w:tcBorders>
            <w:shd w:val="clear" w:color="auto" w:fill="DAE3F3" w:themeFill="accent1" w:themeFillTint="32"/>
          </w:tcPr>
          <w:p w14:paraId="6BFBE099">
            <w:pPr>
              <w:pStyle w:val="32"/>
              <w:ind w:firstLine="442"/>
              <w:rPr>
                <w:rStyle w:val="54"/>
                <w:rFonts w:ascii="黑体" w:hAnsi="黑体" w:eastAsia="黑体" w:cs="黑体"/>
                <w:b w:val="0"/>
                <w:bCs w:val="0"/>
                <w:color w:val="auto"/>
              </w:rPr>
            </w:pPr>
            <w:r>
              <w:rPr>
                <w:rStyle w:val="54"/>
                <w:rFonts w:hint="eastAsia" w:ascii="黑体" w:hAnsi="黑体" w:eastAsia="黑体" w:cs="黑体"/>
                <w:color w:val="auto"/>
              </w:rPr>
              <w:t>含油量  oil content</w:t>
            </w:r>
          </w:p>
          <w:p w14:paraId="38E44338">
            <w:pPr>
              <w:ind w:firstLine="420"/>
              <w:rPr>
                <w:rStyle w:val="54"/>
                <w:rFonts w:ascii="Arial" w:hAnsi="Arial" w:cs="Arial" w:eastAsiaTheme="minorEastAsia"/>
                <w:b w:val="0"/>
                <w:bCs w:val="0"/>
                <w:color w:val="auto"/>
              </w:rPr>
            </w:pPr>
            <w:r>
              <w:rPr>
                <w:rStyle w:val="54"/>
                <w:rFonts w:ascii="Arial" w:hAnsi="Arial" w:cs="Arial" w:eastAsiaTheme="minorEastAsia"/>
                <w:color w:val="auto"/>
              </w:rPr>
              <w:t>浸油的制品</w:t>
            </w:r>
            <w:r>
              <w:rPr>
                <w:rStyle w:val="54"/>
                <w:rFonts w:hint="eastAsia" w:ascii="Arial" w:hAnsi="Arial" w:cs="Arial" w:eastAsiaTheme="minorEastAsia"/>
                <w:color w:val="auto"/>
              </w:rPr>
              <w:t>中</w:t>
            </w:r>
            <w:r>
              <w:rPr>
                <w:rStyle w:val="54"/>
                <w:rFonts w:ascii="Arial" w:hAnsi="Arial" w:cs="Arial" w:eastAsiaTheme="minorEastAsia"/>
                <w:color w:val="auto"/>
              </w:rPr>
              <w:t>油的含量</w:t>
            </w:r>
            <w:r>
              <w:rPr>
                <w:rStyle w:val="54"/>
                <w:rFonts w:hint="eastAsia" w:ascii="Arial" w:hAnsi="Arial" w:cs="Arial" w:eastAsiaTheme="minorEastAsia"/>
                <w:color w:val="auto"/>
              </w:rPr>
              <w:t>。</w:t>
            </w:r>
          </w:p>
          <w:p w14:paraId="27F39C14">
            <w:pPr>
              <w:ind w:firstLine="420"/>
              <w:rPr>
                <w:rStyle w:val="54"/>
                <w:rFonts w:ascii="Arial" w:hAnsi="Arial" w:cs="Arial" w:eastAsiaTheme="minorEastAsia"/>
                <w:b w:val="0"/>
                <w:bCs w:val="0"/>
                <w:color w:val="auto"/>
              </w:rPr>
            </w:pPr>
            <w:r>
              <w:rPr>
                <w:rFonts w:asciiTheme="minorHAnsi" w:hAnsiTheme="minorHAnsi" w:eastAsiaTheme="minorEastAsia" w:cstheme="minorBidi"/>
                <w:color w:val="auto"/>
                <w:szCs w:val="21"/>
              </w:rPr>
              <w:t>示例：</w:t>
            </w:r>
            <w:r>
              <w:rPr>
                <w:rStyle w:val="54"/>
                <w:rFonts w:ascii="Arial" w:hAnsi="Arial" w:cs="Arial" w:eastAsiaTheme="minorEastAsia"/>
                <w:color w:val="auto"/>
              </w:rPr>
              <w:t>含油</w:t>
            </w:r>
            <w:r>
              <w:rPr>
                <w:rStyle w:val="54"/>
                <w:rFonts w:hint="eastAsia" w:ascii="Arial" w:hAnsi="Arial" w:cs="Arial" w:eastAsiaTheme="minorEastAsia"/>
                <w:color w:val="auto"/>
              </w:rPr>
              <w:t>（</w:t>
            </w:r>
            <w:r>
              <w:rPr>
                <w:rStyle w:val="54"/>
                <w:rFonts w:ascii="Arial" w:hAnsi="Arial" w:cs="Arial" w:eastAsiaTheme="minorEastAsia"/>
                <w:color w:val="auto"/>
              </w:rPr>
              <w:t>自润滑</w:t>
            </w:r>
            <w:r>
              <w:rPr>
                <w:rStyle w:val="54"/>
                <w:rFonts w:hint="eastAsia" w:ascii="Arial" w:hAnsi="Arial" w:cs="Arial" w:eastAsiaTheme="minorEastAsia"/>
                <w:color w:val="auto"/>
              </w:rPr>
              <w:t>）</w:t>
            </w:r>
            <w:r>
              <w:rPr>
                <w:rStyle w:val="54"/>
                <w:rFonts w:ascii="Arial" w:hAnsi="Arial" w:cs="Arial" w:eastAsiaTheme="minorEastAsia"/>
                <w:color w:val="auto"/>
              </w:rPr>
              <w:t>轴承</w:t>
            </w:r>
            <w:r>
              <w:rPr>
                <w:rStyle w:val="54"/>
                <w:rFonts w:hint="eastAsia" w:ascii="Arial" w:hAnsi="Arial" w:cs="Arial" w:eastAsiaTheme="minorEastAsia"/>
                <w:color w:val="auto"/>
              </w:rPr>
              <w:t>。</w:t>
            </w:r>
          </w:p>
          <w:p w14:paraId="47B771D9">
            <w:pPr>
              <w:ind w:firstLine="420"/>
              <w:rPr>
                <w:rStyle w:val="54"/>
                <w:rFonts w:ascii="Arial" w:hAnsi="Arial" w:cs="Arial" w:eastAsiaTheme="minorEastAsia"/>
                <w:b w:val="0"/>
                <w:bCs w:val="0"/>
                <w:color w:val="auto"/>
              </w:rPr>
            </w:pPr>
            <w:r>
              <w:rPr>
                <w:rFonts w:asciiTheme="minorHAnsi" w:hAnsiTheme="minorHAnsi" w:eastAsiaTheme="minorEastAsia" w:cstheme="minorBidi"/>
                <w:color w:val="auto"/>
                <w:szCs w:val="21"/>
              </w:rPr>
              <w:t>注：</w:t>
            </w:r>
            <w:r>
              <w:rPr>
                <w:rStyle w:val="54"/>
                <w:rFonts w:ascii="Arial" w:hAnsi="Arial" w:cs="Arial" w:eastAsiaTheme="minorEastAsia"/>
                <w:color w:val="auto"/>
              </w:rPr>
              <w:t>见GB/T</w:t>
            </w:r>
            <w:r>
              <w:rPr>
                <w:rStyle w:val="54"/>
                <w:rFonts w:hint="eastAsia" w:ascii="Arial" w:hAnsi="Arial" w:cs="Arial" w:eastAsiaTheme="minorEastAsia"/>
                <w:color w:val="auto"/>
              </w:rPr>
              <w:t xml:space="preserve"> </w:t>
            </w:r>
            <w:r>
              <w:rPr>
                <w:rStyle w:val="54"/>
                <w:rFonts w:ascii="Arial" w:hAnsi="Arial" w:cs="Arial" w:eastAsiaTheme="minorEastAsia"/>
                <w:color w:val="auto"/>
              </w:rPr>
              <w:t>5163。</w:t>
            </w:r>
          </w:p>
          <w:p w14:paraId="63976FB7">
            <w:pPr>
              <w:rPr>
                <w:rFonts w:ascii="Calibri Light" w:hAnsi="Calibri Light" w:eastAsia="宋体" w:cs="Calibri Light"/>
                <w:color w:val="auto"/>
                <w:szCs w:val="21"/>
              </w:rPr>
            </w:pPr>
          </w:p>
        </w:tc>
        <w:tc>
          <w:tcPr>
            <w:tcW w:w="2663" w:type="dxa"/>
            <w:tcBorders>
              <w:top w:val="single" w:color="auto" w:sz="4" w:space="0"/>
              <w:left w:val="single" w:color="auto" w:sz="4" w:space="0"/>
              <w:bottom w:val="single" w:color="auto" w:sz="4" w:space="0"/>
              <w:right w:val="single" w:color="auto" w:sz="4" w:space="0"/>
            </w:tcBorders>
            <w:shd w:val="clear" w:color="auto" w:fill="auto"/>
          </w:tcPr>
          <w:p w14:paraId="43A5B02C">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含油</w:t>
            </w:r>
            <w:r>
              <w:rPr>
                <w:rFonts w:hint="eastAsia" w:asciiTheme="minorHAnsi" w:hAnsiTheme="minorHAnsi" w:eastAsiaTheme="minorEastAsia" w:cstheme="minorBidi"/>
                <w:color w:val="auto"/>
                <w:szCs w:val="21"/>
              </w:rPr>
              <w:t>量</w:t>
            </w:r>
          </w:p>
          <w:p w14:paraId="46646904">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浸油的制品中油的含量</w:t>
            </w:r>
            <w:r>
              <w:rPr>
                <w:rFonts w:hint="eastAsia" w:asciiTheme="minorHAnsi" w:hAnsiTheme="minorHAnsi" w:eastAsiaTheme="minorEastAsia" w:cstheme="minorBidi"/>
                <w:color w:val="auto"/>
                <w:szCs w:val="21"/>
              </w:rPr>
              <w:t>。</w:t>
            </w:r>
          </w:p>
          <w:p w14:paraId="151DA0E9">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示例：含油(自润滑)轴承</w:t>
            </w:r>
            <w:r>
              <w:rPr>
                <w:rFonts w:hint="eastAsia" w:asciiTheme="minorHAnsi" w:hAnsiTheme="minorHAnsi" w:eastAsiaTheme="minorEastAsia" w:cstheme="minorBidi"/>
                <w:color w:val="auto"/>
                <w:szCs w:val="21"/>
              </w:rPr>
              <w:t>。</w:t>
            </w:r>
          </w:p>
          <w:p w14:paraId="2CB2D80C">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注1：另见 ISO 2738 标准</w:t>
            </w:r>
            <w:r>
              <w:rPr>
                <w:rFonts w:hint="eastAsia" w:asciiTheme="minorHAnsi" w:hAnsiTheme="minorHAnsi" w:eastAsiaTheme="minorEastAsia" w:cstheme="minorBidi"/>
                <w:color w:val="auto"/>
                <w:szCs w:val="21"/>
              </w:rPr>
              <w:t>。</w:t>
            </w:r>
          </w:p>
          <w:p w14:paraId="6417102F">
            <w:pPr>
              <w:rPr>
                <w:rFonts w:asciiTheme="minorHAnsi" w:hAnsiTheme="minorHAnsi" w:eastAsiaTheme="minorEastAsia" w:cstheme="minorBidi"/>
                <w:color w:val="auto"/>
                <w:szCs w:val="21"/>
              </w:rPr>
            </w:pPr>
          </w:p>
        </w:tc>
        <w:tc>
          <w:tcPr>
            <w:tcW w:w="2125" w:type="dxa"/>
            <w:tcBorders>
              <w:top w:val="single" w:color="auto" w:sz="4" w:space="0"/>
              <w:left w:val="single" w:color="auto" w:sz="4" w:space="0"/>
              <w:bottom w:val="single" w:color="auto" w:sz="4" w:space="0"/>
              <w:right w:val="single" w:color="auto" w:sz="4" w:space="0"/>
            </w:tcBorders>
          </w:tcPr>
          <w:p w14:paraId="63D4D462">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含油率</w:t>
            </w:r>
          </w:p>
          <w:p w14:paraId="76E4905C">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浸油的制品（如含油自润滑轴承）中油的含量（见ISO 2738）</w:t>
            </w:r>
          </w:p>
          <w:p w14:paraId="398314AE">
            <w:pPr>
              <w:rPr>
                <w:rFonts w:asciiTheme="minorHAnsi" w:hAnsiTheme="minorHAnsi" w:eastAsiaTheme="minorEastAsia" w:cstheme="minorBidi"/>
                <w:color w:val="auto"/>
                <w:szCs w:val="21"/>
              </w:rPr>
            </w:pPr>
          </w:p>
        </w:tc>
      </w:tr>
      <w:tr w14:paraId="44AC6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6" w:hRule="atLeast"/>
          <w:jc w:val="center"/>
        </w:trPr>
        <w:tc>
          <w:tcPr>
            <w:tcW w:w="672" w:type="dxa"/>
            <w:tcBorders>
              <w:top w:val="single" w:color="auto" w:sz="4" w:space="0"/>
              <w:left w:val="single" w:color="auto" w:sz="4" w:space="0"/>
              <w:bottom w:val="single" w:color="auto" w:sz="4" w:space="0"/>
              <w:right w:val="single" w:color="auto" w:sz="4" w:space="0"/>
            </w:tcBorders>
            <w:shd w:val="clear" w:color="auto" w:fill="auto"/>
          </w:tcPr>
          <w:p w14:paraId="17EA5E97">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3.3.40</w:t>
            </w:r>
          </w:p>
        </w:tc>
        <w:tc>
          <w:tcPr>
            <w:tcW w:w="2450" w:type="dxa"/>
            <w:tcBorders>
              <w:top w:val="single" w:color="auto" w:sz="4" w:space="0"/>
              <w:left w:val="single" w:color="auto" w:sz="4" w:space="0"/>
              <w:bottom w:val="single" w:color="auto" w:sz="4" w:space="0"/>
              <w:right w:val="single" w:color="auto" w:sz="4" w:space="0"/>
            </w:tcBorders>
            <w:shd w:val="clear" w:color="auto" w:fill="auto"/>
          </w:tcPr>
          <w:p w14:paraId="153B783C">
            <w:pPr>
              <w:spacing w:before="120" w:after="120"/>
              <w:jc w:val="left"/>
              <w:rPr>
                <w:rFonts w:ascii="Times New Roman" w:hAnsi="Times New Roman" w:cs="Times New Roman" w:eastAsiaTheme="minorEastAsia"/>
                <w:b/>
                <w:bCs/>
                <w:color w:val="auto"/>
              </w:rPr>
            </w:pPr>
            <w:r>
              <w:rPr>
                <w:rFonts w:ascii="Times New Roman" w:hAnsi="Times New Roman" w:eastAsia="等线" w:cs="Times New Roman"/>
                <w:b/>
                <w:bCs/>
                <w:color w:val="auto"/>
                <w:sz w:val="22"/>
              </w:rPr>
              <w:t xml:space="preserve">open porosity  </w:t>
            </w:r>
          </w:p>
          <w:p w14:paraId="2580642C">
            <w:pPr>
              <w:spacing w:before="120" w:after="120"/>
              <w:jc w:val="left"/>
              <w:rPr>
                <w:rFonts w:ascii="Times New Roman" w:hAnsi="Times New Roman" w:eastAsia="宋体" w:cs="Times New Roman"/>
                <w:color w:val="auto"/>
                <w:szCs w:val="21"/>
              </w:rPr>
            </w:pPr>
            <w:r>
              <w:rPr>
                <w:rFonts w:ascii="Times New Roman" w:hAnsi="Times New Roman" w:eastAsia="等线" w:cs="Times New Roman"/>
                <w:color w:val="auto"/>
                <w:sz w:val="22"/>
              </w:rPr>
              <w:t>ratio of the volume of the open pores to the total volume of a porous object (see ISO 2738)</w:t>
            </w:r>
          </w:p>
        </w:tc>
        <w:tc>
          <w:tcPr>
            <w:tcW w:w="2102" w:type="dxa"/>
            <w:tcBorders>
              <w:top w:val="single" w:color="auto" w:sz="4" w:space="0"/>
              <w:left w:val="single" w:color="auto" w:sz="4" w:space="0"/>
              <w:bottom w:val="single" w:color="auto" w:sz="4" w:space="0"/>
              <w:right w:val="single" w:color="auto" w:sz="4" w:space="0"/>
            </w:tcBorders>
            <w:shd w:val="clear" w:color="auto" w:fill="auto"/>
          </w:tcPr>
          <w:p w14:paraId="498FC5AC">
            <w:pPr>
              <w:rPr>
                <w:rFonts w:asciiTheme="minorHAnsi" w:hAnsiTheme="minorHAnsi" w:eastAsiaTheme="minorEastAsia" w:cstheme="minorBidi"/>
                <w:color w:val="auto"/>
                <w:szCs w:val="21"/>
              </w:rPr>
            </w:pPr>
            <w:r>
              <w:rPr>
                <w:rFonts w:ascii="Arial" w:hAnsi="Arial" w:eastAsia="等线" w:cs="Arial"/>
                <w:color w:val="auto"/>
                <w:sz w:val="22"/>
              </w:rPr>
              <w:t>开孔孔隙度（open porosity）：多孔体中开孔的体积与总体积之比（见GB/T 5163）。</w:t>
            </w:r>
          </w:p>
        </w:tc>
        <w:tc>
          <w:tcPr>
            <w:tcW w:w="2376" w:type="dxa"/>
            <w:tcBorders>
              <w:top w:val="single" w:color="auto" w:sz="4" w:space="0"/>
              <w:left w:val="single" w:color="auto" w:sz="4" w:space="0"/>
              <w:bottom w:val="single" w:color="auto" w:sz="4" w:space="0"/>
              <w:right w:val="single" w:color="auto" w:sz="4" w:space="0"/>
            </w:tcBorders>
            <w:shd w:val="clear" w:color="auto" w:fill="auto"/>
          </w:tcPr>
          <w:p w14:paraId="2B9F4196">
            <w:pPr>
              <w:rPr>
                <w:rFonts w:ascii="Times New Roman" w:hAnsi="Times New Roman" w:eastAsia="宋体" w:cs="Times New Roman"/>
                <w:b/>
                <w:bCs/>
                <w:color w:val="auto"/>
                <w:szCs w:val="21"/>
              </w:rPr>
            </w:pPr>
            <w:r>
              <w:rPr>
                <w:rFonts w:ascii="Times New Roman" w:hAnsi="Times New Roman" w:eastAsia="宋体" w:cs="Times New Roman"/>
                <w:b/>
                <w:bCs/>
                <w:color w:val="auto"/>
                <w:szCs w:val="21"/>
              </w:rPr>
              <w:t>open porosity</w:t>
            </w:r>
          </w:p>
          <w:p w14:paraId="17A3D2C3">
            <w:pPr>
              <w:rPr>
                <w:rFonts w:ascii="Times New Roman" w:hAnsi="Times New Roman" w:eastAsia="宋体" w:cs="Times New Roman"/>
                <w:color w:val="auto"/>
                <w:szCs w:val="21"/>
              </w:rPr>
            </w:pPr>
            <w:r>
              <w:rPr>
                <w:rFonts w:ascii="Times New Roman" w:hAnsi="Times New Roman" w:eastAsia="宋体" w:cs="Times New Roman"/>
                <w:color w:val="auto"/>
                <w:szCs w:val="21"/>
              </w:rPr>
              <w:t>ratio of the volume of the open pores (3.3.39) to the total volume of a porous object</w:t>
            </w:r>
          </w:p>
          <w:p w14:paraId="02D95052">
            <w:pPr>
              <w:rPr>
                <w:rFonts w:asciiTheme="minorHAnsi" w:hAnsiTheme="minorHAnsi" w:eastAsiaTheme="minorEastAsia" w:cstheme="minorBidi"/>
                <w:color w:val="auto"/>
                <w:szCs w:val="21"/>
              </w:rPr>
            </w:pPr>
            <w:r>
              <w:rPr>
                <w:rFonts w:ascii="Calibri Light" w:hAnsi="Calibri Light" w:eastAsia="宋体" w:cs="Calibri Light"/>
                <w:color w:val="auto"/>
                <w:szCs w:val="21"/>
              </w:rPr>
              <w:t>Note 1 to entry: See also ISO 2738.</w:t>
            </w:r>
          </w:p>
        </w:tc>
        <w:tc>
          <w:tcPr>
            <w:tcW w:w="3044" w:type="dxa"/>
            <w:tcBorders>
              <w:top w:val="single" w:color="auto" w:sz="4" w:space="0"/>
              <w:left w:val="single" w:color="auto" w:sz="4" w:space="0"/>
              <w:bottom w:val="single" w:color="auto" w:sz="4" w:space="0"/>
              <w:right w:val="single" w:color="auto" w:sz="4" w:space="0"/>
            </w:tcBorders>
            <w:shd w:val="clear" w:color="auto" w:fill="DAE3F3" w:themeFill="accent1" w:themeFillTint="32"/>
          </w:tcPr>
          <w:p w14:paraId="65EB0638">
            <w:pPr>
              <w:pStyle w:val="32"/>
              <w:ind w:firstLine="442"/>
              <w:rPr>
                <w:rStyle w:val="54"/>
                <w:rFonts w:ascii="黑体" w:hAnsi="黑体" w:eastAsia="黑体" w:cs="黑体"/>
                <w:b w:val="0"/>
                <w:bCs w:val="0"/>
                <w:color w:val="auto"/>
              </w:rPr>
            </w:pPr>
            <w:r>
              <w:rPr>
                <w:rStyle w:val="54"/>
                <w:rFonts w:hint="eastAsia" w:ascii="黑体" w:hAnsi="黑体" w:eastAsia="黑体" w:cs="黑体"/>
                <w:color w:val="auto"/>
              </w:rPr>
              <w:t>开孔率  open porosity</w:t>
            </w:r>
          </w:p>
          <w:p w14:paraId="045A878A">
            <w:pPr>
              <w:ind w:firstLine="420"/>
              <w:rPr>
                <w:rFonts w:ascii="Arial" w:hAnsi="Arial" w:cs="Arial" w:eastAsiaTheme="minorEastAsia"/>
                <w:color w:val="auto"/>
                <w:szCs w:val="21"/>
              </w:rPr>
            </w:pPr>
            <w:r>
              <w:rPr>
                <w:rFonts w:ascii="Arial" w:hAnsi="Arial" w:cs="Arial" w:eastAsiaTheme="minorEastAsia"/>
                <w:color w:val="auto"/>
                <w:szCs w:val="21"/>
              </w:rPr>
              <w:t>多孔体中开孔</w:t>
            </w:r>
            <w:r>
              <w:rPr>
                <w:rFonts w:hint="eastAsia" w:ascii="Arial" w:hAnsi="Arial" w:cs="Arial" w:eastAsiaTheme="minorEastAsia"/>
                <w:color w:val="auto"/>
                <w:szCs w:val="21"/>
              </w:rPr>
              <w:t>(3.3.39)</w:t>
            </w:r>
            <w:r>
              <w:rPr>
                <w:rFonts w:ascii="Arial" w:hAnsi="Arial" w:cs="Arial" w:eastAsiaTheme="minorEastAsia"/>
                <w:color w:val="auto"/>
                <w:szCs w:val="21"/>
              </w:rPr>
              <w:t>的体积与总体积之比</w:t>
            </w:r>
            <w:r>
              <w:rPr>
                <w:rFonts w:hint="eastAsia" w:ascii="Arial" w:hAnsi="Arial" w:cs="Arial" w:eastAsiaTheme="minorEastAsia"/>
                <w:color w:val="auto"/>
                <w:szCs w:val="21"/>
              </w:rPr>
              <w:t>。</w:t>
            </w:r>
          </w:p>
          <w:p w14:paraId="200E608C">
            <w:pPr>
              <w:ind w:firstLine="420"/>
              <w:rPr>
                <w:rFonts w:ascii="Arial" w:hAnsi="Arial" w:cs="Arial" w:eastAsiaTheme="minorEastAsia"/>
                <w:color w:val="auto"/>
                <w:szCs w:val="21"/>
              </w:rPr>
            </w:pPr>
            <w:r>
              <w:rPr>
                <w:rFonts w:asciiTheme="minorHAnsi" w:hAnsiTheme="minorHAnsi" w:eastAsiaTheme="minorEastAsia" w:cstheme="minorBidi"/>
                <w:color w:val="auto"/>
                <w:szCs w:val="21"/>
              </w:rPr>
              <w:t>注：</w:t>
            </w:r>
            <w:r>
              <w:rPr>
                <w:rFonts w:ascii="Arial" w:hAnsi="Arial" w:cs="Arial" w:eastAsiaTheme="minorEastAsia"/>
                <w:color w:val="auto"/>
                <w:szCs w:val="21"/>
              </w:rPr>
              <w:t>见GB/T 5163。</w:t>
            </w:r>
          </w:p>
          <w:p w14:paraId="629AA32A">
            <w:pPr>
              <w:rPr>
                <w:rFonts w:ascii="Calibri Light" w:hAnsi="Calibri Light" w:eastAsia="宋体" w:cs="Calibri Light"/>
                <w:color w:val="auto"/>
                <w:szCs w:val="21"/>
              </w:rPr>
            </w:pPr>
          </w:p>
        </w:tc>
        <w:tc>
          <w:tcPr>
            <w:tcW w:w="2663" w:type="dxa"/>
            <w:tcBorders>
              <w:top w:val="single" w:color="auto" w:sz="4" w:space="0"/>
              <w:left w:val="single" w:color="auto" w:sz="4" w:space="0"/>
              <w:bottom w:val="single" w:color="auto" w:sz="4" w:space="0"/>
              <w:right w:val="single" w:color="auto" w:sz="4" w:space="0"/>
            </w:tcBorders>
            <w:shd w:val="clear" w:color="auto" w:fill="auto"/>
          </w:tcPr>
          <w:p w14:paraId="617266F6">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开孔孔隙</w:t>
            </w:r>
            <w:r>
              <w:rPr>
                <w:rFonts w:hint="eastAsia" w:asciiTheme="minorHAnsi" w:hAnsiTheme="minorHAnsi" w:eastAsiaTheme="minorEastAsia" w:cstheme="minorBidi"/>
                <w:color w:val="auto"/>
                <w:szCs w:val="21"/>
              </w:rPr>
              <w:t>度</w:t>
            </w:r>
          </w:p>
          <w:p w14:paraId="7CE4CA00">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多孔物体中开孔（3.3.39）的体积与总体积</w:t>
            </w:r>
            <w:r>
              <w:rPr>
                <w:rFonts w:hint="eastAsia" w:asciiTheme="minorHAnsi" w:hAnsiTheme="minorHAnsi" w:eastAsiaTheme="minorEastAsia" w:cstheme="minorBidi"/>
                <w:color w:val="auto"/>
                <w:szCs w:val="21"/>
              </w:rPr>
              <w:t>之</w:t>
            </w:r>
            <w:r>
              <w:rPr>
                <w:rFonts w:asciiTheme="minorHAnsi" w:hAnsiTheme="minorHAnsi" w:eastAsiaTheme="minorEastAsia" w:cstheme="minorBidi"/>
                <w:color w:val="auto"/>
                <w:szCs w:val="21"/>
              </w:rPr>
              <w:t>比</w:t>
            </w:r>
            <w:r>
              <w:rPr>
                <w:rFonts w:hint="eastAsia" w:asciiTheme="minorHAnsi" w:hAnsiTheme="minorHAnsi" w:eastAsiaTheme="minorEastAsia" w:cstheme="minorBidi"/>
                <w:color w:val="auto"/>
                <w:szCs w:val="21"/>
              </w:rPr>
              <w:t>。</w:t>
            </w:r>
          </w:p>
          <w:p w14:paraId="70264BA5">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注1：另见 ISO 2738 标准</w:t>
            </w:r>
            <w:r>
              <w:rPr>
                <w:rFonts w:hint="eastAsia" w:asciiTheme="minorHAnsi" w:hAnsiTheme="minorHAnsi" w:eastAsiaTheme="minorEastAsia" w:cstheme="minorBidi"/>
                <w:color w:val="auto"/>
                <w:szCs w:val="21"/>
              </w:rPr>
              <w:t>。</w:t>
            </w:r>
          </w:p>
          <w:p w14:paraId="0830FDA5">
            <w:pPr>
              <w:rPr>
                <w:rFonts w:asciiTheme="minorHAnsi" w:hAnsiTheme="minorHAnsi" w:eastAsiaTheme="minorEastAsia" w:cstheme="minorBidi"/>
                <w:color w:val="auto"/>
                <w:szCs w:val="21"/>
              </w:rPr>
            </w:pPr>
          </w:p>
        </w:tc>
        <w:tc>
          <w:tcPr>
            <w:tcW w:w="2125" w:type="dxa"/>
            <w:tcBorders>
              <w:top w:val="single" w:color="auto" w:sz="4" w:space="0"/>
              <w:left w:val="single" w:color="auto" w:sz="4" w:space="0"/>
              <w:bottom w:val="single" w:color="auto" w:sz="4" w:space="0"/>
              <w:right w:val="single" w:color="auto" w:sz="4" w:space="0"/>
            </w:tcBorders>
          </w:tcPr>
          <w:p w14:paraId="5A7F4A6D">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 xml:space="preserve">开孔孔隙度 </w:t>
            </w:r>
          </w:p>
          <w:p w14:paraId="60572D3C">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多孔体中开孔的体积与总体积之比（见ISO 2738）。</w:t>
            </w:r>
          </w:p>
          <w:p w14:paraId="0B6F3762">
            <w:pPr>
              <w:rPr>
                <w:rFonts w:asciiTheme="minorHAnsi" w:hAnsiTheme="minorHAnsi" w:eastAsiaTheme="minorEastAsia" w:cstheme="minorBidi"/>
                <w:color w:val="auto"/>
                <w:szCs w:val="21"/>
              </w:rPr>
            </w:pPr>
          </w:p>
        </w:tc>
      </w:tr>
      <w:tr w14:paraId="7CB77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4" w:hRule="atLeast"/>
          <w:jc w:val="center"/>
        </w:trPr>
        <w:tc>
          <w:tcPr>
            <w:tcW w:w="672" w:type="dxa"/>
            <w:tcBorders>
              <w:top w:val="single" w:color="auto" w:sz="4" w:space="0"/>
              <w:left w:val="single" w:color="auto" w:sz="4" w:space="0"/>
              <w:bottom w:val="single" w:color="auto" w:sz="4" w:space="0"/>
              <w:right w:val="single" w:color="auto" w:sz="4" w:space="0"/>
            </w:tcBorders>
            <w:shd w:val="clear" w:color="auto" w:fill="auto"/>
          </w:tcPr>
          <w:p w14:paraId="24684E04">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3.3.41</w:t>
            </w:r>
          </w:p>
        </w:tc>
        <w:tc>
          <w:tcPr>
            <w:tcW w:w="2450" w:type="dxa"/>
            <w:tcBorders>
              <w:top w:val="single" w:color="auto" w:sz="4" w:space="0"/>
              <w:left w:val="single" w:color="auto" w:sz="4" w:space="0"/>
              <w:bottom w:val="single" w:color="auto" w:sz="4" w:space="0"/>
              <w:right w:val="single" w:color="auto" w:sz="4" w:space="0"/>
            </w:tcBorders>
            <w:shd w:val="clear" w:color="auto" w:fill="auto"/>
          </w:tcPr>
          <w:p w14:paraId="5085B908">
            <w:pPr>
              <w:spacing w:before="120" w:after="120"/>
              <w:jc w:val="left"/>
              <w:rPr>
                <w:rFonts w:ascii="Times New Roman" w:hAnsi="Times New Roman" w:cs="Times New Roman" w:eastAsiaTheme="minorEastAsia"/>
                <w:color w:val="auto"/>
              </w:rPr>
            </w:pPr>
            <w:r>
              <w:rPr>
                <w:rFonts w:ascii="Times New Roman" w:hAnsi="Times New Roman" w:eastAsia="等线" w:cs="Times New Roman"/>
                <w:b/>
                <w:bCs/>
                <w:color w:val="auto"/>
                <w:sz w:val="22"/>
              </w:rPr>
              <w:t xml:space="preserve">oversintering </w:t>
            </w:r>
            <w:r>
              <w:rPr>
                <w:rFonts w:ascii="Times New Roman" w:hAnsi="Times New Roman" w:eastAsia="等线" w:cs="Times New Roman"/>
                <w:color w:val="auto"/>
                <w:sz w:val="22"/>
              </w:rPr>
              <w:t xml:space="preserve"> </w:t>
            </w:r>
          </w:p>
          <w:p w14:paraId="35184FFC">
            <w:pPr>
              <w:spacing w:before="120" w:after="120"/>
              <w:jc w:val="left"/>
              <w:rPr>
                <w:rFonts w:ascii="Times New Roman" w:hAnsi="Times New Roman" w:eastAsia="宋体" w:cs="Times New Roman"/>
                <w:color w:val="auto"/>
                <w:szCs w:val="21"/>
              </w:rPr>
            </w:pPr>
            <w:r>
              <w:rPr>
                <w:rFonts w:ascii="Times New Roman" w:hAnsi="Times New Roman" w:eastAsia="等线" w:cs="Times New Roman"/>
                <w:color w:val="auto"/>
                <w:sz w:val="22"/>
              </w:rPr>
              <w:t>sintering at too high a temperature and/or for too long a time such that deterioration of the final properties results</w:t>
            </w:r>
          </w:p>
        </w:tc>
        <w:tc>
          <w:tcPr>
            <w:tcW w:w="2102" w:type="dxa"/>
            <w:tcBorders>
              <w:top w:val="single" w:color="auto" w:sz="4" w:space="0"/>
              <w:left w:val="single" w:color="auto" w:sz="4" w:space="0"/>
              <w:bottom w:val="single" w:color="auto" w:sz="4" w:space="0"/>
              <w:right w:val="single" w:color="auto" w:sz="4" w:space="0"/>
            </w:tcBorders>
            <w:shd w:val="clear" w:color="auto" w:fill="auto"/>
          </w:tcPr>
          <w:p w14:paraId="00C1357E">
            <w:pPr>
              <w:rPr>
                <w:rFonts w:asciiTheme="minorHAnsi" w:hAnsiTheme="minorHAnsi" w:eastAsiaTheme="minorEastAsia" w:cstheme="minorBidi"/>
                <w:color w:val="auto"/>
                <w:szCs w:val="21"/>
              </w:rPr>
            </w:pPr>
            <w:r>
              <w:rPr>
                <w:rFonts w:ascii="Arial" w:hAnsi="Arial" w:eastAsia="等线" w:cs="Arial"/>
                <w:color w:val="auto"/>
                <w:sz w:val="22"/>
              </w:rPr>
              <w:t>过烧（oversintering）：烧结温度过高和（或）烧结时间过长致使产品最终性能恶化的烧结。</w:t>
            </w:r>
          </w:p>
        </w:tc>
        <w:tc>
          <w:tcPr>
            <w:tcW w:w="2376" w:type="dxa"/>
            <w:tcBorders>
              <w:top w:val="single" w:color="auto" w:sz="4" w:space="0"/>
              <w:left w:val="single" w:color="auto" w:sz="4" w:space="0"/>
              <w:bottom w:val="single" w:color="auto" w:sz="4" w:space="0"/>
              <w:right w:val="single" w:color="auto" w:sz="4" w:space="0"/>
            </w:tcBorders>
            <w:shd w:val="clear" w:color="auto" w:fill="auto"/>
          </w:tcPr>
          <w:p w14:paraId="0F2DC611">
            <w:pPr>
              <w:rPr>
                <w:rFonts w:ascii="Times New Roman" w:hAnsi="Times New Roman" w:eastAsia="宋体" w:cs="Times New Roman"/>
                <w:b/>
                <w:bCs/>
                <w:color w:val="auto"/>
                <w:szCs w:val="21"/>
              </w:rPr>
            </w:pPr>
            <w:r>
              <w:rPr>
                <w:rFonts w:ascii="Times New Roman" w:hAnsi="Times New Roman" w:eastAsia="宋体" w:cs="Times New Roman"/>
                <w:b/>
                <w:bCs/>
                <w:color w:val="auto"/>
                <w:szCs w:val="21"/>
              </w:rPr>
              <w:t>oversintering</w:t>
            </w:r>
          </w:p>
          <w:p w14:paraId="6A1442DB">
            <w:pPr>
              <w:rPr>
                <w:rFonts w:ascii="Times New Roman" w:hAnsi="Times New Roman" w:eastAsia="宋体" w:cs="Times New Roman"/>
                <w:color w:val="auto"/>
                <w:szCs w:val="21"/>
              </w:rPr>
            </w:pPr>
            <w:r>
              <w:rPr>
                <w:rFonts w:ascii="Times New Roman" w:hAnsi="Times New Roman" w:eastAsia="宋体" w:cs="Times New Roman"/>
                <w:color w:val="auto"/>
                <w:szCs w:val="21"/>
              </w:rPr>
              <w:t xml:space="preserve">sintering at too high a temperature and/or for too long a time such that deterioration of the final </w:t>
            </w:r>
          </w:p>
          <w:p w14:paraId="2655B83E">
            <w:pPr>
              <w:rPr>
                <w:rFonts w:asciiTheme="minorHAnsi" w:hAnsiTheme="minorHAnsi" w:eastAsiaTheme="minorEastAsia" w:cstheme="minorBidi"/>
                <w:color w:val="auto"/>
                <w:szCs w:val="21"/>
              </w:rPr>
            </w:pPr>
            <w:r>
              <w:rPr>
                <w:rFonts w:ascii="Times New Roman" w:hAnsi="Times New Roman" w:eastAsia="宋体" w:cs="Times New Roman"/>
                <w:color w:val="auto"/>
                <w:szCs w:val="21"/>
              </w:rPr>
              <w:t>properties results</w:t>
            </w:r>
          </w:p>
        </w:tc>
        <w:tc>
          <w:tcPr>
            <w:tcW w:w="3044" w:type="dxa"/>
            <w:tcBorders>
              <w:top w:val="single" w:color="auto" w:sz="4" w:space="0"/>
              <w:left w:val="single" w:color="auto" w:sz="4" w:space="0"/>
              <w:bottom w:val="single" w:color="auto" w:sz="4" w:space="0"/>
              <w:right w:val="single" w:color="auto" w:sz="4" w:space="0"/>
            </w:tcBorders>
            <w:shd w:val="clear" w:color="auto" w:fill="DAE3F3" w:themeFill="accent1" w:themeFillTint="32"/>
          </w:tcPr>
          <w:p w14:paraId="4189FB3D">
            <w:pPr>
              <w:pStyle w:val="32"/>
              <w:ind w:firstLine="442"/>
              <w:rPr>
                <w:rStyle w:val="54"/>
                <w:rFonts w:ascii="黑体" w:hAnsi="黑体" w:eastAsia="黑体" w:cs="黑体"/>
                <w:b w:val="0"/>
                <w:bCs w:val="0"/>
                <w:color w:val="auto"/>
              </w:rPr>
            </w:pPr>
            <w:r>
              <w:rPr>
                <w:rStyle w:val="54"/>
                <w:rFonts w:hint="eastAsia" w:ascii="黑体" w:hAnsi="黑体" w:eastAsia="黑体" w:cs="黑体"/>
                <w:color w:val="auto"/>
              </w:rPr>
              <w:t>过烧  oversintering</w:t>
            </w:r>
          </w:p>
          <w:p w14:paraId="65782F65">
            <w:pPr>
              <w:ind w:firstLine="420"/>
              <w:rPr>
                <w:rStyle w:val="54"/>
                <w:rFonts w:ascii="Arial" w:hAnsi="Arial" w:cs="Arial" w:eastAsiaTheme="minorEastAsia"/>
                <w:b w:val="0"/>
                <w:bCs w:val="0"/>
                <w:color w:val="auto"/>
              </w:rPr>
            </w:pPr>
            <w:r>
              <w:rPr>
                <w:rStyle w:val="54"/>
                <w:rFonts w:ascii="Arial" w:hAnsi="Arial" w:cs="Arial" w:eastAsiaTheme="minorEastAsia"/>
                <w:color w:val="auto"/>
              </w:rPr>
              <w:t>烧结温度过高和(或)烧结时间过长致使产品最终性能恶化的烧结</w:t>
            </w:r>
            <w:r>
              <w:rPr>
                <w:rStyle w:val="54"/>
                <w:rFonts w:hint="eastAsia" w:ascii="Arial" w:hAnsi="Arial" w:cs="Arial" w:eastAsiaTheme="minorEastAsia"/>
                <w:color w:val="auto"/>
              </w:rPr>
              <w:t>现象</w:t>
            </w:r>
            <w:r>
              <w:rPr>
                <w:rStyle w:val="54"/>
                <w:rFonts w:ascii="Arial" w:hAnsi="Arial" w:cs="Arial" w:eastAsiaTheme="minorEastAsia"/>
                <w:color w:val="auto"/>
              </w:rPr>
              <w:t>。</w:t>
            </w:r>
          </w:p>
          <w:p w14:paraId="4EBF2688">
            <w:pPr>
              <w:rPr>
                <w:rFonts w:ascii="Times New Roman" w:hAnsi="Times New Roman" w:eastAsia="宋体" w:cs="Times New Roman"/>
                <w:color w:val="auto"/>
                <w:szCs w:val="21"/>
              </w:rPr>
            </w:pPr>
          </w:p>
        </w:tc>
        <w:tc>
          <w:tcPr>
            <w:tcW w:w="2663" w:type="dxa"/>
            <w:tcBorders>
              <w:top w:val="single" w:color="auto" w:sz="4" w:space="0"/>
              <w:left w:val="single" w:color="auto" w:sz="4" w:space="0"/>
              <w:bottom w:val="single" w:color="auto" w:sz="4" w:space="0"/>
              <w:right w:val="single" w:color="auto" w:sz="4" w:space="0"/>
            </w:tcBorders>
            <w:shd w:val="clear" w:color="auto" w:fill="auto"/>
          </w:tcPr>
          <w:p w14:paraId="16361E61">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过烧</w:t>
            </w:r>
          </w:p>
          <w:p w14:paraId="35382317">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烧结温度过高和(或)烧结时间过长致使产品最终性能恶化的烧结。</w:t>
            </w:r>
          </w:p>
        </w:tc>
        <w:tc>
          <w:tcPr>
            <w:tcW w:w="2125" w:type="dxa"/>
            <w:tcBorders>
              <w:top w:val="single" w:color="auto" w:sz="4" w:space="0"/>
              <w:left w:val="single" w:color="auto" w:sz="4" w:space="0"/>
              <w:bottom w:val="single" w:color="auto" w:sz="4" w:space="0"/>
              <w:right w:val="single" w:color="auto" w:sz="4" w:space="0"/>
            </w:tcBorders>
          </w:tcPr>
          <w:p w14:paraId="45A6F781">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过烧</w:t>
            </w:r>
          </w:p>
          <w:p w14:paraId="3171FB03">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烧结温度过高和（或）烧结时间过长导致使产品最终性能恶化的烧结。</w:t>
            </w:r>
          </w:p>
        </w:tc>
      </w:tr>
      <w:tr w14:paraId="77142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7" w:hRule="atLeast"/>
          <w:jc w:val="center"/>
        </w:trPr>
        <w:tc>
          <w:tcPr>
            <w:tcW w:w="672" w:type="dxa"/>
            <w:tcBorders>
              <w:top w:val="single" w:color="auto" w:sz="4" w:space="0"/>
              <w:left w:val="single" w:color="auto" w:sz="4" w:space="0"/>
              <w:bottom w:val="single" w:color="auto" w:sz="4" w:space="0"/>
              <w:right w:val="single" w:color="auto" w:sz="4" w:space="0"/>
            </w:tcBorders>
            <w:shd w:val="clear" w:color="auto" w:fill="auto"/>
          </w:tcPr>
          <w:p w14:paraId="24A47BF2">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3.3.42</w:t>
            </w:r>
          </w:p>
        </w:tc>
        <w:tc>
          <w:tcPr>
            <w:tcW w:w="2450" w:type="dxa"/>
            <w:tcBorders>
              <w:top w:val="single" w:color="auto" w:sz="4" w:space="0"/>
              <w:left w:val="single" w:color="auto" w:sz="4" w:space="0"/>
              <w:bottom w:val="single" w:color="auto" w:sz="4" w:space="0"/>
              <w:right w:val="single" w:color="auto" w:sz="4" w:space="0"/>
            </w:tcBorders>
            <w:shd w:val="clear" w:color="auto" w:fill="auto"/>
          </w:tcPr>
          <w:p w14:paraId="5533CAF4">
            <w:pPr>
              <w:spacing w:before="120" w:after="120"/>
              <w:jc w:val="left"/>
              <w:rPr>
                <w:rFonts w:ascii="Times New Roman" w:hAnsi="Times New Roman" w:cs="Times New Roman" w:eastAsiaTheme="minorEastAsia"/>
                <w:color w:val="auto"/>
              </w:rPr>
            </w:pPr>
            <w:r>
              <w:rPr>
                <w:rFonts w:ascii="Times New Roman" w:hAnsi="Times New Roman" w:eastAsia="等线" w:cs="Times New Roman"/>
                <w:b/>
                <w:bCs/>
                <w:color w:val="auto"/>
                <w:sz w:val="22"/>
              </w:rPr>
              <w:t xml:space="preserve">oxide network </w:t>
            </w:r>
            <w:r>
              <w:rPr>
                <w:rFonts w:ascii="Times New Roman" w:hAnsi="Times New Roman" w:eastAsia="等线" w:cs="Times New Roman"/>
                <w:color w:val="auto"/>
                <w:sz w:val="22"/>
              </w:rPr>
              <w:t xml:space="preserve"> </w:t>
            </w:r>
          </w:p>
          <w:p w14:paraId="3EFDDCE4">
            <w:pPr>
              <w:spacing w:before="120" w:after="120"/>
              <w:jc w:val="left"/>
              <w:rPr>
                <w:rFonts w:ascii="Times New Roman" w:hAnsi="Times New Roman" w:eastAsia="宋体" w:cs="Times New Roman"/>
                <w:color w:val="auto"/>
                <w:szCs w:val="21"/>
              </w:rPr>
            </w:pPr>
            <w:r>
              <w:rPr>
                <w:rFonts w:ascii="Times New Roman" w:hAnsi="Times New Roman" w:eastAsia="等线" w:cs="Times New Roman"/>
                <w:color w:val="auto"/>
                <w:sz w:val="22"/>
              </w:rPr>
              <w:t>continuous or discontinuous oxides that follow prior particle boundaries</w:t>
            </w:r>
          </w:p>
        </w:tc>
        <w:tc>
          <w:tcPr>
            <w:tcW w:w="2102" w:type="dxa"/>
            <w:tcBorders>
              <w:top w:val="single" w:color="auto" w:sz="4" w:space="0"/>
              <w:left w:val="single" w:color="auto" w:sz="4" w:space="0"/>
              <w:bottom w:val="single" w:color="auto" w:sz="4" w:space="0"/>
              <w:right w:val="single" w:color="auto" w:sz="4" w:space="0"/>
            </w:tcBorders>
            <w:shd w:val="clear" w:color="auto" w:fill="auto"/>
          </w:tcPr>
          <w:p w14:paraId="2C0FE009">
            <w:pPr>
              <w:rPr>
                <w:rFonts w:asciiTheme="minorHAnsi" w:hAnsiTheme="minorHAnsi" w:eastAsiaTheme="minorEastAsia" w:cstheme="minorBidi"/>
                <w:color w:val="auto"/>
                <w:szCs w:val="21"/>
              </w:rPr>
            </w:pPr>
            <w:r>
              <w:rPr>
                <w:rFonts w:ascii="Arial" w:hAnsi="Arial" w:eastAsia="等线" w:cs="Arial"/>
                <w:color w:val="auto"/>
                <w:sz w:val="22"/>
              </w:rPr>
              <w:t>网状氧化物（oxide network）：沿着原颗粒界生成的连续或不连续氧化物。</w:t>
            </w:r>
          </w:p>
        </w:tc>
        <w:tc>
          <w:tcPr>
            <w:tcW w:w="2376" w:type="dxa"/>
            <w:tcBorders>
              <w:top w:val="single" w:color="auto" w:sz="4" w:space="0"/>
              <w:left w:val="single" w:color="auto" w:sz="4" w:space="0"/>
              <w:bottom w:val="single" w:color="auto" w:sz="4" w:space="0"/>
              <w:right w:val="single" w:color="auto" w:sz="4" w:space="0"/>
            </w:tcBorders>
            <w:shd w:val="clear" w:color="auto" w:fill="auto"/>
          </w:tcPr>
          <w:p w14:paraId="78127E80">
            <w:pPr>
              <w:rPr>
                <w:rFonts w:ascii="Times New Roman" w:hAnsi="Times New Roman" w:eastAsia="宋体" w:cs="Times New Roman"/>
                <w:b/>
                <w:bCs/>
                <w:color w:val="auto"/>
                <w:szCs w:val="21"/>
              </w:rPr>
            </w:pPr>
            <w:r>
              <w:rPr>
                <w:rFonts w:ascii="Times New Roman" w:hAnsi="Times New Roman" w:eastAsia="宋体" w:cs="Times New Roman"/>
                <w:b/>
                <w:bCs/>
                <w:color w:val="auto"/>
                <w:szCs w:val="21"/>
              </w:rPr>
              <w:t>oxide network</w:t>
            </w:r>
          </w:p>
          <w:p w14:paraId="788BEE68">
            <w:pPr>
              <w:rPr>
                <w:rFonts w:asciiTheme="minorHAnsi" w:hAnsiTheme="minorHAnsi" w:eastAsiaTheme="minorEastAsia" w:cstheme="minorBidi"/>
                <w:color w:val="auto"/>
                <w:szCs w:val="21"/>
              </w:rPr>
            </w:pPr>
            <w:r>
              <w:rPr>
                <w:rFonts w:ascii="Times New Roman" w:hAnsi="Times New Roman" w:eastAsia="宋体" w:cs="Times New Roman"/>
                <w:color w:val="auto"/>
                <w:szCs w:val="21"/>
              </w:rPr>
              <w:t>continuous or discontinuous oxides that follow prior particle boundaries</w:t>
            </w:r>
          </w:p>
        </w:tc>
        <w:tc>
          <w:tcPr>
            <w:tcW w:w="3044" w:type="dxa"/>
            <w:tcBorders>
              <w:top w:val="single" w:color="auto" w:sz="4" w:space="0"/>
              <w:left w:val="single" w:color="auto" w:sz="4" w:space="0"/>
              <w:bottom w:val="single" w:color="auto" w:sz="4" w:space="0"/>
              <w:right w:val="single" w:color="auto" w:sz="4" w:space="0"/>
            </w:tcBorders>
            <w:shd w:val="clear" w:color="auto" w:fill="DAE3F3" w:themeFill="accent1" w:themeFillTint="32"/>
          </w:tcPr>
          <w:p w14:paraId="2B45FA01">
            <w:pPr>
              <w:pStyle w:val="32"/>
              <w:ind w:firstLine="442"/>
              <w:rPr>
                <w:rStyle w:val="54"/>
                <w:rFonts w:ascii="黑体" w:hAnsi="黑体" w:eastAsia="黑体" w:cs="黑体"/>
                <w:b w:val="0"/>
                <w:bCs w:val="0"/>
                <w:color w:val="auto"/>
              </w:rPr>
            </w:pPr>
            <w:r>
              <w:rPr>
                <w:rStyle w:val="54"/>
                <w:rFonts w:hint="eastAsia" w:ascii="黑体" w:hAnsi="黑体" w:eastAsia="黑体" w:cs="黑体"/>
                <w:color w:val="auto"/>
              </w:rPr>
              <w:t>网状氧化物  oxide network</w:t>
            </w:r>
          </w:p>
          <w:p w14:paraId="3694B355">
            <w:pPr>
              <w:ind w:firstLine="420"/>
              <w:rPr>
                <w:rStyle w:val="54"/>
                <w:rFonts w:ascii="Arial" w:hAnsi="Arial" w:cs="Arial" w:eastAsiaTheme="minorEastAsia"/>
                <w:b w:val="0"/>
                <w:bCs w:val="0"/>
                <w:color w:val="auto"/>
              </w:rPr>
            </w:pPr>
            <w:r>
              <w:rPr>
                <w:rStyle w:val="54"/>
                <w:rFonts w:ascii="Arial" w:hAnsi="Arial" w:cs="Arial" w:eastAsiaTheme="minorEastAsia"/>
                <w:color w:val="auto"/>
              </w:rPr>
              <w:t>沿着</w:t>
            </w:r>
            <w:r>
              <w:rPr>
                <w:rStyle w:val="54"/>
                <w:rFonts w:hint="eastAsia" w:ascii="Arial" w:hAnsi="Arial" w:cs="Arial" w:eastAsiaTheme="minorEastAsia"/>
                <w:color w:val="auto"/>
              </w:rPr>
              <w:t>原始</w:t>
            </w:r>
            <w:r>
              <w:rPr>
                <w:rStyle w:val="54"/>
                <w:rFonts w:ascii="Arial" w:hAnsi="Arial" w:cs="Arial" w:eastAsiaTheme="minorEastAsia"/>
                <w:color w:val="auto"/>
              </w:rPr>
              <w:t>颗粒</w:t>
            </w:r>
            <w:r>
              <w:rPr>
                <w:rStyle w:val="54"/>
                <w:rFonts w:hint="eastAsia" w:ascii="Arial" w:hAnsi="Arial" w:cs="Arial" w:eastAsiaTheme="minorEastAsia"/>
                <w:color w:val="auto"/>
              </w:rPr>
              <w:t>边</w:t>
            </w:r>
            <w:r>
              <w:rPr>
                <w:rStyle w:val="54"/>
                <w:rFonts w:ascii="Arial" w:hAnsi="Arial" w:cs="Arial" w:eastAsiaTheme="minorEastAsia"/>
                <w:color w:val="auto"/>
              </w:rPr>
              <w:t>界生成的连续或不连续氧化物。</w:t>
            </w:r>
          </w:p>
          <w:p w14:paraId="01B09BD9">
            <w:pPr>
              <w:rPr>
                <w:rFonts w:ascii="Times New Roman" w:hAnsi="Times New Roman" w:eastAsia="宋体" w:cs="Times New Roman"/>
                <w:color w:val="auto"/>
                <w:szCs w:val="21"/>
              </w:rPr>
            </w:pPr>
          </w:p>
        </w:tc>
        <w:tc>
          <w:tcPr>
            <w:tcW w:w="2663" w:type="dxa"/>
            <w:tcBorders>
              <w:top w:val="single" w:color="auto" w:sz="4" w:space="0"/>
              <w:left w:val="single" w:color="auto" w:sz="4" w:space="0"/>
              <w:bottom w:val="single" w:color="auto" w:sz="4" w:space="0"/>
              <w:right w:val="single" w:color="auto" w:sz="4" w:space="0"/>
            </w:tcBorders>
            <w:shd w:val="clear" w:color="auto" w:fill="auto"/>
          </w:tcPr>
          <w:p w14:paraId="6F5790BF">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网状</w:t>
            </w:r>
            <w:r>
              <w:rPr>
                <w:rFonts w:asciiTheme="minorHAnsi" w:hAnsiTheme="minorHAnsi" w:eastAsiaTheme="minorEastAsia" w:cstheme="minorBidi"/>
                <w:color w:val="auto"/>
                <w:szCs w:val="21"/>
              </w:rPr>
              <w:t>氧化物</w:t>
            </w:r>
          </w:p>
          <w:p w14:paraId="0D58E315">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沿</w:t>
            </w:r>
            <w:r>
              <w:rPr>
                <w:rFonts w:hint="eastAsia" w:asciiTheme="minorHAnsi" w:hAnsiTheme="minorHAnsi" w:eastAsiaTheme="minorEastAsia" w:cstheme="minorBidi"/>
                <w:color w:val="auto"/>
                <w:szCs w:val="21"/>
              </w:rPr>
              <w:t>着</w:t>
            </w:r>
            <w:r>
              <w:rPr>
                <w:rFonts w:asciiTheme="minorHAnsi" w:hAnsiTheme="minorHAnsi" w:eastAsiaTheme="minorEastAsia" w:cstheme="minorBidi"/>
                <w:color w:val="auto"/>
                <w:szCs w:val="21"/>
              </w:rPr>
              <w:t>原颗粒界</w:t>
            </w:r>
            <w:r>
              <w:rPr>
                <w:rFonts w:hint="eastAsia" w:asciiTheme="minorHAnsi" w:hAnsiTheme="minorHAnsi" w:eastAsiaTheme="minorEastAsia" w:cstheme="minorBidi"/>
                <w:color w:val="auto"/>
                <w:szCs w:val="21"/>
              </w:rPr>
              <w:t>生成</w:t>
            </w:r>
            <w:r>
              <w:rPr>
                <w:rFonts w:asciiTheme="minorHAnsi" w:hAnsiTheme="minorHAnsi" w:eastAsiaTheme="minorEastAsia" w:cstheme="minorBidi"/>
                <w:color w:val="auto"/>
                <w:szCs w:val="21"/>
              </w:rPr>
              <w:t>的连续或不连续氧化物</w:t>
            </w:r>
            <w:r>
              <w:rPr>
                <w:rFonts w:hint="eastAsia" w:asciiTheme="minorHAnsi" w:hAnsiTheme="minorHAnsi" w:eastAsiaTheme="minorEastAsia" w:cstheme="minorBidi"/>
                <w:color w:val="auto"/>
                <w:szCs w:val="21"/>
              </w:rPr>
              <w:t>。</w:t>
            </w:r>
          </w:p>
          <w:p w14:paraId="260C5234">
            <w:pPr>
              <w:rPr>
                <w:rFonts w:asciiTheme="minorHAnsi" w:hAnsiTheme="minorHAnsi" w:eastAsiaTheme="minorEastAsia" w:cstheme="minorBidi"/>
                <w:color w:val="auto"/>
                <w:szCs w:val="21"/>
              </w:rPr>
            </w:pPr>
          </w:p>
        </w:tc>
        <w:tc>
          <w:tcPr>
            <w:tcW w:w="2125" w:type="dxa"/>
            <w:tcBorders>
              <w:top w:val="single" w:color="auto" w:sz="4" w:space="0"/>
              <w:left w:val="single" w:color="auto" w:sz="4" w:space="0"/>
              <w:bottom w:val="single" w:color="auto" w:sz="4" w:space="0"/>
              <w:right w:val="single" w:color="auto" w:sz="4" w:space="0"/>
            </w:tcBorders>
          </w:tcPr>
          <w:p w14:paraId="41BA69DC">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 xml:space="preserve">网状氧化物 </w:t>
            </w:r>
          </w:p>
          <w:p w14:paraId="277BF603">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沿着原颗粒边界生成的连续或不连续氧化物</w:t>
            </w:r>
          </w:p>
          <w:p w14:paraId="5999A9CE">
            <w:pPr>
              <w:rPr>
                <w:rFonts w:asciiTheme="minorHAnsi" w:hAnsiTheme="minorHAnsi" w:eastAsiaTheme="minorEastAsia" w:cstheme="minorBidi"/>
                <w:color w:val="auto"/>
                <w:szCs w:val="21"/>
              </w:rPr>
            </w:pPr>
          </w:p>
        </w:tc>
      </w:tr>
      <w:tr w14:paraId="6C744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4" w:hRule="atLeast"/>
          <w:jc w:val="center"/>
        </w:trPr>
        <w:tc>
          <w:tcPr>
            <w:tcW w:w="672" w:type="dxa"/>
            <w:tcBorders>
              <w:top w:val="single" w:color="auto" w:sz="4" w:space="0"/>
              <w:left w:val="single" w:color="auto" w:sz="4" w:space="0"/>
              <w:bottom w:val="single" w:color="auto" w:sz="4" w:space="0"/>
              <w:right w:val="single" w:color="auto" w:sz="4" w:space="0"/>
            </w:tcBorders>
            <w:shd w:val="clear" w:color="auto" w:fill="auto"/>
          </w:tcPr>
          <w:p w14:paraId="5A1F4361">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3.3.43</w:t>
            </w:r>
          </w:p>
        </w:tc>
        <w:tc>
          <w:tcPr>
            <w:tcW w:w="2450" w:type="dxa"/>
            <w:tcBorders>
              <w:top w:val="single" w:color="auto" w:sz="4" w:space="0"/>
              <w:left w:val="single" w:color="auto" w:sz="4" w:space="0"/>
              <w:bottom w:val="single" w:color="auto" w:sz="4" w:space="0"/>
              <w:right w:val="single" w:color="auto" w:sz="4" w:space="0"/>
            </w:tcBorders>
            <w:shd w:val="clear" w:color="auto" w:fill="auto"/>
          </w:tcPr>
          <w:p w14:paraId="7C68CF5B">
            <w:pPr>
              <w:spacing w:before="120" w:after="120"/>
              <w:jc w:val="left"/>
              <w:rPr>
                <w:rFonts w:ascii="Times New Roman" w:hAnsi="Times New Roman" w:cs="Times New Roman" w:eastAsiaTheme="minorEastAsia"/>
                <w:b/>
                <w:bCs/>
                <w:color w:val="auto"/>
              </w:rPr>
            </w:pPr>
            <w:r>
              <w:rPr>
                <w:rFonts w:ascii="Times New Roman" w:hAnsi="Times New Roman" w:eastAsia="等线" w:cs="Times New Roman"/>
                <w:b/>
                <w:bCs/>
                <w:color w:val="auto"/>
                <w:sz w:val="22"/>
              </w:rPr>
              <w:t xml:space="preserve">packing material  </w:t>
            </w:r>
          </w:p>
          <w:p w14:paraId="5BE7BE35">
            <w:pPr>
              <w:rPr>
                <w:rFonts w:ascii="Times New Roman" w:hAnsi="Times New Roman" w:eastAsia="宋体" w:cs="Times New Roman"/>
                <w:color w:val="auto"/>
                <w:szCs w:val="21"/>
              </w:rPr>
            </w:pPr>
            <w:r>
              <w:rPr>
                <w:rFonts w:ascii="Times New Roman" w:hAnsi="Times New Roman" w:eastAsia="等线" w:cs="Times New Roman"/>
                <w:color w:val="auto"/>
                <w:sz w:val="22"/>
              </w:rPr>
              <w:t>any material in which compacts are embedded in order to separate and protect them during presintering or sintering</w:t>
            </w:r>
          </w:p>
        </w:tc>
        <w:tc>
          <w:tcPr>
            <w:tcW w:w="2102" w:type="dxa"/>
            <w:tcBorders>
              <w:top w:val="single" w:color="auto" w:sz="4" w:space="0"/>
              <w:left w:val="single" w:color="auto" w:sz="4" w:space="0"/>
              <w:bottom w:val="single" w:color="auto" w:sz="4" w:space="0"/>
              <w:right w:val="single" w:color="auto" w:sz="4" w:space="0"/>
            </w:tcBorders>
            <w:shd w:val="clear" w:color="auto" w:fill="auto"/>
          </w:tcPr>
          <w:p w14:paraId="6478E3AC">
            <w:pPr>
              <w:rPr>
                <w:rFonts w:asciiTheme="minorHAnsi" w:hAnsiTheme="minorHAnsi" w:eastAsiaTheme="minorEastAsia" w:cstheme="minorBidi"/>
                <w:color w:val="auto"/>
                <w:szCs w:val="21"/>
              </w:rPr>
            </w:pPr>
            <w:r>
              <w:rPr>
                <w:rFonts w:ascii="Arial" w:hAnsi="Arial" w:eastAsia="等线" w:cs="Arial"/>
                <w:color w:val="auto"/>
                <w:sz w:val="22"/>
              </w:rPr>
              <w:t>填料（packing material）：在预烧或烧结过程中为了起分隔和保护作用而将压坯埋入其中的一种材料。</w:t>
            </w:r>
          </w:p>
        </w:tc>
        <w:tc>
          <w:tcPr>
            <w:tcW w:w="2376" w:type="dxa"/>
            <w:tcBorders>
              <w:top w:val="single" w:color="auto" w:sz="4" w:space="0"/>
              <w:left w:val="single" w:color="auto" w:sz="4" w:space="0"/>
              <w:bottom w:val="single" w:color="auto" w:sz="4" w:space="0"/>
              <w:right w:val="single" w:color="auto" w:sz="4" w:space="0"/>
            </w:tcBorders>
            <w:shd w:val="clear" w:color="auto" w:fill="auto"/>
          </w:tcPr>
          <w:p w14:paraId="0CC33752">
            <w:pPr>
              <w:rPr>
                <w:rFonts w:ascii="Times New Roman" w:hAnsi="Times New Roman" w:eastAsia="宋体" w:cs="Times New Roman"/>
                <w:b/>
                <w:bCs/>
                <w:color w:val="auto"/>
                <w:szCs w:val="21"/>
              </w:rPr>
            </w:pPr>
            <w:r>
              <w:rPr>
                <w:rFonts w:ascii="Times New Roman" w:hAnsi="Times New Roman" w:eastAsia="宋体" w:cs="Times New Roman"/>
                <w:b/>
                <w:bCs/>
                <w:color w:val="auto"/>
                <w:szCs w:val="21"/>
              </w:rPr>
              <w:t>packing material</w:t>
            </w:r>
          </w:p>
          <w:p w14:paraId="382E059A">
            <w:pPr>
              <w:rPr>
                <w:rFonts w:ascii="Times New Roman" w:hAnsi="Times New Roman" w:eastAsia="宋体" w:cs="Times New Roman"/>
                <w:color w:val="auto"/>
                <w:szCs w:val="21"/>
              </w:rPr>
            </w:pPr>
            <w:r>
              <w:rPr>
                <w:rFonts w:ascii="Times New Roman" w:hAnsi="Times New Roman" w:eastAsia="宋体" w:cs="Times New Roman"/>
                <w:color w:val="auto"/>
                <w:szCs w:val="21"/>
              </w:rPr>
              <w:t>any material in which compacts are embedded in order to separate and protect them during presintering</w:t>
            </w:r>
          </w:p>
          <w:p w14:paraId="5899C35B">
            <w:pPr>
              <w:rPr>
                <w:rFonts w:ascii="Times New Roman" w:hAnsi="Times New Roman" w:eastAsia="宋体" w:cs="Times New Roman"/>
                <w:color w:val="auto"/>
                <w:szCs w:val="21"/>
              </w:rPr>
            </w:pPr>
            <w:r>
              <w:rPr>
                <w:rFonts w:ascii="Times New Roman" w:hAnsi="Times New Roman" w:eastAsia="宋体" w:cs="Times New Roman"/>
                <w:color w:val="auto"/>
                <w:szCs w:val="21"/>
              </w:rPr>
              <w:t>(3.3.50) or sintering</w:t>
            </w:r>
          </w:p>
          <w:p w14:paraId="1DE84ECE">
            <w:pPr>
              <w:rPr>
                <w:rFonts w:asciiTheme="minorHAnsi" w:hAnsiTheme="minorHAnsi" w:eastAsiaTheme="minorEastAsia" w:cstheme="minorBidi"/>
                <w:color w:val="auto"/>
                <w:szCs w:val="21"/>
              </w:rPr>
            </w:pPr>
          </w:p>
        </w:tc>
        <w:tc>
          <w:tcPr>
            <w:tcW w:w="3044" w:type="dxa"/>
            <w:tcBorders>
              <w:top w:val="single" w:color="auto" w:sz="4" w:space="0"/>
              <w:left w:val="single" w:color="auto" w:sz="4" w:space="0"/>
              <w:bottom w:val="single" w:color="auto" w:sz="4" w:space="0"/>
              <w:right w:val="single" w:color="auto" w:sz="4" w:space="0"/>
            </w:tcBorders>
            <w:shd w:val="clear" w:color="auto" w:fill="DAE3F3" w:themeFill="accent1" w:themeFillTint="32"/>
          </w:tcPr>
          <w:p w14:paraId="7423F905">
            <w:pPr>
              <w:pStyle w:val="32"/>
              <w:ind w:firstLine="442"/>
              <w:rPr>
                <w:rStyle w:val="54"/>
                <w:rFonts w:ascii="黑体" w:hAnsi="黑体" w:eastAsia="黑体" w:cs="黑体"/>
                <w:b w:val="0"/>
                <w:bCs w:val="0"/>
                <w:color w:val="auto"/>
              </w:rPr>
            </w:pPr>
            <w:r>
              <w:rPr>
                <w:rStyle w:val="54"/>
                <w:rFonts w:hint="eastAsia" w:ascii="黑体" w:hAnsi="黑体" w:eastAsia="黑体" w:cs="黑体"/>
                <w:color w:val="auto"/>
              </w:rPr>
              <w:t>填料  packing material</w:t>
            </w:r>
          </w:p>
          <w:p w14:paraId="231519E6">
            <w:pPr>
              <w:ind w:firstLine="420"/>
              <w:rPr>
                <w:rFonts w:ascii="Arial" w:hAnsi="Arial" w:cs="Arial" w:eastAsiaTheme="minorEastAsia"/>
                <w:color w:val="auto"/>
                <w:szCs w:val="21"/>
              </w:rPr>
            </w:pPr>
            <w:r>
              <w:rPr>
                <w:rFonts w:ascii="Arial" w:hAnsi="Arial" w:cs="Arial" w:eastAsiaTheme="minorEastAsia"/>
                <w:color w:val="auto"/>
                <w:szCs w:val="21"/>
              </w:rPr>
              <w:t>在预烧</w:t>
            </w:r>
            <w:r>
              <w:rPr>
                <w:rFonts w:hint="eastAsia" w:ascii="Arial" w:hAnsi="Arial" w:cs="Arial" w:eastAsiaTheme="minorEastAsia"/>
                <w:color w:val="auto"/>
                <w:szCs w:val="21"/>
              </w:rPr>
              <w:t>(3.3.50)</w:t>
            </w:r>
            <w:r>
              <w:rPr>
                <w:rFonts w:ascii="Arial" w:hAnsi="Arial" w:cs="Arial" w:eastAsiaTheme="minorEastAsia"/>
                <w:color w:val="auto"/>
                <w:szCs w:val="21"/>
              </w:rPr>
              <w:t>或烧结过程中为了起分隔和保护作用而将压坯埋</w:t>
            </w:r>
            <w:r>
              <w:rPr>
                <w:rFonts w:hint="eastAsia" w:ascii="Arial" w:hAnsi="Arial" w:cs="Arial" w:eastAsiaTheme="minorEastAsia"/>
                <w:color w:val="auto"/>
                <w:szCs w:val="21"/>
              </w:rPr>
              <w:t>入</w:t>
            </w:r>
            <w:r>
              <w:rPr>
                <w:rFonts w:ascii="Arial" w:hAnsi="Arial" w:cs="Arial" w:eastAsiaTheme="minorEastAsia"/>
                <w:color w:val="auto"/>
                <w:szCs w:val="21"/>
              </w:rPr>
              <w:t>其中的</w:t>
            </w:r>
            <w:r>
              <w:rPr>
                <w:rFonts w:asciiTheme="minorHAnsi" w:hAnsiTheme="minorHAnsi" w:eastAsiaTheme="minorEastAsia" w:cstheme="minorBidi"/>
                <w:strike/>
                <w:color w:val="auto"/>
                <w:szCs w:val="21"/>
              </w:rPr>
              <w:t>一种</w:t>
            </w:r>
            <w:r>
              <w:rPr>
                <w:rFonts w:ascii="Arial" w:hAnsi="Arial" w:cs="Arial" w:eastAsiaTheme="minorEastAsia"/>
                <w:color w:val="auto"/>
                <w:szCs w:val="21"/>
              </w:rPr>
              <w:t>材料。</w:t>
            </w:r>
          </w:p>
          <w:p w14:paraId="7B8F4160">
            <w:pPr>
              <w:rPr>
                <w:rFonts w:asciiTheme="minorHAnsi" w:hAnsiTheme="minorHAnsi" w:eastAsiaTheme="minorEastAsia" w:cstheme="minorBidi"/>
                <w:color w:val="auto"/>
                <w:szCs w:val="21"/>
              </w:rPr>
            </w:pPr>
          </w:p>
        </w:tc>
        <w:tc>
          <w:tcPr>
            <w:tcW w:w="2663" w:type="dxa"/>
            <w:tcBorders>
              <w:top w:val="single" w:color="auto" w:sz="4" w:space="0"/>
              <w:left w:val="single" w:color="auto" w:sz="4" w:space="0"/>
              <w:bottom w:val="single" w:color="auto" w:sz="4" w:space="0"/>
              <w:right w:val="single" w:color="auto" w:sz="4" w:space="0"/>
            </w:tcBorders>
            <w:shd w:val="clear" w:color="auto" w:fill="auto"/>
          </w:tcPr>
          <w:p w14:paraId="41CC0240">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填料</w:t>
            </w:r>
          </w:p>
          <w:p w14:paraId="4A7F2D30">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在预烧(3.3.50)或烧结过程中为了起分隔和保护作用而将压坯埋入其中的一种材料。</w:t>
            </w:r>
          </w:p>
        </w:tc>
        <w:tc>
          <w:tcPr>
            <w:tcW w:w="2125" w:type="dxa"/>
            <w:tcBorders>
              <w:top w:val="single" w:color="auto" w:sz="4" w:space="0"/>
              <w:left w:val="single" w:color="auto" w:sz="4" w:space="0"/>
              <w:bottom w:val="single" w:color="auto" w:sz="4" w:space="0"/>
              <w:right w:val="single" w:color="auto" w:sz="4" w:space="0"/>
            </w:tcBorders>
          </w:tcPr>
          <w:p w14:paraId="0BF55F69">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 xml:space="preserve">填料 </w:t>
            </w:r>
          </w:p>
          <w:p w14:paraId="5F59F1DF">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在预烧或烧结过程中为了起分隔和保护作用而将压坯埋入其中的一种材料。</w:t>
            </w:r>
          </w:p>
          <w:p w14:paraId="18A0D0BB">
            <w:pPr>
              <w:rPr>
                <w:rFonts w:asciiTheme="minorHAnsi" w:hAnsiTheme="minorHAnsi" w:eastAsiaTheme="minorEastAsia" w:cstheme="minorBidi"/>
                <w:color w:val="auto"/>
                <w:szCs w:val="21"/>
              </w:rPr>
            </w:pPr>
          </w:p>
        </w:tc>
      </w:tr>
      <w:tr w14:paraId="33B41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1" w:hRule="atLeast"/>
          <w:jc w:val="center"/>
        </w:trPr>
        <w:tc>
          <w:tcPr>
            <w:tcW w:w="672" w:type="dxa"/>
            <w:tcBorders>
              <w:top w:val="single" w:color="auto" w:sz="4" w:space="0"/>
              <w:left w:val="single" w:color="auto" w:sz="4" w:space="0"/>
              <w:bottom w:val="single" w:color="auto" w:sz="4" w:space="0"/>
              <w:right w:val="single" w:color="auto" w:sz="4" w:space="0"/>
            </w:tcBorders>
            <w:shd w:val="clear" w:color="auto" w:fill="auto"/>
          </w:tcPr>
          <w:p w14:paraId="448D0EAE">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3.3.45</w:t>
            </w:r>
          </w:p>
        </w:tc>
        <w:tc>
          <w:tcPr>
            <w:tcW w:w="2450" w:type="dxa"/>
            <w:tcBorders>
              <w:top w:val="single" w:color="auto" w:sz="4" w:space="0"/>
              <w:left w:val="single" w:color="auto" w:sz="4" w:space="0"/>
              <w:bottom w:val="single" w:color="auto" w:sz="4" w:space="0"/>
              <w:right w:val="single" w:color="auto" w:sz="4" w:space="0"/>
            </w:tcBorders>
            <w:shd w:val="clear" w:color="auto" w:fill="auto"/>
          </w:tcPr>
          <w:p w14:paraId="7278F1F7">
            <w:pPr>
              <w:spacing w:before="120" w:after="120"/>
              <w:jc w:val="left"/>
              <w:rPr>
                <w:rFonts w:ascii="Times New Roman" w:hAnsi="Times New Roman" w:cs="Times New Roman" w:eastAsiaTheme="minorEastAsia"/>
                <w:b/>
                <w:bCs/>
                <w:color w:val="auto"/>
              </w:rPr>
            </w:pPr>
            <w:r>
              <w:rPr>
                <w:rFonts w:ascii="Times New Roman" w:hAnsi="Times New Roman" w:eastAsia="等线" w:cs="Times New Roman"/>
                <w:b/>
                <w:bCs/>
                <w:color w:val="auto"/>
                <w:sz w:val="22"/>
              </w:rPr>
              <w:t xml:space="preserve">pore-forming material  </w:t>
            </w:r>
          </w:p>
          <w:p w14:paraId="24E778E2">
            <w:pPr>
              <w:spacing w:before="120" w:after="120"/>
              <w:jc w:val="left"/>
              <w:rPr>
                <w:rFonts w:ascii="Times New Roman" w:hAnsi="Times New Roman" w:eastAsia="宋体" w:cs="Times New Roman"/>
                <w:color w:val="auto"/>
                <w:szCs w:val="21"/>
              </w:rPr>
            </w:pPr>
            <w:r>
              <w:rPr>
                <w:rFonts w:ascii="Times New Roman" w:hAnsi="Times New Roman" w:eastAsia="等线" w:cs="Times New Roman"/>
                <w:color w:val="auto"/>
                <w:sz w:val="22"/>
              </w:rPr>
              <w:t>substance included in a powder mixture which volatilizes during sintering and thereby produces a desired kind and degree of porosity in the finished compact</w:t>
            </w:r>
          </w:p>
        </w:tc>
        <w:tc>
          <w:tcPr>
            <w:tcW w:w="2102" w:type="dxa"/>
            <w:tcBorders>
              <w:top w:val="single" w:color="auto" w:sz="4" w:space="0"/>
              <w:left w:val="single" w:color="auto" w:sz="4" w:space="0"/>
              <w:bottom w:val="single" w:color="auto" w:sz="4" w:space="0"/>
              <w:right w:val="single" w:color="auto" w:sz="4" w:space="0"/>
            </w:tcBorders>
            <w:shd w:val="clear" w:color="auto" w:fill="auto"/>
          </w:tcPr>
          <w:p w14:paraId="5F153C28">
            <w:pPr>
              <w:rPr>
                <w:rFonts w:asciiTheme="minorHAnsi" w:hAnsiTheme="minorHAnsi" w:eastAsiaTheme="minorEastAsia" w:cstheme="minorBidi"/>
                <w:color w:val="auto"/>
                <w:szCs w:val="21"/>
              </w:rPr>
            </w:pPr>
            <w:r>
              <w:rPr>
                <w:rFonts w:ascii="Arial" w:hAnsi="Arial" w:eastAsia="等线" w:cs="Arial"/>
                <w:color w:val="auto"/>
                <w:sz w:val="22"/>
              </w:rPr>
              <w:t>造孔剂（pore-forming material）：添加于粉末混合料中的一种物质，烧结时依靠其挥发而在最终产品中形成所需类型和数量的孔隙。</w:t>
            </w:r>
          </w:p>
        </w:tc>
        <w:tc>
          <w:tcPr>
            <w:tcW w:w="2376" w:type="dxa"/>
            <w:tcBorders>
              <w:top w:val="single" w:color="auto" w:sz="4" w:space="0"/>
              <w:left w:val="single" w:color="auto" w:sz="4" w:space="0"/>
              <w:bottom w:val="single" w:color="auto" w:sz="4" w:space="0"/>
              <w:right w:val="single" w:color="auto" w:sz="4" w:space="0"/>
            </w:tcBorders>
            <w:shd w:val="clear" w:color="auto" w:fill="auto"/>
          </w:tcPr>
          <w:p w14:paraId="4CB1C45D">
            <w:pPr>
              <w:rPr>
                <w:rFonts w:ascii="Times New Roman" w:hAnsi="Times New Roman" w:eastAsia="宋体" w:cs="Times New Roman"/>
                <w:b/>
                <w:bCs/>
                <w:color w:val="auto"/>
                <w:szCs w:val="21"/>
              </w:rPr>
            </w:pPr>
            <w:r>
              <w:rPr>
                <w:rFonts w:ascii="Times New Roman" w:hAnsi="Times New Roman" w:eastAsia="宋体" w:cs="Times New Roman"/>
                <w:b/>
                <w:bCs/>
                <w:color w:val="auto"/>
                <w:szCs w:val="21"/>
              </w:rPr>
              <w:t>pore-forming material</w:t>
            </w:r>
          </w:p>
          <w:p w14:paraId="5AC70AF6">
            <w:pPr>
              <w:rPr>
                <w:rFonts w:ascii="Times New Roman" w:hAnsi="Times New Roman" w:eastAsia="宋体" w:cs="Times New Roman"/>
                <w:color w:val="auto"/>
                <w:szCs w:val="21"/>
              </w:rPr>
            </w:pPr>
            <w:r>
              <w:rPr>
                <w:rFonts w:ascii="Times New Roman" w:hAnsi="Times New Roman" w:eastAsia="宋体" w:cs="Times New Roman"/>
                <w:color w:val="auto"/>
                <w:szCs w:val="21"/>
              </w:rPr>
              <w:t xml:space="preserve">substance included in a powder mixture which volatilizes during sintering and thereby produces a </w:t>
            </w:r>
          </w:p>
          <w:p w14:paraId="20FC5DC7">
            <w:pPr>
              <w:rPr>
                <w:rFonts w:asciiTheme="minorHAnsi" w:hAnsiTheme="minorHAnsi" w:eastAsiaTheme="minorEastAsia" w:cstheme="minorBidi"/>
                <w:color w:val="auto"/>
                <w:szCs w:val="21"/>
              </w:rPr>
            </w:pPr>
            <w:r>
              <w:rPr>
                <w:rFonts w:ascii="Times New Roman" w:hAnsi="Times New Roman" w:eastAsia="宋体" w:cs="Times New Roman"/>
                <w:color w:val="auto"/>
                <w:szCs w:val="21"/>
              </w:rPr>
              <w:t xml:space="preserve">desired kind and </w:t>
            </w:r>
            <w:r>
              <w:rPr>
                <w:rFonts w:ascii="Times New Roman" w:hAnsi="Times New Roman" w:eastAsia="宋体" w:cs="Times New Roman"/>
                <w:color w:val="auto"/>
                <w:szCs w:val="21"/>
                <w:highlight w:val="yellow"/>
              </w:rPr>
              <w:t>degree</w:t>
            </w:r>
            <w:r>
              <w:rPr>
                <w:rFonts w:ascii="Times New Roman" w:hAnsi="Times New Roman" w:eastAsia="宋体" w:cs="Times New Roman"/>
                <w:color w:val="auto"/>
                <w:szCs w:val="21"/>
              </w:rPr>
              <w:t xml:space="preserve"> of porosity in the finished compact</w:t>
            </w:r>
          </w:p>
        </w:tc>
        <w:tc>
          <w:tcPr>
            <w:tcW w:w="3044" w:type="dxa"/>
            <w:tcBorders>
              <w:top w:val="single" w:color="auto" w:sz="4" w:space="0"/>
              <w:left w:val="single" w:color="auto" w:sz="4" w:space="0"/>
              <w:bottom w:val="single" w:color="auto" w:sz="4" w:space="0"/>
              <w:right w:val="single" w:color="auto" w:sz="4" w:space="0"/>
            </w:tcBorders>
            <w:shd w:val="clear" w:color="auto" w:fill="DAE3F3" w:themeFill="accent1" w:themeFillTint="32"/>
          </w:tcPr>
          <w:p w14:paraId="0CA6700A">
            <w:pPr>
              <w:pStyle w:val="32"/>
              <w:ind w:firstLine="442"/>
              <w:rPr>
                <w:rStyle w:val="54"/>
                <w:rFonts w:ascii="黑体" w:hAnsi="黑体" w:eastAsia="黑体" w:cs="黑体"/>
                <w:b w:val="0"/>
                <w:bCs w:val="0"/>
                <w:color w:val="auto"/>
              </w:rPr>
            </w:pPr>
            <w:r>
              <w:rPr>
                <w:rStyle w:val="54"/>
                <w:rFonts w:hint="eastAsia" w:ascii="黑体" w:hAnsi="黑体" w:eastAsia="黑体" w:cs="黑体"/>
                <w:color w:val="auto"/>
              </w:rPr>
              <w:t>造孔剂  pore-forming material</w:t>
            </w:r>
          </w:p>
          <w:p w14:paraId="6824F3D1">
            <w:pPr>
              <w:ind w:firstLine="420"/>
              <w:rPr>
                <w:rStyle w:val="54"/>
                <w:rFonts w:ascii="Arial" w:hAnsi="Arial" w:cs="Arial" w:eastAsiaTheme="minorEastAsia"/>
                <w:b w:val="0"/>
                <w:bCs w:val="0"/>
                <w:color w:val="auto"/>
              </w:rPr>
            </w:pPr>
            <w:r>
              <w:rPr>
                <w:rStyle w:val="54"/>
                <w:rFonts w:ascii="Arial" w:hAnsi="Arial" w:cs="Arial" w:eastAsiaTheme="minorEastAsia"/>
                <w:color w:val="auto"/>
              </w:rPr>
              <w:t>添加于粉末混合料中的一种物质，烧结时依靠其挥发而在最终产品中形成所需类型和</w:t>
            </w:r>
            <w:r>
              <w:rPr>
                <w:rStyle w:val="54"/>
                <w:rFonts w:hint="eastAsia" w:ascii="Arial" w:hAnsi="Arial" w:cs="Arial" w:eastAsiaTheme="minorEastAsia"/>
                <w:color w:val="auto"/>
                <w:highlight w:val="yellow"/>
              </w:rPr>
              <w:t>（程度）</w:t>
            </w:r>
            <w:r>
              <w:rPr>
                <w:rStyle w:val="54"/>
                <w:rFonts w:hint="eastAsia" w:ascii="Arial" w:hAnsi="Arial" w:cs="Arial" w:eastAsiaTheme="minorEastAsia"/>
                <w:color w:val="auto"/>
              </w:rPr>
              <w:t>的孔隙</w:t>
            </w:r>
            <w:r>
              <w:rPr>
                <w:rStyle w:val="54"/>
                <w:rFonts w:ascii="Arial" w:hAnsi="Arial" w:cs="Arial" w:eastAsiaTheme="minorEastAsia"/>
                <w:color w:val="auto"/>
              </w:rPr>
              <w:t>。</w:t>
            </w:r>
          </w:p>
          <w:p w14:paraId="6CAA7E00">
            <w:pPr>
              <w:rPr>
                <w:rFonts w:ascii="Times New Roman" w:hAnsi="Times New Roman" w:eastAsia="宋体" w:cs="Times New Roman"/>
                <w:color w:val="auto"/>
                <w:szCs w:val="21"/>
              </w:rPr>
            </w:pPr>
          </w:p>
        </w:tc>
        <w:tc>
          <w:tcPr>
            <w:tcW w:w="2663" w:type="dxa"/>
            <w:tcBorders>
              <w:top w:val="single" w:color="auto" w:sz="4" w:space="0"/>
              <w:left w:val="single" w:color="auto" w:sz="4" w:space="0"/>
              <w:bottom w:val="single" w:color="auto" w:sz="4" w:space="0"/>
              <w:right w:val="single" w:color="auto" w:sz="4" w:space="0"/>
            </w:tcBorders>
            <w:shd w:val="clear" w:color="auto" w:fill="auto"/>
          </w:tcPr>
          <w:p w14:paraId="63B0C779">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造孔剂</w:t>
            </w:r>
          </w:p>
          <w:p w14:paraId="0FE1685E">
            <w:pPr>
              <w:rPr>
                <w:rFonts w:asciiTheme="minorHAnsi" w:hAnsiTheme="minorHAnsi" w:eastAsiaTheme="minorEastAsia" w:cstheme="minorBidi"/>
                <w:color w:val="auto"/>
                <w:szCs w:val="21"/>
              </w:rPr>
            </w:pPr>
            <w:r>
              <w:rPr>
                <w:rFonts w:asciiTheme="minorHAnsi" w:hAnsiTheme="minorHAnsi" w:eastAsiaTheme="minorEastAsia" w:cstheme="minorBidi"/>
                <w:color w:val="auto"/>
                <w:szCs w:val="21"/>
              </w:rPr>
              <w:t>添加于粉末混合料中的一种物质，烧结时依靠其挥发而在最终产品中形成所需类型和数量的孔隙。</w:t>
            </w:r>
          </w:p>
        </w:tc>
        <w:tc>
          <w:tcPr>
            <w:tcW w:w="2125" w:type="dxa"/>
            <w:tcBorders>
              <w:top w:val="single" w:color="auto" w:sz="4" w:space="0"/>
              <w:left w:val="single" w:color="auto" w:sz="4" w:space="0"/>
              <w:bottom w:val="single" w:color="auto" w:sz="4" w:space="0"/>
              <w:right w:val="single" w:color="auto" w:sz="4" w:space="0"/>
            </w:tcBorders>
          </w:tcPr>
          <w:p w14:paraId="556D97D8">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造孔剂</w:t>
            </w:r>
          </w:p>
          <w:p w14:paraId="68670E10">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添加于粉末混合料中的一种物质，烧结时依靠其挥发而在最终产品中形成所需类型和数量的孔隙。</w:t>
            </w:r>
          </w:p>
          <w:p w14:paraId="5493586C">
            <w:pPr>
              <w:rPr>
                <w:rFonts w:asciiTheme="minorHAnsi" w:hAnsiTheme="minorHAnsi" w:eastAsiaTheme="minorEastAsia" w:cstheme="minorBidi"/>
                <w:color w:val="auto"/>
                <w:szCs w:val="21"/>
              </w:rPr>
            </w:pPr>
          </w:p>
        </w:tc>
      </w:tr>
      <w:tr w14:paraId="5CBF2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4" w:hRule="atLeast"/>
          <w:jc w:val="center"/>
        </w:trPr>
        <w:tc>
          <w:tcPr>
            <w:tcW w:w="672" w:type="dxa"/>
            <w:tcBorders>
              <w:top w:val="single" w:color="auto" w:sz="4" w:space="0"/>
              <w:left w:val="single" w:color="auto" w:sz="4" w:space="0"/>
              <w:bottom w:val="single" w:color="auto" w:sz="4" w:space="0"/>
              <w:right w:val="single" w:color="auto" w:sz="4" w:space="0"/>
            </w:tcBorders>
            <w:shd w:val="clear" w:color="auto" w:fill="auto"/>
          </w:tcPr>
          <w:p w14:paraId="1E8565F4">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3.3.54</w:t>
            </w:r>
          </w:p>
        </w:tc>
        <w:tc>
          <w:tcPr>
            <w:tcW w:w="2450" w:type="dxa"/>
            <w:tcBorders>
              <w:top w:val="single" w:color="auto" w:sz="4" w:space="0"/>
              <w:left w:val="single" w:color="auto" w:sz="4" w:space="0"/>
              <w:bottom w:val="single" w:color="auto" w:sz="4" w:space="0"/>
              <w:right w:val="single" w:color="auto" w:sz="4" w:space="0"/>
            </w:tcBorders>
            <w:shd w:val="clear" w:color="auto" w:fill="auto"/>
          </w:tcPr>
          <w:p w14:paraId="7EA4F75C">
            <w:pPr>
              <w:spacing w:before="120" w:after="120"/>
              <w:jc w:val="left"/>
              <w:rPr>
                <w:rFonts w:ascii="Times New Roman" w:hAnsi="Times New Roman" w:cs="Times New Roman" w:eastAsiaTheme="minorEastAsia"/>
                <w:color w:val="auto"/>
              </w:rPr>
            </w:pPr>
            <w:r>
              <w:rPr>
                <w:rFonts w:ascii="Times New Roman" w:hAnsi="Times New Roman" w:eastAsia="等线" w:cs="Times New Roman"/>
                <w:b/>
                <w:bCs/>
                <w:color w:val="auto"/>
                <w:sz w:val="22"/>
              </w:rPr>
              <w:t xml:space="preserve">rapid burn-off </w:t>
            </w:r>
            <w:r>
              <w:rPr>
                <w:rFonts w:ascii="Times New Roman" w:hAnsi="Times New Roman" w:eastAsia="等线" w:cs="Times New Roman"/>
                <w:color w:val="auto"/>
                <w:sz w:val="22"/>
              </w:rPr>
              <w:t xml:space="preserve"> </w:t>
            </w:r>
          </w:p>
          <w:p w14:paraId="19B28DB1">
            <w:pPr>
              <w:spacing w:before="120" w:after="120"/>
              <w:jc w:val="left"/>
              <w:rPr>
                <w:rFonts w:ascii="Times New Roman" w:hAnsi="Times New Roman" w:cs="Times New Roman" w:eastAsiaTheme="minorEastAsia"/>
                <w:color w:val="auto"/>
              </w:rPr>
            </w:pPr>
            <w:r>
              <w:rPr>
                <w:rFonts w:ascii="Times New Roman" w:hAnsi="Times New Roman" w:eastAsia="等线" w:cs="Times New Roman"/>
                <w:color w:val="auto"/>
                <w:sz w:val="22"/>
              </w:rPr>
              <w:t>accelerated removal of organic additives in a separate zone of the sintering furnace, usually under an oxidizing atmosphere</w:t>
            </w:r>
          </w:p>
        </w:tc>
        <w:tc>
          <w:tcPr>
            <w:tcW w:w="2102" w:type="dxa"/>
            <w:tcBorders>
              <w:top w:val="single" w:color="auto" w:sz="4" w:space="0"/>
              <w:left w:val="single" w:color="auto" w:sz="4" w:space="0"/>
              <w:bottom w:val="single" w:color="auto" w:sz="4" w:space="0"/>
              <w:right w:val="single" w:color="auto" w:sz="4" w:space="0"/>
            </w:tcBorders>
            <w:shd w:val="clear" w:color="auto" w:fill="auto"/>
          </w:tcPr>
          <w:p w14:paraId="71F29025">
            <w:pPr>
              <w:rPr>
                <w:rFonts w:ascii="等线" w:hAnsi="等线" w:eastAsia="等线" w:cstheme="minorBidi"/>
                <w:color w:val="auto"/>
                <w:szCs w:val="21"/>
              </w:rPr>
            </w:pPr>
            <w:r>
              <w:rPr>
                <w:rFonts w:ascii="Arial" w:hAnsi="Arial" w:eastAsia="等线" w:cs="Arial"/>
                <w:color w:val="auto"/>
                <w:sz w:val="22"/>
              </w:rPr>
              <w:t xml:space="preserve"> 快速烧除（rapid burn-off）：在烧结炉的单独区段内加速除去有机添加剂，通常在氧化性气氛中进行。</w:t>
            </w:r>
          </w:p>
        </w:tc>
        <w:tc>
          <w:tcPr>
            <w:tcW w:w="2376" w:type="dxa"/>
            <w:tcBorders>
              <w:top w:val="single" w:color="auto" w:sz="4" w:space="0"/>
              <w:left w:val="single" w:color="auto" w:sz="4" w:space="0"/>
              <w:bottom w:val="single" w:color="auto" w:sz="4" w:space="0"/>
              <w:right w:val="single" w:color="auto" w:sz="4" w:space="0"/>
            </w:tcBorders>
            <w:shd w:val="clear" w:color="auto" w:fill="auto"/>
          </w:tcPr>
          <w:p w14:paraId="0190DB46">
            <w:pPr>
              <w:rPr>
                <w:rFonts w:ascii="Times New Roman" w:hAnsi="Times New Roman" w:cs="Times New Roman" w:eastAsiaTheme="minorEastAsia"/>
                <w:b/>
                <w:color w:val="auto"/>
              </w:rPr>
            </w:pPr>
            <w:r>
              <w:rPr>
                <w:rFonts w:ascii="Times New Roman" w:hAnsi="Times New Roman" w:cs="Times New Roman" w:eastAsiaTheme="minorEastAsia"/>
                <w:b/>
                <w:color w:val="auto"/>
              </w:rPr>
              <w:t>rapid burn-off</w:t>
            </w:r>
          </w:p>
          <w:p w14:paraId="2D38BB69">
            <w:pPr>
              <w:rPr>
                <w:rFonts w:ascii="等线" w:hAnsi="等线" w:eastAsia="等线" w:cstheme="minorBidi"/>
                <w:color w:val="auto"/>
                <w:szCs w:val="21"/>
              </w:rPr>
            </w:pPr>
            <w:r>
              <w:rPr>
                <w:rFonts w:ascii="Times New Roman" w:hAnsi="Times New Roman" w:cs="Times New Roman" w:eastAsiaTheme="minorEastAsia"/>
                <w:color w:val="auto"/>
              </w:rPr>
              <w:t>accelerated removal of organic additives in a separate zone of the sintering furnace, usually under an oxidizing atmosphere</w:t>
            </w:r>
          </w:p>
        </w:tc>
        <w:tc>
          <w:tcPr>
            <w:tcW w:w="3044" w:type="dxa"/>
            <w:tcBorders>
              <w:top w:val="single" w:color="auto" w:sz="4" w:space="0"/>
              <w:left w:val="single" w:color="auto" w:sz="4" w:space="0"/>
              <w:bottom w:val="single" w:color="auto" w:sz="4" w:space="0"/>
              <w:right w:val="single" w:color="auto" w:sz="4" w:space="0"/>
            </w:tcBorders>
            <w:shd w:val="clear" w:color="auto" w:fill="DAE3F3" w:themeFill="accent1" w:themeFillTint="32"/>
          </w:tcPr>
          <w:p w14:paraId="747A80B6">
            <w:pPr>
              <w:pStyle w:val="32"/>
              <w:ind w:firstLine="442"/>
              <w:rPr>
                <w:rStyle w:val="54"/>
                <w:rFonts w:ascii="黑体" w:hAnsi="黑体" w:eastAsia="黑体" w:cs="黑体"/>
                <w:b w:val="0"/>
                <w:bCs w:val="0"/>
                <w:color w:val="auto"/>
              </w:rPr>
            </w:pPr>
            <w:r>
              <w:rPr>
                <w:rStyle w:val="54"/>
                <w:rFonts w:hint="eastAsia" w:ascii="黑体" w:hAnsi="黑体" w:eastAsia="黑体" w:cs="黑体"/>
                <w:color w:val="auto"/>
              </w:rPr>
              <w:t>快速烧除  rapid burn-off</w:t>
            </w:r>
          </w:p>
          <w:p w14:paraId="1AA8BC18">
            <w:pPr>
              <w:ind w:firstLine="420"/>
              <w:rPr>
                <w:rFonts w:ascii="Arial" w:hAnsi="Arial" w:cs="Arial" w:eastAsiaTheme="minorEastAsia"/>
                <w:color w:val="auto"/>
                <w:szCs w:val="21"/>
              </w:rPr>
            </w:pPr>
            <w:r>
              <w:rPr>
                <w:rFonts w:ascii="Arial" w:hAnsi="Arial" w:cs="Arial" w:eastAsiaTheme="minorEastAsia"/>
                <w:color w:val="auto"/>
                <w:szCs w:val="21"/>
              </w:rPr>
              <w:t>通常在氧化气氛</w:t>
            </w:r>
            <w:r>
              <w:rPr>
                <w:rFonts w:hint="eastAsia" w:ascii="Arial" w:hAnsi="Arial" w:cs="Arial" w:eastAsiaTheme="minorEastAsia"/>
                <w:color w:val="auto"/>
                <w:szCs w:val="21"/>
              </w:rPr>
              <w:t>下，</w:t>
            </w:r>
            <w:r>
              <w:rPr>
                <w:rFonts w:ascii="Arial" w:hAnsi="Arial" w:cs="Arial" w:eastAsiaTheme="minorEastAsia"/>
                <w:color w:val="auto"/>
                <w:szCs w:val="21"/>
              </w:rPr>
              <w:t>在烧结炉的单独区段内加速除去有机添加剂。</w:t>
            </w:r>
          </w:p>
          <w:p w14:paraId="5644AB3A">
            <w:pPr>
              <w:rPr>
                <w:rFonts w:ascii="Times New Roman" w:hAnsi="Times New Roman" w:cs="Times New Roman" w:eastAsiaTheme="minorEastAsia"/>
                <w:color w:val="auto"/>
              </w:rPr>
            </w:pPr>
          </w:p>
        </w:tc>
        <w:tc>
          <w:tcPr>
            <w:tcW w:w="2663" w:type="dxa"/>
            <w:tcBorders>
              <w:top w:val="single" w:color="auto" w:sz="4" w:space="0"/>
              <w:left w:val="single" w:color="auto" w:sz="4" w:space="0"/>
              <w:bottom w:val="single" w:color="auto" w:sz="4" w:space="0"/>
              <w:right w:val="single" w:color="auto" w:sz="4" w:space="0"/>
            </w:tcBorders>
            <w:shd w:val="clear" w:color="auto" w:fill="auto"/>
          </w:tcPr>
          <w:p w14:paraId="2369A6FD">
            <w:pPr>
              <w:rPr>
                <w:rFonts w:ascii="等线" w:hAnsi="等线" w:eastAsia="等线" w:cstheme="minorBidi"/>
                <w:color w:val="auto"/>
                <w:szCs w:val="21"/>
              </w:rPr>
            </w:pPr>
            <w:r>
              <w:rPr>
                <w:rFonts w:hint="eastAsia" w:ascii="等线" w:hAnsi="等线" w:eastAsia="等线" w:cstheme="minorBidi"/>
                <w:color w:val="auto"/>
                <w:szCs w:val="21"/>
              </w:rPr>
              <w:t>快速燃烧</w:t>
            </w:r>
          </w:p>
          <w:p w14:paraId="2738065D">
            <w:pPr>
              <w:rPr>
                <w:rFonts w:ascii="等线" w:hAnsi="等线" w:eastAsia="等线" w:cstheme="minorBidi"/>
                <w:color w:val="auto"/>
                <w:szCs w:val="21"/>
              </w:rPr>
            </w:pPr>
            <w:r>
              <w:rPr>
                <w:rFonts w:hint="eastAsia" w:ascii="等线" w:hAnsi="等线" w:eastAsia="等线" w:cstheme="minorBidi"/>
                <w:color w:val="auto"/>
                <w:szCs w:val="21"/>
              </w:rPr>
              <w:t>通常在氧化气氛下，在烧结炉的单独区域加速去除有机添加剂</w:t>
            </w:r>
          </w:p>
        </w:tc>
        <w:tc>
          <w:tcPr>
            <w:tcW w:w="2125" w:type="dxa"/>
            <w:tcBorders>
              <w:top w:val="single" w:color="auto" w:sz="4" w:space="0"/>
              <w:left w:val="single" w:color="auto" w:sz="4" w:space="0"/>
              <w:bottom w:val="single" w:color="auto" w:sz="4" w:space="0"/>
              <w:right w:val="single" w:color="auto" w:sz="4" w:space="0"/>
            </w:tcBorders>
          </w:tcPr>
          <w:p w14:paraId="2B58D815">
            <w:pPr>
              <w:rPr>
                <w:rFonts w:ascii="等线" w:hAnsi="等线" w:eastAsia="等线" w:cstheme="minorBidi"/>
                <w:color w:val="auto"/>
              </w:rPr>
            </w:pPr>
            <w:r>
              <w:rPr>
                <w:rFonts w:hint="eastAsia" w:ascii="等线" w:hAnsi="等线" w:eastAsia="等线" w:cstheme="minorBidi"/>
                <w:color w:val="auto"/>
              </w:rPr>
              <w:t xml:space="preserve">快速烧除 </w:t>
            </w:r>
          </w:p>
          <w:p w14:paraId="0A665D3F">
            <w:pPr>
              <w:rPr>
                <w:rFonts w:ascii="等线" w:hAnsi="等线" w:eastAsia="等线" w:cstheme="minorBidi"/>
                <w:color w:val="auto"/>
              </w:rPr>
            </w:pPr>
            <w:r>
              <w:rPr>
                <w:rFonts w:hint="eastAsia" w:ascii="等线" w:hAnsi="等线" w:eastAsia="等线" w:cstheme="minorBidi"/>
                <w:color w:val="auto"/>
              </w:rPr>
              <w:t>在烧结炉的单独区段内加速除去有机添加剂，通常在氧化性气氛中进行。</w:t>
            </w:r>
          </w:p>
          <w:p w14:paraId="1413F588">
            <w:pPr>
              <w:rPr>
                <w:rFonts w:ascii="等线" w:hAnsi="等线" w:eastAsia="等线" w:cstheme="minorBidi"/>
                <w:color w:val="auto"/>
              </w:rPr>
            </w:pPr>
          </w:p>
        </w:tc>
      </w:tr>
      <w:tr w14:paraId="48DFE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jc w:val="center"/>
        </w:trPr>
        <w:tc>
          <w:tcPr>
            <w:tcW w:w="672" w:type="dxa"/>
            <w:tcBorders>
              <w:top w:val="single" w:color="auto" w:sz="4" w:space="0"/>
              <w:left w:val="single" w:color="auto" w:sz="4" w:space="0"/>
              <w:bottom w:val="single" w:color="auto" w:sz="4" w:space="0"/>
              <w:right w:val="single" w:color="auto" w:sz="4" w:space="0"/>
            </w:tcBorders>
            <w:shd w:val="clear" w:color="auto" w:fill="auto"/>
          </w:tcPr>
          <w:p w14:paraId="2D15A9FA">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3.3.55</w:t>
            </w:r>
          </w:p>
        </w:tc>
        <w:tc>
          <w:tcPr>
            <w:tcW w:w="2450" w:type="dxa"/>
            <w:tcBorders>
              <w:top w:val="single" w:color="auto" w:sz="4" w:space="0"/>
              <w:left w:val="single" w:color="auto" w:sz="4" w:space="0"/>
              <w:bottom w:val="single" w:color="auto" w:sz="4" w:space="0"/>
              <w:right w:val="single" w:color="auto" w:sz="4" w:space="0"/>
            </w:tcBorders>
            <w:shd w:val="clear" w:color="auto" w:fill="auto"/>
          </w:tcPr>
          <w:p w14:paraId="3326AC85">
            <w:pPr>
              <w:spacing w:before="120" w:after="120"/>
              <w:jc w:val="left"/>
              <w:rPr>
                <w:rFonts w:ascii="Times New Roman" w:hAnsi="Times New Roman" w:cs="Times New Roman" w:eastAsiaTheme="minorEastAsia"/>
                <w:b/>
                <w:bCs/>
                <w:color w:val="auto"/>
              </w:rPr>
            </w:pPr>
            <w:r>
              <w:rPr>
                <w:rFonts w:ascii="Times New Roman" w:hAnsi="Times New Roman" w:eastAsia="等线" w:cs="Times New Roman"/>
                <w:b/>
                <w:bCs/>
                <w:color w:val="auto"/>
                <w:sz w:val="22"/>
              </w:rPr>
              <w:t xml:space="preserve">reaction sintering  </w:t>
            </w:r>
          </w:p>
          <w:p w14:paraId="6DB535D7">
            <w:pPr>
              <w:spacing w:before="120" w:after="120"/>
              <w:jc w:val="left"/>
              <w:rPr>
                <w:rFonts w:ascii="Times New Roman" w:hAnsi="Times New Roman" w:cs="Times New Roman" w:eastAsiaTheme="minorEastAsia"/>
                <w:color w:val="auto"/>
              </w:rPr>
            </w:pPr>
            <w:r>
              <w:rPr>
                <w:rFonts w:ascii="Times New Roman" w:hAnsi="Times New Roman" w:eastAsia="等线" w:cs="Times New Roman"/>
                <w:color w:val="auto"/>
                <w:sz w:val="22"/>
              </w:rPr>
              <w:t>process wherein at least two constituents of a powder mixture react during sintering</w:t>
            </w:r>
          </w:p>
        </w:tc>
        <w:tc>
          <w:tcPr>
            <w:tcW w:w="2102" w:type="dxa"/>
            <w:tcBorders>
              <w:top w:val="single" w:color="auto" w:sz="4" w:space="0"/>
              <w:left w:val="single" w:color="auto" w:sz="4" w:space="0"/>
              <w:bottom w:val="single" w:color="auto" w:sz="4" w:space="0"/>
              <w:right w:val="single" w:color="auto" w:sz="4" w:space="0"/>
            </w:tcBorders>
            <w:shd w:val="clear" w:color="auto" w:fill="auto"/>
          </w:tcPr>
          <w:p w14:paraId="5BDF7CE7">
            <w:pPr>
              <w:rPr>
                <w:rFonts w:ascii="等线" w:hAnsi="等线" w:eastAsia="等线" w:cstheme="minorBidi"/>
                <w:color w:val="auto"/>
                <w:szCs w:val="21"/>
              </w:rPr>
            </w:pPr>
            <w:r>
              <w:rPr>
                <w:rFonts w:ascii="Arial" w:hAnsi="Arial" w:eastAsia="等线" w:cs="Arial"/>
                <w:color w:val="auto"/>
                <w:sz w:val="22"/>
              </w:rPr>
              <w:t>反应烧结（reaction sintering）：烧结时，粉末混合料中至少有两种组分相互发生反应的烧结过程。</w:t>
            </w:r>
          </w:p>
        </w:tc>
        <w:tc>
          <w:tcPr>
            <w:tcW w:w="2376" w:type="dxa"/>
            <w:tcBorders>
              <w:top w:val="single" w:color="auto" w:sz="4" w:space="0"/>
              <w:left w:val="single" w:color="auto" w:sz="4" w:space="0"/>
              <w:bottom w:val="single" w:color="auto" w:sz="4" w:space="0"/>
              <w:right w:val="single" w:color="auto" w:sz="4" w:space="0"/>
            </w:tcBorders>
            <w:shd w:val="clear" w:color="auto" w:fill="auto"/>
          </w:tcPr>
          <w:p w14:paraId="27C7973D">
            <w:pPr>
              <w:rPr>
                <w:rFonts w:ascii="Times New Roman" w:hAnsi="Times New Roman" w:cs="Times New Roman" w:eastAsiaTheme="minorEastAsia"/>
                <w:b/>
                <w:color w:val="auto"/>
              </w:rPr>
            </w:pPr>
            <w:r>
              <w:rPr>
                <w:rFonts w:ascii="Times New Roman" w:hAnsi="Times New Roman" w:cs="Times New Roman" w:eastAsiaTheme="minorEastAsia"/>
                <w:b/>
                <w:color w:val="auto"/>
              </w:rPr>
              <w:t>reaction sintering</w:t>
            </w:r>
          </w:p>
          <w:p w14:paraId="2F01D986">
            <w:pPr>
              <w:rPr>
                <w:rFonts w:ascii="等线" w:hAnsi="等线" w:eastAsia="等线" w:cstheme="minorBidi"/>
                <w:color w:val="auto"/>
                <w:szCs w:val="21"/>
              </w:rPr>
            </w:pPr>
            <w:r>
              <w:rPr>
                <w:rFonts w:ascii="Times New Roman" w:hAnsi="Times New Roman" w:cs="Times New Roman" w:eastAsiaTheme="minorEastAsia"/>
                <w:color w:val="auto"/>
              </w:rPr>
              <w:t>process wherein at least two constituents of a powder mixture react during sintering</w:t>
            </w:r>
          </w:p>
        </w:tc>
        <w:tc>
          <w:tcPr>
            <w:tcW w:w="3044" w:type="dxa"/>
            <w:tcBorders>
              <w:top w:val="single" w:color="auto" w:sz="4" w:space="0"/>
              <w:left w:val="single" w:color="auto" w:sz="4" w:space="0"/>
              <w:bottom w:val="single" w:color="auto" w:sz="4" w:space="0"/>
              <w:right w:val="single" w:color="auto" w:sz="4" w:space="0"/>
            </w:tcBorders>
            <w:shd w:val="clear" w:color="auto" w:fill="DAE3F3" w:themeFill="accent1" w:themeFillTint="32"/>
          </w:tcPr>
          <w:p w14:paraId="7502C5C3">
            <w:pPr>
              <w:pStyle w:val="32"/>
              <w:ind w:firstLine="442"/>
              <w:rPr>
                <w:rStyle w:val="54"/>
                <w:rFonts w:ascii="黑体" w:hAnsi="黑体" w:eastAsia="黑体" w:cs="黑体"/>
                <w:b w:val="0"/>
                <w:bCs w:val="0"/>
                <w:color w:val="auto"/>
              </w:rPr>
            </w:pPr>
            <w:r>
              <w:rPr>
                <w:rStyle w:val="54"/>
                <w:rFonts w:hint="eastAsia" w:ascii="黑体" w:hAnsi="黑体" w:eastAsia="黑体" w:cs="黑体"/>
                <w:color w:val="auto"/>
              </w:rPr>
              <w:t>反应烧结  reaction sintering</w:t>
            </w:r>
          </w:p>
          <w:p w14:paraId="0669D31D">
            <w:pPr>
              <w:ind w:firstLine="420"/>
              <w:rPr>
                <w:rFonts w:ascii="Arial" w:hAnsi="Arial" w:cs="Arial" w:eastAsiaTheme="minorEastAsia"/>
                <w:color w:val="auto"/>
                <w:szCs w:val="21"/>
              </w:rPr>
            </w:pPr>
            <w:r>
              <w:rPr>
                <w:rFonts w:ascii="Arial" w:hAnsi="Arial" w:cs="Arial" w:eastAsiaTheme="minorEastAsia"/>
                <w:color w:val="auto"/>
                <w:szCs w:val="21"/>
              </w:rPr>
              <w:t>烧结</w:t>
            </w:r>
            <w:r>
              <w:rPr>
                <w:rFonts w:hint="eastAsia" w:ascii="Arial" w:hAnsi="Arial" w:cs="Arial" w:eastAsiaTheme="minorEastAsia"/>
                <w:color w:val="auto"/>
                <w:szCs w:val="21"/>
              </w:rPr>
              <w:t>过程中</w:t>
            </w:r>
            <w:r>
              <w:rPr>
                <w:rFonts w:ascii="Arial" w:hAnsi="Arial" w:cs="Arial" w:eastAsiaTheme="minorEastAsia"/>
                <w:color w:val="auto"/>
                <w:szCs w:val="21"/>
              </w:rPr>
              <w:t>，粉末混合料中至少有两种组分相互发生反应的烧结过程。</w:t>
            </w:r>
          </w:p>
          <w:p w14:paraId="24D4AA06">
            <w:pPr>
              <w:rPr>
                <w:rFonts w:ascii="Times New Roman" w:hAnsi="Times New Roman" w:cs="Times New Roman" w:eastAsiaTheme="minorEastAsia"/>
                <w:color w:val="auto"/>
              </w:rPr>
            </w:pPr>
          </w:p>
        </w:tc>
        <w:tc>
          <w:tcPr>
            <w:tcW w:w="2663" w:type="dxa"/>
            <w:tcBorders>
              <w:top w:val="single" w:color="auto" w:sz="4" w:space="0"/>
              <w:left w:val="single" w:color="auto" w:sz="4" w:space="0"/>
              <w:bottom w:val="single" w:color="auto" w:sz="4" w:space="0"/>
              <w:right w:val="single" w:color="auto" w:sz="4" w:space="0"/>
            </w:tcBorders>
            <w:shd w:val="clear" w:color="auto" w:fill="auto"/>
          </w:tcPr>
          <w:p w14:paraId="0D8B5B49">
            <w:pPr>
              <w:rPr>
                <w:rFonts w:ascii="等线" w:hAnsi="等线" w:eastAsia="等线" w:cstheme="minorBidi"/>
                <w:color w:val="auto"/>
                <w:szCs w:val="21"/>
              </w:rPr>
            </w:pPr>
            <w:r>
              <w:rPr>
                <w:rFonts w:hint="eastAsia" w:ascii="等线" w:hAnsi="等线" w:eastAsia="等线" w:cstheme="minorBidi"/>
                <w:color w:val="auto"/>
                <w:szCs w:val="21"/>
              </w:rPr>
              <w:t>反应烧结</w:t>
            </w:r>
          </w:p>
          <w:p w14:paraId="3639AE5A">
            <w:pPr>
              <w:rPr>
                <w:rFonts w:ascii="等线" w:hAnsi="等线" w:eastAsia="等线" w:cstheme="minorBidi"/>
                <w:color w:val="auto"/>
                <w:szCs w:val="21"/>
              </w:rPr>
            </w:pPr>
            <w:r>
              <w:rPr>
                <w:rFonts w:hint="eastAsia" w:ascii="等线" w:hAnsi="等线" w:eastAsia="等线" w:cstheme="minorBidi"/>
                <w:color w:val="auto"/>
                <w:szCs w:val="21"/>
              </w:rPr>
              <w:t>粉末混合物的至少两种成分在烧结过程中反应的过程</w:t>
            </w:r>
          </w:p>
        </w:tc>
        <w:tc>
          <w:tcPr>
            <w:tcW w:w="2125" w:type="dxa"/>
            <w:tcBorders>
              <w:top w:val="single" w:color="auto" w:sz="4" w:space="0"/>
              <w:left w:val="single" w:color="auto" w:sz="4" w:space="0"/>
              <w:bottom w:val="single" w:color="auto" w:sz="4" w:space="0"/>
              <w:right w:val="single" w:color="auto" w:sz="4" w:space="0"/>
            </w:tcBorders>
          </w:tcPr>
          <w:p w14:paraId="5DE27A53">
            <w:pPr>
              <w:rPr>
                <w:rFonts w:ascii="等线" w:hAnsi="等线" w:eastAsia="等线" w:cstheme="minorBidi"/>
                <w:color w:val="auto"/>
              </w:rPr>
            </w:pPr>
            <w:r>
              <w:rPr>
                <w:rFonts w:hint="eastAsia" w:ascii="等线" w:hAnsi="等线" w:eastAsia="等线" w:cstheme="minorBidi"/>
                <w:color w:val="auto"/>
              </w:rPr>
              <w:t xml:space="preserve">反应烧结  </w:t>
            </w:r>
          </w:p>
          <w:p w14:paraId="547BB4DE">
            <w:pPr>
              <w:rPr>
                <w:rFonts w:ascii="等线" w:hAnsi="等线" w:eastAsia="等线" w:cstheme="minorBidi"/>
                <w:color w:val="auto"/>
              </w:rPr>
            </w:pPr>
            <w:r>
              <w:rPr>
                <w:rFonts w:hint="eastAsia" w:ascii="等线" w:hAnsi="等线" w:eastAsia="等线" w:cstheme="minorBidi"/>
                <w:color w:val="auto"/>
              </w:rPr>
              <w:t>烧结时，粉末混合料中至少有两种组分相互发生反应的烧结过程。</w:t>
            </w:r>
          </w:p>
          <w:p w14:paraId="28D68603">
            <w:pPr>
              <w:rPr>
                <w:rFonts w:ascii="等线" w:hAnsi="等线" w:eastAsia="等线" w:cstheme="minorBidi"/>
                <w:color w:val="auto"/>
              </w:rPr>
            </w:pPr>
          </w:p>
        </w:tc>
      </w:tr>
      <w:tr w14:paraId="78301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7" w:hRule="atLeast"/>
          <w:jc w:val="center"/>
        </w:trPr>
        <w:tc>
          <w:tcPr>
            <w:tcW w:w="672" w:type="dxa"/>
            <w:tcBorders>
              <w:top w:val="single" w:color="auto" w:sz="4" w:space="0"/>
              <w:left w:val="single" w:color="auto" w:sz="4" w:space="0"/>
              <w:bottom w:val="single" w:color="auto" w:sz="4" w:space="0"/>
              <w:right w:val="single" w:color="auto" w:sz="4" w:space="0"/>
            </w:tcBorders>
            <w:shd w:val="clear" w:color="auto" w:fill="auto"/>
          </w:tcPr>
          <w:p w14:paraId="4FC7BAE1">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3.3.57</w:t>
            </w:r>
          </w:p>
        </w:tc>
        <w:tc>
          <w:tcPr>
            <w:tcW w:w="2450" w:type="dxa"/>
            <w:tcBorders>
              <w:top w:val="single" w:color="auto" w:sz="4" w:space="0"/>
              <w:left w:val="single" w:color="auto" w:sz="4" w:space="0"/>
              <w:bottom w:val="single" w:color="auto" w:sz="4" w:space="0"/>
              <w:right w:val="single" w:color="auto" w:sz="4" w:space="0"/>
            </w:tcBorders>
            <w:shd w:val="clear" w:color="auto" w:fill="auto"/>
          </w:tcPr>
          <w:p w14:paraId="3C592992">
            <w:pPr>
              <w:spacing w:before="120" w:after="120"/>
              <w:jc w:val="left"/>
              <w:rPr>
                <w:rFonts w:ascii="Times New Roman" w:hAnsi="Times New Roman" w:cs="Times New Roman" w:eastAsiaTheme="minorEastAsia"/>
                <w:b/>
                <w:bCs/>
                <w:color w:val="auto"/>
              </w:rPr>
            </w:pPr>
            <w:r>
              <w:rPr>
                <w:rFonts w:ascii="Times New Roman" w:hAnsi="Times New Roman" w:eastAsia="等线" w:cs="Times New Roman"/>
                <w:b/>
                <w:bCs/>
                <w:color w:val="auto"/>
                <w:sz w:val="22"/>
              </w:rPr>
              <w:t xml:space="preserve">shrinkage  </w:t>
            </w:r>
          </w:p>
          <w:p w14:paraId="439CAC17">
            <w:pPr>
              <w:spacing w:before="120" w:after="120"/>
              <w:jc w:val="left"/>
              <w:rPr>
                <w:rFonts w:ascii="Times New Roman" w:hAnsi="Times New Roman" w:cs="Times New Roman" w:eastAsiaTheme="minorEastAsia"/>
                <w:color w:val="auto"/>
              </w:rPr>
            </w:pPr>
            <w:r>
              <w:rPr>
                <w:rFonts w:ascii="Times New Roman" w:hAnsi="Times New Roman" w:eastAsia="等线" w:cs="Times New Roman"/>
                <w:color w:val="auto"/>
                <w:sz w:val="22"/>
              </w:rPr>
              <w:t>decrease in dimensions of a compact as a result of sintering (see ISO 4492)</w:t>
            </w:r>
          </w:p>
        </w:tc>
        <w:tc>
          <w:tcPr>
            <w:tcW w:w="2102" w:type="dxa"/>
            <w:tcBorders>
              <w:top w:val="single" w:color="auto" w:sz="4" w:space="0"/>
              <w:left w:val="single" w:color="auto" w:sz="4" w:space="0"/>
              <w:bottom w:val="single" w:color="auto" w:sz="4" w:space="0"/>
              <w:right w:val="single" w:color="auto" w:sz="4" w:space="0"/>
            </w:tcBorders>
            <w:shd w:val="clear" w:color="auto" w:fill="auto"/>
          </w:tcPr>
          <w:p w14:paraId="6C82D754">
            <w:pPr>
              <w:rPr>
                <w:rFonts w:ascii="等线" w:hAnsi="等线" w:eastAsia="等线" w:cstheme="minorBidi"/>
                <w:color w:val="auto"/>
                <w:szCs w:val="21"/>
              </w:rPr>
            </w:pPr>
            <w:r>
              <w:rPr>
                <w:rFonts w:ascii="Arial" w:hAnsi="Arial" w:eastAsia="等线" w:cs="Arial"/>
                <w:color w:val="auto"/>
                <w:sz w:val="22"/>
              </w:rPr>
              <w:t xml:space="preserve"> 收缩（shrinkage）：压坯由于烧结发生的尺寸缩小现象（见GB/T5159）。</w:t>
            </w:r>
          </w:p>
        </w:tc>
        <w:tc>
          <w:tcPr>
            <w:tcW w:w="2376" w:type="dxa"/>
            <w:tcBorders>
              <w:top w:val="single" w:color="auto" w:sz="4" w:space="0"/>
              <w:left w:val="single" w:color="auto" w:sz="4" w:space="0"/>
              <w:bottom w:val="single" w:color="auto" w:sz="4" w:space="0"/>
              <w:right w:val="single" w:color="auto" w:sz="4" w:space="0"/>
            </w:tcBorders>
            <w:shd w:val="clear" w:color="auto" w:fill="auto"/>
          </w:tcPr>
          <w:p w14:paraId="728B9DB6">
            <w:pPr>
              <w:rPr>
                <w:rFonts w:ascii="Times New Roman" w:hAnsi="Times New Roman" w:cs="Times New Roman" w:eastAsiaTheme="minorEastAsia"/>
                <w:b/>
                <w:color w:val="auto"/>
              </w:rPr>
            </w:pPr>
            <w:r>
              <w:rPr>
                <w:rFonts w:ascii="Times New Roman" w:hAnsi="Times New Roman" w:cs="Times New Roman" w:eastAsiaTheme="minorEastAsia"/>
                <w:b/>
                <w:color w:val="auto"/>
              </w:rPr>
              <w:t>shrinkage</w:t>
            </w:r>
          </w:p>
          <w:p w14:paraId="712E340B">
            <w:pPr>
              <w:rPr>
                <w:rFonts w:ascii="Times New Roman" w:hAnsi="Times New Roman" w:cs="Times New Roman" w:eastAsiaTheme="minorEastAsia"/>
                <w:color w:val="auto"/>
              </w:rPr>
            </w:pPr>
            <w:r>
              <w:rPr>
                <w:rFonts w:ascii="Times New Roman" w:hAnsi="Times New Roman" w:cs="Times New Roman" w:eastAsiaTheme="minorEastAsia"/>
                <w:color w:val="auto"/>
              </w:rPr>
              <w:t>decrease in dimensions of a compact as a result of sintering</w:t>
            </w:r>
          </w:p>
          <w:p w14:paraId="148F7D9D">
            <w:pPr>
              <w:rPr>
                <w:rFonts w:asciiTheme="minorHAnsi" w:hAnsiTheme="minorHAnsi" w:eastAsiaTheme="minorEastAsia" w:cstheme="minorBidi"/>
                <w:color w:val="auto"/>
              </w:rPr>
            </w:pPr>
          </w:p>
          <w:p w14:paraId="5FD2AE00">
            <w:pPr>
              <w:rPr>
                <w:rFonts w:ascii="等线" w:hAnsi="等线" w:eastAsia="等线" w:cstheme="minorBidi"/>
                <w:color w:val="auto"/>
                <w:szCs w:val="21"/>
              </w:rPr>
            </w:pPr>
            <w:r>
              <w:rPr>
                <w:rFonts w:ascii="等线" w:hAnsi="等线" w:eastAsia="等线" w:cs="Times New Roman"/>
                <w:color w:val="auto"/>
              </w:rPr>
              <w:t>Note 1 to entry: See also ISO 4492.</w:t>
            </w:r>
          </w:p>
        </w:tc>
        <w:tc>
          <w:tcPr>
            <w:tcW w:w="3044" w:type="dxa"/>
            <w:tcBorders>
              <w:top w:val="single" w:color="auto" w:sz="4" w:space="0"/>
              <w:left w:val="single" w:color="auto" w:sz="4" w:space="0"/>
              <w:bottom w:val="single" w:color="auto" w:sz="4" w:space="0"/>
              <w:right w:val="single" w:color="auto" w:sz="4" w:space="0"/>
            </w:tcBorders>
            <w:shd w:val="clear" w:color="auto" w:fill="DAE3F3" w:themeFill="accent1" w:themeFillTint="32"/>
          </w:tcPr>
          <w:p w14:paraId="306A1828">
            <w:pPr>
              <w:pStyle w:val="32"/>
              <w:ind w:firstLine="442"/>
              <w:rPr>
                <w:rStyle w:val="54"/>
                <w:rFonts w:ascii="黑体" w:hAnsi="黑体" w:eastAsia="黑体" w:cs="黑体"/>
                <w:b w:val="0"/>
                <w:bCs w:val="0"/>
                <w:color w:val="auto"/>
              </w:rPr>
            </w:pPr>
            <w:r>
              <w:rPr>
                <w:rStyle w:val="54"/>
                <w:rFonts w:hint="eastAsia" w:ascii="黑体" w:hAnsi="黑体" w:eastAsia="黑体" w:cs="黑体"/>
                <w:color w:val="auto"/>
              </w:rPr>
              <w:t>收缩  shrinkage</w:t>
            </w:r>
          </w:p>
          <w:p w14:paraId="712D8E6B">
            <w:pPr>
              <w:ind w:firstLine="420"/>
              <w:rPr>
                <w:rFonts w:ascii="Arial" w:hAnsi="Arial" w:cs="Arial" w:eastAsiaTheme="minorEastAsia"/>
                <w:color w:val="auto"/>
                <w:szCs w:val="21"/>
              </w:rPr>
            </w:pPr>
            <w:r>
              <w:rPr>
                <w:rFonts w:ascii="Arial" w:hAnsi="Arial" w:cs="Arial" w:eastAsiaTheme="minorEastAsia"/>
                <w:color w:val="auto"/>
                <w:szCs w:val="21"/>
              </w:rPr>
              <w:t>压坯由于烧结发生的尺寸</w:t>
            </w:r>
            <w:r>
              <w:rPr>
                <w:rFonts w:hint="eastAsia" w:ascii="Arial" w:hAnsi="Arial" w:cs="Arial" w:eastAsiaTheme="minorEastAsia"/>
                <w:color w:val="auto"/>
                <w:szCs w:val="21"/>
              </w:rPr>
              <w:t>减小</w:t>
            </w:r>
            <w:r>
              <w:rPr>
                <w:rFonts w:ascii="Arial" w:hAnsi="Arial" w:cs="Arial" w:eastAsiaTheme="minorEastAsia"/>
                <w:color w:val="auto"/>
                <w:szCs w:val="21"/>
              </w:rPr>
              <w:t>现象</w:t>
            </w:r>
            <w:r>
              <w:rPr>
                <w:rFonts w:hint="eastAsia" w:ascii="Arial" w:hAnsi="Arial" w:cs="Arial" w:eastAsiaTheme="minorEastAsia"/>
                <w:color w:val="auto"/>
                <w:szCs w:val="21"/>
              </w:rPr>
              <w:t>。</w:t>
            </w:r>
          </w:p>
          <w:p w14:paraId="7BBDA18B">
            <w:pPr>
              <w:ind w:firstLine="420"/>
              <w:rPr>
                <w:rFonts w:ascii="Arial" w:hAnsi="Arial" w:cs="Arial" w:eastAsiaTheme="minorEastAsia"/>
                <w:color w:val="auto"/>
                <w:szCs w:val="21"/>
              </w:rPr>
            </w:pPr>
            <w:r>
              <w:rPr>
                <w:rFonts w:hint="eastAsia" w:ascii="等线" w:hAnsi="等线" w:eastAsia="等线" w:cstheme="minorBidi"/>
                <w:color w:val="auto"/>
                <w:szCs w:val="21"/>
              </w:rPr>
              <w:t>注：</w:t>
            </w:r>
            <w:r>
              <w:rPr>
                <w:rFonts w:ascii="Arial" w:hAnsi="Arial" w:cs="Arial" w:eastAsiaTheme="minorEastAsia"/>
                <w:color w:val="auto"/>
                <w:szCs w:val="21"/>
              </w:rPr>
              <w:t>见GB/T 5159。</w:t>
            </w:r>
          </w:p>
          <w:p w14:paraId="34EB494F">
            <w:pPr>
              <w:rPr>
                <w:rFonts w:ascii="等线" w:hAnsi="等线" w:eastAsia="等线" w:cs="Times New Roman"/>
                <w:color w:val="auto"/>
              </w:rPr>
            </w:pPr>
          </w:p>
        </w:tc>
        <w:tc>
          <w:tcPr>
            <w:tcW w:w="2663" w:type="dxa"/>
            <w:tcBorders>
              <w:top w:val="single" w:color="auto" w:sz="4" w:space="0"/>
              <w:left w:val="single" w:color="auto" w:sz="4" w:space="0"/>
              <w:bottom w:val="single" w:color="auto" w:sz="4" w:space="0"/>
              <w:right w:val="single" w:color="auto" w:sz="4" w:space="0"/>
            </w:tcBorders>
            <w:shd w:val="clear" w:color="auto" w:fill="auto"/>
          </w:tcPr>
          <w:p w14:paraId="41682042">
            <w:pPr>
              <w:rPr>
                <w:rFonts w:ascii="等线" w:hAnsi="等线" w:eastAsia="等线" w:cstheme="minorBidi"/>
                <w:color w:val="auto"/>
                <w:szCs w:val="21"/>
              </w:rPr>
            </w:pPr>
            <w:r>
              <w:rPr>
                <w:rFonts w:hint="eastAsia" w:ascii="等线" w:hAnsi="等线" w:eastAsia="等线" w:cstheme="minorBidi"/>
                <w:color w:val="auto"/>
                <w:szCs w:val="21"/>
              </w:rPr>
              <w:t>收缩</w:t>
            </w:r>
          </w:p>
          <w:p w14:paraId="52AA6588">
            <w:pPr>
              <w:rPr>
                <w:rFonts w:ascii="等线" w:hAnsi="等线" w:eastAsia="等线" w:cstheme="minorBidi"/>
                <w:color w:val="auto"/>
                <w:szCs w:val="21"/>
              </w:rPr>
            </w:pPr>
            <w:r>
              <w:rPr>
                <w:rFonts w:hint="eastAsia" w:ascii="等线" w:hAnsi="等线" w:eastAsia="等线" w:cstheme="minorBidi"/>
                <w:color w:val="auto"/>
                <w:szCs w:val="21"/>
              </w:rPr>
              <w:t>烧结导致压坯尺寸减小的现象</w:t>
            </w:r>
          </w:p>
          <w:p w14:paraId="6E05FF46">
            <w:pPr>
              <w:rPr>
                <w:rFonts w:ascii="等线" w:hAnsi="等线" w:eastAsia="等线" w:cstheme="minorBidi"/>
                <w:color w:val="auto"/>
                <w:szCs w:val="21"/>
              </w:rPr>
            </w:pPr>
          </w:p>
          <w:p w14:paraId="771F1DB5">
            <w:pPr>
              <w:rPr>
                <w:rFonts w:ascii="等线" w:hAnsi="等线" w:eastAsia="等线" w:cstheme="minorBidi"/>
                <w:color w:val="auto"/>
                <w:szCs w:val="21"/>
              </w:rPr>
            </w:pPr>
            <w:r>
              <w:rPr>
                <w:rFonts w:hint="eastAsia" w:ascii="等线" w:hAnsi="等线" w:eastAsia="等线" w:cstheme="minorBidi"/>
                <w:color w:val="auto"/>
                <w:szCs w:val="21"/>
              </w:rPr>
              <w:t>注1：见ISO 4492。</w:t>
            </w:r>
          </w:p>
        </w:tc>
        <w:tc>
          <w:tcPr>
            <w:tcW w:w="2125" w:type="dxa"/>
            <w:tcBorders>
              <w:top w:val="single" w:color="auto" w:sz="4" w:space="0"/>
              <w:left w:val="single" w:color="auto" w:sz="4" w:space="0"/>
              <w:bottom w:val="single" w:color="auto" w:sz="4" w:space="0"/>
              <w:right w:val="single" w:color="auto" w:sz="4" w:space="0"/>
            </w:tcBorders>
          </w:tcPr>
          <w:p w14:paraId="7FC39D90">
            <w:pPr>
              <w:rPr>
                <w:rFonts w:ascii="等线" w:hAnsi="等线" w:eastAsia="等线" w:cstheme="minorBidi"/>
                <w:color w:val="auto"/>
                <w:szCs w:val="21"/>
              </w:rPr>
            </w:pPr>
            <w:r>
              <w:rPr>
                <w:rFonts w:hint="eastAsia" w:ascii="等线" w:hAnsi="等线" w:eastAsia="等线" w:cstheme="minorBidi"/>
                <w:color w:val="auto"/>
                <w:szCs w:val="21"/>
              </w:rPr>
              <w:t xml:space="preserve">收缩  </w:t>
            </w:r>
          </w:p>
          <w:p w14:paraId="0E80A469">
            <w:pPr>
              <w:rPr>
                <w:rFonts w:ascii="等线" w:hAnsi="等线" w:eastAsia="等线" w:cstheme="minorBidi"/>
                <w:color w:val="auto"/>
                <w:szCs w:val="21"/>
              </w:rPr>
            </w:pPr>
            <w:r>
              <w:rPr>
                <w:rFonts w:hint="eastAsia" w:ascii="等线" w:hAnsi="等线" w:eastAsia="等线" w:cstheme="minorBidi"/>
                <w:color w:val="auto"/>
                <w:szCs w:val="21"/>
              </w:rPr>
              <w:t>压坯由于烧结发生的尺寸缩小现象(见GB/ T5159)。</w:t>
            </w:r>
          </w:p>
        </w:tc>
      </w:tr>
      <w:tr w14:paraId="36F35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2" w:hRule="atLeast"/>
          <w:jc w:val="center"/>
        </w:trPr>
        <w:tc>
          <w:tcPr>
            <w:tcW w:w="672" w:type="dxa"/>
            <w:tcBorders>
              <w:top w:val="single" w:color="auto" w:sz="4" w:space="0"/>
              <w:left w:val="single" w:color="auto" w:sz="4" w:space="0"/>
              <w:bottom w:val="single" w:color="auto" w:sz="4" w:space="0"/>
              <w:right w:val="single" w:color="auto" w:sz="4" w:space="0"/>
            </w:tcBorders>
            <w:shd w:val="clear" w:color="auto" w:fill="auto"/>
          </w:tcPr>
          <w:p w14:paraId="67E79B53">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3.3.59</w:t>
            </w:r>
          </w:p>
        </w:tc>
        <w:tc>
          <w:tcPr>
            <w:tcW w:w="2450" w:type="dxa"/>
            <w:tcBorders>
              <w:top w:val="single" w:color="auto" w:sz="4" w:space="0"/>
              <w:left w:val="single" w:color="auto" w:sz="4" w:space="0"/>
              <w:bottom w:val="single" w:color="auto" w:sz="4" w:space="0"/>
              <w:right w:val="single" w:color="auto" w:sz="4" w:space="0"/>
            </w:tcBorders>
            <w:shd w:val="clear" w:color="auto" w:fill="auto"/>
          </w:tcPr>
          <w:p w14:paraId="3B3EABE0">
            <w:pPr>
              <w:spacing w:before="120" w:after="120"/>
              <w:jc w:val="left"/>
              <w:rPr>
                <w:rFonts w:ascii="Times New Roman" w:hAnsi="Times New Roman" w:cs="Times New Roman" w:eastAsiaTheme="minorEastAsia"/>
                <w:color w:val="auto"/>
              </w:rPr>
            </w:pPr>
            <w:r>
              <w:rPr>
                <w:rFonts w:ascii="Times New Roman" w:hAnsi="Times New Roman" w:eastAsia="等线" w:cs="Times New Roman"/>
                <w:b/>
                <w:bCs/>
                <w:color w:val="auto"/>
                <w:sz w:val="22"/>
              </w:rPr>
              <w:t xml:space="preserve">sinter skin </w:t>
            </w:r>
            <w:r>
              <w:rPr>
                <w:rFonts w:ascii="Times New Roman" w:hAnsi="Times New Roman" w:eastAsia="等线" w:cs="Times New Roman"/>
                <w:color w:val="auto"/>
                <w:sz w:val="22"/>
              </w:rPr>
              <w:t xml:space="preserve"> </w:t>
            </w:r>
          </w:p>
          <w:p w14:paraId="6E54795A">
            <w:pPr>
              <w:spacing w:before="120" w:after="120"/>
              <w:jc w:val="left"/>
              <w:rPr>
                <w:rFonts w:ascii="Times New Roman" w:hAnsi="Times New Roman" w:cs="Times New Roman" w:eastAsiaTheme="minorEastAsia"/>
                <w:color w:val="auto"/>
              </w:rPr>
            </w:pPr>
            <w:r>
              <w:rPr>
                <w:rFonts w:ascii="Times New Roman" w:hAnsi="Times New Roman" w:eastAsia="等线" w:cs="Times New Roman"/>
                <w:color w:val="auto"/>
                <w:sz w:val="22"/>
              </w:rPr>
              <w:t>surface layer that may be formed on a sintered object during sintering and has properties different from those of the inner parts of the object</w:t>
            </w:r>
          </w:p>
        </w:tc>
        <w:tc>
          <w:tcPr>
            <w:tcW w:w="2102" w:type="dxa"/>
            <w:tcBorders>
              <w:top w:val="single" w:color="auto" w:sz="4" w:space="0"/>
              <w:left w:val="single" w:color="auto" w:sz="4" w:space="0"/>
              <w:bottom w:val="single" w:color="auto" w:sz="4" w:space="0"/>
              <w:right w:val="single" w:color="auto" w:sz="4" w:space="0"/>
            </w:tcBorders>
            <w:shd w:val="clear" w:color="auto" w:fill="auto"/>
          </w:tcPr>
          <w:p w14:paraId="39C06EC0">
            <w:pPr>
              <w:rPr>
                <w:rFonts w:ascii="等线" w:hAnsi="等线" w:eastAsia="等线" w:cstheme="minorBidi"/>
                <w:color w:val="auto"/>
                <w:szCs w:val="21"/>
              </w:rPr>
            </w:pPr>
            <w:r>
              <w:rPr>
                <w:rFonts w:ascii="Arial" w:hAnsi="Arial" w:eastAsia="等线" w:cs="Arial"/>
                <w:color w:val="auto"/>
                <w:sz w:val="22"/>
              </w:rPr>
              <w:t xml:space="preserve"> 烧结壳（sinter skin）：烧结时，烧结件上形成的一种表面层，其性能不同于产品内部。</w:t>
            </w:r>
          </w:p>
        </w:tc>
        <w:tc>
          <w:tcPr>
            <w:tcW w:w="2376" w:type="dxa"/>
            <w:tcBorders>
              <w:top w:val="single" w:color="auto" w:sz="4" w:space="0"/>
              <w:left w:val="single" w:color="auto" w:sz="4" w:space="0"/>
              <w:bottom w:val="single" w:color="auto" w:sz="4" w:space="0"/>
              <w:right w:val="single" w:color="auto" w:sz="4" w:space="0"/>
            </w:tcBorders>
            <w:shd w:val="clear" w:color="auto" w:fill="auto"/>
          </w:tcPr>
          <w:p w14:paraId="26659BBC">
            <w:pPr>
              <w:rPr>
                <w:rFonts w:ascii="Times New Roman" w:hAnsi="Times New Roman" w:cs="Times New Roman" w:eastAsiaTheme="minorEastAsia"/>
                <w:b/>
                <w:color w:val="auto"/>
              </w:rPr>
            </w:pPr>
            <w:r>
              <w:rPr>
                <w:rFonts w:ascii="Times New Roman" w:hAnsi="Times New Roman" w:cs="Times New Roman" w:eastAsiaTheme="minorEastAsia"/>
                <w:b/>
                <w:color w:val="auto"/>
              </w:rPr>
              <w:t>sinter skin</w:t>
            </w:r>
          </w:p>
          <w:p w14:paraId="231448ED">
            <w:pPr>
              <w:rPr>
                <w:rFonts w:ascii="等线" w:hAnsi="等线" w:eastAsia="等线" w:cstheme="minorBidi"/>
                <w:color w:val="auto"/>
                <w:szCs w:val="21"/>
              </w:rPr>
            </w:pPr>
            <w:r>
              <w:rPr>
                <w:rFonts w:ascii="Times New Roman" w:hAnsi="Times New Roman" w:cs="Times New Roman" w:eastAsiaTheme="minorEastAsia"/>
                <w:color w:val="auto"/>
              </w:rPr>
              <w:t xml:space="preserve">surface layer that may be formed on a sintered object during </w:t>
            </w:r>
            <w:r>
              <w:rPr>
                <w:rFonts w:ascii="Times New Roman" w:hAnsi="Times New Roman" w:cs="Times New Roman" w:eastAsiaTheme="minorEastAsia"/>
                <w:i/>
                <w:color w:val="auto"/>
              </w:rPr>
              <w:t>sintering</w:t>
            </w:r>
            <w:r>
              <w:rPr>
                <w:rFonts w:ascii="Times New Roman" w:hAnsi="Times New Roman" w:cs="Times New Roman" w:eastAsiaTheme="minorEastAsia"/>
                <w:color w:val="auto"/>
              </w:rPr>
              <w:t xml:space="preserve"> (3.3.60) and has properties different from those of the inner parts of the object</w:t>
            </w:r>
          </w:p>
        </w:tc>
        <w:tc>
          <w:tcPr>
            <w:tcW w:w="3044" w:type="dxa"/>
            <w:tcBorders>
              <w:top w:val="single" w:color="auto" w:sz="4" w:space="0"/>
              <w:left w:val="single" w:color="auto" w:sz="4" w:space="0"/>
              <w:bottom w:val="single" w:color="auto" w:sz="4" w:space="0"/>
              <w:right w:val="single" w:color="auto" w:sz="4" w:space="0"/>
            </w:tcBorders>
            <w:shd w:val="clear" w:color="auto" w:fill="DAE3F3" w:themeFill="accent1" w:themeFillTint="32"/>
          </w:tcPr>
          <w:p w14:paraId="5C3E6677">
            <w:pPr>
              <w:pStyle w:val="32"/>
              <w:ind w:firstLine="442"/>
              <w:rPr>
                <w:rStyle w:val="54"/>
                <w:rFonts w:ascii="黑体" w:hAnsi="黑体" w:eastAsia="黑体" w:cs="黑体"/>
                <w:b w:val="0"/>
                <w:bCs w:val="0"/>
                <w:color w:val="auto"/>
              </w:rPr>
            </w:pPr>
            <w:r>
              <w:rPr>
                <w:rStyle w:val="54"/>
                <w:rFonts w:hint="eastAsia" w:ascii="黑体" w:hAnsi="黑体" w:eastAsia="黑体" w:cs="黑体"/>
                <w:color w:val="auto"/>
              </w:rPr>
              <w:t>烧结壳  sinter skin</w:t>
            </w:r>
          </w:p>
          <w:p w14:paraId="60EDD02D">
            <w:pPr>
              <w:ind w:firstLine="420"/>
              <w:rPr>
                <w:rFonts w:ascii="Arial" w:hAnsi="Arial" w:cs="Arial" w:eastAsiaTheme="minorEastAsia"/>
                <w:color w:val="auto"/>
                <w:szCs w:val="21"/>
              </w:rPr>
            </w:pPr>
            <w:r>
              <w:rPr>
                <w:rStyle w:val="54"/>
                <w:rFonts w:ascii="Arial" w:hAnsi="Arial" w:cs="Arial" w:eastAsiaTheme="minorEastAsia"/>
                <w:color w:val="auto"/>
              </w:rPr>
              <w:t>烧结</w:t>
            </w:r>
            <w:r>
              <w:rPr>
                <w:rFonts w:ascii="Arial" w:hAnsi="Arial" w:cs="Arial" w:eastAsiaTheme="minorEastAsia"/>
                <w:color w:val="auto"/>
                <w:szCs w:val="21"/>
              </w:rPr>
              <w:t>（3.3.60）</w:t>
            </w:r>
            <w:r>
              <w:rPr>
                <w:rStyle w:val="54"/>
                <w:rFonts w:hint="eastAsia" w:ascii="Arial" w:hAnsi="Arial" w:cs="Arial" w:eastAsiaTheme="minorEastAsia"/>
                <w:color w:val="auto"/>
              </w:rPr>
              <w:t>过程中</w:t>
            </w:r>
            <w:r>
              <w:rPr>
                <w:rStyle w:val="54"/>
                <w:rFonts w:ascii="Arial" w:hAnsi="Arial" w:cs="Arial" w:eastAsiaTheme="minorEastAsia"/>
                <w:color w:val="auto"/>
              </w:rPr>
              <w:t>，烧结件上形成的一种表面层，其性能</w:t>
            </w:r>
            <w:r>
              <w:rPr>
                <w:rStyle w:val="54"/>
                <w:rFonts w:hint="eastAsia" w:ascii="Arial" w:hAnsi="Arial" w:cs="Arial" w:eastAsiaTheme="minorEastAsia"/>
                <w:color w:val="auto"/>
              </w:rPr>
              <w:t>与烧结件</w:t>
            </w:r>
            <w:r>
              <w:rPr>
                <w:rStyle w:val="54"/>
                <w:rFonts w:ascii="Arial" w:hAnsi="Arial" w:cs="Arial" w:eastAsiaTheme="minorEastAsia"/>
                <w:color w:val="auto"/>
              </w:rPr>
              <w:t>内部不同。</w:t>
            </w:r>
          </w:p>
          <w:p w14:paraId="1E582C3C">
            <w:pPr>
              <w:rPr>
                <w:rFonts w:ascii="Times New Roman" w:hAnsi="Times New Roman" w:cs="Times New Roman" w:eastAsiaTheme="minorEastAsia"/>
                <w:color w:val="auto"/>
              </w:rPr>
            </w:pPr>
          </w:p>
        </w:tc>
        <w:tc>
          <w:tcPr>
            <w:tcW w:w="2663" w:type="dxa"/>
            <w:tcBorders>
              <w:top w:val="single" w:color="auto" w:sz="4" w:space="0"/>
              <w:left w:val="single" w:color="auto" w:sz="4" w:space="0"/>
              <w:bottom w:val="single" w:color="auto" w:sz="4" w:space="0"/>
              <w:right w:val="single" w:color="auto" w:sz="4" w:space="0"/>
            </w:tcBorders>
            <w:shd w:val="clear" w:color="auto" w:fill="auto"/>
          </w:tcPr>
          <w:p w14:paraId="37A5C420">
            <w:pPr>
              <w:rPr>
                <w:rFonts w:ascii="等线" w:hAnsi="等线" w:eastAsia="等线" w:cstheme="minorBidi"/>
                <w:color w:val="auto"/>
                <w:szCs w:val="21"/>
              </w:rPr>
            </w:pPr>
            <w:r>
              <w:rPr>
                <w:rFonts w:hint="eastAsia" w:ascii="等线" w:hAnsi="等线" w:eastAsia="等线" w:cstheme="minorBidi"/>
                <w:color w:val="auto"/>
                <w:szCs w:val="21"/>
              </w:rPr>
              <w:t>烧结皮</w:t>
            </w:r>
          </w:p>
          <w:p w14:paraId="6D61E0A8">
            <w:pPr>
              <w:rPr>
                <w:rFonts w:ascii="等线" w:hAnsi="等线" w:eastAsia="等线" w:cstheme="minorBidi"/>
                <w:color w:val="auto"/>
                <w:szCs w:val="21"/>
              </w:rPr>
            </w:pPr>
            <w:r>
              <w:rPr>
                <w:rFonts w:hint="eastAsia" w:ascii="等线" w:hAnsi="等线" w:eastAsia="等线" w:cstheme="minorBidi"/>
                <w:color w:val="auto"/>
                <w:szCs w:val="21"/>
              </w:rPr>
              <w:t>在烧结（3.3.60）过程中可能在烧结物体上形成的表面层，其性能与物体内部不同</w:t>
            </w:r>
          </w:p>
        </w:tc>
        <w:tc>
          <w:tcPr>
            <w:tcW w:w="2125" w:type="dxa"/>
            <w:tcBorders>
              <w:top w:val="single" w:color="auto" w:sz="4" w:space="0"/>
              <w:left w:val="single" w:color="auto" w:sz="4" w:space="0"/>
              <w:bottom w:val="single" w:color="auto" w:sz="4" w:space="0"/>
              <w:right w:val="single" w:color="auto" w:sz="4" w:space="0"/>
            </w:tcBorders>
          </w:tcPr>
          <w:p w14:paraId="5EF46F7C">
            <w:pPr>
              <w:rPr>
                <w:rFonts w:ascii="等线" w:hAnsi="等线" w:eastAsia="等线" w:cstheme="minorBidi"/>
                <w:color w:val="auto"/>
                <w:szCs w:val="21"/>
              </w:rPr>
            </w:pPr>
            <w:r>
              <w:rPr>
                <w:rFonts w:hint="eastAsia" w:ascii="等线" w:hAnsi="等线" w:eastAsia="等线" w:cstheme="minorBidi"/>
                <w:color w:val="auto"/>
                <w:szCs w:val="21"/>
              </w:rPr>
              <w:t xml:space="preserve">烧结壳  </w:t>
            </w:r>
          </w:p>
          <w:p w14:paraId="6265DBF6">
            <w:pPr>
              <w:rPr>
                <w:rFonts w:ascii="等线" w:hAnsi="等线" w:eastAsia="等线" w:cstheme="minorBidi"/>
                <w:color w:val="auto"/>
                <w:szCs w:val="21"/>
              </w:rPr>
            </w:pPr>
            <w:r>
              <w:rPr>
                <w:rFonts w:hint="eastAsia" w:ascii="等线" w:hAnsi="等线" w:eastAsia="等线" w:cstheme="minorBidi"/>
                <w:color w:val="auto"/>
                <w:szCs w:val="21"/>
              </w:rPr>
              <w:t>烧结时，烧结件上形成的一种表面层，其性能不同于产品内部。</w:t>
            </w:r>
          </w:p>
          <w:p w14:paraId="78B44621">
            <w:pPr>
              <w:rPr>
                <w:rFonts w:ascii="等线" w:hAnsi="等线" w:eastAsia="等线" w:cstheme="minorBidi"/>
                <w:color w:val="auto"/>
                <w:szCs w:val="21"/>
              </w:rPr>
            </w:pPr>
          </w:p>
        </w:tc>
      </w:tr>
      <w:tr w14:paraId="72BD3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2" w:hRule="atLeast"/>
          <w:jc w:val="center"/>
        </w:trPr>
        <w:tc>
          <w:tcPr>
            <w:tcW w:w="672" w:type="dxa"/>
            <w:tcBorders>
              <w:top w:val="single" w:color="auto" w:sz="4" w:space="0"/>
              <w:left w:val="single" w:color="auto" w:sz="4" w:space="0"/>
              <w:bottom w:val="single" w:color="auto" w:sz="4" w:space="0"/>
              <w:right w:val="single" w:color="auto" w:sz="4" w:space="0"/>
            </w:tcBorders>
            <w:shd w:val="clear" w:color="auto" w:fill="auto"/>
          </w:tcPr>
          <w:p w14:paraId="2F7963AC">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3.3.61</w:t>
            </w:r>
          </w:p>
        </w:tc>
        <w:tc>
          <w:tcPr>
            <w:tcW w:w="2450" w:type="dxa"/>
            <w:tcBorders>
              <w:top w:val="single" w:color="auto" w:sz="4" w:space="0"/>
              <w:left w:val="single" w:color="auto" w:sz="4" w:space="0"/>
              <w:bottom w:val="single" w:color="auto" w:sz="4" w:space="0"/>
              <w:right w:val="single" w:color="auto" w:sz="4" w:space="0"/>
            </w:tcBorders>
            <w:shd w:val="clear" w:color="auto" w:fill="auto"/>
          </w:tcPr>
          <w:p w14:paraId="5EF1924D">
            <w:pPr>
              <w:spacing w:before="120" w:after="120"/>
              <w:jc w:val="left"/>
              <w:rPr>
                <w:rFonts w:ascii="Times New Roman" w:hAnsi="Times New Roman" w:cs="Times New Roman" w:eastAsiaTheme="minorEastAsia"/>
                <w:color w:val="auto"/>
              </w:rPr>
            </w:pPr>
            <w:r>
              <w:rPr>
                <w:rFonts w:ascii="Times New Roman" w:hAnsi="Times New Roman" w:eastAsia="等线" w:cs="Times New Roman"/>
                <w:b/>
                <w:bCs/>
                <w:color w:val="auto"/>
                <w:sz w:val="22"/>
              </w:rPr>
              <w:t>sintering atmosphere</w:t>
            </w:r>
            <w:r>
              <w:rPr>
                <w:rFonts w:ascii="Times New Roman" w:hAnsi="Times New Roman" w:eastAsia="等线" w:cs="Times New Roman"/>
                <w:color w:val="auto"/>
                <w:sz w:val="22"/>
              </w:rPr>
              <w:t xml:space="preserve">  </w:t>
            </w:r>
          </w:p>
          <w:p w14:paraId="7486857C">
            <w:pPr>
              <w:spacing w:before="120" w:after="120"/>
              <w:jc w:val="left"/>
              <w:rPr>
                <w:rFonts w:ascii="Times New Roman" w:hAnsi="Times New Roman" w:cs="Times New Roman" w:eastAsiaTheme="minorEastAsia"/>
                <w:color w:val="auto"/>
              </w:rPr>
            </w:pPr>
            <w:r>
              <w:rPr>
                <w:rFonts w:ascii="Times New Roman" w:hAnsi="Times New Roman" w:eastAsia="等线" w:cs="Times New Roman"/>
                <w:color w:val="auto"/>
                <w:sz w:val="22"/>
              </w:rPr>
              <w:t xml:space="preserve">atmosphere in the sintering furnace  </w:t>
            </w:r>
          </w:p>
          <w:p w14:paraId="67BBED5E">
            <w:pPr>
              <w:spacing w:before="120" w:after="120"/>
              <w:jc w:val="left"/>
              <w:rPr>
                <w:rFonts w:ascii="Times New Roman" w:hAnsi="Times New Roman" w:cs="Times New Roman" w:eastAsiaTheme="minorEastAsia"/>
                <w:color w:val="auto"/>
              </w:rPr>
            </w:pPr>
            <w:r>
              <w:rPr>
                <w:rFonts w:ascii="Times New Roman" w:hAnsi="Times New Roman" w:eastAsia="等线" w:cs="Times New Roman"/>
                <w:color w:val="auto"/>
                <w:sz w:val="22"/>
              </w:rPr>
              <w:t>NOTE The atmosphere may be controlled in order to protect or react with the material being sintered or to be sintered.</w:t>
            </w:r>
          </w:p>
        </w:tc>
        <w:tc>
          <w:tcPr>
            <w:tcW w:w="2102" w:type="dxa"/>
            <w:tcBorders>
              <w:top w:val="single" w:color="auto" w:sz="4" w:space="0"/>
              <w:left w:val="single" w:color="auto" w:sz="4" w:space="0"/>
              <w:bottom w:val="single" w:color="auto" w:sz="4" w:space="0"/>
              <w:right w:val="single" w:color="auto" w:sz="4" w:space="0"/>
            </w:tcBorders>
            <w:shd w:val="clear" w:color="auto" w:fill="auto"/>
          </w:tcPr>
          <w:p w14:paraId="2F8E0AC9">
            <w:pPr>
              <w:spacing w:before="120" w:after="120" w:line="288" w:lineRule="auto"/>
              <w:jc w:val="left"/>
              <w:rPr>
                <w:rFonts w:asciiTheme="minorHAnsi" w:hAnsiTheme="minorHAnsi" w:eastAsiaTheme="minorEastAsia" w:cstheme="minorBidi"/>
                <w:color w:val="auto"/>
              </w:rPr>
            </w:pPr>
            <w:r>
              <w:rPr>
                <w:rFonts w:ascii="Arial" w:hAnsi="Arial" w:eastAsia="等线" w:cs="Arial"/>
                <w:color w:val="auto"/>
                <w:sz w:val="22"/>
              </w:rPr>
              <w:t>烧结气氛（sintering atmosphere）：烧结炉中的气氛。</w:t>
            </w:r>
          </w:p>
          <w:p w14:paraId="7740A07A">
            <w:pPr>
              <w:spacing w:before="120" w:after="120" w:line="288" w:lineRule="auto"/>
              <w:jc w:val="left"/>
              <w:rPr>
                <w:rFonts w:ascii="等线" w:hAnsi="等线" w:eastAsia="等线" w:cstheme="minorBidi"/>
                <w:color w:val="auto"/>
                <w:szCs w:val="21"/>
              </w:rPr>
            </w:pPr>
            <w:r>
              <w:rPr>
                <w:rFonts w:ascii="Arial" w:hAnsi="Arial" w:eastAsia="等线" w:cs="Arial"/>
                <w:color w:val="auto"/>
                <w:sz w:val="22"/>
              </w:rPr>
              <w:t>注：控制气氛是为了保护烧结材料，或与烧结材料发生反应。</w:t>
            </w:r>
          </w:p>
        </w:tc>
        <w:tc>
          <w:tcPr>
            <w:tcW w:w="2376" w:type="dxa"/>
            <w:tcBorders>
              <w:top w:val="single" w:color="auto" w:sz="4" w:space="0"/>
              <w:left w:val="single" w:color="auto" w:sz="4" w:space="0"/>
              <w:bottom w:val="single" w:color="auto" w:sz="4" w:space="0"/>
              <w:right w:val="single" w:color="auto" w:sz="4" w:space="0"/>
            </w:tcBorders>
            <w:shd w:val="clear" w:color="auto" w:fill="auto"/>
          </w:tcPr>
          <w:p w14:paraId="055951E6">
            <w:pPr>
              <w:rPr>
                <w:rFonts w:ascii="Times New Roman" w:hAnsi="Times New Roman" w:cs="Times New Roman" w:eastAsiaTheme="minorEastAsia"/>
                <w:b/>
                <w:color w:val="auto"/>
              </w:rPr>
            </w:pPr>
            <w:r>
              <w:rPr>
                <w:rFonts w:ascii="Times New Roman" w:hAnsi="Times New Roman" w:cs="Times New Roman" w:eastAsiaTheme="minorEastAsia"/>
                <w:b/>
                <w:color w:val="auto"/>
              </w:rPr>
              <w:t>sintering atmosphere</w:t>
            </w:r>
          </w:p>
          <w:p w14:paraId="4EA7957B">
            <w:pPr>
              <w:rPr>
                <w:rFonts w:ascii="Times New Roman" w:hAnsi="Times New Roman" w:cs="Times New Roman" w:eastAsiaTheme="minorEastAsia"/>
                <w:color w:val="auto"/>
              </w:rPr>
            </w:pPr>
            <w:r>
              <w:rPr>
                <w:rFonts w:ascii="Times New Roman" w:hAnsi="Times New Roman" w:cs="Times New Roman" w:eastAsiaTheme="minorEastAsia"/>
                <w:color w:val="auto"/>
              </w:rPr>
              <w:t xml:space="preserve">atmosphere in the </w:t>
            </w:r>
            <w:r>
              <w:rPr>
                <w:rFonts w:ascii="Times New Roman" w:hAnsi="Times New Roman" w:cs="Times New Roman" w:eastAsiaTheme="minorEastAsia"/>
                <w:i/>
                <w:color w:val="auto"/>
              </w:rPr>
              <w:t>sintering furnace</w:t>
            </w:r>
            <w:r>
              <w:rPr>
                <w:rFonts w:ascii="Times New Roman" w:hAnsi="Times New Roman" w:cs="Times New Roman" w:eastAsiaTheme="minorEastAsia"/>
                <w:color w:val="auto"/>
              </w:rPr>
              <w:t xml:space="preserve"> (3.3.62)</w:t>
            </w:r>
          </w:p>
          <w:p w14:paraId="0E1E80FB">
            <w:pPr>
              <w:rPr>
                <w:rFonts w:asciiTheme="minorHAnsi" w:hAnsiTheme="minorHAnsi" w:eastAsiaTheme="minorEastAsia" w:cstheme="minorBidi"/>
                <w:color w:val="auto"/>
              </w:rPr>
            </w:pPr>
          </w:p>
          <w:p w14:paraId="4346C2DF">
            <w:pPr>
              <w:rPr>
                <w:rFonts w:ascii="等线" w:hAnsi="等线" w:eastAsia="等线" w:cstheme="minorBidi"/>
                <w:color w:val="auto"/>
                <w:szCs w:val="21"/>
              </w:rPr>
            </w:pPr>
            <w:r>
              <w:rPr>
                <w:rFonts w:ascii="等线" w:hAnsi="等线" w:eastAsia="等线" w:cs="Times New Roman"/>
                <w:color w:val="auto"/>
              </w:rPr>
              <w:t>Note 1 to entry: The atmosphere may be controlled in order to protect or react with the material being sintered or to be sintered.</w:t>
            </w:r>
          </w:p>
        </w:tc>
        <w:tc>
          <w:tcPr>
            <w:tcW w:w="3044" w:type="dxa"/>
            <w:tcBorders>
              <w:top w:val="single" w:color="auto" w:sz="4" w:space="0"/>
              <w:left w:val="single" w:color="auto" w:sz="4" w:space="0"/>
              <w:bottom w:val="single" w:color="auto" w:sz="4" w:space="0"/>
              <w:right w:val="single" w:color="auto" w:sz="4" w:space="0"/>
            </w:tcBorders>
            <w:shd w:val="clear" w:color="auto" w:fill="DAE3F3" w:themeFill="accent1" w:themeFillTint="32"/>
          </w:tcPr>
          <w:p w14:paraId="0CAECCDE">
            <w:pPr>
              <w:pStyle w:val="32"/>
              <w:ind w:firstLine="442"/>
              <w:rPr>
                <w:rStyle w:val="54"/>
                <w:rFonts w:ascii="黑体" w:hAnsi="黑体" w:eastAsia="黑体" w:cs="黑体"/>
                <w:b w:val="0"/>
                <w:bCs w:val="0"/>
                <w:color w:val="auto"/>
              </w:rPr>
            </w:pPr>
            <w:r>
              <w:rPr>
                <w:rStyle w:val="54"/>
                <w:rFonts w:hint="eastAsia" w:ascii="黑体" w:hAnsi="黑体" w:eastAsia="黑体" w:cs="黑体"/>
                <w:color w:val="auto"/>
              </w:rPr>
              <w:t>烧结气氛  sintering atmosphere</w:t>
            </w:r>
          </w:p>
          <w:p w14:paraId="28F60AAF">
            <w:pPr>
              <w:ind w:firstLine="420"/>
              <w:rPr>
                <w:rFonts w:ascii="Arial" w:hAnsi="Arial" w:cs="Arial" w:eastAsiaTheme="minorEastAsia"/>
                <w:color w:val="auto"/>
                <w:szCs w:val="21"/>
              </w:rPr>
            </w:pPr>
            <w:r>
              <w:rPr>
                <w:rFonts w:ascii="Arial" w:hAnsi="Arial" w:cs="Arial" w:eastAsiaTheme="minorEastAsia"/>
                <w:color w:val="auto"/>
                <w:szCs w:val="21"/>
              </w:rPr>
              <w:t>烧结炉</w:t>
            </w:r>
            <w:r>
              <w:rPr>
                <w:rFonts w:hint="eastAsia" w:ascii="Arial" w:hAnsi="Arial" w:cs="Arial" w:eastAsiaTheme="minorEastAsia"/>
                <w:color w:val="auto"/>
                <w:szCs w:val="21"/>
              </w:rPr>
              <w:t>（3.3.62）</w:t>
            </w:r>
            <w:r>
              <w:rPr>
                <w:rFonts w:ascii="Arial" w:hAnsi="Arial" w:cs="Arial" w:eastAsiaTheme="minorEastAsia"/>
                <w:color w:val="auto"/>
                <w:szCs w:val="21"/>
              </w:rPr>
              <w:t>中的</w:t>
            </w:r>
            <w:r>
              <w:rPr>
                <w:rFonts w:hint="eastAsia" w:ascii="Arial" w:hAnsi="Arial" w:cs="Arial" w:eastAsiaTheme="minorEastAsia"/>
                <w:color w:val="auto"/>
                <w:szCs w:val="21"/>
              </w:rPr>
              <w:t>气体介质环境。</w:t>
            </w:r>
          </w:p>
          <w:p w14:paraId="0204B199">
            <w:pPr>
              <w:ind w:firstLine="420"/>
              <w:rPr>
                <w:rFonts w:ascii="Arial" w:hAnsi="Arial" w:cs="Arial" w:eastAsiaTheme="minorEastAsia"/>
                <w:color w:val="auto"/>
                <w:szCs w:val="21"/>
              </w:rPr>
            </w:pPr>
            <w:r>
              <w:rPr>
                <w:rFonts w:hint="eastAsia" w:ascii="Arial" w:hAnsi="Arial" w:cs="Arial" w:eastAsiaTheme="minorEastAsia"/>
                <w:color w:val="auto"/>
                <w:szCs w:val="21"/>
              </w:rPr>
              <w:t>注：控制气氛是为了保护烧结材料，或与烧结材料发生反应。</w:t>
            </w:r>
          </w:p>
          <w:p w14:paraId="091DDBC7">
            <w:pPr>
              <w:rPr>
                <w:rFonts w:ascii="等线" w:hAnsi="等线" w:eastAsia="等线" w:cs="Times New Roman"/>
                <w:color w:val="auto"/>
              </w:rPr>
            </w:pPr>
          </w:p>
        </w:tc>
        <w:tc>
          <w:tcPr>
            <w:tcW w:w="2663" w:type="dxa"/>
            <w:tcBorders>
              <w:top w:val="single" w:color="auto" w:sz="4" w:space="0"/>
              <w:left w:val="single" w:color="auto" w:sz="4" w:space="0"/>
              <w:bottom w:val="single" w:color="auto" w:sz="4" w:space="0"/>
              <w:right w:val="single" w:color="auto" w:sz="4" w:space="0"/>
            </w:tcBorders>
            <w:shd w:val="clear" w:color="auto" w:fill="auto"/>
          </w:tcPr>
          <w:p w14:paraId="598526AD">
            <w:pPr>
              <w:rPr>
                <w:rFonts w:ascii="等线" w:hAnsi="等线" w:eastAsia="等线" w:cstheme="minorBidi"/>
                <w:color w:val="auto"/>
                <w:szCs w:val="21"/>
              </w:rPr>
            </w:pPr>
            <w:r>
              <w:rPr>
                <w:rFonts w:hint="eastAsia" w:ascii="等线" w:hAnsi="等线" w:eastAsia="等线" w:cstheme="minorBidi"/>
                <w:color w:val="auto"/>
                <w:szCs w:val="21"/>
              </w:rPr>
              <w:t>烧结气氛</w:t>
            </w:r>
          </w:p>
          <w:p w14:paraId="6429B352">
            <w:pPr>
              <w:rPr>
                <w:rFonts w:ascii="等线" w:hAnsi="等线" w:eastAsia="等线" w:cstheme="minorBidi"/>
                <w:color w:val="auto"/>
                <w:szCs w:val="21"/>
              </w:rPr>
            </w:pPr>
            <w:r>
              <w:rPr>
                <w:rFonts w:hint="eastAsia" w:ascii="等线" w:hAnsi="等线" w:eastAsia="等线" w:cstheme="minorBidi"/>
                <w:color w:val="auto"/>
                <w:szCs w:val="21"/>
              </w:rPr>
              <w:t>烧结炉内气氛（3.3.62）</w:t>
            </w:r>
          </w:p>
          <w:p w14:paraId="2ED144B4">
            <w:pPr>
              <w:rPr>
                <w:rFonts w:ascii="等线" w:hAnsi="等线" w:eastAsia="等线" w:cstheme="minorBidi"/>
                <w:color w:val="auto"/>
                <w:szCs w:val="21"/>
              </w:rPr>
            </w:pPr>
          </w:p>
          <w:p w14:paraId="2D458728">
            <w:pPr>
              <w:rPr>
                <w:rFonts w:ascii="等线" w:hAnsi="等线" w:eastAsia="等线" w:cstheme="minorBidi"/>
                <w:color w:val="auto"/>
                <w:szCs w:val="21"/>
              </w:rPr>
            </w:pPr>
            <w:r>
              <w:rPr>
                <w:rFonts w:hint="eastAsia" w:ascii="等线" w:hAnsi="等线" w:eastAsia="等线" w:cstheme="minorBidi"/>
                <w:color w:val="auto"/>
                <w:szCs w:val="21"/>
              </w:rPr>
              <w:t>注1：可以控制气氛，以保护被烧结、待烧结的材料或与之反应。</w:t>
            </w:r>
          </w:p>
        </w:tc>
        <w:tc>
          <w:tcPr>
            <w:tcW w:w="2125" w:type="dxa"/>
            <w:tcBorders>
              <w:top w:val="single" w:color="auto" w:sz="4" w:space="0"/>
              <w:left w:val="single" w:color="auto" w:sz="4" w:space="0"/>
              <w:bottom w:val="single" w:color="auto" w:sz="4" w:space="0"/>
              <w:right w:val="single" w:color="auto" w:sz="4" w:space="0"/>
            </w:tcBorders>
          </w:tcPr>
          <w:p w14:paraId="5F5ED43C">
            <w:pPr>
              <w:rPr>
                <w:rFonts w:ascii="等线" w:hAnsi="等线" w:eastAsia="等线" w:cstheme="minorBidi"/>
                <w:color w:val="auto"/>
                <w:szCs w:val="21"/>
              </w:rPr>
            </w:pPr>
            <w:r>
              <w:rPr>
                <w:rFonts w:hint="eastAsia" w:ascii="等线" w:hAnsi="等线" w:eastAsia="等线" w:cstheme="minorBidi"/>
                <w:color w:val="auto"/>
                <w:szCs w:val="21"/>
              </w:rPr>
              <w:t xml:space="preserve">烧结气氛  </w:t>
            </w:r>
          </w:p>
          <w:p w14:paraId="5400DF4E">
            <w:pPr>
              <w:rPr>
                <w:rFonts w:ascii="等线" w:hAnsi="等线" w:eastAsia="等线" w:cstheme="minorBidi"/>
                <w:color w:val="auto"/>
                <w:szCs w:val="21"/>
              </w:rPr>
            </w:pPr>
            <w:r>
              <w:rPr>
                <w:rFonts w:hint="eastAsia" w:ascii="等线" w:hAnsi="等线" w:eastAsia="等线" w:cstheme="minorBidi"/>
                <w:color w:val="auto"/>
                <w:szCs w:val="21"/>
              </w:rPr>
              <w:t>烧结炉中的气氛。</w:t>
            </w:r>
          </w:p>
          <w:p w14:paraId="4083A78D">
            <w:pPr>
              <w:rPr>
                <w:rFonts w:ascii="等线" w:hAnsi="等线" w:eastAsia="等线" w:cstheme="minorBidi"/>
                <w:color w:val="auto"/>
                <w:szCs w:val="21"/>
              </w:rPr>
            </w:pPr>
            <w:r>
              <w:rPr>
                <w:rFonts w:hint="eastAsia" w:ascii="等线" w:hAnsi="等线" w:eastAsia="等线" w:cstheme="minorBidi"/>
                <w:color w:val="auto"/>
                <w:szCs w:val="21"/>
              </w:rPr>
              <w:t>注：控制气氛是为了保护烧结材料，或与烧结材料发生反应。</w:t>
            </w:r>
          </w:p>
          <w:p w14:paraId="15BF9B80">
            <w:pPr>
              <w:rPr>
                <w:rFonts w:ascii="等线" w:hAnsi="等线" w:eastAsia="等线" w:cstheme="minorBidi"/>
                <w:color w:val="auto"/>
                <w:szCs w:val="21"/>
              </w:rPr>
            </w:pPr>
          </w:p>
        </w:tc>
      </w:tr>
      <w:tr w14:paraId="643FC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2" w:hRule="atLeast"/>
          <w:jc w:val="center"/>
        </w:trPr>
        <w:tc>
          <w:tcPr>
            <w:tcW w:w="672" w:type="dxa"/>
            <w:tcBorders>
              <w:top w:val="single" w:color="auto" w:sz="4" w:space="0"/>
              <w:left w:val="single" w:color="auto" w:sz="4" w:space="0"/>
              <w:bottom w:val="single" w:color="auto" w:sz="4" w:space="0"/>
              <w:right w:val="single" w:color="auto" w:sz="4" w:space="0"/>
            </w:tcBorders>
            <w:shd w:val="clear" w:color="auto" w:fill="auto"/>
          </w:tcPr>
          <w:p w14:paraId="600F6CDA">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3.3.70</w:t>
            </w:r>
          </w:p>
        </w:tc>
        <w:tc>
          <w:tcPr>
            <w:tcW w:w="2450" w:type="dxa"/>
            <w:tcBorders>
              <w:top w:val="single" w:color="auto" w:sz="4" w:space="0"/>
              <w:left w:val="single" w:color="auto" w:sz="4" w:space="0"/>
              <w:bottom w:val="single" w:color="auto" w:sz="4" w:space="0"/>
              <w:right w:val="single" w:color="auto" w:sz="4" w:space="0"/>
            </w:tcBorders>
            <w:shd w:val="clear" w:color="auto" w:fill="auto"/>
          </w:tcPr>
          <w:p w14:paraId="4ACFCD52">
            <w:pPr>
              <w:spacing w:before="120" w:after="120"/>
              <w:jc w:val="left"/>
              <w:rPr>
                <w:rFonts w:ascii="Times New Roman" w:hAnsi="Times New Roman" w:cs="Times New Roman" w:eastAsiaTheme="minorEastAsia"/>
                <w:color w:val="auto"/>
              </w:rPr>
            </w:pPr>
            <w:r>
              <w:rPr>
                <w:rFonts w:ascii="Times New Roman" w:hAnsi="Times New Roman" w:eastAsia="等线" w:cs="Times New Roman"/>
                <w:b/>
                <w:bCs/>
                <w:color w:val="auto"/>
                <w:sz w:val="22"/>
              </w:rPr>
              <w:t>surface finger oxide</w:t>
            </w:r>
            <w:r>
              <w:rPr>
                <w:rFonts w:ascii="Times New Roman" w:hAnsi="Times New Roman" w:eastAsia="等线" w:cs="Times New Roman"/>
                <w:color w:val="auto"/>
                <w:sz w:val="22"/>
              </w:rPr>
              <w:t xml:space="preserve">  </w:t>
            </w:r>
          </w:p>
          <w:p w14:paraId="2104B2BC">
            <w:pPr>
              <w:spacing w:before="120" w:after="120"/>
              <w:jc w:val="left"/>
              <w:rPr>
                <w:rFonts w:ascii="Times New Roman" w:hAnsi="Times New Roman" w:cs="Times New Roman" w:eastAsiaTheme="minorEastAsia"/>
                <w:color w:val="auto"/>
              </w:rPr>
            </w:pPr>
            <w:r>
              <w:rPr>
                <w:rFonts w:ascii="Times New Roman" w:hAnsi="Times New Roman" w:eastAsia="等线" w:cs="Times New Roman"/>
                <w:color w:val="auto"/>
                <w:sz w:val="22"/>
              </w:rPr>
              <w:t>oxide that follows prior particle boundaries into a part from the surface and cannot be removed by physical means such as rotary tumbling</w:t>
            </w:r>
          </w:p>
        </w:tc>
        <w:tc>
          <w:tcPr>
            <w:tcW w:w="2102" w:type="dxa"/>
            <w:tcBorders>
              <w:top w:val="single" w:color="auto" w:sz="4" w:space="0"/>
              <w:left w:val="single" w:color="auto" w:sz="4" w:space="0"/>
              <w:bottom w:val="single" w:color="auto" w:sz="4" w:space="0"/>
              <w:right w:val="single" w:color="auto" w:sz="4" w:space="0"/>
            </w:tcBorders>
            <w:shd w:val="clear" w:color="auto" w:fill="auto"/>
          </w:tcPr>
          <w:p w14:paraId="4C499802">
            <w:pPr>
              <w:rPr>
                <w:rFonts w:ascii="等线" w:hAnsi="等线" w:eastAsia="等线" w:cstheme="minorBidi"/>
                <w:color w:val="auto"/>
                <w:szCs w:val="21"/>
              </w:rPr>
            </w:pPr>
            <w:r>
              <w:rPr>
                <w:rFonts w:ascii="Arial" w:hAnsi="Arial" w:eastAsia="等线" w:cs="Arial"/>
                <w:color w:val="auto"/>
                <w:sz w:val="22"/>
              </w:rPr>
              <w:t xml:space="preserve"> 表层指状氧化物（surface finger oxide）：从表面沿原颗粒界伸展到零件内部的不能用物理方法（诸如旋转滚磨）去除的氧化物。</w:t>
            </w:r>
          </w:p>
        </w:tc>
        <w:tc>
          <w:tcPr>
            <w:tcW w:w="2376" w:type="dxa"/>
            <w:tcBorders>
              <w:top w:val="single" w:color="auto" w:sz="4" w:space="0"/>
              <w:left w:val="single" w:color="auto" w:sz="4" w:space="0"/>
              <w:bottom w:val="single" w:color="auto" w:sz="4" w:space="0"/>
              <w:right w:val="single" w:color="auto" w:sz="4" w:space="0"/>
            </w:tcBorders>
            <w:shd w:val="clear" w:color="auto" w:fill="auto"/>
          </w:tcPr>
          <w:p w14:paraId="3E596A08">
            <w:pPr>
              <w:rPr>
                <w:rFonts w:ascii="Times New Roman" w:hAnsi="Times New Roman" w:cs="Times New Roman" w:eastAsiaTheme="minorEastAsia"/>
                <w:b/>
                <w:color w:val="auto"/>
              </w:rPr>
            </w:pPr>
            <w:r>
              <w:rPr>
                <w:rFonts w:ascii="Times New Roman" w:hAnsi="Times New Roman" w:cs="Times New Roman" w:eastAsiaTheme="minorEastAsia"/>
                <w:b/>
                <w:color w:val="auto"/>
              </w:rPr>
              <w:t>surface finger oxide</w:t>
            </w:r>
          </w:p>
          <w:p w14:paraId="07457E91">
            <w:pPr>
              <w:rPr>
                <w:rFonts w:ascii="等线" w:hAnsi="等线" w:eastAsia="等线" w:cstheme="minorBidi"/>
                <w:color w:val="auto"/>
                <w:szCs w:val="21"/>
              </w:rPr>
            </w:pPr>
            <w:r>
              <w:rPr>
                <w:rFonts w:ascii="Times New Roman" w:hAnsi="Times New Roman" w:cs="Times New Roman" w:eastAsiaTheme="minorEastAsia"/>
                <w:color w:val="auto"/>
              </w:rPr>
              <w:t>oxide that follows prior particle boundaries into a part from the surface and cannot be removed by physical means such as rotary tumbling</w:t>
            </w:r>
          </w:p>
        </w:tc>
        <w:tc>
          <w:tcPr>
            <w:tcW w:w="3044" w:type="dxa"/>
            <w:tcBorders>
              <w:top w:val="single" w:color="auto" w:sz="4" w:space="0"/>
              <w:left w:val="single" w:color="auto" w:sz="4" w:space="0"/>
              <w:bottom w:val="single" w:color="auto" w:sz="4" w:space="0"/>
              <w:right w:val="single" w:color="auto" w:sz="4" w:space="0"/>
            </w:tcBorders>
            <w:shd w:val="clear" w:color="auto" w:fill="DAE3F3" w:themeFill="accent1" w:themeFillTint="32"/>
          </w:tcPr>
          <w:p w14:paraId="101522FF">
            <w:pPr>
              <w:pStyle w:val="32"/>
              <w:ind w:firstLine="442"/>
              <w:rPr>
                <w:rStyle w:val="54"/>
                <w:rFonts w:ascii="黑体" w:hAnsi="黑体" w:eastAsia="黑体" w:cs="黑体"/>
                <w:b w:val="0"/>
                <w:bCs w:val="0"/>
                <w:color w:val="auto"/>
              </w:rPr>
            </w:pPr>
            <w:r>
              <w:rPr>
                <w:rStyle w:val="54"/>
                <w:rFonts w:hint="eastAsia" w:ascii="黑体" w:hAnsi="黑体" w:eastAsia="黑体" w:cs="黑体"/>
                <w:color w:val="auto"/>
              </w:rPr>
              <w:t>表层指状氧化物  surface finger oxide</w:t>
            </w:r>
          </w:p>
          <w:p w14:paraId="15EC4B75">
            <w:pPr>
              <w:ind w:firstLine="420"/>
              <w:rPr>
                <w:rFonts w:ascii="Arial" w:hAnsi="Arial" w:cs="Arial" w:eastAsiaTheme="minorEastAsia"/>
                <w:color w:val="auto"/>
                <w:szCs w:val="21"/>
              </w:rPr>
            </w:pPr>
            <w:r>
              <w:rPr>
                <w:rFonts w:ascii="Arial" w:hAnsi="Arial" w:cs="Arial" w:eastAsiaTheme="minorEastAsia"/>
                <w:color w:val="auto"/>
                <w:szCs w:val="21"/>
              </w:rPr>
              <w:t>从表面沿</w:t>
            </w:r>
            <w:r>
              <w:rPr>
                <w:rStyle w:val="54"/>
                <w:rFonts w:hint="eastAsia" w:ascii="Arial" w:hAnsi="Arial" w:cs="Arial" w:eastAsiaTheme="minorEastAsia"/>
                <w:color w:val="auto"/>
              </w:rPr>
              <w:t>原始</w:t>
            </w:r>
            <w:r>
              <w:rPr>
                <w:rStyle w:val="54"/>
                <w:rFonts w:ascii="Arial" w:hAnsi="Arial" w:cs="Arial" w:eastAsiaTheme="minorEastAsia"/>
                <w:color w:val="auto"/>
              </w:rPr>
              <w:t>颗粒</w:t>
            </w:r>
            <w:r>
              <w:rPr>
                <w:rStyle w:val="54"/>
                <w:rFonts w:hint="eastAsia" w:ascii="Arial" w:hAnsi="Arial" w:cs="Arial" w:eastAsiaTheme="minorEastAsia"/>
                <w:color w:val="auto"/>
              </w:rPr>
              <w:t>边</w:t>
            </w:r>
            <w:r>
              <w:rPr>
                <w:rStyle w:val="54"/>
                <w:rFonts w:ascii="Arial" w:hAnsi="Arial" w:cs="Arial" w:eastAsiaTheme="minorEastAsia"/>
                <w:color w:val="auto"/>
              </w:rPr>
              <w:t>界</w:t>
            </w:r>
            <w:r>
              <w:rPr>
                <w:rFonts w:ascii="Arial" w:hAnsi="Arial" w:cs="Arial" w:eastAsiaTheme="minorEastAsia"/>
                <w:color w:val="auto"/>
                <w:szCs w:val="21"/>
              </w:rPr>
              <w:t>伸展到零件内部的不能用物理方法(诸如旋转滚磨)去除的氧化物。</w:t>
            </w:r>
          </w:p>
          <w:p w14:paraId="25179189">
            <w:pPr>
              <w:rPr>
                <w:rFonts w:ascii="Times New Roman" w:hAnsi="Times New Roman" w:cs="Times New Roman" w:eastAsiaTheme="minorEastAsia"/>
                <w:color w:val="auto"/>
              </w:rPr>
            </w:pPr>
          </w:p>
        </w:tc>
        <w:tc>
          <w:tcPr>
            <w:tcW w:w="2663" w:type="dxa"/>
            <w:tcBorders>
              <w:top w:val="single" w:color="auto" w:sz="4" w:space="0"/>
              <w:left w:val="single" w:color="auto" w:sz="4" w:space="0"/>
              <w:bottom w:val="single" w:color="auto" w:sz="4" w:space="0"/>
              <w:right w:val="single" w:color="auto" w:sz="4" w:space="0"/>
            </w:tcBorders>
            <w:shd w:val="clear" w:color="auto" w:fill="auto"/>
          </w:tcPr>
          <w:p w14:paraId="1436F9EE">
            <w:pPr>
              <w:rPr>
                <w:rFonts w:ascii="等线" w:hAnsi="等线" w:eastAsia="等线" w:cstheme="minorBidi"/>
                <w:color w:val="auto"/>
                <w:szCs w:val="21"/>
              </w:rPr>
            </w:pPr>
            <w:r>
              <w:rPr>
                <w:rFonts w:hint="eastAsia" w:ascii="等线" w:hAnsi="等线" w:eastAsia="等线" w:cstheme="minorBidi"/>
                <w:color w:val="auto"/>
                <w:szCs w:val="21"/>
              </w:rPr>
              <w:t>表面指状氧化物</w:t>
            </w:r>
          </w:p>
          <w:p w14:paraId="1C1EEC0A">
            <w:pPr>
              <w:rPr>
                <w:rFonts w:ascii="等线" w:hAnsi="等线" w:eastAsia="等线" w:cstheme="minorBidi"/>
                <w:color w:val="auto"/>
                <w:szCs w:val="21"/>
              </w:rPr>
            </w:pPr>
            <w:r>
              <w:rPr>
                <w:rFonts w:hint="eastAsia" w:ascii="等线" w:hAnsi="等线" w:eastAsia="等线" w:cstheme="minorBidi"/>
                <w:color w:val="auto"/>
                <w:szCs w:val="21"/>
              </w:rPr>
              <w:t>氧化物，沿着原本的颗粒边界从表面进入内部，无法通过旋转滚磨等物理手段去除</w:t>
            </w:r>
          </w:p>
        </w:tc>
        <w:tc>
          <w:tcPr>
            <w:tcW w:w="2125" w:type="dxa"/>
            <w:tcBorders>
              <w:top w:val="single" w:color="auto" w:sz="4" w:space="0"/>
              <w:left w:val="single" w:color="auto" w:sz="4" w:space="0"/>
              <w:bottom w:val="single" w:color="auto" w:sz="4" w:space="0"/>
              <w:right w:val="single" w:color="auto" w:sz="4" w:space="0"/>
            </w:tcBorders>
          </w:tcPr>
          <w:p w14:paraId="69520788">
            <w:pPr>
              <w:rPr>
                <w:rFonts w:ascii="等线" w:hAnsi="等线" w:eastAsia="等线" w:cstheme="minorBidi"/>
                <w:color w:val="auto"/>
                <w:szCs w:val="21"/>
              </w:rPr>
            </w:pPr>
            <w:r>
              <w:rPr>
                <w:rFonts w:hint="eastAsia" w:ascii="等线" w:hAnsi="等线" w:eastAsia="等线" w:cstheme="minorBidi"/>
                <w:color w:val="auto"/>
                <w:szCs w:val="21"/>
              </w:rPr>
              <w:t xml:space="preserve">表层指状氧化物  </w:t>
            </w:r>
          </w:p>
          <w:p w14:paraId="0AF7ECB0">
            <w:pPr>
              <w:rPr>
                <w:rFonts w:ascii="等线" w:hAnsi="等线" w:eastAsia="等线" w:cstheme="minorBidi"/>
                <w:color w:val="auto"/>
                <w:szCs w:val="21"/>
              </w:rPr>
            </w:pPr>
            <w:r>
              <w:rPr>
                <w:rFonts w:hint="eastAsia" w:ascii="等线" w:hAnsi="等线" w:eastAsia="等线" w:cstheme="minorBidi"/>
                <w:color w:val="auto"/>
                <w:szCs w:val="21"/>
              </w:rPr>
              <w:t>从表面沿原颗粒界伸展到零件内部的不能用物理方法(诸如旋转滚磨)去除的氧化物。</w:t>
            </w:r>
          </w:p>
        </w:tc>
      </w:tr>
      <w:tr w14:paraId="7B00B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6" w:hRule="atLeast"/>
          <w:jc w:val="center"/>
        </w:trPr>
        <w:tc>
          <w:tcPr>
            <w:tcW w:w="672" w:type="dxa"/>
            <w:tcBorders>
              <w:top w:val="single" w:color="auto" w:sz="4" w:space="0"/>
              <w:left w:val="single" w:color="auto" w:sz="4" w:space="0"/>
              <w:bottom w:val="single" w:color="auto" w:sz="4" w:space="0"/>
              <w:right w:val="single" w:color="auto" w:sz="4" w:space="0"/>
            </w:tcBorders>
            <w:shd w:val="clear" w:color="auto" w:fill="auto"/>
          </w:tcPr>
          <w:p w14:paraId="7ED6E93F">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3.3.72</w:t>
            </w:r>
          </w:p>
        </w:tc>
        <w:tc>
          <w:tcPr>
            <w:tcW w:w="2450" w:type="dxa"/>
            <w:tcBorders>
              <w:top w:val="single" w:color="auto" w:sz="4" w:space="0"/>
              <w:left w:val="single" w:color="auto" w:sz="4" w:space="0"/>
              <w:bottom w:val="single" w:color="auto" w:sz="4" w:space="0"/>
              <w:right w:val="single" w:color="auto" w:sz="4" w:space="0"/>
            </w:tcBorders>
            <w:shd w:val="clear" w:color="auto" w:fill="auto"/>
          </w:tcPr>
          <w:p w14:paraId="15BF0ADA">
            <w:pPr>
              <w:spacing w:before="120" w:after="120"/>
              <w:jc w:val="left"/>
              <w:rPr>
                <w:rFonts w:ascii="Times New Roman" w:hAnsi="Times New Roman" w:cs="Times New Roman" w:eastAsiaTheme="minorEastAsia"/>
                <w:b/>
                <w:bCs/>
                <w:color w:val="auto"/>
              </w:rPr>
            </w:pPr>
            <w:r>
              <w:rPr>
                <w:rFonts w:ascii="Times New Roman" w:hAnsi="Times New Roman" w:eastAsia="等线" w:cs="Times New Roman"/>
                <w:b/>
                <w:bCs/>
                <w:color w:val="auto"/>
                <w:sz w:val="22"/>
              </w:rPr>
              <w:t xml:space="preserve">undersintering  </w:t>
            </w:r>
          </w:p>
          <w:p w14:paraId="5D101580">
            <w:pPr>
              <w:spacing w:before="120" w:after="120"/>
              <w:jc w:val="left"/>
              <w:rPr>
                <w:rFonts w:ascii="Times New Roman" w:hAnsi="Times New Roman" w:cs="Times New Roman" w:eastAsiaTheme="minorEastAsia"/>
                <w:color w:val="auto"/>
              </w:rPr>
            </w:pPr>
            <w:r>
              <w:rPr>
                <w:rFonts w:ascii="Times New Roman" w:hAnsi="Times New Roman" w:eastAsia="等线" w:cs="Times New Roman"/>
                <w:color w:val="auto"/>
                <w:sz w:val="22"/>
              </w:rPr>
              <w:t>sintering at too low a temperature and/or for too short a time such that inferior properties result</w:t>
            </w:r>
          </w:p>
        </w:tc>
        <w:tc>
          <w:tcPr>
            <w:tcW w:w="2102" w:type="dxa"/>
            <w:tcBorders>
              <w:top w:val="single" w:color="auto" w:sz="4" w:space="0"/>
              <w:left w:val="single" w:color="auto" w:sz="4" w:space="0"/>
              <w:bottom w:val="single" w:color="auto" w:sz="4" w:space="0"/>
              <w:right w:val="single" w:color="auto" w:sz="4" w:space="0"/>
            </w:tcBorders>
            <w:shd w:val="clear" w:color="auto" w:fill="auto"/>
          </w:tcPr>
          <w:p w14:paraId="4D15B434">
            <w:pPr>
              <w:rPr>
                <w:rFonts w:ascii="等线" w:hAnsi="等线" w:eastAsia="等线" w:cstheme="minorBidi"/>
                <w:color w:val="auto"/>
                <w:szCs w:val="21"/>
              </w:rPr>
            </w:pPr>
            <w:r>
              <w:rPr>
                <w:rFonts w:ascii="Arial" w:hAnsi="Arial" w:eastAsia="等线" w:cs="Arial"/>
                <w:color w:val="auto"/>
                <w:sz w:val="22"/>
              </w:rPr>
              <w:t>欠烧（undersintering）：烧结温度过低和（或）烧结时间过短致使产品未达到所需性能的烧结。</w:t>
            </w:r>
          </w:p>
        </w:tc>
        <w:tc>
          <w:tcPr>
            <w:tcW w:w="2376" w:type="dxa"/>
            <w:tcBorders>
              <w:top w:val="single" w:color="auto" w:sz="4" w:space="0"/>
              <w:left w:val="single" w:color="auto" w:sz="4" w:space="0"/>
              <w:bottom w:val="single" w:color="auto" w:sz="4" w:space="0"/>
              <w:right w:val="single" w:color="auto" w:sz="4" w:space="0"/>
            </w:tcBorders>
            <w:shd w:val="clear" w:color="auto" w:fill="auto"/>
          </w:tcPr>
          <w:p w14:paraId="54AF0D86">
            <w:pPr>
              <w:rPr>
                <w:rFonts w:ascii="Times New Roman" w:hAnsi="Times New Roman" w:cs="Times New Roman" w:eastAsiaTheme="minorEastAsia"/>
                <w:b/>
                <w:color w:val="auto"/>
              </w:rPr>
            </w:pPr>
            <w:r>
              <w:rPr>
                <w:rFonts w:ascii="Times New Roman" w:hAnsi="Times New Roman" w:cs="Times New Roman" w:eastAsiaTheme="minorEastAsia"/>
                <w:b/>
                <w:color w:val="auto"/>
              </w:rPr>
              <w:t>undersintering</w:t>
            </w:r>
          </w:p>
          <w:p w14:paraId="5AA6B754">
            <w:pPr>
              <w:rPr>
                <w:rFonts w:ascii="等线" w:hAnsi="等线" w:eastAsia="等线" w:cstheme="minorBidi"/>
                <w:color w:val="auto"/>
                <w:szCs w:val="21"/>
              </w:rPr>
            </w:pPr>
            <w:r>
              <w:rPr>
                <w:rFonts w:ascii="Times New Roman" w:hAnsi="Times New Roman" w:cs="Times New Roman" w:eastAsiaTheme="minorEastAsia"/>
                <w:color w:val="auto"/>
              </w:rPr>
              <w:t>sintering at too low a temperature and/or for too short a time such that inferior properties result</w:t>
            </w:r>
          </w:p>
        </w:tc>
        <w:tc>
          <w:tcPr>
            <w:tcW w:w="3044" w:type="dxa"/>
            <w:tcBorders>
              <w:top w:val="single" w:color="auto" w:sz="4" w:space="0"/>
              <w:left w:val="single" w:color="auto" w:sz="4" w:space="0"/>
              <w:bottom w:val="single" w:color="auto" w:sz="4" w:space="0"/>
              <w:right w:val="single" w:color="auto" w:sz="4" w:space="0"/>
            </w:tcBorders>
            <w:shd w:val="clear" w:color="auto" w:fill="DAE3F3" w:themeFill="accent1" w:themeFillTint="32"/>
          </w:tcPr>
          <w:p w14:paraId="48D3EFB3">
            <w:pPr>
              <w:pStyle w:val="32"/>
              <w:ind w:firstLine="442"/>
              <w:rPr>
                <w:rStyle w:val="54"/>
                <w:rFonts w:ascii="黑体" w:hAnsi="黑体" w:eastAsia="黑体" w:cs="黑体"/>
                <w:b w:val="0"/>
                <w:bCs w:val="0"/>
                <w:color w:val="auto"/>
              </w:rPr>
            </w:pPr>
            <w:r>
              <w:rPr>
                <w:rStyle w:val="54"/>
                <w:rFonts w:hint="eastAsia" w:ascii="黑体" w:hAnsi="黑体" w:eastAsia="黑体" w:cs="黑体"/>
                <w:color w:val="auto"/>
              </w:rPr>
              <w:t>欠烧  undersintering</w:t>
            </w:r>
          </w:p>
          <w:p w14:paraId="059F8C3C">
            <w:pPr>
              <w:ind w:firstLine="420"/>
              <w:rPr>
                <w:rFonts w:ascii="Arial" w:hAnsi="Arial" w:cs="Arial" w:eastAsiaTheme="minorEastAsia"/>
                <w:color w:val="auto"/>
                <w:szCs w:val="21"/>
              </w:rPr>
            </w:pPr>
            <w:r>
              <w:rPr>
                <w:rFonts w:ascii="Arial" w:hAnsi="Arial" w:cs="Arial" w:eastAsiaTheme="minorEastAsia"/>
                <w:color w:val="auto"/>
                <w:szCs w:val="21"/>
              </w:rPr>
              <w:t>烧结温度过低和(或)烧结时间过短致使产品未达到所需性能的烧结</w:t>
            </w:r>
            <w:r>
              <w:rPr>
                <w:rFonts w:hint="eastAsia" w:ascii="Arial" w:hAnsi="Arial" w:cs="Arial" w:eastAsiaTheme="minorEastAsia"/>
                <w:color w:val="auto"/>
                <w:szCs w:val="21"/>
              </w:rPr>
              <w:t>现象</w:t>
            </w:r>
            <w:r>
              <w:rPr>
                <w:rFonts w:ascii="Arial" w:hAnsi="Arial" w:cs="Arial" w:eastAsiaTheme="minorEastAsia"/>
                <w:color w:val="auto"/>
                <w:szCs w:val="21"/>
              </w:rPr>
              <w:t>。</w:t>
            </w:r>
          </w:p>
          <w:p w14:paraId="54D383FB">
            <w:pPr>
              <w:rPr>
                <w:rFonts w:ascii="Times New Roman" w:hAnsi="Times New Roman" w:cs="Times New Roman" w:eastAsiaTheme="minorEastAsia"/>
                <w:color w:val="auto"/>
              </w:rPr>
            </w:pPr>
          </w:p>
        </w:tc>
        <w:tc>
          <w:tcPr>
            <w:tcW w:w="2663" w:type="dxa"/>
            <w:tcBorders>
              <w:top w:val="single" w:color="auto" w:sz="4" w:space="0"/>
              <w:left w:val="single" w:color="auto" w:sz="4" w:space="0"/>
              <w:bottom w:val="single" w:color="auto" w:sz="4" w:space="0"/>
              <w:right w:val="single" w:color="auto" w:sz="4" w:space="0"/>
            </w:tcBorders>
            <w:shd w:val="clear" w:color="auto" w:fill="auto"/>
          </w:tcPr>
          <w:p w14:paraId="517B1823">
            <w:pPr>
              <w:rPr>
                <w:rFonts w:ascii="等线" w:hAnsi="等线" w:eastAsia="等线" w:cstheme="minorBidi"/>
                <w:color w:val="auto"/>
                <w:szCs w:val="21"/>
              </w:rPr>
            </w:pPr>
            <w:r>
              <w:rPr>
                <w:rFonts w:hint="eastAsia" w:ascii="等线" w:hAnsi="等线" w:eastAsia="等线" w:cstheme="minorBidi"/>
                <w:color w:val="auto"/>
                <w:szCs w:val="21"/>
              </w:rPr>
              <w:t>欠烧</w:t>
            </w:r>
          </w:p>
          <w:p w14:paraId="7A59DC64">
            <w:pPr>
              <w:rPr>
                <w:rFonts w:ascii="等线" w:hAnsi="等线" w:eastAsia="等线" w:cstheme="minorBidi"/>
                <w:color w:val="auto"/>
                <w:szCs w:val="21"/>
              </w:rPr>
            </w:pPr>
            <w:r>
              <w:rPr>
                <w:rFonts w:hint="eastAsia" w:ascii="等线" w:hAnsi="等线" w:eastAsia="等线" w:cstheme="minorBidi"/>
                <w:color w:val="auto"/>
                <w:szCs w:val="21"/>
              </w:rPr>
              <w:t>在过低的温度和/或过短的时间内烧结，导致性能不佳</w:t>
            </w:r>
          </w:p>
        </w:tc>
        <w:tc>
          <w:tcPr>
            <w:tcW w:w="2125" w:type="dxa"/>
            <w:tcBorders>
              <w:top w:val="single" w:color="auto" w:sz="4" w:space="0"/>
              <w:left w:val="single" w:color="auto" w:sz="4" w:space="0"/>
              <w:bottom w:val="single" w:color="auto" w:sz="4" w:space="0"/>
              <w:right w:val="single" w:color="auto" w:sz="4" w:space="0"/>
            </w:tcBorders>
          </w:tcPr>
          <w:p w14:paraId="6468D4D3">
            <w:pPr>
              <w:rPr>
                <w:rFonts w:ascii="等线" w:hAnsi="等线" w:eastAsia="等线" w:cstheme="minorBidi"/>
                <w:color w:val="auto"/>
                <w:szCs w:val="21"/>
              </w:rPr>
            </w:pPr>
            <w:r>
              <w:rPr>
                <w:rFonts w:hint="eastAsia" w:ascii="等线" w:hAnsi="等线" w:eastAsia="等线" w:cstheme="minorBidi"/>
                <w:color w:val="auto"/>
                <w:szCs w:val="21"/>
              </w:rPr>
              <w:t xml:space="preserve">欠烧  </w:t>
            </w:r>
          </w:p>
          <w:p w14:paraId="24B97D18">
            <w:pPr>
              <w:rPr>
                <w:rFonts w:ascii="等线" w:hAnsi="等线" w:eastAsia="等线" w:cstheme="minorBidi"/>
                <w:color w:val="auto"/>
                <w:szCs w:val="21"/>
              </w:rPr>
            </w:pPr>
            <w:r>
              <w:rPr>
                <w:rFonts w:hint="eastAsia" w:ascii="等线" w:hAnsi="等线" w:eastAsia="等线" w:cstheme="minorBidi"/>
                <w:color w:val="auto"/>
                <w:szCs w:val="21"/>
              </w:rPr>
              <w:t>烧结温度过低和(或)烧结时间过短致使产品未达到所需性能的烧结。</w:t>
            </w:r>
          </w:p>
        </w:tc>
      </w:tr>
      <w:tr w14:paraId="7E8DF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6" w:hRule="atLeast"/>
          <w:jc w:val="center"/>
        </w:trPr>
        <w:tc>
          <w:tcPr>
            <w:tcW w:w="672" w:type="dxa"/>
            <w:shd w:val="clear" w:color="auto" w:fill="auto"/>
          </w:tcPr>
          <w:p w14:paraId="6695A0ED">
            <w:pPr>
              <w:rPr>
                <w:rFonts w:asciiTheme="minorHAnsi" w:hAnsiTheme="minorHAnsi" w:eastAsiaTheme="minorEastAsia" w:cstheme="minorBidi"/>
                <w:color w:val="auto"/>
                <w:szCs w:val="21"/>
              </w:rPr>
            </w:pPr>
            <w:r>
              <w:rPr>
                <w:rFonts w:hint="eastAsia" w:asciiTheme="minorHAnsi" w:hAnsiTheme="minorHAnsi" w:eastAsiaTheme="minorEastAsia" w:cstheme="minorBidi"/>
                <w:color w:val="auto"/>
                <w:szCs w:val="21"/>
              </w:rPr>
              <w:t>3.5.5</w:t>
            </w:r>
          </w:p>
        </w:tc>
        <w:tc>
          <w:tcPr>
            <w:tcW w:w="2450" w:type="dxa"/>
            <w:shd w:val="clear" w:color="auto" w:fill="auto"/>
          </w:tcPr>
          <w:p w14:paraId="154B9BC3">
            <w:pPr>
              <w:spacing w:before="120" w:after="120"/>
              <w:jc w:val="left"/>
              <w:rPr>
                <w:rFonts w:ascii="Times New Roman" w:hAnsi="Times New Roman" w:cs="Times New Roman" w:eastAsiaTheme="minorEastAsia"/>
                <w:color w:val="auto"/>
              </w:rPr>
            </w:pPr>
            <w:r>
              <w:rPr>
                <w:rFonts w:ascii="Times New Roman" w:hAnsi="Times New Roman" w:eastAsia="等线" w:cs="Times New Roman"/>
                <w:b/>
                <w:bCs/>
                <w:color w:val="auto"/>
                <w:sz w:val="22"/>
              </w:rPr>
              <w:t>oil-retaining bearing</w:t>
            </w:r>
            <w:r>
              <w:rPr>
                <w:rFonts w:ascii="Times New Roman" w:hAnsi="Times New Roman" w:eastAsia="等线" w:cs="Times New Roman"/>
                <w:color w:val="auto"/>
                <w:sz w:val="22"/>
              </w:rPr>
              <w:t xml:space="preserve">  </w:t>
            </w:r>
          </w:p>
          <w:p w14:paraId="10A33E64">
            <w:pPr>
              <w:spacing w:before="120" w:after="120"/>
              <w:jc w:val="left"/>
              <w:rPr>
                <w:rFonts w:ascii="Times New Roman" w:hAnsi="Times New Roman" w:cs="Times New Roman" w:eastAsiaTheme="minorEastAsia"/>
                <w:color w:val="auto"/>
              </w:rPr>
            </w:pPr>
            <w:r>
              <w:rPr>
                <w:rFonts w:ascii="Times New Roman" w:hAnsi="Times New Roman" w:eastAsia="等线" w:cs="Times New Roman"/>
                <w:color w:val="auto"/>
                <w:sz w:val="22"/>
              </w:rPr>
              <w:t>sintered bearing, the open pores of which are impregnated with a lubricating liquid</w:t>
            </w:r>
          </w:p>
        </w:tc>
        <w:tc>
          <w:tcPr>
            <w:tcW w:w="2102" w:type="dxa"/>
            <w:shd w:val="clear" w:color="auto" w:fill="auto"/>
          </w:tcPr>
          <w:p w14:paraId="619D3ECB">
            <w:pPr>
              <w:rPr>
                <w:rFonts w:ascii="等线" w:hAnsi="等线" w:eastAsia="等线" w:cstheme="minorBidi"/>
                <w:color w:val="auto"/>
                <w:szCs w:val="21"/>
              </w:rPr>
            </w:pPr>
            <w:r>
              <w:rPr>
                <w:rFonts w:ascii="Arial" w:hAnsi="Arial" w:eastAsia="等线" w:cs="Arial"/>
                <w:color w:val="auto"/>
                <w:sz w:val="22"/>
              </w:rPr>
              <w:t>含油轴承（oil-retaining bearing）：其中的开孔浸渍以润滑油的烧结轴承。</w:t>
            </w:r>
          </w:p>
        </w:tc>
        <w:tc>
          <w:tcPr>
            <w:tcW w:w="2376" w:type="dxa"/>
            <w:shd w:val="clear" w:color="auto" w:fill="auto"/>
          </w:tcPr>
          <w:p w14:paraId="687EE1FD">
            <w:pPr>
              <w:rPr>
                <w:rFonts w:ascii="Times New Roman" w:hAnsi="Times New Roman" w:cs="Times New Roman" w:eastAsiaTheme="minorEastAsia"/>
                <w:b/>
                <w:color w:val="auto"/>
              </w:rPr>
            </w:pPr>
            <w:r>
              <w:rPr>
                <w:rFonts w:ascii="Times New Roman" w:hAnsi="Times New Roman" w:cs="Times New Roman" w:eastAsiaTheme="minorEastAsia"/>
                <w:b/>
                <w:color w:val="auto"/>
              </w:rPr>
              <w:t>oil-retaining bearing</w:t>
            </w:r>
          </w:p>
          <w:p w14:paraId="66B0847E">
            <w:pPr>
              <w:rPr>
                <w:rFonts w:ascii="等线" w:hAnsi="等线" w:eastAsia="等线" w:cstheme="minorBidi"/>
                <w:color w:val="auto"/>
                <w:szCs w:val="21"/>
              </w:rPr>
            </w:pPr>
            <w:r>
              <w:rPr>
                <w:rFonts w:ascii="Times New Roman" w:hAnsi="Times New Roman" w:cs="Times New Roman" w:eastAsiaTheme="minorEastAsia"/>
                <w:color w:val="auto"/>
              </w:rPr>
              <w:t>sintered bearing, the open pores of which are impregnated with a lubricating liquid</w:t>
            </w:r>
          </w:p>
        </w:tc>
        <w:tc>
          <w:tcPr>
            <w:tcW w:w="3044" w:type="dxa"/>
            <w:shd w:val="clear" w:color="auto" w:fill="DAE3F3" w:themeFill="accent1" w:themeFillTint="32"/>
          </w:tcPr>
          <w:p w14:paraId="1CD7D0F5">
            <w:pPr>
              <w:pStyle w:val="32"/>
              <w:rPr>
                <w:rFonts w:ascii="黑体" w:hAnsi="黑体" w:eastAsia="黑体" w:cs="黑体"/>
                <w:color w:val="auto"/>
                <w:szCs w:val="21"/>
              </w:rPr>
            </w:pPr>
            <w:r>
              <w:rPr>
                <w:rFonts w:hint="eastAsia" w:ascii="黑体" w:hAnsi="黑体" w:eastAsia="黑体" w:cs="黑体"/>
                <w:color w:val="auto"/>
                <w:szCs w:val="21"/>
              </w:rPr>
              <w:t>含油轴承  oil-retaining bearing</w:t>
            </w:r>
          </w:p>
          <w:p w14:paraId="1E781229">
            <w:pPr>
              <w:ind w:firstLine="420"/>
              <w:rPr>
                <w:rFonts w:ascii="Arial" w:hAnsi="Arial" w:cs="Arial" w:eastAsiaTheme="minorEastAsia"/>
                <w:color w:val="auto"/>
                <w:szCs w:val="21"/>
              </w:rPr>
            </w:pPr>
            <w:r>
              <w:rPr>
                <w:rFonts w:hint="eastAsia" w:ascii="Arial" w:hAnsi="Arial" w:cs="Arial" w:eastAsiaTheme="minorEastAsia"/>
                <w:color w:val="auto"/>
                <w:szCs w:val="21"/>
              </w:rPr>
              <w:t>烧结轴承，其开孔用润滑液浸润。</w:t>
            </w:r>
          </w:p>
          <w:p w14:paraId="7F5D697C">
            <w:pPr>
              <w:rPr>
                <w:rFonts w:ascii="Times New Roman" w:hAnsi="Times New Roman" w:cs="Times New Roman" w:eastAsiaTheme="minorEastAsia"/>
                <w:color w:val="auto"/>
              </w:rPr>
            </w:pPr>
          </w:p>
        </w:tc>
        <w:tc>
          <w:tcPr>
            <w:tcW w:w="2663" w:type="dxa"/>
            <w:shd w:val="clear" w:color="auto" w:fill="auto"/>
          </w:tcPr>
          <w:p w14:paraId="3DA4BBE6">
            <w:pPr>
              <w:rPr>
                <w:rFonts w:ascii="等线" w:hAnsi="等线" w:eastAsia="等线" w:cstheme="minorBidi"/>
                <w:color w:val="auto"/>
                <w:szCs w:val="21"/>
              </w:rPr>
            </w:pPr>
            <w:r>
              <w:rPr>
                <w:rFonts w:hint="eastAsia" w:ascii="等线" w:hAnsi="等线" w:eastAsia="等线" w:cstheme="minorBidi"/>
                <w:color w:val="auto"/>
                <w:szCs w:val="21"/>
              </w:rPr>
              <w:t>油用轴承</w:t>
            </w:r>
          </w:p>
          <w:p w14:paraId="73C93826">
            <w:pPr>
              <w:rPr>
                <w:rFonts w:ascii="等线" w:hAnsi="等线" w:eastAsia="等线" w:cstheme="minorBidi"/>
                <w:color w:val="auto"/>
                <w:szCs w:val="21"/>
              </w:rPr>
            </w:pPr>
            <w:r>
              <w:rPr>
                <w:rFonts w:hint="eastAsia" w:ascii="等线" w:hAnsi="等线" w:eastAsia="等线" w:cstheme="minorBidi"/>
                <w:color w:val="auto"/>
                <w:szCs w:val="21"/>
              </w:rPr>
              <w:t>烧结轴承，其开孔用润滑液浸润</w:t>
            </w:r>
          </w:p>
        </w:tc>
        <w:tc>
          <w:tcPr>
            <w:tcW w:w="2125" w:type="dxa"/>
          </w:tcPr>
          <w:p w14:paraId="097C0298">
            <w:pPr>
              <w:rPr>
                <w:rFonts w:ascii="等线" w:hAnsi="等线" w:eastAsia="等线" w:cstheme="minorBidi"/>
                <w:color w:val="auto"/>
                <w:szCs w:val="21"/>
              </w:rPr>
            </w:pPr>
            <w:r>
              <w:rPr>
                <w:rFonts w:hint="eastAsia" w:ascii="等线" w:hAnsi="等线" w:eastAsia="等线" w:cstheme="minorBidi"/>
                <w:color w:val="auto"/>
                <w:szCs w:val="21"/>
              </w:rPr>
              <w:t xml:space="preserve">含油轴承  </w:t>
            </w:r>
          </w:p>
          <w:p w14:paraId="757C2D33">
            <w:pPr>
              <w:rPr>
                <w:rFonts w:ascii="等线" w:hAnsi="等线" w:eastAsia="等线" w:cstheme="minorBidi"/>
                <w:color w:val="auto"/>
                <w:szCs w:val="21"/>
              </w:rPr>
            </w:pPr>
            <w:r>
              <w:rPr>
                <w:rFonts w:hint="eastAsia" w:ascii="等线" w:hAnsi="等线" w:eastAsia="等线" w:cstheme="minorBidi"/>
                <w:color w:val="auto"/>
                <w:szCs w:val="21"/>
              </w:rPr>
              <w:t>其中的开孔浸渍以润滑油的烧结轴承。</w:t>
            </w:r>
          </w:p>
          <w:p w14:paraId="37DEEF45">
            <w:pPr>
              <w:rPr>
                <w:rFonts w:ascii="等线" w:hAnsi="等线" w:eastAsia="等线" w:cstheme="minorBidi"/>
                <w:color w:val="auto"/>
                <w:szCs w:val="21"/>
              </w:rPr>
            </w:pPr>
          </w:p>
        </w:tc>
      </w:tr>
    </w:tbl>
    <w:p w14:paraId="27B1BE8B">
      <w:pPr>
        <w:rPr>
          <w:color w:val="auto"/>
        </w:rPr>
      </w:pPr>
    </w:p>
    <w:p w14:paraId="46393C4E">
      <w:pPr>
        <w:spacing w:line="300" w:lineRule="exact"/>
        <w:rPr>
          <w:rFonts w:asciiTheme="minorHAnsi" w:hAnsiTheme="minorHAnsi" w:cstheme="minorHAnsi"/>
          <w:color w:val="auto"/>
          <w:sz w:val="22"/>
        </w:rPr>
      </w:pPr>
    </w:p>
    <w:p w14:paraId="0252BEE9">
      <w:pPr>
        <w:tabs>
          <w:tab w:val="left" w:pos="670"/>
        </w:tabs>
        <w:spacing w:line="360" w:lineRule="auto"/>
        <w:ind w:firstLine="352" w:firstLineChars="147"/>
        <w:jc w:val="center"/>
        <w:rPr>
          <w:rFonts w:ascii="宋体" w:hAnsi="宋体"/>
          <w:color w:val="auto"/>
          <w:sz w:val="24"/>
        </w:rPr>
      </w:pPr>
    </w:p>
    <w:sectPr>
      <w:pgSz w:w="16838" w:h="11906" w:orient="landscape"/>
      <w:pgMar w:top="1440" w:right="1440" w:bottom="1440" w:left="1440"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Cambria-Bold">
    <w:altName w:val="Cambria"/>
    <w:panose1 w:val="00000000000000000000"/>
    <w:charset w:val="00"/>
    <w:family w:val="roman"/>
    <w:pitch w:val="default"/>
    <w:sig w:usb0="00000000" w:usb1="00000000" w:usb2="00000000" w:usb3="00000000" w:csb0="00000000" w:csb1="00000000"/>
  </w:font>
  <w:font w:name="Calibri Light">
    <w:panose1 w:val="020F03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505"/>
    <w:rsid w:val="00001549"/>
    <w:rsid w:val="00001E70"/>
    <w:rsid w:val="000034DF"/>
    <w:rsid w:val="00005907"/>
    <w:rsid w:val="00010685"/>
    <w:rsid w:val="000127C5"/>
    <w:rsid w:val="00013D25"/>
    <w:rsid w:val="00014DA3"/>
    <w:rsid w:val="000258AB"/>
    <w:rsid w:val="00037CEA"/>
    <w:rsid w:val="000429ED"/>
    <w:rsid w:val="00042C4C"/>
    <w:rsid w:val="0004455A"/>
    <w:rsid w:val="00046AD6"/>
    <w:rsid w:val="00047037"/>
    <w:rsid w:val="000516BB"/>
    <w:rsid w:val="000567EB"/>
    <w:rsid w:val="00061EC8"/>
    <w:rsid w:val="00065421"/>
    <w:rsid w:val="00067F51"/>
    <w:rsid w:val="0007335E"/>
    <w:rsid w:val="000762A1"/>
    <w:rsid w:val="00081DBF"/>
    <w:rsid w:val="00082A4C"/>
    <w:rsid w:val="00086D01"/>
    <w:rsid w:val="000918E7"/>
    <w:rsid w:val="000944A8"/>
    <w:rsid w:val="00094944"/>
    <w:rsid w:val="0009688E"/>
    <w:rsid w:val="000A3A06"/>
    <w:rsid w:val="000A3DFD"/>
    <w:rsid w:val="000A538D"/>
    <w:rsid w:val="000A61A9"/>
    <w:rsid w:val="000B1DA0"/>
    <w:rsid w:val="000B2093"/>
    <w:rsid w:val="000B4BCB"/>
    <w:rsid w:val="000C34F6"/>
    <w:rsid w:val="000C3BA4"/>
    <w:rsid w:val="000C7E67"/>
    <w:rsid w:val="000D4F3F"/>
    <w:rsid w:val="000D6DD5"/>
    <w:rsid w:val="000E1B3D"/>
    <w:rsid w:val="000E3B99"/>
    <w:rsid w:val="000F390E"/>
    <w:rsid w:val="000F6C7D"/>
    <w:rsid w:val="001029B2"/>
    <w:rsid w:val="00104ADF"/>
    <w:rsid w:val="00114E28"/>
    <w:rsid w:val="00116BB2"/>
    <w:rsid w:val="00117512"/>
    <w:rsid w:val="00117B5F"/>
    <w:rsid w:val="00123564"/>
    <w:rsid w:val="001254DB"/>
    <w:rsid w:val="00126DD2"/>
    <w:rsid w:val="00127F08"/>
    <w:rsid w:val="0013781F"/>
    <w:rsid w:val="0015044A"/>
    <w:rsid w:val="0015474D"/>
    <w:rsid w:val="00156B09"/>
    <w:rsid w:val="001575DE"/>
    <w:rsid w:val="00163CFB"/>
    <w:rsid w:val="00165947"/>
    <w:rsid w:val="001671AA"/>
    <w:rsid w:val="00167993"/>
    <w:rsid w:val="00167A19"/>
    <w:rsid w:val="00176E6B"/>
    <w:rsid w:val="0017752D"/>
    <w:rsid w:val="00190BEE"/>
    <w:rsid w:val="001924EA"/>
    <w:rsid w:val="00193E26"/>
    <w:rsid w:val="001B2F9F"/>
    <w:rsid w:val="001B3989"/>
    <w:rsid w:val="001B406D"/>
    <w:rsid w:val="001B6E34"/>
    <w:rsid w:val="001C2648"/>
    <w:rsid w:val="001C326B"/>
    <w:rsid w:val="001C6628"/>
    <w:rsid w:val="001D313C"/>
    <w:rsid w:val="001D4AFC"/>
    <w:rsid w:val="001D52BC"/>
    <w:rsid w:val="001D6EFA"/>
    <w:rsid w:val="001E0FB1"/>
    <w:rsid w:val="001E176B"/>
    <w:rsid w:val="001E21B1"/>
    <w:rsid w:val="001E5480"/>
    <w:rsid w:val="001E6A1D"/>
    <w:rsid w:val="001F084F"/>
    <w:rsid w:val="001F346B"/>
    <w:rsid w:val="001F35D7"/>
    <w:rsid w:val="001F564A"/>
    <w:rsid w:val="001F6C17"/>
    <w:rsid w:val="002010D1"/>
    <w:rsid w:val="00204FE4"/>
    <w:rsid w:val="00207F0C"/>
    <w:rsid w:val="00213FDA"/>
    <w:rsid w:val="00225479"/>
    <w:rsid w:val="00225E6B"/>
    <w:rsid w:val="00232AE2"/>
    <w:rsid w:val="0023561F"/>
    <w:rsid w:val="002429F3"/>
    <w:rsid w:val="00243CF7"/>
    <w:rsid w:val="00245A69"/>
    <w:rsid w:val="00250D8C"/>
    <w:rsid w:val="002512D1"/>
    <w:rsid w:val="00252E36"/>
    <w:rsid w:val="002616D1"/>
    <w:rsid w:val="002672FA"/>
    <w:rsid w:val="002726DF"/>
    <w:rsid w:val="00280214"/>
    <w:rsid w:val="00286223"/>
    <w:rsid w:val="002914E8"/>
    <w:rsid w:val="0029173D"/>
    <w:rsid w:val="00291F87"/>
    <w:rsid w:val="002A669C"/>
    <w:rsid w:val="002A73AD"/>
    <w:rsid w:val="002A79A3"/>
    <w:rsid w:val="002B0EE1"/>
    <w:rsid w:val="002B19D6"/>
    <w:rsid w:val="002B47B4"/>
    <w:rsid w:val="002C7165"/>
    <w:rsid w:val="002D226A"/>
    <w:rsid w:val="002D2602"/>
    <w:rsid w:val="002D377A"/>
    <w:rsid w:val="002D6982"/>
    <w:rsid w:val="002F75CA"/>
    <w:rsid w:val="003002C1"/>
    <w:rsid w:val="00305298"/>
    <w:rsid w:val="00305CD5"/>
    <w:rsid w:val="003100C2"/>
    <w:rsid w:val="00310D8E"/>
    <w:rsid w:val="0032094C"/>
    <w:rsid w:val="00322ABD"/>
    <w:rsid w:val="00330DAF"/>
    <w:rsid w:val="00332F27"/>
    <w:rsid w:val="00333259"/>
    <w:rsid w:val="00333742"/>
    <w:rsid w:val="00342C6D"/>
    <w:rsid w:val="003440E9"/>
    <w:rsid w:val="00352418"/>
    <w:rsid w:val="00354E6A"/>
    <w:rsid w:val="0035537E"/>
    <w:rsid w:val="00355D78"/>
    <w:rsid w:val="00356CE6"/>
    <w:rsid w:val="00356D09"/>
    <w:rsid w:val="00360ECE"/>
    <w:rsid w:val="00362915"/>
    <w:rsid w:val="00364A86"/>
    <w:rsid w:val="003654CA"/>
    <w:rsid w:val="00365F4D"/>
    <w:rsid w:val="003713DF"/>
    <w:rsid w:val="00374C48"/>
    <w:rsid w:val="0037514F"/>
    <w:rsid w:val="003806BE"/>
    <w:rsid w:val="003843E9"/>
    <w:rsid w:val="00390225"/>
    <w:rsid w:val="003954B2"/>
    <w:rsid w:val="00395AB0"/>
    <w:rsid w:val="0039651D"/>
    <w:rsid w:val="003A1477"/>
    <w:rsid w:val="003A1EEB"/>
    <w:rsid w:val="003A4166"/>
    <w:rsid w:val="003A5035"/>
    <w:rsid w:val="003A71E6"/>
    <w:rsid w:val="003A75A1"/>
    <w:rsid w:val="003B3338"/>
    <w:rsid w:val="003C0421"/>
    <w:rsid w:val="003C0A1D"/>
    <w:rsid w:val="003D04AD"/>
    <w:rsid w:val="003D7127"/>
    <w:rsid w:val="003E36B0"/>
    <w:rsid w:val="003E5CC1"/>
    <w:rsid w:val="003E6E98"/>
    <w:rsid w:val="003F7840"/>
    <w:rsid w:val="00402505"/>
    <w:rsid w:val="004060D1"/>
    <w:rsid w:val="00406C91"/>
    <w:rsid w:val="00412464"/>
    <w:rsid w:val="004133E5"/>
    <w:rsid w:val="0042053D"/>
    <w:rsid w:val="00421434"/>
    <w:rsid w:val="00422174"/>
    <w:rsid w:val="00422C00"/>
    <w:rsid w:val="004239C3"/>
    <w:rsid w:val="00425713"/>
    <w:rsid w:val="00426213"/>
    <w:rsid w:val="00433ED0"/>
    <w:rsid w:val="004355E4"/>
    <w:rsid w:val="00437BF8"/>
    <w:rsid w:val="004455D3"/>
    <w:rsid w:val="00451F33"/>
    <w:rsid w:val="00452CD8"/>
    <w:rsid w:val="00453202"/>
    <w:rsid w:val="004540FD"/>
    <w:rsid w:val="00472A60"/>
    <w:rsid w:val="0047342A"/>
    <w:rsid w:val="004734BC"/>
    <w:rsid w:val="0047563C"/>
    <w:rsid w:val="004759A9"/>
    <w:rsid w:val="004777AD"/>
    <w:rsid w:val="0048146B"/>
    <w:rsid w:val="00483BB2"/>
    <w:rsid w:val="004847D4"/>
    <w:rsid w:val="00487032"/>
    <w:rsid w:val="004929BC"/>
    <w:rsid w:val="00494B51"/>
    <w:rsid w:val="004A1D01"/>
    <w:rsid w:val="004A45AA"/>
    <w:rsid w:val="004A70F6"/>
    <w:rsid w:val="004B6952"/>
    <w:rsid w:val="004B7642"/>
    <w:rsid w:val="004C2954"/>
    <w:rsid w:val="004C3158"/>
    <w:rsid w:val="004C3A56"/>
    <w:rsid w:val="004C50B7"/>
    <w:rsid w:val="004D58BB"/>
    <w:rsid w:val="004E16BF"/>
    <w:rsid w:val="004E51CA"/>
    <w:rsid w:val="004E5C36"/>
    <w:rsid w:val="004E652B"/>
    <w:rsid w:val="004E77F9"/>
    <w:rsid w:val="004F0DC9"/>
    <w:rsid w:val="004F670A"/>
    <w:rsid w:val="004F7933"/>
    <w:rsid w:val="004F7C95"/>
    <w:rsid w:val="00500CE7"/>
    <w:rsid w:val="00502F8D"/>
    <w:rsid w:val="00507336"/>
    <w:rsid w:val="00507630"/>
    <w:rsid w:val="0050776B"/>
    <w:rsid w:val="00507F45"/>
    <w:rsid w:val="0051258D"/>
    <w:rsid w:val="00514BF2"/>
    <w:rsid w:val="0052347C"/>
    <w:rsid w:val="00524363"/>
    <w:rsid w:val="00527B92"/>
    <w:rsid w:val="005335DC"/>
    <w:rsid w:val="005341EC"/>
    <w:rsid w:val="00541788"/>
    <w:rsid w:val="00552D56"/>
    <w:rsid w:val="0056061E"/>
    <w:rsid w:val="00561C25"/>
    <w:rsid w:val="005659C3"/>
    <w:rsid w:val="00575B4A"/>
    <w:rsid w:val="00577932"/>
    <w:rsid w:val="0058154E"/>
    <w:rsid w:val="00581C73"/>
    <w:rsid w:val="00587B14"/>
    <w:rsid w:val="00591C8F"/>
    <w:rsid w:val="0059309C"/>
    <w:rsid w:val="005954E5"/>
    <w:rsid w:val="00595D55"/>
    <w:rsid w:val="00595D6F"/>
    <w:rsid w:val="00596701"/>
    <w:rsid w:val="005A1255"/>
    <w:rsid w:val="005A59EA"/>
    <w:rsid w:val="005A6F66"/>
    <w:rsid w:val="005B6751"/>
    <w:rsid w:val="005C382A"/>
    <w:rsid w:val="005C4882"/>
    <w:rsid w:val="005C6389"/>
    <w:rsid w:val="005E585C"/>
    <w:rsid w:val="005E67C7"/>
    <w:rsid w:val="005F1DF8"/>
    <w:rsid w:val="005F7DE9"/>
    <w:rsid w:val="00602517"/>
    <w:rsid w:val="00603CCF"/>
    <w:rsid w:val="00605183"/>
    <w:rsid w:val="006135B5"/>
    <w:rsid w:val="006169D9"/>
    <w:rsid w:val="0061706F"/>
    <w:rsid w:val="00626FB0"/>
    <w:rsid w:val="00633D06"/>
    <w:rsid w:val="006354E1"/>
    <w:rsid w:val="00640D99"/>
    <w:rsid w:val="00642913"/>
    <w:rsid w:val="006454F4"/>
    <w:rsid w:val="0065259E"/>
    <w:rsid w:val="00655484"/>
    <w:rsid w:val="00657EA3"/>
    <w:rsid w:val="00660A5E"/>
    <w:rsid w:val="00661F5D"/>
    <w:rsid w:val="0066799D"/>
    <w:rsid w:val="006711BD"/>
    <w:rsid w:val="00671F68"/>
    <w:rsid w:val="006759C9"/>
    <w:rsid w:val="00677163"/>
    <w:rsid w:val="006776BC"/>
    <w:rsid w:val="0068056A"/>
    <w:rsid w:val="00681EE4"/>
    <w:rsid w:val="00687F9B"/>
    <w:rsid w:val="0069450B"/>
    <w:rsid w:val="006A30A2"/>
    <w:rsid w:val="006A3403"/>
    <w:rsid w:val="006A3FD4"/>
    <w:rsid w:val="006B2383"/>
    <w:rsid w:val="006B56E0"/>
    <w:rsid w:val="006C48C8"/>
    <w:rsid w:val="006C5F82"/>
    <w:rsid w:val="006D09A6"/>
    <w:rsid w:val="006D38D1"/>
    <w:rsid w:val="006D442E"/>
    <w:rsid w:val="006E02CB"/>
    <w:rsid w:val="00705D1F"/>
    <w:rsid w:val="00721388"/>
    <w:rsid w:val="00722064"/>
    <w:rsid w:val="007265AA"/>
    <w:rsid w:val="00732B34"/>
    <w:rsid w:val="007339DD"/>
    <w:rsid w:val="00733B2C"/>
    <w:rsid w:val="00736846"/>
    <w:rsid w:val="00736909"/>
    <w:rsid w:val="00747065"/>
    <w:rsid w:val="0075521B"/>
    <w:rsid w:val="0075607D"/>
    <w:rsid w:val="007573DF"/>
    <w:rsid w:val="0076232D"/>
    <w:rsid w:val="00762533"/>
    <w:rsid w:val="007668E2"/>
    <w:rsid w:val="0076705F"/>
    <w:rsid w:val="007734DA"/>
    <w:rsid w:val="007750AC"/>
    <w:rsid w:val="0078257E"/>
    <w:rsid w:val="00786259"/>
    <w:rsid w:val="00786AA4"/>
    <w:rsid w:val="00790D97"/>
    <w:rsid w:val="00791B9D"/>
    <w:rsid w:val="00795C4F"/>
    <w:rsid w:val="00796D65"/>
    <w:rsid w:val="007A19D5"/>
    <w:rsid w:val="007A3408"/>
    <w:rsid w:val="007A525A"/>
    <w:rsid w:val="007A6571"/>
    <w:rsid w:val="007A7BCA"/>
    <w:rsid w:val="007B504A"/>
    <w:rsid w:val="007B7EA3"/>
    <w:rsid w:val="007C10EA"/>
    <w:rsid w:val="007C3ADD"/>
    <w:rsid w:val="007C3FCF"/>
    <w:rsid w:val="007C459E"/>
    <w:rsid w:val="007D4295"/>
    <w:rsid w:val="007D585C"/>
    <w:rsid w:val="007D59BF"/>
    <w:rsid w:val="007D5C0F"/>
    <w:rsid w:val="007D6ED0"/>
    <w:rsid w:val="007D7C11"/>
    <w:rsid w:val="007E28E9"/>
    <w:rsid w:val="007F4558"/>
    <w:rsid w:val="007F4FBE"/>
    <w:rsid w:val="007F7BBC"/>
    <w:rsid w:val="0080271F"/>
    <w:rsid w:val="00805463"/>
    <w:rsid w:val="00806BCA"/>
    <w:rsid w:val="008106D0"/>
    <w:rsid w:val="00812AD1"/>
    <w:rsid w:val="00813AF7"/>
    <w:rsid w:val="00816A49"/>
    <w:rsid w:val="00822B79"/>
    <w:rsid w:val="00823931"/>
    <w:rsid w:val="00823E6B"/>
    <w:rsid w:val="0083272C"/>
    <w:rsid w:val="008360E8"/>
    <w:rsid w:val="0085026B"/>
    <w:rsid w:val="00851C1E"/>
    <w:rsid w:val="00854113"/>
    <w:rsid w:val="00854901"/>
    <w:rsid w:val="00855580"/>
    <w:rsid w:val="00865576"/>
    <w:rsid w:val="0088186F"/>
    <w:rsid w:val="0088264E"/>
    <w:rsid w:val="008862B8"/>
    <w:rsid w:val="00887818"/>
    <w:rsid w:val="00890C4E"/>
    <w:rsid w:val="00890CC1"/>
    <w:rsid w:val="008937DA"/>
    <w:rsid w:val="008A27DE"/>
    <w:rsid w:val="008A2842"/>
    <w:rsid w:val="008A7E2F"/>
    <w:rsid w:val="008B74A6"/>
    <w:rsid w:val="008C093E"/>
    <w:rsid w:val="008C7869"/>
    <w:rsid w:val="008C7A44"/>
    <w:rsid w:val="008C7DAC"/>
    <w:rsid w:val="008D2319"/>
    <w:rsid w:val="008D5D36"/>
    <w:rsid w:val="008E0AEC"/>
    <w:rsid w:val="008F0303"/>
    <w:rsid w:val="008F1279"/>
    <w:rsid w:val="008F1DB1"/>
    <w:rsid w:val="008F4AD4"/>
    <w:rsid w:val="0090111A"/>
    <w:rsid w:val="00907BF0"/>
    <w:rsid w:val="00910A57"/>
    <w:rsid w:val="00917784"/>
    <w:rsid w:val="0092541D"/>
    <w:rsid w:val="00926258"/>
    <w:rsid w:val="00927EBC"/>
    <w:rsid w:val="0093781A"/>
    <w:rsid w:val="009408BF"/>
    <w:rsid w:val="009416E3"/>
    <w:rsid w:val="009424D1"/>
    <w:rsid w:val="00943981"/>
    <w:rsid w:val="00945369"/>
    <w:rsid w:val="0094604D"/>
    <w:rsid w:val="009562B8"/>
    <w:rsid w:val="0096368D"/>
    <w:rsid w:val="00964095"/>
    <w:rsid w:val="0096695E"/>
    <w:rsid w:val="00972308"/>
    <w:rsid w:val="009748F1"/>
    <w:rsid w:val="00976067"/>
    <w:rsid w:val="009826D8"/>
    <w:rsid w:val="0099019E"/>
    <w:rsid w:val="00992201"/>
    <w:rsid w:val="009945A4"/>
    <w:rsid w:val="009A30D5"/>
    <w:rsid w:val="009C060C"/>
    <w:rsid w:val="009C1F78"/>
    <w:rsid w:val="009C2DAE"/>
    <w:rsid w:val="009C53E0"/>
    <w:rsid w:val="009D01A4"/>
    <w:rsid w:val="009E308B"/>
    <w:rsid w:val="009E5ED7"/>
    <w:rsid w:val="009F39DE"/>
    <w:rsid w:val="009F3E09"/>
    <w:rsid w:val="009F4CBC"/>
    <w:rsid w:val="009F6242"/>
    <w:rsid w:val="009F7BDC"/>
    <w:rsid w:val="00A01345"/>
    <w:rsid w:val="00A0185A"/>
    <w:rsid w:val="00A12BB0"/>
    <w:rsid w:val="00A216CE"/>
    <w:rsid w:val="00A26CF7"/>
    <w:rsid w:val="00A27A16"/>
    <w:rsid w:val="00A32A51"/>
    <w:rsid w:val="00A41E7F"/>
    <w:rsid w:val="00A41FC3"/>
    <w:rsid w:val="00A47CD0"/>
    <w:rsid w:val="00A60480"/>
    <w:rsid w:val="00A616BB"/>
    <w:rsid w:val="00A617D2"/>
    <w:rsid w:val="00A619ED"/>
    <w:rsid w:val="00A72656"/>
    <w:rsid w:val="00A800A6"/>
    <w:rsid w:val="00A81CD0"/>
    <w:rsid w:val="00A81D65"/>
    <w:rsid w:val="00A84766"/>
    <w:rsid w:val="00A857CF"/>
    <w:rsid w:val="00A8750D"/>
    <w:rsid w:val="00A8784D"/>
    <w:rsid w:val="00A95BF6"/>
    <w:rsid w:val="00AA4B2F"/>
    <w:rsid w:val="00AA5072"/>
    <w:rsid w:val="00AB0601"/>
    <w:rsid w:val="00AB4A8F"/>
    <w:rsid w:val="00AC088D"/>
    <w:rsid w:val="00AD189B"/>
    <w:rsid w:val="00AD5B88"/>
    <w:rsid w:val="00AD699A"/>
    <w:rsid w:val="00AD72D3"/>
    <w:rsid w:val="00AE2758"/>
    <w:rsid w:val="00AE7985"/>
    <w:rsid w:val="00AF6A5B"/>
    <w:rsid w:val="00B03E8B"/>
    <w:rsid w:val="00B043B8"/>
    <w:rsid w:val="00B04FEB"/>
    <w:rsid w:val="00B070B6"/>
    <w:rsid w:val="00B072FC"/>
    <w:rsid w:val="00B07AEA"/>
    <w:rsid w:val="00B21141"/>
    <w:rsid w:val="00B2513C"/>
    <w:rsid w:val="00B33925"/>
    <w:rsid w:val="00B352B1"/>
    <w:rsid w:val="00B35982"/>
    <w:rsid w:val="00B37DBD"/>
    <w:rsid w:val="00B45745"/>
    <w:rsid w:val="00B465E5"/>
    <w:rsid w:val="00B469F6"/>
    <w:rsid w:val="00B65934"/>
    <w:rsid w:val="00B70971"/>
    <w:rsid w:val="00B73B77"/>
    <w:rsid w:val="00B74470"/>
    <w:rsid w:val="00B76707"/>
    <w:rsid w:val="00B8079F"/>
    <w:rsid w:val="00B87C55"/>
    <w:rsid w:val="00B92604"/>
    <w:rsid w:val="00B92B6D"/>
    <w:rsid w:val="00B96694"/>
    <w:rsid w:val="00BA2B80"/>
    <w:rsid w:val="00BA5C36"/>
    <w:rsid w:val="00BA79B0"/>
    <w:rsid w:val="00BB0366"/>
    <w:rsid w:val="00BB1047"/>
    <w:rsid w:val="00BB2AD8"/>
    <w:rsid w:val="00BB623E"/>
    <w:rsid w:val="00BC00E1"/>
    <w:rsid w:val="00BC0923"/>
    <w:rsid w:val="00BC2506"/>
    <w:rsid w:val="00BD14AC"/>
    <w:rsid w:val="00BD59A2"/>
    <w:rsid w:val="00BE31DB"/>
    <w:rsid w:val="00BF2C2C"/>
    <w:rsid w:val="00BF5E9D"/>
    <w:rsid w:val="00BF723B"/>
    <w:rsid w:val="00C03CBC"/>
    <w:rsid w:val="00C060B4"/>
    <w:rsid w:val="00C122FD"/>
    <w:rsid w:val="00C13107"/>
    <w:rsid w:val="00C140DB"/>
    <w:rsid w:val="00C16288"/>
    <w:rsid w:val="00C16D3B"/>
    <w:rsid w:val="00C2303B"/>
    <w:rsid w:val="00C2741F"/>
    <w:rsid w:val="00C30E28"/>
    <w:rsid w:val="00C40617"/>
    <w:rsid w:val="00C579BB"/>
    <w:rsid w:val="00C663B1"/>
    <w:rsid w:val="00C67BEF"/>
    <w:rsid w:val="00C74A04"/>
    <w:rsid w:val="00C7533F"/>
    <w:rsid w:val="00C855F4"/>
    <w:rsid w:val="00C869E2"/>
    <w:rsid w:val="00C9302E"/>
    <w:rsid w:val="00C9362F"/>
    <w:rsid w:val="00CA38D3"/>
    <w:rsid w:val="00CB3164"/>
    <w:rsid w:val="00CB5282"/>
    <w:rsid w:val="00CB7366"/>
    <w:rsid w:val="00CC1681"/>
    <w:rsid w:val="00CC5A6A"/>
    <w:rsid w:val="00CD4313"/>
    <w:rsid w:val="00CE2215"/>
    <w:rsid w:val="00CF22FB"/>
    <w:rsid w:val="00CF2A3C"/>
    <w:rsid w:val="00CF37DB"/>
    <w:rsid w:val="00CF6CB6"/>
    <w:rsid w:val="00CF7830"/>
    <w:rsid w:val="00D04B92"/>
    <w:rsid w:val="00D04DF1"/>
    <w:rsid w:val="00D07714"/>
    <w:rsid w:val="00D07B54"/>
    <w:rsid w:val="00D12113"/>
    <w:rsid w:val="00D1427B"/>
    <w:rsid w:val="00D31270"/>
    <w:rsid w:val="00D31450"/>
    <w:rsid w:val="00D31FB6"/>
    <w:rsid w:val="00D332C4"/>
    <w:rsid w:val="00D34E44"/>
    <w:rsid w:val="00D406A1"/>
    <w:rsid w:val="00D42AE1"/>
    <w:rsid w:val="00D43A96"/>
    <w:rsid w:val="00D52739"/>
    <w:rsid w:val="00D557BC"/>
    <w:rsid w:val="00D564B1"/>
    <w:rsid w:val="00D63A2F"/>
    <w:rsid w:val="00D658C8"/>
    <w:rsid w:val="00D716A7"/>
    <w:rsid w:val="00D72DF7"/>
    <w:rsid w:val="00D73E33"/>
    <w:rsid w:val="00D77D5E"/>
    <w:rsid w:val="00D8795B"/>
    <w:rsid w:val="00D93CA7"/>
    <w:rsid w:val="00DA56DC"/>
    <w:rsid w:val="00DB341A"/>
    <w:rsid w:val="00DB4D5B"/>
    <w:rsid w:val="00DB671B"/>
    <w:rsid w:val="00DC06AC"/>
    <w:rsid w:val="00DC1262"/>
    <w:rsid w:val="00DC4837"/>
    <w:rsid w:val="00DD3045"/>
    <w:rsid w:val="00DD46C6"/>
    <w:rsid w:val="00DE1B0B"/>
    <w:rsid w:val="00DF4FD9"/>
    <w:rsid w:val="00DF666A"/>
    <w:rsid w:val="00E11A10"/>
    <w:rsid w:val="00E12672"/>
    <w:rsid w:val="00E13E8C"/>
    <w:rsid w:val="00E15645"/>
    <w:rsid w:val="00E260FC"/>
    <w:rsid w:val="00E35491"/>
    <w:rsid w:val="00E46AE0"/>
    <w:rsid w:val="00E51A62"/>
    <w:rsid w:val="00E559DA"/>
    <w:rsid w:val="00E57273"/>
    <w:rsid w:val="00E57440"/>
    <w:rsid w:val="00E63976"/>
    <w:rsid w:val="00E65867"/>
    <w:rsid w:val="00E661C7"/>
    <w:rsid w:val="00E76B9E"/>
    <w:rsid w:val="00E946C0"/>
    <w:rsid w:val="00E94710"/>
    <w:rsid w:val="00E97F9C"/>
    <w:rsid w:val="00EA1578"/>
    <w:rsid w:val="00EA23D5"/>
    <w:rsid w:val="00EC0484"/>
    <w:rsid w:val="00EC3B84"/>
    <w:rsid w:val="00ED1A5F"/>
    <w:rsid w:val="00EE3120"/>
    <w:rsid w:val="00EE4C80"/>
    <w:rsid w:val="00EF01AA"/>
    <w:rsid w:val="00EF3578"/>
    <w:rsid w:val="00EF3604"/>
    <w:rsid w:val="00F054F8"/>
    <w:rsid w:val="00F058F3"/>
    <w:rsid w:val="00F10CBE"/>
    <w:rsid w:val="00F11987"/>
    <w:rsid w:val="00F120EB"/>
    <w:rsid w:val="00F20159"/>
    <w:rsid w:val="00F20736"/>
    <w:rsid w:val="00F2303E"/>
    <w:rsid w:val="00F240FB"/>
    <w:rsid w:val="00F31587"/>
    <w:rsid w:val="00F40BBE"/>
    <w:rsid w:val="00F44BD8"/>
    <w:rsid w:val="00F45D21"/>
    <w:rsid w:val="00F462B4"/>
    <w:rsid w:val="00F50070"/>
    <w:rsid w:val="00F52F8C"/>
    <w:rsid w:val="00F53B43"/>
    <w:rsid w:val="00F660F3"/>
    <w:rsid w:val="00F8499B"/>
    <w:rsid w:val="00F86F6C"/>
    <w:rsid w:val="00F87728"/>
    <w:rsid w:val="00F95671"/>
    <w:rsid w:val="00F957A8"/>
    <w:rsid w:val="00F95EC9"/>
    <w:rsid w:val="00FA06C2"/>
    <w:rsid w:val="00FA08F9"/>
    <w:rsid w:val="00FA0B0E"/>
    <w:rsid w:val="00FA46E7"/>
    <w:rsid w:val="00FA6FE5"/>
    <w:rsid w:val="00FA70A8"/>
    <w:rsid w:val="00FA725B"/>
    <w:rsid w:val="00FA7655"/>
    <w:rsid w:val="00FA7DF2"/>
    <w:rsid w:val="00FB3740"/>
    <w:rsid w:val="00FB3B11"/>
    <w:rsid w:val="00FB7A99"/>
    <w:rsid w:val="00FC2662"/>
    <w:rsid w:val="00FC46B3"/>
    <w:rsid w:val="00FC735C"/>
    <w:rsid w:val="00FD2824"/>
    <w:rsid w:val="00FD3FC5"/>
    <w:rsid w:val="00FE1041"/>
    <w:rsid w:val="00FE6B63"/>
    <w:rsid w:val="00FF19F8"/>
    <w:rsid w:val="00FF1ECC"/>
    <w:rsid w:val="00FF20CC"/>
    <w:rsid w:val="00FF2EDA"/>
    <w:rsid w:val="00FF3FEA"/>
    <w:rsid w:val="0CDB25F9"/>
    <w:rsid w:val="0FFF2EBC"/>
    <w:rsid w:val="12F85CD2"/>
    <w:rsid w:val="14A04612"/>
    <w:rsid w:val="15B42221"/>
    <w:rsid w:val="19FA27BF"/>
    <w:rsid w:val="233372A8"/>
    <w:rsid w:val="23BC04AF"/>
    <w:rsid w:val="286F5957"/>
    <w:rsid w:val="298A1132"/>
    <w:rsid w:val="2E461081"/>
    <w:rsid w:val="2F5946EF"/>
    <w:rsid w:val="323808A8"/>
    <w:rsid w:val="327D1AA5"/>
    <w:rsid w:val="32E803D9"/>
    <w:rsid w:val="37C56E8B"/>
    <w:rsid w:val="414D367F"/>
    <w:rsid w:val="43025FE9"/>
    <w:rsid w:val="43FF7E35"/>
    <w:rsid w:val="48B23078"/>
    <w:rsid w:val="48C93BB0"/>
    <w:rsid w:val="4DE1587C"/>
    <w:rsid w:val="50423FB3"/>
    <w:rsid w:val="520D6F18"/>
    <w:rsid w:val="55D02C8E"/>
    <w:rsid w:val="5B1D601C"/>
    <w:rsid w:val="5F4A0AB9"/>
    <w:rsid w:val="65250B1D"/>
    <w:rsid w:val="65CF150A"/>
    <w:rsid w:val="738F5F82"/>
    <w:rsid w:val="7746170B"/>
    <w:rsid w:val="7BD41CDD"/>
    <w:rsid w:val="7C1910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6"/>
    <w:semiHidden/>
    <w:unhideWhenUsed/>
    <w:qFormat/>
    <w:uiPriority w:val="9"/>
    <w:pPr>
      <w:keepNext/>
      <w:keepLines/>
      <w:spacing w:before="260" w:after="260" w:line="416" w:lineRule="auto"/>
      <w:outlineLvl w:val="1"/>
    </w:pPr>
    <w:rPr>
      <w:rFonts w:ascii="Cambria" w:hAnsi="Cambria"/>
      <w:b/>
      <w:bCs/>
      <w:sz w:val="32"/>
      <w:szCs w:val="32"/>
    </w:rPr>
  </w:style>
  <w:style w:type="paragraph" w:styleId="3">
    <w:name w:val="heading 3"/>
    <w:basedOn w:val="1"/>
    <w:next w:val="1"/>
    <w:link w:val="17"/>
    <w:qFormat/>
    <w:uiPriority w:val="9"/>
    <w:pPr>
      <w:keepNext/>
      <w:keepLines/>
      <w:spacing w:before="140" w:after="140" w:line="540" w:lineRule="exact"/>
      <w:outlineLvl w:val="2"/>
    </w:pPr>
    <w:rPr>
      <w:b/>
      <w:bCs/>
      <w:sz w:val="30"/>
      <w:szCs w:val="32"/>
    </w:rPr>
  </w:style>
  <w:style w:type="character" w:default="1" w:styleId="12">
    <w:name w:val="Default Paragraph Font"/>
    <w:semiHidden/>
    <w:unhideWhenUsed/>
    <w:qFormat/>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4">
    <w:name w:val="Plain Text"/>
    <w:basedOn w:val="1"/>
    <w:link w:val="18"/>
    <w:qFormat/>
    <w:uiPriority w:val="0"/>
    <w:rPr>
      <w:rFonts w:ascii="宋体" w:hAnsi="Courier New" w:cs="Courier New"/>
      <w:szCs w:val="21"/>
    </w:rPr>
  </w:style>
  <w:style w:type="paragraph" w:styleId="5">
    <w:name w:val="Date"/>
    <w:basedOn w:val="1"/>
    <w:next w:val="1"/>
    <w:link w:val="19"/>
    <w:unhideWhenUsed/>
    <w:qFormat/>
    <w:uiPriority w:val="99"/>
    <w:pPr>
      <w:ind w:left="100" w:leftChars="2500"/>
    </w:pPr>
  </w:style>
  <w:style w:type="paragraph" w:styleId="6">
    <w:name w:val="Balloon Text"/>
    <w:basedOn w:val="1"/>
    <w:link w:val="20"/>
    <w:semiHidden/>
    <w:unhideWhenUsed/>
    <w:qFormat/>
    <w:uiPriority w:val="99"/>
    <w:rPr>
      <w:sz w:val="18"/>
      <w:szCs w:val="18"/>
    </w:rPr>
  </w:style>
  <w:style w:type="paragraph" w:styleId="7">
    <w:name w:val="footer"/>
    <w:basedOn w:val="1"/>
    <w:link w:val="21"/>
    <w:unhideWhenUsed/>
    <w:qFormat/>
    <w:uiPriority w:val="99"/>
    <w:pPr>
      <w:tabs>
        <w:tab w:val="center" w:pos="4153"/>
        <w:tab w:val="right" w:pos="8306"/>
      </w:tabs>
      <w:snapToGrid w:val="0"/>
      <w:jc w:val="left"/>
    </w:pPr>
    <w:rPr>
      <w:sz w:val="18"/>
      <w:szCs w:val="18"/>
    </w:rPr>
  </w:style>
  <w:style w:type="paragraph" w:styleId="8">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1">
    <w:name w:val="Table Grid"/>
    <w:basedOn w:val="10"/>
    <w:qFormat/>
    <w:uiPriority w:val="3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22"/>
    <w:rPr>
      <w:b/>
      <w:bCs/>
    </w:rPr>
  </w:style>
  <w:style w:type="character" w:styleId="14">
    <w:name w:val="FollowedHyperlink"/>
    <w:basedOn w:val="12"/>
    <w:semiHidden/>
    <w:unhideWhenUsed/>
    <w:qFormat/>
    <w:uiPriority w:val="99"/>
    <w:rPr>
      <w:color w:val="954F72"/>
      <w:u w:val="single"/>
    </w:rPr>
  </w:style>
  <w:style w:type="character" w:styleId="15">
    <w:name w:val="Hyperlink"/>
    <w:unhideWhenUsed/>
    <w:qFormat/>
    <w:uiPriority w:val="99"/>
    <w:rPr>
      <w:color w:val="0000FF"/>
      <w:u w:val="single"/>
    </w:rPr>
  </w:style>
  <w:style w:type="character" w:customStyle="1" w:styleId="16">
    <w:name w:val="标题 2 字符"/>
    <w:link w:val="2"/>
    <w:semiHidden/>
    <w:qFormat/>
    <w:uiPriority w:val="9"/>
    <w:rPr>
      <w:rFonts w:ascii="Cambria" w:hAnsi="Cambria" w:eastAsia="宋体" w:cs="Times New Roman"/>
      <w:b/>
      <w:bCs/>
      <w:kern w:val="2"/>
      <w:sz w:val="32"/>
      <w:szCs w:val="32"/>
    </w:rPr>
  </w:style>
  <w:style w:type="character" w:customStyle="1" w:styleId="17">
    <w:name w:val="标题 3 字符"/>
    <w:link w:val="3"/>
    <w:qFormat/>
    <w:uiPriority w:val="9"/>
    <w:rPr>
      <w:b/>
      <w:bCs/>
      <w:kern w:val="2"/>
      <w:sz w:val="30"/>
      <w:szCs w:val="32"/>
    </w:rPr>
  </w:style>
  <w:style w:type="character" w:customStyle="1" w:styleId="18">
    <w:name w:val="纯文本 字符"/>
    <w:link w:val="4"/>
    <w:qFormat/>
    <w:uiPriority w:val="0"/>
    <w:rPr>
      <w:rFonts w:ascii="宋体" w:hAnsi="Courier New" w:cs="Courier New"/>
      <w:kern w:val="2"/>
      <w:sz w:val="21"/>
      <w:szCs w:val="21"/>
    </w:rPr>
  </w:style>
  <w:style w:type="character" w:customStyle="1" w:styleId="19">
    <w:name w:val="日期 字符"/>
    <w:link w:val="5"/>
    <w:semiHidden/>
    <w:qFormat/>
    <w:uiPriority w:val="99"/>
    <w:rPr>
      <w:rFonts w:ascii="Times New Roman" w:hAnsi="Times New Roman"/>
      <w:kern w:val="2"/>
      <w:sz w:val="21"/>
      <w:szCs w:val="24"/>
    </w:rPr>
  </w:style>
  <w:style w:type="character" w:customStyle="1" w:styleId="20">
    <w:name w:val="批注框文本 字符"/>
    <w:basedOn w:val="12"/>
    <w:link w:val="6"/>
    <w:semiHidden/>
    <w:qFormat/>
    <w:uiPriority w:val="99"/>
    <w:rPr>
      <w:kern w:val="2"/>
      <w:sz w:val="18"/>
      <w:szCs w:val="18"/>
    </w:rPr>
  </w:style>
  <w:style w:type="character" w:customStyle="1" w:styleId="21">
    <w:name w:val="页脚 字符"/>
    <w:link w:val="7"/>
    <w:qFormat/>
    <w:uiPriority w:val="99"/>
    <w:rPr>
      <w:rFonts w:ascii="Times New Roman" w:hAnsi="Times New Roman"/>
      <w:kern w:val="2"/>
      <w:sz w:val="18"/>
      <w:szCs w:val="18"/>
    </w:rPr>
  </w:style>
  <w:style w:type="character" w:customStyle="1" w:styleId="22">
    <w:name w:val="页眉 字符"/>
    <w:link w:val="8"/>
    <w:qFormat/>
    <w:uiPriority w:val="99"/>
    <w:rPr>
      <w:rFonts w:ascii="Times New Roman" w:hAnsi="Times New Roman"/>
      <w:kern w:val="2"/>
      <w:sz w:val="18"/>
      <w:szCs w:val="18"/>
    </w:rPr>
  </w:style>
  <w:style w:type="character" w:customStyle="1" w:styleId="23">
    <w:name w:val="正文文本 (2) + 11.5 pt"/>
    <w:qFormat/>
    <w:uiPriority w:val="99"/>
    <w:rPr>
      <w:rFonts w:ascii="宋体" w:eastAsia="宋体" w:cs="宋体"/>
      <w:w w:val="100"/>
      <w:sz w:val="23"/>
      <w:szCs w:val="23"/>
      <w:u w:val="none"/>
      <w:shd w:val="clear" w:color="auto" w:fill="FFFFFF"/>
      <w:lang w:val="en-US" w:eastAsia="en-US"/>
    </w:rPr>
  </w:style>
  <w:style w:type="character" w:customStyle="1" w:styleId="24">
    <w:name w:val="正文文本 (4)_"/>
    <w:link w:val="25"/>
    <w:qFormat/>
    <w:uiPriority w:val="99"/>
    <w:rPr>
      <w:rFonts w:ascii="宋体" w:eastAsia="宋体" w:cs="宋体"/>
      <w:shd w:val="clear" w:color="auto" w:fill="FFFFFF"/>
    </w:rPr>
  </w:style>
  <w:style w:type="paragraph" w:customStyle="1" w:styleId="25">
    <w:name w:val="正文文本 (4)"/>
    <w:basedOn w:val="1"/>
    <w:link w:val="24"/>
    <w:qFormat/>
    <w:uiPriority w:val="99"/>
    <w:pPr>
      <w:shd w:val="clear" w:color="auto" w:fill="FFFFFF"/>
      <w:spacing w:line="315" w:lineRule="exact"/>
      <w:ind w:hanging="400"/>
      <w:jc w:val="distribute"/>
    </w:pPr>
    <w:rPr>
      <w:rFonts w:ascii="宋体" w:hAnsi="Calibri" w:cs="宋体"/>
      <w:kern w:val="0"/>
      <w:sz w:val="20"/>
      <w:szCs w:val="20"/>
    </w:rPr>
  </w:style>
  <w:style w:type="character" w:customStyle="1" w:styleId="26">
    <w:name w:val="正文文本 (2)"/>
    <w:qFormat/>
    <w:uiPriority w:val="99"/>
    <w:rPr>
      <w:rFonts w:ascii="宋体" w:eastAsia="宋体" w:cs="宋体"/>
      <w:sz w:val="22"/>
      <w:szCs w:val="22"/>
      <w:u w:val="none"/>
      <w:shd w:val="clear" w:color="auto" w:fill="FFFFFF"/>
    </w:rPr>
  </w:style>
  <w:style w:type="character" w:customStyle="1" w:styleId="27">
    <w:name w:val="段 Char"/>
    <w:link w:val="28"/>
    <w:qFormat/>
    <w:uiPriority w:val="0"/>
    <w:rPr>
      <w:rFonts w:ascii="宋体"/>
      <w:kern w:val="2"/>
      <w:sz w:val="21"/>
      <w:szCs w:val="22"/>
      <w:lang w:val="en-US" w:eastAsia="zh-CN" w:bidi="ar-SA"/>
    </w:rPr>
  </w:style>
  <w:style w:type="paragraph" w:customStyle="1" w:styleId="28">
    <w:name w:val="段"/>
    <w:link w:val="27"/>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2"/>
      <w:sz w:val="21"/>
      <w:szCs w:val="22"/>
      <w:lang w:val="en-US" w:eastAsia="zh-CN" w:bidi="ar-SA"/>
    </w:rPr>
  </w:style>
  <w:style w:type="character" w:customStyle="1" w:styleId="29">
    <w:name w:val="正文文本 (2)_"/>
    <w:link w:val="30"/>
    <w:qFormat/>
    <w:uiPriority w:val="99"/>
    <w:rPr>
      <w:rFonts w:ascii="宋体" w:eastAsia="宋体" w:cs="宋体"/>
      <w:sz w:val="22"/>
      <w:szCs w:val="22"/>
      <w:shd w:val="clear" w:color="auto" w:fill="FFFFFF"/>
    </w:rPr>
  </w:style>
  <w:style w:type="paragraph" w:customStyle="1" w:styleId="30">
    <w:name w:val="正文文本 (2)1"/>
    <w:basedOn w:val="1"/>
    <w:link w:val="29"/>
    <w:qFormat/>
    <w:uiPriority w:val="99"/>
    <w:pPr>
      <w:shd w:val="clear" w:color="auto" w:fill="FFFFFF"/>
      <w:spacing w:line="360" w:lineRule="exact"/>
      <w:jc w:val="distribute"/>
    </w:pPr>
    <w:rPr>
      <w:rFonts w:ascii="宋体" w:hAnsi="Calibri" w:cs="宋体"/>
      <w:kern w:val="0"/>
      <w:sz w:val="22"/>
      <w:szCs w:val="22"/>
    </w:rPr>
  </w:style>
  <w:style w:type="character" w:customStyle="1" w:styleId="31">
    <w:name w:val="正文文本 (2) + 10.5 pt"/>
    <w:qFormat/>
    <w:uiPriority w:val="99"/>
    <w:rPr>
      <w:rFonts w:ascii="宋体" w:eastAsia="宋体" w:cs="宋体"/>
      <w:sz w:val="21"/>
      <w:szCs w:val="21"/>
      <w:u w:val="none"/>
      <w:shd w:val="clear" w:color="auto" w:fill="FFFFFF"/>
    </w:rPr>
  </w:style>
  <w:style w:type="paragraph" w:styleId="32">
    <w:name w:val="List Paragraph"/>
    <w:basedOn w:val="1"/>
    <w:qFormat/>
    <w:uiPriority w:val="34"/>
    <w:pPr>
      <w:ind w:firstLine="420" w:firstLineChars="200"/>
    </w:pPr>
    <w:rPr>
      <w:rFonts w:ascii="Calibri" w:hAnsi="Calibri"/>
      <w:szCs w:val="22"/>
    </w:rPr>
  </w:style>
  <w:style w:type="paragraph" w:customStyle="1" w:styleId="33">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34">
    <w:name w:val="Char"/>
    <w:basedOn w:val="1"/>
    <w:qFormat/>
    <w:uiPriority w:val="0"/>
    <w:pPr>
      <w:widowControl/>
      <w:spacing w:after="160" w:line="240" w:lineRule="exact"/>
      <w:jc w:val="left"/>
    </w:pPr>
    <w:rPr>
      <w:rFonts w:ascii="Verdana" w:hAnsi="Verdana"/>
      <w:kern w:val="0"/>
      <w:sz w:val="20"/>
      <w:szCs w:val="20"/>
      <w:lang w:eastAsia="en-US"/>
    </w:rPr>
  </w:style>
  <w:style w:type="character" w:styleId="35">
    <w:name w:val="Placeholder Text"/>
    <w:basedOn w:val="12"/>
    <w:unhideWhenUsed/>
    <w:qFormat/>
    <w:uiPriority w:val="99"/>
    <w:rPr>
      <w:color w:val="666666"/>
    </w:rPr>
  </w:style>
  <w:style w:type="paragraph" w:customStyle="1" w:styleId="36">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37">
    <w:name w:val="font5"/>
    <w:basedOn w:val="1"/>
    <w:qFormat/>
    <w:uiPriority w:val="0"/>
    <w:pPr>
      <w:widowControl/>
      <w:spacing w:before="100" w:beforeAutospacing="1" w:after="100" w:afterAutospacing="1"/>
      <w:jc w:val="left"/>
    </w:pPr>
    <w:rPr>
      <w:color w:val="000000"/>
      <w:kern w:val="0"/>
      <w:sz w:val="18"/>
      <w:szCs w:val="18"/>
    </w:rPr>
  </w:style>
  <w:style w:type="paragraph" w:customStyle="1" w:styleId="38">
    <w:name w:val="font6"/>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39">
    <w:name w:val="font7"/>
    <w:basedOn w:val="1"/>
    <w:qFormat/>
    <w:uiPriority w:val="0"/>
    <w:pPr>
      <w:widowControl/>
      <w:spacing w:before="100" w:beforeAutospacing="1" w:after="100" w:afterAutospacing="1"/>
      <w:jc w:val="left"/>
    </w:pPr>
    <w:rPr>
      <w:color w:val="000000"/>
      <w:kern w:val="0"/>
      <w:sz w:val="18"/>
      <w:szCs w:val="18"/>
    </w:rPr>
  </w:style>
  <w:style w:type="paragraph" w:customStyle="1" w:styleId="40">
    <w:name w:val="font8"/>
    <w:basedOn w:val="1"/>
    <w:qFormat/>
    <w:uiPriority w:val="0"/>
    <w:pPr>
      <w:widowControl/>
      <w:spacing w:before="100" w:beforeAutospacing="1" w:after="100" w:afterAutospacing="1"/>
      <w:jc w:val="left"/>
    </w:pPr>
    <w:rPr>
      <w:rFonts w:ascii="等线" w:hAnsi="等线" w:eastAsia="等线" w:cs="宋体"/>
      <w:color w:val="000000"/>
      <w:kern w:val="0"/>
      <w:sz w:val="18"/>
      <w:szCs w:val="18"/>
    </w:rPr>
  </w:style>
  <w:style w:type="paragraph" w:customStyle="1" w:styleId="41">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42">
    <w:name w:val="xl66"/>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43">
    <w:name w:val="xl6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kern w:val="0"/>
      <w:sz w:val="18"/>
      <w:szCs w:val="18"/>
    </w:rPr>
  </w:style>
  <w:style w:type="paragraph" w:customStyle="1" w:styleId="44">
    <w:name w:val="xl6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kern w:val="0"/>
      <w:sz w:val="18"/>
      <w:szCs w:val="18"/>
    </w:rPr>
  </w:style>
  <w:style w:type="paragraph" w:customStyle="1" w:styleId="45">
    <w:name w:val="xl69"/>
    <w:basedOn w:val="1"/>
    <w:qFormat/>
    <w:uiPriority w:val="0"/>
    <w:pPr>
      <w:widowControl/>
      <w:pBdr>
        <w:left w:val="single" w:color="auto" w:sz="4" w:space="0"/>
        <w:right w:val="single" w:color="auto" w:sz="4" w:space="0"/>
      </w:pBdr>
      <w:spacing w:before="100" w:beforeAutospacing="1" w:after="100" w:afterAutospacing="1"/>
      <w:jc w:val="center"/>
      <w:textAlignment w:val="center"/>
    </w:pPr>
    <w:rPr>
      <w:kern w:val="0"/>
      <w:sz w:val="18"/>
      <w:szCs w:val="18"/>
    </w:rPr>
  </w:style>
  <w:style w:type="paragraph" w:customStyle="1" w:styleId="46">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18"/>
      <w:szCs w:val="18"/>
    </w:rPr>
  </w:style>
  <w:style w:type="paragraph" w:customStyle="1" w:styleId="47">
    <w:name w:val="xl71"/>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kern w:val="0"/>
      <w:sz w:val="18"/>
      <w:szCs w:val="18"/>
    </w:rPr>
  </w:style>
  <w:style w:type="paragraph" w:customStyle="1" w:styleId="48">
    <w:name w:val="xl72"/>
    <w:basedOn w:val="1"/>
    <w:qFormat/>
    <w:uiPriority w:val="0"/>
    <w:pPr>
      <w:widowControl/>
      <w:pBdr>
        <w:left w:val="single" w:color="auto" w:sz="4" w:space="0"/>
        <w:right w:val="single" w:color="auto" w:sz="4" w:space="0"/>
      </w:pBdr>
      <w:shd w:val="clear" w:color="000000" w:fill="FFFFFF"/>
      <w:spacing w:before="100" w:beforeAutospacing="1" w:after="100" w:afterAutospacing="1"/>
      <w:jc w:val="center"/>
      <w:textAlignment w:val="center"/>
    </w:pPr>
    <w:rPr>
      <w:kern w:val="0"/>
      <w:sz w:val="18"/>
      <w:szCs w:val="18"/>
    </w:rPr>
  </w:style>
  <w:style w:type="paragraph" w:customStyle="1" w:styleId="49">
    <w:name w:val="xl73"/>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kern w:val="0"/>
      <w:sz w:val="18"/>
      <w:szCs w:val="18"/>
    </w:rPr>
  </w:style>
  <w:style w:type="character" w:customStyle="1" w:styleId="50">
    <w:name w:val="mord"/>
    <w:basedOn w:val="12"/>
    <w:qFormat/>
    <w:uiPriority w:val="0"/>
  </w:style>
  <w:style w:type="character" w:customStyle="1" w:styleId="51">
    <w:name w:val="vlist-s"/>
    <w:basedOn w:val="12"/>
    <w:qFormat/>
    <w:uiPriority w:val="0"/>
  </w:style>
  <w:style w:type="character" w:customStyle="1" w:styleId="52">
    <w:name w:val="mrel"/>
    <w:basedOn w:val="12"/>
    <w:qFormat/>
    <w:uiPriority w:val="0"/>
  </w:style>
  <w:style w:type="character" w:customStyle="1" w:styleId="53">
    <w:name w:val="mbin"/>
    <w:basedOn w:val="12"/>
    <w:qFormat/>
    <w:uiPriority w:val="0"/>
  </w:style>
  <w:style w:type="character" w:customStyle="1" w:styleId="54">
    <w:name w:val="fontstyle01"/>
    <w:basedOn w:val="12"/>
    <w:qFormat/>
    <w:uiPriority w:val="0"/>
    <w:rPr>
      <w:rFonts w:hint="default" w:ascii="Cambria-Bold" w:hAnsi="Cambria-Bold"/>
      <w:b/>
      <w:bCs/>
      <w:color w:val="242021"/>
      <w:sz w:val="22"/>
      <w:szCs w:val="22"/>
    </w:rPr>
  </w:style>
  <w:style w:type="paragraph" w:customStyle="1" w:styleId="55">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56">
    <w:name w:val="Pa21"/>
    <w:basedOn w:val="1"/>
    <w:next w:val="1"/>
    <w:qFormat/>
    <w:uiPriority w:val="99"/>
    <w:pPr>
      <w:autoSpaceDE w:val="0"/>
      <w:autoSpaceDN w:val="0"/>
      <w:adjustRightInd w:val="0"/>
      <w:spacing w:line="220" w:lineRule="atLeast"/>
      <w:jc w:val="left"/>
    </w:pPr>
    <w:rPr>
      <w:rFonts w:ascii="Cambria" w:hAnsi="Cambria" w:eastAsia="等线" w:cs="黑体"/>
      <w:kern w:val="0"/>
      <w:sz w:val="24"/>
    </w:rPr>
  </w:style>
  <w:style w:type="paragraph" w:customStyle="1" w:styleId="57">
    <w:name w:val="Pa14"/>
    <w:basedOn w:val="1"/>
    <w:next w:val="1"/>
    <w:qFormat/>
    <w:uiPriority w:val="99"/>
    <w:pPr>
      <w:autoSpaceDE w:val="0"/>
      <w:autoSpaceDN w:val="0"/>
      <w:adjustRightInd w:val="0"/>
      <w:spacing w:line="220" w:lineRule="atLeast"/>
      <w:jc w:val="left"/>
    </w:pPr>
    <w:rPr>
      <w:rFonts w:ascii="Cambria" w:hAnsi="Cambria" w:eastAsia="等线" w:cs="黑体"/>
      <w:kern w:val="0"/>
      <w:sz w:val="24"/>
    </w:rPr>
  </w:style>
  <w:style w:type="paragraph" w:customStyle="1" w:styleId="58">
    <w:name w:val="列出段落1"/>
    <w:basedOn w:val="1"/>
    <w:qFormat/>
    <w:uiPriority w:val="34"/>
    <w:pPr>
      <w:ind w:firstLine="420"/>
    </w:pPr>
    <w:rPr>
      <w:rFonts w:ascii="等线" w:hAnsi="等线" w:eastAsia="等线" w:cs="黑体"/>
      <w:szCs w:val="22"/>
    </w:rPr>
  </w:style>
  <w:style w:type="table" w:customStyle="1" w:styleId="59">
    <w:name w:val="网格型1"/>
    <w:basedOn w:val="10"/>
    <w:autoRedefine/>
    <w:qFormat/>
    <w:uiPriority w:val="3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30482-8981-481B-99C7-02E60F5BDFCA}">
  <ds:schemaRefs/>
</ds:datastoreItem>
</file>

<file path=docProps/app.xml><?xml version="1.0" encoding="utf-8"?>
<Properties xmlns="http://schemas.openxmlformats.org/officeDocument/2006/extended-properties" xmlns:vt="http://schemas.openxmlformats.org/officeDocument/2006/docPropsVTypes">
  <Template>Normal.dotm</Template>
  <Company>admin</Company>
  <Pages>57</Pages>
  <Words>8331</Words>
  <Characters>9392</Characters>
  <Lines>462</Lines>
  <Paragraphs>130</Paragraphs>
  <TotalTime>128</TotalTime>
  <ScaleCrop>false</ScaleCrop>
  <LinksUpToDate>false</LinksUpToDate>
  <CharactersWithSpaces>9653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2026-07-16T03:11:00Z</dcterms:created>
  <dc:creator>谈萍</dc:creator>
  <cp:lastModifiedBy>崔妍</cp:lastModifiedBy>
  <dcterms:modified xsi:type="dcterms:W3CDTF">2026-08-06T01:33:41Z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eyJoZGlkIjoiZTQ2NWYzN2M5OTgyMWIwNDQ3NzA5ZDgxMzkxZDJkM2QiLCJ1c2VySWQiOiI0OTk1OTk2NjQifQ==</vt:lpwstr>
  </property>
  <property fmtid="{D5CDD505-2E9C-101B-9397-08002B2CF9AE}" pid="4" name="ICV">
    <vt:lpwstr>470F007E29DA430CA42E094F9FDFFD66_13</vt:lpwstr>
  </property>
</Properties>
</file>