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A0C65">
      <w:pPr>
        <w:spacing w:before="120" w:after="120" w:line="288" w:lineRule="auto"/>
        <w:ind w:left="0"/>
        <w:jc w:val="left"/>
        <w:rPr>
          <w:rFonts w:ascii="Arial" w:hAnsi="Arial" w:eastAsia="等线" w:cs="Arial"/>
          <w:sz w:val="22"/>
        </w:rPr>
      </w:pPr>
      <w:bookmarkStart w:id="0" w:name="heading_3"/>
      <w:bookmarkStart w:id="39" w:name="_GoBack"/>
      <w:bookmarkEnd w:id="39"/>
      <w:r>
        <mc:AlternateContent>
          <mc:Choice Requires="wps">
            <w:drawing>
              <wp:anchor distT="0" distB="0" distL="114300" distR="114300" simplePos="0" relativeHeight="251660288" behindDoc="0" locked="1" layoutInCell="1" allowOverlap="1">
                <wp:simplePos x="0" y="0"/>
                <wp:positionH relativeFrom="margin">
                  <wp:posOffset>2549525</wp:posOffset>
                </wp:positionH>
                <wp:positionV relativeFrom="margin">
                  <wp:posOffset>107315</wp:posOffset>
                </wp:positionV>
                <wp:extent cx="3175000" cy="720090"/>
                <wp:effectExtent l="0" t="0" r="6350" b="3810"/>
                <wp:wrapNone/>
                <wp:docPr id="15" name="文本框 15"/>
                <wp:cNvGraphicFramePr/>
                <a:graphic xmlns:a="http://schemas.openxmlformats.org/drawingml/2006/main">
                  <a:graphicData uri="http://schemas.microsoft.com/office/word/2010/wordprocessingShape">
                    <wps:wsp>
                      <wps:cNvSpPr txBox="1"/>
                      <wps:spPr>
                        <a:xfrm>
                          <a:off x="3449955" y="827405"/>
                          <a:ext cx="3175000" cy="720090"/>
                        </a:xfrm>
                        <a:prstGeom prst="rect">
                          <a:avLst/>
                        </a:prstGeom>
                        <a:solidFill>
                          <a:srgbClr val="FFFFFF"/>
                        </a:solidFill>
                        <a:ln>
                          <a:noFill/>
                        </a:ln>
                        <a:effectLst/>
                      </wps:spPr>
                      <wps:txbx>
                        <w:txbxContent>
                          <w:p w14:paraId="63EDB208">
                            <w:pPr>
                              <w:pStyle w:val="10"/>
                            </w:pPr>
                            <w:r>
                              <w:rPr>
                                <w:rFonts w:ascii="Times New Roman" w:hAnsi="Times New Roman" w:eastAsia="宋体" w:cs="Times New Roman"/>
                                <w:w w:val="130"/>
                                <w:szCs w:val="20"/>
                              </w:rPr>
                              <w:t>YS</w:t>
                            </w:r>
                          </w:p>
                        </w:txbxContent>
                      </wps:txbx>
                      <wps:bodyPr lIns="0" tIns="0" rIns="0" bIns="0" upright="1"/>
                    </wps:wsp>
                  </a:graphicData>
                </a:graphic>
              </wp:anchor>
            </w:drawing>
          </mc:Choice>
          <mc:Fallback>
            <w:pict>
              <v:shape id="_x0000_s1026" o:spid="_x0000_s1026" o:spt="202" type="#_x0000_t202" style="position:absolute;left:0pt;margin-left:200.75pt;margin-top:8.45pt;height:56.7pt;width:250pt;mso-position-horizontal-relative:margin;mso-position-vertical-relative:margin;z-index:251660288;mso-width-relative:page;mso-height-relative:page;" fillcolor="#FFFFFF" filled="t" stroked="f" coordsize="21600,21600" o:gfxdata="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lZOzzYAAAACgEA&#10;AA8AAAAAAAAAAQAgAAAAIgAAAGRycy9kb3ducmV2LnhtbFBLAQIUABQAAAAIAIdO4kBeR6ZJ4QEA&#10;ALYDAAAOAAAAAAAAAAEAIAAAACcBAABkcnMvZTJvRG9jLnhtbFBLBQYAAAAABgAGAFkBAAB6BQAA&#10;AAA=&#10;">
                <v:fill on="t" focussize="0,0"/>
                <v:stroke on="f"/>
                <v:imagedata o:title=""/>
                <o:lock v:ext="edit" aspectratio="f"/>
                <v:textbox inset="0mm,0mm,0mm,0mm">
                  <w:txbxContent>
                    <w:p w14:paraId="63EDB208">
                      <w:pPr>
                        <w:pStyle w:val="10"/>
                      </w:pPr>
                      <w:r>
                        <w:rPr>
                          <w:rFonts w:ascii="Times New Roman" w:hAnsi="Times New Roman" w:eastAsia="宋体" w:cs="Times New Roman"/>
                          <w:w w:val="130"/>
                          <w:szCs w:val="20"/>
                        </w:rPr>
                        <w:t>YS</w:t>
                      </w:r>
                    </w:p>
                  </w:txbxContent>
                </v:textbox>
                <w10:anchorlock/>
              </v:shape>
            </w:pict>
          </mc:Fallback>
        </mc:AlternateContent>
      </w:r>
      <w:r>
        <mc:AlternateContent>
          <mc:Choice Requires="wps">
            <w:drawing>
              <wp:anchor distT="0" distB="0" distL="114300" distR="114300" simplePos="0" relativeHeight="251659264" behindDoc="0" locked="1" layoutInCell="1" allowOverlap="1">
                <wp:simplePos x="0" y="0"/>
                <wp:positionH relativeFrom="margin">
                  <wp:posOffset>0</wp:posOffset>
                </wp:positionH>
                <wp:positionV relativeFrom="margin">
                  <wp:posOffset>198120</wp:posOffset>
                </wp:positionV>
                <wp:extent cx="2540000" cy="396240"/>
                <wp:effectExtent l="0" t="0" r="12700" b="3810"/>
                <wp:wrapNone/>
                <wp:docPr id="22" name="文本框 22"/>
                <wp:cNvGraphicFramePr/>
                <a:graphic xmlns:a="http://schemas.openxmlformats.org/drawingml/2006/main">
                  <a:graphicData uri="http://schemas.microsoft.com/office/word/2010/wordprocessingShape">
                    <wps:wsp>
                      <wps:cNvSpPr txBox="1"/>
                      <wps:spPr>
                        <a:xfrm>
                          <a:off x="900430" y="918210"/>
                          <a:ext cx="2540000" cy="396240"/>
                        </a:xfrm>
                        <a:prstGeom prst="rect">
                          <a:avLst/>
                        </a:prstGeom>
                        <a:solidFill>
                          <a:srgbClr val="FFFFFF"/>
                        </a:solidFill>
                        <a:ln>
                          <a:noFill/>
                        </a:ln>
                        <a:effectLst/>
                      </wps:spPr>
                      <wps:txbx>
                        <w:txbxContent>
                          <w:p w14:paraId="7EE63934">
                            <w:pPr>
                              <w:pStyle w:val="9"/>
                              <w:rPr>
                                <w:rFonts w:ascii="黑体" w:hAnsi="黑体" w:cs="黑体"/>
                              </w:rPr>
                            </w:pPr>
                            <w:r>
                              <w:rPr>
                                <w:rFonts w:ascii="Times New Roman"/>
                                <w:color w:val="000000" w:themeColor="text1"/>
                                <w14:textFill>
                                  <w14:solidFill>
                                    <w14:schemeClr w14:val="tx1"/>
                                  </w14:solidFill>
                                </w14:textFill>
                              </w:rPr>
                              <w:t>ICS</w:t>
                            </w:r>
                            <w:r>
                              <w:rPr>
                                <w:rFonts w:hint="eastAsia" w:ascii="Times New Roman"/>
                                <w:color w:val="000000" w:themeColor="text1"/>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77.120</w:t>
                            </w:r>
                          </w:p>
                          <w:p w14:paraId="1E661CEE">
                            <w:pPr>
                              <w:pStyle w:val="9"/>
                              <w:rPr>
                                <w:rFonts w:ascii="黑体" w:hAnsi="黑体" w:cs="黑体"/>
                              </w:rPr>
                            </w:pPr>
                            <w:r>
                              <w:rPr>
                                <w:rFonts w:hint="eastAsia"/>
                                <w:color w:val="000000" w:themeColor="text1"/>
                                <w:lang w:val="en-US" w:eastAsia="zh-CN"/>
                                <w14:textFill>
                                  <w14:solidFill>
                                    <w14:schemeClr w14:val="tx1"/>
                                  </w14:solidFill>
                                </w14:textFill>
                              </w:rPr>
                              <w:t>CCS H 60</w:t>
                            </w:r>
                          </w:p>
                          <w:p w14:paraId="31A9745C">
                            <w:pPr>
                              <w:pStyle w:val="9"/>
                              <w:rPr>
                                <w:rFonts w:hint="eastAsia"/>
                              </w:rPr>
                            </w:pPr>
                          </w:p>
                        </w:txbxContent>
                      </wps:txbx>
                      <wps:bodyPr lIns="0" tIns="0" rIns="0" bIns="0" upright="1"/>
                    </wps:wsp>
                  </a:graphicData>
                </a:graphic>
              </wp:anchor>
            </w:drawing>
          </mc:Choice>
          <mc:Fallback>
            <w:pict>
              <v:shape id="_x0000_s1026" o:spid="_x0000_s1026" o:spt="202" type="#_x0000_t202" style="position:absolute;left:0pt;margin-left:0pt;margin-top:15.6pt;height:31.2pt;width:200pt;mso-position-horizontal-relative:margin;mso-position-vertical-relative:margin;z-index:251659264;mso-width-relative:page;mso-height-relative:page;" fillcolor="#FFFFFF" filled="t" stroked="f" coordsize="21600,21600" o:gfxdata="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RQXjfVAAAABgEAAA8AAAAA&#10;AAAAAQAgAAAAIgAAAGRycy9kb3ducmV2LnhtbFBLAQIUABQAAAAIAIdO4kB5zL753gEAALUDAAAO&#10;AAAAAAAAAAEAIAAAACQBAABkcnMvZTJvRG9jLnhtbFBLBQYAAAAABgAGAFkBAAB0BQAAAAA=&#10;">
                <v:fill on="t" focussize="0,0"/>
                <v:stroke on="f"/>
                <v:imagedata o:title=""/>
                <o:lock v:ext="edit" aspectratio="f"/>
                <v:textbox inset="0mm,0mm,0mm,0mm">
                  <w:txbxContent>
                    <w:p w14:paraId="7EE63934">
                      <w:pPr>
                        <w:pStyle w:val="9"/>
                        <w:rPr>
                          <w:rFonts w:ascii="黑体" w:hAnsi="黑体" w:cs="黑体"/>
                        </w:rPr>
                      </w:pPr>
                      <w:r>
                        <w:rPr>
                          <w:rFonts w:ascii="Times New Roman"/>
                          <w:color w:val="000000" w:themeColor="text1"/>
                          <w14:textFill>
                            <w14:solidFill>
                              <w14:schemeClr w14:val="tx1"/>
                            </w14:solidFill>
                          </w14:textFill>
                        </w:rPr>
                        <w:t>ICS</w:t>
                      </w:r>
                      <w:r>
                        <w:rPr>
                          <w:rFonts w:hint="eastAsia" w:ascii="Times New Roman"/>
                          <w:color w:val="000000" w:themeColor="text1"/>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77.120</w:t>
                      </w:r>
                    </w:p>
                    <w:p w14:paraId="1E661CEE">
                      <w:pPr>
                        <w:pStyle w:val="9"/>
                        <w:rPr>
                          <w:rFonts w:ascii="黑体" w:hAnsi="黑体" w:cs="黑体"/>
                        </w:rPr>
                      </w:pPr>
                      <w:r>
                        <w:rPr>
                          <w:rFonts w:hint="eastAsia"/>
                          <w:color w:val="000000" w:themeColor="text1"/>
                          <w:lang w:val="en-US" w:eastAsia="zh-CN"/>
                          <w14:textFill>
                            <w14:solidFill>
                              <w14:schemeClr w14:val="tx1"/>
                            </w14:solidFill>
                          </w14:textFill>
                        </w:rPr>
                        <w:t>CCS H 60</w:t>
                      </w:r>
                    </w:p>
                    <w:p w14:paraId="31A9745C">
                      <w:pPr>
                        <w:pStyle w:val="9"/>
                        <w:rPr>
                          <w:rFonts w:hint="eastAsia"/>
                        </w:rPr>
                      </w:pPr>
                    </w:p>
                  </w:txbxContent>
                </v:textbox>
                <w10:anchorlock/>
              </v:shape>
            </w:pict>
          </mc:Fallback>
        </mc:AlternateContent>
      </w:r>
    </w:p>
    <w:p w14:paraId="4F91C175">
      <w:pPr>
        <w:spacing w:before="120" w:after="120" w:line="288" w:lineRule="auto"/>
        <w:ind w:left="0"/>
        <w:jc w:val="left"/>
        <w:rPr>
          <w:rFonts w:ascii="Arial" w:hAnsi="Arial" w:eastAsia="等线" w:cs="Arial"/>
          <w:sz w:val="22"/>
        </w:rPr>
      </w:pPr>
    </w:p>
    <w:p w14:paraId="19261F90">
      <w:pPr>
        <w:spacing w:before="120" w:after="120" w:line="288" w:lineRule="auto"/>
        <w:ind w:left="0"/>
        <w:jc w:val="left"/>
        <w:rPr>
          <w:rFonts w:ascii="Arial" w:hAnsi="Arial" w:eastAsia="等线" w:cs="Arial"/>
          <w:sz w:val="22"/>
        </w:rPr>
      </w:pPr>
    </w:p>
    <w:p w14:paraId="1CC2E849">
      <w:pPr>
        <w:spacing w:before="120" w:after="120" w:line="288" w:lineRule="auto"/>
        <w:ind w:left="0"/>
        <w:jc w:val="left"/>
        <w:rPr>
          <w:rFonts w:ascii="Arial" w:hAnsi="Arial" w:eastAsia="等线" w:cs="Arial"/>
          <w:sz w:val="22"/>
        </w:rPr>
      </w:pPr>
    </w:p>
    <w:p w14:paraId="0DE5F579">
      <w:pPr>
        <w:spacing w:before="120" w:after="120" w:line="288" w:lineRule="auto"/>
        <w:ind w:left="0"/>
        <w:jc w:val="left"/>
        <w:rPr>
          <w:rFonts w:ascii="Arial" w:hAnsi="Arial" w:eastAsia="等线" w:cs="Arial"/>
          <w:sz w:val="22"/>
        </w:rPr>
      </w:pPr>
    </w:p>
    <w:p w14:paraId="6978760C">
      <w:pPr>
        <w:spacing w:before="120" w:after="120" w:line="288" w:lineRule="auto"/>
        <w:ind w:left="0"/>
        <w:jc w:val="left"/>
        <w:rPr>
          <w:rFonts w:ascii="Arial" w:hAnsi="Arial" w:eastAsia="等线" w:cs="Arial"/>
          <w:sz w:val="22"/>
        </w:rPr>
      </w:pPr>
    </w:p>
    <w:p w14:paraId="73B2B119">
      <w:pPr>
        <w:spacing w:before="120" w:after="120" w:line="288" w:lineRule="auto"/>
        <w:ind w:left="0"/>
        <w:jc w:val="left"/>
        <w:rPr>
          <w:rFonts w:ascii="Arial" w:hAnsi="Arial" w:eastAsia="等线" w:cs="Arial"/>
          <w:sz w:val="22"/>
        </w:rPr>
      </w:pPr>
      <w: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1401445</wp:posOffset>
                </wp:positionV>
                <wp:extent cx="5802630" cy="860425"/>
                <wp:effectExtent l="0" t="0" r="7620" b="15875"/>
                <wp:wrapNone/>
                <wp:docPr id="23" name="文本框 23"/>
                <wp:cNvGraphicFramePr/>
                <a:graphic xmlns:a="http://schemas.openxmlformats.org/drawingml/2006/main">
                  <a:graphicData uri="http://schemas.microsoft.com/office/word/2010/wordprocessingShape">
                    <wps:wsp>
                      <wps:cNvSpPr txBox="1"/>
                      <wps:spPr>
                        <a:xfrm>
                          <a:off x="900430" y="2121535"/>
                          <a:ext cx="5802630" cy="860425"/>
                        </a:xfrm>
                        <a:prstGeom prst="rect">
                          <a:avLst/>
                        </a:prstGeom>
                        <a:solidFill>
                          <a:srgbClr val="FFFFFF"/>
                        </a:solidFill>
                        <a:ln>
                          <a:noFill/>
                        </a:ln>
                        <a:effectLst/>
                      </wps:spPr>
                      <wps:txbx>
                        <w:txbxContent>
                          <w:p w14:paraId="35BFCC96">
                            <w:pPr>
                              <w:pStyle w:val="12"/>
                              <w:rPr>
                                <w:rFonts w:hint="eastAsia"/>
                                <w:lang w:val="en-US" w:eastAsia="zh-CN"/>
                              </w:rPr>
                            </w:pPr>
                            <w:r>
                              <w:rPr>
                                <w:rFonts w:hint="eastAsia"/>
                              </w:rPr>
                              <w:t>YS</w:t>
                            </w:r>
                            <w:r>
                              <w:t xml:space="preserve"> </w:t>
                            </w:r>
                            <w:r>
                              <w:rPr>
                                <w:rFonts w:hint="eastAsia"/>
                              </w:rPr>
                              <w:t xml:space="preserve">/T </w:t>
                            </w:r>
                            <w:r>
                              <w:rPr>
                                <w:rFonts w:hint="eastAsia"/>
                                <w:lang w:val="en-US" w:eastAsia="zh-CN"/>
                              </w:rPr>
                              <w:t>1193</w:t>
                            </w:r>
                            <w:r>
                              <w:t>—</w:t>
                            </w:r>
                            <w:r>
                              <w:rPr>
                                <w:rFonts w:hint="eastAsia"/>
                              </w:rPr>
                              <w:t>202</w:t>
                            </w:r>
                            <w:r>
                              <w:rPr>
                                <w:rFonts w:hint="eastAsia"/>
                                <w:lang w:val="en-US" w:eastAsia="zh-CN"/>
                              </w:rPr>
                              <w:t>5</w:t>
                            </w:r>
                          </w:p>
                          <w:p w14:paraId="65FFA9E2">
                            <w:pPr>
                              <w:pStyle w:val="22"/>
                              <w:rPr>
                                <w:rFonts w:hint="eastAsia" w:ascii="黑体" w:hAnsi="黑体" w:eastAsia="黑体" w:cs="黑体"/>
                                <w:szCs w:val="21"/>
                                <w:lang w:val="en-US" w:eastAsia="zh-CN"/>
                              </w:rPr>
                            </w:pPr>
                            <w:r>
                              <w:rPr>
                                <w:rFonts w:hint="eastAsia" w:ascii="黑体" w:hAnsi="黑体" w:eastAsia="黑体" w:cs="黑体"/>
                                <w:szCs w:val="21"/>
                                <w:lang w:val="de-DE"/>
                              </w:rPr>
                              <w:t>代替</w:t>
                            </w:r>
                            <w:r>
                              <w:rPr>
                                <w:rFonts w:ascii="黑体" w:hAnsi="黑体" w:eastAsia="黑体" w:cs="黑体"/>
                                <w:szCs w:val="21"/>
                              </w:rPr>
                              <w:t xml:space="preserve">YS/T </w:t>
                            </w:r>
                            <w:r>
                              <w:rPr>
                                <w:rFonts w:hint="eastAsia" w:ascii="黑体" w:hAnsi="黑体" w:eastAsia="黑体" w:cs="黑体"/>
                                <w:szCs w:val="21"/>
                              </w:rPr>
                              <w:t>1</w:t>
                            </w:r>
                            <w:r>
                              <w:rPr>
                                <w:rFonts w:hint="eastAsia" w:ascii="黑体" w:hAnsi="黑体" w:eastAsia="黑体" w:cs="黑体"/>
                                <w:szCs w:val="21"/>
                                <w:lang w:val="en-US" w:eastAsia="zh-CN"/>
                              </w:rPr>
                              <w:t>1</w:t>
                            </w:r>
                            <w:r>
                              <w:rPr>
                                <w:rFonts w:hint="eastAsia" w:ascii="黑体" w:hAnsi="黑体" w:eastAsia="黑体" w:cs="黑体"/>
                                <w:szCs w:val="21"/>
                              </w:rPr>
                              <w:t>9</w:t>
                            </w:r>
                            <w:r>
                              <w:rPr>
                                <w:rFonts w:hint="eastAsia" w:ascii="黑体" w:hAnsi="黑体" w:eastAsia="黑体" w:cs="黑体"/>
                                <w:szCs w:val="21"/>
                                <w:lang w:val="en-US" w:eastAsia="zh-CN"/>
                              </w:rPr>
                              <w:t>3</w:t>
                            </w:r>
                            <w:r>
                              <w:rPr>
                                <w:rFonts w:ascii="黑体" w:hAnsi="黑体" w:eastAsia="黑体" w:cs="黑体"/>
                                <w:szCs w:val="21"/>
                              </w:rPr>
                              <w:t>-201</w:t>
                            </w:r>
                            <w:r>
                              <w:rPr>
                                <w:rFonts w:hint="eastAsia" w:ascii="黑体" w:hAnsi="黑体" w:eastAsia="黑体" w:cs="黑体"/>
                                <w:szCs w:val="21"/>
                                <w:lang w:val="en-US" w:eastAsia="zh-CN"/>
                              </w:rPr>
                              <w:t>7</w:t>
                            </w:r>
                          </w:p>
                          <w:p w14:paraId="0EA10AF5">
                            <w:pPr>
                              <w:pStyle w:val="12"/>
                              <w:rPr>
                                <w:rFonts w:hint="eastAsia"/>
                                <w:lang w:val="en-US" w:eastAsia="zh-CN"/>
                              </w:rPr>
                            </w:pPr>
                          </w:p>
                          <w:p w14:paraId="31FA6538">
                            <w:pPr>
                              <w:pStyle w:val="12"/>
                            </w:pPr>
                          </w:p>
                        </w:txbxContent>
                      </wps:txbx>
                      <wps:bodyPr lIns="0" tIns="0" rIns="0" bIns="0" upright="1"/>
                    </wps:wsp>
                  </a:graphicData>
                </a:graphic>
              </wp:anchor>
            </w:drawing>
          </mc:Choice>
          <mc:Fallback>
            <w:pict>
              <v:shape id="_x0000_s1026" o:spid="_x0000_s1026" o:spt="202" type="#_x0000_t202" style="position:absolute;left:0pt;margin-left:0pt;margin-top:110.35pt;height:67.75pt;width:456.9pt;mso-position-horizontal-relative:margin;mso-position-vertical-relative:margin;z-index:251662336;mso-width-relative:page;mso-height-relative:page;" fillcolor="#FFFFFF" filled="t" stroked="f" coordsize="21600,21600" o:gfxdata="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BQGk+9gAAAAIAQAA&#10;DwAAAAAAAAABACAAAAAiAAAAZHJzL2Rvd25yZXYueG1sUEsBAhQAFAAAAAgAh07iQNNGKKXgAQAA&#10;tgMAAA4AAAAAAAAAAQAgAAAAJwEAAGRycy9lMm9Eb2MueG1sUEsFBgAAAAAGAAYAWQEAAHkFAAAA&#10;AA==&#10;">
                <v:fill on="t" focussize="0,0"/>
                <v:stroke on="f"/>
                <v:imagedata o:title=""/>
                <o:lock v:ext="edit" aspectratio="f"/>
                <v:textbox inset="0mm,0mm,0mm,0mm">
                  <w:txbxContent>
                    <w:p w14:paraId="35BFCC96">
                      <w:pPr>
                        <w:pStyle w:val="12"/>
                        <w:rPr>
                          <w:rFonts w:hint="eastAsia"/>
                          <w:lang w:val="en-US" w:eastAsia="zh-CN"/>
                        </w:rPr>
                      </w:pPr>
                      <w:r>
                        <w:rPr>
                          <w:rFonts w:hint="eastAsia"/>
                        </w:rPr>
                        <w:t>YS</w:t>
                      </w:r>
                      <w:r>
                        <w:t xml:space="preserve"> </w:t>
                      </w:r>
                      <w:r>
                        <w:rPr>
                          <w:rFonts w:hint="eastAsia"/>
                        </w:rPr>
                        <w:t xml:space="preserve">/T </w:t>
                      </w:r>
                      <w:r>
                        <w:rPr>
                          <w:rFonts w:hint="eastAsia"/>
                          <w:lang w:val="en-US" w:eastAsia="zh-CN"/>
                        </w:rPr>
                        <w:t>1193</w:t>
                      </w:r>
                      <w:r>
                        <w:t>—</w:t>
                      </w:r>
                      <w:r>
                        <w:rPr>
                          <w:rFonts w:hint="eastAsia"/>
                        </w:rPr>
                        <w:t>202</w:t>
                      </w:r>
                      <w:r>
                        <w:rPr>
                          <w:rFonts w:hint="eastAsia"/>
                          <w:lang w:val="en-US" w:eastAsia="zh-CN"/>
                        </w:rPr>
                        <w:t>5</w:t>
                      </w:r>
                    </w:p>
                    <w:p w14:paraId="65FFA9E2">
                      <w:pPr>
                        <w:pStyle w:val="22"/>
                        <w:rPr>
                          <w:rFonts w:hint="eastAsia" w:ascii="黑体" w:hAnsi="黑体" w:eastAsia="黑体" w:cs="黑体"/>
                          <w:szCs w:val="21"/>
                          <w:lang w:val="en-US" w:eastAsia="zh-CN"/>
                        </w:rPr>
                      </w:pPr>
                      <w:r>
                        <w:rPr>
                          <w:rFonts w:hint="eastAsia" w:ascii="黑体" w:hAnsi="黑体" w:eastAsia="黑体" w:cs="黑体"/>
                          <w:szCs w:val="21"/>
                          <w:lang w:val="de-DE"/>
                        </w:rPr>
                        <w:t>代替</w:t>
                      </w:r>
                      <w:r>
                        <w:rPr>
                          <w:rFonts w:ascii="黑体" w:hAnsi="黑体" w:eastAsia="黑体" w:cs="黑体"/>
                          <w:szCs w:val="21"/>
                        </w:rPr>
                        <w:t xml:space="preserve">YS/T </w:t>
                      </w:r>
                      <w:r>
                        <w:rPr>
                          <w:rFonts w:hint="eastAsia" w:ascii="黑体" w:hAnsi="黑体" w:eastAsia="黑体" w:cs="黑体"/>
                          <w:szCs w:val="21"/>
                        </w:rPr>
                        <w:t>1</w:t>
                      </w:r>
                      <w:r>
                        <w:rPr>
                          <w:rFonts w:hint="eastAsia" w:ascii="黑体" w:hAnsi="黑体" w:eastAsia="黑体" w:cs="黑体"/>
                          <w:szCs w:val="21"/>
                          <w:lang w:val="en-US" w:eastAsia="zh-CN"/>
                        </w:rPr>
                        <w:t>1</w:t>
                      </w:r>
                      <w:r>
                        <w:rPr>
                          <w:rFonts w:hint="eastAsia" w:ascii="黑体" w:hAnsi="黑体" w:eastAsia="黑体" w:cs="黑体"/>
                          <w:szCs w:val="21"/>
                        </w:rPr>
                        <w:t>9</w:t>
                      </w:r>
                      <w:r>
                        <w:rPr>
                          <w:rFonts w:hint="eastAsia" w:ascii="黑体" w:hAnsi="黑体" w:eastAsia="黑体" w:cs="黑体"/>
                          <w:szCs w:val="21"/>
                          <w:lang w:val="en-US" w:eastAsia="zh-CN"/>
                        </w:rPr>
                        <w:t>3</w:t>
                      </w:r>
                      <w:r>
                        <w:rPr>
                          <w:rFonts w:ascii="黑体" w:hAnsi="黑体" w:eastAsia="黑体" w:cs="黑体"/>
                          <w:szCs w:val="21"/>
                        </w:rPr>
                        <w:t>-201</w:t>
                      </w:r>
                      <w:r>
                        <w:rPr>
                          <w:rFonts w:hint="eastAsia" w:ascii="黑体" w:hAnsi="黑体" w:eastAsia="黑体" w:cs="黑体"/>
                          <w:szCs w:val="21"/>
                          <w:lang w:val="en-US" w:eastAsia="zh-CN"/>
                        </w:rPr>
                        <w:t>7</w:t>
                      </w:r>
                    </w:p>
                    <w:p w14:paraId="0EA10AF5">
                      <w:pPr>
                        <w:pStyle w:val="12"/>
                        <w:rPr>
                          <w:rFonts w:hint="eastAsia"/>
                          <w:lang w:val="en-US" w:eastAsia="zh-CN"/>
                        </w:rPr>
                      </w:pPr>
                    </w:p>
                    <w:p w14:paraId="31FA6538">
                      <w:pPr>
                        <w:pStyle w:val="12"/>
                      </w:pPr>
                    </w:p>
                  </w:txbxContent>
                </v:textbox>
                <w10:anchorlock/>
              </v:shap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1010920</wp:posOffset>
                </wp:positionV>
                <wp:extent cx="6120130" cy="391160"/>
                <wp:effectExtent l="0" t="0" r="13970" b="8890"/>
                <wp:wrapNone/>
                <wp:docPr id="18" name="文本框 18"/>
                <wp:cNvGraphicFramePr/>
                <a:graphic xmlns:a="http://schemas.openxmlformats.org/drawingml/2006/main">
                  <a:graphicData uri="http://schemas.microsoft.com/office/word/2010/wordprocessingShape">
                    <wps:wsp>
                      <wps:cNvSpPr txBox="1"/>
                      <wps:spPr>
                        <a:xfrm>
                          <a:off x="900430" y="1731010"/>
                          <a:ext cx="6120130" cy="391160"/>
                        </a:xfrm>
                        <a:prstGeom prst="rect">
                          <a:avLst/>
                        </a:prstGeom>
                        <a:solidFill>
                          <a:srgbClr val="FFFFFF"/>
                        </a:solidFill>
                        <a:ln>
                          <a:noFill/>
                        </a:ln>
                        <a:effectLst/>
                      </wps:spPr>
                      <wps:txbx>
                        <w:txbxContent>
                          <w:p w14:paraId="4EDAA4F6">
                            <w:pPr>
                              <w:pStyle w:val="11"/>
                            </w:pPr>
                            <w:r>
                              <w:rPr>
                                <w:rFonts w:hint="eastAsia" w:hAnsi="宋体" w:cs="Times New Roman"/>
                                <w:spacing w:val="0"/>
                                <w:sz w:val="52"/>
                                <w:szCs w:val="20"/>
                              </w:rPr>
                              <w:t>中华人民共和国有色金属行业标准</w:t>
                            </w:r>
                          </w:p>
                        </w:txbxContent>
                      </wps:txbx>
                      <wps:bodyPr lIns="0" tIns="0" rIns="0" bIns="0" upright="1"/>
                    </wps:wsp>
                  </a:graphicData>
                </a:graphic>
              </wp:anchor>
            </w:drawing>
          </mc:Choice>
          <mc:Fallback>
            <w:pict>
              <v:shape id="_x0000_s1026" o:spid="_x0000_s1026" o:spt="202" type="#_x0000_t202" style="position:absolute;left:0pt;margin-left:0pt;margin-top:79.6pt;height:30.8pt;width:481.9pt;mso-position-horizontal-relative:margin;mso-position-vertical-relative:margin;z-index:251661312;mso-width-relative:page;mso-height-relative:page;" fillcolor="#FFFFFF" filled="t" stroked="f" coordsize="21600,21600" o:gfxdata="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GDkcF1wAAAAgBAAAPAAAA&#10;AAAAAAEAIAAAACIAAABkcnMvZG93bnJldi54bWxQSwECFAAUAAAACACHTuJAF7/dP90BAAC2AwAA&#10;DgAAAAAAAAABACAAAAAmAQAAZHJzL2Uyb0RvYy54bWxQSwUGAAAAAAYABgBZAQAAdQUAAAAA&#10;">
                <v:fill on="t" focussize="0,0"/>
                <v:stroke on="f"/>
                <v:imagedata o:title=""/>
                <o:lock v:ext="edit" aspectratio="f"/>
                <v:textbox inset="0mm,0mm,0mm,0mm">
                  <w:txbxContent>
                    <w:p w14:paraId="4EDAA4F6">
                      <w:pPr>
                        <w:pStyle w:val="11"/>
                      </w:pPr>
                      <w:r>
                        <w:rPr>
                          <w:rFonts w:hint="eastAsia" w:hAnsi="宋体" w:cs="Times New Roman"/>
                          <w:spacing w:val="0"/>
                          <w:sz w:val="52"/>
                          <w:szCs w:val="20"/>
                        </w:rPr>
                        <w:t>中华人民共和国有色金属行业标准</w:t>
                      </w:r>
                    </w:p>
                  </w:txbxContent>
                </v:textbox>
                <w10:anchorlock/>
              </v:shape>
            </w:pict>
          </mc:Fallback>
        </mc:AlternateContent>
      </w:r>
    </w:p>
    <w:p w14:paraId="6984E006">
      <w:pPr>
        <w:spacing w:before="120" w:after="120" w:line="288" w:lineRule="auto"/>
        <w:ind w:left="0"/>
        <w:jc w:val="left"/>
        <w:rPr>
          <w:rFonts w:ascii="Arial" w:hAnsi="Arial" w:eastAsia="等线" w:cs="Arial"/>
          <w:sz w:val="22"/>
        </w:rPr>
      </w:pPr>
    </w:p>
    <w:p w14:paraId="7862E7EE">
      <w:pPr>
        <w:spacing w:before="120" w:after="120" w:line="288" w:lineRule="auto"/>
        <w:ind w:left="0"/>
        <w:jc w:val="left"/>
        <w:rPr>
          <w:rFonts w:ascii="Arial" w:hAnsi="Arial" w:eastAsia="等线" w:cs="Arial"/>
          <w:sz w:val="22"/>
        </w:rPr>
      </w:pPr>
      <w:r>
        <mc:AlternateContent>
          <mc:Choice Requires="wps">
            <w:drawing>
              <wp:anchor distT="0" distB="0" distL="114300" distR="114300" simplePos="0" relativeHeight="251663360" behindDoc="0" locked="0" layoutInCell="1" allowOverlap="1">
                <wp:simplePos x="0" y="0"/>
                <wp:positionH relativeFrom="column">
                  <wp:posOffset>85725</wp:posOffset>
                </wp:positionH>
                <wp:positionV relativeFrom="paragraph">
                  <wp:posOffset>38735</wp:posOffset>
                </wp:positionV>
                <wp:extent cx="6121400" cy="0"/>
                <wp:effectExtent l="0" t="6350" r="0" b="6350"/>
                <wp:wrapTopAndBottom/>
                <wp:docPr id="19" name="直接连接符 19"/>
                <wp:cNvGraphicFramePr/>
                <a:graphic xmlns:a="http://schemas.openxmlformats.org/drawingml/2006/main">
                  <a:graphicData uri="http://schemas.microsoft.com/office/word/2010/wordprocessingShape">
                    <wps:wsp>
                      <wps:cNvCnPr/>
                      <wps:spPr>
                        <a:xfrm>
                          <a:off x="986155" y="3136265"/>
                          <a:ext cx="6121400" cy="0"/>
                        </a:xfrm>
                        <a:prstGeom prst="line">
                          <a:avLst/>
                        </a:prstGeom>
                        <a:ln w="12700" cap="flat" cmpd="sng">
                          <a:solidFill>
                            <a:srgbClr val="800008"/>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75pt;margin-top:3.05pt;height:0pt;width:482pt;mso-wrap-distance-bottom:0pt;mso-wrap-distance-top:0pt;z-index:251663360;mso-width-relative:page;mso-height-relative:page;" filled="f" stroked="t" coordsize="21600,21600" o:gfxdata="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K1uzDRAAAABgEAAA8AAAAAAAAAAQAgAAAAIgAAAGRy&#10;cy9kb3ducmV2LnhtbFBLAQIUABQAAAAIAIdO4kCTQP+pDAIAAAAEAAAOAAAAAAAAAAEAIAAAACAB&#10;AABkcnMvZTJvRG9jLnhtbFBLBQYAAAAABgAGAFkBAACeBQAAAAA=&#10;">
                <v:fill on="f" focussize="0,0"/>
                <v:stroke weight="1pt" color="#800008" joinstyle="round"/>
                <v:imagedata o:title=""/>
                <o:lock v:ext="edit" aspectratio="f"/>
                <w10:wrap type="topAndBottom"/>
              </v:line>
            </w:pict>
          </mc:Fallback>
        </mc:AlternateContent>
      </w:r>
    </w:p>
    <w:p w14:paraId="0DF7A02C">
      <w:pPr>
        <w:pBdr>
          <w:top w:val="none" w:color="auto" w:sz="0" w:space="0"/>
          <w:left w:val="none" w:color="auto" w:sz="0" w:space="0"/>
          <w:bottom w:val="none" w:color="auto" w:sz="0" w:space="0"/>
          <w:right w:val="none" w:color="auto" w:sz="0" w:space="0"/>
        </w:pBdr>
        <w:spacing w:line="360" w:lineRule="auto"/>
        <w:jc w:val="center"/>
        <w:rPr>
          <w:rFonts w:hint="eastAsia" w:ascii="Times New Roman" w:hAnsi="Times New Roman" w:eastAsia="黑体" w:cs="Times New Roman"/>
          <w:kern w:val="2"/>
          <w:sz w:val="52"/>
          <w:szCs w:val="24"/>
          <w:lang w:val="en-US" w:eastAsia="zh-CN" w:bidi="ar-SA"/>
        </w:rPr>
      </w:pPr>
    </w:p>
    <w:p w14:paraId="1C12662A">
      <w:pPr>
        <w:pBdr>
          <w:top w:val="none" w:color="auto" w:sz="0" w:space="0"/>
          <w:left w:val="none" w:color="auto" w:sz="0" w:space="0"/>
          <w:bottom w:val="none" w:color="auto" w:sz="0" w:space="0"/>
          <w:right w:val="none" w:color="auto" w:sz="0" w:space="0"/>
        </w:pBdr>
        <w:spacing w:line="360" w:lineRule="auto"/>
        <w:jc w:val="center"/>
        <w:rPr>
          <w:rFonts w:hint="eastAsia" w:ascii="Times New Roman" w:hAnsi="Times New Roman" w:eastAsia="黑体" w:cs="Times New Roman"/>
          <w:kern w:val="2"/>
          <w:sz w:val="52"/>
          <w:szCs w:val="24"/>
          <w:lang w:val="en-US" w:eastAsia="zh-CN" w:bidi="ar-SA"/>
        </w:rPr>
      </w:pPr>
      <w:r>
        <w:rPr>
          <w:rFonts w:hint="eastAsia" w:ascii="Times New Roman" w:hAnsi="Times New Roman" w:eastAsia="黑体" w:cs="Times New Roman"/>
          <w:kern w:val="2"/>
          <w:sz w:val="52"/>
          <w:szCs w:val="24"/>
          <w:lang w:val="en-US" w:eastAsia="zh-CN" w:bidi="ar-SA"/>
        </w:rPr>
        <w:t>电解用阴极板绝缘密封夹边条</w:t>
      </w:r>
    </w:p>
    <w:p w14:paraId="02297585">
      <w:pPr>
        <w:pBdr>
          <w:top w:val="none" w:color="auto" w:sz="0" w:space="0"/>
          <w:left w:val="none" w:color="auto" w:sz="0" w:space="0"/>
          <w:bottom w:val="none" w:color="auto" w:sz="0" w:space="0"/>
          <w:right w:val="none" w:color="auto" w:sz="0" w:space="0"/>
        </w:pBdr>
        <w:spacing w:line="360" w:lineRule="auto"/>
        <w:jc w:val="center"/>
        <w:rPr>
          <w:rFonts w:hint="eastAsia"/>
          <w:sz w:val="28"/>
        </w:rPr>
      </w:pPr>
      <w:r>
        <w:rPr>
          <w:rFonts w:hint="eastAsia"/>
          <w:sz w:val="28"/>
        </w:rPr>
        <w:t>Electrolysis cathode edge strip for insulation and obturation</w:t>
      </w:r>
    </w:p>
    <w:p w14:paraId="58FAEF59">
      <w:pPr>
        <w:pBdr>
          <w:top w:val="none" w:color="auto" w:sz="0" w:space="0"/>
          <w:left w:val="none" w:color="auto" w:sz="0" w:space="0"/>
          <w:bottom w:val="none" w:color="auto" w:sz="0" w:space="0"/>
          <w:right w:val="none" w:color="auto" w:sz="0" w:space="0"/>
        </w:pBdr>
        <w:spacing w:line="360" w:lineRule="auto"/>
        <w:jc w:val="center"/>
        <w:rPr>
          <w:rFonts w:hint="eastAsia"/>
          <w:sz w:val="28"/>
        </w:rPr>
      </w:pPr>
      <w:r>
        <w:rPr>
          <w:rFonts w:hint="eastAsia"/>
          <w:sz w:val="28"/>
        </w:rPr>
        <w:t>（</w:t>
      </w:r>
      <w:r>
        <w:rPr>
          <w:rFonts w:hint="eastAsia"/>
          <w:sz w:val="28"/>
          <w:lang w:val="en-US" w:eastAsia="zh-CN"/>
        </w:rPr>
        <w:t>送审</w:t>
      </w:r>
      <w:r>
        <w:rPr>
          <w:rFonts w:hint="eastAsia"/>
          <w:sz w:val="28"/>
        </w:rPr>
        <w:t>稿）</w:t>
      </w:r>
    </w:p>
    <w:p w14:paraId="0B49392E">
      <w:pPr>
        <w:spacing w:before="120" w:after="120" w:line="288" w:lineRule="auto"/>
        <w:ind w:left="0"/>
        <w:jc w:val="left"/>
        <w:rPr>
          <w:rFonts w:ascii="Arial" w:hAnsi="Arial" w:eastAsia="等线" w:cs="Arial"/>
          <w:sz w:val="22"/>
        </w:rPr>
      </w:pPr>
    </w:p>
    <w:p w14:paraId="1B250441">
      <w:pPr>
        <w:spacing w:before="120" w:after="120" w:line="288" w:lineRule="auto"/>
        <w:ind w:left="0"/>
        <w:jc w:val="left"/>
        <w:rPr>
          <w:rFonts w:ascii="Arial" w:hAnsi="Arial" w:eastAsia="等线" w:cs="Arial"/>
          <w:sz w:val="22"/>
        </w:rPr>
      </w:pPr>
    </w:p>
    <w:p w14:paraId="579F2592">
      <w:pPr>
        <w:spacing w:before="120" w:after="120" w:line="288" w:lineRule="auto"/>
        <w:ind w:left="0"/>
        <w:jc w:val="left"/>
        <w:rPr>
          <w:rFonts w:ascii="Arial" w:hAnsi="Arial" w:eastAsia="等线" w:cs="Arial"/>
          <w:sz w:val="22"/>
        </w:rPr>
      </w:pPr>
    </w:p>
    <w:p w14:paraId="6C476B97">
      <w:pPr>
        <w:spacing w:before="120" w:after="120" w:line="288" w:lineRule="auto"/>
        <w:ind w:left="0"/>
        <w:jc w:val="left"/>
        <w:rPr>
          <w:rFonts w:ascii="Arial" w:hAnsi="Arial" w:eastAsia="等线" w:cs="Arial"/>
          <w:sz w:val="22"/>
        </w:rPr>
      </w:pPr>
    </w:p>
    <w:p w14:paraId="1045199A">
      <w:pPr>
        <w:spacing w:before="120" w:after="120" w:line="288" w:lineRule="auto"/>
        <w:ind w:left="0"/>
        <w:jc w:val="left"/>
        <w:rPr>
          <w:rFonts w:ascii="Arial" w:hAnsi="Arial" w:eastAsia="等线" w:cs="Arial"/>
          <w:sz w:val="22"/>
        </w:rPr>
      </w:pPr>
    </w:p>
    <w:p w14:paraId="72788F23">
      <w:pPr>
        <w:spacing w:before="120" w:after="120" w:line="288" w:lineRule="auto"/>
        <w:ind w:left="0"/>
        <w:jc w:val="left"/>
        <w:rPr>
          <w:rFonts w:ascii="Arial" w:hAnsi="Arial" w:eastAsia="等线" w:cs="Arial"/>
          <w:sz w:val="22"/>
        </w:rPr>
      </w:pPr>
    </w:p>
    <w:p w14:paraId="61B1306A">
      <w:pPr>
        <w:spacing w:before="120" w:after="120" w:line="288" w:lineRule="auto"/>
        <w:ind w:left="0"/>
        <w:jc w:val="left"/>
        <w:rPr>
          <w:rFonts w:ascii="Arial" w:hAnsi="Arial" w:eastAsia="等线" w:cs="Arial"/>
          <w:sz w:val="22"/>
        </w:rPr>
      </w:pPr>
    </w:p>
    <w:p w14:paraId="1483A4B2">
      <w:pPr>
        <w:spacing w:before="120" w:after="120" w:line="288" w:lineRule="auto"/>
        <w:ind w:left="0"/>
        <w:jc w:val="left"/>
        <w:rPr>
          <w:rFonts w:ascii="Arial" w:hAnsi="Arial" w:eastAsia="等线" w:cs="Arial"/>
          <w:sz w:val="22"/>
        </w:rPr>
      </w:pPr>
    </w:p>
    <w:p w14:paraId="29301AA5">
      <w:pPr>
        <w:spacing w:before="120" w:after="120" w:line="288" w:lineRule="auto"/>
        <w:ind w:left="0"/>
        <w:jc w:val="left"/>
        <w:rPr>
          <w:rFonts w:ascii="Arial" w:hAnsi="Arial" w:eastAsia="等线" w:cs="Arial"/>
          <w:sz w:val="22"/>
        </w:rPr>
      </w:pPr>
    </w:p>
    <w:p w14:paraId="28AA2E29">
      <w:pPr>
        <w:spacing w:before="120" w:after="120" w:line="288" w:lineRule="auto"/>
        <w:ind w:left="0"/>
        <w:jc w:val="left"/>
        <w:rPr>
          <w:rFonts w:ascii="Arial" w:hAnsi="Arial" w:eastAsia="等线" w:cs="Arial"/>
          <w:sz w:val="22"/>
        </w:rPr>
      </w:pPr>
    </w:p>
    <w:p w14:paraId="0EB18B51">
      <w:pPr>
        <w:spacing w:before="120" w:after="120" w:line="288" w:lineRule="auto"/>
        <w:ind w:left="0"/>
        <w:jc w:val="left"/>
        <w:rPr>
          <w:rFonts w:ascii="Arial" w:hAnsi="Arial" w:eastAsia="等线" w:cs="Arial"/>
          <w:sz w:val="22"/>
        </w:rPr>
      </w:pPr>
      <w: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8154035</wp:posOffset>
                </wp:positionV>
                <wp:extent cx="2019300" cy="312420"/>
                <wp:effectExtent l="0" t="0" r="0" b="11430"/>
                <wp:wrapNone/>
                <wp:docPr id="17" name="文本框 17"/>
                <wp:cNvGraphicFramePr/>
                <a:graphic xmlns:a="http://schemas.openxmlformats.org/drawingml/2006/main">
                  <a:graphicData uri="http://schemas.microsoft.com/office/word/2010/wordprocessingShape">
                    <wps:wsp>
                      <wps:cNvSpPr txBox="1"/>
                      <wps:spPr>
                        <a:xfrm>
                          <a:off x="900430" y="8874125"/>
                          <a:ext cx="2019300" cy="312420"/>
                        </a:xfrm>
                        <a:prstGeom prst="rect">
                          <a:avLst/>
                        </a:prstGeom>
                        <a:solidFill>
                          <a:srgbClr val="FFFFFF"/>
                        </a:solidFill>
                        <a:ln>
                          <a:noFill/>
                        </a:ln>
                        <a:effectLst/>
                      </wps:spPr>
                      <wps:txbx>
                        <w:txbxContent>
                          <w:p w14:paraId="3BA7D344">
                            <w:pPr>
                              <w:pStyle w:val="13"/>
                            </w:pPr>
                            <w:r>
                              <w:rPr>
                                <w:rFonts w:hint="eastAsia"/>
                              </w:rPr>
                              <w:t>××××-××-××发布</w:t>
                            </w:r>
                          </w:p>
                          <w:p w14:paraId="63543D5B"/>
                        </w:txbxContent>
                      </wps:txbx>
                      <wps:bodyPr lIns="0" tIns="0" rIns="0" bIns="0" upright="1"/>
                    </wps:wsp>
                  </a:graphicData>
                </a:graphic>
              </wp:anchor>
            </w:drawing>
          </mc:Choice>
          <mc:Fallback>
            <w:pict>
              <v:shape id="_x0000_s1026" o:spid="_x0000_s1026" o:spt="202" type="#_x0000_t202" style="position:absolute;left:0pt;margin-left:0pt;margin-top:642.05pt;height:24.6pt;width:159pt;mso-position-horizontal-relative:margin;mso-position-vertical-relative:margin;z-index:251664384;mso-width-relative:page;mso-height-relative:page;" fillcolor="#FFFFFF" filled="t" stroked="f" coordsize="21600,21600" o:gfxdata="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intUB1wAAAAoBAAAP&#10;AAAAAAAAAAEAIAAAACIAAABkcnMvZG93bnJldi54bWxQSwECFAAUAAAACACHTuJAy7oJ+OABAAC2&#10;AwAADgAAAAAAAAABACAAAAAmAQAAZHJzL2Uyb0RvYy54bWxQSwUGAAAAAAYABgBZAQAAeAUAAAAA&#10;">
                <v:fill on="t" focussize="0,0"/>
                <v:stroke on="f"/>
                <v:imagedata o:title=""/>
                <o:lock v:ext="edit" aspectratio="f"/>
                <v:textbox inset="0mm,0mm,0mm,0mm">
                  <w:txbxContent>
                    <w:p w14:paraId="3BA7D344">
                      <w:pPr>
                        <w:pStyle w:val="13"/>
                      </w:pPr>
                      <w:r>
                        <w:rPr>
                          <w:rFonts w:hint="eastAsia"/>
                        </w:rPr>
                        <w:t>××××-××-××发布</w:t>
                      </w:r>
                    </w:p>
                    <w:p w14:paraId="63543D5B"/>
                  </w:txbxContent>
                </v:textbox>
                <w10:anchorlock/>
              </v:shape>
            </w:pict>
          </mc:Fallback>
        </mc:AlternateContent>
      </w:r>
    </w:p>
    <w:p w14:paraId="0246E2B6">
      <w:pPr>
        <w:spacing w:before="120" w:after="120" w:line="288" w:lineRule="auto"/>
        <w:ind w:left="0"/>
        <w:jc w:val="left"/>
        <w:rPr>
          <w:rFonts w:ascii="Arial" w:hAnsi="Arial" w:eastAsia="等线" w:cs="Arial"/>
          <w:sz w:val="22"/>
        </w:rPr>
      </w:pPr>
    </w:p>
    <w:p w14:paraId="7184C626">
      <w:pPr>
        <w:spacing w:before="120" w:after="120" w:line="288" w:lineRule="auto"/>
        <w:ind w:left="0"/>
        <w:jc w:val="left"/>
        <w:rPr>
          <w:rFonts w:ascii="Arial" w:hAnsi="Arial" w:eastAsia="等线" w:cs="Arial"/>
          <w:sz w:val="22"/>
        </w:rPr>
      </w:pPr>
      <w:r>
        <w:rPr>
          <w:b/>
          <w:bCs/>
          <w:sz w:val="28"/>
          <w:u w:val="thick"/>
        </w:rPr>
        <mc:AlternateContent>
          <mc:Choice Requires="wps">
            <w:drawing>
              <wp:anchor distT="0" distB="0" distL="114300" distR="114300" simplePos="0" relativeHeight="251666432" behindDoc="0" locked="1" layoutInCell="1" allowOverlap="1">
                <wp:simplePos x="0" y="0"/>
                <wp:positionH relativeFrom="margin">
                  <wp:posOffset>0</wp:posOffset>
                </wp:positionH>
                <wp:positionV relativeFrom="margin">
                  <wp:posOffset>8740140</wp:posOffset>
                </wp:positionV>
                <wp:extent cx="6120130" cy="363220"/>
                <wp:effectExtent l="0" t="0" r="13970" b="17780"/>
                <wp:wrapNone/>
                <wp:docPr id="21" name="文本框 21"/>
                <wp:cNvGraphicFramePr/>
                <a:graphic xmlns:a="http://schemas.openxmlformats.org/drawingml/2006/main">
                  <a:graphicData uri="http://schemas.microsoft.com/office/word/2010/wordprocessingShape">
                    <wps:wsp>
                      <wps:cNvSpPr txBox="1"/>
                      <wps:spPr>
                        <a:xfrm>
                          <a:off x="900430" y="9460230"/>
                          <a:ext cx="6120130" cy="363220"/>
                        </a:xfrm>
                        <a:prstGeom prst="rect">
                          <a:avLst/>
                        </a:prstGeom>
                        <a:solidFill>
                          <a:srgbClr val="FFFFFF"/>
                        </a:solidFill>
                        <a:ln>
                          <a:noFill/>
                        </a:ln>
                        <a:effectLst/>
                      </wps:spPr>
                      <wps:txbx>
                        <w:txbxContent>
                          <w:p w14:paraId="386BB2A1">
                            <w:pPr>
                              <w:pStyle w:val="15"/>
                            </w:pPr>
                            <w:r>
                              <w:rPr>
                                <w:rFonts w:hint="eastAsia"/>
                              </w:rPr>
                              <w:t>中华人民共和国工业和信息化部</w:t>
                            </w:r>
                            <w:r>
                              <w:rPr>
                                <w:rStyle w:val="18"/>
                                <w:rFonts w:hint="eastAsia"/>
                              </w:rPr>
                              <w:t xml:space="preserve"> 发布</w:t>
                            </w:r>
                          </w:p>
                        </w:txbxContent>
                      </wps:txbx>
                      <wps:bodyPr lIns="0" tIns="0" rIns="0" bIns="0" upright="1"/>
                    </wps:wsp>
                  </a:graphicData>
                </a:graphic>
              </wp:anchor>
            </w:drawing>
          </mc:Choice>
          <mc:Fallback>
            <w:pict>
              <v:shape id="_x0000_s1026" o:spid="_x0000_s1026" o:spt="202" type="#_x0000_t202" style="position:absolute;left:0pt;margin-left:0pt;margin-top:688.2pt;height:28.6pt;width:481.9pt;mso-position-horizontal-relative:margin;mso-position-vertical-relative:margin;z-index:251666432;mso-width-relative:page;mso-height-relative:page;" fillcolor="#FFFFFF" filled="t" stroked="f" coordsize="21600,21600" o:gfxdata="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nhZhY2AAAAAoBAAAP&#10;AAAAAAAAAAEAIAAAACIAAABkcnMvZG93bnJldi54bWxQSwECFAAUAAAACACHTuJAkhdmbN8BAAC2&#10;AwAADgAAAAAAAAABACAAAAAnAQAAZHJzL2Uyb0RvYy54bWxQSwUGAAAAAAYABgBZAQAAeAUAAAAA&#10;">
                <v:fill on="t" focussize="0,0"/>
                <v:stroke on="f"/>
                <v:imagedata o:title=""/>
                <o:lock v:ext="edit" aspectratio="f"/>
                <v:textbox inset="0mm,0mm,0mm,0mm">
                  <w:txbxContent>
                    <w:p w14:paraId="386BB2A1">
                      <w:pPr>
                        <w:pStyle w:val="15"/>
                      </w:pPr>
                      <w:r>
                        <w:rPr>
                          <w:rFonts w:hint="eastAsia"/>
                        </w:rPr>
                        <w:t>中华人民共和国工业和信息化部</w:t>
                      </w:r>
                      <w:r>
                        <w:rPr>
                          <w:rStyle w:val="18"/>
                          <w:rFonts w:hint="eastAsia"/>
                        </w:rPr>
                        <w:t xml:space="preserve"> 发布</w:t>
                      </w:r>
                    </w:p>
                  </w:txbxContent>
                </v:textbox>
                <w10:anchorlock/>
              </v:shape>
            </w:pict>
          </mc:Fallback>
        </mc:AlternateContent>
      </w:r>
    </w:p>
    <w:p w14:paraId="396D6F92">
      <w:pPr>
        <w:spacing w:before="120" w:after="120" w:line="288" w:lineRule="auto"/>
        <w:ind w:left="0"/>
        <w:jc w:val="left"/>
        <w:rPr>
          <w:rFonts w:ascii="Arial" w:hAnsi="Arial" w:eastAsia="等线" w:cs="Arial"/>
          <w:sz w:val="22"/>
        </w:rPr>
      </w:pPr>
    </w:p>
    <w:p w14:paraId="7F4BCF22">
      <w:pPr>
        <w:spacing w:before="120" w:after="120" w:line="288" w:lineRule="auto"/>
        <w:ind w:left="0"/>
        <w:jc w:val="left"/>
        <w:rPr>
          <w:rFonts w:ascii="Arial" w:hAnsi="Arial" w:eastAsia="等线" w:cs="Arial"/>
          <w:sz w:val="22"/>
        </w:rPr>
      </w:pPr>
      <w:r>
        <w:rPr>
          <w:sz w:val="21"/>
        </w:rPr>
        <mc:AlternateContent>
          <mc:Choice Requires="wps">
            <w:drawing>
              <wp:anchor distT="0" distB="0" distL="114300" distR="114300" simplePos="0" relativeHeight="251667456" behindDoc="0" locked="0" layoutInCell="1" allowOverlap="1">
                <wp:simplePos x="0" y="0"/>
                <wp:positionH relativeFrom="column">
                  <wp:posOffset>64770</wp:posOffset>
                </wp:positionH>
                <wp:positionV relativeFrom="paragraph">
                  <wp:posOffset>199390</wp:posOffset>
                </wp:positionV>
                <wp:extent cx="60769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607695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1pt;margin-top:15.7pt;height:0.05pt;width:478.5pt;z-index:251667456;mso-width-relative:page;mso-height-relative:page;" filled="f" stroked="t" coordsize="21600,21600" o:gfxdata="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q5Pv7VAAAACAEAAA8AAAAAAAAAAQAgAAAAIgAAAGRycy9kb3ducmV2LnhtbFBLAQIU&#10;ABQAAAAIAIdO4kBH+mGe9gEAAOYDAAAOAAAAAAAAAAEAIAAAACQBAABkcnMvZTJvRG9jLnhtbFBL&#10;BQYAAAAABgAGAFkBAACM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5408" behindDoc="0" locked="1" layoutInCell="1" allowOverlap="1">
                <wp:simplePos x="0" y="0"/>
                <wp:positionH relativeFrom="margin">
                  <wp:posOffset>4148455</wp:posOffset>
                </wp:positionH>
                <wp:positionV relativeFrom="margin">
                  <wp:posOffset>8182610</wp:posOffset>
                </wp:positionV>
                <wp:extent cx="2019300" cy="312420"/>
                <wp:effectExtent l="0" t="0" r="0" b="11430"/>
                <wp:wrapNone/>
                <wp:docPr id="16" name="文本框 16"/>
                <wp:cNvGraphicFramePr/>
                <a:graphic xmlns:a="http://schemas.openxmlformats.org/drawingml/2006/main">
                  <a:graphicData uri="http://schemas.microsoft.com/office/word/2010/wordprocessingShape">
                    <wps:wsp>
                      <wps:cNvSpPr txBox="1"/>
                      <wps:spPr>
                        <a:xfrm>
                          <a:off x="5048885" y="8902700"/>
                          <a:ext cx="2019300" cy="312420"/>
                        </a:xfrm>
                        <a:prstGeom prst="rect">
                          <a:avLst/>
                        </a:prstGeom>
                        <a:solidFill>
                          <a:srgbClr val="FFFFFF"/>
                        </a:solidFill>
                        <a:ln>
                          <a:noFill/>
                        </a:ln>
                        <a:effectLst/>
                      </wps:spPr>
                      <wps:txbx>
                        <w:txbxContent>
                          <w:p w14:paraId="78264EF6">
                            <w:pPr>
                              <w:pStyle w:val="14"/>
                            </w:pPr>
                            <w:r>
                              <w:rPr>
                                <w:rFonts w:hint="eastAsia"/>
                              </w:rPr>
                              <w:t>××××-××-××实施</w:t>
                            </w:r>
                          </w:p>
                          <w:p w14:paraId="57596961"/>
                        </w:txbxContent>
                      </wps:txbx>
                      <wps:bodyPr lIns="0" tIns="0" rIns="0" bIns="0" upright="1"/>
                    </wps:wsp>
                  </a:graphicData>
                </a:graphic>
              </wp:anchor>
            </w:drawing>
          </mc:Choice>
          <mc:Fallback>
            <w:pict>
              <v:shape id="_x0000_s1026" o:spid="_x0000_s1026" o:spt="202" type="#_x0000_t202" style="position:absolute;left:0pt;margin-left:326.65pt;margin-top:644.3pt;height:24.6pt;width:159pt;mso-position-horizontal-relative:margin;mso-position-vertical-relative:margin;z-index:251665408;mso-width-relative:page;mso-height-relative:page;" fillcolor="#FFFFFF" filled="t" stroked="f" coordsize="21600,21600" o:gfxdata="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4WkSNoAAAAN&#10;AQAADwAAAAAAAAABACAAAAAiAAAAZHJzL2Rvd25yZXYueG1sUEsBAhQAFAAAAAgAh07iQJZuAZrh&#10;AQAAtwMAAA4AAAAAAAAAAQAgAAAAKQEAAGRycy9lMm9Eb2MueG1sUEsFBgAAAAAGAAYAWQEAAHwF&#10;AAAAAA==&#10;">
                <v:fill on="t" focussize="0,0"/>
                <v:stroke on="f"/>
                <v:imagedata o:title=""/>
                <o:lock v:ext="edit" aspectratio="f"/>
                <v:textbox inset="0mm,0mm,0mm,0mm">
                  <w:txbxContent>
                    <w:p w14:paraId="78264EF6">
                      <w:pPr>
                        <w:pStyle w:val="14"/>
                      </w:pPr>
                      <w:r>
                        <w:rPr>
                          <w:rFonts w:hint="eastAsia"/>
                        </w:rPr>
                        <w:t>××××-××-××实施</w:t>
                      </w:r>
                    </w:p>
                    <w:p w14:paraId="57596961"/>
                  </w:txbxContent>
                </v:textbox>
                <w10:anchorlock/>
              </v:shape>
            </w:pict>
          </mc:Fallback>
        </mc:AlternateContent>
      </w:r>
    </w:p>
    <w:p w14:paraId="178FACE5">
      <w:pPr>
        <w:pStyle w:val="19"/>
        <w:numPr>
          <w:ilvl w:val="0"/>
          <w:numId w:val="0"/>
        </w:numPr>
        <w:ind w:leftChars="0"/>
        <w:jc w:val="center"/>
        <w:rPr>
          <w:rFonts w:hint="eastAsia" w:ascii="黑体" w:hAnsi="黑体" w:eastAsia="黑体" w:cs="黑体"/>
          <w:snapToGrid w:val="0"/>
          <w:color w:val="auto"/>
          <w:spacing w:val="-13"/>
          <w:kern w:val="0"/>
          <w:sz w:val="28"/>
          <w:szCs w:val="28"/>
          <w:lang w:val="en-US" w:eastAsia="zh-CN" w:bidi="ar-SA"/>
        </w:rPr>
      </w:pPr>
      <w:r>
        <w:rPr>
          <w:rFonts w:hint="eastAsia" w:ascii="黑体" w:hAnsi="黑体" w:eastAsia="黑体" w:cs="黑体"/>
          <w:snapToGrid w:val="0"/>
          <w:color w:val="auto"/>
          <w:spacing w:val="-13"/>
          <w:kern w:val="0"/>
          <w:sz w:val="28"/>
          <w:szCs w:val="28"/>
          <w:lang w:val="en-US" w:eastAsia="zh-CN" w:bidi="ar-SA"/>
        </w:rPr>
        <w:t>前</w:t>
      </w:r>
      <w:r>
        <w:rPr>
          <w:rFonts w:hint="eastAsia" w:hAnsi="黑体" w:cs="黑体"/>
          <w:snapToGrid w:val="0"/>
          <w:color w:val="auto"/>
          <w:spacing w:val="-13"/>
          <w:kern w:val="0"/>
          <w:sz w:val="28"/>
          <w:szCs w:val="28"/>
          <w:lang w:val="en-US" w:eastAsia="zh-CN" w:bidi="ar-SA"/>
        </w:rPr>
        <w:t xml:space="preserve">   </w:t>
      </w:r>
      <w:r>
        <w:rPr>
          <w:rFonts w:hint="eastAsia" w:ascii="黑体" w:hAnsi="黑体" w:eastAsia="黑体" w:cs="黑体"/>
          <w:snapToGrid w:val="0"/>
          <w:color w:val="auto"/>
          <w:spacing w:val="-13"/>
          <w:kern w:val="0"/>
          <w:sz w:val="28"/>
          <w:szCs w:val="28"/>
          <w:lang w:val="en-US" w:eastAsia="zh-CN" w:bidi="ar-SA"/>
        </w:rPr>
        <w:t>言</w:t>
      </w:r>
      <w:bookmarkEnd w:id="0"/>
    </w:p>
    <w:p w14:paraId="627DC9B8">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本文件按照GB/T 1.1—2020《标准化工作导则 第1部分：标准化文件的结构和起草规则》的规定起草。</w:t>
      </w:r>
    </w:p>
    <w:p w14:paraId="76C13EEA">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本文件代替YS/T 1193—2017《电解用绝缘密封夹边条》，与YS/T 1193—2017相比，除结构调整和编辑性改动外，主要技术变化如下：</w:t>
      </w:r>
    </w:p>
    <w:p w14:paraId="4E1951F2">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--更改了适用范围内容（见第1章，对应2017年版第1章）；</w:t>
      </w:r>
    </w:p>
    <w:p w14:paraId="3C0377FF">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--增加了术语和定义章节（见第3章）</w:t>
      </w:r>
    </w:p>
    <w:p w14:paraId="482DA4F0">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--更改了产品组成与标记章节结构（见第4章，对应2017年版3.1、3.2条）；</w:t>
      </w:r>
    </w:p>
    <w:p w14:paraId="77EB32F8">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--增加了夹边条尺寸范围要求（见2018版5.1.1表1、5.1.2表2中L₁、L₂规格参数）；</w:t>
      </w:r>
    </w:p>
    <w:p w14:paraId="303537FE">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--更改了理化性能指标表述内容（见5.2表3，对应2017年版3.4表3）；</w:t>
      </w:r>
    </w:p>
    <w:p w14:paraId="435827AC">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--更改了产品外观质量要求（见5.3条，对应2017年版3.5条）；</w:t>
      </w:r>
    </w:p>
    <w:p w14:paraId="276F46E3">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--增加了产品外观检验方法（见6.3条）；</w:t>
      </w:r>
    </w:p>
    <w:p w14:paraId="5714267D">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--增加了出厂检验项目（见7.4.1条）。</w:t>
      </w:r>
    </w:p>
    <w:p w14:paraId="13F7443B">
      <w:pPr>
        <w:ind w:left="0" w:leftChars="0" w:firstLine="420" w:firstLineChars="20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请注意本文件的某些内容可能涉及专利。本文件的发布机构不承担识别专利的责任。</w:t>
      </w:r>
    </w:p>
    <w:p w14:paraId="6F26A240">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本文件由全国有色金属标准化技术委员会（SAC/TC 243）提出并归口。</w:t>
      </w:r>
    </w:p>
    <w:p w14:paraId="43045A9D">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本文件起草单位：江西铜业股份有限公司、白银有色集团股份有限公司、云南铜业股份有限公司西南铜业分公司、鹰潭市中久科技有限公司、紫金铜业有限公司。</w:t>
      </w:r>
    </w:p>
    <w:p w14:paraId="4E5BC1B9">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本文件主要起草人：程彤、高欢波、涂相林、毛细华、</w:t>
      </w:r>
      <w:r>
        <w:rPr>
          <w:rFonts w:hint="eastAsia" w:ascii="宋体" w:hAnsi="宋体" w:eastAsiaTheme="minorEastAsia" w:cstheme="minorBidi"/>
          <w:color w:val="auto"/>
          <w:kern w:val="2"/>
          <w:sz w:val="21"/>
          <w:szCs w:val="21"/>
          <w:lang w:val="en-US" w:eastAsia="zh-CN" w:bidi="ar-SA"/>
        </w:rPr>
        <w:t>李学国</w:t>
      </w:r>
      <w:r>
        <w:rPr>
          <w:rFonts w:hint="eastAsia" w:ascii="宋体" w:hAnsi="宋体" w:cstheme="minorBidi"/>
          <w:color w:val="auto"/>
          <w:kern w:val="2"/>
          <w:sz w:val="21"/>
          <w:szCs w:val="21"/>
          <w:lang w:val="en-US" w:eastAsia="zh-CN" w:bidi="ar-SA"/>
        </w:rPr>
        <w:t>、董世坤、阎云、李耀泉、</w:t>
      </w:r>
      <w:r>
        <w:rPr>
          <w:rFonts w:hint="eastAsia" w:ascii="宋体" w:hAnsi="宋体" w:eastAsia="宋体" w:cs="宋体"/>
          <w:color w:val="auto"/>
          <w:kern w:val="2"/>
          <w:sz w:val="21"/>
          <w:szCs w:val="21"/>
          <w:highlight w:val="none"/>
          <w:lang w:val="en-US" w:eastAsia="zh-CN" w:bidi="ar-SA"/>
        </w:rPr>
        <w:t>王俊荣、黄玮、</w:t>
      </w:r>
      <w:r>
        <w:rPr>
          <w:rFonts w:hint="eastAsia" w:ascii="宋体" w:hAnsi="宋体" w:eastAsiaTheme="minorEastAsia" w:cstheme="minorBidi"/>
          <w:color w:val="auto"/>
          <w:kern w:val="2"/>
          <w:sz w:val="21"/>
          <w:szCs w:val="21"/>
          <w:lang w:val="en-US" w:eastAsia="zh-CN" w:bidi="ar-SA"/>
        </w:rPr>
        <w:t>姚旭</w:t>
      </w:r>
      <w:r>
        <w:rPr>
          <w:rFonts w:hint="eastAsia" w:ascii="宋体" w:hAnsi="宋体" w:cstheme="minorBidi"/>
          <w:color w:val="auto"/>
          <w:kern w:val="2"/>
          <w:sz w:val="21"/>
          <w:szCs w:val="21"/>
          <w:lang w:val="en-US" w:eastAsia="zh-CN" w:bidi="ar-SA"/>
        </w:rPr>
        <w:t>、</w:t>
      </w:r>
      <w:r>
        <w:rPr>
          <w:rFonts w:hint="eastAsia" w:asciiTheme="minorHAnsi" w:hAnsiTheme="minorHAnsi" w:eastAsiaTheme="minorEastAsia" w:cstheme="minorBidi"/>
          <w:sz w:val="21"/>
          <w:szCs w:val="22"/>
          <w:lang w:val="en-US" w:eastAsia="zh-CN"/>
        </w:rPr>
        <w:t>沐亚玲</w:t>
      </w:r>
      <w:r>
        <w:rPr>
          <w:rFonts w:hint="eastAsia" w:cstheme="minorBidi"/>
          <w:sz w:val="21"/>
          <w:szCs w:val="22"/>
          <w:lang w:val="en-US" w:eastAsia="zh-CN"/>
        </w:rPr>
        <w:t>、</w:t>
      </w:r>
      <w:r>
        <w:rPr>
          <w:rFonts w:hint="eastAsia" w:ascii="宋体" w:hAnsi="宋体" w:cstheme="minorBidi"/>
          <w:color w:val="auto"/>
          <w:kern w:val="2"/>
          <w:sz w:val="21"/>
          <w:szCs w:val="21"/>
          <w:lang w:val="en-US" w:eastAsia="zh-CN" w:bidi="ar-SA"/>
        </w:rPr>
        <w:t>柳权、梁源</w:t>
      </w:r>
      <w:r>
        <w:rPr>
          <w:rFonts w:hint="eastAsia" w:ascii="宋体" w:hAnsi="宋体" w:eastAsia="宋体" w:cs="宋体"/>
          <w:color w:val="auto"/>
          <w:kern w:val="2"/>
          <w:sz w:val="21"/>
          <w:szCs w:val="21"/>
          <w:highlight w:val="none"/>
          <w:lang w:val="en-US" w:eastAsia="zh-CN" w:bidi="ar-SA"/>
        </w:rPr>
        <w:t>。</w:t>
      </w:r>
    </w:p>
    <w:p w14:paraId="451D9C01">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本文件所代替标准的历次版本发布情况为：</w:t>
      </w:r>
    </w:p>
    <w:p w14:paraId="480950C1">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─2017年首次发布为YS/T 1193—2017；</w:t>
      </w:r>
    </w:p>
    <w:p w14:paraId="7F596340">
      <w:pPr>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─本次为第一次修订。</w:t>
      </w:r>
    </w:p>
    <w:p w14:paraId="2916F8BC">
      <w:pPr>
        <w:ind w:left="0" w:leftChars="0" w:firstLine="420" w:firstLineChars="200"/>
        <w:rPr>
          <w:rFonts w:hint="eastAsia" w:ascii="宋体" w:hAnsi="宋体" w:eastAsia="宋体" w:cs="宋体"/>
          <w:color w:val="auto"/>
          <w:kern w:val="2"/>
          <w:sz w:val="21"/>
          <w:szCs w:val="21"/>
          <w:highlight w:val="none"/>
          <w:lang w:val="en-US" w:eastAsia="zh-CN" w:bidi="ar-SA"/>
        </w:rPr>
      </w:pPr>
    </w:p>
    <w:p w14:paraId="3EFD56F2">
      <w:pPr>
        <w:ind w:left="0" w:leftChars="0" w:firstLine="420" w:firstLineChars="200"/>
        <w:rPr>
          <w:rFonts w:hint="eastAsia" w:ascii="宋体" w:hAnsi="宋体" w:eastAsia="宋体" w:cs="Times New Roman"/>
          <w:color w:val="auto"/>
          <w:kern w:val="0"/>
          <w:szCs w:val="24"/>
          <w:lang w:val="en-US" w:eastAsia="zh-CN" w:bidi="ar-SA"/>
        </w:rPr>
      </w:pPr>
    </w:p>
    <w:p w14:paraId="16BABEFB">
      <w:pPr>
        <w:jc w:val="center"/>
        <w:rPr>
          <w:sz w:val="21"/>
        </w:rPr>
      </w:pPr>
    </w:p>
    <w:p w14:paraId="2367D12F">
      <w:pPr>
        <w:jc w:val="center"/>
        <w:rPr>
          <w:sz w:val="21"/>
        </w:rPr>
      </w:pPr>
    </w:p>
    <w:p w14:paraId="0E3E5C72">
      <w:pPr>
        <w:jc w:val="center"/>
        <w:rPr>
          <w:sz w:val="21"/>
        </w:rPr>
      </w:pPr>
    </w:p>
    <w:p w14:paraId="4EA658A8">
      <w:pPr>
        <w:jc w:val="center"/>
        <w:rPr>
          <w:sz w:val="21"/>
        </w:rPr>
      </w:pPr>
    </w:p>
    <w:p w14:paraId="04F26173">
      <w:pPr>
        <w:jc w:val="center"/>
        <w:rPr>
          <w:sz w:val="21"/>
        </w:rPr>
      </w:pPr>
    </w:p>
    <w:p w14:paraId="51D7C532">
      <w:pPr>
        <w:jc w:val="center"/>
        <w:rPr>
          <w:sz w:val="21"/>
        </w:rPr>
      </w:pPr>
    </w:p>
    <w:p w14:paraId="723DD0DC">
      <w:pPr>
        <w:jc w:val="center"/>
        <w:rPr>
          <w:sz w:val="21"/>
        </w:rPr>
      </w:pPr>
    </w:p>
    <w:p w14:paraId="00940232">
      <w:pPr>
        <w:jc w:val="center"/>
        <w:rPr>
          <w:sz w:val="21"/>
        </w:rPr>
      </w:pPr>
    </w:p>
    <w:p w14:paraId="28B72C27">
      <w:pPr>
        <w:jc w:val="center"/>
        <w:rPr>
          <w:sz w:val="21"/>
        </w:rPr>
      </w:pPr>
    </w:p>
    <w:p w14:paraId="2A82840A">
      <w:pPr>
        <w:jc w:val="center"/>
        <w:rPr>
          <w:sz w:val="21"/>
        </w:rPr>
      </w:pPr>
    </w:p>
    <w:p w14:paraId="5FFE6C23">
      <w:pPr>
        <w:jc w:val="center"/>
        <w:rPr>
          <w:sz w:val="21"/>
        </w:rPr>
      </w:pPr>
    </w:p>
    <w:p w14:paraId="4CF9CF87">
      <w:pPr>
        <w:jc w:val="center"/>
        <w:rPr>
          <w:sz w:val="21"/>
        </w:rPr>
      </w:pPr>
    </w:p>
    <w:p w14:paraId="5AE766AC">
      <w:pPr>
        <w:jc w:val="center"/>
        <w:rPr>
          <w:sz w:val="21"/>
        </w:rPr>
      </w:pPr>
    </w:p>
    <w:p w14:paraId="76E34CC0">
      <w:pPr>
        <w:jc w:val="center"/>
        <w:rPr>
          <w:sz w:val="21"/>
        </w:rPr>
      </w:pPr>
    </w:p>
    <w:p w14:paraId="013585E1">
      <w:pPr>
        <w:jc w:val="center"/>
        <w:rPr>
          <w:sz w:val="21"/>
        </w:rPr>
      </w:pPr>
    </w:p>
    <w:p w14:paraId="4772DD27">
      <w:pPr>
        <w:jc w:val="center"/>
        <w:rPr>
          <w:sz w:val="21"/>
        </w:rPr>
      </w:pPr>
    </w:p>
    <w:p w14:paraId="6599E43D">
      <w:pPr>
        <w:jc w:val="center"/>
        <w:rPr>
          <w:sz w:val="21"/>
        </w:rPr>
      </w:pPr>
    </w:p>
    <w:p w14:paraId="1CA959C1">
      <w:pPr>
        <w:jc w:val="center"/>
        <w:rPr>
          <w:sz w:val="21"/>
        </w:rPr>
      </w:pPr>
    </w:p>
    <w:p w14:paraId="3529203C">
      <w:pPr>
        <w:jc w:val="center"/>
        <w:rPr>
          <w:sz w:val="21"/>
        </w:rPr>
      </w:pPr>
    </w:p>
    <w:p w14:paraId="0180D744">
      <w:pPr>
        <w:jc w:val="center"/>
        <w:rPr>
          <w:sz w:val="21"/>
        </w:rPr>
      </w:pPr>
    </w:p>
    <w:p w14:paraId="0E61A99F">
      <w:pPr>
        <w:jc w:val="center"/>
        <w:rPr>
          <w:sz w:val="21"/>
        </w:rPr>
      </w:pPr>
    </w:p>
    <w:p w14:paraId="08ED6CC9">
      <w:pPr>
        <w:jc w:val="center"/>
        <w:rPr>
          <w:sz w:val="21"/>
        </w:rPr>
      </w:pPr>
    </w:p>
    <w:p w14:paraId="1E6F6D12">
      <w:pPr>
        <w:jc w:val="center"/>
        <w:rPr>
          <w:sz w:val="21"/>
        </w:rPr>
      </w:pPr>
    </w:p>
    <w:p w14:paraId="203A6FA5">
      <w:pPr>
        <w:jc w:val="center"/>
        <w:rPr>
          <w:sz w:val="21"/>
        </w:rPr>
      </w:pPr>
    </w:p>
    <w:p w14:paraId="7C1007E5">
      <w:pPr>
        <w:jc w:val="center"/>
        <w:rPr>
          <w:sz w:val="21"/>
        </w:rPr>
      </w:pPr>
    </w:p>
    <w:p w14:paraId="5B8DC8FB">
      <w:pPr>
        <w:jc w:val="center"/>
        <w:rPr>
          <w:sz w:val="21"/>
        </w:rPr>
      </w:pPr>
    </w:p>
    <w:p w14:paraId="5280C118">
      <w:pPr>
        <w:jc w:val="center"/>
        <w:rPr>
          <w:sz w:val="21"/>
        </w:rPr>
      </w:pPr>
    </w:p>
    <w:p w14:paraId="220F2A34">
      <w:pPr>
        <w:jc w:val="center"/>
        <w:rPr>
          <w:sz w:val="21"/>
        </w:rPr>
      </w:pPr>
    </w:p>
    <w:p w14:paraId="3EA78E03">
      <w:pPr>
        <w:jc w:val="both"/>
        <w:rPr>
          <w:rFonts w:hint="eastAsia" w:ascii="黑体" w:hAnsi="黑体" w:eastAsia="黑体" w:cs="Times New Roman"/>
          <w:color w:val="auto"/>
          <w:kern w:val="2"/>
          <w:sz w:val="32"/>
          <w:szCs w:val="32"/>
          <w:lang w:val="en-US" w:eastAsia="zh-CN" w:bidi="ar-SA"/>
        </w:rPr>
      </w:pPr>
    </w:p>
    <w:p w14:paraId="385ECB99">
      <w:pPr>
        <w:spacing w:beforeLines="150" w:afterLines="150"/>
        <w:ind w:left="0" w:leftChars="0"/>
        <w:jc w:val="center"/>
        <w:rPr>
          <w:rFonts w:hint="eastAsia" w:ascii="黑体" w:hAnsi="黑体" w:eastAsia="黑体" w:cs="Times New Roman"/>
          <w:color w:val="auto"/>
          <w:kern w:val="2"/>
          <w:sz w:val="32"/>
          <w:szCs w:val="32"/>
          <w:lang w:val="en-US" w:eastAsia="zh-CN" w:bidi="ar-SA"/>
        </w:rPr>
      </w:pPr>
      <w:r>
        <w:rPr>
          <w:rFonts w:hint="eastAsia" w:ascii="黑体" w:hAnsi="黑体" w:eastAsia="黑体" w:cs="Times New Roman"/>
          <w:color w:val="auto"/>
          <w:kern w:val="2"/>
          <w:sz w:val="32"/>
          <w:szCs w:val="32"/>
          <w:lang w:val="en-US" w:eastAsia="zh-CN" w:bidi="ar-SA"/>
        </w:rPr>
        <w:t>电解用阴极板绝缘密封夹边条</w:t>
      </w:r>
    </w:p>
    <w:p w14:paraId="46948EBC">
      <w:pPr>
        <w:pStyle w:val="8"/>
        <w:spacing w:beforeLines="100" w:afterLines="100" w:line="240" w:lineRule="auto"/>
        <w:ind w:firstLine="0" w:firstLineChars="0"/>
        <w:rPr>
          <w:rFonts w:hint="eastAsia" w:ascii="黑体" w:hAnsi="黑体" w:eastAsia="黑体" w:cs="黑体"/>
          <w:bCs/>
          <w:color w:val="auto"/>
          <w:kern w:val="2"/>
          <w:lang w:val="en-US" w:eastAsia="zh-CN" w:bidi="ar-SA"/>
        </w:rPr>
      </w:pPr>
      <w:bookmarkStart w:id="1" w:name="heading_4"/>
      <w:r>
        <w:rPr>
          <w:rFonts w:hint="eastAsia" w:ascii="黑体" w:hAnsi="黑体" w:eastAsia="黑体" w:cs="黑体"/>
          <w:bCs/>
          <w:color w:val="auto"/>
          <w:kern w:val="2"/>
          <w:lang w:val="en-US" w:eastAsia="zh-CN" w:bidi="ar-SA"/>
        </w:rPr>
        <w:t>1 范围</w:t>
      </w:r>
      <w:bookmarkEnd w:id="1"/>
    </w:p>
    <w:p w14:paraId="450709A9">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本文件规定了电解用阴极板绝缘密封夹边条（以下简称夹边条）产品组成与标记、要求、试验方法、检验规则、标志、包装、运输、贮存。</w:t>
      </w:r>
    </w:p>
    <w:p w14:paraId="59EC017C">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本文件适用于聚苯醚、聚乙烯等改性塑料加工成型生产的绝缘密封夹边条，该产品应用于电解湿法精炼工艺生产中阴极板的绝缘密封。</w:t>
      </w:r>
    </w:p>
    <w:p w14:paraId="798C035F">
      <w:pPr>
        <w:pStyle w:val="8"/>
        <w:spacing w:beforeLines="100" w:afterLines="100" w:line="240" w:lineRule="auto"/>
        <w:ind w:firstLine="0" w:firstLineChars="0"/>
        <w:rPr>
          <w:rFonts w:hint="eastAsia" w:ascii="黑体" w:hAnsi="黑体" w:eastAsia="黑体" w:cs="黑体"/>
          <w:bCs/>
          <w:color w:val="auto"/>
          <w:kern w:val="2"/>
          <w:lang w:val="en-US" w:eastAsia="zh-CN" w:bidi="ar-SA"/>
        </w:rPr>
      </w:pPr>
      <w:bookmarkStart w:id="2" w:name="heading_5"/>
      <w:r>
        <w:rPr>
          <w:rFonts w:hint="eastAsia" w:ascii="黑体" w:hAnsi="黑体" w:eastAsia="黑体" w:cs="黑体"/>
          <w:bCs/>
          <w:color w:val="auto"/>
          <w:kern w:val="2"/>
          <w:lang w:val="en-US" w:eastAsia="zh-CN" w:bidi="ar-SA"/>
        </w:rPr>
        <w:t>2 规范性引用文件</w:t>
      </w:r>
      <w:bookmarkEnd w:id="2"/>
    </w:p>
    <w:p w14:paraId="76AAD6FB">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2EAAA29">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1040.2塑料 拉伸性能的测定 第2部分：模塑和挤塑塑料的试验条件</w:t>
      </w:r>
    </w:p>
    <w:p w14:paraId="36DDC607">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1408.2绝缘材料 电气强度试验方法 第2部分：对应用直流电压试验的附加条件</w:t>
      </w:r>
    </w:p>
    <w:p w14:paraId="34FCE45B">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1409测量电气绝缘材料在工频、音频、高频（包括米波波长在内）下电容率和介质损耗因数的推荐方法</w:t>
      </w:r>
    </w:p>
    <w:p w14:paraId="5F335A90">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1410固体绝缘材料 体积电阻率和表面电阻率试验方法</w:t>
      </w:r>
    </w:p>
    <w:p w14:paraId="098C65AD">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1634.1塑料 负荷变形温度的测定 第1部分：通用试验方法</w:t>
      </w:r>
    </w:p>
    <w:p w14:paraId="276DF19E">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2828.1计数抽样检验程序 第1部分：按接收质量限（AQL）检索的逐批检验抽样计划</w:t>
      </w:r>
    </w:p>
    <w:p w14:paraId="1EE1152A">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GB/T 2918塑料试验状态调节和试验的标准环境</w:t>
      </w:r>
    </w:p>
    <w:p w14:paraId="2BFB7A82">
      <w:pPr>
        <w:pStyle w:val="8"/>
        <w:spacing w:beforeLines="100" w:afterLines="100" w:line="240" w:lineRule="auto"/>
        <w:ind w:firstLine="0" w:firstLineChars="0"/>
        <w:rPr>
          <w:rFonts w:hint="eastAsia" w:ascii="黑体" w:hAnsi="黑体" w:eastAsia="黑体" w:cs="黑体"/>
          <w:bCs/>
          <w:color w:val="auto"/>
          <w:kern w:val="2"/>
          <w:lang w:val="en-US" w:eastAsia="zh-CN" w:bidi="ar-SA"/>
        </w:rPr>
      </w:pPr>
      <w:bookmarkStart w:id="3" w:name="heading_6"/>
      <w:r>
        <w:rPr>
          <w:rFonts w:hint="eastAsia" w:ascii="黑体" w:hAnsi="黑体" w:eastAsia="黑体" w:cs="黑体"/>
          <w:bCs/>
          <w:color w:val="auto"/>
          <w:kern w:val="2"/>
          <w:lang w:val="en-US" w:eastAsia="zh-CN" w:bidi="ar-SA"/>
        </w:rPr>
        <w:t>3 术语和定义</w:t>
      </w:r>
      <w:bookmarkEnd w:id="3"/>
    </w:p>
    <w:p w14:paraId="6438E4C6">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下列术语和定义适用于本文件。</w:t>
      </w:r>
    </w:p>
    <w:p w14:paraId="734ED4A1">
      <w:pPr>
        <w:pStyle w:val="8"/>
        <w:spacing w:beforeLines="50" w:afterLines="50" w:line="240" w:lineRule="auto"/>
        <w:ind w:left="0" w:leftChars="0"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 xml:space="preserve">3.1 </w:t>
      </w:r>
    </w:p>
    <w:p w14:paraId="4923FD46">
      <w:pPr>
        <w:pStyle w:val="8"/>
        <w:spacing w:beforeLines="50" w:afterLines="50" w:line="240" w:lineRule="auto"/>
        <w:ind w:left="0" w:leftChars="0" w:firstLine="420" w:firstLineChars="20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电解用阴极板绝缘密封夹边条 electrolytic cathode plate insulating and sealing edge strip</w:t>
      </w:r>
    </w:p>
    <w:p w14:paraId="780418D5">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 xml:space="preserve">以聚苯醚、聚乙烯等改性塑料加工成型生产的绝缘密封夹边条，用于湿法电解精炼阴极板边缘绝缘密封的组合构件。 </w:t>
      </w:r>
    </w:p>
    <w:p w14:paraId="5A595029">
      <w:pPr>
        <w:pStyle w:val="8"/>
        <w:spacing w:beforeLines="50" w:afterLines="50" w:line="240" w:lineRule="auto"/>
        <w:ind w:left="0" w:leftChars="0"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 xml:space="preserve">3.2 </w:t>
      </w:r>
    </w:p>
    <w:p w14:paraId="244AFE06">
      <w:pPr>
        <w:pStyle w:val="8"/>
        <w:spacing w:beforeLines="50" w:afterLines="50" w:line="240" w:lineRule="auto"/>
        <w:ind w:left="0" w:leftChars="0" w:firstLine="420" w:firstLineChars="20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夹条 clip strip</w:t>
      </w:r>
    </w:p>
    <w:p w14:paraId="4A4FA8D0">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夹边条的主体结构部件，具有夹紧口和圆弧胀紧口，用于包裹阴极板边缘并与胀紧棒配合实现固定。</w:t>
      </w:r>
    </w:p>
    <w:p w14:paraId="74A118FD">
      <w:pPr>
        <w:pStyle w:val="8"/>
        <w:spacing w:beforeLines="50" w:afterLines="50" w:line="240" w:lineRule="auto"/>
        <w:ind w:left="0" w:leftChars="0"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 xml:space="preserve">3.3 </w:t>
      </w:r>
    </w:p>
    <w:p w14:paraId="332083D2">
      <w:pPr>
        <w:pStyle w:val="8"/>
        <w:spacing w:beforeLines="50" w:afterLines="50" w:line="240" w:lineRule="auto"/>
        <w:ind w:left="0" w:leftChars="0" w:firstLine="420" w:firstLineChars="20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胀紧棒 expansion rod</w:t>
      </w:r>
    </w:p>
    <w:p w14:paraId="02D7C617">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与夹条圆弧胀紧口配合使用，通过胀紧作用增强夹条与阴极板连接稳定性的圆柱形部件。</w:t>
      </w:r>
    </w:p>
    <w:p w14:paraId="4A79DEAA">
      <w:pPr>
        <w:pStyle w:val="8"/>
        <w:spacing w:beforeLines="50" w:afterLines="50" w:line="240" w:lineRule="auto"/>
        <w:ind w:left="0" w:leftChars="0"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3.4 夹紧力 clamping force</w:t>
      </w:r>
    </w:p>
    <w:p w14:paraId="08C52BED">
      <w:pPr>
        <w:pStyle w:val="8"/>
        <w:spacing w:line="240" w:lineRule="auto"/>
        <w:ind w:firstLine="420"/>
        <w:rPr>
          <w:rFonts w:hint="eastAsia" w:ascii="Times New Roman" w:hAnsi="Times New Roman" w:eastAsia="宋体"/>
          <w:color w:val="auto"/>
          <w:kern w:val="0"/>
          <w:lang w:val="en-US" w:eastAsia="zh-CN" w:bidi="ar-SA"/>
        </w:rPr>
      </w:pPr>
      <w:r>
        <w:rPr>
          <w:rFonts w:hint="eastAsia" w:ascii="Times New Roman" w:hAnsi="Times New Roman" w:eastAsia="宋体"/>
          <w:color w:val="auto"/>
          <w:kern w:val="0"/>
          <w:lang w:val="en-US" w:eastAsia="zh-CN" w:bidi="ar-SA"/>
        </w:rPr>
        <w:t>夹条与胀紧棒配合后，对阴极板产生的单位面积压紧力。</w:t>
      </w:r>
    </w:p>
    <w:p w14:paraId="692FD01B">
      <w:pPr>
        <w:pStyle w:val="8"/>
        <w:spacing w:beforeLines="100" w:afterLines="100" w:line="240" w:lineRule="auto"/>
        <w:ind w:firstLine="0" w:firstLineChars="0"/>
        <w:rPr>
          <w:rFonts w:hint="eastAsia" w:ascii="黑体" w:hAnsi="黑体" w:eastAsia="黑体" w:cs="黑体"/>
          <w:bCs/>
          <w:color w:val="auto"/>
          <w:kern w:val="2"/>
          <w:lang w:val="en-US" w:eastAsia="zh-CN" w:bidi="ar-SA"/>
        </w:rPr>
      </w:pPr>
      <w:bookmarkStart w:id="4" w:name="heading_7"/>
      <w:r>
        <w:rPr>
          <w:rFonts w:hint="eastAsia" w:ascii="黑体" w:hAnsi="黑体" w:eastAsia="黑体" w:cs="黑体"/>
          <w:bCs/>
          <w:color w:val="auto"/>
          <w:kern w:val="2"/>
          <w:lang w:val="en-US" w:eastAsia="zh-CN" w:bidi="ar-SA"/>
        </w:rPr>
        <w:t>4 产品组成与标记</w:t>
      </w:r>
      <w:bookmarkEnd w:id="4"/>
    </w:p>
    <w:p w14:paraId="49B31C5D">
      <w:pPr>
        <w:pStyle w:val="8"/>
        <w:spacing w:beforeLines="50" w:afterLines="50" w:line="240" w:lineRule="auto"/>
        <w:ind w:firstLine="0" w:firstLineChars="0"/>
        <w:rPr>
          <w:rFonts w:hint="eastAsia" w:ascii="黑体" w:hAnsi="黑体" w:eastAsia="黑体" w:cs="黑体"/>
          <w:bCs/>
          <w:color w:val="auto"/>
          <w:kern w:val="2"/>
          <w:lang w:val="en-US" w:eastAsia="zh-CN" w:bidi="ar-SA"/>
        </w:rPr>
      </w:pPr>
      <w:bookmarkStart w:id="5" w:name="heading_8"/>
      <w:r>
        <w:rPr>
          <w:rFonts w:hint="eastAsia" w:ascii="黑体" w:hAnsi="黑体" w:eastAsia="黑体" w:cs="黑体"/>
          <w:bCs/>
          <w:color w:val="auto"/>
          <w:kern w:val="2"/>
          <w:lang w:val="en-US" w:eastAsia="zh-CN" w:bidi="ar-SA"/>
        </w:rPr>
        <w:t>4.1 产品组成</w:t>
      </w:r>
      <w:bookmarkEnd w:id="5"/>
    </w:p>
    <w:p w14:paraId="52338285">
      <w:pPr>
        <w:spacing w:before="120" w:after="120" w:line="240" w:lineRule="auto"/>
        <w:ind w:firstLine="420" w:firstLineChars="200"/>
        <w:jc w:val="left"/>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夹边条由夹条（见图1）和胀紧棒（见图2）组成。</w:t>
      </w:r>
    </w:p>
    <w:p w14:paraId="4A8D9CBD">
      <w:pPr>
        <w:spacing w:before="120" w:after="120" w:line="288" w:lineRule="auto"/>
        <w:ind w:left="0"/>
        <w:jc w:val="center"/>
        <w:rPr>
          <w:position w:val="-122"/>
        </w:rPr>
      </w:pPr>
      <w:r>
        <w:rPr>
          <w:position w:val="-122"/>
        </w:rPr>
        <w:drawing>
          <wp:inline distT="0" distB="0" distL="0" distR="0">
            <wp:extent cx="2180590" cy="2035810"/>
            <wp:effectExtent l="0" t="0" r="10160" b="254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
                    <a:stretch>
                      <a:fillRect/>
                    </a:stretch>
                  </pic:blipFill>
                  <pic:spPr>
                    <a:xfrm>
                      <a:off x="0" y="0"/>
                      <a:ext cx="2180590" cy="2035810"/>
                    </a:xfrm>
                    <a:prstGeom prst="rect">
                      <a:avLst/>
                    </a:prstGeom>
                  </pic:spPr>
                </pic:pic>
              </a:graphicData>
            </a:graphic>
          </wp:inline>
        </w:drawing>
      </w:r>
    </w:p>
    <w:p w14:paraId="76D2831F">
      <w:pPr>
        <w:spacing w:before="120" w:after="120" w:line="288" w:lineRule="auto"/>
        <w:ind w:left="0"/>
        <w:jc w:val="both"/>
        <w:rPr>
          <w:rFonts w:hint="eastAsia" w:ascii="黑体" w:hAnsi="黑体" w:eastAsia="黑体" w:cs="黑体"/>
          <w:sz w:val="21"/>
          <w:szCs w:val="21"/>
        </w:rPr>
      </w:pPr>
      <w:r>
        <w:rPr>
          <w:rFonts w:hint="eastAsia" w:ascii="黑体" w:hAnsi="黑体" w:eastAsia="黑体" w:cs="黑体"/>
          <w:sz w:val="21"/>
          <w:szCs w:val="21"/>
          <w:lang w:val="en-US" w:eastAsia="zh-CN"/>
        </w:rPr>
        <w:t>标注序号</w:t>
      </w:r>
      <w:r>
        <w:rPr>
          <w:rFonts w:hint="eastAsia" w:ascii="黑体" w:hAnsi="黑体" w:eastAsia="黑体" w:cs="黑体"/>
          <w:sz w:val="21"/>
          <w:szCs w:val="21"/>
        </w:rPr>
        <w:t>说明：</w:t>
      </w:r>
    </w:p>
    <w:p w14:paraId="5E60E96C">
      <w:pPr>
        <w:spacing w:before="120" w:after="120" w:line="240" w:lineRule="auto"/>
        <w:ind w:firstLine="420" w:firstLineChars="200"/>
        <w:jc w:val="left"/>
        <w:rPr>
          <w:rFonts w:hint="default"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W——夹条宽度；             D₁——圆弧胀紧口直径；           H——夹条高度；</w:t>
      </w:r>
    </w:p>
    <w:p w14:paraId="37A9DE14">
      <w:pPr>
        <w:spacing w:before="120" w:after="120" w:line="240" w:lineRule="auto"/>
        <w:ind w:firstLine="420" w:firstLineChars="200"/>
        <w:jc w:val="left"/>
        <w:rPr>
          <w:rFonts w:hint="default"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h——夹紧口深度；           d₁——夹紧口头部宽度；           d₂——夹紧口尾部宽度；</w:t>
      </w:r>
    </w:p>
    <w:p w14:paraId="777AF48B">
      <w:pPr>
        <w:spacing w:before="120" w:after="120" w:line="240" w:lineRule="auto"/>
        <w:ind w:firstLine="420" w:firstLineChars="200"/>
        <w:jc w:val="left"/>
        <w:rPr>
          <w:rFonts w:hint="default"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A——夹条外表面；           B——圆弧胀紧口表面/定位条安装面  C——夹紧口夹紧面。</w:t>
      </w:r>
    </w:p>
    <w:p w14:paraId="1820D4A7">
      <w:pPr>
        <w:spacing w:beforeLines="50" w:afterLines="50"/>
        <w:jc w:val="center"/>
        <w:rPr>
          <w:rFonts w:hint="eastAsia" w:ascii="黑体" w:hAnsi="黑体" w:eastAsia="黑体" w:cs="黑体"/>
          <w:color w:val="auto"/>
          <w:spacing w:val="-13"/>
          <w:kern w:val="2"/>
          <w:szCs w:val="24"/>
          <w:lang w:val="en-US" w:eastAsia="zh-CN" w:bidi="ar-SA"/>
        </w:rPr>
      </w:pPr>
      <w:r>
        <w:rPr>
          <w:rFonts w:hint="eastAsia" w:ascii="黑体" w:hAnsi="黑体" w:eastAsia="黑体" w:cs="黑体"/>
          <w:color w:val="auto"/>
          <w:spacing w:val="-13"/>
          <w:kern w:val="2"/>
          <w:szCs w:val="24"/>
          <w:lang w:val="en-US" w:eastAsia="zh-CN" w:bidi="ar-SA"/>
        </w:rPr>
        <w:t>图1 夹条截面图</w:t>
      </w:r>
    </w:p>
    <w:p w14:paraId="5EFB5A4A">
      <w:pPr>
        <w:spacing w:before="120" w:after="120" w:line="288" w:lineRule="auto"/>
        <w:ind w:left="0"/>
        <w:jc w:val="center"/>
        <w:rPr>
          <w:rFonts w:ascii="Arial" w:hAnsi="Arial" w:eastAsia="等线" w:cs="Arial"/>
          <w:sz w:val="22"/>
        </w:rPr>
      </w:pPr>
      <w:r>
        <w:rPr>
          <w:position w:val="-66"/>
        </w:rPr>
        <w:drawing>
          <wp:inline distT="0" distB="0" distL="0" distR="0">
            <wp:extent cx="1903095" cy="1771015"/>
            <wp:effectExtent l="0" t="0" r="1905" b="63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6"/>
                    <a:stretch>
                      <a:fillRect/>
                    </a:stretch>
                  </pic:blipFill>
                  <pic:spPr>
                    <a:xfrm>
                      <a:off x="0" y="0"/>
                      <a:ext cx="1903095" cy="1771015"/>
                    </a:xfrm>
                    <a:prstGeom prst="rect">
                      <a:avLst/>
                    </a:prstGeom>
                  </pic:spPr>
                </pic:pic>
              </a:graphicData>
            </a:graphic>
          </wp:inline>
        </w:drawing>
      </w:r>
    </w:p>
    <w:p w14:paraId="73B40182">
      <w:pPr>
        <w:spacing w:before="120" w:after="120" w:line="240" w:lineRule="auto"/>
        <w:jc w:val="left"/>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标注序号说明：</w:t>
      </w:r>
    </w:p>
    <w:p w14:paraId="135B407D">
      <w:pPr>
        <w:spacing w:before="120" w:after="120" w:line="240" w:lineRule="auto"/>
        <w:ind w:firstLine="420" w:firstLineChars="200"/>
        <w:jc w:val="left"/>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D₂——胀紧棒直径；</w:t>
      </w:r>
    </w:p>
    <w:p w14:paraId="7DABE952">
      <w:pPr>
        <w:spacing w:before="120" w:after="120" w:line="240" w:lineRule="auto"/>
        <w:ind w:firstLine="420" w:firstLineChars="200"/>
        <w:jc w:val="left"/>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E——胀紧棒表面。</w:t>
      </w:r>
    </w:p>
    <w:p w14:paraId="1120DDF3">
      <w:pPr>
        <w:spacing w:beforeLines="50" w:afterLines="50"/>
        <w:jc w:val="center"/>
        <w:rPr>
          <w:rFonts w:hint="eastAsia" w:ascii="黑体" w:hAnsi="黑体" w:eastAsia="黑体" w:cs="黑体"/>
          <w:color w:val="auto"/>
          <w:spacing w:val="-13"/>
          <w:kern w:val="2"/>
          <w:szCs w:val="24"/>
          <w:lang w:val="en-US" w:eastAsia="zh-CN" w:bidi="ar-SA"/>
        </w:rPr>
      </w:pPr>
      <w:r>
        <w:rPr>
          <w:rFonts w:hint="eastAsia" w:ascii="黑体" w:hAnsi="黑体" w:eastAsia="黑体" w:cs="黑体"/>
          <w:color w:val="auto"/>
          <w:spacing w:val="-13"/>
          <w:kern w:val="2"/>
          <w:szCs w:val="24"/>
          <w:lang w:val="en-US" w:eastAsia="zh-CN" w:bidi="ar-SA"/>
        </w:rPr>
        <w:t>图2 胀紧棒截面图</w:t>
      </w:r>
    </w:p>
    <w:p w14:paraId="00233FE1">
      <w:pPr>
        <w:pStyle w:val="8"/>
        <w:spacing w:beforeLines="50" w:afterLines="50" w:line="240" w:lineRule="auto"/>
        <w:ind w:firstLine="0" w:firstLineChars="0"/>
        <w:rPr>
          <w:rFonts w:hint="eastAsia" w:ascii="黑体" w:hAnsi="黑体" w:eastAsia="黑体" w:cs="黑体"/>
          <w:bCs/>
          <w:color w:val="auto"/>
          <w:kern w:val="2"/>
          <w:lang w:val="en-US" w:eastAsia="zh-CN" w:bidi="ar-SA"/>
        </w:rPr>
      </w:pPr>
      <w:bookmarkStart w:id="6" w:name="heading_9"/>
      <w:r>
        <w:rPr>
          <w:rFonts w:hint="eastAsia" w:ascii="黑体" w:hAnsi="黑体" w:eastAsia="黑体" w:cs="黑体"/>
          <w:bCs/>
          <w:color w:val="auto"/>
          <w:kern w:val="2"/>
          <w:lang w:val="en-US" w:eastAsia="zh-CN" w:bidi="ar-SA"/>
        </w:rPr>
        <w:t>4.2 标记示例</w:t>
      </w:r>
      <w:bookmarkEnd w:id="6"/>
    </w:p>
    <w:p w14:paraId="3178EF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eastAsia" w:ascii="Times New Roman" w:hAnsi="Times New Roman" w:eastAsia="宋体" w:cs="宋体"/>
          <w:color w:val="auto"/>
          <w:kern w:val="0"/>
          <w:sz w:val="21"/>
          <w:szCs w:val="20"/>
          <w:lang w:val="en-US" w:eastAsia="zh-CN" w:bidi="ar-SA"/>
        </w:rPr>
      </w:pPr>
      <w:bookmarkStart w:id="7" w:name="heading_10"/>
      <w:r>
        <w:rPr>
          <w:rFonts w:hint="eastAsia" w:ascii="Times New Roman" w:hAnsi="Times New Roman" w:eastAsia="宋体" w:cs="宋体"/>
          <w:color w:val="auto"/>
          <w:kern w:val="0"/>
          <w:sz w:val="21"/>
          <w:szCs w:val="20"/>
          <w:lang w:val="en-US" w:eastAsia="zh-CN" w:bidi="ar-SA"/>
        </w:rPr>
        <w:t>夹边条的标记由产品代号、规格长度、夹持极板厚度和产品执行标准编号依次组成，各要素间用短横线分隔，标记格式如下：</w:t>
      </w:r>
    </w:p>
    <w:p w14:paraId="1E5631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firstLineChars="200"/>
        <w:jc w:val="center"/>
      </w:pPr>
      <w:r>
        <w:drawing>
          <wp:inline distT="0" distB="0" distL="114300" distR="114300">
            <wp:extent cx="3441700" cy="110680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3441700" cy="1106805"/>
                    </a:xfrm>
                    <a:prstGeom prst="rect">
                      <a:avLst/>
                    </a:prstGeom>
                    <a:noFill/>
                    <a:ln>
                      <a:noFill/>
                    </a:ln>
                  </pic:spPr>
                </pic:pic>
              </a:graphicData>
            </a:graphic>
          </wp:inline>
        </w:drawing>
      </w:r>
    </w:p>
    <w:p w14:paraId="300D8516">
      <w:pPr>
        <w:spacing w:beforeLines="50" w:afterLines="50"/>
        <w:jc w:val="center"/>
        <w:rPr>
          <w:rFonts w:hint="eastAsia" w:ascii="黑体" w:hAnsi="黑体" w:eastAsia="黑体" w:cs="黑体"/>
          <w:color w:val="auto"/>
          <w:spacing w:val="-13"/>
          <w:kern w:val="2"/>
          <w:szCs w:val="24"/>
          <w:lang w:val="en-US" w:eastAsia="zh-CN" w:bidi="ar-SA"/>
        </w:rPr>
      </w:pPr>
      <w:r>
        <w:rPr>
          <w:rFonts w:hint="eastAsia" w:ascii="黑体" w:hAnsi="黑体" w:eastAsia="黑体" w:cs="黑体"/>
          <w:color w:val="auto"/>
          <w:spacing w:val="-13"/>
          <w:kern w:val="2"/>
          <w:szCs w:val="24"/>
          <w:lang w:val="en-US" w:eastAsia="zh-CN" w:bidi="ar-SA"/>
        </w:rPr>
        <w:t>图3 标记示例图</w:t>
      </w:r>
    </w:p>
    <w:p w14:paraId="69F2DA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标记示例：规格长度为 1070 mm，夹持极板厚度为 3.25 mm 的夹边条，标记为： JBT-1070-3.25-YS/T××××</w:t>
      </w:r>
    </w:p>
    <w:p w14:paraId="35E644C9">
      <w:pPr>
        <w:pStyle w:val="8"/>
        <w:spacing w:beforeLines="100" w:afterLines="100" w:line="240" w:lineRule="auto"/>
        <w:ind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5 要求</w:t>
      </w:r>
      <w:bookmarkEnd w:id="7"/>
    </w:p>
    <w:p w14:paraId="72EE2F5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8" w:name="heading_11"/>
      <w:r>
        <w:rPr>
          <w:rFonts w:hint="eastAsia" w:ascii="黑体" w:hAnsi="宋体" w:eastAsia="黑体" w:cs="Times New Roman"/>
          <w:color w:val="auto"/>
          <w:kern w:val="2"/>
          <w:szCs w:val="21"/>
          <w:lang w:val="en-US" w:eastAsia="zh-CN" w:bidi="ar-SA"/>
        </w:rPr>
        <w:t>5.1 规格尺寸</w:t>
      </w:r>
      <w:bookmarkEnd w:id="8"/>
    </w:p>
    <w:p w14:paraId="0ABDE77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9" w:name="heading_12"/>
      <w:r>
        <w:rPr>
          <w:rFonts w:hint="eastAsia" w:ascii="黑体" w:hAnsi="宋体" w:eastAsia="黑体" w:cs="Times New Roman"/>
          <w:color w:val="auto"/>
          <w:kern w:val="2"/>
          <w:szCs w:val="21"/>
          <w:lang w:val="en-US" w:eastAsia="zh-CN" w:bidi="ar-SA"/>
        </w:rPr>
        <w:t>5.1.1 夹条</w:t>
      </w:r>
      <w:bookmarkEnd w:id="9"/>
    </w:p>
    <w:p w14:paraId="2B576D14">
      <w:pPr>
        <w:spacing w:before="120" w:after="120" w:line="240" w:lineRule="auto"/>
        <w:ind w:left="0"/>
        <w:jc w:val="center"/>
        <w:rPr>
          <w:rFonts w:hint="eastAsia" w:ascii="黑体" w:hAnsi="黑体" w:eastAsia="黑体" w:cs="黑体"/>
          <w:color w:val="000000" w:themeColor="text1"/>
          <w:sz w:val="21"/>
          <w:szCs w:val="21"/>
          <w:lang w:val="en-US" w:eastAsia="zh-CN"/>
          <w14:textFill>
            <w14:solidFill>
              <w14:schemeClr w14:val="tx1"/>
            </w14:solidFill>
          </w14:textFill>
        </w:rPr>
      </w:pPr>
      <w:r>
        <w:rPr>
          <w:rFonts w:hint="eastAsia" w:ascii="黑体" w:hAnsi="黑体" w:eastAsia="黑体" w:cs="黑体"/>
          <w:color w:val="000000" w:themeColor="text1"/>
          <w:sz w:val="21"/>
          <w:szCs w:val="21"/>
          <w:lang w:val="en-US" w:eastAsia="zh-CN"/>
          <w14:textFill>
            <w14:solidFill>
              <w14:schemeClr w14:val="tx1"/>
            </w14:solidFill>
          </w14:textFill>
        </w:rPr>
        <w:t>表1夹条的规格尺寸及其允许偏差。</w:t>
      </w:r>
    </w:p>
    <w:tbl>
      <w:tblPr>
        <w:tblStyle w:val="5"/>
        <w:tblW w:w="9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9"/>
        <w:gridCol w:w="3317"/>
        <w:gridCol w:w="3294"/>
      </w:tblGrid>
      <w:tr w14:paraId="05B4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trPr>
        <w:tc>
          <w:tcPr>
            <w:tcW w:w="3259" w:type="dxa"/>
            <w:shd w:val="clear" w:color="auto" w:fill="auto"/>
            <w:vAlign w:val="center"/>
          </w:tcPr>
          <w:p w14:paraId="07E9460C">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项目</w:t>
            </w:r>
          </w:p>
        </w:tc>
        <w:tc>
          <w:tcPr>
            <w:tcW w:w="3317" w:type="dxa"/>
            <w:shd w:val="clear" w:color="auto" w:fill="auto"/>
            <w:vAlign w:val="center"/>
          </w:tcPr>
          <w:p w14:paraId="408E6284">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规格尺寸（mm）</w:t>
            </w:r>
          </w:p>
        </w:tc>
        <w:tc>
          <w:tcPr>
            <w:tcW w:w="3294" w:type="dxa"/>
            <w:shd w:val="clear" w:color="auto" w:fill="auto"/>
            <w:vAlign w:val="center"/>
          </w:tcPr>
          <w:p w14:paraId="719266E6">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允许偏差（mm）</w:t>
            </w:r>
          </w:p>
        </w:tc>
      </w:tr>
      <w:tr w14:paraId="06AB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66469EBC">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夹条宽度（W）</w:t>
            </w:r>
          </w:p>
        </w:tc>
        <w:tc>
          <w:tcPr>
            <w:tcW w:w="3317" w:type="dxa"/>
            <w:shd w:val="clear" w:color="auto" w:fill="auto"/>
            <w:vAlign w:val="center"/>
          </w:tcPr>
          <w:p w14:paraId="47F705C8">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15～30</w:t>
            </w:r>
          </w:p>
        </w:tc>
        <w:tc>
          <w:tcPr>
            <w:tcW w:w="3294" w:type="dxa"/>
            <w:shd w:val="clear" w:color="auto" w:fill="auto"/>
            <w:vAlign w:val="center"/>
          </w:tcPr>
          <w:p w14:paraId="53494D9F">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±0.5</w:t>
            </w:r>
          </w:p>
        </w:tc>
      </w:tr>
      <w:tr w14:paraId="5F22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187A71AA">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夹条高度（H）</w:t>
            </w:r>
          </w:p>
        </w:tc>
        <w:tc>
          <w:tcPr>
            <w:tcW w:w="3317" w:type="dxa"/>
            <w:shd w:val="clear" w:color="auto" w:fill="auto"/>
            <w:vAlign w:val="center"/>
          </w:tcPr>
          <w:p w14:paraId="559D22D4">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20～40</w:t>
            </w:r>
          </w:p>
        </w:tc>
        <w:tc>
          <w:tcPr>
            <w:tcW w:w="3294" w:type="dxa"/>
            <w:shd w:val="clear" w:color="auto" w:fill="auto"/>
            <w:vAlign w:val="center"/>
          </w:tcPr>
          <w:p w14:paraId="59DE76E1">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0</w:t>
            </w:r>
          </w:p>
          <w:p w14:paraId="5F0B8094">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rPr>
              <w:t>0.2</w:t>
            </w:r>
          </w:p>
        </w:tc>
      </w:tr>
      <w:tr w14:paraId="4724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4327BA5E">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夹紧口深度（h）</w:t>
            </w:r>
          </w:p>
        </w:tc>
        <w:tc>
          <w:tcPr>
            <w:tcW w:w="3317" w:type="dxa"/>
            <w:shd w:val="clear" w:color="auto" w:fill="auto"/>
            <w:vAlign w:val="center"/>
          </w:tcPr>
          <w:p w14:paraId="731582DF">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6～20</w:t>
            </w:r>
          </w:p>
        </w:tc>
        <w:tc>
          <w:tcPr>
            <w:tcW w:w="3294" w:type="dxa"/>
            <w:shd w:val="clear" w:color="auto" w:fill="auto"/>
            <w:vAlign w:val="center"/>
          </w:tcPr>
          <w:p w14:paraId="640908B4">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±0.15</w:t>
            </w:r>
          </w:p>
        </w:tc>
      </w:tr>
      <w:tr w14:paraId="6D7F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7449DD5F">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夹紧口头部宽度（d</w:t>
            </w:r>
            <w:r>
              <w:rPr>
                <w:rFonts w:hint="eastAsia"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rPr>
              <w:t>）</w:t>
            </w:r>
          </w:p>
        </w:tc>
        <w:tc>
          <w:tcPr>
            <w:tcW w:w="3317" w:type="dxa"/>
            <w:shd w:val="clear" w:color="auto" w:fill="auto"/>
            <w:vAlign w:val="center"/>
          </w:tcPr>
          <w:p w14:paraId="526FCD49">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2.5～8</w:t>
            </w:r>
          </w:p>
        </w:tc>
        <w:tc>
          <w:tcPr>
            <w:tcW w:w="3294" w:type="dxa"/>
            <w:shd w:val="clear" w:color="auto" w:fill="auto"/>
            <w:vAlign w:val="center"/>
          </w:tcPr>
          <w:p w14:paraId="13766397">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±0.12</w:t>
            </w:r>
          </w:p>
        </w:tc>
      </w:tr>
      <w:tr w14:paraId="6AA0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3D111C78">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夹紧口尾部宽度（d</w:t>
            </w:r>
            <w:r>
              <w:rPr>
                <w:rFonts w:hint="eastAsia" w:ascii="Times New Roman" w:hAnsi="Times New Roman" w:cs="Times New Roman"/>
                <w:color w:val="auto"/>
                <w:sz w:val="18"/>
                <w:szCs w:val="18"/>
                <w:lang w:val="en-US" w:eastAsia="zh-CN"/>
              </w:rPr>
              <w:t>2</w:t>
            </w:r>
            <w:r>
              <w:rPr>
                <w:rFonts w:hint="eastAsia" w:ascii="Times New Roman" w:hAnsi="Times New Roman" w:cs="Times New Roman"/>
                <w:color w:val="auto"/>
                <w:sz w:val="18"/>
                <w:szCs w:val="18"/>
              </w:rPr>
              <w:t>）</w:t>
            </w:r>
          </w:p>
        </w:tc>
        <w:tc>
          <w:tcPr>
            <w:tcW w:w="3317" w:type="dxa"/>
            <w:shd w:val="clear" w:color="auto" w:fill="auto"/>
            <w:vAlign w:val="center"/>
          </w:tcPr>
          <w:p w14:paraId="486C37DA">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2.5～8</w:t>
            </w:r>
          </w:p>
        </w:tc>
        <w:tc>
          <w:tcPr>
            <w:tcW w:w="3294" w:type="dxa"/>
            <w:shd w:val="clear" w:color="auto" w:fill="auto"/>
            <w:vAlign w:val="center"/>
          </w:tcPr>
          <w:p w14:paraId="13AE3EE0">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±0.12</w:t>
            </w:r>
          </w:p>
        </w:tc>
      </w:tr>
      <w:tr w14:paraId="0E3F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536D5F74">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圆弧胀紧口直径（D</w:t>
            </w:r>
            <w:r>
              <w:rPr>
                <w:rFonts w:hint="eastAsia"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rPr>
              <w:t>）</w:t>
            </w:r>
          </w:p>
        </w:tc>
        <w:tc>
          <w:tcPr>
            <w:tcW w:w="3317" w:type="dxa"/>
            <w:shd w:val="clear" w:color="auto" w:fill="auto"/>
            <w:vAlign w:val="center"/>
          </w:tcPr>
          <w:p w14:paraId="27BBF0B3">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8～15</w:t>
            </w:r>
          </w:p>
        </w:tc>
        <w:tc>
          <w:tcPr>
            <w:tcW w:w="3294" w:type="dxa"/>
            <w:shd w:val="clear" w:color="auto" w:fill="auto"/>
            <w:vAlign w:val="center"/>
          </w:tcPr>
          <w:p w14:paraId="49F624FB">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0</w:t>
            </w:r>
          </w:p>
          <w:p w14:paraId="605202B9">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-0.2</w:t>
            </w:r>
          </w:p>
        </w:tc>
      </w:tr>
      <w:tr w14:paraId="1EBF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259" w:type="dxa"/>
            <w:shd w:val="clear" w:color="auto" w:fill="auto"/>
            <w:vAlign w:val="center"/>
          </w:tcPr>
          <w:p w14:paraId="54C4F0C8">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rPr>
              <w:t>长度（L</w:t>
            </w:r>
            <w:r>
              <w:rPr>
                <w:rFonts w:hint="eastAsia"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rPr>
              <w:t>）</w:t>
            </w:r>
          </w:p>
        </w:tc>
        <w:tc>
          <w:tcPr>
            <w:tcW w:w="3317" w:type="dxa"/>
            <w:shd w:val="clear" w:color="auto" w:fill="auto"/>
            <w:vAlign w:val="center"/>
          </w:tcPr>
          <w:p w14:paraId="3FAF41DE">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200～1800</w:t>
            </w:r>
          </w:p>
        </w:tc>
        <w:tc>
          <w:tcPr>
            <w:tcW w:w="3294" w:type="dxa"/>
            <w:shd w:val="clear" w:color="auto" w:fill="auto"/>
            <w:vAlign w:val="center"/>
          </w:tcPr>
          <w:p w14:paraId="75CCE252">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+2.0</w:t>
            </w:r>
          </w:p>
          <w:p w14:paraId="17694205">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0</w:t>
            </w:r>
          </w:p>
        </w:tc>
      </w:tr>
    </w:tbl>
    <w:p w14:paraId="324F5016">
      <w:pPr>
        <w:keepNext w:val="0"/>
        <w:keepLines w:val="0"/>
        <w:pageBreakBefore w:val="0"/>
        <w:widowControl w:val="0"/>
        <w:kinsoku/>
        <w:wordWrap/>
        <w:overflowPunct/>
        <w:topLinePunct w:val="0"/>
        <w:autoSpaceDE/>
        <w:autoSpaceDN/>
        <w:bidi w:val="0"/>
        <w:adjustRightInd/>
        <w:snapToGrid/>
        <w:spacing w:before="120" w:after="120" w:line="240" w:lineRule="auto"/>
        <w:ind w:left="0"/>
        <w:jc w:val="left"/>
        <w:textAlignment w:val="auto"/>
        <w:outlineLvl w:val="1"/>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注：规格尺寸可根据合同约定进行调整</w:t>
      </w:r>
    </w:p>
    <w:p w14:paraId="248EDCED">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5.1.2 胀紧棒</w:t>
      </w:r>
    </w:p>
    <w:p w14:paraId="0E2DAF91">
      <w:pPr>
        <w:keepNext w:val="0"/>
        <w:keepLines w:val="0"/>
        <w:pageBreakBefore w:val="0"/>
        <w:widowControl w:val="0"/>
        <w:kinsoku/>
        <w:wordWrap/>
        <w:overflowPunct/>
        <w:topLinePunct w:val="0"/>
        <w:autoSpaceDE/>
        <w:autoSpaceDN/>
        <w:bidi w:val="0"/>
        <w:adjustRightInd/>
        <w:snapToGrid/>
        <w:spacing w:before="120" w:after="120" w:line="240" w:lineRule="auto"/>
        <w:ind w:left="0" w:firstLine="420" w:firstLineChars="200"/>
        <w:jc w:val="left"/>
        <w:textAlignment w:val="auto"/>
        <w:outlineLvl w:val="1"/>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胀紧棒的规格尺寸及其允许偏差应符合表2的要求。</w:t>
      </w:r>
    </w:p>
    <w:p w14:paraId="2EADAE49">
      <w:pPr>
        <w:spacing w:before="120" w:after="120" w:line="240" w:lineRule="auto"/>
        <w:ind w:left="0"/>
        <w:jc w:val="center"/>
        <w:rPr>
          <w:rFonts w:hint="eastAsia"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 xml:space="preserve">表2 胀紧棒规格尺寸及其允许偏差 </w:t>
      </w:r>
    </w:p>
    <w:tbl>
      <w:tblPr>
        <w:tblStyle w:val="4"/>
        <w:tblW w:w="4996" w:type="pct"/>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3288"/>
        <w:gridCol w:w="3288"/>
        <w:gridCol w:w="3294"/>
      </w:tblGrid>
      <w:tr w14:paraId="4DA0462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5" w:hRule="atLeast"/>
          <w:jc w:val="center"/>
        </w:trPr>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0888D11">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项目</w:t>
            </w:r>
          </w:p>
        </w:tc>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80CBB1C">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规格尺寸（mm）</w:t>
            </w:r>
          </w:p>
        </w:tc>
        <w:tc>
          <w:tcPr>
            <w:tcW w:w="166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145324">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允许偏差（mm）</w:t>
            </w:r>
          </w:p>
        </w:tc>
      </w:tr>
      <w:tr w14:paraId="4CFCC51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5" w:hRule="atLeast"/>
          <w:jc w:val="center"/>
        </w:trPr>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1917C2">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长度（L</w:t>
            </w:r>
            <w:r>
              <w:rPr>
                <w:rFonts w:hint="eastAsia" w:ascii="Times New Roman" w:hAnsi="Times New Roman" w:cs="Times New Roman"/>
                <w:color w:val="auto"/>
                <w:sz w:val="18"/>
                <w:szCs w:val="18"/>
                <w:lang w:val="en-US" w:eastAsia="zh-CN"/>
              </w:rPr>
              <w:t>2</w:t>
            </w:r>
            <w:r>
              <w:rPr>
                <w:rFonts w:hint="eastAsia" w:ascii="Times New Roman" w:hAnsi="Times New Roman" w:cs="Times New Roman"/>
                <w:color w:val="auto"/>
                <w:sz w:val="18"/>
                <w:szCs w:val="18"/>
              </w:rPr>
              <w:t>）</w:t>
            </w:r>
          </w:p>
        </w:tc>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AB2564">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200～1800</w:t>
            </w:r>
          </w:p>
        </w:tc>
        <w:tc>
          <w:tcPr>
            <w:tcW w:w="166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25365F">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+2.0</w:t>
            </w:r>
          </w:p>
          <w:p w14:paraId="6D2F913B">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0</w:t>
            </w:r>
          </w:p>
        </w:tc>
      </w:tr>
      <w:tr w14:paraId="462048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5" w:hRule="atLeast"/>
          <w:jc w:val="center"/>
        </w:trPr>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4947D97">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直径（D</w:t>
            </w:r>
            <w:r>
              <w:rPr>
                <w:rFonts w:hint="eastAsia" w:ascii="Times New Roman" w:hAnsi="Times New Roman" w:cs="Times New Roman"/>
                <w:color w:val="auto"/>
                <w:sz w:val="18"/>
                <w:szCs w:val="18"/>
                <w:lang w:val="en-US" w:eastAsia="zh-CN"/>
              </w:rPr>
              <w:t>2</w:t>
            </w:r>
            <w:r>
              <w:rPr>
                <w:rFonts w:hint="eastAsia" w:ascii="Times New Roman" w:hAnsi="Times New Roman" w:cs="Times New Roman"/>
                <w:color w:val="auto"/>
                <w:sz w:val="18"/>
                <w:szCs w:val="18"/>
              </w:rPr>
              <w:t>）</w:t>
            </w:r>
          </w:p>
        </w:tc>
        <w:tc>
          <w:tcPr>
            <w:tcW w:w="1665"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5135ED2">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8～15</w:t>
            </w:r>
          </w:p>
        </w:tc>
        <w:tc>
          <w:tcPr>
            <w:tcW w:w="166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8025DB">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+0.15</w:t>
            </w:r>
          </w:p>
          <w:p w14:paraId="17CFBE0B">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0</w:t>
            </w:r>
          </w:p>
        </w:tc>
      </w:tr>
    </w:tbl>
    <w:p w14:paraId="2E66965F">
      <w:pPr>
        <w:keepNext w:val="0"/>
        <w:keepLines w:val="0"/>
        <w:pageBreakBefore w:val="0"/>
        <w:widowControl w:val="0"/>
        <w:kinsoku/>
        <w:wordWrap/>
        <w:overflowPunct/>
        <w:topLinePunct w:val="0"/>
        <w:autoSpaceDE/>
        <w:autoSpaceDN/>
        <w:bidi w:val="0"/>
        <w:adjustRightInd/>
        <w:snapToGrid/>
        <w:spacing w:before="120" w:after="120" w:line="240" w:lineRule="auto"/>
        <w:ind w:left="0"/>
        <w:jc w:val="left"/>
        <w:textAlignment w:val="auto"/>
        <w:outlineLvl w:val="1"/>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注：规格尺寸可根据合同约定进行调整</w:t>
      </w:r>
    </w:p>
    <w:p w14:paraId="09DE19C5">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5.2 理化性能</w:t>
      </w:r>
    </w:p>
    <w:p w14:paraId="530636F3">
      <w:pPr>
        <w:keepNext w:val="0"/>
        <w:keepLines w:val="0"/>
        <w:pageBreakBefore w:val="0"/>
        <w:widowControl w:val="0"/>
        <w:kinsoku/>
        <w:wordWrap/>
        <w:overflowPunct/>
        <w:topLinePunct w:val="0"/>
        <w:autoSpaceDE/>
        <w:autoSpaceDN/>
        <w:bidi w:val="0"/>
        <w:adjustRightInd/>
        <w:snapToGrid/>
        <w:spacing w:before="120" w:after="120" w:line="240" w:lineRule="auto"/>
        <w:ind w:left="0" w:firstLine="420" w:firstLineChars="200"/>
        <w:jc w:val="left"/>
        <w:textAlignment w:val="auto"/>
        <w:outlineLvl w:val="1"/>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夹边条的理化性能应符合表3的规定。</w:t>
      </w:r>
    </w:p>
    <w:p w14:paraId="591A7BEB">
      <w:pPr>
        <w:spacing w:before="120" w:after="120" w:line="288" w:lineRule="auto"/>
        <w:ind w:left="0"/>
        <w:jc w:val="center"/>
        <w:rPr>
          <w:rFonts w:hint="eastAsia" w:ascii="黑体" w:hAnsi="黑体" w:eastAsia="黑体" w:cs="黑体"/>
          <w:sz w:val="21"/>
          <w:szCs w:val="21"/>
        </w:rPr>
      </w:pPr>
      <w:r>
        <w:rPr>
          <w:rFonts w:hint="eastAsia" w:ascii="黑体" w:hAnsi="黑体" w:eastAsia="黑体" w:cs="黑体"/>
          <w:sz w:val="21"/>
          <w:szCs w:val="21"/>
        </w:rPr>
        <w:t>表3 理化性能要求</w:t>
      </w:r>
    </w:p>
    <w:tbl>
      <w:tblPr>
        <w:tblStyle w:val="4"/>
        <w:tblW w:w="4999" w:type="pct"/>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1051"/>
        <w:gridCol w:w="4131"/>
        <w:gridCol w:w="4694"/>
      </w:tblGrid>
      <w:tr w14:paraId="62A8EB0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9A301B">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序号</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77C3AF8">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项目</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EEFFB6">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指标</w:t>
            </w:r>
          </w:p>
        </w:tc>
      </w:tr>
      <w:tr w14:paraId="0113AC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8A0F81">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1</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F9EB43">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夹紧力</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95C870">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 MPa</w:t>
            </w:r>
          </w:p>
        </w:tc>
      </w:tr>
      <w:tr w14:paraId="6EFD9D9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2F1236">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2</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45A47E4">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拉伸强度</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E0A600">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≥20 MPa</w:t>
            </w:r>
          </w:p>
        </w:tc>
      </w:tr>
      <w:tr w14:paraId="0E843B6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331B1FF">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3</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20BE67">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热变形温度（1.82 MPa）</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F7BCCFA">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≥80 ℃</w:t>
            </w:r>
          </w:p>
        </w:tc>
      </w:tr>
      <w:tr w14:paraId="10EF217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4C7EF31">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4</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D402A4">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电气强度（20℃）</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10F759">
            <w:pPr>
              <w:pStyle w:val="17"/>
              <w:widowControl w:val="0"/>
              <w:ind w:firstLine="0" w:firstLineChars="0"/>
              <w:jc w:val="center"/>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≥20 kV/m</w:t>
            </w:r>
            <w:r>
              <w:rPr>
                <w:rFonts w:hint="eastAsia" w:ascii="Times New Roman" w:hAnsi="Times New Roman" w:cs="Times New Roman"/>
                <w:color w:val="auto"/>
                <w:sz w:val="18"/>
                <w:szCs w:val="18"/>
                <w:lang w:val="en-US" w:eastAsia="zh-CN"/>
              </w:rPr>
              <w:t>m</w:t>
            </w:r>
          </w:p>
        </w:tc>
      </w:tr>
      <w:tr w14:paraId="0A3B1BE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9AFB63">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5</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575E12E">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介质损耗因数（1 MHz）</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9097A8">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8×10⁻³～10×10⁻³</w:t>
            </w:r>
          </w:p>
        </w:tc>
      </w:tr>
      <w:tr w14:paraId="52F5BD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53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DCA2D6A">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6</w:t>
            </w:r>
          </w:p>
        </w:tc>
        <w:tc>
          <w:tcPr>
            <w:tcW w:w="2091"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B0A529">
            <w:pPr>
              <w:pStyle w:val="17"/>
              <w:widowControl w:val="0"/>
              <w:ind w:firstLine="0" w:firstLineChars="0"/>
              <w:jc w:val="center"/>
              <w:rPr>
                <w:rFonts w:hint="eastAsia" w:ascii="Times New Roman" w:hAnsi="Times New Roman" w:cs="Times New Roman"/>
                <w:color w:val="auto"/>
                <w:sz w:val="18"/>
                <w:szCs w:val="18"/>
              </w:rPr>
            </w:pPr>
            <w:r>
              <w:rPr>
                <w:rFonts w:hint="eastAsia" w:ascii="Times New Roman" w:hAnsi="Times New Roman" w:cs="Times New Roman"/>
                <w:color w:val="auto"/>
                <w:sz w:val="18"/>
                <w:szCs w:val="18"/>
              </w:rPr>
              <w:t>体积电阻率</w:t>
            </w:r>
          </w:p>
        </w:tc>
        <w:tc>
          <w:tcPr>
            <w:tcW w:w="2376"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C52296">
            <w:pPr>
              <w:pStyle w:val="17"/>
              <w:widowControl w:val="0"/>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1.0×10¹³ Ω·m～1.0×10¹⁴ Ω·m</w:t>
            </w:r>
          </w:p>
        </w:tc>
      </w:tr>
    </w:tbl>
    <w:p w14:paraId="5808E8DC">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0" w:name="heading_15"/>
      <w:r>
        <w:rPr>
          <w:rFonts w:hint="eastAsia" w:ascii="黑体" w:hAnsi="宋体" w:eastAsia="黑体" w:cs="Times New Roman"/>
          <w:color w:val="auto"/>
          <w:kern w:val="2"/>
          <w:szCs w:val="21"/>
          <w:lang w:val="en-US" w:eastAsia="zh-CN" w:bidi="ar-SA"/>
        </w:rPr>
        <w:t>5.3 外观质量</w:t>
      </w:r>
      <w:bookmarkEnd w:id="10"/>
    </w:p>
    <w:p w14:paraId="24BB98D8">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0"/>
          <w:sz w:val="21"/>
          <w:szCs w:val="20"/>
          <w:lang w:val="en-US" w:eastAsia="zh-CN" w:bidi="ar-SA"/>
        </w:rPr>
      </w:pPr>
      <w:bookmarkStart w:id="11" w:name="heading_16"/>
      <w:r>
        <w:rPr>
          <w:rFonts w:hint="eastAsia" w:ascii="Times New Roman" w:hAnsi="Times New Roman" w:eastAsia="宋体" w:cs="Times New Roman"/>
          <w:color w:val="auto"/>
          <w:kern w:val="0"/>
          <w:sz w:val="21"/>
          <w:szCs w:val="20"/>
          <w:lang w:val="en-US" w:eastAsia="zh-CN" w:bidi="ar-SA"/>
        </w:rPr>
        <w:t>5.3.1在不影响产品使用性能的条件下，产品外观允许存在轻微色差、波纹及拉痕。</w:t>
      </w:r>
    </w:p>
    <w:p w14:paraId="387CA846">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5.3.2产品不宜出现扭曲、气泡、裂纹、空洞。</w:t>
      </w:r>
    </w:p>
    <w:p w14:paraId="29F624BF">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5.4 阴极板试装</w:t>
      </w:r>
    </w:p>
    <w:p w14:paraId="1BF8C7E5">
      <w:pPr>
        <w:pStyle w:val="2"/>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夹边条装配于阴极板，装配后密封贴合紧密、无间隙，装配牢固无松动现象。</w:t>
      </w:r>
    </w:p>
    <w:p w14:paraId="64D7AFD6">
      <w:pPr>
        <w:pStyle w:val="8"/>
        <w:spacing w:beforeLines="100" w:afterLines="100" w:line="240" w:lineRule="auto"/>
        <w:ind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6 试验方法</w:t>
      </w:r>
      <w:bookmarkEnd w:id="11"/>
    </w:p>
    <w:p w14:paraId="3402B50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2" w:name="heading_17"/>
      <w:r>
        <w:rPr>
          <w:rFonts w:hint="eastAsia" w:ascii="黑体" w:hAnsi="宋体" w:eastAsia="黑体" w:cs="Times New Roman"/>
          <w:color w:val="auto"/>
          <w:kern w:val="2"/>
          <w:szCs w:val="21"/>
          <w:lang w:val="en-US" w:eastAsia="zh-CN" w:bidi="ar-SA"/>
        </w:rPr>
        <w:t>6.1 尺寸测量</w:t>
      </w:r>
      <w:bookmarkEnd w:id="12"/>
    </w:p>
    <w:p w14:paraId="20EA5E4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 xml:space="preserve">6.1.1 </w:t>
      </w:r>
      <w:r>
        <w:rPr>
          <w:rFonts w:hint="eastAsia" w:ascii="黑体" w:hAnsi="宋体" w:eastAsia="黑体" w:cs="Times New Roman"/>
          <w:i w:val="0"/>
          <w:iCs w:val="0"/>
          <w:color w:val="auto"/>
          <w:kern w:val="2"/>
          <w:szCs w:val="21"/>
          <w:lang w:val="en-US" w:eastAsia="zh-CN" w:bidi="ar-SA"/>
        </w:rPr>
        <w:t>W、H、h、d₁、d₂、D₁、D</w:t>
      </w:r>
      <w:r>
        <w:rPr>
          <w:rFonts w:hint="eastAsia" w:ascii="黑体" w:hAnsi="宋体" w:eastAsia="黑体" w:cs="Times New Roman"/>
          <w:color w:val="auto"/>
          <w:kern w:val="2"/>
          <w:szCs w:val="21"/>
          <w:lang w:val="en-US" w:eastAsia="zh-CN" w:bidi="ar-SA"/>
        </w:rPr>
        <w:t>₂ 的测量</w:t>
      </w:r>
    </w:p>
    <w:p w14:paraId="75AECFB1">
      <w:pPr>
        <w:keepNext w:val="0"/>
        <w:keepLines w:val="0"/>
        <w:pageBreakBefore w:val="0"/>
        <w:widowControl w:val="0"/>
        <w:kinsoku/>
        <w:wordWrap/>
        <w:overflowPunct/>
        <w:topLinePunct w:val="0"/>
        <w:autoSpaceDE/>
        <w:autoSpaceDN/>
        <w:bidi w:val="0"/>
        <w:adjustRightInd/>
        <w:snapToGrid/>
        <w:spacing w:line="240" w:lineRule="auto"/>
        <w:ind w:firstLine="452" w:firstLineChars="200"/>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用精度为0.02 mm 的游标卡尺在夹边条长度方向上大约等分三个位置，分别测量，计算算术平均值。</w:t>
      </w:r>
    </w:p>
    <w:p w14:paraId="61BACDDF">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6.1.2 长度L₁、L₂ 的测量</w:t>
      </w:r>
    </w:p>
    <w:p w14:paraId="7B91DF0F">
      <w:pPr>
        <w:keepNext w:val="0"/>
        <w:keepLines w:val="0"/>
        <w:pageBreakBefore w:val="0"/>
        <w:widowControl w:val="0"/>
        <w:kinsoku/>
        <w:wordWrap/>
        <w:overflowPunct/>
        <w:topLinePunct w:val="0"/>
        <w:autoSpaceDE/>
        <w:autoSpaceDN/>
        <w:bidi w:val="0"/>
        <w:adjustRightInd/>
        <w:snapToGrid/>
        <w:spacing w:line="240" w:lineRule="auto"/>
        <w:ind w:firstLine="452" w:firstLineChars="200"/>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用精度为1mm 的钢卷尺测量。</w:t>
      </w:r>
    </w:p>
    <w:p w14:paraId="1321A744">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6.2 理化性能</w:t>
      </w:r>
    </w:p>
    <w:p w14:paraId="3881981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6.2.1夹紧力测定按附录A 给出的方法进行。</w:t>
      </w:r>
    </w:p>
    <w:p w14:paraId="1987E89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6.2.2拉伸强度的测定按 GB/T1040.2中规定的方法进行测定。</w:t>
      </w:r>
    </w:p>
    <w:p w14:paraId="10F8E8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6.2.3热变形温度的测定按GB/T1634.1中规定的方法进行测定。</w:t>
      </w:r>
    </w:p>
    <w:p w14:paraId="76D43F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6.2.4电气强度的测定按 GB/T1408.2中规定的方法进行测定。</w:t>
      </w:r>
    </w:p>
    <w:p w14:paraId="2C28888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6.2.5介质损耗因数的测定按 GB/T1409规定的方法进行测定。</w:t>
      </w:r>
    </w:p>
    <w:p w14:paraId="350FC3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6.2.6体积电阻率的测定按 GB/T1410中规定的方法进行测定。</w:t>
      </w:r>
    </w:p>
    <w:p w14:paraId="5159F48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3" w:name="heading_28"/>
      <w:r>
        <w:rPr>
          <w:rFonts w:hint="eastAsia" w:ascii="黑体" w:hAnsi="宋体" w:eastAsia="黑体" w:cs="Times New Roman"/>
          <w:color w:val="auto"/>
          <w:kern w:val="2"/>
          <w:szCs w:val="21"/>
          <w:lang w:val="en-US" w:eastAsia="zh-CN" w:bidi="ar-SA"/>
        </w:rPr>
        <w:t>6.3 外观质量检验</w:t>
      </w:r>
      <w:bookmarkEnd w:id="13"/>
    </w:p>
    <w:p w14:paraId="5712551B">
      <w:pPr>
        <w:keepNext w:val="0"/>
        <w:keepLines w:val="0"/>
        <w:pageBreakBefore w:val="0"/>
        <w:widowControl w:val="0"/>
        <w:kinsoku/>
        <w:wordWrap/>
        <w:overflowPunct/>
        <w:topLinePunct w:val="0"/>
        <w:autoSpaceDE/>
        <w:autoSpaceDN/>
        <w:bidi w:val="0"/>
        <w:adjustRightInd/>
        <w:snapToGrid/>
        <w:spacing w:line="240" w:lineRule="auto"/>
        <w:ind w:firstLine="452" w:firstLineChars="200"/>
        <w:textAlignment w:val="auto"/>
        <w:rPr>
          <w:rFonts w:hint="eastAsia" w:ascii="Times New Roman" w:hAnsi="Times New Roman" w:eastAsia="宋体" w:cs="Times New Roman"/>
          <w:color w:val="auto"/>
          <w:spacing w:val="8"/>
          <w:kern w:val="2"/>
          <w:szCs w:val="24"/>
          <w:lang w:val="en-US" w:eastAsia="zh-CN" w:bidi="ar-SA"/>
        </w:rPr>
      </w:pPr>
      <w:bookmarkStart w:id="14" w:name="heading_29"/>
      <w:r>
        <w:rPr>
          <w:rFonts w:hint="eastAsia" w:ascii="Times New Roman" w:hAnsi="Times New Roman" w:eastAsia="宋体" w:cs="Times New Roman"/>
          <w:color w:val="auto"/>
          <w:spacing w:val="8"/>
          <w:kern w:val="2"/>
          <w:szCs w:val="24"/>
          <w:lang w:val="en-US" w:eastAsia="zh-CN" w:bidi="ar-SA"/>
        </w:rPr>
        <w:t>产品外观质量采用目视法、触摸法、平台校直法检测。</w:t>
      </w:r>
    </w:p>
    <w:p w14:paraId="22FCD3B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6.4 阴极板试装检验</w:t>
      </w:r>
    </w:p>
    <w:p w14:paraId="1EC081AC">
      <w:pPr>
        <w:spacing w:before="120" w:after="120" w:line="240" w:lineRule="auto"/>
        <w:jc w:val="left"/>
        <w:rPr>
          <w:rFonts w:hint="default"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 xml:space="preserve">  </w:t>
      </w:r>
      <w:r>
        <w:rPr>
          <w:rFonts w:hint="eastAsia" w:ascii="Times New Roman" w:hAnsi="Times New Roman" w:eastAsia="宋体" w:cs="Times New Roman"/>
          <w:color w:val="auto"/>
          <w:spacing w:val="8"/>
          <w:sz w:val="21"/>
          <w:szCs w:val="24"/>
          <w:lang w:val="en-US" w:eastAsia="zh-CN" w:bidi="ar-SA"/>
        </w:rPr>
        <w:t xml:space="preserve">  </w:t>
      </w:r>
      <w:r>
        <w:rPr>
          <w:rFonts w:hint="eastAsia" w:ascii="Times New Roman" w:hAnsi="Times New Roman" w:eastAsia="宋体" w:cs="Times New Roman"/>
          <w:color w:val="auto"/>
          <w:spacing w:val="8"/>
          <w:kern w:val="2"/>
          <w:szCs w:val="24"/>
          <w:lang w:val="en-US" w:eastAsia="zh-CN" w:bidi="ar-SA"/>
        </w:rPr>
        <w:t>将夹边条装配于配套阴极板上，驱动阴极板完成行程 0.5m 的往复运动，连续循环 3 次；试验全程，夹边条不得出现松动、脱落现象。</w:t>
      </w:r>
    </w:p>
    <w:p w14:paraId="17C6D536">
      <w:pPr>
        <w:spacing w:before="320" w:after="120" w:line="240" w:lineRule="auto"/>
        <w:ind w:left="0"/>
        <w:jc w:val="left"/>
        <w:outlineLvl w:val="1"/>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7 检验规则</w:t>
      </w:r>
      <w:bookmarkEnd w:id="14"/>
    </w:p>
    <w:p w14:paraId="70535128">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5" w:name="heading_30"/>
      <w:r>
        <w:rPr>
          <w:rFonts w:hint="eastAsia" w:ascii="黑体" w:hAnsi="宋体" w:eastAsia="黑体" w:cs="Times New Roman"/>
          <w:color w:val="auto"/>
          <w:kern w:val="2"/>
          <w:szCs w:val="21"/>
          <w:lang w:val="en-US" w:eastAsia="zh-CN" w:bidi="ar-SA"/>
        </w:rPr>
        <w:t>7.1 检查与验收</w:t>
      </w:r>
      <w:bookmarkEnd w:id="15"/>
    </w:p>
    <w:p w14:paraId="5572B06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Cs w:val="21"/>
          <w:lang w:val="en-US" w:eastAsia="zh-CN" w:bidi="ar-SA"/>
        </w:rPr>
      </w:pPr>
      <w:r>
        <w:rPr>
          <w:rFonts w:hint="eastAsia" w:ascii="黑体" w:hAnsi="黑体" w:eastAsia="黑体" w:cs="黑体"/>
          <w:color w:val="auto"/>
          <w:kern w:val="2"/>
          <w:szCs w:val="21"/>
          <w:lang w:val="en-US" w:eastAsia="zh-CN" w:bidi="ar-SA"/>
        </w:rPr>
        <w:t>7.1.1</w:t>
      </w:r>
      <w:r>
        <w:rPr>
          <w:rFonts w:hint="eastAsia" w:ascii="宋体" w:hAnsi="宋体" w:eastAsia="宋体" w:cs="宋体"/>
          <w:color w:val="auto"/>
          <w:kern w:val="2"/>
          <w:szCs w:val="21"/>
          <w:lang w:val="en-US" w:eastAsia="zh-CN" w:bidi="ar-SA"/>
        </w:rPr>
        <w:t xml:space="preserve"> 夹边条应由供方质量检验部门按本文件规定进行检验，确保产品质量符合要求，并出具产品质量证明书。</w:t>
      </w:r>
    </w:p>
    <w:p w14:paraId="65A790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Cs w:val="21"/>
          <w:lang w:val="en-US" w:eastAsia="zh-CN" w:bidi="ar-SA"/>
        </w:rPr>
      </w:pPr>
      <w:r>
        <w:rPr>
          <w:rFonts w:hint="eastAsia" w:ascii="黑体" w:hAnsi="黑体" w:eastAsia="黑体" w:cs="黑体"/>
          <w:color w:val="auto"/>
          <w:kern w:val="2"/>
          <w:szCs w:val="21"/>
          <w:lang w:val="en-US" w:eastAsia="zh-CN" w:bidi="ar-SA"/>
        </w:rPr>
        <w:t>7.1.2</w:t>
      </w:r>
      <w:r>
        <w:rPr>
          <w:rFonts w:hint="eastAsia" w:ascii="宋体" w:hAnsi="宋体" w:eastAsia="宋体" w:cs="宋体"/>
          <w:color w:val="auto"/>
          <w:kern w:val="2"/>
          <w:szCs w:val="21"/>
          <w:lang w:val="en-US" w:eastAsia="zh-CN" w:bidi="ar-SA"/>
        </w:rPr>
        <w:t xml:space="preserve"> 需方可对收到的产品按本标准的规定进行检验，如检验结果与本标准或订货单(或合同)的规定 不符时，应在收到产品之日起30天内向供方提出，由供需双方协商解决。如需仲裁，仲裁取样由供需双方共同进行。</w:t>
      </w:r>
    </w:p>
    <w:p w14:paraId="5EBCAD15">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6" w:name="heading_31"/>
      <w:r>
        <w:rPr>
          <w:rFonts w:hint="eastAsia" w:ascii="黑体" w:hAnsi="宋体" w:eastAsia="黑体" w:cs="Times New Roman"/>
          <w:color w:val="auto"/>
          <w:kern w:val="2"/>
          <w:szCs w:val="21"/>
          <w:lang w:val="en-US" w:eastAsia="zh-CN" w:bidi="ar-SA"/>
        </w:rPr>
        <w:t>7.2 组批</w:t>
      </w:r>
      <w:bookmarkEnd w:id="16"/>
    </w:p>
    <w:p w14:paraId="56944CB0">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宋体" w:hAnsi="宋体" w:eastAsia="宋体" w:cs="宋体"/>
          <w:color w:val="auto"/>
          <w:kern w:val="2"/>
          <w:szCs w:val="21"/>
          <w:lang w:val="en-US" w:eastAsia="zh-CN" w:bidi="ar-SA"/>
        </w:rPr>
      </w:pPr>
      <w:bookmarkStart w:id="17" w:name="heading_32"/>
      <w:r>
        <w:rPr>
          <w:rFonts w:hint="eastAsia" w:ascii="宋体" w:hAnsi="宋体" w:eastAsia="宋体" w:cs="宋体"/>
          <w:color w:val="auto"/>
          <w:kern w:val="2"/>
          <w:szCs w:val="21"/>
          <w:lang w:val="en-US" w:eastAsia="zh-CN" w:bidi="ar-SA"/>
        </w:rPr>
        <w:t>夹边条应成批提交检验，以相同原料、配方和工艺生产的同一规格的夹边条为一批。每批数量不超过800根。</w:t>
      </w:r>
    </w:p>
    <w:p w14:paraId="36C87752">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7.3 抽样</w:t>
      </w:r>
      <w:bookmarkEnd w:id="17"/>
    </w:p>
    <w:p w14:paraId="769C461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Cs w:val="21"/>
          <w:lang w:val="en-US" w:eastAsia="zh-CN" w:bidi="ar-SA"/>
        </w:rPr>
      </w:pPr>
      <w:r>
        <w:rPr>
          <w:rFonts w:hint="eastAsia" w:ascii="黑体" w:hAnsi="黑体" w:eastAsia="黑体" w:cs="黑体"/>
          <w:color w:val="auto"/>
          <w:kern w:val="2"/>
          <w:szCs w:val="21"/>
          <w:lang w:val="en-US" w:eastAsia="zh-CN" w:bidi="ar-SA"/>
        </w:rPr>
        <w:t>7.3.1</w:t>
      </w:r>
      <w:r>
        <w:rPr>
          <w:rFonts w:hint="eastAsia" w:ascii="宋体" w:hAnsi="宋体" w:eastAsia="宋体" w:cs="宋体"/>
          <w:color w:val="auto"/>
          <w:kern w:val="2"/>
          <w:szCs w:val="21"/>
          <w:lang w:val="en-US" w:eastAsia="zh-CN" w:bidi="ar-SA"/>
        </w:rPr>
        <w:t xml:space="preserve"> 规格、外观采用随机抽样法，任取六捆，每捆(一捆为40件)抽取样本数为一件；性能试样从已抽的样品中任取一件。</w:t>
      </w:r>
    </w:p>
    <w:p w14:paraId="065F5B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Cs w:val="21"/>
          <w:lang w:val="en-US" w:eastAsia="zh-CN" w:bidi="ar-SA"/>
        </w:rPr>
      </w:pPr>
      <w:r>
        <w:rPr>
          <w:rFonts w:hint="eastAsia" w:ascii="黑体" w:hAnsi="黑体" w:eastAsia="黑体" w:cs="黑体"/>
          <w:color w:val="auto"/>
          <w:kern w:val="2"/>
          <w:szCs w:val="21"/>
          <w:lang w:val="en-US" w:eastAsia="zh-CN" w:bidi="ar-SA"/>
        </w:rPr>
        <w:t>7.3.2</w:t>
      </w:r>
      <w:r>
        <w:rPr>
          <w:rFonts w:hint="eastAsia" w:ascii="宋体" w:hAnsi="宋体" w:eastAsia="宋体" w:cs="宋体"/>
          <w:color w:val="auto"/>
          <w:kern w:val="2"/>
          <w:szCs w:val="21"/>
          <w:lang w:val="en-US" w:eastAsia="zh-CN" w:bidi="ar-SA"/>
        </w:rPr>
        <w:t xml:space="preserve"> 仲裁取样方法由供需双方共同商定。</w:t>
      </w:r>
    </w:p>
    <w:p w14:paraId="10F56220">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8" w:name="heading_33"/>
      <w:r>
        <w:rPr>
          <w:rFonts w:hint="eastAsia" w:ascii="黑体" w:hAnsi="宋体" w:eastAsia="黑体" w:cs="Times New Roman"/>
          <w:color w:val="auto"/>
          <w:kern w:val="2"/>
          <w:szCs w:val="21"/>
          <w:lang w:val="en-US" w:eastAsia="zh-CN" w:bidi="ar-SA"/>
        </w:rPr>
        <w:t>7.4 检验分类</w:t>
      </w:r>
      <w:bookmarkEnd w:id="18"/>
    </w:p>
    <w:p w14:paraId="4A8239CF">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宋体" w:hAnsi="宋体" w:eastAsia="宋体" w:cs="宋体"/>
          <w:color w:val="auto"/>
          <w:kern w:val="2"/>
          <w:szCs w:val="21"/>
          <w:lang w:val="en-US" w:eastAsia="zh-CN" w:bidi="ar-SA"/>
        </w:rPr>
      </w:pPr>
      <w:r>
        <w:rPr>
          <w:rFonts w:hint="eastAsia" w:ascii="宋体" w:hAnsi="宋体" w:eastAsia="宋体" w:cs="宋体"/>
          <w:color w:val="auto"/>
          <w:kern w:val="2"/>
          <w:szCs w:val="21"/>
          <w:lang w:val="en-US" w:eastAsia="zh-CN" w:bidi="ar-SA"/>
        </w:rPr>
        <w:t>夹边条以批为单位进行检验，分为出厂检验和型式检验。</w:t>
      </w:r>
    </w:p>
    <w:p w14:paraId="725CEE8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19" w:name="heading_34"/>
      <w:r>
        <w:rPr>
          <w:rFonts w:hint="eastAsia" w:ascii="黑体" w:hAnsi="宋体" w:eastAsia="黑体" w:cs="Times New Roman"/>
          <w:color w:val="auto"/>
          <w:kern w:val="2"/>
          <w:szCs w:val="21"/>
          <w:lang w:val="en-US" w:eastAsia="zh-CN" w:bidi="ar-SA"/>
        </w:rPr>
        <w:t>7.4.1 出厂检验</w:t>
      </w:r>
      <w:bookmarkEnd w:id="19"/>
    </w:p>
    <w:p w14:paraId="12BC8D7B">
      <w:pPr>
        <w:keepNext w:val="0"/>
        <w:keepLines w:val="0"/>
        <w:pageBreakBefore w:val="0"/>
        <w:widowControl w:val="0"/>
        <w:kinsoku/>
        <w:wordWrap/>
        <w:overflowPunct/>
        <w:topLinePunct w:val="0"/>
        <w:autoSpaceDE/>
        <w:autoSpaceDN/>
        <w:bidi w:val="0"/>
        <w:adjustRightInd/>
        <w:snapToGrid/>
        <w:spacing w:beforeLines="50" w:afterLines="50" w:line="240" w:lineRule="auto"/>
        <w:ind w:firstLine="420" w:firstLineChars="200"/>
        <w:textAlignment w:val="auto"/>
        <w:rPr>
          <w:rFonts w:hint="eastAsia" w:ascii="宋体" w:hAnsi="宋体" w:eastAsia="宋体" w:cs="宋体"/>
          <w:color w:val="auto"/>
          <w:kern w:val="2"/>
          <w:szCs w:val="21"/>
          <w:lang w:val="en-US" w:eastAsia="zh-CN" w:bidi="ar-SA"/>
        </w:rPr>
      </w:pPr>
      <w:r>
        <w:rPr>
          <w:rFonts w:hint="eastAsia" w:ascii="宋体" w:hAnsi="宋体" w:eastAsia="宋体" w:cs="宋体"/>
          <w:color w:val="auto"/>
          <w:kern w:val="2"/>
          <w:szCs w:val="21"/>
          <w:lang w:val="en-US" w:eastAsia="zh-CN" w:bidi="ar-SA"/>
        </w:rPr>
        <w:t>出厂检查项目为规格尺寸、外观检测及阴极板试装检测：</w:t>
      </w:r>
    </w:p>
    <w:p w14:paraId="1A9D60BE">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0" w:name="heading_35"/>
      <w:r>
        <w:rPr>
          <w:rFonts w:hint="eastAsia" w:ascii="黑体" w:hAnsi="宋体" w:eastAsia="黑体" w:cs="Times New Roman"/>
          <w:color w:val="auto"/>
          <w:kern w:val="2"/>
          <w:szCs w:val="21"/>
          <w:lang w:val="en-US" w:eastAsia="zh-CN" w:bidi="ar-SA"/>
        </w:rPr>
        <w:t>7.4.2 型式检验</w:t>
      </w:r>
      <w:bookmarkEnd w:id="20"/>
    </w:p>
    <w:p w14:paraId="1D5CCB85">
      <w:pPr>
        <w:keepNext w:val="0"/>
        <w:keepLines w:val="0"/>
        <w:pageBreakBefore w:val="0"/>
        <w:widowControl w:val="0"/>
        <w:kinsoku/>
        <w:wordWrap/>
        <w:overflowPunct/>
        <w:topLinePunct w:val="0"/>
        <w:autoSpaceDE/>
        <w:autoSpaceDN/>
        <w:bidi w:val="0"/>
        <w:adjustRightInd/>
        <w:snapToGrid/>
        <w:spacing w:beforeLines="-2147483648" w:afterLines="-2147483648" w:line="240" w:lineRule="auto"/>
        <w:ind w:firstLine="452" w:firstLineChars="200"/>
        <w:textAlignment w:val="auto"/>
        <w:outlineLvl w:val="3"/>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型式检验项目为规格尺寸、理化性能、阴极板试装及外观。有下列情况之一时应进行型式检验：</w:t>
      </w:r>
    </w:p>
    <w:p w14:paraId="625C58D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a) 产品生产鉴定、定型时；</w:t>
      </w:r>
    </w:p>
    <w:p w14:paraId="5AE95CE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b) 产品工艺、原材料有重大改进，可能影响产品性能时；</w:t>
      </w:r>
    </w:p>
    <w:p w14:paraId="7FDB8B6B">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c) 正常生产每1年进行1次；</w:t>
      </w:r>
    </w:p>
    <w:p w14:paraId="5CFCFC3B">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d) 停产1年以上重新恢复生产时；</w:t>
      </w:r>
    </w:p>
    <w:p w14:paraId="1A53E54A">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e) 国家质量监督机构要求进行型式检验时。</w:t>
      </w:r>
    </w:p>
    <w:p w14:paraId="27449FB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1" w:name="heading_36"/>
      <w:r>
        <w:rPr>
          <w:rFonts w:hint="eastAsia" w:ascii="黑体" w:hAnsi="宋体" w:eastAsia="黑体" w:cs="Times New Roman"/>
          <w:color w:val="auto"/>
          <w:kern w:val="2"/>
          <w:szCs w:val="21"/>
          <w:lang w:val="en-US" w:eastAsia="zh-CN" w:bidi="ar-SA"/>
        </w:rPr>
        <w:t>7.5 检验结果判定</w:t>
      </w:r>
      <w:bookmarkEnd w:id="21"/>
    </w:p>
    <w:p w14:paraId="5B15C48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3"/>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7.5.1 规格尺寸、外观、阴极板试装项目检验结果与本标准要求不符的，应对产品逐捆检查，实行单件不合格判定。</w:t>
      </w:r>
    </w:p>
    <w:p w14:paraId="50C96F3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3"/>
        <w:rPr>
          <w:rFonts w:hint="eastAsia" w:ascii="Times New Roman" w:hAnsi="Times New Roman" w:eastAsia="宋体" w:cs="Times New Roman"/>
          <w:color w:val="auto"/>
          <w:spacing w:val="8"/>
          <w:kern w:val="2"/>
          <w:szCs w:val="24"/>
          <w:lang w:val="en-US" w:eastAsia="zh-CN" w:bidi="ar-SA"/>
        </w:rPr>
      </w:pPr>
      <w:r>
        <w:rPr>
          <w:rFonts w:hint="eastAsia" w:ascii="Times New Roman" w:hAnsi="Times New Roman" w:eastAsia="宋体" w:cs="Times New Roman"/>
          <w:color w:val="auto"/>
          <w:spacing w:val="8"/>
          <w:kern w:val="2"/>
          <w:szCs w:val="24"/>
          <w:lang w:val="en-US" w:eastAsia="zh-CN" w:bidi="ar-SA"/>
        </w:rPr>
        <w:t>7.5.2 理化性能检验若出现不合格项目，应从同一批次产品中加倍取样复检，复检结果全部合格方可判定该批理化性能合格。</w:t>
      </w:r>
    </w:p>
    <w:p w14:paraId="4B5F31E0">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黑体" w:eastAsia="黑体" w:cs="黑体"/>
          <w:bCs/>
          <w:color w:val="auto"/>
          <w:kern w:val="2"/>
          <w:sz w:val="21"/>
          <w:szCs w:val="20"/>
          <w:lang w:val="en-US" w:eastAsia="zh-CN" w:bidi="ar-SA"/>
        </w:rPr>
      </w:pPr>
      <w:bookmarkStart w:id="22" w:name="heading_37"/>
      <w:r>
        <w:rPr>
          <w:rFonts w:hint="eastAsia" w:ascii="黑体" w:hAnsi="黑体" w:eastAsia="黑体" w:cs="黑体"/>
          <w:bCs/>
          <w:color w:val="auto"/>
          <w:kern w:val="2"/>
          <w:sz w:val="21"/>
          <w:szCs w:val="20"/>
          <w:lang w:val="en-US" w:eastAsia="zh-CN" w:bidi="ar-SA"/>
        </w:rPr>
        <w:t>8 标志、包装、运输、贮存</w:t>
      </w:r>
      <w:bookmarkEnd w:id="22"/>
      <w:r>
        <w:rPr>
          <w:rFonts w:hint="eastAsia" w:ascii="黑体" w:hAnsi="黑体" w:eastAsia="黑体" w:cs="黑体"/>
          <w:bCs/>
          <w:color w:val="auto"/>
          <w:lang w:val="en-US" w:eastAsia="zh-CN"/>
        </w:rPr>
        <w:t>和随行文件</w:t>
      </w:r>
    </w:p>
    <w:p w14:paraId="3550DC3A">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3" w:name="heading_38"/>
      <w:r>
        <w:rPr>
          <w:rFonts w:hint="eastAsia" w:ascii="黑体" w:hAnsi="宋体" w:eastAsia="黑体" w:cs="Times New Roman"/>
          <w:color w:val="auto"/>
          <w:kern w:val="2"/>
          <w:szCs w:val="21"/>
          <w:lang w:val="en-US" w:eastAsia="zh-CN" w:bidi="ar-SA"/>
        </w:rPr>
        <w:t>8.1 标志</w:t>
      </w:r>
      <w:bookmarkEnd w:id="23"/>
    </w:p>
    <w:p w14:paraId="57F5009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在每箱检验合格的夹边条上应附有以下内容的标签：</w:t>
      </w:r>
    </w:p>
    <w:p w14:paraId="21CDC78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a)生产厂名或商标；</w:t>
      </w:r>
    </w:p>
    <w:p w14:paraId="2954971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b)产品名称；</w:t>
      </w:r>
    </w:p>
    <w:p w14:paraId="00F91F7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c)执行标准号；</w:t>
      </w:r>
    </w:p>
    <w:p w14:paraId="4DFE759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d)规格型号；</w:t>
      </w:r>
    </w:p>
    <w:p w14:paraId="19A7FFC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e)产品批号；</w:t>
      </w:r>
    </w:p>
    <w:p w14:paraId="2CC0AD5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f)生产日期。</w:t>
      </w:r>
    </w:p>
    <w:p w14:paraId="228AF8B2">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4" w:name="heading_39"/>
      <w:r>
        <w:rPr>
          <w:rFonts w:hint="eastAsia" w:ascii="黑体" w:hAnsi="宋体" w:eastAsia="黑体" w:cs="Times New Roman"/>
          <w:color w:val="auto"/>
          <w:kern w:val="2"/>
          <w:szCs w:val="21"/>
          <w:lang w:val="en-US" w:eastAsia="zh-CN" w:bidi="ar-SA"/>
        </w:rPr>
        <w:t>8.2 包装</w:t>
      </w:r>
      <w:bookmarkEnd w:id="24"/>
    </w:p>
    <w:p w14:paraId="09D6F933">
      <w:pPr>
        <w:spacing w:line="240" w:lineRule="auto"/>
        <w:rPr>
          <w:rFonts w:hint="eastAsia" w:ascii="Times New Roman" w:hAnsi="Times New Roman" w:eastAsia="宋体" w:cs="Times New Roman"/>
          <w:color w:val="auto"/>
          <w:spacing w:val="8"/>
          <w:sz w:val="21"/>
          <w:szCs w:val="24"/>
          <w:lang w:val="en-US" w:eastAsia="zh-CN" w:bidi="ar-SA"/>
        </w:rPr>
      </w:pPr>
      <w:r>
        <w:rPr>
          <w:rFonts w:hint="eastAsia" w:ascii="Times New Roman" w:hAnsi="Times New Roman" w:eastAsia="宋体" w:cs="Times New Roman"/>
          <w:color w:val="auto"/>
          <w:spacing w:val="8"/>
          <w:sz w:val="21"/>
          <w:szCs w:val="24"/>
          <w:lang w:val="en-US" w:eastAsia="zh-CN" w:bidi="ar-SA"/>
        </w:rPr>
        <w:t>8.2.1 夹边条应成捆包装，捆扎良好。</w:t>
      </w:r>
    </w:p>
    <w:p w14:paraId="084A054E">
      <w:pPr>
        <w:spacing w:line="240" w:lineRule="auto"/>
        <w:rPr>
          <w:rFonts w:hint="eastAsia" w:ascii="Times New Roman" w:hAnsi="Times New Roman" w:eastAsia="宋体" w:cs="Times New Roman"/>
          <w:color w:val="auto"/>
          <w:spacing w:val="8"/>
          <w:sz w:val="21"/>
          <w:szCs w:val="24"/>
          <w:lang w:val="en-US" w:eastAsia="zh-CN" w:bidi="ar-SA"/>
        </w:rPr>
      </w:pPr>
      <w:r>
        <w:rPr>
          <w:rFonts w:hint="eastAsia" w:ascii="Times New Roman" w:hAnsi="Times New Roman" w:eastAsia="宋体" w:cs="Times New Roman"/>
          <w:color w:val="auto"/>
          <w:spacing w:val="8"/>
          <w:sz w:val="21"/>
          <w:szCs w:val="24"/>
          <w:lang w:val="en-US" w:eastAsia="zh-CN" w:bidi="ar-SA"/>
        </w:rPr>
        <w:t>8.2.2 允许双方协议规定包装方法。</w:t>
      </w:r>
    </w:p>
    <w:p w14:paraId="49081543">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5" w:name="heading_40"/>
      <w:r>
        <w:rPr>
          <w:rFonts w:hint="eastAsia" w:ascii="黑体" w:hAnsi="宋体" w:eastAsia="黑体" w:cs="Times New Roman"/>
          <w:color w:val="auto"/>
          <w:kern w:val="2"/>
          <w:szCs w:val="21"/>
          <w:lang w:val="en-US" w:eastAsia="zh-CN" w:bidi="ar-SA"/>
        </w:rPr>
        <w:t>8.3 运输</w:t>
      </w:r>
      <w:bookmarkEnd w:id="25"/>
    </w:p>
    <w:p w14:paraId="430B1133">
      <w:pPr>
        <w:spacing w:line="240" w:lineRule="auto"/>
        <w:ind w:firstLine="452" w:firstLineChars="200"/>
        <w:rPr>
          <w:rFonts w:hint="eastAsia" w:ascii="Times New Roman" w:hAnsi="Times New Roman" w:eastAsia="宋体" w:cs="Times New Roman"/>
          <w:color w:val="auto"/>
          <w:spacing w:val="8"/>
          <w:sz w:val="21"/>
          <w:szCs w:val="24"/>
          <w:lang w:val="en-US" w:eastAsia="zh-CN" w:bidi="ar-SA"/>
        </w:rPr>
      </w:pPr>
      <w:r>
        <w:rPr>
          <w:rFonts w:hint="eastAsia" w:ascii="Times New Roman" w:hAnsi="Times New Roman" w:eastAsia="宋体" w:cs="Times New Roman"/>
          <w:color w:val="auto"/>
          <w:spacing w:val="8"/>
          <w:sz w:val="21"/>
          <w:szCs w:val="24"/>
          <w:lang w:val="en-US" w:eastAsia="zh-CN" w:bidi="ar-SA"/>
        </w:rPr>
        <w:t>在存放、搬运和运输过程中，应注意防雨、防晒，严防剧烈震动、撞击造成产品表面破损。</w:t>
      </w:r>
    </w:p>
    <w:p w14:paraId="5731DE01">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eastAsia" w:ascii="黑体" w:hAnsi="宋体" w:eastAsia="黑体" w:cs="Times New Roman"/>
          <w:color w:val="auto"/>
          <w:kern w:val="2"/>
          <w:szCs w:val="21"/>
          <w:lang w:val="en-US" w:eastAsia="zh-CN" w:bidi="ar-SA"/>
        </w:rPr>
      </w:pPr>
      <w:bookmarkStart w:id="26" w:name="heading_41"/>
      <w:r>
        <w:rPr>
          <w:rFonts w:hint="eastAsia" w:ascii="黑体" w:hAnsi="宋体" w:eastAsia="黑体" w:cs="Times New Roman"/>
          <w:color w:val="auto"/>
          <w:kern w:val="2"/>
          <w:szCs w:val="21"/>
          <w:lang w:val="en-US" w:eastAsia="zh-CN" w:bidi="ar-SA"/>
        </w:rPr>
        <w:t>8.4 贮存</w:t>
      </w:r>
      <w:bookmarkEnd w:id="26"/>
    </w:p>
    <w:p w14:paraId="00EC2034">
      <w:pPr>
        <w:spacing w:line="240" w:lineRule="auto"/>
        <w:ind w:firstLine="452" w:firstLineChars="200"/>
        <w:rPr>
          <w:rFonts w:hint="eastAsia" w:ascii="Times New Roman" w:hAnsi="Times New Roman" w:eastAsia="宋体" w:cs="Times New Roman"/>
          <w:color w:val="auto"/>
          <w:spacing w:val="8"/>
          <w:sz w:val="21"/>
          <w:szCs w:val="24"/>
          <w:lang w:val="en-US" w:eastAsia="zh-CN" w:bidi="ar-SA"/>
        </w:rPr>
      </w:pPr>
      <w:r>
        <w:rPr>
          <w:rFonts w:hint="eastAsia" w:ascii="Times New Roman" w:hAnsi="Times New Roman" w:eastAsia="宋体" w:cs="Times New Roman"/>
          <w:color w:val="auto"/>
          <w:spacing w:val="8"/>
          <w:sz w:val="21"/>
          <w:szCs w:val="24"/>
          <w:lang w:val="en-US" w:eastAsia="zh-CN" w:bidi="ar-SA"/>
        </w:rPr>
        <w:t>应贮存在通风良好的仓库内，并远离热源与腐蚀性介质。堆放时高度应不大于2m。</w:t>
      </w:r>
    </w:p>
    <w:p w14:paraId="092CA0FF">
      <w:pPr>
        <w:keepNext w:val="0"/>
        <w:keepLines w:val="0"/>
        <w:pageBreakBefore w:val="0"/>
        <w:widowControl w:val="0"/>
        <w:kinsoku/>
        <w:wordWrap/>
        <w:overflowPunct/>
        <w:topLinePunct w:val="0"/>
        <w:autoSpaceDE/>
        <w:autoSpaceDN/>
        <w:bidi w:val="0"/>
        <w:adjustRightInd/>
        <w:snapToGrid/>
        <w:spacing w:beforeLines="50" w:afterLines="50" w:line="240" w:lineRule="auto"/>
        <w:textAlignment w:val="auto"/>
        <w:rPr>
          <w:rFonts w:hint="default" w:ascii="黑体" w:hAnsi="宋体" w:eastAsia="黑体" w:cs="Times New Roman"/>
          <w:color w:val="auto"/>
          <w:kern w:val="2"/>
          <w:szCs w:val="21"/>
          <w:lang w:val="en-US" w:eastAsia="zh-CN" w:bidi="ar-SA"/>
        </w:rPr>
      </w:pPr>
      <w:r>
        <w:rPr>
          <w:rFonts w:hint="eastAsia" w:ascii="黑体" w:hAnsi="宋体" w:eastAsia="黑体" w:cs="Times New Roman"/>
          <w:color w:val="auto"/>
          <w:kern w:val="2"/>
          <w:szCs w:val="21"/>
          <w:lang w:val="en-US" w:eastAsia="zh-CN" w:bidi="ar-SA"/>
        </w:rPr>
        <w:t>8.5 随行文件</w:t>
      </w:r>
    </w:p>
    <w:p w14:paraId="5288D04F">
      <w:pPr>
        <w:pStyle w:val="8"/>
        <w:spacing w:line="240" w:lineRule="auto"/>
        <w:ind w:firstLine="420"/>
        <w:rPr>
          <w:rFonts w:hint="eastAsia"/>
          <w:bCs/>
          <w:lang w:val="en-US" w:eastAsia="zh-CN"/>
        </w:rPr>
      </w:pPr>
      <w:r>
        <w:rPr>
          <w:bCs/>
        </w:rPr>
        <w:t>每批</w:t>
      </w:r>
      <w:r>
        <w:rPr>
          <w:rFonts w:hint="eastAsia"/>
          <w:bCs/>
          <w:color w:val="000000" w:themeColor="text1"/>
          <w:lang w:val="en-US" w:eastAsia="zh-CN"/>
          <w14:textFill>
            <w14:solidFill>
              <w14:schemeClr w14:val="tx1"/>
            </w14:solidFill>
          </w14:textFill>
        </w:rPr>
        <w:t>电解用阴极铜绝缘密封夹边条</w:t>
      </w:r>
      <w:r>
        <w:rPr>
          <w:bCs/>
          <w:color w:val="000000" w:themeColor="text1"/>
          <w14:textFill>
            <w14:solidFill>
              <w14:schemeClr w14:val="tx1"/>
            </w14:solidFill>
          </w14:textFill>
        </w:rPr>
        <w:t>应附</w:t>
      </w:r>
      <w:r>
        <w:rPr>
          <w:rFonts w:hint="eastAsia"/>
          <w:bCs/>
          <w:color w:val="000000" w:themeColor="text1"/>
          <w:highlight w:val="none"/>
          <w:lang w:eastAsia="zh-CN"/>
          <w14:textFill>
            <w14:solidFill>
              <w14:schemeClr w14:val="tx1"/>
            </w14:solidFill>
          </w14:textFill>
        </w:rPr>
        <w:t>随行文件</w:t>
      </w:r>
      <w:r>
        <w:rPr>
          <w:bCs/>
          <w:color w:val="000000" w:themeColor="text1"/>
          <w:highlight w:val="none"/>
          <w14:textFill>
            <w14:solidFill>
              <w14:schemeClr w14:val="tx1"/>
            </w14:solidFill>
          </w14:textFill>
        </w:rPr>
        <w:t>，</w:t>
      </w:r>
      <w:r>
        <w:rPr>
          <w:rFonts w:hint="eastAsia"/>
          <w:bCs/>
          <w:color w:val="000000" w:themeColor="text1"/>
          <w:highlight w:val="none"/>
          <w:lang w:eastAsia="zh-CN"/>
          <w14:textFill>
            <w14:solidFill>
              <w14:schemeClr w14:val="tx1"/>
            </w14:solidFill>
          </w14:textFill>
        </w:rPr>
        <w:t>其中除应包括供方信息、产品信息、本文件编号、出厂日期或包装日期外，还宜包</w:t>
      </w:r>
      <w:r>
        <w:rPr>
          <w:rFonts w:hint="eastAsia"/>
          <w:bCs/>
          <w:color w:val="000000" w:themeColor="text1"/>
          <w:highlight w:val="none"/>
          <w:lang w:val="en-US" w:eastAsia="zh-CN"/>
          <w14:textFill>
            <w14:solidFill>
              <w14:schemeClr w14:val="tx1"/>
            </w14:solidFill>
          </w14:textFill>
        </w:rPr>
        <w:t>括</w:t>
      </w:r>
      <w:r>
        <w:rPr>
          <w:rFonts w:hint="eastAsia"/>
          <w:bCs/>
          <w:lang w:val="en-US" w:eastAsia="zh-CN"/>
        </w:rPr>
        <w:t>产品质量证明书，</w:t>
      </w:r>
      <w:r>
        <w:rPr>
          <w:rFonts w:hint="eastAsia" w:ascii="宋体" w:hAnsi="Times New Roman" w:eastAsia="宋体" w:cs="Times New Roman"/>
          <w:color w:val="auto"/>
          <w:sz w:val="21"/>
          <w:szCs w:val="20"/>
          <w:lang w:val="en-US" w:eastAsia="zh-CN" w:bidi="ar-SA"/>
        </w:rPr>
        <w:t>包括但不限于以下内容</w:t>
      </w:r>
      <w:r>
        <w:rPr>
          <w:rFonts w:hint="eastAsia"/>
          <w:bCs/>
          <w:lang w:val="en-US" w:eastAsia="zh-CN"/>
        </w:rPr>
        <w:t>：</w:t>
      </w:r>
    </w:p>
    <w:p w14:paraId="7E345DD4">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生产厂名；</w:t>
      </w:r>
    </w:p>
    <w:p w14:paraId="58220A4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b) 产品名称和标记；</w:t>
      </w:r>
    </w:p>
    <w:p w14:paraId="33D4948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c) 产品批号；</w:t>
      </w:r>
    </w:p>
    <w:p w14:paraId="733F161A">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d) 批量和箱数；</w:t>
      </w:r>
    </w:p>
    <w:p w14:paraId="4DEAEF23">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e) 检验日期；</w:t>
      </w:r>
    </w:p>
    <w:p w14:paraId="019FCBDA">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f) 检验结果（含出厂检验关键项目数据）；</w:t>
      </w:r>
    </w:p>
    <w:p w14:paraId="5DCAAC9D">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g) 本标准编号；</w:t>
      </w:r>
    </w:p>
    <w:p w14:paraId="4A8A2AE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h) 检验员签字和质量检验部门盖章。</w:t>
      </w:r>
    </w:p>
    <w:p w14:paraId="78E314BA">
      <w:pPr>
        <w:pStyle w:val="8"/>
        <w:spacing w:beforeLines="100" w:afterLines="100" w:line="240" w:lineRule="auto"/>
        <w:ind w:firstLine="0" w:firstLineChars="0"/>
        <w:rPr>
          <w:rFonts w:hint="eastAsia" w:ascii="黑体" w:hAnsi="黑体" w:eastAsia="黑体" w:cs="黑体"/>
          <w:bCs/>
          <w:color w:val="auto"/>
          <w:kern w:val="2"/>
          <w:lang w:val="en-US" w:eastAsia="zh-CN" w:bidi="ar-SA"/>
        </w:rPr>
      </w:pPr>
      <w:bookmarkStart w:id="27" w:name="heading_42"/>
      <w:r>
        <w:rPr>
          <w:rFonts w:hint="eastAsia" w:ascii="黑体" w:hAnsi="黑体" w:eastAsia="黑体" w:cs="黑体"/>
          <w:bCs/>
          <w:color w:val="auto"/>
          <w:kern w:val="2"/>
          <w:lang w:val="en-US" w:eastAsia="zh-CN" w:bidi="ar-SA"/>
        </w:rPr>
        <w:t>9 订货单内容</w:t>
      </w:r>
      <w:bookmarkEnd w:id="27"/>
    </w:p>
    <w:p w14:paraId="7FAD4393">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订货单应明确下列内容：</w:t>
      </w:r>
    </w:p>
    <w:p w14:paraId="2C8AB7A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a) 生产厂名；</w:t>
      </w:r>
    </w:p>
    <w:p w14:paraId="3DE9918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b) 产品名称和标记（含规格尺寸、夹持极板厚度）；</w:t>
      </w:r>
    </w:p>
    <w:p w14:paraId="76EB46BB">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c) 本标准编号；</w:t>
      </w:r>
    </w:p>
    <w:p w14:paraId="690FAC6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d) 订购数量（总数量、每箱数量）；</w:t>
      </w:r>
    </w:p>
    <w:p w14:paraId="7DE9ABC9">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e) 包装要求（如需特殊包装）；</w:t>
      </w:r>
    </w:p>
    <w:p w14:paraId="11AAC99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f) 交货期和交货地点；</w:t>
      </w:r>
    </w:p>
    <w:p w14:paraId="775B010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Times New Roman" w:hAnsi="Times New Roman" w:eastAsia="宋体" w:cs="宋体"/>
          <w:color w:val="auto"/>
          <w:kern w:val="0"/>
          <w:sz w:val="21"/>
          <w:szCs w:val="20"/>
          <w:lang w:val="en-US" w:eastAsia="zh-CN" w:bidi="ar-SA"/>
        </w:rPr>
      </w:pPr>
      <w:r>
        <w:rPr>
          <w:rFonts w:hint="eastAsia" w:ascii="宋体" w:hAnsi="Times New Roman" w:eastAsia="宋体" w:cs="Times New Roman"/>
          <w:color w:val="auto"/>
          <w:sz w:val="21"/>
          <w:szCs w:val="20"/>
          <w:lang w:val="en-US" w:eastAsia="zh-CN" w:bidi="ar-SA"/>
        </w:rPr>
        <w:t>g) 其他特殊约定（如型式检验要求、质量异议处理方式等）。</w:t>
      </w:r>
    </w:p>
    <w:p w14:paraId="2422BC84">
      <w:pPr>
        <w:spacing w:before="120" w:after="120" w:line="240" w:lineRule="auto"/>
        <w:jc w:val="both"/>
        <w:rPr>
          <w:rFonts w:hint="eastAsia" w:ascii="Times New Roman" w:hAnsi="Times New Roman" w:eastAsia="宋体" w:cs="宋体"/>
          <w:color w:val="auto"/>
          <w:kern w:val="0"/>
          <w:sz w:val="21"/>
          <w:szCs w:val="20"/>
          <w:lang w:val="en-US" w:eastAsia="zh-CN" w:bidi="ar-SA"/>
        </w:rPr>
      </w:pPr>
    </w:p>
    <w:p w14:paraId="39C1E52B">
      <w:pPr>
        <w:spacing w:beforeLines="0" w:afterLines="0"/>
        <w:ind w:left="0" w:leftChars="0"/>
        <w:jc w:val="center"/>
        <w:rPr>
          <w:rFonts w:hint="eastAsia" w:ascii="黑体" w:hAnsi="黑体" w:eastAsia="黑体" w:cs="Times New Roman"/>
          <w:color w:val="auto"/>
          <w:kern w:val="2"/>
          <w:sz w:val="21"/>
          <w:szCs w:val="21"/>
          <w:lang w:val="en-US" w:eastAsia="zh-CN" w:bidi="ar-SA"/>
        </w:rPr>
      </w:pPr>
      <w:r>
        <w:rPr>
          <w:rFonts w:hint="eastAsia" w:ascii="黑体" w:hAnsi="黑体" w:eastAsia="黑体" w:cs="Times New Roman"/>
          <w:color w:val="auto"/>
          <w:kern w:val="2"/>
          <w:sz w:val="21"/>
          <w:szCs w:val="21"/>
          <w:lang w:val="en-US" w:eastAsia="zh-CN" w:bidi="ar-SA"/>
        </w:rPr>
        <w:t>附录A</w:t>
      </w:r>
    </w:p>
    <w:p w14:paraId="55E97CEC">
      <w:pPr>
        <w:pStyle w:val="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(规范性附录)</w:t>
      </w:r>
    </w:p>
    <w:p w14:paraId="0E3EFD9C">
      <w:pPr>
        <w:pStyle w:val="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夹紧力测定方法</w:t>
      </w:r>
    </w:p>
    <w:p w14:paraId="7A1FB30A">
      <w:pPr>
        <w:spacing w:before="120" w:after="120" w:line="240" w:lineRule="auto"/>
        <w:jc w:val="left"/>
        <w:rPr>
          <w:rFonts w:hint="eastAsia" w:ascii="黑体" w:hAnsi="黑体" w:eastAsia="黑体" w:cs="黑体"/>
          <w:bCs/>
          <w:color w:val="auto"/>
          <w:kern w:val="2"/>
          <w:sz w:val="21"/>
          <w:szCs w:val="20"/>
          <w:lang w:val="en-US" w:eastAsia="zh-CN" w:bidi="ar-SA"/>
        </w:rPr>
      </w:pPr>
      <w:bookmarkStart w:id="28" w:name="heading_46"/>
      <w:r>
        <w:rPr>
          <w:rFonts w:hint="eastAsia" w:ascii="黑体" w:hAnsi="黑体" w:eastAsia="黑体" w:cs="黑体"/>
          <w:bCs/>
          <w:color w:val="auto"/>
          <w:kern w:val="2"/>
          <w:sz w:val="21"/>
          <w:szCs w:val="20"/>
          <w:lang w:val="en-US" w:eastAsia="zh-CN" w:bidi="ar-SA"/>
        </w:rPr>
        <w:t>A.1 范围</w:t>
      </w:r>
      <w:bookmarkEnd w:id="28"/>
    </w:p>
    <w:p w14:paraId="00132CC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bookmarkStart w:id="29" w:name="heading_47"/>
      <w:r>
        <w:rPr>
          <w:rFonts w:hint="eastAsia" w:ascii="宋体" w:hAnsi="Times New Roman" w:eastAsia="宋体" w:cs="Times New Roman"/>
          <w:color w:val="auto"/>
          <w:sz w:val="21"/>
          <w:szCs w:val="20"/>
          <w:lang w:val="en-US" w:eastAsia="zh-CN" w:bidi="ar-SA"/>
        </w:rPr>
        <w:t>本附录规定了电解用阴极板绝缘密封夹边条的夹紧力测定方法。</w:t>
      </w:r>
    </w:p>
    <w:p w14:paraId="1F3E7E2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本附录仅适用于塑料加工成型生产的绝缘密封夹边条夹紧力的测定。</w:t>
      </w:r>
    </w:p>
    <w:p w14:paraId="2E794113">
      <w:pPr>
        <w:spacing w:before="120" w:after="120" w:line="240" w:lineRule="auto"/>
        <w:jc w:val="left"/>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A.2 原理</w:t>
      </w:r>
      <w:bookmarkEnd w:id="29"/>
    </w:p>
    <w:p w14:paraId="4971410B">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利用实验方法中重量法的原理，通过夹边条在极板接触面承力的变化来计算其承受重力的大小。</w:t>
      </w:r>
    </w:p>
    <w:p w14:paraId="0A02664D">
      <w:pPr>
        <w:spacing w:before="120" w:after="120" w:line="240" w:lineRule="auto"/>
        <w:jc w:val="left"/>
        <w:rPr>
          <w:rFonts w:hint="eastAsia" w:ascii="黑体" w:hAnsi="黑体" w:eastAsia="黑体" w:cs="黑体"/>
          <w:bCs/>
          <w:color w:val="auto"/>
          <w:kern w:val="2"/>
          <w:sz w:val="21"/>
          <w:szCs w:val="20"/>
          <w:lang w:val="en-US" w:eastAsia="zh-CN" w:bidi="ar-SA"/>
        </w:rPr>
      </w:pPr>
      <w:bookmarkStart w:id="30" w:name="heading_48"/>
      <w:r>
        <w:rPr>
          <w:rFonts w:hint="eastAsia" w:ascii="黑体" w:hAnsi="黑体" w:eastAsia="黑体" w:cs="黑体"/>
          <w:bCs/>
          <w:color w:val="auto"/>
          <w:kern w:val="2"/>
          <w:sz w:val="21"/>
          <w:szCs w:val="20"/>
          <w:lang w:val="en-US" w:eastAsia="zh-CN" w:bidi="ar-SA"/>
        </w:rPr>
        <w:t>A.3 测试装置</w:t>
      </w:r>
      <w:bookmarkEnd w:id="30"/>
    </w:p>
    <w:p w14:paraId="03064D6E">
      <w:pPr>
        <w:pStyle w:val="8"/>
        <w:spacing w:beforeLines="50" w:afterLines="50" w:line="240" w:lineRule="auto"/>
        <w:ind w:firstLine="0" w:firstLineChars="0"/>
        <w:rPr>
          <w:rFonts w:hint="eastAsia" w:ascii="黑体" w:hAnsi="黑体" w:eastAsia="黑体" w:cs="黑体"/>
          <w:bCs/>
          <w:color w:val="auto"/>
          <w:kern w:val="2"/>
          <w:lang w:val="en-US" w:eastAsia="zh-CN" w:bidi="ar-SA"/>
        </w:rPr>
      </w:pPr>
      <w:bookmarkStart w:id="31" w:name="heading_49"/>
      <w:r>
        <w:rPr>
          <w:rFonts w:hint="eastAsia" w:ascii="黑体" w:hAnsi="黑体" w:eastAsia="黑体" w:cs="黑体"/>
          <w:bCs/>
          <w:color w:val="auto"/>
          <w:kern w:val="2"/>
          <w:lang w:val="en-US" w:eastAsia="zh-CN" w:bidi="ar-SA"/>
        </w:rPr>
        <w:t>A.3.1 “回”形卡</w:t>
      </w:r>
      <w:bookmarkEnd w:id="31"/>
    </w:p>
    <w:p w14:paraId="12BE3F2D">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如图A.1 所示，可根据夹边条截面尺寸加工，以保证夹边条能较轻松地放置在“回”形卡内，“回”形卡下部的缺口宽度比极板厚度大0.2 mm～0.3 mm。</w:t>
      </w:r>
    </w:p>
    <w:p w14:paraId="2ACC95F1">
      <w:pPr>
        <w:pStyle w:val="8"/>
        <w:spacing w:beforeLines="50" w:afterLines="50" w:line="240" w:lineRule="auto"/>
        <w:ind w:firstLine="0" w:firstLineChars="0"/>
        <w:rPr>
          <w:rFonts w:hint="eastAsia" w:ascii="黑体" w:hAnsi="黑体" w:eastAsia="黑体" w:cs="黑体"/>
          <w:bCs/>
          <w:color w:val="auto"/>
          <w:kern w:val="2"/>
          <w:lang w:val="en-US" w:eastAsia="zh-CN" w:bidi="ar-SA"/>
        </w:rPr>
      </w:pPr>
      <w:bookmarkStart w:id="32" w:name="heading_50"/>
      <w:r>
        <w:rPr>
          <w:rFonts w:hint="eastAsia" w:ascii="黑体" w:hAnsi="黑体" w:eastAsia="黑体" w:cs="黑体"/>
          <w:bCs/>
          <w:color w:val="auto"/>
          <w:kern w:val="2"/>
          <w:lang w:val="en-US" w:eastAsia="zh-CN" w:bidi="ar-SA"/>
        </w:rPr>
        <w:t>A.3.2 台秤</w:t>
      </w:r>
      <w:bookmarkEnd w:id="32"/>
    </w:p>
    <w:p w14:paraId="4500EBB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bookmarkStart w:id="33" w:name="heading_51"/>
      <w:r>
        <w:rPr>
          <w:rFonts w:hint="eastAsia" w:ascii="宋体" w:hAnsi="Times New Roman" w:eastAsia="宋体" w:cs="Times New Roman"/>
          <w:color w:val="auto"/>
          <w:sz w:val="21"/>
          <w:szCs w:val="20"/>
          <w:lang w:val="en-US" w:eastAsia="zh-CN" w:bidi="ar-SA"/>
        </w:rPr>
        <w:t>台秤的精度为0.1kg。</w:t>
      </w:r>
    </w:p>
    <w:p w14:paraId="31576D2C">
      <w:pPr>
        <w:pStyle w:val="8"/>
        <w:spacing w:beforeLines="50" w:afterLines="50" w:line="240" w:lineRule="auto"/>
        <w:ind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A.3.3 沙袋</w:t>
      </w:r>
      <w:bookmarkEnd w:id="33"/>
    </w:p>
    <w:p w14:paraId="408A654B">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沙袋的质量通过台秤进行称量。</w:t>
      </w:r>
      <w:bookmarkStart w:id="34" w:name="heading_52"/>
    </w:p>
    <w:p w14:paraId="0930A4D5">
      <w:pPr>
        <w:pStyle w:val="8"/>
        <w:spacing w:beforeLines="50" w:afterLines="50" w:line="240" w:lineRule="auto"/>
        <w:ind w:firstLine="0" w:firstLineChars="0"/>
        <w:rPr>
          <w:rFonts w:hint="eastAsia" w:ascii="黑体" w:hAnsi="黑体" w:eastAsia="黑体" w:cs="黑体"/>
          <w:bCs/>
          <w:color w:val="auto"/>
          <w:kern w:val="2"/>
          <w:lang w:val="en-US" w:eastAsia="zh-CN" w:bidi="ar-SA"/>
        </w:rPr>
      </w:pPr>
      <w:r>
        <w:rPr>
          <w:rFonts w:hint="eastAsia" w:ascii="黑体" w:hAnsi="黑体" w:eastAsia="黑体" w:cs="黑体"/>
          <w:bCs/>
          <w:color w:val="auto"/>
          <w:kern w:val="2"/>
          <w:lang w:val="en-US" w:eastAsia="zh-CN" w:bidi="ar-SA"/>
        </w:rPr>
        <w:t>A.3.4 极板</w:t>
      </w:r>
      <w:bookmarkEnd w:id="34"/>
    </w:p>
    <w:p w14:paraId="13A71FD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bookmarkStart w:id="35" w:name="heading_53"/>
      <w:r>
        <w:rPr>
          <w:rFonts w:hint="eastAsia" w:ascii="宋体" w:hAnsi="Times New Roman" w:eastAsia="宋体" w:cs="Times New Roman"/>
          <w:color w:val="auto"/>
          <w:sz w:val="21"/>
          <w:szCs w:val="20"/>
          <w:lang w:val="en-US" w:eastAsia="zh-CN" w:bidi="ar-SA"/>
        </w:rPr>
        <w:t>极板长为220 mm，宽96 mm，误差不超过0.1mm，厚度及误差要求与装夹的极板相同。</w:t>
      </w:r>
    </w:p>
    <w:p w14:paraId="4393BAED">
      <w:pPr>
        <w:spacing w:before="120" w:after="120" w:line="240" w:lineRule="auto"/>
        <w:ind w:left="0" w:firstLine="420" w:firstLineChars="200"/>
        <w:jc w:val="center"/>
        <w:rPr>
          <w:rFonts w:hint="eastAsia" w:ascii="Times New Roman" w:hAnsi="Times New Roman" w:eastAsia="宋体" w:cs="宋体"/>
          <w:color w:val="auto"/>
          <w:kern w:val="0"/>
          <w:sz w:val="21"/>
          <w:szCs w:val="20"/>
          <w:lang w:val="en-US" w:eastAsia="zh-CN" w:bidi="ar-SA"/>
        </w:rPr>
      </w:pPr>
      <w:r>
        <w:rPr>
          <w:position w:val="-111"/>
        </w:rPr>
        <w:drawing>
          <wp:inline distT="0" distB="0" distL="0" distR="0">
            <wp:extent cx="3488055" cy="2744470"/>
            <wp:effectExtent l="0" t="0" r="17145" b="1778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3488055" cy="2744470"/>
                    </a:xfrm>
                    <a:prstGeom prst="rect">
                      <a:avLst/>
                    </a:prstGeom>
                  </pic:spPr>
                </pic:pic>
              </a:graphicData>
            </a:graphic>
          </wp:inline>
        </w:drawing>
      </w:r>
    </w:p>
    <w:bookmarkEnd w:id="35"/>
    <w:p w14:paraId="7CE6020D">
      <w:pPr>
        <w:spacing w:before="120" w:after="120" w:line="240" w:lineRule="auto"/>
        <w:ind w:left="0"/>
        <w:jc w:val="left"/>
        <w:rPr>
          <w:rFonts w:hint="eastAsia" w:ascii="黑体" w:hAnsi="黑体" w:eastAsia="黑体" w:cs="黑体"/>
          <w:sz w:val="21"/>
          <w:szCs w:val="21"/>
        </w:rPr>
      </w:pPr>
      <w:r>
        <w:rPr>
          <w:rFonts w:hint="eastAsia" w:ascii="黑体" w:hAnsi="黑体" w:eastAsia="黑体" w:cs="黑体"/>
          <w:sz w:val="21"/>
          <w:szCs w:val="21"/>
          <w:lang w:val="en-US" w:eastAsia="zh-CN"/>
        </w:rPr>
        <w:t>标注序号</w:t>
      </w:r>
      <w:r>
        <w:rPr>
          <w:rFonts w:hint="eastAsia" w:ascii="黑体" w:hAnsi="黑体" w:eastAsia="黑体" w:cs="黑体"/>
          <w:sz w:val="21"/>
          <w:szCs w:val="21"/>
        </w:rPr>
        <w:t>说明：</w:t>
      </w:r>
    </w:p>
    <w:p w14:paraId="5E53A2F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1</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——“回”形卡；</w:t>
      </w:r>
    </w:p>
    <w:p w14:paraId="2BD4EE9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2</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——胀紧棒；</w:t>
      </w:r>
    </w:p>
    <w:p w14:paraId="62D213EA">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3</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——夹边条；</w:t>
      </w:r>
    </w:p>
    <w:p w14:paraId="0EDA2D0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4</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——220mm×96mm极板；</w:t>
      </w:r>
    </w:p>
    <w:p w14:paraId="7D3731A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5</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——挂钩；</w:t>
      </w:r>
    </w:p>
    <w:p w14:paraId="3681822C">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6</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——沙袋；</w:t>
      </w:r>
    </w:p>
    <w:p w14:paraId="1BD7E02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黑体" w:hAnsi="黑体" w:eastAsia="黑体" w:cs="黑体"/>
          <w:sz w:val="21"/>
          <w:szCs w:val="21"/>
        </w:rPr>
      </w:pPr>
      <w:r>
        <w:rPr>
          <w:rFonts w:hint="eastAsia" w:ascii="黑体" w:hAnsi="黑体" w:eastAsia="黑体" w:cs="黑体"/>
          <w:sz w:val="21"/>
          <w:szCs w:val="21"/>
        </w:rPr>
        <w:t>7</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——简支梁。</w:t>
      </w:r>
    </w:p>
    <w:p w14:paraId="645C1905">
      <w:pPr>
        <w:spacing w:before="120" w:after="120" w:line="288" w:lineRule="auto"/>
        <w:ind w:left="0"/>
        <w:jc w:val="center"/>
        <w:rPr>
          <w:rFonts w:hint="eastAsia" w:ascii="黑体" w:hAnsi="黑体" w:eastAsia="黑体" w:cs="黑体"/>
          <w:b w:val="0"/>
          <w:bCs w:val="0"/>
        </w:rPr>
      </w:pPr>
      <w:r>
        <w:rPr>
          <w:rFonts w:hint="eastAsia" w:ascii="黑体" w:hAnsi="黑体" w:eastAsia="黑体" w:cs="黑体"/>
          <w:b w:val="0"/>
          <w:bCs w:val="0"/>
          <w:sz w:val="22"/>
        </w:rPr>
        <w:t>图A.1 夹紧力测试装置示意图</w:t>
      </w:r>
    </w:p>
    <w:p w14:paraId="2B4A291A">
      <w:pPr>
        <w:spacing w:before="320" w:after="120" w:line="288" w:lineRule="auto"/>
        <w:ind w:left="0"/>
        <w:jc w:val="left"/>
        <w:outlineLvl w:val="1"/>
        <w:rPr>
          <w:rFonts w:hint="eastAsia" w:ascii="黑体" w:hAnsi="黑体" w:eastAsia="黑体" w:cs="黑体"/>
          <w:bCs/>
          <w:color w:val="auto"/>
          <w:kern w:val="2"/>
          <w:sz w:val="21"/>
          <w:szCs w:val="20"/>
          <w:lang w:val="en-US" w:eastAsia="zh-CN" w:bidi="ar-SA"/>
        </w:rPr>
      </w:pPr>
      <w:bookmarkStart w:id="36" w:name="heading_54"/>
      <w:r>
        <w:rPr>
          <w:rFonts w:hint="eastAsia" w:ascii="黑体" w:hAnsi="黑体" w:eastAsia="黑体" w:cs="黑体"/>
          <w:bCs/>
          <w:color w:val="auto"/>
          <w:kern w:val="2"/>
          <w:sz w:val="21"/>
          <w:szCs w:val="20"/>
          <w:lang w:val="en-US" w:eastAsia="zh-CN" w:bidi="ar-SA"/>
        </w:rPr>
        <w:t>A.4 试验步骤</w:t>
      </w:r>
      <w:bookmarkEnd w:id="36"/>
    </w:p>
    <w:p w14:paraId="08E4F2E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bookmarkStart w:id="37" w:name="heading_55"/>
      <w:r>
        <w:rPr>
          <w:rFonts w:hint="eastAsia" w:ascii="宋体" w:hAnsi="Times New Roman" w:eastAsia="宋体" w:cs="Times New Roman"/>
          <w:color w:val="auto"/>
          <w:sz w:val="21"/>
          <w:szCs w:val="20"/>
          <w:lang w:val="en-US" w:eastAsia="zh-CN" w:bidi="ar-SA"/>
        </w:rPr>
        <w:t>用台秤称量极板质量w1，精确到0.1kg，按图A.1装配试验装置，将夹边条装夹在极板上，并装好胀紧棒，置于“回”形卡内并悬挂在简支梁上。称取沙袋，挂在极板下部的圆孔上，直至极板从夹边条夹紧口脱出，记录沙袋和挂钩质量w2，精确到0.1kg。</w:t>
      </w:r>
    </w:p>
    <w:p w14:paraId="19538789">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在夹边条长度方向上大约等分三个位置，分别进行测试。</w:t>
      </w:r>
    </w:p>
    <w:bookmarkEnd w:id="37"/>
    <w:p w14:paraId="47F7207F">
      <w:pPr>
        <w:spacing w:before="320" w:after="120" w:line="288" w:lineRule="auto"/>
        <w:ind w:left="0"/>
        <w:jc w:val="left"/>
        <w:outlineLvl w:val="1"/>
        <w:rPr>
          <w:rFonts w:hint="eastAsia" w:ascii="黑体" w:hAnsi="黑体" w:eastAsia="黑体" w:cs="黑体"/>
          <w:bCs/>
          <w:color w:val="auto"/>
          <w:kern w:val="2"/>
          <w:sz w:val="21"/>
          <w:szCs w:val="20"/>
          <w:lang w:val="en-US" w:eastAsia="zh-CN" w:bidi="ar-SA"/>
        </w:rPr>
      </w:pPr>
      <w:bookmarkStart w:id="38" w:name="heading_57"/>
      <w:r>
        <w:rPr>
          <w:rFonts w:hint="eastAsia" w:ascii="黑体" w:hAnsi="黑体" w:eastAsia="黑体" w:cs="黑体"/>
          <w:bCs/>
          <w:color w:val="auto"/>
          <w:kern w:val="2"/>
          <w:sz w:val="21"/>
          <w:szCs w:val="20"/>
          <w:lang w:val="en-US" w:eastAsia="zh-CN" w:bidi="ar-SA"/>
        </w:rPr>
        <w:t>A.5 分析结果的计算</w:t>
      </w:r>
    </w:p>
    <w:p w14:paraId="09FDA81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夹紧力按式（A.1） 计算，数值以Pa 表示。</w:t>
      </w:r>
    </w:p>
    <w:p w14:paraId="7389C0A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 xml:space="preserve">                                   P=(w₁+w₂)g/A           ……………    ………(A.1)</w:t>
      </w:r>
    </w:p>
    <w:p w14:paraId="03D855E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式中：</w:t>
      </w:r>
    </w:p>
    <w:p w14:paraId="12707FA3">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P ——夹紧力，单位为帕（Pa）;</w:t>
      </w:r>
    </w:p>
    <w:p w14:paraId="074FC471">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g ——重力加速度，单位为米每二次方秒（m/s²）;</w:t>
      </w:r>
    </w:p>
    <w:p w14:paraId="37BB1A9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w₁—— 极板质量，单位为千克（kg）;</w:t>
      </w:r>
    </w:p>
    <w:p w14:paraId="648EF8C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w₂—— 沙袋和挂钩质量，单位为千克（kg）;</w:t>
      </w:r>
    </w:p>
    <w:p w14:paraId="28B48E1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A ——绝缘密封塑料夹边条的夹紧面积，单位为平方米（m²）。</w:t>
      </w:r>
    </w:p>
    <w:p w14:paraId="0A99AE6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计算三个位置夹紧力的算术平均值，结果精确至个位数。</w:t>
      </w:r>
    </w:p>
    <w:p w14:paraId="54C9BE7E">
      <w:pPr>
        <w:spacing w:before="320" w:after="120" w:line="288" w:lineRule="auto"/>
        <w:ind w:left="0"/>
        <w:jc w:val="left"/>
        <w:outlineLvl w:val="1"/>
        <w:rPr>
          <w:rFonts w:hint="eastAsia" w:ascii="黑体" w:hAnsi="黑体" w:eastAsia="黑体" w:cs="黑体"/>
          <w:bCs/>
          <w:color w:val="auto"/>
          <w:kern w:val="2"/>
          <w:sz w:val="21"/>
          <w:szCs w:val="20"/>
          <w:lang w:val="en-US" w:eastAsia="zh-CN" w:bidi="ar-SA"/>
        </w:rPr>
      </w:pPr>
      <w:r>
        <w:rPr>
          <w:rFonts w:hint="eastAsia" w:ascii="黑体" w:hAnsi="黑体" w:eastAsia="黑体" w:cs="黑体"/>
          <w:bCs/>
          <w:color w:val="auto"/>
          <w:kern w:val="2"/>
          <w:sz w:val="21"/>
          <w:szCs w:val="20"/>
          <w:lang w:val="en-US" w:eastAsia="zh-CN" w:bidi="ar-SA"/>
        </w:rPr>
        <w:t>A.6 试验报告</w:t>
      </w:r>
    </w:p>
    <w:p w14:paraId="40CDC314">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试验报告至少给出以下几个方面的内容：</w:t>
      </w:r>
    </w:p>
    <w:p w14:paraId="76E6C7A9">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——试样；</w:t>
      </w:r>
    </w:p>
    <w:p w14:paraId="68150041">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——使用的方法；</w:t>
      </w:r>
    </w:p>
    <w:p w14:paraId="5EAEFD81">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——分析结果及其表示；</w:t>
      </w:r>
    </w:p>
    <w:p w14:paraId="605A56CC">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Times New Roman" w:eastAsia="宋体" w:cs="Times New Roman"/>
          <w:color w:val="auto"/>
          <w:sz w:val="21"/>
          <w:szCs w:val="20"/>
          <w:lang w:val="en-US" w:eastAsia="zh-CN" w:bidi="ar-SA"/>
        </w:rPr>
      </w:pPr>
      <w:r>
        <w:rPr>
          <w:rFonts w:hint="eastAsia" w:ascii="宋体" w:hAnsi="Times New Roman" w:eastAsia="宋体" w:cs="Times New Roman"/>
          <w:color w:val="auto"/>
          <w:sz w:val="21"/>
          <w:szCs w:val="20"/>
          <w:lang w:val="en-US" w:eastAsia="zh-CN" w:bidi="ar-SA"/>
        </w:rPr>
        <w:t>——与基本分析步骤的差异；</w:t>
      </w:r>
    </w:p>
    <w:p w14:paraId="41703C83">
      <w:pPr>
        <w:spacing w:before="1" w:line="224" w:lineRule="auto"/>
        <w:ind w:left="792"/>
        <w:rPr>
          <w:rFonts w:hint="eastAsia" w:ascii="宋体" w:hAnsi="宋体" w:eastAsia="宋体" w:cs="宋体"/>
          <w:sz w:val="39"/>
          <w:szCs w:val="39"/>
          <w:lang w:val="en-US" w:eastAsia="zh-CN"/>
        </w:rPr>
        <w:sectPr>
          <w:footerReference r:id="rId3" w:type="default"/>
          <w:pgSz w:w="11906" w:h="16838"/>
          <w:pgMar w:top="1134" w:right="1134" w:bottom="1417" w:left="1134" w:header="0" w:footer="0" w:gutter="0"/>
          <w:pgNumType w:fmt="decimal"/>
          <w:cols w:space="720" w:num="1"/>
        </w:sectPr>
      </w:pPr>
    </w:p>
    <w:p w14:paraId="28DB4F11">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rPr>
          <w:rFonts w:hint="eastAsia" w:ascii="黑体" w:hAnsi="黑体" w:eastAsia="黑体" w:cs="黑体"/>
          <w:color w:val="auto"/>
          <w:kern w:val="0"/>
          <w:sz w:val="21"/>
          <w:szCs w:val="20"/>
          <w:lang w:val="en-US" w:eastAsia="zh-CN" w:bidi="ar-SA"/>
        </w:rPr>
      </w:pPr>
      <w:r>
        <w:rPr>
          <w:rFonts w:hint="eastAsia" w:ascii="黑体" w:hAnsi="黑体" w:eastAsia="黑体" w:cs="黑体"/>
          <w:color w:val="auto"/>
          <w:kern w:val="0"/>
          <w:sz w:val="21"/>
          <w:szCs w:val="20"/>
          <w:lang w:val="en-US" w:eastAsia="zh-CN" w:bidi="ar-SA"/>
        </w:rPr>
        <w:t>参考文献</w:t>
      </w:r>
      <w:bookmarkEnd w:id="38"/>
    </w:p>
    <w:p w14:paraId="53FA1D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[1]  GB/T 1.1—2020 标准化工作导则 第1部分：标准化文件的结构和起草规则</w:t>
      </w:r>
    </w:p>
    <w:p w14:paraId="5B8C9F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[2]  GB/T 2918—2018 塑料 试验状态调节和试验的标准环境</w:t>
      </w:r>
    </w:p>
    <w:p w14:paraId="0C3B896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[3]  GB/T 1040.1—2006 塑料 拉伸性能的测定 第1部分：总则</w:t>
      </w:r>
    </w:p>
    <w:p w14:paraId="56D43D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宋体"/>
          <w:color w:val="auto"/>
          <w:kern w:val="0"/>
          <w:sz w:val="21"/>
          <w:szCs w:val="20"/>
          <w:lang w:val="en-US" w:eastAsia="zh-CN" w:bidi="ar-SA"/>
        </w:rPr>
      </w:pPr>
      <w:r>
        <w:rPr>
          <w:rFonts w:hint="eastAsia" w:ascii="Times New Roman" w:hAnsi="Times New Roman" w:eastAsia="宋体" w:cs="宋体"/>
          <w:color w:val="auto"/>
          <w:kern w:val="0"/>
          <w:sz w:val="21"/>
          <w:szCs w:val="20"/>
          <w:lang w:val="en-US" w:eastAsia="zh-CN" w:bidi="ar-SA"/>
        </w:rPr>
        <w:t>[4]  GB/T 1634.2—2021 塑料 负荷变形温度的测定 第2部分：塑料、硬橡胶和长纤维增强复合材料</w:t>
      </w:r>
    </w:p>
    <w:p w14:paraId="700EFB20">
      <w:pPr>
        <w:spacing w:before="120" w:after="120" w:line="288" w:lineRule="auto"/>
        <w:ind w:left="0"/>
        <w:jc w:val="left"/>
      </w:pPr>
    </w:p>
    <w:p w14:paraId="0D6A74CA">
      <w:pPr>
        <w:ind w:firstLine="420" w:firstLineChars="200"/>
        <w:rPr>
          <w:rFonts w:hint="eastAsia" w:ascii="Times New Roman" w:hAnsi="Times New Roman" w:eastAsia="宋体" w:cs="宋体"/>
          <w:color w:val="auto"/>
          <w:kern w:val="0"/>
          <w:sz w:val="21"/>
          <w:szCs w:val="20"/>
          <w:lang w:val="en-US" w:eastAsia="zh-CN" w:bidi="ar-SA"/>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277C3">
    <w:pPr>
      <w:spacing w:before="1" w:line="177" w:lineRule="auto"/>
      <w:ind w:left="293"/>
      <w:rPr>
        <w:rFonts w:ascii="宋体" w:hAnsi="宋体" w:eastAsia="宋体" w:cs="宋体"/>
        <w:sz w:val="26"/>
        <w:szCs w:val="26"/>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E7601"/>
    <w:multiLevelType w:val="singleLevel"/>
    <w:tmpl w:val="D0AE7601"/>
    <w:lvl w:ilvl="0" w:tentative="0">
      <w:start w:val="1"/>
      <w:numFmt w:val="lowerLetter"/>
      <w:suff w:val="space"/>
      <w:lvlText w:val="%1)"/>
      <w:lvlJc w:val="left"/>
    </w:lvl>
  </w:abstractNum>
  <w:abstractNum w:abstractNumId="1">
    <w:nsid w:val="00000006"/>
    <w:multiLevelType w:val="multilevel"/>
    <w:tmpl w:val="00000006"/>
    <w:lvl w:ilvl="0" w:tentative="0">
      <w:start w:val="1"/>
      <w:numFmt w:val="none"/>
      <w:pStyle w:val="19"/>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A31856"/>
    <w:rsid w:val="020A772E"/>
    <w:rsid w:val="031366FE"/>
    <w:rsid w:val="0A53202C"/>
    <w:rsid w:val="0AEE2716"/>
    <w:rsid w:val="0B751DBE"/>
    <w:rsid w:val="102A4EBE"/>
    <w:rsid w:val="11A70450"/>
    <w:rsid w:val="171119BC"/>
    <w:rsid w:val="1DF61EC7"/>
    <w:rsid w:val="1F897D73"/>
    <w:rsid w:val="229F7F47"/>
    <w:rsid w:val="22AC36EE"/>
    <w:rsid w:val="2648306C"/>
    <w:rsid w:val="26884108"/>
    <w:rsid w:val="26E93AC9"/>
    <w:rsid w:val="2B285689"/>
    <w:rsid w:val="2ED26038"/>
    <w:rsid w:val="2FE07B7F"/>
    <w:rsid w:val="363870C8"/>
    <w:rsid w:val="38502BCE"/>
    <w:rsid w:val="39A31856"/>
    <w:rsid w:val="3A1B49E6"/>
    <w:rsid w:val="3BE20963"/>
    <w:rsid w:val="3EA13331"/>
    <w:rsid w:val="47EE0514"/>
    <w:rsid w:val="4C854292"/>
    <w:rsid w:val="4DD24690"/>
    <w:rsid w:val="4FDA0983"/>
    <w:rsid w:val="51B20534"/>
    <w:rsid w:val="51D31628"/>
    <w:rsid w:val="520B1F90"/>
    <w:rsid w:val="558D7CCA"/>
    <w:rsid w:val="588F2833"/>
    <w:rsid w:val="5BA94A38"/>
    <w:rsid w:val="5BDA4AAD"/>
    <w:rsid w:val="5D211449"/>
    <w:rsid w:val="5DAD014C"/>
    <w:rsid w:val="5E8C7702"/>
    <w:rsid w:val="60CD7F37"/>
    <w:rsid w:val="62CC6B93"/>
    <w:rsid w:val="6EAE5472"/>
    <w:rsid w:val="700554C7"/>
    <w:rsid w:val="75063912"/>
    <w:rsid w:val="7B946639"/>
    <w:rsid w:val="7E390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正文标准"/>
    <w:basedOn w:val="1"/>
    <w:qFormat/>
    <w:uiPriority w:val="0"/>
    <w:pPr>
      <w:spacing w:line="360" w:lineRule="exact"/>
      <w:ind w:left="0" w:leftChars="0" w:firstLine="200" w:firstLineChars="200"/>
    </w:pPr>
    <w:rPr>
      <w:rFonts w:cs="宋体"/>
      <w:szCs w:val="20"/>
    </w:rPr>
  </w:style>
  <w:style w:type="paragraph" w:customStyle="1" w:styleId="9">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0">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4">
    <w:name w:val="实施日期"/>
    <w:basedOn w:val="13"/>
    <w:qFormat/>
    <w:uiPriority w:val="0"/>
    <w:pPr>
      <w:framePr w:vAnchor="page" w:hAnchor="page"/>
      <w:jc w:val="right"/>
    </w:pPr>
  </w:style>
  <w:style w:type="paragraph" w:customStyle="1" w:styleId="15">
    <w:name w:val="其他发布部门"/>
    <w:basedOn w:val="16"/>
    <w:qFormat/>
    <w:uiPriority w:val="0"/>
    <w:pPr>
      <w:framePr w:y="15310"/>
      <w:spacing w:line="0" w:lineRule="atLeast"/>
    </w:pPr>
    <w:rPr>
      <w:rFonts w:ascii="黑体" w:eastAsia="黑体"/>
      <w:b w:val="0"/>
    </w:rPr>
  </w:style>
  <w:style w:type="paragraph" w:customStyle="1" w:styleId="16">
    <w:name w:val="发布部门"/>
    <w:next w:val="17"/>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7">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
    <w:name w:val="发布"/>
    <w:qFormat/>
    <w:uiPriority w:val="0"/>
    <w:rPr>
      <w:rFonts w:ascii="黑体" w:eastAsia="黑体"/>
      <w:spacing w:val="85"/>
      <w:w w:val="100"/>
      <w:position w:val="3"/>
      <w:sz w:val="28"/>
      <w:szCs w:val="28"/>
    </w:rPr>
  </w:style>
  <w:style w:type="paragraph" w:customStyle="1" w:styleId="19">
    <w:name w:val="前言、引言标题"/>
    <w:next w:val="17"/>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
    <w:name w:val="封面一致性程度标识"/>
    <w:autoRedefine/>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22">
    <w:name w:val="封面标准代替信息"/>
    <w:basedOn w:val="23"/>
    <w:qFormat/>
    <w:uiPriority w:val="0"/>
    <w:pPr>
      <w:spacing w:before="57"/>
    </w:pPr>
    <w:rPr>
      <w:rFonts w:ascii="宋体"/>
      <w:sz w:val="21"/>
    </w:rPr>
  </w:style>
  <w:style w:type="paragraph" w:customStyle="1" w:styleId="23">
    <w:name w:val="封面标准号2"/>
    <w:basedOn w:val="12"/>
    <w:qFormat/>
    <w:uiPriority w:val="0"/>
    <w:pPr>
      <w:framePr w:w="9138" w:h="1244" w:hRule="exact" w:wrap="auto" w:vAnchor="page" w:hAnchor="margin" w:y="2908" w:anchorLock="1"/>
      <w:adjustRightInd w:val="0"/>
      <w:spacing w:before="357" w:line="280" w:lineRule="exact"/>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4196</Words>
  <Characters>4958</Characters>
  <Lines>0</Lines>
  <Paragraphs>0</Paragraphs>
  <TotalTime>0</TotalTime>
  <ScaleCrop>false</ScaleCrop>
  <LinksUpToDate>false</LinksUpToDate>
  <CharactersWithSpaces>5272</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2026-06-01T23:29:00Z</dcterms:created>
  <dc:creator>风过无痕8283</dc:creator>
  <cp:lastModifiedBy>樊赣湘</cp:lastModifiedBy>
  <dcterms:modified xsi:type="dcterms:W3CDTF">2026-08-04T07:28:33Z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597B58504BBA492BAB737E51239B2999_11</vt:lpwstr>
  </property>
  <property fmtid="{D5CDD505-2E9C-101B-9397-08002B2CF9AE}" pid="4" name="KSOTemplateDocerSaveRecord">
    <vt:lpwstr>eyJoZGlkIjoiMjJhNDg4MTAyZGQxZmY5OGVlZWQ5M2Y2NDY4MDBlMWMiLCJ1c2VySWQiOiIxNDkzNzg0NzAzIn0=</vt:lpwstr>
  </property>
</Properties>
</file>