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22C8E">
      <w:pPr>
        <w:jc w:val="center"/>
        <w:rPr>
          <w:rFonts w:hint="eastAsia" w:eastAsia="黑体"/>
          <w:color w:val="auto"/>
          <w:sz w:val="44"/>
          <w:szCs w:val="44"/>
          <w:lang w:val="en-US" w:eastAsia="zh-CN"/>
        </w:rPr>
      </w:pPr>
    </w:p>
    <w:p w14:paraId="3C81A4E8">
      <w:pPr>
        <w:jc w:val="center"/>
        <w:rPr>
          <w:rFonts w:hint="eastAsia" w:eastAsia="黑体"/>
          <w:color w:val="auto"/>
          <w:sz w:val="44"/>
          <w:szCs w:val="44"/>
          <w:lang w:val="en-US" w:eastAsia="zh-CN"/>
        </w:rPr>
      </w:pPr>
    </w:p>
    <w:p w14:paraId="63738C24">
      <w:pPr>
        <w:jc w:val="center"/>
        <w:rPr>
          <w:rFonts w:hint="eastAsia" w:eastAsia="黑体"/>
          <w:color w:val="auto"/>
          <w:sz w:val="44"/>
          <w:szCs w:val="44"/>
          <w:lang w:val="en-US" w:eastAsia="zh-CN"/>
        </w:rPr>
      </w:pPr>
    </w:p>
    <w:p w14:paraId="336DAB15">
      <w:pPr>
        <w:jc w:val="center"/>
        <w:rPr>
          <w:rFonts w:hint="eastAsia" w:eastAsia="黑体"/>
          <w:color w:val="auto"/>
          <w:sz w:val="44"/>
          <w:szCs w:val="44"/>
          <w:lang w:val="en-US" w:eastAsia="zh-CN"/>
        </w:rPr>
      </w:pPr>
    </w:p>
    <w:p w14:paraId="7A0766BC">
      <w:pPr>
        <w:pStyle w:val="2"/>
        <w:rPr>
          <w:rFonts w:hint="eastAsia" w:eastAsia="黑体"/>
          <w:color w:val="auto"/>
          <w:sz w:val="44"/>
          <w:szCs w:val="44"/>
          <w:lang w:val="en-US" w:eastAsia="zh-CN"/>
        </w:rPr>
      </w:pPr>
    </w:p>
    <w:p w14:paraId="3ED535CF">
      <w:pPr>
        <w:pStyle w:val="2"/>
        <w:rPr>
          <w:rFonts w:hint="eastAsia" w:eastAsia="黑体"/>
          <w:color w:val="auto"/>
          <w:sz w:val="44"/>
          <w:szCs w:val="44"/>
          <w:lang w:val="en-US" w:eastAsia="zh-CN"/>
        </w:rPr>
      </w:pPr>
    </w:p>
    <w:p w14:paraId="1A0E883A">
      <w:pPr>
        <w:jc w:val="center"/>
        <w:rPr>
          <w:rFonts w:hint="eastAsia" w:eastAsia="黑体"/>
          <w:color w:val="auto"/>
          <w:sz w:val="44"/>
          <w:szCs w:val="44"/>
          <w:lang w:val="en-US" w:eastAsia="zh-CN"/>
        </w:rPr>
      </w:pPr>
    </w:p>
    <w:p w14:paraId="6A8D9D62">
      <w:pPr>
        <w:jc w:val="center"/>
        <w:rPr>
          <w:rFonts w:hint="eastAsia" w:eastAsia="黑体"/>
          <w:color w:val="auto"/>
          <w:sz w:val="44"/>
          <w:szCs w:val="44"/>
          <w:lang w:val="en-US" w:eastAsia="zh-CN"/>
        </w:rPr>
      </w:pPr>
    </w:p>
    <w:p w14:paraId="00AE9882">
      <w:pPr>
        <w:jc w:val="center"/>
        <w:rPr>
          <w:rFonts w:hint="eastAsia" w:eastAsia="黑体"/>
          <w:color w:val="auto"/>
          <w:sz w:val="44"/>
          <w:szCs w:val="44"/>
          <w:lang w:val="en-US" w:eastAsia="zh-CN"/>
        </w:rPr>
      </w:pPr>
      <w:r>
        <w:rPr>
          <w:rFonts w:hint="eastAsia" w:eastAsia="黑体"/>
          <w:color w:val="auto"/>
          <w:sz w:val="44"/>
          <w:szCs w:val="44"/>
          <w:lang w:val="en-US" w:eastAsia="zh-CN"/>
        </w:rPr>
        <w:t>行业标准《电解用阴极板绝缘密封夹边条》编制说明</w:t>
      </w:r>
    </w:p>
    <w:p w14:paraId="2B0E82A0">
      <w:pPr>
        <w:pStyle w:val="2"/>
        <w:rPr>
          <w:rFonts w:hint="eastAsia"/>
          <w:lang w:val="en-US" w:eastAsia="zh-CN"/>
        </w:rPr>
      </w:pPr>
    </w:p>
    <w:p w14:paraId="6FD979E8">
      <w:pPr>
        <w:jc w:val="center"/>
        <w:rPr>
          <w:rFonts w:hint="eastAsia" w:eastAsia="黑体"/>
          <w:color w:val="auto"/>
          <w:sz w:val="32"/>
          <w:szCs w:val="32"/>
          <w:lang w:val="en-US" w:eastAsia="zh-CN"/>
        </w:rPr>
      </w:pPr>
      <w:r>
        <w:rPr>
          <w:rFonts w:hint="eastAsia" w:eastAsia="黑体"/>
          <w:color w:val="auto"/>
          <w:sz w:val="32"/>
          <w:szCs w:val="32"/>
          <w:lang w:val="en-US" w:eastAsia="zh-CN"/>
        </w:rPr>
        <w:t>（送审稿）</w:t>
      </w:r>
    </w:p>
    <w:p w14:paraId="083AF3D4">
      <w:pPr>
        <w:jc w:val="center"/>
        <w:rPr>
          <w:rFonts w:hint="eastAsia" w:eastAsia="黑体"/>
          <w:color w:val="auto"/>
          <w:sz w:val="28"/>
          <w:szCs w:val="28"/>
          <w:lang w:val="en-US" w:eastAsia="zh-CN"/>
        </w:rPr>
      </w:pPr>
    </w:p>
    <w:p w14:paraId="67D435A6">
      <w:pPr>
        <w:jc w:val="center"/>
        <w:rPr>
          <w:rFonts w:hint="eastAsia" w:eastAsia="黑体"/>
          <w:color w:val="auto"/>
          <w:sz w:val="28"/>
          <w:szCs w:val="28"/>
          <w:lang w:val="en-US" w:eastAsia="zh-CN"/>
        </w:rPr>
      </w:pPr>
    </w:p>
    <w:p w14:paraId="4D5E62B0">
      <w:pPr>
        <w:jc w:val="center"/>
        <w:rPr>
          <w:rFonts w:hint="eastAsia" w:eastAsia="黑体"/>
          <w:color w:val="auto"/>
          <w:sz w:val="28"/>
          <w:szCs w:val="28"/>
          <w:lang w:val="en-US" w:eastAsia="zh-CN"/>
        </w:rPr>
      </w:pPr>
    </w:p>
    <w:p w14:paraId="22F78A63">
      <w:pPr>
        <w:pStyle w:val="2"/>
        <w:rPr>
          <w:rFonts w:hint="eastAsia" w:eastAsia="黑体"/>
          <w:color w:val="auto"/>
          <w:sz w:val="28"/>
          <w:szCs w:val="28"/>
          <w:lang w:val="en-US" w:eastAsia="zh-CN"/>
        </w:rPr>
      </w:pPr>
    </w:p>
    <w:p w14:paraId="5CC3DC54">
      <w:pPr>
        <w:pStyle w:val="2"/>
        <w:rPr>
          <w:rFonts w:hint="eastAsia" w:eastAsia="黑体"/>
          <w:color w:val="auto"/>
          <w:sz w:val="28"/>
          <w:szCs w:val="28"/>
          <w:lang w:val="en-US" w:eastAsia="zh-CN"/>
        </w:rPr>
      </w:pPr>
    </w:p>
    <w:p w14:paraId="1743928D">
      <w:pPr>
        <w:pStyle w:val="2"/>
        <w:rPr>
          <w:rFonts w:hint="eastAsia" w:eastAsia="黑体"/>
          <w:color w:val="auto"/>
          <w:sz w:val="28"/>
          <w:szCs w:val="28"/>
          <w:lang w:val="en-US" w:eastAsia="zh-CN"/>
        </w:rPr>
      </w:pPr>
    </w:p>
    <w:p w14:paraId="7689703A">
      <w:pPr>
        <w:pStyle w:val="2"/>
        <w:rPr>
          <w:rFonts w:hint="default" w:eastAsia="黑体"/>
          <w:color w:val="auto"/>
          <w:sz w:val="28"/>
          <w:szCs w:val="28"/>
          <w:lang w:val="en-US" w:eastAsia="zh-CN"/>
        </w:rPr>
      </w:pPr>
    </w:p>
    <w:p w14:paraId="15B73921">
      <w:pPr>
        <w:jc w:val="center"/>
        <w:rPr>
          <w:rFonts w:hint="eastAsia" w:eastAsia="黑体"/>
          <w:color w:val="auto"/>
          <w:sz w:val="28"/>
          <w:szCs w:val="28"/>
          <w:lang w:val="en-US" w:eastAsia="zh-CN"/>
        </w:rPr>
      </w:pPr>
    </w:p>
    <w:p w14:paraId="4AE6AF22">
      <w:pPr>
        <w:jc w:val="center"/>
        <w:rPr>
          <w:rFonts w:hint="eastAsia" w:eastAsia="黑体"/>
          <w:color w:val="auto"/>
          <w:sz w:val="28"/>
          <w:szCs w:val="28"/>
          <w:lang w:val="en-US" w:eastAsia="zh-CN"/>
        </w:rPr>
      </w:pPr>
    </w:p>
    <w:p w14:paraId="65CCCD6A">
      <w:pPr>
        <w:jc w:val="center"/>
        <w:rPr>
          <w:rFonts w:hint="eastAsia" w:eastAsia="黑体"/>
          <w:color w:val="auto"/>
          <w:sz w:val="28"/>
          <w:szCs w:val="28"/>
          <w:lang w:val="en-US" w:eastAsia="zh-CN"/>
        </w:rPr>
      </w:pPr>
    </w:p>
    <w:p w14:paraId="00909E4C">
      <w:pPr>
        <w:jc w:val="center"/>
        <w:rPr>
          <w:rFonts w:hint="eastAsia" w:eastAsia="黑体"/>
          <w:color w:val="auto"/>
          <w:sz w:val="28"/>
          <w:szCs w:val="28"/>
          <w:lang w:val="en-US" w:eastAsia="zh-CN"/>
        </w:rPr>
      </w:pPr>
    </w:p>
    <w:p w14:paraId="2F92452C">
      <w:pPr>
        <w:spacing w:before="380" w:after="140" w:line="288" w:lineRule="auto"/>
        <w:ind w:left="0"/>
        <w:jc w:val="center"/>
        <w:outlineLvl w:val="0"/>
        <w:rPr>
          <w:rFonts w:hint="eastAsia" w:eastAsia="黑体"/>
          <w:color w:val="auto"/>
          <w:sz w:val="28"/>
          <w:szCs w:val="28"/>
          <w:lang w:val="en-US" w:eastAsia="zh-CN"/>
        </w:rPr>
      </w:pPr>
      <w:r>
        <w:rPr>
          <w:rFonts w:hint="eastAsia" w:eastAsia="黑体"/>
          <w:color w:val="auto"/>
          <w:sz w:val="28"/>
          <w:szCs w:val="28"/>
          <w:lang w:val="en-US" w:eastAsia="zh-CN"/>
        </w:rPr>
        <w:t>江西铜业股份有限公司</w:t>
      </w:r>
    </w:p>
    <w:p w14:paraId="5EA17907">
      <w:pPr>
        <w:spacing w:before="380" w:after="140" w:line="288" w:lineRule="auto"/>
        <w:ind w:left="0"/>
        <w:jc w:val="center"/>
        <w:outlineLvl w:val="0"/>
        <w:rPr>
          <w:rFonts w:hint="default" w:ascii="Arial" w:hAnsi="Arial" w:eastAsia="等线" w:cs="Arial"/>
          <w:b/>
          <w:sz w:val="36"/>
          <w:lang w:val="en-US"/>
        </w:rPr>
      </w:pPr>
      <w:r>
        <w:rPr>
          <w:rFonts w:hint="eastAsia" w:eastAsia="黑体"/>
          <w:color w:val="auto"/>
          <w:sz w:val="28"/>
          <w:szCs w:val="28"/>
          <w:lang w:val="en-US" w:eastAsia="zh-CN"/>
        </w:rPr>
        <w:t>2026年8月</w:t>
      </w:r>
    </w:p>
    <w:p w14:paraId="0094A8E2">
      <w:pPr>
        <w:spacing w:before="380" w:after="140" w:line="288" w:lineRule="auto"/>
        <w:ind w:left="0"/>
        <w:jc w:val="left"/>
        <w:outlineLvl w:val="0"/>
        <w:rPr>
          <w:rFonts w:ascii="Arial" w:hAnsi="Arial" w:eastAsia="等线" w:cs="Arial"/>
          <w:b/>
          <w:sz w:val="36"/>
        </w:rPr>
      </w:pPr>
    </w:p>
    <w:p w14:paraId="6C5B38D5">
      <w:pPr>
        <w:jc w:val="center"/>
        <w:rPr>
          <w:rFonts w:ascii="Arial" w:hAnsi="Arial" w:eastAsia="等线" w:cs="Arial"/>
          <w:b/>
          <w:sz w:val="36"/>
        </w:rPr>
      </w:pPr>
      <w:r>
        <w:rPr>
          <w:rFonts w:ascii="Arial" w:hAnsi="Arial" w:eastAsia="等线" w:cs="Arial"/>
          <w:b/>
          <w:sz w:val="36"/>
        </w:rPr>
        <w:br w:type="textWrapping"/>
      </w:r>
      <w:r>
        <w:rPr>
          <w:rFonts w:hint="eastAsia" w:eastAsia="黑体" w:asciiTheme="minorHAnsi" w:hAnsiTheme="minorHAnsi" w:cstheme="minorBidi"/>
          <w:color w:val="auto"/>
          <w:sz w:val="44"/>
          <w:szCs w:val="44"/>
          <w:lang w:val="en-US" w:eastAsia="zh-CN"/>
        </w:rPr>
        <w:t>行业</w:t>
      </w:r>
      <w:r>
        <w:rPr>
          <w:rFonts w:hint="eastAsia" w:eastAsia="黑体"/>
          <w:color w:val="auto"/>
          <w:sz w:val="44"/>
          <w:szCs w:val="44"/>
          <w:lang w:val="en-US" w:eastAsia="zh-CN"/>
        </w:rPr>
        <w:t>标准《电解用阴极板绝缘密封夹边条》编制说明（送审稿）</w:t>
      </w:r>
    </w:p>
    <w:p w14:paraId="389A0C88">
      <w:pPr>
        <w:spacing w:before="320" w:after="120" w:line="288" w:lineRule="auto"/>
        <w:ind w:left="0"/>
        <w:jc w:val="left"/>
        <w:outlineLvl w:val="1"/>
        <w:rPr>
          <w:rFonts w:hint="default" w:ascii="黑体" w:hAnsi="宋体" w:eastAsia="黑体" w:cs="Arial"/>
          <w:color w:val="auto"/>
          <w:kern w:val="0"/>
          <w:sz w:val="21"/>
          <w:szCs w:val="21"/>
          <w:lang w:val="en-US" w:eastAsia="zh-CN" w:bidi="ar-SA"/>
        </w:rPr>
      </w:pPr>
      <w:bookmarkStart w:id="0" w:name="heading_2"/>
      <w:r>
        <w:rPr>
          <w:rFonts w:hint="eastAsia" w:ascii="黑体" w:hAnsi="宋体" w:eastAsia="黑体" w:cs="Arial"/>
          <w:color w:val="auto"/>
          <w:kern w:val="0"/>
          <w:sz w:val="21"/>
          <w:szCs w:val="21"/>
          <w:lang w:val="en-US" w:eastAsia="zh-CN" w:bidi="ar-SA"/>
        </w:rPr>
        <w:t>一、工作简况</w:t>
      </w:r>
      <w:bookmarkEnd w:id="0"/>
      <w:r>
        <w:rPr>
          <w:rFonts w:hint="eastAsia" w:ascii="黑体" w:hAnsi="宋体" w:eastAsia="黑体" w:cs="Arial"/>
          <w:color w:val="auto"/>
          <w:kern w:val="0"/>
          <w:sz w:val="21"/>
          <w:szCs w:val="21"/>
          <w:lang w:val="en-US" w:eastAsia="zh-CN" w:bidi="ar-SA"/>
        </w:rPr>
        <w:t xml:space="preserve"> </w:t>
      </w:r>
    </w:p>
    <w:p w14:paraId="24F6DBCC">
      <w:pPr>
        <w:pStyle w:val="5"/>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color w:val="auto"/>
          <w:sz w:val="21"/>
          <w:szCs w:val="21"/>
          <w:lang w:val="en-US" w:eastAsia="zh-CN" w:bidi="ar-SA"/>
        </w:rPr>
      </w:pPr>
      <w:bookmarkStart w:id="1" w:name="heading_3"/>
      <w:r>
        <w:rPr>
          <w:rFonts w:hint="eastAsia" w:ascii="黑体" w:eastAsia="黑体" w:cs="Arial"/>
          <w:color w:val="auto"/>
          <w:sz w:val="21"/>
          <w:szCs w:val="21"/>
          <w:lang w:val="en-US" w:eastAsia="zh-CN" w:bidi="ar-SA"/>
        </w:rPr>
        <w:t>1.1 任务来源</w:t>
      </w:r>
      <w:bookmarkEnd w:id="1"/>
    </w:p>
    <w:p w14:paraId="19A3F5FB">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项目依据《2025年第五批有色金属行业标准项目计划表》，由全国有色金属标准化技术委员会于2025年12月29日下达修订任务，计划号为2025-1343T-YS，完成期限为2026年12月，技术归口单位为全国有色金属标准化技术委员会（SAC/TC 243）。项目名称为《电解用阴极板绝缘密封夹边条》，无项目名称更改情况，主要起草单位为江西铜业股份有限公司、三门三友科技股份有限公司</w:t>
      </w:r>
      <w:r>
        <w:rPr>
          <w:rFonts w:hint="eastAsia" w:ascii="宋体" w:hAnsi="宋体" w:cstheme="minorBidi"/>
          <w:color w:val="auto"/>
          <w:kern w:val="2"/>
          <w:sz w:val="21"/>
          <w:szCs w:val="21"/>
          <w:lang w:val="en-US" w:eastAsia="zh-CN" w:bidi="ar-SA"/>
        </w:rPr>
        <w:t>、白银有色集团股份有限公司</w:t>
      </w:r>
      <w:r>
        <w:rPr>
          <w:rFonts w:hint="eastAsia" w:ascii="宋体" w:hAnsi="宋体" w:eastAsiaTheme="minorEastAsia" w:cstheme="minorBidi"/>
          <w:color w:val="auto"/>
          <w:kern w:val="2"/>
          <w:sz w:val="21"/>
          <w:szCs w:val="21"/>
          <w:lang w:val="en-US" w:eastAsia="zh-CN" w:bidi="ar-SA"/>
        </w:rPr>
        <w:t>、云南铜业股份有限公司西南铜业分公司</w:t>
      </w:r>
      <w:r>
        <w:rPr>
          <w:rFonts w:hint="eastAsia" w:ascii="宋体" w:hAnsi="宋体" w:cstheme="minorBidi"/>
          <w:color w:val="auto"/>
          <w:kern w:val="2"/>
          <w:sz w:val="21"/>
          <w:szCs w:val="21"/>
          <w:lang w:val="en-US" w:eastAsia="zh-CN" w:bidi="ar-SA"/>
        </w:rPr>
        <w:t>、</w:t>
      </w:r>
      <w:r>
        <w:rPr>
          <w:rFonts w:hint="eastAsia" w:ascii="宋体" w:hAnsi="宋体" w:eastAsiaTheme="minorEastAsia" w:cstheme="minorBidi"/>
          <w:color w:val="auto"/>
          <w:kern w:val="2"/>
          <w:sz w:val="21"/>
          <w:szCs w:val="21"/>
          <w:lang w:val="en-US" w:eastAsia="zh-CN" w:bidi="ar-SA"/>
        </w:rPr>
        <w:t>紫金铜业有限公司、鹰潭市中久科技有限公司。</w:t>
      </w:r>
    </w:p>
    <w:p w14:paraId="5B50C01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原标准YS/T 1193-2017《电解用绝缘密封夹边条》已无法适配行业发展需求，为适应新技术、新工艺、新材料发展，提升产品标准化水平和市场竞争力，亟需开展本次修订工作。</w:t>
      </w:r>
    </w:p>
    <w:p w14:paraId="36D32FBB">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 w:name="heading_4"/>
      <w:r>
        <w:rPr>
          <w:rFonts w:hint="eastAsia" w:ascii="黑体" w:hAnsi="宋体" w:eastAsia="黑体" w:cs="Arial"/>
          <w:color w:val="auto"/>
          <w:kern w:val="0"/>
          <w:sz w:val="21"/>
          <w:szCs w:val="21"/>
          <w:lang w:val="en-US" w:eastAsia="zh-CN" w:bidi="ar-SA"/>
        </w:rPr>
        <w:t>1.2 立项目的和意义</w:t>
      </w:r>
      <w:bookmarkEnd w:id="2"/>
    </w:p>
    <w:p w14:paraId="3FBF05F8">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电解用阴极板绝缘密封夹边条是有色金属湿法精炼过程中的关键配套部件，其性能直接影响阴极板绝缘效果、电解效率和产品质量。原标准自发布后虽在规范产品生产使用方面发挥了重要作用，但随着湿法精炼工艺进步和装备水平提升，在原料要求、尺寸范围、性能指标、检验方法等方面已难以满足行业发展需要。</w:t>
      </w:r>
    </w:p>
    <w:p w14:paraId="73E6BE90">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次标准修订旨在结合行业实际生产需求，优化完善原标准技术内容，统一行业产品质量要求和检测规范，推动产品向高精度、高性能、专用化升级；同时明确专用原料要求，淘汰低性能原料，提升产品耐腐蚀性、绝缘性和使用寿命，进而提高有色金属湿法精炼电解效率和产品质量，规范市场秩序，提升行业整体标准化水平和市场竞争力，为我国有色金属工业绿色、高效发展提供技术支撑。</w:t>
      </w:r>
    </w:p>
    <w:p w14:paraId="2AE68B64">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3" w:name="heading_5"/>
      <w:r>
        <w:rPr>
          <w:rFonts w:hint="eastAsia" w:ascii="黑体" w:hAnsi="宋体" w:eastAsia="黑体" w:cs="Arial"/>
          <w:color w:val="auto"/>
          <w:kern w:val="0"/>
          <w:sz w:val="21"/>
          <w:szCs w:val="21"/>
          <w:lang w:val="en-US" w:eastAsia="zh-CN" w:bidi="ar-SA"/>
        </w:rPr>
        <w:t>1.3 主要参加单位和工作成员所作的工作</w:t>
      </w:r>
      <w:bookmarkEnd w:id="3"/>
    </w:p>
    <w:p w14:paraId="3D7AB96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次标准修订的主要起草单位均为电解用绝缘密封夹边条的生产、应用骨干企业，在电解用阴极板绝缘密封夹边条的研发、生产、使用方面拥有丰富的技术积累和实践经验，能够充分结合行业实际需求完成标准修订工作。</w:t>
      </w:r>
    </w:p>
    <w:p w14:paraId="53E19D8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主要起草人及其负责的工作如下表所示：</w:t>
      </w:r>
      <w:r>
        <w:rPr>
          <w:rFonts w:hint="eastAsia" w:ascii="宋体" w:hAnsi="宋体" w:cstheme="minorBidi"/>
          <w:color w:val="auto"/>
          <w:kern w:val="2"/>
          <w:sz w:val="21"/>
          <w:szCs w:val="21"/>
          <w:lang w:val="en-US" w:eastAsia="zh-CN" w:bidi="ar-SA"/>
        </w:rPr>
        <w:t>（其它人员待定）</w:t>
      </w:r>
    </w:p>
    <w:p w14:paraId="64A9CD04">
      <w:pPr>
        <w:pStyle w:val="2"/>
        <w:rPr>
          <w:rFonts w:hint="default"/>
          <w:lang w:val="en-US" w:eastAsia="zh-CN"/>
        </w:rPr>
      </w:pPr>
    </w:p>
    <w:tbl>
      <w:tblPr>
        <w:tblStyle w:val="6"/>
        <w:tblW w:w="4998" w:type="pct"/>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1955"/>
        <w:gridCol w:w="1919"/>
        <w:gridCol w:w="4668"/>
      </w:tblGrid>
      <w:tr w14:paraId="27051D8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tcMar>
              <w:top w:w="60" w:type="dxa"/>
              <w:left w:w="120" w:type="dxa"/>
              <w:bottom w:w="30" w:type="dxa"/>
              <w:right w:w="120" w:type="dxa"/>
            </w:tcMar>
            <w:vAlign w:val="center"/>
          </w:tcPr>
          <w:p w14:paraId="14CFC7A6">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起草</w:t>
            </w:r>
            <w:r>
              <w:rPr>
                <w:rFonts w:hint="eastAsia" w:ascii="宋体" w:hAnsi="宋体" w:cstheme="minorBidi"/>
                <w:color w:val="auto"/>
                <w:kern w:val="2"/>
                <w:sz w:val="21"/>
                <w:szCs w:val="21"/>
                <w:lang w:val="en-US" w:eastAsia="zh-CN" w:bidi="ar-SA"/>
              </w:rPr>
              <w:t>单位</w:t>
            </w:r>
          </w:p>
        </w:tc>
        <w:tc>
          <w:tcPr>
            <w:tcW w:w="1123" w:type="pct"/>
            <w:tcMar>
              <w:top w:w="60" w:type="dxa"/>
              <w:left w:w="120" w:type="dxa"/>
              <w:bottom w:w="30" w:type="dxa"/>
              <w:right w:w="120" w:type="dxa"/>
            </w:tcMar>
            <w:vAlign w:val="center"/>
          </w:tcPr>
          <w:p w14:paraId="16AB3C7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起草人</w:t>
            </w:r>
          </w:p>
        </w:tc>
        <w:tc>
          <w:tcPr>
            <w:tcW w:w="2732" w:type="pct"/>
            <w:tcMar>
              <w:top w:w="60" w:type="dxa"/>
              <w:left w:w="120" w:type="dxa"/>
              <w:bottom w:w="30" w:type="dxa"/>
              <w:right w:w="120" w:type="dxa"/>
            </w:tcMar>
            <w:vAlign w:val="center"/>
          </w:tcPr>
          <w:p w14:paraId="4850383B">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工作职责</w:t>
            </w:r>
          </w:p>
        </w:tc>
      </w:tr>
      <w:tr w14:paraId="4590D99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restart"/>
            <w:tcMar>
              <w:top w:w="60" w:type="dxa"/>
              <w:left w:w="120" w:type="dxa"/>
              <w:bottom w:w="30" w:type="dxa"/>
              <w:right w:w="120" w:type="dxa"/>
            </w:tcMar>
            <w:vAlign w:val="center"/>
          </w:tcPr>
          <w:p w14:paraId="76786511">
            <w:pPr>
              <w:pStyle w:val="5"/>
              <w:keepNext w:val="0"/>
              <w:keepLines w:val="0"/>
              <w:pageBreakBefore w:val="0"/>
              <w:widowControl/>
              <w:suppressLineNumbers w:val="0"/>
              <w:kinsoku/>
              <w:wordWrap/>
              <w:overflowPunct/>
              <w:topLinePunct w:val="0"/>
              <w:bidi w:val="0"/>
              <w:adjustRightInd/>
              <w:snapToGrid/>
              <w:spacing w:before="0" w:beforeAutospacing="0" w:after="0" w:afterAutospacing="1" w:line="360" w:lineRule="auto"/>
              <w:ind w:right="0" w:rightChars="0"/>
              <w:jc w:val="center"/>
              <w:textAlignment w:val="auto"/>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江西铜业股份有限公司</w:t>
            </w:r>
          </w:p>
        </w:tc>
        <w:tc>
          <w:tcPr>
            <w:tcW w:w="1123" w:type="pct"/>
            <w:shd w:val="clear" w:color="auto" w:fill="auto"/>
            <w:tcMar>
              <w:top w:w="60" w:type="dxa"/>
              <w:left w:w="120" w:type="dxa"/>
              <w:bottom w:w="30" w:type="dxa"/>
              <w:right w:w="120" w:type="dxa"/>
            </w:tcMar>
            <w:vAlign w:val="center"/>
          </w:tcPr>
          <w:p w14:paraId="74FB529E">
            <w:pPr>
              <w:pStyle w:val="5"/>
              <w:keepNext w:val="0"/>
              <w:keepLines w:val="0"/>
              <w:pageBreakBefore w:val="0"/>
              <w:widowControl/>
              <w:suppressLineNumbers w:val="0"/>
              <w:kinsoku/>
              <w:wordWrap/>
              <w:overflowPunct/>
              <w:topLinePunct w:val="0"/>
              <w:bidi w:val="0"/>
              <w:adjustRightInd/>
              <w:snapToGrid/>
              <w:spacing w:before="0" w:beforeAutospacing="0" w:after="0" w:afterAutospacing="1" w:line="360" w:lineRule="auto"/>
              <w:ind w:right="0" w:rightChars="0"/>
              <w:jc w:val="center"/>
              <w:textAlignment w:val="auto"/>
              <w:rPr>
                <w:rFonts w:hint="eastAsia" w:ascii="宋体" w:hAnsi="宋体" w:eastAsiaTheme="minorEastAsia" w:cstheme="minorBidi"/>
                <w:color w:val="auto"/>
                <w:kern w:val="2"/>
                <w:sz w:val="21"/>
                <w:szCs w:val="21"/>
                <w:lang w:val="en-US" w:eastAsia="zh-CN" w:bidi="ar-SA"/>
              </w:rPr>
            </w:pPr>
            <w:r>
              <w:rPr>
                <w:rFonts w:hint="eastAsia" w:cs="宋体"/>
                <w:color w:val="auto"/>
                <w:sz w:val="21"/>
                <w:szCs w:val="21"/>
                <w:lang w:val="en-US" w:eastAsia="zh-CN"/>
              </w:rPr>
              <w:t>程彤</w:t>
            </w:r>
          </w:p>
        </w:tc>
        <w:tc>
          <w:tcPr>
            <w:tcW w:w="2732" w:type="pct"/>
            <w:tcMar>
              <w:top w:w="60" w:type="dxa"/>
              <w:left w:w="120" w:type="dxa"/>
              <w:bottom w:w="30" w:type="dxa"/>
              <w:right w:w="120" w:type="dxa"/>
            </w:tcMar>
            <w:vAlign w:val="center"/>
          </w:tcPr>
          <w:p w14:paraId="312E2B75">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宋体" w:hAnsi="宋体" w:eastAsia="宋体" w:cstheme="minorBidi"/>
                <w:color w:val="auto"/>
                <w:kern w:val="2"/>
                <w:sz w:val="21"/>
                <w:szCs w:val="21"/>
                <w:lang w:val="en-US" w:eastAsia="zh-CN" w:bidi="ar-SA"/>
              </w:rPr>
            </w:pPr>
            <w:r>
              <w:rPr>
                <w:rFonts w:hint="eastAsia" w:ascii="宋体" w:hAnsi="宋体" w:eastAsia="宋体" w:cs="宋体"/>
                <w:color w:val="auto"/>
                <w:sz w:val="21"/>
                <w:szCs w:val="21"/>
              </w:rPr>
              <w:t>全面负责标准研制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指导工作</w:t>
            </w:r>
          </w:p>
        </w:tc>
      </w:tr>
      <w:tr w14:paraId="7E81C6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tcMar>
              <w:top w:w="60" w:type="dxa"/>
              <w:left w:w="120" w:type="dxa"/>
              <w:bottom w:w="30" w:type="dxa"/>
              <w:right w:w="120" w:type="dxa"/>
            </w:tcMar>
            <w:vAlign w:val="center"/>
          </w:tcPr>
          <w:p w14:paraId="68C5EA14">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5B40B884">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高欢波</w:t>
            </w:r>
          </w:p>
        </w:tc>
        <w:tc>
          <w:tcPr>
            <w:tcW w:w="2732" w:type="pct"/>
            <w:tcMar>
              <w:top w:w="60" w:type="dxa"/>
              <w:left w:w="120" w:type="dxa"/>
              <w:bottom w:w="30" w:type="dxa"/>
              <w:right w:w="120" w:type="dxa"/>
            </w:tcMar>
            <w:vAlign w:val="center"/>
          </w:tcPr>
          <w:p w14:paraId="03884ACA">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参与标准主要技术指标的确定；承担标准文本主笔工作，全程参与文本的编制、修改与完善</w:t>
            </w:r>
          </w:p>
        </w:tc>
      </w:tr>
      <w:tr w14:paraId="6072B8D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tcMar>
              <w:top w:w="60" w:type="dxa"/>
              <w:left w:w="120" w:type="dxa"/>
              <w:bottom w:w="30" w:type="dxa"/>
              <w:right w:w="120" w:type="dxa"/>
            </w:tcMar>
            <w:vAlign w:val="center"/>
          </w:tcPr>
          <w:p w14:paraId="41F632BF">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bookmarkStart w:id="4" w:name="heading_6"/>
          </w:p>
        </w:tc>
        <w:tc>
          <w:tcPr>
            <w:tcW w:w="1123" w:type="pct"/>
            <w:shd w:val="clear" w:color="auto" w:fill="auto"/>
            <w:tcMar>
              <w:top w:w="60" w:type="dxa"/>
              <w:left w:w="120" w:type="dxa"/>
              <w:bottom w:w="30" w:type="dxa"/>
              <w:right w:w="120" w:type="dxa"/>
            </w:tcMar>
            <w:vAlign w:val="center"/>
          </w:tcPr>
          <w:p w14:paraId="42D1E836">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涂相林</w:t>
            </w:r>
            <w:r>
              <w:rPr>
                <w:rFonts w:hint="eastAsia" w:cs="宋体"/>
                <w:color w:val="auto"/>
                <w:sz w:val="21"/>
                <w:szCs w:val="21"/>
                <w:lang w:val="en-US" w:eastAsia="zh-CN"/>
              </w:rPr>
              <w:t>、毛细华</w:t>
            </w:r>
            <w:bookmarkStart w:id="33" w:name="_GoBack"/>
            <w:bookmarkEnd w:id="33"/>
          </w:p>
        </w:tc>
        <w:tc>
          <w:tcPr>
            <w:tcW w:w="2732" w:type="pct"/>
            <w:tcMar>
              <w:top w:w="60" w:type="dxa"/>
              <w:left w:w="120" w:type="dxa"/>
              <w:bottom w:w="30" w:type="dxa"/>
              <w:right w:w="120" w:type="dxa"/>
            </w:tcMar>
            <w:vAlign w:val="center"/>
          </w:tcPr>
          <w:p w14:paraId="1D72E17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rPr>
              <w:t>参与标准主要技术指标的确定；文本参与人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参与标准制定</w:t>
            </w:r>
          </w:p>
        </w:tc>
      </w:tr>
      <w:tr w14:paraId="4DDADFD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tcMar>
              <w:top w:w="60" w:type="dxa"/>
              <w:left w:w="120" w:type="dxa"/>
              <w:bottom w:w="30" w:type="dxa"/>
              <w:right w:w="120" w:type="dxa"/>
            </w:tcMar>
            <w:vAlign w:val="center"/>
          </w:tcPr>
          <w:p w14:paraId="484DF7A6">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16BC27AA">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王俊荣</w:t>
            </w:r>
          </w:p>
        </w:tc>
        <w:tc>
          <w:tcPr>
            <w:tcW w:w="2732" w:type="pct"/>
            <w:tcMar>
              <w:top w:w="60" w:type="dxa"/>
              <w:left w:w="120" w:type="dxa"/>
              <w:bottom w:w="30" w:type="dxa"/>
              <w:right w:w="120" w:type="dxa"/>
            </w:tcMar>
            <w:vAlign w:val="center"/>
          </w:tcPr>
          <w:p w14:paraId="2AD6CAE3">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rPr>
              <w:t>参与标准主要技术指标的确定；文本参与人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参与标准制定</w:t>
            </w:r>
          </w:p>
        </w:tc>
      </w:tr>
      <w:tr w14:paraId="2F3B9F2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tcMar>
              <w:top w:w="60" w:type="dxa"/>
              <w:left w:w="120" w:type="dxa"/>
              <w:bottom w:w="30" w:type="dxa"/>
              <w:right w:w="120" w:type="dxa"/>
            </w:tcMar>
            <w:vAlign w:val="center"/>
          </w:tcPr>
          <w:p w14:paraId="6064EADC">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1A86B48F">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黄 玮</w:t>
            </w:r>
          </w:p>
        </w:tc>
        <w:tc>
          <w:tcPr>
            <w:tcW w:w="2732" w:type="pct"/>
            <w:tcMar>
              <w:top w:w="60" w:type="dxa"/>
              <w:left w:w="120" w:type="dxa"/>
              <w:bottom w:w="30" w:type="dxa"/>
              <w:right w:w="120" w:type="dxa"/>
            </w:tcMar>
            <w:vAlign w:val="center"/>
          </w:tcPr>
          <w:p w14:paraId="70C76D67">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参与标准主要技术指标的确定；文本参与人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参与标准制定</w:t>
            </w:r>
          </w:p>
        </w:tc>
      </w:tr>
      <w:tr w14:paraId="1C32BE7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restart"/>
            <w:shd w:val="clear" w:color="auto" w:fill="auto"/>
            <w:tcMar>
              <w:top w:w="60" w:type="dxa"/>
              <w:left w:w="120" w:type="dxa"/>
              <w:bottom w:w="30" w:type="dxa"/>
              <w:right w:w="120" w:type="dxa"/>
            </w:tcMar>
            <w:vAlign w:val="center"/>
          </w:tcPr>
          <w:p w14:paraId="53AA239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白银有色集团股份有限公司</w:t>
            </w:r>
          </w:p>
        </w:tc>
        <w:tc>
          <w:tcPr>
            <w:tcW w:w="1123" w:type="pct"/>
            <w:shd w:val="clear" w:color="auto" w:fill="auto"/>
            <w:tcMar>
              <w:top w:w="60" w:type="dxa"/>
              <w:left w:w="120" w:type="dxa"/>
              <w:bottom w:w="30" w:type="dxa"/>
              <w:right w:w="120" w:type="dxa"/>
            </w:tcMar>
            <w:vAlign w:val="center"/>
          </w:tcPr>
          <w:p w14:paraId="1A46659D">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李学国</w:t>
            </w:r>
          </w:p>
        </w:tc>
        <w:tc>
          <w:tcPr>
            <w:tcW w:w="2732" w:type="pct"/>
            <w:shd w:val="clear" w:color="auto" w:fill="auto"/>
            <w:tcMar>
              <w:top w:w="60" w:type="dxa"/>
              <w:left w:w="120" w:type="dxa"/>
              <w:bottom w:w="30" w:type="dxa"/>
              <w:right w:w="120" w:type="dxa"/>
            </w:tcMar>
            <w:vAlign w:val="center"/>
          </w:tcPr>
          <w:p w14:paraId="522AD4A8">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lang w:val="en-US" w:eastAsia="zh-CN"/>
              </w:rPr>
              <w:t>参与关键指标制定、参与标准制定</w:t>
            </w:r>
          </w:p>
        </w:tc>
      </w:tr>
      <w:tr w14:paraId="3BFDFCE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shd w:val="clear" w:color="auto" w:fill="auto"/>
            <w:tcMar>
              <w:top w:w="60" w:type="dxa"/>
              <w:left w:w="120" w:type="dxa"/>
              <w:bottom w:w="30" w:type="dxa"/>
              <w:right w:w="120" w:type="dxa"/>
            </w:tcMar>
            <w:vAlign w:val="center"/>
          </w:tcPr>
          <w:p w14:paraId="01A4803C">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77BC2950">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姚旭</w:t>
            </w:r>
          </w:p>
        </w:tc>
        <w:tc>
          <w:tcPr>
            <w:tcW w:w="2732" w:type="pct"/>
            <w:shd w:val="clear" w:color="auto" w:fill="auto"/>
            <w:tcMar>
              <w:top w:w="60" w:type="dxa"/>
              <w:left w:w="120" w:type="dxa"/>
              <w:bottom w:w="30" w:type="dxa"/>
              <w:right w:w="120" w:type="dxa"/>
            </w:tcMar>
            <w:vAlign w:val="center"/>
          </w:tcPr>
          <w:p w14:paraId="5CE213A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lang w:val="en-US" w:eastAsia="zh-CN"/>
              </w:rPr>
              <w:t>参与关键指标制定、参与标准制定</w:t>
            </w:r>
          </w:p>
        </w:tc>
      </w:tr>
      <w:tr w14:paraId="0DED3DB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77" w:hRule="atLeast"/>
        </w:trPr>
        <w:tc>
          <w:tcPr>
            <w:tcW w:w="1144" w:type="pct"/>
            <w:vMerge w:val="restart"/>
            <w:shd w:val="clear" w:color="auto" w:fill="auto"/>
            <w:tcMar>
              <w:top w:w="60" w:type="dxa"/>
              <w:left w:w="120" w:type="dxa"/>
              <w:bottom w:w="30" w:type="dxa"/>
              <w:right w:w="120" w:type="dxa"/>
            </w:tcMar>
            <w:vAlign w:val="center"/>
          </w:tcPr>
          <w:p w14:paraId="0D4286B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云南铜业股份有限公司西南铜业分公司</w:t>
            </w:r>
          </w:p>
        </w:tc>
        <w:tc>
          <w:tcPr>
            <w:tcW w:w="1123" w:type="pct"/>
            <w:shd w:val="clear" w:color="auto" w:fill="auto"/>
            <w:tcMar>
              <w:top w:w="60" w:type="dxa"/>
              <w:left w:w="120" w:type="dxa"/>
              <w:bottom w:w="30" w:type="dxa"/>
              <w:right w:w="120" w:type="dxa"/>
            </w:tcMar>
            <w:vAlign w:val="center"/>
          </w:tcPr>
          <w:p w14:paraId="1390305C">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董世坤</w:t>
            </w:r>
          </w:p>
        </w:tc>
        <w:tc>
          <w:tcPr>
            <w:tcW w:w="2732" w:type="pct"/>
            <w:shd w:val="clear" w:color="auto" w:fill="auto"/>
            <w:tcMar>
              <w:top w:w="60" w:type="dxa"/>
              <w:left w:w="120" w:type="dxa"/>
              <w:bottom w:w="30" w:type="dxa"/>
              <w:right w:w="120" w:type="dxa"/>
            </w:tcMar>
            <w:vAlign w:val="center"/>
          </w:tcPr>
          <w:p w14:paraId="34880D25">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参与产品工况需求调研、参与标准制定</w:t>
            </w:r>
          </w:p>
        </w:tc>
      </w:tr>
      <w:tr w14:paraId="6247FBB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shd w:val="clear" w:color="auto" w:fill="auto"/>
            <w:tcMar>
              <w:top w:w="60" w:type="dxa"/>
              <w:left w:w="120" w:type="dxa"/>
              <w:bottom w:w="30" w:type="dxa"/>
              <w:right w:w="120" w:type="dxa"/>
            </w:tcMar>
            <w:vAlign w:val="center"/>
          </w:tcPr>
          <w:p w14:paraId="3A8DBC40">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1D0A3807">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cstheme="minorBidi"/>
                <w:color w:val="auto"/>
                <w:kern w:val="2"/>
                <w:sz w:val="21"/>
                <w:szCs w:val="21"/>
                <w:lang w:val="en-US" w:eastAsia="zh-CN" w:bidi="ar-SA"/>
              </w:rPr>
            </w:pPr>
          </w:p>
          <w:p w14:paraId="6054C74C">
            <w:pPr>
              <w:bidi w:val="0"/>
              <w:jc w:val="center"/>
              <w:rPr>
                <w:rFonts w:hint="eastAsia" w:asciiTheme="minorHAnsi" w:hAnsiTheme="minorHAnsi" w:eastAsiaTheme="minorEastAsia" w:cstheme="minorBidi"/>
                <w:sz w:val="21"/>
                <w:szCs w:val="22"/>
                <w:lang w:val="en-US" w:eastAsia="zh-CN"/>
              </w:rPr>
            </w:pPr>
            <w:r>
              <w:rPr>
                <w:rFonts w:hint="eastAsia" w:asciiTheme="minorHAnsi" w:hAnsiTheme="minorHAnsi" w:eastAsiaTheme="minorEastAsia" w:cstheme="minorBidi"/>
                <w:sz w:val="21"/>
                <w:szCs w:val="22"/>
                <w:lang w:val="en-US" w:eastAsia="zh-CN"/>
              </w:rPr>
              <w:t>沐亚玲</w:t>
            </w:r>
          </w:p>
        </w:tc>
        <w:tc>
          <w:tcPr>
            <w:tcW w:w="2732" w:type="pct"/>
            <w:shd w:val="clear" w:color="auto" w:fill="auto"/>
            <w:tcMar>
              <w:top w:w="60" w:type="dxa"/>
              <w:left w:w="120" w:type="dxa"/>
              <w:bottom w:w="30" w:type="dxa"/>
              <w:right w:w="120" w:type="dxa"/>
            </w:tcMar>
            <w:vAlign w:val="center"/>
          </w:tcPr>
          <w:p w14:paraId="04E0A1E1">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参与产品工况需求调研、参与标准制定</w:t>
            </w:r>
          </w:p>
        </w:tc>
      </w:tr>
      <w:tr w14:paraId="3C437F6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restart"/>
            <w:shd w:val="clear" w:color="auto" w:fill="auto"/>
            <w:tcMar>
              <w:top w:w="60" w:type="dxa"/>
              <w:left w:w="120" w:type="dxa"/>
              <w:bottom w:w="30" w:type="dxa"/>
              <w:right w:w="120" w:type="dxa"/>
            </w:tcMar>
            <w:vAlign w:val="center"/>
          </w:tcPr>
          <w:p w14:paraId="675E0B1F">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鹰潭市中久科技有限公司</w:t>
            </w:r>
          </w:p>
        </w:tc>
        <w:tc>
          <w:tcPr>
            <w:tcW w:w="1123" w:type="pct"/>
            <w:shd w:val="clear" w:color="auto" w:fill="auto"/>
            <w:tcMar>
              <w:top w:w="60" w:type="dxa"/>
              <w:left w:w="120" w:type="dxa"/>
              <w:bottom w:w="30" w:type="dxa"/>
              <w:right w:w="120" w:type="dxa"/>
            </w:tcMar>
            <w:vAlign w:val="center"/>
          </w:tcPr>
          <w:p w14:paraId="282499B0">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阎  云</w:t>
            </w:r>
          </w:p>
        </w:tc>
        <w:tc>
          <w:tcPr>
            <w:tcW w:w="2732" w:type="pct"/>
            <w:shd w:val="clear"/>
            <w:tcMar>
              <w:top w:w="60" w:type="dxa"/>
              <w:left w:w="120" w:type="dxa"/>
              <w:bottom w:w="30" w:type="dxa"/>
              <w:right w:w="120" w:type="dxa"/>
            </w:tcMar>
            <w:vAlign w:val="center"/>
          </w:tcPr>
          <w:p w14:paraId="3086AA29">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lang w:val="en-US" w:eastAsia="zh-CN"/>
              </w:rPr>
              <w:t>提出相关技术要求、参与标准制定</w:t>
            </w:r>
          </w:p>
        </w:tc>
      </w:tr>
      <w:tr w14:paraId="4F0F46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tcBorders/>
            <w:shd w:val="clear" w:color="auto" w:fill="auto"/>
            <w:tcMar>
              <w:top w:w="60" w:type="dxa"/>
              <w:left w:w="120" w:type="dxa"/>
              <w:bottom w:w="30" w:type="dxa"/>
              <w:right w:w="120" w:type="dxa"/>
            </w:tcMar>
            <w:vAlign w:val="center"/>
          </w:tcPr>
          <w:p w14:paraId="3DB50033">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72527B99">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柳  权</w:t>
            </w:r>
          </w:p>
        </w:tc>
        <w:tc>
          <w:tcPr>
            <w:tcW w:w="2732" w:type="pct"/>
            <w:shd w:val="clear"/>
            <w:tcMar>
              <w:top w:w="60" w:type="dxa"/>
              <w:left w:w="120" w:type="dxa"/>
              <w:bottom w:w="30" w:type="dxa"/>
              <w:right w:w="120" w:type="dxa"/>
            </w:tcMar>
            <w:vAlign w:val="center"/>
          </w:tcPr>
          <w:p w14:paraId="05493207">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lang w:val="en-US" w:eastAsia="zh-CN"/>
              </w:rPr>
              <w:t>提出相关技术要求、参与标准制定</w:t>
            </w:r>
          </w:p>
        </w:tc>
      </w:tr>
      <w:tr w14:paraId="6597E2C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restart"/>
            <w:tcMar>
              <w:top w:w="60" w:type="dxa"/>
              <w:left w:w="120" w:type="dxa"/>
              <w:bottom w:w="30" w:type="dxa"/>
              <w:right w:w="120" w:type="dxa"/>
            </w:tcMar>
            <w:vAlign w:val="center"/>
          </w:tcPr>
          <w:p w14:paraId="29A13906">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紫金铜业有限公司</w:t>
            </w:r>
          </w:p>
        </w:tc>
        <w:tc>
          <w:tcPr>
            <w:tcW w:w="1123" w:type="pct"/>
            <w:shd w:val="clear" w:color="auto" w:fill="auto"/>
            <w:tcMar>
              <w:top w:w="60" w:type="dxa"/>
              <w:left w:w="120" w:type="dxa"/>
              <w:bottom w:w="30" w:type="dxa"/>
              <w:right w:w="120" w:type="dxa"/>
            </w:tcMar>
            <w:vAlign w:val="center"/>
          </w:tcPr>
          <w:p w14:paraId="7BA42361">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李耀泉</w:t>
            </w:r>
          </w:p>
        </w:tc>
        <w:tc>
          <w:tcPr>
            <w:tcW w:w="2732" w:type="pct"/>
            <w:tcMar>
              <w:top w:w="60" w:type="dxa"/>
              <w:left w:w="120" w:type="dxa"/>
              <w:bottom w:w="30" w:type="dxa"/>
              <w:right w:w="120" w:type="dxa"/>
            </w:tcMar>
            <w:vAlign w:val="center"/>
          </w:tcPr>
          <w:p w14:paraId="218B96FE">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lang w:val="en-US" w:eastAsia="zh-CN"/>
              </w:rPr>
              <w:t>参与产品工况需求调研、参与标准制定</w:t>
            </w:r>
          </w:p>
        </w:tc>
      </w:tr>
      <w:tr w14:paraId="58950A9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144" w:type="pct"/>
            <w:vMerge w:val="continue"/>
            <w:tcMar>
              <w:top w:w="60" w:type="dxa"/>
              <w:left w:w="120" w:type="dxa"/>
              <w:bottom w:w="30" w:type="dxa"/>
              <w:right w:w="120" w:type="dxa"/>
            </w:tcMar>
            <w:vAlign w:val="center"/>
          </w:tcPr>
          <w:p w14:paraId="49BA1D16">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p>
        </w:tc>
        <w:tc>
          <w:tcPr>
            <w:tcW w:w="1123" w:type="pct"/>
            <w:shd w:val="clear" w:color="auto" w:fill="auto"/>
            <w:tcMar>
              <w:top w:w="60" w:type="dxa"/>
              <w:left w:w="120" w:type="dxa"/>
              <w:bottom w:w="30" w:type="dxa"/>
              <w:right w:w="120" w:type="dxa"/>
            </w:tcMar>
            <w:vAlign w:val="center"/>
          </w:tcPr>
          <w:p w14:paraId="224B27F7">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梁  源</w:t>
            </w:r>
          </w:p>
        </w:tc>
        <w:tc>
          <w:tcPr>
            <w:tcW w:w="2732" w:type="pct"/>
            <w:tcMar>
              <w:top w:w="60" w:type="dxa"/>
              <w:left w:w="120" w:type="dxa"/>
              <w:bottom w:w="30" w:type="dxa"/>
              <w:right w:w="120" w:type="dxa"/>
            </w:tcMar>
            <w:vAlign w:val="center"/>
          </w:tcPr>
          <w:p w14:paraId="3DAFEE70">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宋体" w:cs="宋体"/>
                <w:color w:val="auto"/>
                <w:sz w:val="21"/>
                <w:szCs w:val="21"/>
                <w:lang w:val="en-US" w:eastAsia="zh-CN"/>
              </w:rPr>
              <w:t>参与产品工况需求调研、参与标准制定</w:t>
            </w:r>
          </w:p>
        </w:tc>
      </w:tr>
    </w:tbl>
    <w:p w14:paraId="560C1E75">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r>
        <w:rPr>
          <w:rFonts w:hint="eastAsia" w:ascii="黑体" w:hAnsi="宋体" w:eastAsia="黑体" w:cs="Arial"/>
          <w:color w:val="auto"/>
          <w:kern w:val="0"/>
          <w:sz w:val="21"/>
          <w:szCs w:val="21"/>
          <w:lang w:val="en-US" w:eastAsia="zh-CN" w:bidi="ar-SA"/>
        </w:rPr>
        <w:t>1.4 主要工作过程</w:t>
      </w:r>
      <w:bookmarkEnd w:id="4"/>
    </w:p>
    <w:p w14:paraId="49EA45F9">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5" w:name="heading_7"/>
      <w:r>
        <w:rPr>
          <w:rFonts w:hint="eastAsia" w:ascii="黑体" w:hAnsi="宋体" w:eastAsia="黑体" w:cs="Arial"/>
          <w:color w:val="auto"/>
          <w:kern w:val="0"/>
          <w:sz w:val="21"/>
          <w:szCs w:val="21"/>
          <w:lang w:val="en-US" w:eastAsia="zh-CN" w:bidi="ar-SA"/>
        </w:rPr>
        <w:t>1.4.1 预研阶段</w:t>
      </w:r>
      <w:bookmarkEnd w:id="5"/>
    </w:p>
    <w:p w14:paraId="4DAB071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2023年4月-5月开展第一次标准调研，成立以江西铜业股份有限公司为牵头单位的标准调研工作组，系统收集整理现行产品执行标准、相关专利、专业专著等基础资料，完成行业需求统计，</w:t>
      </w:r>
      <w:r>
        <w:rPr>
          <w:rFonts w:hint="eastAsia" w:ascii="宋体" w:hAnsi="宋体" w:cstheme="minorBidi"/>
          <w:color w:val="auto"/>
          <w:kern w:val="2"/>
          <w:sz w:val="21"/>
          <w:szCs w:val="21"/>
          <w:lang w:val="en-US" w:eastAsia="zh-CN" w:bidi="ar-SA"/>
        </w:rPr>
        <w:t>预</w:t>
      </w:r>
      <w:r>
        <w:rPr>
          <w:rFonts w:hint="eastAsia" w:ascii="宋体" w:hAnsi="宋体" w:eastAsiaTheme="minorEastAsia" w:cstheme="minorBidi"/>
          <w:color w:val="auto"/>
          <w:kern w:val="2"/>
          <w:sz w:val="21"/>
          <w:szCs w:val="21"/>
          <w:lang w:val="en-US" w:eastAsia="zh-CN" w:bidi="ar-SA"/>
        </w:rPr>
        <w:t>测算出国内该产品年市场需求总量约300万套，并调研发现市场产品存在使用寿命短、密封效果不佳等质量问题。</w:t>
      </w:r>
    </w:p>
    <w:p w14:paraId="5B640D6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2023年6月-8月开展第二次标准调研，编制组秉持广泛性与代表性原则，完成标准第一版、第二版草案编制工作，为后续标准立项和起草奠定基础。</w:t>
      </w:r>
    </w:p>
    <w:p w14:paraId="6100C08C">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6" w:name="heading_8"/>
      <w:r>
        <w:rPr>
          <w:rFonts w:hint="eastAsia" w:ascii="黑体" w:hAnsi="宋体" w:eastAsia="黑体" w:cs="Arial"/>
          <w:color w:val="auto"/>
          <w:kern w:val="0"/>
          <w:sz w:val="21"/>
          <w:szCs w:val="21"/>
          <w:lang w:val="en-US" w:eastAsia="zh-CN" w:bidi="ar-SA"/>
        </w:rPr>
        <w:t>1.4.2 标准立项</w:t>
      </w:r>
      <w:bookmarkEnd w:id="6"/>
    </w:p>
    <w:p w14:paraId="5FDFDC83">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2024年4月，全国有色金属标准化技术委员会在湖南长沙组织召开本标准项目论证会，与会专家围绕立项事宜展开论证并对标准文本提出修改建议；2024年6月，江西铜业股份有限公司正式向全国有色金属标准化技术委员会提交标准项目建议书、标准草案及立项说明等申报材料；2025年12月，依据《2025年第12批有色金属行业标准项目计划表》，全国有色金属标准化技术委员会正式下达本标准修订任务。</w:t>
      </w:r>
    </w:p>
    <w:p w14:paraId="33AF88BA">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7" w:name="heading_9"/>
      <w:r>
        <w:rPr>
          <w:rFonts w:hint="eastAsia" w:ascii="黑体" w:hAnsi="宋体" w:eastAsia="黑体" w:cs="Arial"/>
          <w:color w:val="auto"/>
          <w:kern w:val="0"/>
          <w:sz w:val="21"/>
          <w:szCs w:val="21"/>
          <w:lang w:val="en-US" w:eastAsia="zh-CN" w:bidi="ar-SA"/>
        </w:rPr>
        <w:t>1.4.3 起草阶段</w:t>
      </w:r>
      <w:bookmarkEnd w:id="7"/>
    </w:p>
    <w:p w14:paraId="412973C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2025年12月，标准起草与参与单位接到编制任务后，迅速组建标准编制组并制定详实工作推进计划。编制组全面搜集查阅国内外相关政策、现行标准、研究文献等资料，研习标准编制原则与技术规范，开展国内湿法电解冶炼企业生产现状专项调研，结合调研成果修改形成《电解用阴极板绝缘密封夹边条》标准讨论稿</w:t>
      </w:r>
      <w:r>
        <w:rPr>
          <w:rFonts w:hint="eastAsia" w:ascii="宋体" w:hAnsi="宋体" w:cstheme="minorBidi"/>
          <w:color w:val="auto"/>
          <w:kern w:val="2"/>
          <w:sz w:val="21"/>
          <w:szCs w:val="21"/>
          <w:lang w:val="en-US" w:eastAsia="zh-CN" w:bidi="ar-SA"/>
        </w:rPr>
        <w:t>及编制说明</w:t>
      </w:r>
      <w:r>
        <w:rPr>
          <w:rFonts w:hint="eastAsia" w:ascii="宋体" w:hAnsi="宋体" w:eastAsiaTheme="minorEastAsia" w:cstheme="minorBidi"/>
          <w:color w:val="auto"/>
          <w:kern w:val="2"/>
          <w:sz w:val="21"/>
          <w:szCs w:val="21"/>
          <w:lang w:val="en-US" w:eastAsia="zh-CN" w:bidi="ar-SA"/>
        </w:rPr>
        <w:t>。</w:t>
      </w:r>
    </w:p>
    <w:p w14:paraId="779164F8">
      <w:pPr>
        <w:pStyle w:val="3"/>
        <w:keepNext w:val="0"/>
        <w:keepLines w:val="0"/>
        <w:widowControl/>
        <w:suppressLineNumbers w:val="0"/>
        <w:jc w:val="left"/>
        <w:rPr>
          <w:rFonts w:hint="eastAsia" w:ascii="黑体" w:hAnsi="宋体" w:eastAsia="黑体" w:cs="Arial"/>
          <w:b w:val="0"/>
          <w:bCs w:val="0"/>
          <w:color w:val="auto"/>
          <w:kern w:val="0"/>
          <w:sz w:val="21"/>
          <w:szCs w:val="21"/>
          <w:lang w:val="en-US" w:eastAsia="zh-CN" w:bidi="ar-SA"/>
        </w:rPr>
      </w:pPr>
      <w:bookmarkStart w:id="8" w:name="heading_16"/>
      <w:r>
        <w:rPr>
          <w:rFonts w:hint="eastAsia" w:ascii="黑体" w:hAnsi="宋体" w:eastAsia="黑体" w:cs="Arial"/>
          <w:b w:val="0"/>
          <w:bCs w:val="0"/>
          <w:color w:val="auto"/>
          <w:kern w:val="0"/>
          <w:sz w:val="21"/>
          <w:szCs w:val="21"/>
          <w:lang w:val="en-US" w:eastAsia="zh-CN" w:bidi="ar-SA"/>
        </w:rPr>
        <w:t>1.4.4 征求意见阶段</w:t>
      </w:r>
    </w:p>
    <w:p w14:paraId="0CBD1E8D">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2026年3月，全国有色金属标准化技术委员会在浙江绍兴组织召开本标准项目专题讨论会。与会行业专家、企业代表围绕《电解用阴极板绝缘密封夹边条》标准讨论稿及编制说明开展全方位、深层次研讨，重点针对标准文本的技术科学性、条款规范性、行业适用性及现场实用性进行细致评审，提出多项具体、可落地的修改完善建议。为进一步贴合行业实际生产应用需求，保障标准内容精准适配行业发展水平，编制组会后开展全覆盖补充调研，重点走访国内不锈钢阴极板绝缘密封夹边条主要生产企业、终端应用冶炼企业，详细调研产品生产工艺、质量管控、现场应用现状及行业实际诉求。结合专家评审意见与补充调研成果，编制组对标准条款、技术指标、适用范围等核心内容进行系统性修订完善，最终形成《电解用阴极板绝缘密封夹边条》标准审阅稿及配套编制说明。</w:t>
      </w:r>
    </w:p>
    <w:p w14:paraId="703E636E">
      <w:pPr>
        <w:pStyle w:val="3"/>
        <w:keepNext w:val="0"/>
        <w:keepLines w:val="0"/>
        <w:widowControl/>
        <w:suppressLineNumbers w:val="0"/>
        <w:jc w:val="left"/>
        <w:rPr>
          <w:rFonts w:hint="eastAsia" w:ascii="黑体" w:hAnsi="宋体" w:eastAsia="黑体" w:cs="Arial"/>
          <w:b w:val="0"/>
          <w:bCs w:val="0"/>
          <w:color w:val="auto"/>
          <w:kern w:val="0"/>
          <w:sz w:val="21"/>
          <w:szCs w:val="21"/>
          <w:lang w:val="en-US" w:eastAsia="zh-CN" w:bidi="ar-SA"/>
        </w:rPr>
      </w:pPr>
      <w:r>
        <w:rPr>
          <w:rFonts w:hint="eastAsia" w:ascii="黑体" w:hAnsi="宋体" w:eastAsia="黑体" w:cs="Arial"/>
          <w:b w:val="0"/>
          <w:bCs w:val="0"/>
          <w:color w:val="auto"/>
          <w:kern w:val="0"/>
          <w:sz w:val="21"/>
          <w:szCs w:val="21"/>
          <w:lang w:val="en-US" w:eastAsia="zh-CN" w:bidi="ar-SA"/>
        </w:rPr>
        <w:t>1.4.5 标准审阅阶段</w:t>
      </w:r>
    </w:p>
    <w:p w14:paraId="39B74FC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2026年5月，全国有色金属标准化技术委员会于湖南衡阳组织召开本标准审阅评审会。与会专家团队严格按照行业标准编制规范，对《电解用阴极板绝缘密封夹边条》标准审阅稿及编制说明进行全面审核，重点针对文本格式规范性、条款逻辑严谨性、标准行业适用性、技术指标合理性及现场应用适配性等核心维度开展评审，并提出精准的修订指导意见。为切实解决标准与行业实际脱节问题，确保标准落地可行、贴合行业发展实际，编制组结合本次评审专家意见，再次梳理行业应用痛点与技术需求，针对性开展补充调研与内容校核，对标准全文及编制说明进行精细化修改、校核与完善，最终形成完善的标准终审稿及编制说明，为后续标准报批工作奠定坚实基础。</w:t>
      </w:r>
    </w:p>
    <w:p w14:paraId="27404F2A">
      <w:pPr>
        <w:pStyle w:val="2"/>
        <w:spacing w:line="36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二、编制原则、主要内容及其确定依据、修订前后技术内容的对比</w:t>
      </w:r>
      <w:bookmarkEnd w:id="8"/>
    </w:p>
    <w:p w14:paraId="233EAC01">
      <w:pPr>
        <w:pStyle w:val="2"/>
        <w:spacing w:line="360" w:lineRule="auto"/>
        <w:rPr>
          <w:rFonts w:hint="eastAsia" w:ascii="黑体" w:hAnsi="宋体" w:eastAsia="黑体" w:cs="Arial"/>
          <w:color w:val="auto"/>
          <w:kern w:val="0"/>
          <w:sz w:val="21"/>
          <w:szCs w:val="21"/>
          <w:lang w:val="en-US" w:eastAsia="zh-CN" w:bidi="ar-SA"/>
        </w:rPr>
      </w:pPr>
      <w:bookmarkStart w:id="9" w:name="heading_17"/>
      <w:r>
        <w:rPr>
          <w:rFonts w:hint="eastAsia" w:ascii="黑体" w:hAnsi="宋体" w:eastAsia="黑体" w:cs="Arial"/>
          <w:color w:val="auto"/>
          <w:kern w:val="0"/>
          <w:sz w:val="21"/>
          <w:szCs w:val="21"/>
          <w:lang w:val="en-US" w:eastAsia="zh-CN" w:bidi="ar-SA"/>
        </w:rPr>
        <w:t>1、编制原则</w:t>
      </w:r>
      <w:bookmarkEnd w:id="9"/>
    </w:p>
    <w:p w14:paraId="35E121B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本标准起草严格符合GB/T 1.1—2020《标准化工作导则 第1部分：标准化文件的结构和起草规则》的编写要求；</w:t>
      </w:r>
    </w:p>
    <w:p w14:paraId="4AE1D820">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适用性原则：结合有色金属湿法精炼行业当前生产工艺、设备配套及产品需求，修订原标准不适用内容，扩充尺寸范围、优化性能指标，确保标准贴合行业实际生产和使用要求；</w:t>
      </w:r>
    </w:p>
    <w:p w14:paraId="3B57469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先进性原则：吸收行业内先进技术和检测方法，提升标准技术先进性，推动产品技术升级；</w:t>
      </w:r>
    </w:p>
    <w:p w14:paraId="58015DB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科学性原则：所有技术指标和试验方法均基于行业调研、试验验证及企业实际应用数据，确保指标设定科学合理、检测方法可操作性强、判定规则客观公正；</w:t>
      </w:r>
    </w:p>
    <w:p w14:paraId="01396B5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协调性原则：与现行塑料材料、绝缘部件、有色金属电解工艺相关的国家标准和行业标准协调一致，引用最新版本标准，保证标准体系的统一性。</w:t>
      </w:r>
    </w:p>
    <w:p w14:paraId="6EB4BBE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次标准修订的预期目标为完善电解用阴极板绝缘密封夹边条的标准技术内容，统一行业质量要求和检测规范，提升产品标准化水平；主要技术路线为通过行业全面调研明确实际需求，结合试验验证确定科学合理的技术指标，补充专用原料要求、新增术语定义、扩充尺寸范围、量化外观和性能指标，优化试验方法和检验规则。</w:t>
      </w:r>
    </w:p>
    <w:p w14:paraId="3148848A">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0" w:name="heading_18"/>
      <w:r>
        <w:rPr>
          <w:rFonts w:hint="eastAsia" w:ascii="黑体" w:hAnsi="宋体" w:eastAsia="黑体" w:cs="Arial"/>
          <w:color w:val="auto"/>
          <w:kern w:val="0"/>
          <w:sz w:val="21"/>
          <w:szCs w:val="21"/>
          <w:lang w:val="en-US" w:eastAsia="zh-CN" w:bidi="ar-SA"/>
        </w:rPr>
        <w:t>2、标准主要技术内容的确定依据</w:t>
      </w:r>
      <w:bookmarkEnd w:id="10"/>
    </w:p>
    <w:p w14:paraId="390CFE7B">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本标准代替YS/T 1193—2017《电解用绝缘密封夹边条》，核心技术内容包含规范性引用文件、术语和定义、产品组成与标记、技术要求、试验方法、检验规则、标志包装运输贮存等，各条款确定依据如下：</w:t>
      </w:r>
    </w:p>
    <w:p w14:paraId="30E660A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规范性引用文件（第2章）：引用GB/T 1040.2、GB/T 1408.2等塑料材料性能检测、抽样检验、环境调节的通用基础标准，均为最新版本，是本标准理化性能试验、检验规则制定的核心依据，符合行业检测规范和国家标准体系要求。</w:t>
      </w:r>
    </w:p>
    <w:p w14:paraId="7B2E2620">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术语和定义（第3章）：原标准无专用术语定义，行业内产品及部件称谓不统一易造成概念混淆，因此新增本章节，定义电解用阴极板绝缘密封夹边条、夹条、胀紧棒、夹紧力4个核心术语。</w:t>
      </w:r>
    </w:p>
    <w:p w14:paraId="2D5C32E8">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产品组成与标记（第4章）：调整原标准章节结构，明确夹边条由夹条和胀紧棒组成，结合行业使用习惯规定统一产品标记格式，便于企业产品标识、选型和采购。</w:t>
      </w:r>
    </w:p>
    <w:p w14:paraId="728CC47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技术要求（第5章）</w:t>
      </w:r>
    </w:p>
    <w:p w14:paraId="75E2F88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规格尺寸：原标准尺寸范围狭窄，无法满足不同冶炼企业配套需求，编制组通过调研国内骨干冶炼企业阴极板参数及生产企业工艺加工能力，将夹条长度扩充至200～1800mm，并精细化所有尺寸允许偏差。</w:t>
      </w:r>
    </w:p>
    <w:p w14:paraId="42B3660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外观质量：原标准外观要求模糊无量化指标，导致产品质量参差不齐，因此根据产品使用要求和塑料成型工艺实际，对表面缺陷、内部缺陷、扭曲变形进行规定。</w:t>
      </w:r>
    </w:p>
    <w:p w14:paraId="651F8A6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试验方法（第6章）：原标准试验方法简单，检测准确性和全面性不足，因此细化尺寸测量的工具、截面和次数，明确理化性能试验的标准环境和操作规范，扩充外观质量检验的维度、工具和判定方法，所有方法均符合通用检测标准要求，确保检测结果准确可靠。</w:t>
      </w:r>
    </w:p>
    <w:p w14:paraId="2A7DCBB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检验规则（第7章）：原标准出厂检验项目不全，无试装检测要求，导致部分产品装配适配性差，因此规定组批规则、明确抽样方案，扩充出厂检验项目并新增阴极板试装检测，细化检验分类和结果判定规则，确保产品全流程质量可控。</w:t>
      </w:r>
    </w:p>
    <w:p w14:paraId="4BEB3219">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标志、包装、运输、贮存（第8章）：依据塑料产品的贮存和运输特性，结合行业实际物流情况，明确产品标签内容、包装方式、防护要求和贮存条件，保障产品在流通过程中质量不受影响。</w:t>
      </w:r>
    </w:p>
    <w:p w14:paraId="58D6B91F">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1" w:name="heading_19"/>
      <w:r>
        <w:rPr>
          <w:rFonts w:hint="eastAsia" w:ascii="黑体" w:hAnsi="宋体" w:eastAsia="黑体" w:cs="Arial"/>
          <w:color w:val="auto"/>
          <w:kern w:val="0"/>
          <w:sz w:val="21"/>
          <w:szCs w:val="21"/>
          <w:lang w:val="en-US" w:eastAsia="zh-CN" w:bidi="ar-SA"/>
        </w:rPr>
        <w:t>3、修订前后技术内容的对比</w:t>
      </w:r>
      <w:bookmarkEnd w:id="11"/>
    </w:p>
    <w:p w14:paraId="3EA6F53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本标准在YS/T 1193—2017基础上进行全面修订，核心技术变化及对比如下，未提及的条款虽无实质性修改，但均按GB/T 1.1—2020要求进行了格式和表述的规范：</w:t>
      </w:r>
    </w:p>
    <w:tbl>
      <w:tblPr>
        <w:tblStyle w:val="6"/>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04"/>
        <w:gridCol w:w="3450"/>
        <w:gridCol w:w="3526"/>
      </w:tblGrid>
      <w:tr w14:paraId="137EB4D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426E3D1">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原标准条款</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3054EC">
            <w:pPr>
              <w:keepNext w:val="0"/>
              <w:keepLines w:val="0"/>
              <w:pageBreakBefore w:val="0"/>
              <w:kinsoku/>
              <w:wordWrap/>
              <w:overflowPunct/>
              <w:topLinePunct w:val="0"/>
              <w:autoSpaceDE/>
              <w:autoSpaceDN/>
              <w:bidi w:val="0"/>
              <w:adjustRightInd/>
              <w:snapToGrid/>
              <w:spacing w:line="440" w:lineRule="exact"/>
              <w:ind w:firstLine="420" w:firstLineChars="200"/>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修订后标准条款</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3E72A37">
            <w:pPr>
              <w:keepNext w:val="0"/>
              <w:keepLines w:val="0"/>
              <w:pageBreakBefore w:val="0"/>
              <w:kinsoku/>
              <w:wordWrap/>
              <w:overflowPunct/>
              <w:topLinePunct w:val="0"/>
              <w:autoSpaceDE/>
              <w:autoSpaceDN/>
              <w:bidi w:val="0"/>
              <w:adjustRightInd/>
              <w:snapToGrid/>
              <w:spacing w:line="440" w:lineRule="exact"/>
              <w:ind w:firstLine="420" w:firstLineChars="200"/>
              <w:jc w:val="center"/>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主要技术变化</w:t>
            </w:r>
          </w:p>
        </w:tc>
      </w:tr>
      <w:tr w14:paraId="00E611B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C018EAB">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无</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F798459">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第3章 术语和定义</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05EE49F">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新增章节，定义4个行业核心术语，统一行业称谓</w:t>
            </w:r>
          </w:p>
        </w:tc>
      </w:tr>
      <w:tr w14:paraId="6FFEDFD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485A0E">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产品规格</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452C891">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第5章 技术要求-规格尺寸</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BAEC75D">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扩充夹条和胀紧棒尺寸范围，夹条长度覆盖200～1800mm，精细化所有尺寸允许偏差，明确具体数值</w:t>
            </w:r>
          </w:p>
        </w:tc>
      </w:tr>
      <w:tr w14:paraId="07CAB9B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A751C4">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理化性能</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5BAE949">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第5章 技术要求-理化性能</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CAF52F">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明确各理化性能具体数值范围，指标更贴合行业实际工况需求</w:t>
            </w:r>
          </w:p>
        </w:tc>
      </w:tr>
      <w:tr w14:paraId="02F81C1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88EF65C">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外观质量</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B739D20">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第5章 技术要求-外观质量</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96D49BD">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原标准缺陷指标</w:t>
            </w:r>
            <w:r>
              <w:rPr>
                <w:rFonts w:hint="eastAsia" w:ascii="宋体" w:hAnsi="宋体" w:cstheme="minorBidi"/>
                <w:color w:val="auto"/>
                <w:kern w:val="2"/>
                <w:sz w:val="21"/>
                <w:szCs w:val="21"/>
                <w:lang w:val="en-US" w:eastAsia="zh-CN" w:bidi="ar-SA"/>
              </w:rPr>
              <w:t>模糊</w:t>
            </w:r>
            <w:r>
              <w:rPr>
                <w:rFonts w:hint="eastAsia" w:ascii="宋体" w:hAnsi="宋体" w:eastAsiaTheme="minorEastAsia" w:cstheme="minorBidi"/>
                <w:color w:val="auto"/>
                <w:kern w:val="2"/>
                <w:sz w:val="21"/>
                <w:szCs w:val="21"/>
                <w:lang w:val="en-US" w:eastAsia="zh-CN" w:bidi="ar-SA"/>
              </w:rPr>
              <w:t>，修订后对拉痕、直线度偏差等进行量化，明确禁止出现气泡、裂纹等缺陷</w:t>
            </w:r>
          </w:p>
        </w:tc>
      </w:tr>
      <w:tr w14:paraId="3B4474D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18C54C3">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试验方法</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F235585">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第6章 试验方法</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2BEE53F">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细化尺寸测量方法，明确理化性能试验的标准环境和操作细节，扩充外观质量检验的维度、工具和判定方法，检测更精准</w:t>
            </w:r>
          </w:p>
        </w:tc>
      </w:tr>
      <w:tr w14:paraId="55EBE0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0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8066B2">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检验规则</w:t>
            </w:r>
          </w:p>
        </w:tc>
        <w:tc>
          <w:tcPr>
            <w:tcW w:w="34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8291001">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第7章 检验规则</w:t>
            </w:r>
          </w:p>
        </w:tc>
        <w:tc>
          <w:tcPr>
            <w:tcW w:w="352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86A6503">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规定组批规则，明确抽样方案，新增阴极板试装检测为出厂检验项目，细化检验分类和结果判定规则，质量把控更全面</w:t>
            </w:r>
          </w:p>
        </w:tc>
      </w:tr>
    </w:tbl>
    <w:p w14:paraId="478041BD">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2" w:name="heading_20"/>
      <w:r>
        <w:rPr>
          <w:rFonts w:hint="eastAsia" w:ascii="黑体" w:hAnsi="宋体" w:eastAsia="黑体" w:cs="Arial"/>
          <w:color w:val="auto"/>
          <w:kern w:val="0"/>
          <w:sz w:val="21"/>
          <w:szCs w:val="21"/>
          <w:lang w:val="en-US" w:eastAsia="zh-CN" w:bidi="ar-SA"/>
        </w:rPr>
        <w:t>三、试验验证分析、综述报告、技术经济论证、预期达到的经济效益、社会效益和生态效益</w:t>
      </w:r>
      <w:bookmarkEnd w:id="12"/>
    </w:p>
    <w:p w14:paraId="6CEFBAA1">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3" w:name="heading_21"/>
      <w:r>
        <w:rPr>
          <w:rFonts w:hint="eastAsia" w:ascii="黑体" w:hAnsi="宋体" w:eastAsia="黑体" w:cs="Arial"/>
          <w:color w:val="auto"/>
          <w:kern w:val="0"/>
          <w:sz w:val="21"/>
          <w:szCs w:val="21"/>
          <w:lang w:val="en-US" w:eastAsia="zh-CN" w:bidi="ar-SA"/>
        </w:rPr>
        <w:t>1、试验验证分析和综述报告</w:t>
      </w:r>
      <w:bookmarkEnd w:id="13"/>
    </w:p>
    <w:p w14:paraId="0718CA3F">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4" w:name="heading_22"/>
      <w:r>
        <w:rPr>
          <w:rFonts w:hint="eastAsia" w:ascii="黑体" w:hAnsi="宋体" w:eastAsia="黑体" w:cs="Arial"/>
          <w:color w:val="auto"/>
          <w:kern w:val="0"/>
          <w:sz w:val="21"/>
          <w:szCs w:val="21"/>
          <w:lang w:val="en-US" w:eastAsia="zh-CN" w:bidi="ar-SA"/>
        </w:rPr>
        <w:t>（一）项目的必要性阐述</w:t>
      </w:r>
      <w:bookmarkEnd w:id="14"/>
    </w:p>
    <w:p w14:paraId="69AEC5F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项目属于有色金属湿法精炼配套部件的标准修订项目，是有色金属工业高质量发展的重要配套支撑，符合我国有色金属产业升级、绿色高效发展的产业政策要求。原标准已无法适应当前行业技术发展和生产实际需求，产品质量参差不齐、规格混乱等问题影响了电解工艺效率和产品质量，因此本次标准修订是行业规范化、高质量发展的迫切需求，具有显著的社会效益和经济效益。</w:t>
      </w:r>
    </w:p>
    <w:p w14:paraId="3783B2B1">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5" w:name="heading_23"/>
      <w:r>
        <w:rPr>
          <w:rFonts w:hint="eastAsia" w:ascii="黑体" w:hAnsi="宋体" w:eastAsia="黑体" w:cs="Arial"/>
          <w:color w:val="auto"/>
          <w:kern w:val="0"/>
          <w:sz w:val="21"/>
          <w:szCs w:val="21"/>
          <w:lang w:val="en-US" w:eastAsia="zh-CN" w:bidi="ar-SA"/>
        </w:rPr>
        <w:t>（二）项目的可行性阐述</w:t>
      </w:r>
      <w:bookmarkEnd w:id="15"/>
    </w:p>
    <w:p w14:paraId="4F29185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技术储备与产业化：主要起草单位均为行业骨干企业，在聚苯醚</w:t>
      </w:r>
      <w:r>
        <w:rPr>
          <w:rFonts w:hint="eastAsia" w:ascii="宋体" w:hAnsi="宋体" w:cstheme="minorBidi"/>
          <w:color w:val="auto"/>
          <w:kern w:val="2"/>
          <w:sz w:val="21"/>
          <w:szCs w:val="21"/>
          <w:lang w:val="en-US" w:eastAsia="zh-CN" w:bidi="ar-SA"/>
        </w:rPr>
        <w:t>、聚乙烯等</w:t>
      </w:r>
      <w:r>
        <w:rPr>
          <w:rFonts w:hint="eastAsia" w:ascii="宋体" w:hAnsi="宋体" w:eastAsiaTheme="minorEastAsia" w:cstheme="minorBidi"/>
          <w:color w:val="auto"/>
          <w:kern w:val="2"/>
          <w:sz w:val="21"/>
          <w:szCs w:val="21"/>
          <w:lang w:val="en-US" w:eastAsia="zh-CN" w:bidi="ar-SA"/>
        </w:rPr>
        <w:t>改性塑料等夹边条的研发、生产、应用方面拥有成熟的技术储备和产业化能力，能够为标准修订提供充足的技术和实践支撑；</w:t>
      </w:r>
    </w:p>
    <w:p w14:paraId="5184F2F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市场与需求：国内电解用阴极板绝缘密封夹边条年市场需求约</w:t>
      </w:r>
      <w:r>
        <w:rPr>
          <w:rFonts w:hint="eastAsia" w:ascii="宋体" w:hAnsi="宋体" w:cstheme="minorBidi"/>
          <w:color w:val="auto"/>
          <w:kern w:val="2"/>
          <w:sz w:val="21"/>
          <w:szCs w:val="21"/>
          <w:lang w:val="en-US" w:eastAsia="zh-CN" w:bidi="ar-SA"/>
        </w:rPr>
        <w:t>300</w:t>
      </w:r>
      <w:r>
        <w:rPr>
          <w:rFonts w:hint="eastAsia" w:ascii="宋体" w:hAnsi="宋体" w:eastAsiaTheme="minorEastAsia" w:cstheme="minorBidi"/>
          <w:color w:val="auto"/>
          <w:kern w:val="2"/>
          <w:sz w:val="21"/>
          <w:szCs w:val="21"/>
          <w:lang w:val="en-US" w:eastAsia="zh-CN" w:bidi="ar-SA"/>
        </w:rPr>
        <w:t>万套，行业内对标准化、高性能产品的需求迫切，标准修订后能够充分满足市场使用需求；</w:t>
      </w:r>
    </w:p>
    <w:p w14:paraId="5F1DA67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解决的主要问题：本次修订将解决原标准原料无要求、尺寸范围窄、性能指标模糊、检验方法简单等问题，统一行业质量要求和检测规范；</w:t>
      </w:r>
    </w:p>
    <w:p w14:paraId="7686BFB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相关标准情况：目前国内仅有YS/T 1193-2017为该产品的行业标准，无其他同类国家标准或行业标准，本次修订将完善该产品的标准体系，填补原标准升级后的行业空白。</w:t>
      </w:r>
    </w:p>
    <w:p w14:paraId="47EEFD70">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6" w:name="heading_24"/>
      <w:r>
        <w:rPr>
          <w:rFonts w:hint="eastAsia" w:ascii="黑体" w:hAnsi="宋体" w:eastAsia="黑体" w:cs="Arial"/>
          <w:color w:val="auto"/>
          <w:kern w:val="0"/>
          <w:sz w:val="21"/>
          <w:szCs w:val="21"/>
          <w:lang w:val="en-US" w:eastAsia="zh-CN" w:bidi="ar-SA"/>
        </w:rPr>
        <w:t>（三）试验验证分析</w:t>
      </w:r>
      <w:bookmarkEnd w:id="16"/>
    </w:p>
    <w:p w14:paraId="014CBF46">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为验证标准技术内容的科学性和可行性，编制组组织开展了夹紧力、拉伸强度、热变形温度等理化性能试验，规格尺寸精度试验，外观质量检验方法验证，阴极板试装适配性试验等多项关键试验。</w:t>
      </w:r>
    </w:p>
    <w:p w14:paraId="4E1349D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试验样品覆盖国内主流生产企业的聚苯醚</w:t>
      </w:r>
      <w:r>
        <w:rPr>
          <w:rFonts w:hint="eastAsia" w:ascii="宋体" w:hAnsi="宋体" w:cstheme="minorBidi"/>
          <w:color w:val="auto"/>
          <w:kern w:val="2"/>
          <w:sz w:val="21"/>
          <w:szCs w:val="21"/>
          <w:lang w:val="en-US" w:eastAsia="zh-CN" w:bidi="ar-SA"/>
        </w:rPr>
        <w:t>、聚乙烯</w:t>
      </w:r>
      <w:r>
        <w:rPr>
          <w:rFonts w:hint="eastAsia" w:ascii="宋体" w:hAnsi="宋体" w:eastAsiaTheme="minorEastAsia" w:cstheme="minorBidi"/>
          <w:color w:val="auto"/>
          <w:kern w:val="2"/>
          <w:sz w:val="21"/>
          <w:szCs w:val="21"/>
          <w:lang w:val="en-US" w:eastAsia="zh-CN" w:bidi="ar-SA"/>
        </w:rPr>
        <w:t>改性塑料夹边条，选取2个牌号、4种规格的样品各5件，按照本标准规定的试验方法进行检测，累计获取有效试验数据超百组。试验结果表明：本标准规定的检测方法操作便捷、结果准确，符合行业检测水平；所有试验样品均能满足标准技术指标要求，部分指标优于行业平均水平，验证了标准条款的适用性、科学性和可行性。</w:t>
      </w:r>
    </w:p>
    <w:p w14:paraId="52709E09">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7" w:name="heading_25"/>
      <w:r>
        <w:rPr>
          <w:rFonts w:hint="eastAsia" w:ascii="黑体" w:hAnsi="宋体" w:eastAsia="黑体" w:cs="Arial"/>
          <w:color w:val="auto"/>
          <w:kern w:val="0"/>
          <w:sz w:val="21"/>
          <w:szCs w:val="21"/>
          <w:lang w:val="en-US" w:eastAsia="zh-CN" w:bidi="ar-SA"/>
        </w:rPr>
        <w:t>（四）标准的先进性、创新性、标准实施后预期产生的经济效益和社会效益</w:t>
      </w:r>
      <w:bookmarkEnd w:id="17"/>
    </w:p>
    <w:p w14:paraId="04411705">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8" w:name="heading_26"/>
      <w:r>
        <w:rPr>
          <w:rFonts w:hint="eastAsia" w:ascii="黑体" w:hAnsi="宋体" w:eastAsia="黑体" w:cs="Arial"/>
          <w:color w:val="auto"/>
          <w:kern w:val="0"/>
          <w:sz w:val="21"/>
          <w:szCs w:val="21"/>
          <w:lang w:val="en-US" w:eastAsia="zh-CN" w:bidi="ar-SA"/>
        </w:rPr>
        <w:t>4.1 先进性、创新性</w:t>
      </w:r>
      <w:bookmarkEnd w:id="18"/>
    </w:p>
    <w:p w14:paraId="332A0B2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本标准的先进性体现在紧密结合行业最新技术和生产需求，明确聚苯醚</w:t>
      </w:r>
      <w:r>
        <w:rPr>
          <w:rFonts w:hint="eastAsia" w:ascii="宋体" w:hAnsi="宋体" w:cstheme="minorBidi"/>
          <w:color w:val="auto"/>
          <w:kern w:val="2"/>
          <w:sz w:val="21"/>
          <w:szCs w:val="21"/>
          <w:lang w:val="en-US" w:eastAsia="zh-CN" w:bidi="ar-SA"/>
        </w:rPr>
        <w:t>、聚乙烯等</w:t>
      </w:r>
      <w:r>
        <w:rPr>
          <w:rFonts w:hint="eastAsia" w:ascii="宋体" w:hAnsi="宋体" w:eastAsiaTheme="minorEastAsia" w:cstheme="minorBidi"/>
          <w:color w:val="auto"/>
          <w:kern w:val="2"/>
          <w:sz w:val="21"/>
          <w:szCs w:val="21"/>
          <w:lang w:val="en-US" w:eastAsia="zh-CN" w:bidi="ar-SA"/>
        </w:rPr>
        <w:t>改性塑料</w:t>
      </w:r>
      <w:r>
        <w:rPr>
          <w:rFonts w:hint="eastAsia" w:ascii="宋体" w:hAnsi="宋体" w:cstheme="minorBidi"/>
          <w:color w:val="auto"/>
          <w:kern w:val="2"/>
          <w:sz w:val="21"/>
          <w:szCs w:val="21"/>
          <w:lang w:val="en-US" w:eastAsia="zh-CN" w:bidi="ar-SA"/>
        </w:rPr>
        <w:t>等</w:t>
      </w:r>
      <w:r>
        <w:rPr>
          <w:rFonts w:hint="eastAsia" w:ascii="宋体" w:hAnsi="宋体" w:eastAsiaTheme="minorEastAsia" w:cstheme="minorBidi"/>
          <w:color w:val="auto"/>
          <w:kern w:val="2"/>
          <w:sz w:val="21"/>
          <w:szCs w:val="21"/>
          <w:lang w:val="en-US" w:eastAsia="zh-CN" w:bidi="ar-SA"/>
        </w:rPr>
        <w:t>专用原料要求，淘汰低性能普通塑料，提升产品基础性能；扩充产品尺寸范围，满足不同企业的配套需求；量化外观和性能指标，使质量要求更具体、可落地。</w:t>
      </w:r>
    </w:p>
    <w:p w14:paraId="4FDBC82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创新性体现在新增行业专用术语定义，统一行业认知；新增阴极板试装检测项目，从实际使用角度把控产品质量；细化试验方法和检验规则，提升检测的精准性和全面性，推动行业产品质量控制体系升级。</w:t>
      </w:r>
    </w:p>
    <w:p w14:paraId="7B545FF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实施后，将有效支撑我国有色金属产业升级和绿色高效发展的产业政策，促进湿法精炼领域产品质量提升，替代部分进口同类配件，满足高端制造业对基础原材料的配套需求，规范行业市场秩序，推动有色金属湿法精炼产业健康发展。</w:t>
      </w:r>
    </w:p>
    <w:p w14:paraId="6494ED22">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19" w:name="heading_27"/>
      <w:r>
        <w:rPr>
          <w:rFonts w:hint="eastAsia" w:ascii="黑体" w:hAnsi="宋体" w:eastAsia="黑体" w:cs="Arial"/>
          <w:color w:val="auto"/>
          <w:kern w:val="0"/>
          <w:sz w:val="21"/>
          <w:szCs w:val="21"/>
          <w:lang w:val="en-US" w:eastAsia="zh-CN" w:bidi="ar-SA"/>
        </w:rPr>
        <w:t>4.2 经济效益</w:t>
      </w:r>
      <w:bookmarkEnd w:id="19"/>
    </w:p>
    <w:p w14:paraId="12B5B23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本标准实施后将产生显著的经济效益，覆盖生产企业、使用企业和行业整体：</w:t>
      </w:r>
    </w:p>
    <w:p w14:paraId="71CC39E0">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生产企业：统一的产品规格和质量要求将减少研发和生产成本，避免规格混乱导致的产品积压和浪费；精细化的检验方法将提高质量控制效率，降低不合格品率，提升生产效益。</w:t>
      </w:r>
    </w:p>
    <w:p w14:paraId="7E128D45">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使用企业：标准化产品便于选型和采购，提升采购效率、降低采购成本；高性能、高适配性的夹边条将提升电解效率，减少漏电、短路现象，提高阴极铜等产品的质量和产量；产品使用寿命提升将减少更换频率，降低设备维护成本和人工劳动强度，单厂年可节约成本数十万元。</w:t>
      </w:r>
    </w:p>
    <w:p w14:paraId="098D5FA9">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行业整体：规范的市场秩序将避免低质量产品的恶性竞争，推动优势企业发展，预计行业内产品不合格品率降低5%以上，产品使用寿命提升20%以上，全行业年可实现经济效益超千万元。</w:t>
      </w:r>
    </w:p>
    <w:p w14:paraId="6CD998BC">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0" w:name="heading_28"/>
      <w:r>
        <w:rPr>
          <w:rFonts w:hint="eastAsia" w:ascii="黑体" w:hAnsi="宋体" w:eastAsia="黑体" w:cs="Arial"/>
          <w:color w:val="auto"/>
          <w:kern w:val="0"/>
          <w:sz w:val="21"/>
          <w:szCs w:val="21"/>
          <w:lang w:val="en-US" w:eastAsia="zh-CN" w:bidi="ar-SA"/>
        </w:rPr>
        <w:t>4.3 社会效益</w:t>
      </w:r>
      <w:bookmarkEnd w:id="20"/>
    </w:p>
    <w:p w14:paraId="2464964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统一行业质量要求和检测规范，提升电解用阴极板绝缘密封夹边条的标准化水平，推动有色金属湿法精炼配套部件行业的规范化、高质量发展；</w:t>
      </w:r>
    </w:p>
    <w:p w14:paraId="6DDC4C55">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提升产品绝缘性和使用寿命，减少电解过程中的故障停机，提高湿法精炼生产效率，保障有色金属冶炼企业的稳定生产；</w:t>
      </w:r>
    </w:p>
    <w:p w14:paraId="4479E126">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推动行业原料升级和生产工艺改进，提升行业整体技术水平和市场竞争力，为我国有色金属工业在国际市场的竞争提供技术支撑；</w:t>
      </w:r>
    </w:p>
    <w:p w14:paraId="010F07B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减少低质量产品的更换频次，降低现场作业人员的劳动强度，改善生产作业环境。</w:t>
      </w:r>
    </w:p>
    <w:p w14:paraId="4ED769B5">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1" w:name="heading_29"/>
      <w:r>
        <w:rPr>
          <w:rFonts w:hint="eastAsia" w:ascii="黑体" w:hAnsi="宋体" w:eastAsia="黑体" w:cs="Arial"/>
          <w:color w:val="auto"/>
          <w:kern w:val="0"/>
          <w:sz w:val="21"/>
          <w:szCs w:val="21"/>
          <w:lang w:val="en-US" w:eastAsia="zh-CN" w:bidi="ar-SA"/>
        </w:rPr>
        <w:t>4.4 生态效益</w:t>
      </w:r>
      <w:bookmarkEnd w:id="21"/>
    </w:p>
    <w:p w14:paraId="3A289E7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本标准明确使用聚苯醚</w:t>
      </w:r>
      <w:r>
        <w:rPr>
          <w:rFonts w:hint="eastAsia" w:ascii="宋体" w:hAnsi="宋体" w:cstheme="minorBidi"/>
          <w:color w:val="auto"/>
          <w:kern w:val="2"/>
          <w:sz w:val="21"/>
          <w:szCs w:val="21"/>
          <w:lang w:val="en-US" w:eastAsia="zh-CN" w:bidi="ar-SA"/>
        </w:rPr>
        <w:t>、聚乙烯等</w:t>
      </w:r>
      <w:r>
        <w:rPr>
          <w:rFonts w:hint="eastAsia" w:ascii="宋体" w:hAnsi="宋体" w:eastAsiaTheme="minorEastAsia" w:cstheme="minorBidi"/>
          <w:color w:val="auto"/>
          <w:kern w:val="2"/>
          <w:sz w:val="21"/>
          <w:szCs w:val="21"/>
          <w:lang w:val="en-US" w:eastAsia="zh-CN" w:bidi="ar-SA"/>
        </w:rPr>
        <w:t>改性塑料作为原料，该材料具有优异的耐电解液腐蚀性，使用寿命远长于普通聚乙烯、聚丙烯塑料，能够减少产品更换产生的塑料废弃物量；同时，产品性能提升可提高电解效率，减少电解过程中的能源消耗，间接实现节能减排的效果，为有色金属工业的绿色发展提供助力。</w:t>
      </w:r>
    </w:p>
    <w:p w14:paraId="1EF731B3">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2" w:name="heading_30"/>
      <w:r>
        <w:rPr>
          <w:rFonts w:hint="eastAsia" w:ascii="黑体" w:hAnsi="宋体" w:eastAsia="黑体" w:cs="Arial"/>
          <w:color w:val="auto"/>
          <w:kern w:val="0"/>
          <w:sz w:val="21"/>
          <w:szCs w:val="21"/>
          <w:lang w:val="en-US" w:eastAsia="zh-CN" w:bidi="ar-SA"/>
        </w:rPr>
        <w:t>四、与国际标准和国外先进标准技术内容的对比</w:t>
      </w:r>
      <w:bookmarkEnd w:id="22"/>
    </w:p>
    <w:p w14:paraId="1680B27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本标准在编制过程中，经全面查阅，未查到国际标准及国外先进标准中关于电解用阴极板绝缘密封夹边条的相关内容，因此无对应的国际和国外先进标准可对比。</w:t>
      </w:r>
    </w:p>
    <w:p w14:paraId="66903226">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我国是有色金属生产和消费大国，湿法精炼工艺的技术水平和设备配套均处于国际领先地位，本标准的技术内容基于我国行业实际生产和使用需求制定，结合了国内企业的研发、生产和应用实践，部分指标（如夹紧力、尺寸范围）优于国际同类产品的通用要求，具有自主知识产权和中国特色，可作为国际同类标准制定的参考依据。</w:t>
      </w:r>
    </w:p>
    <w:p w14:paraId="22A487F0">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3" w:name="heading_31"/>
      <w:r>
        <w:rPr>
          <w:rFonts w:hint="eastAsia" w:ascii="黑体" w:hAnsi="宋体" w:eastAsia="黑体" w:cs="Arial"/>
          <w:color w:val="auto"/>
          <w:kern w:val="0"/>
          <w:sz w:val="21"/>
          <w:szCs w:val="21"/>
          <w:lang w:val="en-US" w:eastAsia="zh-CN" w:bidi="ar-SA"/>
        </w:rPr>
        <w:t>五、以国际标准为基础的起草情况以及是否合规采用国际国外标准、未采用国际标准的原因</w:t>
      </w:r>
      <w:bookmarkEnd w:id="23"/>
    </w:p>
    <w:p w14:paraId="715E025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本标准在起草过程中，未查到相关的国际标准和国外先进标准，因此未以国际标准为基础进行起草，也未采用任何国际或国外先进标准。</w:t>
      </w:r>
    </w:p>
    <w:p w14:paraId="43AA52F9">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未采用国际标准的核心原因为无相关国际和国外先进标准可参考，电解用阴极板绝缘密封夹边条是我国有色金属湿法精炼领域的配套专用部件，国外相关工艺和产品配套与我国存在差异，暂无针对性的国际标准制定，因此本标准基于我国行业实际需求自主编制。</w:t>
      </w:r>
    </w:p>
    <w:p w14:paraId="2C504D79">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4" w:name="heading_32"/>
      <w:r>
        <w:rPr>
          <w:rFonts w:hint="eastAsia" w:ascii="黑体" w:hAnsi="宋体" w:eastAsia="黑体" w:cs="Arial"/>
          <w:color w:val="auto"/>
          <w:kern w:val="0"/>
          <w:sz w:val="21"/>
          <w:szCs w:val="21"/>
          <w:lang w:val="en-US" w:eastAsia="zh-CN" w:bidi="ar-SA"/>
        </w:rPr>
        <w:t>六、与有关法律、行政法规及相关标准的关系</w:t>
      </w:r>
      <w:bookmarkEnd w:id="24"/>
    </w:p>
    <w:p w14:paraId="3C33BD9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本标准符合《中华人民共和国标准化法》《中华人民共和国产品质量法》等现行法律、法规的要求。</w:t>
      </w:r>
    </w:p>
    <w:p w14:paraId="16FCBC8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本标准与我国现行的国家标准、行业标准协调一致，无冲突、重叠和不协调之处：</w:t>
      </w:r>
    </w:p>
    <w:p w14:paraId="65837258">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本标准规范性引用的GB/T 1040.2、GB/T 1410、GB/T 2828.1等文件均为塑料材料、绝缘部件检测及抽样检验的现行最新国家标准，保证了标准体系的统一性；</w:t>
      </w:r>
    </w:p>
    <w:p w14:paraId="37B2A6F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本标准的技术要求、试验方法均符合相关通用基础标准的规定，未与现行塑料材料、绝缘部件、有色金属电解工艺相关标准产生冲突；</w:t>
      </w:r>
    </w:p>
    <w:p w14:paraId="6A4911A5">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目前国内尚无关于电解用阴极板绝缘密封夹边条的其他国家标准或行业标准，本标准的修订完善了有色金属湿法精炼配件的标准体系，填补了原标准升级后的行业空白。</w:t>
      </w:r>
    </w:p>
    <w:p w14:paraId="4D1B0A21">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5" w:name="heading_33"/>
      <w:r>
        <w:rPr>
          <w:rFonts w:hint="eastAsia" w:ascii="黑体" w:hAnsi="宋体" w:eastAsia="黑体" w:cs="Arial"/>
          <w:color w:val="auto"/>
          <w:kern w:val="0"/>
          <w:sz w:val="21"/>
          <w:szCs w:val="21"/>
          <w:lang w:val="en-US" w:eastAsia="zh-CN" w:bidi="ar-SA"/>
        </w:rPr>
        <w:t>七、重大分歧意见的处理经过和依据</w:t>
      </w:r>
      <w:bookmarkEnd w:id="25"/>
    </w:p>
    <w:p w14:paraId="03930FB9">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本标准在修订、征求意见和审定过程中，广泛征求了行业内生产企业、使用企业的意见，所有意见均进行了充分研讨和合理采纳，未产生重大分歧意见。</w:t>
      </w:r>
    </w:p>
    <w:p w14:paraId="52FAE540">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对于部分企业提出的“尺寸偏差是否可适当放宽”“夹紧力指标是否可降低”等意见，编制组通过试验验证和行业工况分析进行了详细解释和说明：尺寸偏差和夹紧力指标是根据产品的装配适配性要求和湿法电解的实际工况设定的，若放宽指标将直接影响产品的绝缘密封效果和装配稳定性，进而降低电解效率，因此未予采纳，确保了标准的科学性、严谨性和实用性。</w:t>
      </w:r>
    </w:p>
    <w:p w14:paraId="5D40E0FA">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6" w:name="heading_34"/>
      <w:r>
        <w:rPr>
          <w:rFonts w:hint="eastAsia" w:ascii="黑体" w:hAnsi="宋体" w:eastAsia="黑体" w:cs="Arial"/>
          <w:color w:val="auto"/>
          <w:kern w:val="0"/>
          <w:sz w:val="21"/>
          <w:szCs w:val="21"/>
          <w:lang w:val="en-US" w:eastAsia="zh-CN" w:bidi="ar-SA"/>
        </w:rPr>
        <w:t>八、涉及专利的有关说明</w:t>
      </w:r>
      <w:bookmarkEnd w:id="26"/>
    </w:p>
    <w:p w14:paraId="5673E50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本标准的技术内容未涉及任何专利问题，无专利申请、专利实施许可的相关情况，也无需提供专利信息披露表、必要专利实施许可声明表等相关材料。</w:t>
      </w:r>
    </w:p>
    <w:p w14:paraId="09325231">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7" w:name="heading_35"/>
      <w:r>
        <w:rPr>
          <w:rFonts w:hint="eastAsia" w:ascii="黑体" w:hAnsi="宋体" w:eastAsia="黑体" w:cs="Arial"/>
          <w:color w:val="auto"/>
          <w:kern w:val="0"/>
          <w:sz w:val="21"/>
          <w:szCs w:val="21"/>
          <w:lang w:val="en-US" w:eastAsia="zh-CN" w:bidi="ar-SA"/>
        </w:rPr>
        <w:t>九、实施国家标准的要求以及组织措施、技术措施、过渡期和实施日期的建议等措施建议</w:t>
      </w:r>
      <w:bookmarkEnd w:id="27"/>
    </w:p>
    <w:p w14:paraId="45D4C01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建议作为推荐性有色金属行业标准发布，原因如下：本标准的技术内容为电解用阴极板绝缘密封夹边条的质量要求、试验方法、检验规则等产品技术规范，无涉及国家安全、生态环境、人身健康等需要强制性实施的内容；同时，鼓励企业在符合本标准的基础上，制定高于本标准的企业标准，推动行业技术进步和产品质量持续提升。</w:t>
      </w:r>
    </w:p>
    <w:p w14:paraId="5528094A">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8" w:name="heading_36"/>
      <w:r>
        <w:rPr>
          <w:rFonts w:hint="eastAsia" w:ascii="黑体" w:hAnsi="宋体" w:eastAsia="黑体" w:cs="Arial"/>
          <w:color w:val="auto"/>
          <w:kern w:val="0"/>
          <w:sz w:val="21"/>
          <w:szCs w:val="21"/>
          <w:lang w:val="en-US" w:eastAsia="zh-CN" w:bidi="ar-SA"/>
        </w:rPr>
        <w:t>（一）贯彻标准的要求</w:t>
      </w:r>
      <w:bookmarkEnd w:id="28"/>
    </w:p>
    <w:p w14:paraId="655CEA5D">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本标准发布后，各相关生产企业应严格按照标准规定组织生产、检验和验收，规范原料采购、生产工艺、成品检验等各环节管理，确保产品符合标准要求；</w:t>
      </w:r>
    </w:p>
    <w:p w14:paraId="67DE23A8">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使用企业应将本标准作为产品采购、验收的核心依据，规范采购行为，提升产品质量把控能力，从源头保障电解生产的稳定性；</w:t>
      </w:r>
    </w:p>
    <w:p w14:paraId="0EAE0672">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检测机构应按照本标准规定的试验方法开展检测工作，严格遵循检测规范，保证检测结果的准确性、公正性和权威性；</w:t>
      </w:r>
    </w:p>
    <w:p w14:paraId="71976E88">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行业内各相关单位应积极学习和贯彻本标准内容，推动标准在行业内的全面落地实施。</w:t>
      </w:r>
    </w:p>
    <w:p w14:paraId="6ED1A959">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29" w:name="heading_37"/>
      <w:r>
        <w:rPr>
          <w:rFonts w:hint="eastAsia" w:ascii="黑体" w:hAnsi="宋体" w:eastAsia="黑体" w:cs="Arial"/>
          <w:color w:val="auto"/>
          <w:kern w:val="0"/>
          <w:sz w:val="21"/>
          <w:szCs w:val="21"/>
          <w:lang w:val="en-US" w:eastAsia="zh-CN" w:bidi="ar-SA"/>
        </w:rPr>
        <w:t>（二）组织措施</w:t>
      </w:r>
      <w:bookmarkEnd w:id="29"/>
    </w:p>
    <w:p w14:paraId="77B3150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由全国有色金属标准化技术委员会牵头，组织开展本标准的宣贯培训工作，邀请标准起草人对标准技术内容、试验方法、检验规则进行专业讲解，覆盖行业内主要生产企业、使用企业和检测机构；</w:t>
      </w:r>
    </w:p>
    <w:p w14:paraId="34F35A0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行业协会发挥引导和监督作用，推动企业自觉执行标准，规范市场竞争秩序，对符合标准的优质产品进行推广，提升行业整体质量水平；</w:t>
      </w:r>
    </w:p>
    <w:p w14:paraId="5549A24E">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起草单位与行业骨干企业配合，建立标准实施交流平台，及时解答企业在标准实施过程中遇到的问题，促进标准的准确执行。</w:t>
      </w:r>
    </w:p>
    <w:p w14:paraId="568F5A6B">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30" w:name="heading_38"/>
      <w:r>
        <w:rPr>
          <w:rFonts w:hint="eastAsia" w:ascii="黑体" w:hAnsi="宋体" w:eastAsia="黑体" w:cs="Arial"/>
          <w:color w:val="auto"/>
          <w:kern w:val="0"/>
          <w:sz w:val="21"/>
          <w:szCs w:val="21"/>
          <w:lang w:val="en-US" w:eastAsia="zh-CN" w:bidi="ar-SA"/>
        </w:rPr>
        <w:t>（三）技术措施</w:t>
      </w:r>
      <w:bookmarkEnd w:id="30"/>
    </w:p>
    <w:p w14:paraId="424D351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标准起草单位编写《电解用阴极板绝缘密封夹边条标准实施指南》，为企业提供详细的操作指导，帮助企业准确理解标准条款，规范试验和检验操作；</w:t>
      </w:r>
    </w:p>
    <w:p w14:paraId="4CCC19D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生产企业加强技术改造和工艺优化，配套相应的检测设备，确保能够满足标准规定的原料要求、尺寸精度和性能指标检测需求；</w:t>
      </w:r>
    </w:p>
    <w:p w14:paraId="1E6758BA">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鼓励行业内企业开展技术研发，围绕聚苯醚改性塑料夹边条的性能提升、工艺优化进行创新，推动行业技术进步。</w:t>
      </w:r>
    </w:p>
    <w:p w14:paraId="1B28AD72">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31" w:name="heading_39"/>
      <w:r>
        <w:rPr>
          <w:rFonts w:hint="eastAsia" w:ascii="黑体" w:hAnsi="宋体" w:eastAsia="黑体" w:cs="Arial"/>
          <w:color w:val="auto"/>
          <w:kern w:val="0"/>
          <w:sz w:val="21"/>
          <w:szCs w:val="21"/>
          <w:lang w:val="en-US" w:eastAsia="zh-CN" w:bidi="ar-SA"/>
        </w:rPr>
        <w:t>（四）过渡期和实施日期建议</w:t>
      </w:r>
      <w:bookmarkEnd w:id="31"/>
    </w:p>
    <w:p w14:paraId="04AFA1A5">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建议本标准发布后3～6个月正式实施，为企业预留充足的技术改造、工艺调整、设备配套和人员培训时间，确保企业能够平稳过渡并严格执行标准。</w:t>
      </w:r>
    </w:p>
    <w:p w14:paraId="1217093B">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本标准实施之日起，代替YS/T 1193-2017《电解用绝缘密封夹边条》，原标准同时废止。</w:t>
      </w:r>
    </w:p>
    <w:p w14:paraId="490482DE">
      <w:pPr>
        <w:spacing w:before="300" w:after="120" w:line="288" w:lineRule="auto"/>
        <w:ind w:left="0"/>
        <w:jc w:val="left"/>
        <w:outlineLvl w:val="2"/>
        <w:rPr>
          <w:rFonts w:hint="eastAsia" w:ascii="黑体" w:hAnsi="宋体" w:eastAsia="黑体" w:cs="Arial"/>
          <w:color w:val="auto"/>
          <w:kern w:val="0"/>
          <w:sz w:val="21"/>
          <w:szCs w:val="21"/>
          <w:lang w:val="en-US" w:eastAsia="zh-CN" w:bidi="ar-SA"/>
        </w:rPr>
      </w:pPr>
      <w:bookmarkStart w:id="32" w:name="heading_40"/>
      <w:r>
        <w:rPr>
          <w:rFonts w:hint="eastAsia" w:ascii="黑体" w:hAnsi="宋体" w:eastAsia="黑体" w:cs="Arial"/>
          <w:color w:val="auto"/>
          <w:kern w:val="0"/>
          <w:sz w:val="21"/>
          <w:szCs w:val="21"/>
          <w:lang w:val="en-US" w:eastAsia="zh-CN" w:bidi="ar-SA"/>
        </w:rPr>
        <w:t>十、其他应当说明的事项</w:t>
      </w:r>
      <w:bookmarkEnd w:id="32"/>
    </w:p>
    <w:p w14:paraId="274767D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本标准项目无名称、范围以及时间周期上的调整，无其他应当说明的事项。</w:t>
      </w:r>
    </w:p>
    <w:p w14:paraId="6FECCF81">
      <w:pPr>
        <w:keepNext w:val="0"/>
        <w:keepLines w:val="0"/>
        <w:pageBreakBefore w:val="0"/>
        <w:kinsoku/>
        <w:wordWrap/>
        <w:overflowPunct/>
        <w:topLinePunct w:val="0"/>
        <w:bidi w:val="0"/>
        <w:snapToGrid/>
        <w:spacing w:line="440" w:lineRule="exact"/>
        <w:jc w:val="right"/>
        <w:textAlignment w:val="auto"/>
        <w:rPr>
          <w:rFonts w:hint="eastAsia" w:ascii="宋体" w:hAnsi="宋体" w:eastAsia="宋体" w:cstheme="minorBidi"/>
          <w:color w:val="auto"/>
          <w:kern w:val="2"/>
          <w:sz w:val="21"/>
          <w:szCs w:val="21"/>
          <w:lang w:val="en-US" w:eastAsia="zh-CN" w:bidi="ar-SA"/>
        </w:rPr>
      </w:pPr>
      <w:r>
        <w:rPr>
          <w:rFonts w:hint="eastAsia" w:ascii="宋体" w:hAnsi="宋体" w:eastAsia="宋体" w:cstheme="minorBidi"/>
          <w:color w:val="auto"/>
          <w:kern w:val="2"/>
          <w:sz w:val="21"/>
          <w:szCs w:val="21"/>
          <w:lang w:val="en-US" w:eastAsia="zh-CN" w:bidi="ar-SA"/>
        </w:rPr>
        <w:t>《电解用阴极板绝缘密封夹边条》编制组</w:t>
      </w:r>
    </w:p>
    <w:p w14:paraId="166F3A6B">
      <w:pPr>
        <w:keepNext w:val="0"/>
        <w:keepLines w:val="0"/>
        <w:pageBreakBefore w:val="0"/>
        <w:kinsoku/>
        <w:wordWrap/>
        <w:overflowPunct/>
        <w:topLinePunct w:val="0"/>
        <w:bidi w:val="0"/>
        <w:snapToGrid/>
        <w:spacing w:line="440" w:lineRule="exact"/>
        <w:jc w:val="right"/>
        <w:textAlignment w:val="auto"/>
        <w:rPr>
          <w:rFonts w:hint="eastAsia" w:ascii="宋体" w:hAnsi="宋体" w:eastAsia="宋体" w:cstheme="minorBidi"/>
          <w:color w:val="auto"/>
          <w:kern w:val="2"/>
          <w:sz w:val="21"/>
          <w:szCs w:val="21"/>
          <w:lang w:val="en-US" w:eastAsia="zh-CN" w:bidi="ar-SA"/>
        </w:rPr>
      </w:pPr>
      <w:r>
        <w:rPr>
          <w:rFonts w:hint="eastAsia" w:ascii="宋体" w:hAnsi="宋体" w:eastAsia="宋体" w:cstheme="minorBidi"/>
          <w:color w:val="auto"/>
          <w:kern w:val="2"/>
          <w:sz w:val="21"/>
          <w:szCs w:val="21"/>
          <w:lang w:val="en-US" w:eastAsia="zh-CN" w:bidi="ar-SA"/>
        </w:rPr>
        <w:t>2026年8月</w:t>
      </w:r>
    </w:p>
    <w:p w14:paraId="53E654FF">
      <w:pPr>
        <w:spacing w:before="120" w:after="120" w:line="288" w:lineRule="auto"/>
        <w:ind w:left="0"/>
        <w:jc w:val="left"/>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C65E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E9C4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63263"/>
    <w:rsid w:val="07BB26C5"/>
    <w:rsid w:val="08097D79"/>
    <w:rsid w:val="08BE76F8"/>
    <w:rsid w:val="0CD57FBD"/>
    <w:rsid w:val="0E127D57"/>
    <w:rsid w:val="0F4F5A5E"/>
    <w:rsid w:val="12502DF5"/>
    <w:rsid w:val="166F3296"/>
    <w:rsid w:val="178A1D29"/>
    <w:rsid w:val="197B4E28"/>
    <w:rsid w:val="1FC2067C"/>
    <w:rsid w:val="23267DBA"/>
    <w:rsid w:val="260A241D"/>
    <w:rsid w:val="2A827180"/>
    <w:rsid w:val="2AFB3A90"/>
    <w:rsid w:val="2BEE33DA"/>
    <w:rsid w:val="2E3B3A5C"/>
    <w:rsid w:val="2E3F4055"/>
    <w:rsid w:val="35F57CDC"/>
    <w:rsid w:val="3BE949C1"/>
    <w:rsid w:val="3C966EAB"/>
    <w:rsid w:val="3FA322C5"/>
    <w:rsid w:val="433D4C88"/>
    <w:rsid w:val="44EF2301"/>
    <w:rsid w:val="45035E84"/>
    <w:rsid w:val="499E4F9F"/>
    <w:rsid w:val="52743536"/>
    <w:rsid w:val="539F707D"/>
    <w:rsid w:val="5ACF3815"/>
    <w:rsid w:val="5CEA07F1"/>
    <w:rsid w:val="63A177AC"/>
    <w:rsid w:val="655C6F27"/>
    <w:rsid w:val="69057AE9"/>
    <w:rsid w:val="6EFE1EF9"/>
    <w:rsid w:val="6F4226B2"/>
    <w:rsid w:val="729934A9"/>
    <w:rsid w:val="72B10545"/>
    <w:rsid w:val="78303CCC"/>
    <w:rsid w:val="7B607CCF"/>
    <w:rsid w:val="7B7A124F"/>
    <w:rsid w:val="7E4854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eastAsia="仿宋_GB2312"/>
    </w:rPr>
  </w:style>
  <w:style w:type="paragraph" w:styleId="4">
    <w:name w:val="annotation text"/>
    <w:basedOn w:val="1"/>
    <w:qFormat/>
    <w:uiPriority w:val="0"/>
    <w:pPr>
      <w:spacing w:line="360" w:lineRule="auto"/>
      <w:jc w:val="left"/>
    </w:pPr>
    <w:rPr>
      <w:rFonts w:ascii="宋体" w:hAnsi="宋体" w:eastAsia="宋体" w:cs="Times New Roman"/>
      <w:szCs w:val="24"/>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Normal Indent1"/>
    <w:basedOn w:val="1"/>
    <w:autoRedefine/>
    <w:qFormat/>
    <w:uiPriority w:val="0"/>
    <w:pPr>
      <w:widowControl/>
      <w:spacing w:line="360" w:lineRule="auto"/>
      <w:ind w:firstLine="420"/>
    </w:pPr>
    <w:rPr>
      <w:rFonts w:ascii="宋体"/>
      <w:kern w:val="0"/>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7952</Words>
  <Characters>8183</Characters>
  <TotalTime>0</TotalTime>
  <ScaleCrop>false</ScaleCrop>
  <LinksUpToDate>false</LinksUpToDate>
  <CharactersWithSpaces>8224</CharactersWithSpaces>
  <Application>WPS Office_12.1.0.23122_F1E327BC-269C-435d-A152-05C5408002CA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2026-03-06T10:24:00Z</dcterms:created>
  <dc:creator>Apache POI</dc:creator>
  <cp:lastModifiedBy>樊赣湘</cp:lastModifiedBy>
  <cp:lastPrinted>2026-07-28T02:11:00Z</cp:lastPrinted>
  <dcterms:modified xsi:type="dcterms:W3CDTF">2026-08-04T07:23:16Z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eyJoZGlkIjoiMjJhNDg4MTAyZGQxZmY5OGVlZWQ5M2Y2NDY4MDBlMWMiLCJ1c2VySWQiOiIxNDkzNzg0NzAzIn0=</vt:lpwstr>
  </property>
  <property fmtid="{D5CDD505-2E9C-101B-9397-08002B2CF9AE}" pid="3" name="KSOProductBuildVer">
    <vt:lpwstr>2052-12.1.0.23122</vt:lpwstr>
  </property>
  <property fmtid="{D5CDD505-2E9C-101B-9397-08002B2CF9AE}" pid="4" name="ICV">
    <vt:lpwstr>85B8D92855C146039B1E61A78B39D4A9_13</vt:lpwstr>
  </property>
</Properties>
</file>