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AD41A">
      <w:pPr>
        <w:tabs>
          <w:tab w:val="left" w:pos="2119"/>
          <w:tab w:val="center" w:pos="5233"/>
        </w:tabs>
        <w:jc w:val="center"/>
        <w:rPr>
          <w:b/>
          <w:sz w:val="28"/>
          <w:szCs w:val="28"/>
        </w:rPr>
      </w:pPr>
      <w:r>
        <w:rPr>
          <w:rFonts w:hint="eastAsia"/>
          <w:b/>
          <w:sz w:val="28"/>
          <w:szCs w:val="28"/>
        </w:rPr>
        <w:t>标准征求意见稿意见汇总处理表</w:t>
      </w:r>
    </w:p>
    <w:p w14:paraId="2A04D6CB">
      <w:pPr>
        <w:spacing w:line="340" w:lineRule="exact"/>
        <w:rPr>
          <w:rFonts w:ascii="宋体" w:hAnsi="宋体"/>
          <w:szCs w:val="21"/>
        </w:rPr>
      </w:pPr>
      <w:r>
        <w:rPr>
          <w:rFonts w:hint="eastAsia" w:ascii="宋体" w:hAnsi="宋体"/>
          <w:szCs w:val="21"/>
        </w:rPr>
        <w:t>标准项目名称: 镍化学分析方法 第5部分：镁、镉、钴、铜、锰、铅和锌含量的测定 火焰原子吸收光谱法            承办人:王云杰             共</w:t>
      </w:r>
      <w:r>
        <w:rPr>
          <w:rFonts w:hint="eastAsia" w:ascii="宋体" w:hAnsi="宋体"/>
          <w:szCs w:val="21"/>
          <w:lang w:val="en-US" w:eastAsia="zh-CN"/>
        </w:rPr>
        <w:t>2</w:t>
      </w:r>
      <w:r>
        <w:rPr>
          <w:rFonts w:hint="eastAsia" w:ascii="宋体" w:hAnsi="宋体"/>
          <w:szCs w:val="21"/>
        </w:rPr>
        <w:t>页 第1页</w:t>
      </w:r>
    </w:p>
    <w:p w14:paraId="03DE3CFF">
      <w:pPr>
        <w:pStyle w:val="10"/>
        <w:spacing w:before="0" w:line="240" w:lineRule="auto"/>
        <w:jc w:val="both"/>
        <w:rPr>
          <w:rFonts w:ascii="宋体" w:hAnsi="宋体"/>
          <w:kern w:val="2"/>
          <w:sz w:val="21"/>
          <w:szCs w:val="21"/>
        </w:rPr>
      </w:pPr>
      <w:r>
        <w:rPr>
          <w:rFonts w:hint="eastAsia" w:ascii="宋体" w:hAnsi="宋体"/>
          <w:kern w:val="2"/>
          <w:sz w:val="21"/>
          <w:szCs w:val="21"/>
        </w:rPr>
        <w:t>标准项目</w:t>
      </w:r>
      <w:r>
        <w:rPr>
          <w:rFonts w:ascii="宋体" w:hAnsi="宋体"/>
          <w:kern w:val="2"/>
          <w:sz w:val="21"/>
          <w:szCs w:val="21"/>
        </w:rPr>
        <w:t>负责起草单位</w:t>
      </w:r>
      <w:r>
        <w:rPr>
          <w:rFonts w:hint="eastAsia" w:ascii="宋体" w:hAnsi="宋体"/>
          <w:kern w:val="2"/>
          <w:sz w:val="21"/>
          <w:szCs w:val="21"/>
        </w:rPr>
        <w:t>: 北矿检测技术股份有限公司        电话:</w:t>
      </w:r>
      <w:r>
        <w:rPr>
          <w:rFonts w:ascii="宋体" w:hAnsi="宋体"/>
          <w:kern w:val="2"/>
          <w:sz w:val="21"/>
          <w:szCs w:val="21"/>
        </w:rPr>
        <w:t>13521957679</w:t>
      </w:r>
      <w:r>
        <w:rPr>
          <w:rFonts w:hint="eastAsia" w:ascii="宋体" w:hAnsi="宋体"/>
          <w:kern w:val="2"/>
          <w:sz w:val="21"/>
          <w:szCs w:val="21"/>
        </w:rPr>
        <w:t xml:space="preserve">    202</w:t>
      </w:r>
      <w:r>
        <w:rPr>
          <w:rFonts w:hint="eastAsia" w:ascii="宋体" w:hAnsi="宋体"/>
          <w:kern w:val="2"/>
          <w:sz w:val="21"/>
          <w:szCs w:val="21"/>
          <w:lang w:val="en-US" w:eastAsia="zh-CN"/>
        </w:rPr>
        <w:t>6</w:t>
      </w:r>
      <w:r>
        <w:rPr>
          <w:rFonts w:hint="eastAsia" w:ascii="宋体" w:hAnsi="宋体"/>
          <w:kern w:val="2"/>
          <w:sz w:val="21"/>
          <w:szCs w:val="21"/>
        </w:rPr>
        <w:t>年</w:t>
      </w:r>
      <w:r>
        <w:rPr>
          <w:rFonts w:hint="eastAsia" w:ascii="宋体" w:hAnsi="宋体"/>
          <w:kern w:val="2"/>
          <w:sz w:val="21"/>
          <w:szCs w:val="21"/>
          <w:lang w:val="en-US" w:eastAsia="zh-CN"/>
        </w:rPr>
        <w:t>7</w:t>
      </w:r>
      <w:r>
        <w:rPr>
          <w:rFonts w:hint="eastAsia" w:ascii="宋体" w:hAnsi="宋体"/>
          <w:kern w:val="2"/>
          <w:sz w:val="21"/>
          <w:szCs w:val="21"/>
        </w:rPr>
        <w:t>月</w:t>
      </w:r>
      <w:r>
        <w:rPr>
          <w:rFonts w:hint="eastAsia" w:ascii="宋体" w:hAnsi="宋体"/>
          <w:kern w:val="2"/>
          <w:sz w:val="21"/>
          <w:szCs w:val="21"/>
          <w:lang w:val="en-US" w:eastAsia="zh-CN"/>
        </w:rPr>
        <w:t>19</w:t>
      </w:r>
      <w:r>
        <w:rPr>
          <w:rFonts w:hint="eastAsia" w:ascii="宋体" w:hAnsi="宋体"/>
          <w:kern w:val="2"/>
          <w:sz w:val="21"/>
          <w:szCs w:val="21"/>
        </w:rPr>
        <w:t>日填写</w:t>
      </w:r>
    </w:p>
    <w:tbl>
      <w:tblPr>
        <w:tblStyle w:val="5"/>
        <w:tblW w:w="10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134"/>
        <w:gridCol w:w="2815"/>
        <w:gridCol w:w="2562"/>
        <w:gridCol w:w="1012"/>
        <w:gridCol w:w="2047"/>
      </w:tblGrid>
      <w:tr w14:paraId="1614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3BC26A57">
            <w:pPr>
              <w:jc w:val="center"/>
              <w:rPr>
                <w:szCs w:val="21"/>
              </w:rPr>
            </w:pPr>
            <w:r>
              <w:rPr>
                <w:szCs w:val="21"/>
              </w:rPr>
              <w:t>序号</w:t>
            </w:r>
          </w:p>
        </w:tc>
        <w:tc>
          <w:tcPr>
            <w:tcW w:w="1134" w:type="dxa"/>
            <w:vAlign w:val="center"/>
          </w:tcPr>
          <w:p w14:paraId="53132BEE">
            <w:pPr>
              <w:jc w:val="center"/>
              <w:rPr>
                <w:szCs w:val="21"/>
              </w:rPr>
            </w:pPr>
            <w:r>
              <w:rPr>
                <w:szCs w:val="21"/>
              </w:rPr>
              <w:t>标准章条编号</w:t>
            </w:r>
          </w:p>
        </w:tc>
        <w:tc>
          <w:tcPr>
            <w:tcW w:w="2815" w:type="dxa"/>
            <w:vAlign w:val="center"/>
          </w:tcPr>
          <w:p w14:paraId="165A896D">
            <w:pPr>
              <w:jc w:val="center"/>
              <w:rPr>
                <w:szCs w:val="21"/>
              </w:rPr>
            </w:pPr>
            <w:r>
              <w:rPr>
                <w:szCs w:val="21"/>
              </w:rPr>
              <w:t>意见内容</w:t>
            </w:r>
          </w:p>
        </w:tc>
        <w:tc>
          <w:tcPr>
            <w:tcW w:w="2562" w:type="dxa"/>
            <w:vAlign w:val="center"/>
          </w:tcPr>
          <w:p w14:paraId="2974789F">
            <w:pPr>
              <w:jc w:val="center"/>
              <w:rPr>
                <w:szCs w:val="21"/>
              </w:rPr>
            </w:pPr>
            <w:r>
              <w:rPr>
                <w:szCs w:val="21"/>
              </w:rPr>
              <w:t>提出单位</w:t>
            </w:r>
          </w:p>
        </w:tc>
        <w:tc>
          <w:tcPr>
            <w:tcW w:w="1012" w:type="dxa"/>
            <w:vAlign w:val="center"/>
          </w:tcPr>
          <w:p w14:paraId="53CFE92E">
            <w:pPr>
              <w:jc w:val="center"/>
              <w:rPr>
                <w:szCs w:val="21"/>
              </w:rPr>
            </w:pPr>
            <w:r>
              <w:rPr>
                <w:szCs w:val="21"/>
              </w:rPr>
              <w:t>处理意见</w:t>
            </w:r>
          </w:p>
        </w:tc>
        <w:tc>
          <w:tcPr>
            <w:tcW w:w="2047" w:type="dxa"/>
            <w:vAlign w:val="center"/>
          </w:tcPr>
          <w:p w14:paraId="69B9BDD2">
            <w:pPr>
              <w:jc w:val="center"/>
              <w:rPr>
                <w:szCs w:val="21"/>
              </w:rPr>
            </w:pPr>
            <w:r>
              <w:rPr>
                <w:szCs w:val="21"/>
              </w:rPr>
              <w:t>备注</w:t>
            </w:r>
          </w:p>
        </w:tc>
      </w:tr>
      <w:tr w14:paraId="49BF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050" w:type="dxa"/>
            <w:vAlign w:val="center"/>
          </w:tcPr>
          <w:p w14:paraId="69096685">
            <w:pPr>
              <w:jc w:val="center"/>
              <w:rPr>
                <w:rFonts w:hint="eastAsia" w:eastAsia="宋体"/>
                <w:sz w:val="18"/>
                <w:szCs w:val="18"/>
                <w:lang w:eastAsia="zh-CN"/>
              </w:rPr>
            </w:pPr>
            <w:r>
              <w:rPr>
                <w:rFonts w:hint="eastAsia"/>
                <w:sz w:val="18"/>
                <w:szCs w:val="18"/>
                <w:lang w:val="en-US" w:eastAsia="zh-CN"/>
              </w:rPr>
              <w:t>1</w:t>
            </w:r>
          </w:p>
        </w:tc>
        <w:tc>
          <w:tcPr>
            <w:tcW w:w="1134" w:type="dxa"/>
            <w:vAlign w:val="center"/>
          </w:tcPr>
          <w:p w14:paraId="1E3F5EBF">
            <w:pPr>
              <w:jc w:val="center"/>
              <w:rPr>
                <w:rFonts w:hint="default" w:eastAsia="宋体"/>
                <w:sz w:val="18"/>
                <w:szCs w:val="18"/>
                <w:lang w:val="en-US" w:eastAsia="zh-CN"/>
              </w:rPr>
            </w:pPr>
            <w:r>
              <w:rPr>
                <w:rFonts w:hint="eastAsia"/>
                <w:sz w:val="18"/>
                <w:szCs w:val="18"/>
                <w:lang w:val="en-US" w:eastAsia="zh-CN"/>
              </w:rPr>
              <w:t>4 原理</w:t>
            </w:r>
          </w:p>
        </w:tc>
        <w:tc>
          <w:tcPr>
            <w:tcW w:w="2815" w:type="dxa"/>
            <w:vAlign w:val="center"/>
          </w:tcPr>
          <w:p w14:paraId="267E53AC">
            <w:pPr>
              <w:ind w:firstLine="359" w:firstLineChars="171"/>
              <w:rPr>
                <w:rFonts w:hint="eastAsia"/>
                <w:lang w:val="en-US" w:eastAsia="zh-CN"/>
              </w:rPr>
            </w:pPr>
            <w:r>
              <w:rPr>
                <w:rFonts w:hint="eastAsia"/>
                <w:lang w:val="en-US" w:eastAsia="zh-CN"/>
              </w:rPr>
              <w:t>将“表2所列波长”改为“表2推荐波长”</w:t>
            </w:r>
          </w:p>
          <w:p w14:paraId="2BAE203A">
            <w:pPr>
              <w:jc w:val="center"/>
              <w:rPr>
                <w:sz w:val="18"/>
                <w:szCs w:val="18"/>
              </w:rPr>
            </w:pPr>
          </w:p>
        </w:tc>
        <w:tc>
          <w:tcPr>
            <w:tcW w:w="2562" w:type="dxa"/>
            <w:vAlign w:val="center"/>
          </w:tcPr>
          <w:p w14:paraId="27F9E56C">
            <w:pPr>
              <w:jc w:val="center"/>
              <w:rPr>
                <w:rFonts w:hint="default" w:eastAsia="宋体"/>
                <w:color w:val="auto"/>
                <w:sz w:val="21"/>
                <w:szCs w:val="21"/>
                <w:lang w:val="en-US" w:eastAsia="zh-CN"/>
              </w:rPr>
            </w:pPr>
            <w:r>
              <w:rPr>
                <w:rFonts w:hint="eastAsia"/>
                <w:color w:val="auto"/>
                <w:sz w:val="21"/>
                <w:szCs w:val="21"/>
                <w:lang w:val="en-US" w:eastAsia="zh-CN"/>
              </w:rPr>
              <w:t>中国检验认证集团广东有限公司黄埔分公司</w:t>
            </w:r>
          </w:p>
        </w:tc>
        <w:tc>
          <w:tcPr>
            <w:tcW w:w="1012" w:type="dxa"/>
            <w:vAlign w:val="center"/>
          </w:tcPr>
          <w:p w14:paraId="488845F3">
            <w:pPr>
              <w:jc w:val="center"/>
              <w:rPr>
                <w:rFonts w:hint="eastAsia" w:eastAsia="宋体"/>
                <w:sz w:val="21"/>
                <w:szCs w:val="21"/>
                <w:lang w:val="en-US" w:eastAsia="zh-CN"/>
              </w:rPr>
            </w:pPr>
            <w:r>
              <w:rPr>
                <w:rFonts w:hint="eastAsia"/>
                <w:sz w:val="21"/>
                <w:szCs w:val="21"/>
                <w:lang w:val="en-US" w:eastAsia="zh-CN"/>
              </w:rPr>
              <w:t>采纳</w:t>
            </w:r>
          </w:p>
        </w:tc>
        <w:tc>
          <w:tcPr>
            <w:tcW w:w="2047" w:type="dxa"/>
            <w:vAlign w:val="center"/>
          </w:tcPr>
          <w:p w14:paraId="4E5AD99D">
            <w:pPr>
              <w:jc w:val="center"/>
              <w:rPr>
                <w:sz w:val="18"/>
                <w:szCs w:val="18"/>
              </w:rPr>
            </w:pPr>
          </w:p>
        </w:tc>
      </w:tr>
      <w:tr w14:paraId="625A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3B618072">
            <w:pPr>
              <w:jc w:val="center"/>
              <w:rPr>
                <w:rFonts w:hint="eastAsia" w:eastAsia="宋体"/>
                <w:sz w:val="18"/>
                <w:szCs w:val="18"/>
                <w:lang w:eastAsia="zh-CN"/>
              </w:rPr>
            </w:pPr>
            <w:r>
              <w:rPr>
                <w:rFonts w:hint="eastAsia"/>
                <w:sz w:val="18"/>
                <w:szCs w:val="18"/>
                <w:lang w:val="en-US" w:eastAsia="zh-CN"/>
              </w:rPr>
              <w:t>2</w:t>
            </w:r>
          </w:p>
        </w:tc>
        <w:tc>
          <w:tcPr>
            <w:tcW w:w="1134" w:type="dxa"/>
            <w:vAlign w:val="center"/>
          </w:tcPr>
          <w:p w14:paraId="42AF038C">
            <w:pPr>
              <w:jc w:val="center"/>
              <w:rPr>
                <w:sz w:val="18"/>
                <w:szCs w:val="18"/>
              </w:rPr>
            </w:pPr>
            <w:r>
              <w:rPr>
                <w:rFonts w:hint="eastAsia"/>
                <w:sz w:val="18"/>
                <w:szCs w:val="18"/>
                <w:lang w:val="en-US" w:eastAsia="zh-CN"/>
              </w:rPr>
              <w:t>4 原理</w:t>
            </w:r>
          </w:p>
        </w:tc>
        <w:tc>
          <w:tcPr>
            <w:tcW w:w="2815" w:type="dxa"/>
            <w:vAlign w:val="center"/>
          </w:tcPr>
          <w:p w14:paraId="2FB44E39">
            <w:pPr>
              <w:ind w:firstLine="359" w:firstLineChars="171"/>
              <w:rPr>
                <w:rFonts w:hint="eastAsia" w:eastAsia="宋体"/>
                <w:lang w:val="en-US" w:eastAsia="zh-CN"/>
              </w:rPr>
            </w:pPr>
            <w:r>
              <w:rPr>
                <w:rFonts w:hint="eastAsia"/>
                <w:lang w:val="en-US" w:eastAsia="zh-CN"/>
              </w:rPr>
              <w:t>删除“</w:t>
            </w:r>
            <w:r>
              <w:t>在标准溶液中应含有与试料溶液相同浓度的镍基体。</w:t>
            </w:r>
            <w:r>
              <w:rPr>
                <w:rFonts w:hint="eastAsia"/>
                <w:lang w:eastAsia="zh-CN"/>
              </w:rPr>
              <w:t>”</w:t>
            </w:r>
            <w:r>
              <w:rPr>
                <w:rFonts w:hint="eastAsia"/>
                <w:lang w:val="en-US" w:eastAsia="zh-CN"/>
              </w:rPr>
              <w:t>改为“</w:t>
            </w:r>
            <w:r>
              <w:t>试料用硝酸分解</w:t>
            </w:r>
            <w:r>
              <w:rPr>
                <w:rFonts w:hint="eastAsia"/>
              </w:rPr>
              <w:t>，</w:t>
            </w:r>
            <w:r>
              <w:rPr>
                <w:rFonts w:hint="eastAsia"/>
                <w:lang w:val="en-US" w:eastAsia="zh-CN"/>
              </w:rPr>
              <w:t>采用基体匹配法，</w:t>
            </w:r>
            <w:r>
              <w:t>在稀硝酸介质中，使用空气</w:t>
            </w:r>
            <w:r>
              <w:rPr>
                <w:rFonts w:hint="eastAsia"/>
              </w:rPr>
              <w:t>-</w:t>
            </w:r>
            <w:r>
              <w:t>乙炔火焰，于原子吸收</w:t>
            </w:r>
            <w:r>
              <w:rPr>
                <w:rFonts w:hint="eastAsia"/>
              </w:rPr>
              <w:t>光谱仪</w:t>
            </w:r>
            <w:r>
              <w:t>上，按表2</w:t>
            </w:r>
            <w:r>
              <w:rPr>
                <w:rFonts w:hint="eastAsia"/>
                <w:highlight w:val="none"/>
                <w:shd w:val="clear" w:color="auto" w:fill="auto"/>
                <w:lang w:val="en-US" w:eastAsia="zh-CN"/>
              </w:rPr>
              <w:t>推荐</w:t>
            </w:r>
            <w:r>
              <w:t>波长测量各元素的吸光度</w:t>
            </w:r>
            <w:r>
              <w:rPr>
                <w:rFonts w:hint="eastAsia"/>
                <w:lang w:eastAsia="zh-CN"/>
              </w:rPr>
              <w:t>。</w:t>
            </w:r>
          </w:p>
          <w:p w14:paraId="240D76A8">
            <w:pPr>
              <w:jc w:val="center"/>
              <w:rPr>
                <w:szCs w:val="21"/>
              </w:rPr>
            </w:pPr>
          </w:p>
        </w:tc>
        <w:tc>
          <w:tcPr>
            <w:tcW w:w="2562" w:type="dxa"/>
            <w:vAlign w:val="center"/>
          </w:tcPr>
          <w:p w14:paraId="6448E776">
            <w:pPr>
              <w:jc w:val="center"/>
              <w:rPr>
                <w:rFonts w:hint="default" w:eastAsia="宋体"/>
                <w:color w:val="auto"/>
                <w:sz w:val="21"/>
                <w:szCs w:val="21"/>
                <w:lang w:val="en-US" w:eastAsia="zh-CN"/>
              </w:rPr>
            </w:pPr>
            <w:r>
              <w:rPr>
                <w:rFonts w:hint="eastAsia"/>
                <w:color w:val="auto"/>
                <w:sz w:val="21"/>
                <w:szCs w:val="21"/>
                <w:lang w:val="en-US" w:eastAsia="zh-CN"/>
              </w:rPr>
              <w:t>中国检验认证集团广东有限公司黄埔分公司</w:t>
            </w:r>
          </w:p>
        </w:tc>
        <w:tc>
          <w:tcPr>
            <w:tcW w:w="1012" w:type="dxa"/>
            <w:vAlign w:val="center"/>
          </w:tcPr>
          <w:p w14:paraId="4B595B17">
            <w:pPr>
              <w:jc w:val="center"/>
              <w:rPr>
                <w:rFonts w:hint="eastAsia" w:eastAsia="宋体"/>
                <w:sz w:val="21"/>
                <w:szCs w:val="21"/>
                <w:lang w:val="en-US" w:eastAsia="zh-CN"/>
              </w:rPr>
            </w:pPr>
            <w:r>
              <w:rPr>
                <w:rFonts w:hint="eastAsia"/>
                <w:sz w:val="21"/>
                <w:szCs w:val="21"/>
                <w:lang w:val="en-US" w:eastAsia="zh-CN"/>
              </w:rPr>
              <w:t>采纳</w:t>
            </w:r>
          </w:p>
        </w:tc>
        <w:tc>
          <w:tcPr>
            <w:tcW w:w="2047" w:type="dxa"/>
            <w:vAlign w:val="center"/>
          </w:tcPr>
          <w:p w14:paraId="48DC27C3">
            <w:pPr>
              <w:jc w:val="center"/>
              <w:rPr>
                <w:szCs w:val="21"/>
              </w:rPr>
            </w:pPr>
          </w:p>
        </w:tc>
      </w:tr>
      <w:tr w14:paraId="4B6E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1B71B605">
            <w:pPr>
              <w:jc w:val="center"/>
              <w:rPr>
                <w:rFonts w:hint="eastAsia" w:eastAsia="宋体"/>
                <w:sz w:val="18"/>
                <w:szCs w:val="18"/>
                <w:lang w:val="en-US" w:eastAsia="zh-CN"/>
              </w:rPr>
            </w:pPr>
            <w:r>
              <w:rPr>
                <w:rFonts w:hint="eastAsia"/>
                <w:sz w:val="18"/>
                <w:szCs w:val="18"/>
                <w:lang w:val="en-US" w:eastAsia="zh-CN"/>
              </w:rPr>
              <w:t>3</w:t>
            </w:r>
          </w:p>
        </w:tc>
        <w:tc>
          <w:tcPr>
            <w:tcW w:w="1134" w:type="dxa"/>
            <w:vAlign w:val="center"/>
          </w:tcPr>
          <w:p w14:paraId="7506129C">
            <w:pPr>
              <w:jc w:val="center"/>
              <w:rPr>
                <w:sz w:val="18"/>
                <w:szCs w:val="18"/>
              </w:rPr>
            </w:pPr>
            <w:r>
              <w:rPr>
                <w:rFonts w:hint="eastAsia"/>
                <w:szCs w:val="21"/>
                <w:lang w:val="en-US" w:eastAsia="zh-CN"/>
              </w:rPr>
              <w:t>5.1</w:t>
            </w:r>
          </w:p>
        </w:tc>
        <w:tc>
          <w:tcPr>
            <w:tcW w:w="2815" w:type="dxa"/>
            <w:vAlign w:val="center"/>
          </w:tcPr>
          <w:p w14:paraId="686CD2C6">
            <w:pPr>
              <w:jc w:val="left"/>
              <w:rPr>
                <w:rFonts w:hint="eastAsia" w:ascii="宋体" w:hAnsi="宋体"/>
                <w:lang w:val="en-US" w:eastAsia="zh-CN"/>
              </w:rPr>
            </w:pPr>
            <w:r>
              <w:rPr>
                <w:rFonts w:hint="eastAsia" w:ascii="宋体" w:hAnsi="宋体"/>
                <w:lang w:val="en-US" w:eastAsia="zh-CN"/>
              </w:rPr>
              <w:t>删去5.1“</w:t>
            </w:r>
            <w:r>
              <w:rPr>
                <w:rFonts w:ascii="Times New Roman" w:hAnsi="Times New Roman" w:eastAsia="宋体" w:cs="Times New Roman"/>
                <w:sz w:val="21"/>
                <w:szCs w:val="24"/>
              </w:rPr>
              <w:t>水</w:t>
            </w:r>
            <w:r>
              <w:rPr>
                <w:rFonts w:hint="default" w:ascii="Times New Roman" w:hAnsi="Times New Roman" w:eastAsia="宋体" w:cs="Times New Roman"/>
                <w:sz w:val="21"/>
                <w:szCs w:val="24"/>
              </w:rPr>
              <w:t>，</w:t>
            </w:r>
            <w:r>
              <w:rPr>
                <w:rFonts w:ascii="Times New Roman" w:hAnsi="Times New Roman" w:eastAsia="宋体" w:cs="Times New Roman"/>
                <w:sz w:val="21"/>
                <w:szCs w:val="24"/>
              </w:rPr>
              <w:t>GB/T6682，二级及以上纯度。</w:t>
            </w:r>
            <w:r>
              <w:rPr>
                <w:rFonts w:hint="eastAsia" w:ascii="宋体" w:hAnsi="宋体"/>
                <w:lang w:val="en-US" w:eastAsia="zh-CN"/>
              </w:rPr>
              <w:t>”</w:t>
            </w:r>
          </w:p>
          <w:p w14:paraId="66ECC1CE">
            <w:pPr>
              <w:jc w:val="left"/>
              <w:rPr>
                <w:rFonts w:hint="eastAsia" w:ascii="宋体" w:hAnsi="宋体"/>
                <w:sz w:val="21"/>
                <w:szCs w:val="21"/>
              </w:rPr>
            </w:pPr>
            <w:r>
              <w:rPr>
                <w:rFonts w:hint="eastAsia" w:ascii="宋体" w:hAnsi="宋体"/>
                <w:lang w:val="en-US" w:eastAsia="zh-CN"/>
              </w:rPr>
              <w:t>建议修改成：</w:t>
            </w:r>
            <w:r>
              <w:rPr>
                <w:rFonts w:hint="eastAsia"/>
              </w:rPr>
              <w:t>除非另有说明，</w:t>
            </w:r>
            <w:r>
              <w:rPr>
                <w:rFonts w:hint="eastAsia"/>
                <w:lang w:val="en-US" w:eastAsia="zh-CN"/>
              </w:rPr>
              <w:t>所用试剂</w:t>
            </w:r>
            <w:r>
              <w:rPr>
                <w:rFonts w:hint="eastAsia"/>
              </w:rPr>
              <w:t>为优级纯及以上纯度</w:t>
            </w:r>
            <w:r>
              <w:rPr>
                <w:rFonts w:hint="eastAsia"/>
                <w:lang w:eastAsia="zh-CN"/>
              </w:rPr>
              <w:t>，</w:t>
            </w:r>
            <w:r>
              <w:rPr>
                <w:rFonts w:hint="eastAsia"/>
                <w:lang w:val="en-US" w:eastAsia="zh-CN"/>
              </w:rPr>
              <w:t>水为</w:t>
            </w:r>
            <w:r>
              <w:rPr>
                <w:rFonts w:ascii="Times New Roman" w:hAnsi="Times New Roman" w:eastAsia="宋体" w:cs="Times New Roman"/>
                <w:sz w:val="21"/>
                <w:szCs w:val="24"/>
              </w:rPr>
              <w:t>GB/T6682</w:t>
            </w:r>
            <w:r>
              <w:rPr>
                <w:rFonts w:hint="eastAsia" w:ascii="Times New Roman" w:hAnsi="Times New Roman" w:eastAsia="宋体" w:cs="Times New Roman"/>
                <w:sz w:val="21"/>
                <w:szCs w:val="24"/>
                <w:lang w:val="en-US" w:eastAsia="zh-CN"/>
              </w:rPr>
              <w:t>中规定的</w:t>
            </w:r>
            <w:r>
              <w:rPr>
                <w:rFonts w:ascii="Times New Roman" w:hAnsi="Times New Roman" w:eastAsia="宋体" w:cs="Times New Roman"/>
                <w:sz w:val="21"/>
                <w:szCs w:val="24"/>
              </w:rPr>
              <w:t>二级及以上纯度</w:t>
            </w:r>
            <w:r>
              <w:rPr>
                <w:rFonts w:hint="eastAsia"/>
              </w:rPr>
              <w:t>。</w:t>
            </w:r>
          </w:p>
        </w:tc>
        <w:tc>
          <w:tcPr>
            <w:tcW w:w="2562" w:type="dxa"/>
            <w:vAlign w:val="center"/>
          </w:tcPr>
          <w:p w14:paraId="1C25DFC3">
            <w:pPr>
              <w:jc w:val="center"/>
              <w:rPr>
                <w:rFonts w:hint="default" w:eastAsia="宋体"/>
                <w:color w:val="auto"/>
                <w:sz w:val="21"/>
                <w:szCs w:val="21"/>
                <w:lang w:val="en-US" w:eastAsia="zh-CN"/>
              </w:rPr>
            </w:pPr>
            <w:r>
              <w:rPr>
                <w:rFonts w:hint="eastAsia"/>
                <w:color w:val="auto"/>
                <w:sz w:val="21"/>
                <w:szCs w:val="21"/>
                <w:lang w:val="en-US" w:eastAsia="zh-CN"/>
              </w:rPr>
              <w:t>中国检验认证集团广西有限公司</w:t>
            </w:r>
          </w:p>
        </w:tc>
        <w:tc>
          <w:tcPr>
            <w:tcW w:w="1012" w:type="dxa"/>
            <w:vAlign w:val="center"/>
          </w:tcPr>
          <w:p w14:paraId="6A348D27">
            <w:pPr>
              <w:jc w:val="center"/>
              <w:rPr>
                <w:rFonts w:hint="eastAsia" w:eastAsia="宋体"/>
                <w:sz w:val="18"/>
                <w:szCs w:val="18"/>
                <w:lang w:val="en-US" w:eastAsia="zh-CN"/>
              </w:rPr>
            </w:pPr>
            <w:r>
              <w:rPr>
                <w:rFonts w:hint="eastAsia"/>
                <w:sz w:val="18"/>
                <w:szCs w:val="18"/>
                <w:lang w:val="en-US" w:eastAsia="zh-CN"/>
              </w:rPr>
              <w:t>采纳</w:t>
            </w:r>
          </w:p>
        </w:tc>
        <w:tc>
          <w:tcPr>
            <w:tcW w:w="2047" w:type="dxa"/>
            <w:vAlign w:val="center"/>
          </w:tcPr>
          <w:p w14:paraId="411CEFE4">
            <w:pPr>
              <w:jc w:val="center"/>
              <w:rPr>
                <w:szCs w:val="21"/>
              </w:rPr>
            </w:pPr>
          </w:p>
        </w:tc>
      </w:tr>
      <w:tr w14:paraId="5EC8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000E3885">
            <w:pPr>
              <w:jc w:val="center"/>
              <w:rPr>
                <w:rFonts w:hint="default"/>
                <w:sz w:val="18"/>
                <w:szCs w:val="18"/>
                <w:lang w:val="en-US" w:eastAsia="zh-CN"/>
              </w:rPr>
            </w:pPr>
            <w:r>
              <w:rPr>
                <w:rFonts w:hint="eastAsia"/>
                <w:sz w:val="18"/>
                <w:szCs w:val="18"/>
                <w:lang w:val="en-US" w:eastAsia="zh-CN"/>
              </w:rPr>
              <w:t>4</w:t>
            </w:r>
          </w:p>
        </w:tc>
        <w:tc>
          <w:tcPr>
            <w:tcW w:w="1134" w:type="dxa"/>
            <w:vAlign w:val="center"/>
          </w:tcPr>
          <w:p w14:paraId="4D410130">
            <w:pPr>
              <w:jc w:val="center"/>
              <w:rPr>
                <w:sz w:val="18"/>
                <w:szCs w:val="18"/>
              </w:rPr>
            </w:pPr>
            <w:r>
              <w:rPr>
                <w:rFonts w:hint="eastAsia"/>
                <w:szCs w:val="21"/>
                <w:lang w:val="en-US" w:eastAsia="zh-CN"/>
              </w:rPr>
              <w:t>5.4-5.10</w:t>
            </w:r>
          </w:p>
        </w:tc>
        <w:tc>
          <w:tcPr>
            <w:tcW w:w="2815" w:type="dxa"/>
            <w:vAlign w:val="center"/>
          </w:tcPr>
          <w:p w14:paraId="29CEB0B2">
            <w:pPr>
              <w:jc w:val="left"/>
              <w:rPr>
                <w:rFonts w:hint="eastAsia" w:ascii="宋体" w:hAnsi="宋体"/>
                <w:sz w:val="21"/>
                <w:szCs w:val="21"/>
              </w:rPr>
            </w:pPr>
            <w:r>
              <w:rPr>
                <w:rFonts w:hint="eastAsia" w:ascii="宋体" w:hAnsi="宋体"/>
                <w:lang w:val="en-US" w:eastAsia="zh-CN"/>
              </w:rPr>
              <w:t>在每条后面增加“或购买市售有证标准溶液”。这样可以缩短试验的时长。</w:t>
            </w:r>
          </w:p>
        </w:tc>
        <w:tc>
          <w:tcPr>
            <w:tcW w:w="2562" w:type="dxa"/>
            <w:vAlign w:val="center"/>
          </w:tcPr>
          <w:p w14:paraId="1754CC75">
            <w:pPr>
              <w:jc w:val="center"/>
              <w:rPr>
                <w:rFonts w:hint="eastAsia"/>
                <w:color w:val="auto"/>
                <w:sz w:val="21"/>
                <w:szCs w:val="21"/>
                <w:lang w:val="en-US" w:eastAsia="zh-CN"/>
              </w:rPr>
            </w:pPr>
            <w:r>
              <w:rPr>
                <w:rFonts w:hint="eastAsia"/>
                <w:color w:val="auto"/>
                <w:sz w:val="21"/>
                <w:szCs w:val="21"/>
                <w:lang w:val="en-US" w:eastAsia="zh-CN"/>
              </w:rPr>
              <w:t>中国检验认证集团广西有限公司</w:t>
            </w:r>
          </w:p>
        </w:tc>
        <w:tc>
          <w:tcPr>
            <w:tcW w:w="1012" w:type="dxa"/>
            <w:vAlign w:val="center"/>
          </w:tcPr>
          <w:p w14:paraId="2C3B2579">
            <w:pPr>
              <w:jc w:val="center"/>
              <w:rPr>
                <w:rFonts w:hint="eastAsia"/>
                <w:sz w:val="18"/>
                <w:szCs w:val="18"/>
              </w:rPr>
            </w:pPr>
            <w:r>
              <w:rPr>
                <w:rFonts w:hint="eastAsia"/>
                <w:sz w:val="18"/>
                <w:szCs w:val="18"/>
                <w:lang w:val="en-US" w:eastAsia="zh-CN"/>
              </w:rPr>
              <w:t>采纳</w:t>
            </w:r>
          </w:p>
        </w:tc>
        <w:tc>
          <w:tcPr>
            <w:tcW w:w="2047" w:type="dxa"/>
            <w:vAlign w:val="center"/>
          </w:tcPr>
          <w:p w14:paraId="1A733734">
            <w:pPr>
              <w:jc w:val="center"/>
              <w:rPr>
                <w:szCs w:val="21"/>
              </w:rPr>
            </w:pPr>
          </w:p>
        </w:tc>
      </w:tr>
      <w:tr w14:paraId="06CB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5557C1E6">
            <w:pPr>
              <w:jc w:val="center"/>
              <w:rPr>
                <w:rFonts w:hint="default"/>
                <w:sz w:val="18"/>
                <w:szCs w:val="18"/>
                <w:lang w:val="en-US" w:eastAsia="zh-CN"/>
              </w:rPr>
            </w:pPr>
            <w:r>
              <w:rPr>
                <w:rFonts w:hint="eastAsia"/>
                <w:sz w:val="18"/>
                <w:szCs w:val="18"/>
                <w:lang w:val="en-US" w:eastAsia="zh-CN"/>
              </w:rPr>
              <w:t>5</w:t>
            </w:r>
          </w:p>
        </w:tc>
        <w:tc>
          <w:tcPr>
            <w:tcW w:w="1134" w:type="dxa"/>
            <w:vAlign w:val="center"/>
          </w:tcPr>
          <w:p w14:paraId="70DF29BD">
            <w:pPr>
              <w:jc w:val="center"/>
              <w:rPr>
                <w:rFonts w:hint="default"/>
                <w:szCs w:val="21"/>
                <w:lang w:val="en-US" w:eastAsia="zh-CN"/>
              </w:rPr>
            </w:pPr>
            <w:r>
              <w:rPr>
                <w:rFonts w:hint="eastAsia"/>
                <w:szCs w:val="21"/>
                <w:lang w:val="en-US" w:eastAsia="zh-CN"/>
              </w:rPr>
              <w:t>5.4-5.10</w:t>
            </w:r>
          </w:p>
        </w:tc>
        <w:tc>
          <w:tcPr>
            <w:tcW w:w="2815" w:type="dxa"/>
            <w:vAlign w:val="center"/>
          </w:tcPr>
          <w:p w14:paraId="29DCACC5">
            <w:pPr>
              <w:pStyle w:val="2"/>
              <w:rPr>
                <w:rFonts w:hint="eastAsia" w:ascii="宋体" w:hAnsi="宋体"/>
                <w:lang w:val="en-US" w:eastAsia="zh-CN"/>
              </w:rPr>
            </w:pPr>
            <w:r>
              <w:rPr>
                <w:rFonts w:hint="eastAsia"/>
                <w:lang w:val="en-US" w:eastAsia="zh-CN"/>
              </w:rPr>
              <w:t>增加使用市售有证标准溶液</w:t>
            </w:r>
          </w:p>
        </w:tc>
        <w:tc>
          <w:tcPr>
            <w:tcW w:w="2562" w:type="dxa"/>
            <w:vAlign w:val="center"/>
          </w:tcPr>
          <w:p w14:paraId="0AFEAA65">
            <w:pPr>
              <w:jc w:val="center"/>
              <w:rPr>
                <w:rFonts w:hint="eastAsia"/>
                <w:color w:val="auto"/>
                <w:sz w:val="21"/>
                <w:szCs w:val="21"/>
                <w:lang w:val="en-US" w:eastAsia="zh-CN"/>
              </w:rPr>
            </w:pPr>
            <w:r>
              <w:rPr>
                <w:rFonts w:hint="eastAsia"/>
                <w:color w:val="auto"/>
                <w:sz w:val="21"/>
                <w:szCs w:val="21"/>
                <w:lang w:val="en-US" w:eastAsia="zh-CN"/>
              </w:rPr>
              <w:t>阳新弘盛铜业有限公司</w:t>
            </w:r>
          </w:p>
        </w:tc>
        <w:tc>
          <w:tcPr>
            <w:tcW w:w="1012" w:type="dxa"/>
            <w:vAlign w:val="center"/>
          </w:tcPr>
          <w:p w14:paraId="55F1BEC9">
            <w:pPr>
              <w:jc w:val="center"/>
              <w:rPr>
                <w:rFonts w:hint="eastAsia"/>
                <w:sz w:val="18"/>
                <w:szCs w:val="18"/>
                <w:lang w:val="en-US" w:eastAsia="zh-CN"/>
              </w:rPr>
            </w:pPr>
            <w:r>
              <w:rPr>
                <w:rFonts w:hint="eastAsia"/>
                <w:sz w:val="18"/>
                <w:szCs w:val="18"/>
                <w:lang w:val="en-US" w:eastAsia="zh-CN"/>
              </w:rPr>
              <w:t>采纳</w:t>
            </w:r>
          </w:p>
        </w:tc>
        <w:tc>
          <w:tcPr>
            <w:tcW w:w="2047" w:type="dxa"/>
            <w:vAlign w:val="center"/>
          </w:tcPr>
          <w:p w14:paraId="23189979">
            <w:pPr>
              <w:jc w:val="center"/>
              <w:rPr>
                <w:szCs w:val="21"/>
              </w:rPr>
            </w:pPr>
          </w:p>
        </w:tc>
      </w:tr>
      <w:tr w14:paraId="4063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6D2B32D0">
            <w:pPr>
              <w:jc w:val="center"/>
              <w:rPr>
                <w:rFonts w:hint="default"/>
                <w:sz w:val="18"/>
                <w:szCs w:val="18"/>
                <w:lang w:val="en-US" w:eastAsia="zh-CN"/>
              </w:rPr>
            </w:pPr>
            <w:r>
              <w:rPr>
                <w:rFonts w:hint="eastAsia"/>
                <w:sz w:val="18"/>
                <w:szCs w:val="18"/>
                <w:lang w:val="en-US" w:eastAsia="zh-CN"/>
              </w:rPr>
              <w:t>6</w:t>
            </w:r>
          </w:p>
        </w:tc>
        <w:tc>
          <w:tcPr>
            <w:tcW w:w="1134" w:type="dxa"/>
            <w:vAlign w:val="center"/>
          </w:tcPr>
          <w:p w14:paraId="06F8F856">
            <w:pPr>
              <w:jc w:val="center"/>
              <w:rPr>
                <w:rFonts w:hint="eastAsia"/>
                <w:szCs w:val="21"/>
                <w:lang w:val="en-US" w:eastAsia="zh-CN"/>
              </w:rPr>
            </w:pPr>
            <w:r>
              <w:rPr>
                <w:rFonts w:hint="eastAsia"/>
                <w:szCs w:val="21"/>
                <w:lang w:val="en-US" w:eastAsia="zh-CN"/>
              </w:rPr>
              <w:t>5.4-5.10</w:t>
            </w:r>
          </w:p>
        </w:tc>
        <w:tc>
          <w:tcPr>
            <w:tcW w:w="2815" w:type="dxa"/>
            <w:vAlign w:val="center"/>
          </w:tcPr>
          <w:p w14:paraId="25FDB6FF">
            <w:pPr>
              <w:pStyle w:val="2"/>
              <w:rPr>
                <w:rFonts w:hint="eastAsia"/>
                <w:lang w:val="en-US" w:eastAsia="zh-CN"/>
              </w:rPr>
            </w:pPr>
            <w:r>
              <w:rPr>
                <w:rFonts w:hint="eastAsia"/>
                <w:lang w:val="en-US" w:eastAsia="zh-CN"/>
              </w:rPr>
              <w:t>增加使用市售有证标准溶液</w:t>
            </w:r>
          </w:p>
        </w:tc>
        <w:tc>
          <w:tcPr>
            <w:tcW w:w="2562" w:type="dxa"/>
            <w:vAlign w:val="center"/>
          </w:tcPr>
          <w:p w14:paraId="3EA2DE94">
            <w:pPr>
              <w:jc w:val="center"/>
              <w:rPr>
                <w:rFonts w:hint="eastAsia"/>
                <w:color w:val="auto"/>
                <w:sz w:val="21"/>
                <w:szCs w:val="21"/>
                <w:lang w:val="en-US" w:eastAsia="zh-CN"/>
              </w:rPr>
            </w:pPr>
            <w:r>
              <w:rPr>
                <w:rFonts w:hint="eastAsia"/>
                <w:color w:val="auto"/>
                <w:szCs w:val="21"/>
                <w:lang w:val="en-US" w:eastAsia="zh-CN"/>
              </w:rPr>
              <w:t>上海有色金属工业技术监测中心有限公司</w:t>
            </w:r>
          </w:p>
        </w:tc>
        <w:tc>
          <w:tcPr>
            <w:tcW w:w="1012" w:type="dxa"/>
            <w:vAlign w:val="center"/>
          </w:tcPr>
          <w:p w14:paraId="104C6118">
            <w:pPr>
              <w:jc w:val="center"/>
              <w:rPr>
                <w:rFonts w:hint="eastAsia"/>
                <w:sz w:val="18"/>
                <w:szCs w:val="18"/>
                <w:lang w:val="en-US" w:eastAsia="zh-CN"/>
              </w:rPr>
            </w:pPr>
            <w:r>
              <w:rPr>
                <w:rFonts w:hint="eastAsia"/>
                <w:sz w:val="18"/>
                <w:szCs w:val="18"/>
                <w:lang w:val="en-US" w:eastAsia="zh-CN"/>
              </w:rPr>
              <w:t>采纳</w:t>
            </w:r>
          </w:p>
        </w:tc>
        <w:tc>
          <w:tcPr>
            <w:tcW w:w="2047" w:type="dxa"/>
            <w:vAlign w:val="center"/>
          </w:tcPr>
          <w:p w14:paraId="40FFA8D2">
            <w:pPr>
              <w:jc w:val="center"/>
              <w:rPr>
                <w:szCs w:val="21"/>
              </w:rPr>
            </w:pPr>
          </w:p>
        </w:tc>
      </w:tr>
      <w:tr w14:paraId="195F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35F26021">
            <w:pPr>
              <w:jc w:val="center"/>
              <w:rPr>
                <w:rFonts w:hint="default"/>
                <w:sz w:val="18"/>
                <w:szCs w:val="18"/>
                <w:lang w:val="en-US" w:eastAsia="zh-CN"/>
              </w:rPr>
            </w:pPr>
            <w:r>
              <w:rPr>
                <w:rFonts w:hint="eastAsia"/>
                <w:sz w:val="18"/>
                <w:szCs w:val="18"/>
                <w:lang w:val="en-US" w:eastAsia="zh-CN"/>
              </w:rPr>
              <w:t>7</w:t>
            </w:r>
          </w:p>
        </w:tc>
        <w:tc>
          <w:tcPr>
            <w:tcW w:w="1134" w:type="dxa"/>
            <w:vAlign w:val="center"/>
          </w:tcPr>
          <w:p w14:paraId="6723530B">
            <w:pPr>
              <w:jc w:val="center"/>
              <w:rPr>
                <w:sz w:val="18"/>
                <w:szCs w:val="18"/>
              </w:rPr>
            </w:pPr>
            <w:r>
              <w:rPr>
                <w:rFonts w:hint="eastAsia"/>
                <w:sz w:val="18"/>
                <w:szCs w:val="18"/>
                <w:lang w:val="en-US" w:eastAsia="zh-CN"/>
              </w:rPr>
              <w:t>7</w:t>
            </w:r>
          </w:p>
        </w:tc>
        <w:tc>
          <w:tcPr>
            <w:tcW w:w="2815" w:type="dxa"/>
            <w:vAlign w:val="center"/>
          </w:tcPr>
          <w:p w14:paraId="287E5DF0">
            <w:pPr>
              <w:snapToGrid w:val="0"/>
              <w:spacing w:line="300" w:lineRule="auto"/>
              <w:jc w:val="left"/>
              <w:rPr>
                <w:rFonts w:hint="eastAsia" w:ascii="宋体" w:hAnsi="宋体"/>
                <w:sz w:val="21"/>
                <w:szCs w:val="21"/>
              </w:rPr>
            </w:pPr>
            <w:r>
              <w:rPr>
                <w:rFonts w:hint="eastAsia" w:ascii="宋体" w:hAnsi="宋体"/>
                <w:szCs w:val="21"/>
                <w:lang w:val="en-US" w:eastAsia="zh-CN"/>
              </w:rPr>
              <w:t>需对样品粒度、烘干等要求做出要求</w:t>
            </w:r>
          </w:p>
        </w:tc>
        <w:tc>
          <w:tcPr>
            <w:tcW w:w="2562" w:type="dxa"/>
            <w:vAlign w:val="center"/>
          </w:tcPr>
          <w:p w14:paraId="08D91E0A">
            <w:pPr>
              <w:jc w:val="center"/>
              <w:rPr>
                <w:rFonts w:hint="eastAsia"/>
                <w:color w:val="auto"/>
                <w:sz w:val="21"/>
                <w:szCs w:val="21"/>
                <w:lang w:val="en-US" w:eastAsia="zh-CN"/>
              </w:rPr>
            </w:pPr>
            <w:r>
              <w:rPr>
                <w:rFonts w:hint="eastAsia"/>
                <w:color w:val="auto"/>
                <w:sz w:val="21"/>
                <w:szCs w:val="21"/>
                <w:lang w:val="en-US" w:eastAsia="zh-CN"/>
              </w:rPr>
              <w:t>中国检验认证集团广西有限公司</w:t>
            </w:r>
          </w:p>
        </w:tc>
        <w:tc>
          <w:tcPr>
            <w:tcW w:w="1012" w:type="dxa"/>
            <w:vAlign w:val="center"/>
          </w:tcPr>
          <w:p w14:paraId="12682F8F">
            <w:pPr>
              <w:jc w:val="center"/>
              <w:rPr>
                <w:rFonts w:hint="eastAsia" w:eastAsia="宋体"/>
                <w:sz w:val="18"/>
                <w:szCs w:val="18"/>
                <w:lang w:val="en-US" w:eastAsia="zh-CN"/>
              </w:rPr>
            </w:pPr>
            <w:r>
              <w:rPr>
                <w:rFonts w:hint="eastAsia"/>
                <w:sz w:val="18"/>
                <w:szCs w:val="18"/>
                <w:lang w:val="en-US" w:eastAsia="zh-CN"/>
              </w:rPr>
              <w:t>不采纳</w:t>
            </w:r>
          </w:p>
        </w:tc>
        <w:tc>
          <w:tcPr>
            <w:tcW w:w="2047" w:type="dxa"/>
            <w:vAlign w:val="center"/>
          </w:tcPr>
          <w:p w14:paraId="57FD8493">
            <w:pPr>
              <w:jc w:val="both"/>
              <w:rPr>
                <w:rFonts w:hint="default" w:eastAsia="宋体"/>
                <w:szCs w:val="21"/>
                <w:lang w:val="en-US" w:eastAsia="zh-CN"/>
              </w:rPr>
            </w:pPr>
            <w:r>
              <w:rPr>
                <w:rFonts w:hint="eastAsia"/>
                <w:szCs w:val="21"/>
                <w:lang w:val="en-US" w:eastAsia="zh-CN"/>
              </w:rPr>
              <w:t>根据原系列标准，未对样品粒度及烘干等做要求。</w:t>
            </w:r>
          </w:p>
        </w:tc>
      </w:tr>
      <w:tr w14:paraId="2824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shd w:val="clear" w:color="auto" w:fill="auto"/>
            <w:vAlign w:val="center"/>
          </w:tcPr>
          <w:p w14:paraId="14CAE156">
            <w:pPr>
              <w:jc w:val="cente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8</w:t>
            </w:r>
          </w:p>
        </w:tc>
        <w:tc>
          <w:tcPr>
            <w:tcW w:w="1134" w:type="dxa"/>
            <w:shd w:val="clear" w:color="auto" w:fill="auto"/>
            <w:vAlign w:val="center"/>
          </w:tcPr>
          <w:p w14:paraId="7469C029">
            <w:pPr>
              <w:jc w:val="cente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8.1</w:t>
            </w:r>
          </w:p>
        </w:tc>
        <w:tc>
          <w:tcPr>
            <w:tcW w:w="2815" w:type="dxa"/>
            <w:shd w:val="clear" w:color="auto" w:fill="auto"/>
            <w:vAlign w:val="center"/>
          </w:tcPr>
          <w:p w14:paraId="766D19D0">
            <w:pPr>
              <w:pStyle w:val="2"/>
              <w:rPr>
                <w:rFonts w:hint="eastAsia"/>
                <w:lang w:val="en-US" w:eastAsia="zh-CN"/>
              </w:rPr>
            </w:pPr>
            <w:r>
              <w:rPr>
                <w:rFonts w:hint="eastAsia"/>
                <w:szCs w:val="21"/>
                <w:lang w:val="en-US" w:eastAsia="zh-CN"/>
              </w:rPr>
              <w:t>“称取</w:t>
            </w:r>
            <w:r>
              <w:rPr>
                <w:rFonts w:hint="eastAsia"/>
                <w:highlight w:val="none"/>
              </w:rPr>
              <w:t>2</w:t>
            </w:r>
            <w:r>
              <w:rPr>
                <w:highlight w:val="none"/>
              </w:rPr>
              <w:t>.00</w:t>
            </w:r>
            <w:r>
              <w:t>g</w:t>
            </w:r>
            <w:r>
              <w:rPr>
                <w:rFonts w:hint="eastAsia"/>
                <w:lang w:val="en-US" w:eastAsia="zh-CN"/>
              </w:rPr>
              <w:t>样品，</w:t>
            </w:r>
            <w:r>
              <w:rPr>
                <w:rFonts w:hint="eastAsia"/>
              </w:rPr>
              <w:t>精确至0.0001 g。</w:t>
            </w:r>
            <w:r>
              <w:rPr>
                <w:rFonts w:hint="eastAsia"/>
                <w:lang w:val="en-US" w:eastAsia="zh-CN"/>
              </w:rPr>
              <w:t>”</w:t>
            </w:r>
          </w:p>
          <w:p w14:paraId="62F7537B">
            <w:pPr>
              <w:pStyle w:val="2"/>
              <w:rPr>
                <w:rFonts w:hint="default" w:eastAsia="宋体"/>
                <w:lang w:val="en-US" w:eastAsia="zh-CN"/>
              </w:rPr>
            </w:pPr>
            <w:r>
              <w:rPr>
                <w:rFonts w:hint="eastAsia"/>
                <w:lang w:val="en-US" w:eastAsia="zh-CN"/>
              </w:rPr>
              <w:t>如果样品呈屑状很难称样，建议少去一个“0”，改为2.00g</w:t>
            </w:r>
          </w:p>
          <w:p w14:paraId="0E573DA4">
            <w:pPr>
              <w:jc w:val="center"/>
              <w:rPr>
                <w:rFonts w:hint="default" w:ascii="Times New Roman" w:hAnsi="Times New Roman" w:eastAsia="宋体" w:cs="Times New Roman"/>
                <w:kern w:val="2"/>
                <w:sz w:val="21"/>
                <w:szCs w:val="21"/>
                <w:lang w:val="en-US" w:eastAsia="zh-CN" w:bidi="ar-SA"/>
              </w:rPr>
            </w:pPr>
          </w:p>
        </w:tc>
        <w:tc>
          <w:tcPr>
            <w:tcW w:w="2562" w:type="dxa"/>
            <w:shd w:val="clear" w:color="auto" w:fill="auto"/>
            <w:vAlign w:val="center"/>
          </w:tcPr>
          <w:p w14:paraId="676DAE7F">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中国检验认证集团广东有限公司黄埔分公司</w:t>
            </w:r>
          </w:p>
        </w:tc>
        <w:tc>
          <w:tcPr>
            <w:tcW w:w="1012" w:type="dxa"/>
            <w:shd w:val="clear" w:color="auto" w:fill="auto"/>
            <w:vAlign w:val="center"/>
          </w:tcPr>
          <w:p w14:paraId="0FB72799">
            <w:pPr>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采纳</w:t>
            </w:r>
          </w:p>
        </w:tc>
        <w:tc>
          <w:tcPr>
            <w:tcW w:w="2047" w:type="dxa"/>
            <w:shd w:val="clear" w:color="auto" w:fill="auto"/>
            <w:vAlign w:val="center"/>
          </w:tcPr>
          <w:p w14:paraId="662B9135">
            <w:pPr>
              <w:jc w:val="center"/>
              <w:rPr>
                <w:rFonts w:hint="default" w:ascii="Times New Roman" w:hAnsi="Times New Roman" w:eastAsia="宋体" w:cs="Times New Roman"/>
                <w:kern w:val="2"/>
                <w:sz w:val="21"/>
                <w:szCs w:val="21"/>
                <w:lang w:val="en-US" w:eastAsia="zh-CN" w:bidi="ar-SA"/>
              </w:rPr>
            </w:pPr>
          </w:p>
        </w:tc>
      </w:tr>
    </w:tbl>
    <w:p w14:paraId="47941D5E">
      <w:pPr>
        <w:spacing w:line="340" w:lineRule="exact"/>
        <w:rPr>
          <w:rFonts w:hint="eastAsia" w:ascii="宋体" w:hAnsi="宋体"/>
          <w:szCs w:val="21"/>
        </w:rPr>
      </w:pPr>
    </w:p>
    <w:p w14:paraId="31DC1D8A">
      <w:pPr>
        <w:spacing w:line="340" w:lineRule="exact"/>
        <w:rPr>
          <w:rFonts w:hint="eastAsia" w:ascii="宋体" w:hAnsi="宋体"/>
          <w:szCs w:val="21"/>
        </w:rPr>
      </w:pPr>
    </w:p>
    <w:p w14:paraId="6DE9C966">
      <w:pPr>
        <w:spacing w:line="340" w:lineRule="exact"/>
        <w:rPr>
          <w:rFonts w:hint="eastAsia" w:ascii="宋体" w:hAnsi="宋体"/>
          <w:szCs w:val="21"/>
        </w:rPr>
      </w:pPr>
    </w:p>
    <w:p w14:paraId="65906BDA">
      <w:pPr>
        <w:spacing w:line="340" w:lineRule="exact"/>
        <w:rPr>
          <w:rFonts w:hint="eastAsia" w:ascii="宋体" w:hAnsi="宋体"/>
          <w:szCs w:val="21"/>
        </w:rPr>
      </w:pPr>
    </w:p>
    <w:p w14:paraId="7A62BF86">
      <w:pPr>
        <w:spacing w:line="340" w:lineRule="exact"/>
        <w:rPr>
          <w:rFonts w:hint="eastAsia" w:ascii="宋体" w:hAnsi="宋体"/>
          <w:szCs w:val="21"/>
        </w:rPr>
      </w:pPr>
    </w:p>
    <w:p w14:paraId="76515B29">
      <w:pPr>
        <w:spacing w:line="340" w:lineRule="exact"/>
        <w:rPr>
          <w:rFonts w:ascii="宋体" w:hAnsi="宋体"/>
          <w:szCs w:val="21"/>
        </w:rPr>
      </w:pPr>
      <w:bookmarkStart w:id="0" w:name="_GoBack"/>
      <w:bookmarkEnd w:id="0"/>
      <w:r>
        <w:rPr>
          <w:rFonts w:hint="eastAsia" w:ascii="宋体" w:hAnsi="宋体"/>
          <w:szCs w:val="21"/>
        </w:rPr>
        <w:t>标准项目名称: 镍化学分析方法 第5部分：镁、镉、钴、铜、锰、铅和锌含量的测定 火焰原子吸收光谱法            承办人:王云杰             共</w:t>
      </w:r>
      <w:r>
        <w:rPr>
          <w:rFonts w:hint="eastAsia" w:ascii="宋体" w:hAnsi="宋体"/>
          <w:szCs w:val="21"/>
          <w:lang w:val="en-US" w:eastAsia="zh-CN"/>
        </w:rPr>
        <w:t>2</w:t>
      </w:r>
      <w:r>
        <w:rPr>
          <w:rFonts w:hint="eastAsia" w:ascii="宋体" w:hAnsi="宋体"/>
          <w:szCs w:val="21"/>
        </w:rPr>
        <w:t>页 第</w:t>
      </w:r>
      <w:r>
        <w:rPr>
          <w:rFonts w:hint="eastAsia" w:ascii="宋体" w:hAnsi="宋体"/>
          <w:szCs w:val="21"/>
          <w:lang w:val="en-US" w:eastAsia="zh-CN"/>
        </w:rPr>
        <w:t>2</w:t>
      </w:r>
      <w:r>
        <w:rPr>
          <w:rFonts w:hint="eastAsia" w:ascii="宋体" w:hAnsi="宋体"/>
          <w:szCs w:val="21"/>
        </w:rPr>
        <w:t>页</w:t>
      </w:r>
    </w:p>
    <w:p w14:paraId="1B1FA822">
      <w:pPr>
        <w:pStyle w:val="10"/>
        <w:spacing w:before="0" w:line="240" w:lineRule="auto"/>
        <w:jc w:val="both"/>
        <w:rPr>
          <w:rFonts w:ascii="宋体" w:hAnsi="宋体"/>
          <w:kern w:val="2"/>
          <w:sz w:val="21"/>
          <w:szCs w:val="21"/>
        </w:rPr>
      </w:pPr>
      <w:r>
        <w:rPr>
          <w:rFonts w:hint="eastAsia" w:ascii="宋体" w:hAnsi="宋体"/>
          <w:kern w:val="2"/>
          <w:sz w:val="21"/>
          <w:szCs w:val="21"/>
        </w:rPr>
        <w:t>标准项目</w:t>
      </w:r>
      <w:r>
        <w:rPr>
          <w:rFonts w:ascii="宋体" w:hAnsi="宋体"/>
          <w:kern w:val="2"/>
          <w:sz w:val="21"/>
          <w:szCs w:val="21"/>
        </w:rPr>
        <w:t>负责起草单位</w:t>
      </w:r>
      <w:r>
        <w:rPr>
          <w:rFonts w:hint="eastAsia" w:ascii="宋体" w:hAnsi="宋体"/>
          <w:kern w:val="2"/>
          <w:sz w:val="21"/>
          <w:szCs w:val="21"/>
        </w:rPr>
        <w:t>: 北矿检测技术股份有限公司        电话:</w:t>
      </w:r>
      <w:r>
        <w:rPr>
          <w:rFonts w:ascii="宋体" w:hAnsi="宋体"/>
          <w:kern w:val="2"/>
          <w:sz w:val="21"/>
          <w:szCs w:val="21"/>
        </w:rPr>
        <w:t>13521957679</w:t>
      </w:r>
      <w:r>
        <w:rPr>
          <w:rFonts w:hint="eastAsia" w:ascii="宋体" w:hAnsi="宋体"/>
          <w:kern w:val="2"/>
          <w:sz w:val="21"/>
          <w:szCs w:val="21"/>
        </w:rPr>
        <w:t xml:space="preserve">    202</w:t>
      </w:r>
      <w:r>
        <w:rPr>
          <w:rFonts w:hint="eastAsia" w:ascii="宋体" w:hAnsi="宋体"/>
          <w:kern w:val="2"/>
          <w:sz w:val="21"/>
          <w:szCs w:val="21"/>
          <w:lang w:val="en-US" w:eastAsia="zh-CN"/>
        </w:rPr>
        <w:t>6</w:t>
      </w:r>
      <w:r>
        <w:rPr>
          <w:rFonts w:hint="eastAsia" w:ascii="宋体" w:hAnsi="宋体"/>
          <w:kern w:val="2"/>
          <w:sz w:val="21"/>
          <w:szCs w:val="21"/>
        </w:rPr>
        <w:t>年</w:t>
      </w:r>
      <w:r>
        <w:rPr>
          <w:rFonts w:hint="eastAsia" w:ascii="宋体" w:hAnsi="宋体"/>
          <w:kern w:val="2"/>
          <w:sz w:val="21"/>
          <w:szCs w:val="21"/>
          <w:lang w:val="en-US" w:eastAsia="zh-CN"/>
        </w:rPr>
        <w:t>7</w:t>
      </w:r>
      <w:r>
        <w:rPr>
          <w:rFonts w:hint="eastAsia" w:ascii="宋体" w:hAnsi="宋体"/>
          <w:kern w:val="2"/>
          <w:sz w:val="21"/>
          <w:szCs w:val="21"/>
        </w:rPr>
        <w:t>月</w:t>
      </w:r>
      <w:r>
        <w:rPr>
          <w:rFonts w:hint="eastAsia" w:ascii="宋体" w:hAnsi="宋体"/>
          <w:kern w:val="2"/>
          <w:sz w:val="21"/>
          <w:szCs w:val="21"/>
          <w:lang w:val="en-US" w:eastAsia="zh-CN"/>
        </w:rPr>
        <w:t>19</w:t>
      </w:r>
      <w:r>
        <w:rPr>
          <w:rFonts w:hint="eastAsia" w:ascii="宋体" w:hAnsi="宋体"/>
          <w:kern w:val="2"/>
          <w:sz w:val="21"/>
          <w:szCs w:val="21"/>
        </w:rPr>
        <w:t>日填写</w:t>
      </w:r>
    </w:p>
    <w:tbl>
      <w:tblPr>
        <w:tblStyle w:val="5"/>
        <w:tblW w:w="10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134"/>
        <w:gridCol w:w="2815"/>
        <w:gridCol w:w="2562"/>
        <w:gridCol w:w="1012"/>
        <w:gridCol w:w="2047"/>
      </w:tblGrid>
      <w:tr w14:paraId="34B7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51840204">
            <w:pPr>
              <w:jc w:val="center"/>
              <w:rPr>
                <w:rFonts w:hint="default"/>
                <w:sz w:val="18"/>
                <w:szCs w:val="18"/>
                <w:lang w:val="en-US" w:eastAsia="zh-CN"/>
              </w:rPr>
            </w:pPr>
            <w:r>
              <w:rPr>
                <w:rFonts w:hint="eastAsia"/>
                <w:sz w:val="18"/>
                <w:szCs w:val="18"/>
                <w:lang w:val="en-US" w:eastAsia="zh-CN"/>
              </w:rPr>
              <w:t>9</w:t>
            </w:r>
          </w:p>
        </w:tc>
        <w:tc>
          <w:tcPr>
            <w:tcW w:w="1134" w:type="dxa"/>
            <w:shd w:val="clear" w:color="auto" w:fill="auto"/>
            <w:vAlign w:val="center"/>
          </w:tcPr>
          <w:p w14:paraId="29C217F0">
            <w:pPr>
              <w:jc w:val="center"/>
              <w:rPr>
                <w:rFonts w:hint="eastAsia" w:ascii="Times New Roman" w:hAnsi="Times New Roman" w:eastAsia="宋体" w:cs="Times New Roman"/>
                <w:kern w:val="2"/>
                <w:sz w:val="18"/>
                <w:szCs w:val="18"/>
                <w:lang w:val="en-US" w:eastAsia="zh-CN" w:bidi="ar-SA"/>
              </w:rPr>
            </w:pPr>
            <w:r>
              <w:rPr>
                <w:rFonts w:hint="eastAsia"/>
                <w:sz w:val="18"/>
                <w:szCs w:val="18"/>
                <w:lang w:val="en-US" w:eastAsia="zh-CN"/>
              </w:rPr>
              <w:t>8.3空白实验</w:t>
            </w:r>
          </w:p>
        </w:tc>
        <w:tc>
          <w:tcPr>
            <w:tcW w:w="2815" w:type="dxa"/>
            <w:shd w:val="clear" w:color="auto" w:fill="auto"/>
            <w:vAlign w:val="center"/>
          </w:tcPr>
          <w:p w14:paraId="480ABC67">
            <w:pPr>
              <w:pStyle w:val="2"/>
              <w:rPr>
                <w:rFonts w:hint="eastAsia" w:eastAsia="宋体"/>
                <w:color w:val="auto"/>
                <w:highlight w:val="none"/>
                <w:lang w:eastAsia="zh-CN"/>
              </w:rPr>
            </w:pPr>
            <w:r>
              <w:rPr>
                <w:rFonts w:hint="eastAsia"/>
                <w:color w:val="auto"/>
                <w:highlight w:val="none"/>
                <w:lang w:eastAsia="zh-CN"/>
              </w:rPr>
              <w:t>“</w:t>
            </w:r>
            <w:r>
              <w:rPr>
                <w:rFonts w:hint="eastAsia"/>
                <w:color w:val="auto"/>
                <w:highlight w:val="none"/>
              </w:rPr>
              <w:t>实验用同批硝酸溶解</w:t>
            </w:r>
            <w:r>
              <w:rPr>
                <w:rFonts w:hint="eastAsia"/>
                <w:color w:val="auto"/>
                <w:highlight w:val="none"/>
                <w:lang w:val="en-US" w:eastAsia="zh-CN"/>
              </w:rPr>
              <w:t>金属</w:t>
            </w:r>
            <w:r>
              <w:rPr>
                <w:rFonts w:hint="eastAsia"/>
                <w:color w:val="auto"/>
                <w:highlight w:val="none"/>
              </w:rPr>
              <w:t>镍</w:t>
            </w:r>
            <w:r>
              <w:rPr>
                <w:rFonts w:hint="eastAsia"/>
                <w:color w:val="auto"/>
                <w:highlight w:val="none"/>
                <w:lang w:eastAsia="zh-CN"/>
              </w:rPr>
              <w:t>（</w:t>
            </w:r>
            <w:r>
              <w:rPr>
                <w:rFonts w:hint="eastAsia"/>
                <w:color w:val="auto"/>
                <w:highlight w:val="none"/>
                <w:lang w:val="en-US" w:eastAsia="zh-CN"/>
              </w:rPr>
              <w:t>5.2</w:t>
            </w:r>
            <w:r>
              <w:rPr>
                <w:rFonts w:hint="eastAsia"/>
                <w:color w:val="auto"/>
                <w:highlight w:val="none"/>
                <w:lang w:eastAsia="zh-CN"/>
              </w:rPr>
              <w:t>）</w:t>
            </w:r>
            <w:r>
              <w:rPr>
                <w:rFonts w:hint="eastAsia"/>
                <w:color w:val="auto"/>
                <w:highlight w:val="none"/>
              </w:rPr>
              <w:t>和试料，以标准溶液8.5.1的零浓度溶液，分别作为与试液相同基体浓度的试料空白。</w:t>
            </w:r>
            <w:r>
              <w:rPr>
                <w:rFonts w:hint="eastAsia"/>
                <w:color w:val="auto"/>
                <w:highlight w:val="none"/>
                <w:lang w:eastAsia="zh-CN"/>
              </w:rPr>
              <w:t>”</w:t>
            </w:r>
          </w:p>
          <w:p w14:paraId="03512D5C">
            <w:pPr>
              <w:pStyle w:val="2"/>
              <w:rPr>
                <w:rFonts w:hint="default" w:eastAsia="宋体"/>
                <w:lang w:val="en-US" w:eastAsia="zh-CN"/>
              </w:rPr>
            </w:pPr>
            <w:r>
              <w:rPr>
                <w:rFonts w:hint="eastAsia"/>
                <w:lang w:val="en-US" w:eastAsia="zh-CN"/>
              </w:rPr>
              <w:t>既然是空白试验，把试料放在这里不合适；没必要规定标准曲线的零点和试料空白必须是一瓶，只要是镍的浓度一致就可。做实验时可以是一瓶，也可以另配.....</w:t>
            </w:r>
          </w:p>
          <w:p w14:paraId="4BCBE49A">
            <w:pPr>
              <w:jc w:val="both"/>
              <w:rPr>
                <w:rFonts w:hint="eastAsia" w:ascii="Times New Roman" w:hAnsi="Times New Roman" w:eastAsia="宋体" w:cs="Times New Roman"/>
                <w:kern w:val="2"/>
                <w:sz w:val="21"/>
                <w:szCs w:val="21"/>
                <w:lang w:val="en-US" w:eastAsia="zh-CN" w:bidi="ar-SA"/>
              </w:rPr>
            </w:pPr>
          </w:p>
        </w:tc>
        <w:tc>
          <w:tcPr>
            <w:tcW w:w="2562" w:type="dxa"/>
            <w:shd w:val="clear" w:color="auto" w:fill="auto"/>
            <w:vAlign w:val="center"/>
          </w:tcPr>
          <w:p w14:paraId="62AF16B5">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中国检验认证集团广东有限公司黄埔分公司</w:t>
            </w:r>
          </w:p>
        </w:tc>
        <w:tc>
          <w:tcPr>
            <w:tcW w:w="1012" w:type="dxa"/>
            <w:shd w:val="clear" w:color="auto" w:fill="auto"/>
            <w:vAlign w:val="center"/>
          </w:tcPr>
          <w:p w14:paraId="71694FF8">
            <w:pPr>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采纳</w:t>
            </w:r>
          </w:p>
        </w:tc>
        <w:tc>
          <w:tcPr>
            <w:tcW w:w="2047" w:type="dxa"/>
            <w:vAlign w:val="center"/>
          </w:tcPr>
          <w:p w14:paraId="0DC7C91A">
            <w:pPr>
              <w:jc w:val="center"/>
              <w:rPr>
                <w:szCs w:val="21"/>
              </w:rPr>
            </w:pPr>
          </w:p>
        </w:tc>
      </w:tr>
      <w:tr w14:paraId="6C1DE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724DFD2D">
            <w:pPr>
              <w:jc w:val="center"/>
              <w:rPr>
                <w:rFonts w:hint="default" w:eastAsia="宋体"/>
                <w:sz w:val="18"/>
                <w:szCs w:val="18"/>
                <w:lang w:val="en-US" w:eastAsia="zh-CN"/>
              </w:rPr>
            </w:pPr>
            <w:r>
              <w:rPr>
                <w:rFonts w:hint="eastAsia"/>
                <w:sz w:val="18"/>
                <w:szCs w:val="18"/>
                <w:lang w:val="en-US" w:eastAsia="zh-CN"/>
              </w:rPr>
              <w:t>10</w:t>
            </w:r>
          </w:p>
        </w:tc>
        <w:tc>
          <w:tcPr>
            <w:tcW w:w="1134" w:type="dxa"/>
            <w:vAlign w:val="center"/>
          </w:tcPr>
          <w:p w14:paraId="35BB4911">
            <w:pPr>
              <w:jc w:val="center"/>
              <w:rPr>
                <w:rFonts w:hint="default"/>
                <w:sz w:val="18"/>
                <w:szCs w:val="18"/>
                <w:lang w:val="en-US" w:eastAsia="zh-CN"/>
              </w:rPr>
            </w:pPr>
            <w:r>
              <w:rPr>
                <w:rFonts w:hint="eastAsia"/>
                <w:sz w:val="18"/>
                <w:szCs w:val="18"/>
                <w:lang w:val="en-US" w:eastAsia="zh-CN"/>
              </w:rPr>
              <w:t>8.4.3</w:t>
            </w:r>
          </w:p>
        </w:tc>
        <w:tc>
          <w:tcPr>
            <w:tcW w:w="2815" w:type="dxa"/>
            <w:vAlign w:val="center"/>
          </w:tcPr>
          <w:p w14:paraId="5B3ADBA4">
            <w:pPr>
              <w:pStyle w:val="2"/>
              <w:rPr>
                <w:rFonts w:hint="default" w:eastAsia="宋体"/>
                <w:szCs w:val="21"/>
                <w:lang w:val="en-US" w:eastAsia="zh-CN"/>
              </w:rPr>
            </w:pPr>
            <w:r>
              <w:rPr>
                <w:rFonts w:hint="eastAsia"/>
                <w:szCs w:val="21"/>
                <w:lang w:val="en-US" w:eastAsia="zh-CN"/>
              </w:rPr>
              <w:t>修改语序为“</w:t>
            </w:r>
            <w:r>
              <w:rPr>
                <w:rFonts w:hint="eastAsia"/>
                <w:lang w:val="en-US" w:eastAsia="zh-CN"/>
              </w:rPr>
              <w:t>以水调零，于原子吸收光谱仪选定波长处，与标准溶液系列同时测定试液及随同试料空白溶液中待测元素的吸光度，</w:t>
            </w:r>
            <w:r>
              <w:rPr>
                <w:rFonts w:hint="eastAsia"/>
                <w:szCs w:val="21"/>
                <w:lang w:val="en-US" w:eastAsia="zh-CN"/>
              </w:rPr>
              <w:t>”</w:t>
            </w:r>
          </w:p>
        </w:tc>
        <w:tc>
          <w:tcPr>
            <w:tcW w:w="2562" w:type="dxa"/>
            <w:vAlign w:val="center"/>
          </w:tcPr>
          <w:p w14:paraId="5537BF59">
            <w:pPr>
              <w:jc w:val="center"/>
              <w:rPr>
                <w:rFonts w:hint="eastAsia"/>
                <w:color w:val="auto"/>
                <w:sz w:val="21"/>
                <w:szCs w:val="21"/>
                <w:lang w:val="en-US" w:eastAsia="zh-CN"/>
              </w:rPr>
            </w:pPr>
            <w:r>
              <w:rPr>
                <w:rFonts w:hint="eastAsia"/>
                <w:color w:val="auto"/>
                <w:sz w:val="21"/>
                <w:szCs w:val="21"/>
                <w:lang w:val="en-US" w:eastAsia="zh-CN"/>
              </w:rPr>
              <w:t>中国检验认证集团广东有限公司黄埔分公司</w:t>
            </w:r>
          </w:p>
        </w:tc>
        <w:tc>
          <w:tcPr>
            <w:tcW w:w="1012" w:type="dxa"/>
            <w:vAlign w:val="center"/>
          </w:tcPr>
          <w:p w14:paraId="0106B2D0">
            <w:pPr>
              <w:jc w:val="center"/>
              <w:rPr>
                <w:rFonts w:hint="eastAsia" w:eastAsia="宋体"/>
                <w:sz w:val="21"/>
                <w:szCs w:val="21"/>
                <w:lang w:val="en-US" w:eastAsia="zh-CN"/>
              </w:rPr>
            </w:pPr>
            <w:r>
              <w:rPr>
                <w:rFonts w:hint="eastAsia"/>
                <w:sz w:val="21"/>
                <w:szCs w:val="21"/>
                <w:lang w:val="en-US" w:eastAsia="zh-CN"/>
              </w:rPr>
              <w:t>采纳</w:t>
            </w:r>
          </w:p>
        </w:tc>
        <w:tc>
          <w:tcPr>
            <w:tcW w:w="2047" w:type="dxa"/>
            <w:vAlign w:val="center"/>
          </w:tcPr>
          <w:p w14:paraId="31C6420A">
            <w:pPr>
              <w:jc w:val="center"/>
              <w:rPr>
                <w:szCs w:val="21"/>
              </w:rPr>
            </w:pPr>
          </w:p>
        </w:tc>
      </w:tr>
      <w:tr w14:paraId="407D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426F5E5C">
            <w:pPr>
              <w:jc w:val="center"/>
              <w:rPr>
                <w:rFonts w:hint="default"/>
                <w:sz w:val="18"/>
                <w:szCs w:val="18"/>
                <w:lang w:val="en-US" w:eastAsia="zh-CN"/>
              </w:rPr>
            </w:pPr>
            <w:r>
              <w:rPr>
                <w:rFonts w:hint="eastAsia"/>
                <w:sz w:val="18"/>
                <w:szCs w:val="18"/>
                <w:lang w:val="en-US" w:eastAsia="zh-CN"/>
              </w:rPr>
              <w:t>11</w:t>
            </w:r>
          </w:p>
        </w:tc>
        <w:tc>
          <w:tcPr>
            <w:tcW w:w="1134" w:type="dxa"/>
            <w:vAlign w:val="center"/>
          </w:tcPr>
          <w:p w14:paraId="7BC517B0">
            <w:pPr>
              <w:jc w:val="center"/>
              <w:rPr>
                <w:sz w:val="18"/>
                <w:szCs w:val="18"/>
              </w:rPr>
            </w:pPr>
            <w:r>
              <w:rPr>
                <w:rFonts w:hint="eastAsia"/>
                <w:sz w:val="20"/>
                <w:szCs w:val="20"/>
                <w:lang w:val="en-US" w:eastAsia="zh-CN"/>
              </w:rPr>
              <w:t>表3</w:t>
            </w:r>
          </w:p>
        </w:tc>
        <w:tc>
          <w:tcPr>
            <w:tcW w:w="2815" w:type="dxa"/>
            <w:vAlign w:val="center"/>
          </w:tcPr>
          <w:p w14:paraId="71E29B5C">
            <w:pPr>
              <w:jc w:val="left"/>
              <w:rPr>
                <w:rFonts w:hint="eastAsia"/>
                <w:sz w:val="20"/>
                <w:szCs w:val="20"/>
                <w:lang w:val="en-US" w:eastAsia="zh-CN"/>
              </w:rPr>
            </w:pPr>
            <w:r>
              <w:rPr>
                <w:rFonts w:hint="eastAsia"/>
                <w:sz w:val="20"/>
                <w:szCs w:val="20"/>
                <w:lang w:val="en-US" w:eastAsia="zh-CN"/>
              </w:rPr>
              <w:t>表中第二列首行文字为：“元素含量%”，那么在此列第二行至第五行处，不应在数字后面再加上%进行表述；</w:t>
            </w:r>
            <w:r>
              <w:rPr>
                <w:rFonts w:hint="eastAsia"/>
                <w:sz w:val="20"/>
                <w:szCs w:val="20"/>
                <w:lang w:val="en-US" w:eastAsia="zh-CN"/>
              </w:rPr>
              <w:br w:type="textWrapping"/>
            </w:r>
            <w:r>
              <w:rPr>
                <w:rFonts w:hint="eastAsia"/>
                <w:sz w:val="20"/>
                <w:szCs w:val="20"/>
                <w:lang w:val="en-US" w:eastAsia="zh-CN"/>
              </w:rPr>
              <w:t>分取体积列，末行的“10”应写为“10.00”；</w:t>
            </w:r>
          </w:p>
          <w:p w14:paraId="432D2FBB">
            <w:pPr>
              <w:jc w:val="left"/>
              <w:rPr>
                <w:rFonts w:hint="eastAsia" w:ascii="宋体" w:hAnsi="宋体"/>
                <w:sz w:val="21"/>
                <w:szCs w:val="21"/>
              </w:rPr>
            </w:pPr>
            <w:r>
              <w:rPr>
                <w:rFonts w:hint="eastAsia"/>
                <w:sz w:val="20"/>
                <w:szCs w:val="20"/>
                <w:lang w:val="en-US" w:eastAsia="zh-CN"/>
              </w:rPr>
              <w:t>补加硝酸体积列，末行的“20”应写为“20.00”</w:t>
            </w:r>
          </w:p>
        </w:tc>
        <w:tc>
          <w:tcPr>
            <w:tcW w:w="2562" w:type="dxa"/>
            <w:vAlign w:val="center"/>
          </w:tcPr>
          <w:p w14:paraId="71A00352">
            <w:pPr>
              <w:jc w:val="center"/>
              <w:rPr>
                <w:rFonts w:hint="eastAsia"/>
                <w:color w:val="auto"/>
                <w:sz w:val="21"/>
                <w:szCs w:val="21"/>
                <w:lang w:val="en-US" w:eastAsia="zh-CN"/>
              </w:rPr>
            </w:pPr>
            <w:r>
              <w:rPr>
                <w:rFonts w:hint="eastAsia"/>
                <w:color w:val="auto"/>
                <w:sz w:val="21"/>
                <w:szCs w:val="21"/>
                <w:lang w:val="en-US" w:eastAsia="zh-CN"/>
              </w:rPr>
              <w:t>中国检验认证集团广西有限公司</w:t>
            </w:r>
          </w:p>
        </w:tc>
        <w:tc>
          <w:tcPr>
            <w:tcW w:w="1012" w:type="dxa"/>
            <w:vAlign w:val="center"/>
          </w:tcPr>
          <w:p w14:paraId="6241C6B0">
            <w:pPr>
              <w:jc w:val="center"/>
              <w:rPr>
                <w:rFonts w:hint="eastAsia" w:eastAsia="宋体"/>
                <w:sz w:val="18"/>
                <w:szCs w:val="18"/>
                <w:lang w:val="en-US" w:eastAsia="zh-CN"/>
              </w:rPr>
            </w:pPr>
            <w:r>
              <w:rPr>
                <w:rFonts w:hint="eastAsia"/>
                <w:sz w:val="18"/>
                <w:szCs w:val="18"/>
                <w:lang w:val="en-US" w:eastAsia="zh-CN"/>
              </w:rPr>
              <w:t>采纳</w:t>
            </w:r>
          </w:p>
        </w:tc>
        <w:tc>
          <w:tcPr>
            <w:tcW w:w="2047" w:type="dxa"/>
            <w:vAlign w:val="center"/>
          </w:tcPr>
          <w:p w14:paraId="3959BDBA">
            <w:pPr>
              <w:jc w:val="center"/>
              <w:rPr>
                <w:szCs w:val="21"/>
              </w:rPr>
            </w:pPr>
          </w:p>
        </w:tc>
      </w:tr>
      <w:tr w14:paraId="6201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7BB540D3">
            <w:pPr>
              <w:jc w:val="center"/>
              <w:rPr>
                <w:rFonts w:hint="default"/>
                <w:sz w:val="18"/>
                <w:szCs w:val="18"/>
                <w:lang w:val="en-US" w:eastAsia="zh-CN"/>
              </w:rPr>
            </w:pPr>
            <w:r>
              <w:rPr>
                <w:rFonts w:hint="eastAsia"/>
                <w:sz w:val="18"/>
                <w:szCs w:val="18"/>
                <w:lang w:val="en-US" w:eastAsia="zh-CN"/>
              </w:rPr>
              <w:t>12</w:t>
            </w:r>
          </w:p>
        </w:tc>
        <w:tc>
          <w:tcPr>
            <w:tcW w:w="1134" w:type="dxa"/>
            <w:vAlign w:val="center"/>
          </w:tcPr>
          <w:p w14:paraId="34417F93">
            <w:pPr>
              <w:jc w:val="center"/>
              <w:rPr>
                <w:sz w:val="18"/>
                <w:szCs w:val="18"/>
              </w:rPr>
            </w:pPr>
          </w:p>
        </w:tc>
        <w:tc>
          <w:tcPr>
            <w:tcW w:w="2815" w:type="dxa"/>
            <w:vAlign w:val="center"/>
          </w:tcPr>
          <w:p w14:paraId="0CF477E2">
            <w:pPr>
              <w:jc w:val="left"/>
              <w:rPr>
                <w:rFonts w:hint="eastAsia" w:ascii="宋体" w:hAnsi="宋体"/>
                <w:sz w:val="21"/>
                <w:szCs w:val="21"/>
              </w:rPr>
            </w:pPr>
          </w:p>
        </w:tc>
        <w:tc>
          <w:tcPr>
            <w:tcW w:w="2562" w:type="dxa"/>
            <w:vAlign w:val="center"/>
          </w:tcPr>
          <w:p w14:paraId="6B2923E5">
            <w:pPr>
              <w:jc w:val="center"/>
              <w:rPr>
                <w:rFonts w:hint="eastAsia"/>
                <w:color w:val="auto"/>
                <w:sz w:val="21"/>
                <w:szCs w:val="21"/>
                <w:lang w:val="en-US" w:eastAsia="zh-CN"/>
              </w:rPr>
            </w:pPr>
            <w:r>
              <w:rPr>
                <w:rFonts w:hint="eastAsia"/>
                <w:color w:val="auto"/>
                <w:sz w:val="18"/>
                <w:szCs w:val="18"/>
                <w:lang w:val="en-US" w:eastAsia="zh-CN"/>
              </w:rPr>
              <w:t>长沙矿冶院检测技术有限责任公司</w:t>
            </w:r>
          </w:p>
        </w:tc>
        <w:tc>
          <w:tcPr>
            <w:tcW w:w="1012" w:type="dxa"/>
            <w:vAlign w:val="center"/>
          </w:tcPr>
          <w:p w14:paraId="68B6D124">
            <w:pPr>
              <w:jc w:val="center"/>
              <w:rPr>
                <w:rFonts w:hint="eastAsia"/>
                <w:sz w:val="18"/>
                <w:szCs w:val="18"/>
              </w:rPr>
            </w:pPr>
          </w:p>
        </w:tc>
        <w:tc>
          <w:tcPr>
            <w:tcW w:w="2047" w:type="dxa"/>
            <w:vAlign w:val="center"/>
          </w:tcPr>
          <w:p w14:paraId="751814D6">
            <w:pPr>
              <w:jc w:val="center"/>
              <w:rPr>
                <w:szCs w:val="21"/>
              </w:rPr>
            </w:pPr>
          </w:p>
        </w:tc>
      </w:tr>
      <w:tr w14:paraId="684E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1B806418">
            <w:pPr>
              <w:jc w:val="center"/>
              <w:rPr>
                <w:rFonts w:hint="default" w:eastAsia="宋体"/>
                <w:szCs w:val="21"/>
                <w:lang w:val="en-US" w:eastAsia="zh-CN"/>
              </w:rPr>
            </w:pPr>
            <w:r>
              <w:rPr>
                <w:rFonts w:hint="eastAsia"/>
                <w:sz w:val="18"/>
                <w:szCs w:val="18"/>
                <w:lang w:val="en-US" w:eastAsia="zh-CN"/>
              </w:rPr>
              <w:t>13</w:t>
            </w:r>
          </w:p>
        </w:tc>
        <w:tc>
          <w:tcPr>
            <w:tcW w:w="1134" w:type="dxa"/>
            <w:vAlign w:val="center"/>
          </w:tcPr>
          <w:p w14:paraId="72A60BD8">
            <w:pPr>
              <w:jc w:val="center"/>
              <w:rPr>
                <w:szCs w:val="21"/>
              </w:rPr>
            </w:pPr>
          </w:p>
        </w:tc>
        <w:tc>
          <w:tcPr>
            <w:tcW w:w="2815" w:type="dxa"/>
            <w:vAlign w:val="center"/>
          </w:tcPr>
          <w:p w14:paraId="5F22FC5B">
            <w:pPr>
              <w:jc w:val="left"/>
              <w:rPr>
                <w:szCs w:val="21"/>
              </w:rPr>
            </w:pPr>
          </w:p>
        </w:tc>
        <w:tc>
          <w:tcPr>
            <w:tcW w:w="2562" w:type="dxa"/>
            <w:vAlign w:val="center"/>
          </w:tcPr>
          <w:p w14:paraId="54E65E03">
            <w:pPr>
              <w:jc w:val="center"/>
              <w:rPr>
                <w:color w:val="auto"/>
                <w:szCs w:val="21"/>
              </w:rPr>
            </w:pPr>
            <w:r>
              <w:rPr>
                <w:rFonts w:hint="eastAsia"/>
                <w:color w:val="auto"/>
                <w:szCs w:val="21"/>
              </w:rPr>
              <w:t>广东省科学院工业分析检测中心</w:t>
            </w:r>
          </w:p>
        </w:tc>
        <w:tc>
          <w:tcPr>
            <w:tcW w:w="1012" w:type="dxa"/>
            <w:vAlign w:val="center"/>
          </w:tcPr>
          <w:p w14:paraId="0978C398">
            <w:pPr>
              <w:jc w:val="center"/>
              <w:rPr>
                <w:sz w:val="21"/>
                <w:szCs w:val="21"/>
                <w:highlight w:val="green"/>
              </w:rPr>
            </w:pPr>
          </w:p>
        </w:tc>
        <w:tc>
          <w:tcPr>
            <w:tcW w:w="2047" w:type="dxa"/>
            <w:vAlign w:val="center"/>
          </w:tcPr>
          <w:p w14:paraId="632304FB">
            <w:pPr>
              <w:jc w:val="left"/>
              <w:rPr>
                <w:color w:val="auto"/>
                <w:sz w:val="21"/>
                <w:szCs w:val="21"/>
              </w:rPr>
            </w:pPr>
          </w:p>
        </w:tc>
      </w:tr>
      <w:tr w14:paraId="5920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52384E58">
            <w:pPr>
              <w:jc w:val="center"/>
              <w:rPr>
                <w:rFonts w:hint="default" w:eastAsia="宋体"/>
                <w:sz w:val="18"/>
                <w:szCs w:val="18"/>
                <w:lang w:val="en-US" w:eastAsia="zh-CN"/>
              </w:rPr>
            </w:pPr>
            <w:r>
              <w:rPr>
                <w:rFonts w:hint="eastAsia"/>
                <w:sz w:val="18"/>
                <w:szCs w:val="18"/>
                <w:lang w:val="en-US" w:eastAsia="zh-CN"/>
              </w:rPr>
              <w:t>14</w:t>
            </w:r>
          </w:p>
        </w:tc>
        <w:tc>
          <w:tcPr>
            <w:tcW w:w="1134" w:type="dxa"/>
            <w:vAlign w:val="center"/>
          </w:tcPr>
          <w:p w14:paraId="04ED86AB">
            <w:pPr>
              <w:jc w:val="center"/>
              <w:rPr>
                <w:sz w:val="21"/>
                <w:szCs w:val="21"/>
              </w:rPr>
            </w:pPr>
          </w:p>
        </w:tc>
        <w:tc>
          <w:tcPr>
            <w:tcW w:w="2815" w:type="dxa"/>
            <w:vAlign w:val="center"/>
          </w:tcPr>
          <w:p w14:paraId="1D3B5576">
            <w:pPr>
              <w:snapToGrid w:val="0"/>
              <w:spacing w:line="300" w:lineRule="auto"/>
              <w:jc w:val="center"/>
              <w:rPr>
                <w:rFonts w:ascii="宋体" w:hAnsi="宋体"/>
                <w:color w:val="FF0000"/>
                <w:szCs w:val="21"/>
              </w:rPr>
            </w:pPr>
          </w:p>
        </w:tc>
        <w:tc>
          <w:tcPr>
            <w:tcW w:w="2562" w:type="dxa"/>
            <w:vAlign w:val="center"/>
          </w:tcPr>
          <w:p w14:paraId="1A261ABA">
            <w:pPr>
              <w:jc w:val="center"/>
              <w:rPr>
                <w:rFonts w:hint="default" w:eastAsia="宋体"/>
                <w:color w:val="auto"/>
                <w:sz w:val="21"/>
                <w:szCs w:val="21"/>
                <w:lang w:val="en-US" w:eastAsia="zh-CN"/>
              </w:rPr>
            </w:pPr>
            <w:r>
              <w:rPr>
                <w:rFonts w:hint="eastAsia" w:eastAsia="宋体"/>
                <w:color w:val="auto"/>
                <w:sz w:val="21"/>
                <w:szCs w:val="21"/>
                <w:lang w:val="en-US" w:eastAsia="zh-CN"/>
              </w:rPr>
              <w:t>云南锡业矿冶检测中心有限公司</w:t>
            </w:r>
          </w:p>
        </w:tc>
        <w:tc>
          <w:tcPr>
            <w:tcW w:w="1012" w:type="dxa"/>
            <w:vAlign w:val="center"/>
          </w:tcPr>
          <w:p w14:paraId="6BE7AF09">
            <w:pPr>
              <w:jc w:val="center"/>
              <w:rPr>
                <w:sz w:val="21"/>
                <w:szCs w:val="21"/>
              </w:rPr>
            </w:pPr>
          </w:p>
        </w:tc>
        <w:tc>
          <w:tcPr>
            <w:tcW w:w="2047" w:type="dxa"/>
            <w:vAlign w:val="center"/>
          </w:tcPr>
          <w:p w14:paraId="389B577D">
            <w:pPr>
              <w:jc w:val="left"/>
              <w:rPr>
                <w:sz w:val="18"/>
                <w:szCs w:val="18"/>
              </w:rPr>
            </w:pPr>
          </w:p>
        </w:tc>
      </w:tr>
    </w:tbl>
    <w:p w14:paraId="658E6D95">
      <w:pPr>
        <w:pStyle w:val="7"/>
        <w:numPr>
          <w:ilvl w:val="0"/>
          <w:numId w:val="1"/>
        </w:numPr>
        <w:ind w:left="283" w:hanging="283" w:hangingChars="135"/>
        <w:jc w:val="left"/>
        <w:rPr>
          <w:rFonts w:ascii="Times New Roman" w:hAnsi="Times New Roman"/>
        </w:rPr>
      </w:pPr>
      <w:r>
        <w:rPr>
          <w:rFonts w:ascii="Times New Roman" w:hAnsi="Times New Roman"/>
        </w:rPr>
        <w:t>发送征求意见函的单位：</w:t>
      </w:r>
      <w:r>
        <w:rPr>
          <w:rFonts w:hint="eastAsia" w:ascii="Times New Roman" w:hAnsi="Times New Roman"/>
          <w:lang w:val="en-US" w:eastAsia="zh-CN"/>
        </w:rPr>
        <w:t>7</w:t>
      </w:r>
      <w:r>
        <w:rPr>
          <w:rFonts w:ascii="Times New Roman" w:hAnsi="Times New Roman"/>
        </w:rPr>
        <w:t>个；</w:t>
      </w:r>
    </w:p>
    <w:p w14:paraId="6333AA60">
      <w:pPr>
        <w:pStyle w:val="7"/>
        <w:numPr>
          <w:ilvl w:val="0"/>
          <w:numId w:val="1"/>
        </w:numPr>
        <w:ind w:firstLineChars="0"/>
        <w:jc w:val="left"/>
        <w:rPr>
          <w:rFonts w:ascii="Times New Roman" w:hAnsi="Times New Roman"/>
        </w:rPr>
      </w:pPr>
      <w:r>
        <w:rPr>
          <w:rFonts w:ascii="Times New Roman" w:hAnsi="Times New Roman"/>
        </w:rPr>
        <w:t>收到征求意见函后，回复的单位：</w:t>
      </w:r>
      <w:r>
        <w:rPr>
          <w:rFonts w:hint="eastAsia" w:ascii="Times New Roman" w:hAnsi="Times New Roman"/>
          <w:lang w:val="en-US" w:eastAsia="zh-CN"/>
        </w:rPr>
        <w:t>4</w:t>
      </w:r>
      <w:r>
        <w:rPr>
          <w:rFonts w:ascii="Times New Roman" w:hAnsi="Times New Roman"/>
        </w:rPr>
        <w:t>个；</w:t>
      </w:r>
    </w:p>
    <w:p w14:paraId="0AD016D8">
      <w:pPr>
        <w:pStyle w:val="7"/>
        <w:numPr>
          <w:ilvl w:val="0"/>
          <w:numId w:val="1"/>
        </w:numPr>
        <w:ind w:firstLineChars="0"/>
        <w:jc w:val="left"/>
        <w:rPr>
          <w:rFonts w:ascii="Times New Roman" w:hAnsi="Times New Roman"/>
        </w:rPr>
      </w:pPr>
      <w:r>
        <w:rPr>
          <w:rFonts w:ascii="Times New Roman" w:hAnsi="Times New Roman"/>
        </w:rPr>
        <w:t>收到征求意见函后，有意见和建议的单位：</w:t>
      </w:r>
      <w:r>
        <w:rPr>
          <w:rFonts w:hint="eastAsia" w:ascii="Times New Roman" w:hAnsi="Times New Roman"/>
          <w:lang w:val="en-US" w:eastAsia="zh-CN"/>
        </w:rPr>
        <w:t>4</w:t>
      </w:r>
      <w:r>
        <w:rPr>
          <w:rFonts w:ascii="Times New Roman" w:hAnsi="Times New Roman"/>
        </w:rPr>
        <w:t>个；</w:t>
      </w:r>
    </w:p>
    <w:p w14:paraId="4D682A1E">
      <w:pPr>
        <w:pStyle w:val="7"/>
        <w:numPr>
          <w:ilvl w:val="0"/>
          <w:numId w:val="1"/>
        </w:numPr>
        <w:ind w:firstLineChars="0"/>
        <w:jc w:val="left"/>
        <w:rPr>
          <w:rFonts w:ascii="Times New Roman" w:hAnsi="Times New Roman"/>
        </w:rPr>
      </w:pPr>
      <w:r>
        <w:rPr>
          <w:rFonts w:ascii="Times New Roman" w:hAnsi="Times New Roman"/>
        </w:rPr>
        <w:t>没有回复</w:t>
      </w:r>
      <w:r>
        <w:rPr>
          <w:rFonts w:hint="eastAsia" w:ascii="Times New Roman" w:hAnsi="Times New Roman"/>
        </w:rPr>
        <w:t>意见</w:t>
      </w:r>
      <w:r>
        <w:rPr>
          <w:rFonts w:ascii="Times New Roman" w:hAnsi="Times New Roman"/>
        </w:rPr>
        <w:t>的单位：</w:t>
      </w:r>
      <w:r>
        <w:rPr>
          <w:rFonts w:hint="eastAsia" w:ascii="Times New Roman" w:hAnsi="Times New Roman"/>
          <w:lang w:val="en-US" w:eastAsia="zh-CN"/>
        </w:rPr>
        <w:t>3</w:t>
      </w:r>
      <w:r>
        <w:rPr>
          <w:rFonts w:ascii="Times New Roman" w:hAnsi="Times New Roman"/>
        </w:rPr>
        <w:t>个</w:t>
      </w:r>
      <w:r>
        <w:rPr>
          <w:rFonts w:hint="eastAsia" w:ascii="Times New Roman" w:hAnsi="Times New Roman"/>
        </w:rPr>
        <w:t>。</w:t>
      </w:r>
    </w:p>
    <w:p w14:paraId="33798EB8">
      <w:pPr>
        <w:pStyle w:val="7"/>
        <w:ind w:firstLine="0" w:firstLineChars="0"/>
        <w:jc w:val="left"/>
        <w:rPr>
          <w:rFonts w:ascii="Times New Roman" w:hAnsi="Times New Roman"/>
        </w:rPr>
      </w:pPr>
    </w:p>
    <w:sectPr>
      <w:pgSz w:w="11907" w:h="16840"/>
      <w:pgMar w:top="1134" w:right="964" w:bottom="1134" w:left="964" w:header="851" w:footer="851" w:gutter="0"/>
      <w:pgNumType w:start="1"/>
      <w:cols w:space="720" w:num="1"/>
      <w:docGrid w:type="linesAndChars" w:linePitch="32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BE4FD4"/>
    <w:multiLevelType w:val="multilevel"/>
    <w:tmpl w:val="32BE4FD4"/>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62"/>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F30"/>
    <w:rsid w:val="00011062"/>
    <w:rsid w:val="00063B1D"/>
    <w:rsid w:val="000653ED"/>
    <w:rsid w:val="00077F30"/>
    <w:rsid w:val="00081F6C"/>
    <w:rsid w:val="0008424A"/>
    <w:rsid w:val="00093A0B"/>
    <w:rsid w:val="000A10DD"/>
    <w:rsid w:val="000A7698"/>
    <w:rsid w:val="000B7665"/>
    <w:rsid w:val="000C31EB"/>
    <w:rsid w:val="000E0565"/>
    <w:rsid w:val="000E2056"/>
    <w:rsid w:val="000E4B3B"/>
    <w:rsid w:val="000F7C7C"/>
    <w:rsid w:val="0011512D"/>
    <w:rsid w:val="00121D35"/>
    <w:rsid w:val="0015388A"/>
    <w:rsid w:val="00167FC0"/>
    <w:rsid w:val="001869C3"/>
    <w:rsid w:val="001A198B"/>
    <w:rsid w:val="001A5E82"/>
    <w:rsid w:val="001B1A60"/>
    <w:rsid w:val="001C0E73"/>
    <w:rsid w:val="001E2943"/>
    <w:rsid w:val="001F2AEA"/>
    <w:rsid w:val="00206FBD"/>
    <w:rsid w:val="00217963"/>
    <w:rsid w:val="0023106D"/>
    <w:rsid w:val="00263EE3"/>
    <w:rsid w:val="002659B3"/>
    <w:rsid w:val="0027128B"/>
    <w:rsid w:val="002904D3"/>
    <w:rsid w:val="002A50B7"/>
    <w:rsid w:val="002A6680"/>
    <w:rsid w:val="002A67CD"/>
    <w:rsid w:val="002C1A10"/>
    <w:rsid w:val="002C47FB"/>
    <w:rsid w:val="002E6D28"/>
    <w:rsid w:val="002F27D6"/>
    <w:rsid w:val="00300507"/>
    <w:rsid w:val="00325118"/>
    <w:rsid w:val="003346A0"/>
    <w:rsid w:val="00351621"/>
    <w:rsid w:val="00371C7B"/>
    <w:rsid w:val="0038131C"/>
    <w:rsid w:val="00381DC3"/>
    <w:rsid w:val="00393369"/>
    <w:rsid w:val="003B7CE9"/>
    <w:rsid w:val="003E1247"/>
    <w:rsid w:val="00403FA8"/>
    <w:rsid w:val="00414BE2"/>
    <w:rsid w:val="00465C79"/>
    <w:rsid w:val="00476F70"/>
    <w:rsid w:val="00480852"/>
    <w:rsid w:val="00486D9D"/>
    <w:rsid w:val="004960AD"/>
    <w:rsid w:val="004A3908"/>
    <w:rsid w:val="004C286F"/>
    <w:rsid w:val="004C4B83"/>
    <w:rsid w:val="004E2A06"/>
    <w:rsid w:val="004E3F7B"/>
    <w:rsid w:val="004E3FBE"/>
    <w:rsid w:val="004F338D"/>
    <w:rsid w:val="005375FB"/>
    <w:rsid w:val="00540602"/>
    <w:rsid w:val="0055675A"/>
    <w:rsid w:val="00564509"/>
    <w:rsid w:val="00565612"/>
    <w:rsid w:val="005704DF"/>
    <w:rsid w:val="00576985"/>
    <w:rsid w:val="00586613"/>
    <w:rsid w:val="005B1857"/>
    <w:rsid w:val="005B55B1"/>
    <w:rsid w:val="005B7FCE"/>
    <w:rsid w:val="005C62DE"/>
    <w:rsid w:val="005E0A6D"/>
    <w:rsid w:val="005E0F4A"/>
    <w:rsid w:val="005F2311"/>
    <w:rsid w:val="005F50C7"/>
    <w:rsid w:val="0062225D"/>
    <w:rsid w:val="00651236"/>
    <w:rsid w:val="0066497C"/>
    <w:rsid w:val="006B4290"/>
    <w:rsid w:val="006B4729"/>
    <w:rsid w:val="006D0ED3"/>
    <w:rsid w:val="006D7D22"/>
    <w:rsid w:val="006F5D3F"/>
    <w:rsid w:val="00713CBA"/>
    <w:rsid w:val="007212DF"/>
    <w:rsid w:val="00757DD8"/>
    <w:rsid w:val="007B6112"/>
    <w:rsid w:val="008237A6"/>
    <w:rsid w:val="008258ED"/>
    <w:rsid w:val="00844AAF"/>
    <w:rsid w:val="00844D8E"/>
    <w:rsid w:val="008713D2"/>
    <w:rsid w:val="00892246"/>
    <w:rsid w:val="008A0983"/>
    <w:rsid w:val="008C3CAB"/>
    <w:rsid w:val="008D2F2E"/>
    <w:rsid w:val="008E1403"/>
    <w:rsid w:val="009644E1"/>
    <w:rsid w:val="009656B3"/>
    <w:rsid w:val="0099103E"/>
    <w:rsid w:val="009C2195"/>
    <w:rsid w:val="009E30BE"/>
    <w:rsid w:val="00A34C16"/>
    <w:rsid w:val="00A60966"/>
    <w:rsid w:val="00A73EE4"/>
    <w:rsid w:val="00A82BE1"/>
    <w:rsid w:val="00AB64E9"/>
    <w:rsid w:val="00AB75DC"/>
    <w:rsid w:val="00B07453"/>
    <w:rsid w:val="00B10EC9"/>
    <w:rsid w:val="00B4650E"/>
    <w:rsid w:val="00B5152B"/>
    <w:rsid w:val="00B62A44"/>
    <w:rsid w:val="00B84A47"/>
    <w:rsid w:val="00B9031D"/>
    <w:rsid w:val="00BB50C0"/>
    <w:rsid w:val="00BC1593"/>
    <w:rsid w:val="00C3748D"/>
    <w:rsid w:val="00C41BD9"/>
    <w:rsid w:val="00C435CE"/>
    <w:rsid w:val="00C6560E"/>
    <w:rsid w:val="00C719CF"/>
    <w:rsid w:val="00CA1420"/>
    <w:rsid w:val="00CB20B0"/>
    <w:rsid w:val="00CC2546"/>
    <w:rsid w:val="00CD16DA"/>
    <w:rsid w:val="00CD4AB7"/>
    <w:rsid w:val="00D1228A"/>
    <w:rsid w:val="00D14931"/>
    <w:rsid w:val="00D30423"/>
    <w:rsid w:val="00D60B1F"/>
    <w:rsid w:val="00D705E2"/>
    <w:rsid w:val="00D951FD"/>
    <w:rsid w:val="00D96E2B"/>
    <w:rsid w:val="00DB7FD0"/>
    <w:rsid w:val="00DC5119"/>
    <w:rsid w:val="00DF0E5C"/>
    <w:rsid w:val="00E00F15"/>
    <w:rsid w:val="00E144AC"/>
    <w:rsid w:val="00E25CBB"/>
    <w:rsid w:val="00E42A38"/>
    <w:rsid w:val="00E53625"/>
    <w:rsid w:val="00E82B44"/>
    <w:rsid w:val="00E93485"/>
    <w:rsid w:val="00EB3F0F"/>
    <w:rsid w:val="00EF5AED"/>
    <w:rsid w:val="00EF700C"/>
    <w:rsid w:val="00F35120"/>
    <w:rsid w:val="00F53C61"/>
    <w:rsid w:val="00F573FE"/>
    <w:rsid w:val="00F75816"/>
    <w:rsid w:val="00F76860"/>
    <w:rsid w:val="00F81F71"/>
    <w:rsid w:val="00F97D43"/>
    <w:rsid w:val="00FB2B71"/>
    <w:rsid w:val="00FB3392"/>
    <w:rsid w:val="00FF742F"/>
    <w:rsid w:val="01D4384B"/>
    <w:rsid w:val="03D13DB8"/>
    <w:rsid w:val="05467D5B"/>
    <w:rsid w:val="056621AB"/>
    <w:rsid w:val="06787FCA"/>
    <w:rsid w:val="06CF222F"/>
    <w:rsid w:val="06D27AF8"/>
    <w:rsid w:val="0A402A25"/>
    <w:rsid w:val="0AE079F1"/>
    <w:rsid w:val="0E2C3A9F"/>
    <w:rsid w:val="109920FA"/>
    <w:rsid w:val="11E614B8"/>
    <w:rsid w:val="13E250F3"/>
    <w:rsid w:val="16753FFC"/>
    <w:rsid w:val="1693416D"/>
    <w:rsid w:val="1F5E5F75"/>
    <w:rsid w:val="205D51B3"/>
    <w:rsid w:val="2156211E"/>
    <w:rsid w:val="27932D9E"/>
    <w:rsid w:val="29B61918"/>
    <w:rsid w:val="2A1E6945"/>
    <w:rsid w:val="2B6A6CDC"/>
    <w:rsid w:val="2C6646BB"/>
    <w:rsid w:val="2F962B9A"/>
    <w:rsid w:val="3152520E"/>
    <w:rsid w:val="32926D6E"/>
    <w:rsid w:val="33A90436"/>
    <w:rsid w:val="35D51528"/>
    <w:rsid w:val="3B0773CB"/>
    <w:rsid w:val="3EC6723B"/>
    <w:rsid w:val="456065FC"/>
    <w:rsid w:val="48180B08"/>
    <w:rsid w:val="4AEE08E4"/>
    <w:rsid w:val="4B8464B4"/>
    <w:rsid w:val="52BB0A0D"/>
    <w:rsid w:val="54030D17"/>
    <w:rsid w:val="56A85CF9"/>
    <w:rsid w:val="5CA23899"/>
    <w:rsid w:val="5CC36825"/>
    <w:rsid w:val="5D380EAD"/>
    <w:rsid w:val="5E010BE1"/>
    <w:rsid w:val="5E8560BB"/>
    <w:rsid w:val="5EB04C1F"/>
    <w:rsid w:val="60FE5BA7"/>
    <w:rsid w:val="624E185F"/>
    <w:rsid w:val="631926DF"/>
    <w:rsid w:val="63536A40"/>
    <w:rsid w:val="64E6656C"/>
    <w:rsid w:val="679A4C3E"/>
    <w:rsid w:val="67A63E75"/>
    <w:rsid w:val="67D6379C"/>
    <w:rsid w:val="683B0764"/>
    <w:rsid w:val="6C985C47"/>
    <w:rsid w:val="6CF21B48"/>
    <w:rsid w:val="6DA5433C"/>
    <w:rsid w:val="6F7C0F78"/>
    <w:rsid w:val="6FCC091D"/>
    <w:rsid w:val="6FE3058C"/>
    <w:rsid w:val="70FF5358"/>
    <w:rsid w:val="723932A5"/>
    <w:rsid w:val="76124539"/>
    <w:rsid w:val="76832D41"/>
    <w:rsid w:val="78EA7D1F"/>
    <w:rsid w:val="79F3230C"/>
    <w:rsid w:val="7D6A07B6"/>
    <w:rsid w:val="7E782AF5"/>
    <w:rsid w:val="7FBD71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rPr>
      <w:rFonts w:ascii="Calibri" w:hAnsi="Calibri"/>
      <w:szCs w:val="22"/>
    </w:rPr>
  </w:style>
  <w:style w:type="character" w:customStyle="1" w:styleId="8">
    <w:name w:val="页眉 字符"/>
    <w:basedOn w:val="6"/>
    <w:link w:val="4"/>
    <w:qFormat/>
    <w:uiPriority w:val="99"/>
    <w:rPr>
      <w:rFonts w:ascii="Times New Roman" w:hAnsi="Times New Roman" w:eastAsia="宋体" w:cs="Times New Roman"/>
      <w:sz w:val="18"/>
      <w:szCs w:val="18"/>
    </w:rPr>
  </w:style>
  <w:style w:type="character" w:customStyle="1" w:styleId="9">
    <w:name w:val="页脚 字符"/>
    <w:basedOn w:val="6"/>
    <w:link w:val="3"/>
    <w:qFormat/>
    <w:uiPriority w:val="99"/>
    <w:rPr>
      <w:rFonts w:ascii="Times New Roman" w:hAnsi="Times New Roman" w:eastAsia="宋体" w:cs="Times New Roman"/>
      <w:sz w:val="18"/>
      <w:szCs w:val="18"/>
    </w:rPr>
  </w:style>
  <w:style w:type="paragraph" w:customStyle="1" w:styleId="10">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1">
    <w:name w:val="发布部门"/>
    <w:next w:val="1"/>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1201</Words>
  <Characters>1322</Characters>
  <Lines>6</Lines>
  <Paragraphs>1</Paragraphs>
  <TotalTime>2</TotalTime>
  <ScaleCrop>false</ScaleCrop>
  <LinksUpToDate>false</LinksUpToDate>
  <CharactersWithSpaces>1409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2024-09-23T06:06:00Z</dcterms:created>
  <dc:creator>lenovo</dc:creator>
  <cp:lastModifiedBy>杜浩</cp:lastModifiedBy>
  <cp:lastPrinted>2024-12-11T02:08:00Z</cp:lastPrinted>
  <dcterms:modified xsi:type="dcterms:W3CDTF">2026-07-21T08:38:58Z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29FBFCFBCF4B4F268EF28A2D59405D05_13</vt:lpwstr>
  </property>
  <property fmtid="{D5CDD505-2E9C-101B-9397-08002B2CF9AE}" pid="4" name="KSOTemplateDocerSaveRecord">
    <vt:lpwstr>eyJoZGlkIjoiZWNkMzc5MTMyNzQ2YzAxOTAyY2RlODhmY2JhMzM1MzIiLCJ1c2VySWQiOiIxNzg5MTIxNTg3In0=</vt:lpwstr>
  </property>
</Properties>
</file>