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87ACB">
      <w:pPr>
        <w:pStyle w:val="289"/>
        <w:rPr>
          <w:rFonts w:hint="eastAsia" w:ascii="黑体" w:hAnsi="黑体" w:eastAsia="黑体" w:cs="黑体"/>
          <w:color w:val="auto"/>
        </w:rPr>
      </w:pPr>
      <w:bookmarkStart w:id="0" w:name="SectionMark0"/>
      <w:r>
        <w:rPr>
          <w:rFonts w:hint="eastAsia" w:ascii="黑体" w:hAnsi="黑体" w:eastAsia="黑体" w:cs="黑体"/>
          <w:color w:val="auto"/>
        </w:rPr>
        <w:drawing>
          <wp:anchor distT="0" distB="0" distL="114300" distR="114300" simplePos="0" relativeHeight="251659264" behindDoc="0" locked="1" layoutInCell="1" allowOverlap="1">
            <wp:simplePos x="0" y="0"/>
            <wp:positionH relativeFrom="margin">
              <wp:posOffset>4284345</wp:posOffset>
            </wp:positionH>
            <wp:positionV relativeFrom="margin">
              <wp:posOffset>-7620</wp:posOffset>
            </wp:positionV>
            <wp:extent cx="1403350" cy="834390"/>
            <wp:effectExtent l="0" t="0" r="6350" b="3810"/>
            <wp:wrapNone/>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2"/>
                    <a:stretch>
                      <a:fillRect/>
                    </a:stretch>
                  </pic:blipFill>
                  <pic:spPr>
                    <a:xfrm>
                      <a:off x="0" y="0"/>
                      <a:ext cx="1403350" cy="834390"/>
                    </a:xfrm>
                    <a:prstGeom prst="rect">
                      <a:avLst/>
                    </a:prstGeom>
                    <a:noFill/>
                    <a:ln>
                      <a:noFill/>
                    </a:ln>
                  </pic:spPr>
                </pic:pic>
              </a:graphicData>
            </a:graphic>
          </wp:anchor>
        </w:drawing>
      </w:r>
      <w:r>
        <w:rPr>
          <w:rFonts w:hint="eastAsia" w:ascii="黑体" w:hAnsi="黑体" w:eastAsia="黑体" w:cs="黑体"/>
          <w:color w:val="auto"/>
        </w:rPr>
        <mc:AlternateContent>
          <mc:Choice Requires="wps">
            <w:drawing>
              <wp:anchor distT="0" distB="0" distL="114300" distR="114300" simplePos="0" relativeHeight="251660288" behindDoc="0" locked="1" layoutInCell="1" allowOverlap="1">
                <wp:simplePos x="0" y="0"/>
                <wp:positionH relativeFrom="margin">
                  <wp:posOffset>144145</wp:posOffset>
                </wp:positionH>
                <wp:positionV relativeFrom="margin">
                  <wp:posOffset>9051290</wp:posOffset>
                </wp:positionV>
                <wp:extent cx="5801360" cy="617220"/>
                <wp:effectExtent l="0" t="0" r="8890" b="1905"/>
                <wp:wrapNone/>
                <wp:docPr id="2" name="文本框 4"/>
                <wp:cNvGraphicFramePr/>
                <a:graphic xmlns:a="http://schemas.openxmlformats.org/drawingml/2006/main">
                  <a:graphicData uri="http://schemas.microsoft.com/office/word/2010/wordprocessingShape">
                    <wps:wsp>
                      <wps:cNvSpPr txBox="1"/>
                      <wps:spPr>
                        <a:xfrm>
                          <a:off x="0" y="0"/>
                          <a:ext cx="6120130" cy="599440"/>
                        </a:xfrm>
                        <a:prstGeom prst="rect">
                          <a:avLst/>
                        </a:prstGeom>
                        <a:solidFill>
                          <a:srgbClr val="FFFFFF"/>
                        </a:solidFill>
                        <a:ln>
                          <a:noFill/>
                        </a:ln>
                        <a:effectLst/>
                      </wps:spPr>
                      <wps:txbx>
                        <w:txbxContent>
                          <w:p w14:paraId="005EF229">
                            <w:pPr>
                              <w:widowControl/>
                              <w:shd w:val="clear" w:color="auto" w:fill="FFFFFF"/>
                              <w:spacing w:before="300" w:after="225" w:line="100" w:lineRule="exact"/>
                              <w:jc w:val="center"/>
                              <w:rPr>
                                <w:rFonts w:hint="eastAsia" w:ascii="黑体" w:eastAsia="黑体" w:cs="黑体"/>
                                <w:color w:val="333333"/>
                                <w:kern w:val="0"/>
                                <w:szCs w:val="21"/>
                                <w:shd w:val="clear" w:color="auto" w:fill="FFFFFF"/>
                              </w:rPr>
                            </w:pPr>
                            <w:r>
                              <w:rPr>
                                <w:rFonts w:hint="eastAsia" w:ascii="黑体" w:eastAsia="黑体" w:cs="黑体"/>
                                <w:color w:val="333333"/>
                                <w:kern w:val="0"/>
                                <w:szCs w:val="21"/>
                                <w:shd w:val="clear" w:color="auto" w:fill="FFFFFF"/>
                              </w:rPr>
                              <w:t xml:space="preserve">Issued by: </w:t>
                            </w:r>
                            <w:r>
                              <w:rPr>
                                <w:rFonts w:hint="eastAsia" w:ascii="黑体" w:eastAsia="黑体" w:cs="黑体"/>
                                <w:color w:val="333333"/>
                                <w:kern w:val="0"/>
                                <w:szCs w:val="21"/>
                                <w:shd w:val="clear" w:color="auto" w:fill="FFFFFF"/>
                              </w:rPr>
                              <w:fldChar w:fldCharType="begin"/>
                            </w:r>
                            <w:r>
                              <w:rPr>
                                <w:rFonts w:hint="eastAsia" w:ascii="黑体" w:eastAsia="黑体" w:cs="黑体"/>
                                <w:color w:val="333333"/>
                                <w:kern w:val="0"/>
                                <w:szCs w:val="21"/>
                                <w:shd w:val="clear" w:color="auto" w:fill="FFFFFF"/>
                              </w:rPr>
                              <w:instrText xml:space="preserve"> HYPERLINK "javascript:;" </w:instrText>
                            </w:r>
                            <w:r>
                              <w:rPr>
                                <w:rFonts w:hint="eastAsia" w:ascii="黑体" w:eastAsia="黑体" w:cs="黑体"/>
                                <w:color w:val="333333"/>
                                <w:kern w:val="0"/>
                                <w:szCs w:val="21"/>
                                <w:shd w:val="clear" w:color="auto" w:fill="FFFFFF"/>
                              </w:rPr>
                              <w:fldChar w:fldCharType="separate"/>
                            </w:r>
                            <w:r>
                              <w:rPr>
                                <w:rFonts w:hint="eastAsia" w:ascii="黑体" w:eastAsia="黑体" w:cs="黑体"/>
                                <w:color w:val="333333"/>
                                <w:kern w:val="0"/>
                                <w:szCs w:val="21"/>
                                <w:shd w:val="clear" w:color="auto" w:fill="FFFFFF"/>
                              </w:rPr>
                              <w:t>State Administration for Market Regulation</w:t>
                            </w:r>
                            <w:r>
                              <w:rPr>
                                <w:rFonts w:hint="eastAsia" w:ascii="黑体" w:eastAsia="黑体" w:cs="黑体"/>
                                <w:color w:val="333333"/>
                                <w:kern w:val="0"/>
                                <w:szCs w:val="21"/>
                                <w:shd w:val="clear" w:color="auto" w:fill="FFFFFF"/>
                              </w:rPr>
                              <w:fldChar w:fldCharType="end"/>
                            </w:r>
                            <w:r>
                              <w:rPr>
                                <w:rFonts w:hint="eastAsia" w:ascii="黑体" w:eastAsia="黑体" w:cs="黑体"/>
                                <w:color w:val="333333"/>
                                <w:kern w:val="0"/>
                                <w:szCs w:val="21"/>
                                <w:shd w:val="clear" w:color="auto" w:fill="FFFFFF"/>
                              </w:rPr>
                              <w:t xml:space="preserve"> of the People</w:t>
                            </w:r>
                            <w:r>
                              <w:rPr>
                                <w:rFonts w:hint="default" w:ascii="黑体" w:eastAsia="黑体" w:cs="黑体"/>
                                <w:color w:val="333333"/>
                                <w:kern w:val="0"/>
                                <w:szCs w:val="21"/>
                                <w:shd w:val="clear" w:color="auto" w:fill="FFFFFF"/>
                                <w:lang w:val="en-US" w:eastAsia="zh-CN"/>
                              </w:rPr>
                              <w:t>’</w:t>
                            </w:r>
                            <w:r>
                              <w:rPr>
                                <w:rFonts w:hint="eastAsia" w:ascii="黑体" w:eastAsia="黑体" w:cs="黑体"/>
                                <w:color w:val="333333"/>
                                <w:kern w:val="0"/>
                                <w:szCs w:val="21"/>
                                <w:shd w:val="clear" w:color="auto" w:fill="FFFFFF"/>
                              </w:rPr>
                              <w:t>s Republic of China</w:t>
                            </w:r>
                          </w:p>
                          <w:p w14:paraId="23769379">
                            <w:pPr>
                              <w:widowControl/>
                              <w:shd w:val="clear" w:color="auto" w:fill="FFFFFF"/>
                              <w:spacing w:before="300" w:after="225" w:line="100" w:lineRule="exact"/>
                              <w:jc w:val="center"/>
                              <w:rPr>
                                <w:rFonts w:hint="eastAsia" w:ascii="黑体" w:eastAsia="黑体" w:cs="黑体"/>
                                <w:color w:val="333333"/>
                                <w:kern w:val="0"/>
                                <w:szCs w:val="21"/>
                                <w:shd w:val="clear" w:color="auto" w:fill="FFFFFF"/>
                              </w:rPr>
                            </w:pPr>
                            <w:r>
                              <w:rPr>
                                <w:rFonts w:hint="eastAsia" w:ascii="黑体" w:eastAsia="黑体" w:cs="黑体"/>
                                <w:color w:val="333333"/>
                                <w:kern w:val="0"/>
                                <w:szCs w:val="21"/>
                                <w:shd w:val="clear" w:color="auto" w:fill="FFFFFF"/>
                              </w:rPr>
                              <w:t>Standardization Administration of the People</w:t>
                            </w:r>
                            <w:r>
                              <w:rPr>
                                <w:rFonts w:hint="default" w:ascii="黑体" w:eastAsia="黑体" w:cs="黑体"/>
                                <w:color w:val="333333"/>
                                <w:kern w:val="0"/>
                                <w:szCs w:val="21"/>
                                <w:shd w:val="clear" w:color="auto" w:fill="FFFFFF"/>
                                <w:lang w:val="en-US" w:eastAsia="zh-CN"/>
                              </w:rPr>
                              <w:t>’</w:t>
                            </w:r>
                            <w:r>
                              <w:rPr>
                                <w:rFonts w:hint="eastAsia" w:ascii="黑体" w:eastAsia="黑体" w:cs="黑体"/>
                                <w:color w:val="333333"/>
                                <w:kern w:val="0"/>
                                <w:szCs w:val="21"/>
                                <w:shd w:val="clear" w:color="auto" w:fill="FFFFFF"/>
                              </w:rPr>
                              <w:t>s Republic of China</w:t>
                            </w:r>
                          </w:p>
                          <w:p w14:paraId="1868E152">
                            <w:pPr>
                              <w:pStyle w:val="167"/>
                              <w:rPr>
                                <w:rFonts w:hint="eastAsia" w:ascii="黑体" w:hAnsi="黑体" w:eastAsia="黑体" w:cs="黑体"/>
                                <w:b w:val="0"/>
                                <w:sz w:val="21"/>
                                <w:szCs w:val="21"/>
                              </w:rPr>
                            </w:pPr>
                          </w:p>
                        </w:txbxContent>
                      </wps:txbx>
                      <wps:bodyPr wrap="square" lIns="0" tIns="0" rIns="0" bIns="0" upright="1"/>
                    </wps:wsp>
                  </a:graphicData>
                </a:graphic>
              </wp:anchor>
            </w:drawing>
          </mc:Choice>
          <mc:Fallback>
            <w:pict>
              <v:shape id="文本框 4" o:spid="_x0000_s1026" o:spt="202" type="#_x0000_t202" style="position:absolute;left:0pt;margin-left:11.35pt;margin-top:712.7pt;height:48.6pt;width:456.8pt;mso-position-horizontal-relative:margin;mso-position-vertical-relative:margin;z-index:251660288;mso-width-relative:page;mso-height-relative:page;" fillcolor="#FFFFFF" filled="t" stroked="f" coordsize="21600,21600" o:gfxdata="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GaE492gAAAAwBAAAP&#10;AAAAAAAAAAEAIAAAACIAAABkcnMvZG93bnJldi54bWxQSwECFAAUAAAACACHTuJA5/Mi4N0BAAC3&#10;AwAADgAAAAAAAAABACAAAAApAQAAZHJzL2Uyb0RvYy54bWxQSwUGAAAAAAYABgBZAQAAeAUAAAAA&#10;">
                <v:fill on="t" focussize="0,0"/>
                <v:stroke on="f"/>
                <v:imagedata o:title=""/>
                <o:lock v:ext="edit" aspectratio="f"/>
                <v:textbox inset="0mm,0mm,0mm,0mm">
                  <w:txbxContent>
                    <w:p w14:paraId="005EF229">
                      <w:pPr>
                        <w:widowControl/>
                        <w:shd w:val="clear" w:color="auto" w:fill="FFFFFF"/>
                        <w:spacing w:before="300" w:after="225" w:line="100" w:lineRule="exact"/>
                        <w:jc w:val="center"/>
                        <w:rPr>
                          <w:rFonts w:hint="eastAsia" w:ascii="黑体" w:eastAsia="黑体" w:cs="黑体"/>
                          <w:color w:val="333333"/>
                          <w:kern w:val="0"/>
                          <w:szCs w:val="21"/>
                          <w:shd w:val="clear" w:color="auto" w:fill="FFFFFF"/>
                        </w:rPr>
                      </w:pPr>
                      <w:r>
                        <w:rPr>
                          <w:rFonts w:hint="eastAsia" w:ascii="黑体" w:eastAsia="黑体" w:cs="黑体"/>
                          <w:color w:val="333333"/>
                          <w:kern w:val="0"/>
                          <w:szCs w:val="21"/>
                          <w:shd w:val="clear" w:color="auto" w:fill="FFFFFF"/>
                        </w:rPr>
                        <w:t xml:space="preserve">Issued by: </w:t>
                      </w:r>
                      <w:r>
                        <w:rPr>
                          <w:rFonts w:hint="eastAsia" w:ascii="黑体" w:eastAsia="黑体" w:cs="黑体"/>
                          <w:color w:val="333333"/>
                          <w:kern w:val="0"/>
                          <w:szCs w:val="21"/>
                          <w:shd w:val="clear" w:color="auto" w:fill="FFFFFF"/>
                        </w:rPr>
                        <w:fldChar w:fldCharType="begin"/>
                      </w:r>
                      <w:r>
                        <w:rPr>
                          <w:rFonts w:hint="eastAsia" w:ascii="黑体" w:eastAsia="黑体" w:cs="黑体"/>
                          <w:color w:val="333333"/>
                          <w:kern w:val="0"/>
                          <w:szCs w:val="21"/>
                          <w:shd w:val="clear" w:color="auto" w:fill="FFFFFF"/>
                        </w:rPr>
                        <w:instrText xml:space="preserve"> HYPERLINK "javascript:;" </w:instrText>
                      </w:r>
                      <w:r>
                        <w:rPr>
                          <w:rFonts w:hint="eastAsia" w:ascii="黑体" w:eastAsia="黑体" w:cs="黑体"/>
                          <w:color w:val="333333"/>
                          <w:kern w:val="0"/>
                          <w:szCs w:val="21"/>
                          <w:shd w:val="clear" w:color="auto" w:fill="FFFFFF"/>
                        </w:rPr>
                        <w:fldChar w:fldCharType="separate"/>
                      </w:r>
                      <w:r>
                        <w:rPr>
                          <w:rFonts w:hint="eastAsia" w:ascii="黑体" w:eastAsia="黑体" w:cs="黑体"/>
                          <w:color w:val="333333"/>
                          <w:kern w:val="0"/>
                          <w:szCs w:val="21"/>
                          <w:shd w:val="clear" w:color="auto" w:fill="FFFFFF"/>
                        </w:rPr>
                        <w:t>State Administration for Market Regulation</w:t>
                      </w:r>
                      <w:r>
                        <w:rPr>
                          <w:rFonts w:hint="eastAsia" w:ascii="黑体" w:eastAsia="黑体" w:cs="黑体"/>
                          <w:color w:val="333333"/>
                          <w:kern w:val="0"/>
                          <w:szCs w:val="21"/>
                          <w:shd w:val="clear" w:color="auto" w:fill="FFFFFF"/>
                        </w:rPr>
                        <w:fldChar w:fldCharType="end"/>
                      </w:r>
                      <w:r>
                        <w:rPr>
                          <w:rFonts w:hint="eastAsia" w:ascii="黑体" w:eastAsia="黑体" w:cs="黑体"/>
                          <w:color w:val="333333"/>
                          <w:kern w:val="0"/>
                          <w:szCs w:val="21"/>
                          <w:shd w:val="clear" w:color="auto" w:fill="FFFFFF"/>
                        </w:rPr>
                        <w:t xml:space="preserve"> of the People</w:t>
                      </w:r>
                      <w:r>
                        <w:rPr>
                          <w:rFonts w:hint="default" w:ascii="黑体" w:eastAsia="黑体" w:cs="黑体"/>
                          <w:color w:val="333333"/>
                          <w:kern w:val="0"/>
                          <w:szCs w:val="21"/>
                          <w:shd w:val="clear" w:color="auto" w:fill="FFFFFF"/>
                          <w:lang w:val="en-US" w:eastAsia="zh-CN"/>
                        </w:rPr>
                        <w:t>’</w:t>
                      </w:r>
                      <w:r>
                        <w:rPr>
                          <w:rFonts w:hint="eastAsia" w:ascii="黑体" w:eastAsia="黑体" w:cs="黑体"/>
                          <w:color w:val="333333"/>
                          <w:kern w:val="0"/>
                          <w:szCs w:val="21"/>
                          <w:shd w:val="clear" w:color="auto" w:fill="FFFFFF"/>
                        </w:rPr>
                        <w:t>s Republic of China</w:t>
                      </w:r>
                    </w:p>
                    <w:p w14:paraId="23769379">
                      <w:pPr>
                        <w:widowControl/>
                        <w:shd w:val="clear" w:color="auto" w:fill="FFFFFF"/>
                        <w:spacing w:before="300" w:after="225" w:line="100" w:lineRule="exact"/>
                        <w:jc w:val="center"/>
                        <w:rPr>
                          <w:rFonts w:hint="eastAsia" w:ascii="黑体" w:eastAsia="黑体" w:cs="黑体"/>
                          <w:color w:val="333333"/>
                          <w:kern w:val="0"/>
                          <w:szCs w:val="21"/>
                          <w:shd w:val="clear" w:color="auto" w:fill="FFFFFF"/>
                        </w:rPr>
                      </w:pPr>
                      <w:r>
                        <w:rPr>
                          <w:rFonts w:hint="eastAsia" w:ascii="黑体" w:eastAsia="黑体" w:cs="黑体"/>
                          <w:color w:val="333333"/>
                          <w:kern w:val="0"/>
                          <w:szCs w:val="21"/>
                          <w:shd w:val="clear" w:color="auto" w:fill="FFFFFF"/>
                        </w:rPr>
                        <w:t>Standardization Administration of the People</w:t>
                      </w:r>
                      <w:r>
                        <w:rPr>
                          <w:rFonts w:hint="default" w:ascii="黑体" w:eastAsia="黑体" w:cs="黑体"/>
                          <w:color w:val="333333"/>
                          <w:kern w:val="0"/>
                          <w:szCs w:val="21"/>
                          <w:shd w:val="clear" w:color="auto" w:fill="FFFFFF"/>
                          <w:lang w:val="en-US" w:eastAsia="zh-CN"/>
                        </w:rPr>
                        <w:t>’</w:t>
                      </w:r>
                      <w:r>
                        <w:rPr>
                          <w:rFonts w:hint="eastAsia" w:ascii="黑体" w:eastAsia="黑体" w:cs="黑体"/>
                          <w:color w:val="333333"/>
                          <w:kern w:val="0"/>
                          <w:szCs w:val="21"/>
                          <w:shd w:val="clear" w:color="auto" w:fill="FFFFFF"/>
                        </w:rPr>
                        <w:t>s Republic of China</w:t>
                      </w:r>
                    </w:p>
                    <w:p w14:paraId="1868E152">
                      <w:pPr>
                        <w:pStyle w:val="167"/>
                        <w:rPr>
                          <w:rFonts w:hint="eastAsia" w:ascii="黑体" w:hAnsi="黑体" w:eastAsia="黑体" w:cs="黑体"/>
                          <w:b w:val="0"/>
                          <w:sz w:val="21"/>
                          <w:szCs w:val="21"/>
                        </w:rPr>
                      </w:pPr>
                    </w:p>
                  </w:txbxContent>
                </v:textbox>
                <w10:anchorlock/>
              </v:shape>
            </w:pict>
          </mc:Fallback>
        </mc:AlternateContent>
      </w:r>
      <w:r>
        <w:rPr>
          <w:rFonts w:hint="eastAsia" w:ascii="黑体" w:hAnsi="黑体" w:eastAsia="黑体" w:cs="黑体"/>
          <w:color w:val="auto"/>
        </w:rPr>
        <mc:AlternateContent>
          <mc:Choice Requires="wps">
            <w:drawing>
              <wp:anchor distT="0" distB="0" distL="114300" distR="114300" simplePos="0" relativeHeight="251661312" behindDoc="0" locked="1" layoutInCell="1" allowOverlap="1">
                <wp:simplePos x="0" y="0"/>
                <wp:positionH relativeFrom="margin">
                  <wp:posOffset>2475230</wp:posOffset>
                </wp:positionH>
                <wp:positionV relativeFrom="margin">
                  <wp:posOffset>8693150</wp:posOffset>
                </wp:positionV>
                <wp:extent cx="3568700" cy="306070"/>
                <wp:effectExtent l="0" t="0" r="3175" b="8255"/>
                <wp:wrapNone/>
                <wp:docPr id="4" name="文本框 5"/>
                <wp:cNvGraphicFramePr/>
                <a:graphic xmlns:a="http://schemas.openxmlformats.org/drawingml/2006/main">
                  <a:graphicData uri="http://schemas.microsoft.com/office/word/2010/wordprocessingShape">
                    <wps:wsp>
                      <wps:cNvSpPr txBox="1"/>
                      <wps:spPr>
                        <a:xfrm>
                          <a:off x="0" y="0"/>
                          <a:ext cx="2019300" cy="306070"/>
                        </a:xfrm>
                        <a:prstGeom prst="rect">
                          <a:avLst/>
                        </a:prstGeom>
                        <a:solidFill>
                          <a:srgbClr val="FFFFFF"/>
                        </a:solidFill>
                        <a:ln>
                          <a:noFill/>
                        </a:ln>
                        <a:effectLst/>
                      </wps:spPr>
                      <wps:txbx>
                        <w:txbxContent>
                          <w:p w14:paraId="0945BA3A">
                            <w:pPr>
                              <w:pStyle w:val="131"/>
                              <w:rPr>
                                <w:rFonts w:hint="eastAsia" w:ascii="黑体" w:hAnsi="黑体" w:eastAsia="黑体" w:cs="黑体"/>
                              </w:rPr>
                            </w:pPr>
                            <w:r>
                              <w:rPr>
                                <w:rFonts w:hint="eastAsia" w:ascii="黑体" w:hAnsi="黑体" w:eastAsia="黑体" w:cs="黑体"/>
                                <w:szCs w:val="28"/>
                              </w:rPr>
                              <w:t xml:space="preserve">Implementation date: </w:t>
                            </w:r>
                            <w:r>
                              <w:rPr>
                                <w:rFonts w:hint="eastAsia" w:ascii="黑体" w:hAnsi="黑体" w:eastAsia="黑体" w:cs="黑体"/>
                              </w:rPr>
                              <w:t>2026-0</w:t>
                            </w:r>
                            <w:r>
                              <w:rPr>
                                <w:rFonts w:hint="eastAsia" w:ascii="黑体" w:hAnsi="黑体" w:eastAsia="黑体" w:cs="黑体"/>
                                <w:lang w:val="en-US" w:eastAsia="zh-CN"/>
                              </w:rPr>
                              <w:t>9</w:t>
                            </w:r>
                            <w:r>
                              <w:rPr>
                                <w:rFonts w:hint="eastAsia" w:ascii="黑体" w:hAnsi="黑体" w:eastAsia="黑体" w:cs="黑体"/>
                              </w:rPr>
                              <w:t xml:space="preserve">-01 </w:t>
                            </w:r>
                          </w:p>
                        </w:txbxContent>
                      </wps:txbx>
                      <wps:bodyPr wrap="square" lIns="0" tIns="0" rIns="0" bIns="0" upright="1"/>
                    </wps:wsp>
                  </a:graphicData>
                </a:graphic>
              </wp:anchor>
            </w:drawing>
          </mc:Choice>
          <mc:Fallback>
            <w:pict>
              <v:shape id="文本框 5" o:spid="_x0000_s1026" o:spt="202" type="#_x0000_t202" style="position:absolute;left:0pt;margin-left:194.9pt;margin-top:684.5pt;height:24.1pt;width:281pt;mso-position-horizontal-relative:margin;mso-position-vertical-relative:margin;z-index:251661312;mso-width-relative:page;mso-height-relative:page;" fillcolor="#FFFFFF" filled="t" stroked="f" coordsize="21600,21600" o:gfxdata="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DloW89sAAAANAQAA&#10;DwAAAAAAAAABACAAAAAiAAAAZHJzL2Rvd25yZXYueG1sUEsBAhQAFAAAAAgAh07iQGCHh/ndAQAA&#10;twMAAA4AAAAAAAAAAQAgAAAAKgEAAGRycy9lMm9Eb2MueG1sUEsFBgAAAAAGAAYAWQEAAHkFAAAA&#10;AA==&#10;">
                <v:fill on="t" focussize="0,0"/>
                <v:stroke on="f"/>
                <v:imagedata o:title=""/>
                <o:lock v:ext="edit" aspectratio="f"/>
                <v:textbox inset="0mm,0mm,0mm,0mm">
                  <w:txbxContent>
                    <w:p w14:paraId="0945BA3A">
                      <w:pPr>
                        <w:pStyle w:val="131"/>
                        <w:rPr>
                          <w:rFonts w:hint="eastAsia" w:ascii="黑体" w:hAnsi="黑体" w:eastAsia="黑体" w:cs="黑体"/>
                        </w:rPr>
                      </w:pPr>
                      <w:r>
                        <w:rPr>
                          <w:rFonts w:hint="eastAsia" w:ascii="黑体" w:hAnsi="黑体" w:eastAsia="黑体" w:cs="黑体"/>
                          <w:szCs w:val="28"/>
                        </w:rPr>
                        <w:t xml:space="preserve">Implementation date: </w:t>
                      </w:r>
                      <w:r>
                        <w:rPr>
                          <w:rFonts w:hint="eastAsia" w:ascii="黑体" w:hAnsi="黑体" w:eastAsia="黑体" w:cs="黑体"/>
                        </w:rPr>
                        <w:t>2026-0</w:t>
                      </w:r>
                      <w:r>
                        <w:rPr>
                          <w:rFonts w:hint="eastAsia" w:ascii="黑体" w:hAnsi="黑体" w:eastAsia="黑体" w:cs="黑体"/>
                          <w:lang w:val="en-US" w:eastAsia="zh-CN"/>
                        </w:rPr>
                        <w:t>9</w:t>
                      </w:r>
                      <w:r>
                        <w:rPr>
                          <w:rFonts w:hint="eastAsia" w:ascii="黑体" w:hAnsi="黑体" w:eastAsia="黑体" w:cs="黑体"/>
                        </w:rPr>
                        <w:t xml:space="preserve">-01 </w:t>
                      </w:r>
                    </w:p>
                  </w:txbxContent>
                </v:textbox>
                <w10:anchorlock/>
              </v:shape>
            </w:pict>
          </mc:Fallback>
        </mc:AlternateContent>
      </w:r>
      <w:r>
        <w:rPr>
          <w:rFonts w:hint="eastAsia" w:ascii="黑体" w:hAnsi="黑体" w:eastAsia="黑体" w:cs="黑体"/>
          <w:color w:val="auto"/>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8687435</wp:posOffset>
                </wp:positionV>
                <wp:extent cx="2019300" cy="312420"/>
                <wp:effectExtent l="0" t="0" r="0" b="1905"/>
                <wp:wrapNone/>
                <wp:docPr id="5" name="文本框 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a:effectLst/>
                      </wps:spPr>
                      <wps:txbx>
                        <w:txbxContent>
                          <w:p w14:paraId="07A62AAA">
                            <w:pPr>
                              <w:pStyle w:val="132"/>
                              <w:rPr>
                                <w:rFonts w:hint="default" w:ascii="黑体" w:hAnsi="黑体" w:eastAsia="黑体" w:cs="黑体"/>
                                <w:lang w:val="en-US" w:eastAsia="zh-CN"/>
                              </w:rPr>
                            </w:pPr>
                            <w:r>
                              <w:rPr>
                                <w:rFonts w:hint="eastAsia" w:ascii="黑体" w:hAnsi="黑体" w:cs="黑体"/>
                                <w:szCs w:val="28"/>
                              </w:rPr>
                              <w:t xml:space="preserve">Issue date: </w:t>
                            </w:r>
                            <w:r>
                              <w:rPr>
                                <w:rFonts w:hint="eastAsia" w:ascii="黑体" w:hAnsi="黑体" w:cs="黑体"/>
                              </w:rPr>
                              <w:t>202</w:t>
                            </w:r>
                            <w:r>
                              <w:rPr>
                                <w:rFonts w:hint="eastAsia" w:ascii="黑体" w:hAnsi="黑体" w:cs="黑体"/>
                                <w:lang w:val="en-US" w:eastAsia="zh-CN"/>
                              </w:rPr>
                              <w:t>6-02-27</w:t>
                            </w:r>
                          </w:p>
                        </w:txbxContent>
                      </wps:txbx>
                      <wps:bodyPr wrap="square" lIns="0" tIns="0" rIns="0" bIns="0" upright="1"/>
                    </wps:wsp>
                  </a:graphicData>
                </a:graphic>
              </wp:anchor>
            </w:drawing>
          </mc:Choice>
          <mc:Fallback>
            <w:pict>
              <v:shape id="文本框 6" o:spid="_x0000_s1026" o:spt="202" type="#_x0000_t202" style="position:absolute;left:0pt;margin-left:0pt;margin-top:684.05pt;height:24.6pt;width:159pt;mso-position-horizontal-relative:margin;mso-position-vertical-relative:margin;z-index:251662336;mso-width-relative:page;mso-height-relative:page;" fillcolor="#FFFFFF" filled="t" stroked="f" coordsize="21600,21600" o:gfxdata="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kW28dgAAAAKAQAADwAA&#10;AAAAAAABACAAAAAiAAAAZHJzL2Rvd25yZXYueG1sUEsBAhQAFAAAAAgAh07iQOgvLTXdAQAAtwMA&#10;AA4AAAAAAAAAAQAgAAAAJwEAAGRycy9lMm9Eb2MueG1sUEsFBgAAAAAGAAYAWQEAAHYFAAAAAA==&#10;">
                <v:fill on="t" focussize="0,0"/>
                <v:stroke on="f"/>
                <v:imagedata o:title=""/>
                <o:lock v:ext="edit" aspectratio="f"/>
                <v:textbox inset="0mm,0mm,0mm,0mm">
                  <w:txbxContent>
                    <w:p w14:paraId="07A62AAA">
                      <w:pPr>
                        <w:pStyle w:val="132"/>
                        <w:rPr>
                          <w:rFonts w:hint="default" w:ascii="黑体" w:hAnsi="黑体" w:eastAsia="黑体" w:cs="黑体"/>
                          <w:lang w:val="en-US" w:eastAsia="zh-CN"/>
                        </w:rPr>
                      </w:pPr>
                      <w:r>
                        <w:rPr>
                          <w:rFonts w:hint="eastAsia" w:ascii="黑体" w:hAnsi="黑体" w:cs="黑体"/>
                          <w:szCs w:val="28"/>
                        </w:rPr>
                        <w:t xml:space="preserve">Issue date: </w:t>
                      </w:r>
                      <w:r>
                        <w:rPr>
                          <w:rFonts w:hint="eastAsia" w:ascii="黑体" w:hAnsi="黑体" w:cs="黑体"/>
                        </w:rPr>
                        <w:t>202</w:t>
                      </w:r>
                      <w:r>
                        <w:rPr>
                          <w:rFonts w:hint="eastAsia" w:ascii="黑体" w:hAnsi="黑体" w:cs="黑体"/>
                          <w:lang w:val="en-US" w:eastAsia="zh-CN"/>
                        </w:rPr>
                        <w:t>6-02-27</w:t>
                      </w:r>
                    </w:p>
                  </w:txbxContent>
                </v:textbox>
                <w10:anchorlock/>
              </v:shape>
            </w:pict>
          </mc:Fallback>
        </mc:AlternateContent>
      </w:r>
      <w:r>
        <w:rPr>
          <w:rFonts w:hint="eastAsia" w:ascii="黑体" w:hAnsi="黑体" w:eastAsia="黑体" w:cs="黑体"/>
          <w:color w:val="auto"/>
        </w:rP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3856990</wp:posOffset>
                </wp:positionV>
                <wp:extent cx="6485255" cy="4200525"/>
                <wp:effectExtent l="0" t="0" r="1270" b="0"/>
                <wp:wrapNone/>
                <wp:docPr id="6" name="文本框 7"/>
                <wp:cNvGraphicFramePr/>
                <a:graphic xmlns:a="http://schemas.openxmlformats.org/drawingml/2006/main">
                  <a:graphicData uri="http://schemas.microsoft.com/office/word/2010/wordprocessingShape">
                    <wps:wsp>
                      <wps:cNvSpPr txBox="1"/>
                      <wps:spPr>
                        <a:xfrm>
                          <a:off x="0" y="0"/>
                          <a:ext cx="5969000" cy="6071235"/>
                        </a:xfrm>
                        <a:prstGeom prst="rect">
                          <a:avLst/>
                        </a:prstGeom>
                        <a:solidFill>
                          <a:srgbClr val="FFFFFF"/>
                        </a:solidFill>
                        <a:ln>
                          <a:noFill/>
                        </a:ln>
                        <a:effectLst/>
                      </wps:spPr>
                      <wps:txbx>
                        <w:txbxContent>
                          <w:p w14:paraId="37F8139F">
                            <w:pPr>
                              <w:spacing w:line="520" w:lineRule="exact"/>
                              <w:rPr>
                                <w:rFonts w:hint="eastAsia" w:ascii="黑体" w:eastAsia="黑体"/>
                                <w:sz w:val="44"/>
                                <w:szCs w:val="44"/>
                              </w:rPr>
                            </w:pPr>
                            <w:bookmarkStart w:id="7" w:name="OLE_LINK23"/>
                            <w:r>
                              <w:rPr>
                                <w:rFonts w:hint="eastAsia" w:ascii="黑体" w:eastAsia="黑体"/>
                                <w:sz w:val="44"/>
                                <w:szCs w:val="44"/>
                              </w:rPr>
                              <w:t>Chemical analysis methods of non-rare earth impurities in rare earth metals and their oxides—Part 13: Determination of molybdenum and tungsten content</w:t>
                            </w:r>
                          </w:p>
                          <w:bookmarkEnd w:id="7"/>
                          <w:p w14:paraId="7107E3B7">
                            <w:pPr>
                              <w:rPr>
                                <w:sz w:val="24"/>
                              </w:rPr>
                            </w:pPr>
                          </w:p>
                          <w:p w14:paraId="43A2F111">
                            <w:pPr>
                              <w:ind w:left="23" w:leftChars="-6" w:hanging="36" w:hangingChars="7"/>
                              <w:jc w:val="both"/>
                              <w:rPr>
                                <w:rFonts w:ascii="黑体" w:eastAsia="黑体"/>
                                <w:sz w:val="52"/>
                                <w:szCs w:val="52"/>
                              </w:rPr>
                            </w:pPr>
                            <w:r>
                              <w:rPr>
                                <w:rFonts w:hint="eastAsia" w:ascii="黑体" w:eastAsia="黑体"/>
                                <w:sz w:val="52"/>
                                <w:szCs w:val="52"/>
                              </w:rPr>
                              <w:t>稀土金属及其氧化物中非稀土杂质</w:t>
                            </w:r>
                          </w:p>
                          <w:p w14:paraId="18A7853D">
                            <w:pPr>
                              <w:ind w:left="23" w:leftChars="-6" w:hanging="36" w:hangingChars="7"/>
                              <w:jc w:val="both"/>
                              <w:rPr>
                                <w:rFonts w:hint="eastAsia" w:ascii="黑体" w:eastAsia="黑体"/>
                                <w:sz w:val="52"/>
                                <w:szCs w:val="52"/>
                              </w:rPr>
                            </w:pPr>
                            <w:r>
                              <w:rPr>
                                <w:rFonts w:hint="eastAsia" w:ascii="黑体" w:eastAsia="黑体"/>
                                <w:sz w:val="52"/>
                                <w:szCs w:val="52"/>
                              </w:rPr>
                              <w:t xml:space="preserve">化学分析方法 </w:t>
                            </w:r>
                          </w:p>
                          <w:p w14:paraId="2EDA0CF0">
                            <w:pPr>
                              <w:ind w:left="23" w:leftChars="-6" w:hanging="36" w:hangingChars="7"/>
                              <w:jc w:val="both"/>
                              <w:rPr>
                                <w:rFonts w:ascii="黑体" w:eastAsia="黑体"/>
                                <w:sz w:val="52"/>
                                <w:szCs w:val="52"/>
                              </w:rPr>
                            </w:pPr>
                            <w:r>
                              <w:rPr>
                                <w:rFonts w:hint="eastAsia" w:ascii="黑体" w:eastAsia="黑体"/>
                                <w:sz w:val="52"/>
                                <w:szCs w:val="52"/>
                              </w:rPr>
                              <w:t>第13部分：钼、钨</w:t>
                            </w:r>
                            <w:r>
                              <w:rPr>
                                <w:rFonts w:hint="eastAsia" w:ascii="黑体" w:eastAsia="黑体"/>
                                <w:sz w:val="52"/>
                                <w:szCs w:val="52"/>
                                <w:lang w:val="en-US" w:eastAsia="zh-CN"/>
                              </w:rPr>
                              <w:t>含</w:t>
                            </w:r>
                            <w:r>
                              <w:rPr>
                                <w:rFonts w:hint="eastAsia" w:ascii="黑体" w:eastAsia="黑体"/>
                                <w:sz w:val="52"/>
                                <w:szCs w:val="52"/>
                              </w:rPr>
                              <w:t>量的测定</w:t>
                            </w:r>
                          </w:p>
                          <w:p w14:paraId="4F0FCA2C">
                            <w:pPr>
                              <w:pStyle w:val="191"/>
                              <w:spacing w:before="0" w:line="770" w:lineRule="exact"/>
                              <w:jc w:val="left"/>
                              <w:rPr>
                                <w:rFonts w:hint="eastAsia" w:ascii="黑体" w:eastAsia="黑体"/>
                                <w:sz w:val="52"/>
                                <w:szCs w:val="52"/>
                              </w:rPr>
                            </w:pPr>
                          </w:p>
                          <w:p w14:paraId="46750439">
                            <w:pPr>
                              <w:jc w:val="left"/>
                              <w:rPr>
                                <w:rFonts w:hint="eastAsia" w:ascii="黑体" w:eastAsia="黑体"/>
                                <w:i/>
                                <w:kern w:val="0"/>
                                <w:sz w:val="36"/>
                                <w:szCs w:val="36"/>
                              </w:rPr>
                            </w:pPr>
                            <w:r>
                              <w:rPr>
                                <w:rFonts w:hint="eastAsia" w:ascii="黑体" w:eastAsia="黑体"/>
                                <w:i/>
                                <w:kern w:val="0"/>
                                <w:sz w:val="36"/>
                                <w:szCs w:val="36"/>
                              </w:rPr>
                              <w:t>(English translation)</w:t>
                            </w:r>
                          </w:p>
                          <w:p w14:paraId="249744AF">
                            <w:pPr>
                              <w:jc w:val="center"/>
                              <w:rPr>
                                <w:sz w:val="28"/>
                                <w:szCs w:val="28"/>
                              </w:rPr>
                            </w:pPr>
                          </w:p>
                          <w:p w14:paraId="43A711BC">
                            <w:pPr>
                              <w:jc w:val="center"/>
                              <w:rPr>
                                <w:sz w:val="24"/>
                              </w:rPr>
                            </w:pPr>
                          </w:p>
                          <w:p w14:paraId="3C8E03E9">
                            <w:pPr>
                              <w:rPr>
                                <w:sz w:val="24"/>
                              </w:rPr>
                            </w:pPr>
                          </w:p>
                          <w:p w14:paraId="195B4B23">
                            <w:pPr>
                              <w:rPr>
                                <w:sz w:val="24"/>
                              </w:rPr>
                            </w:pPr>
                          </w:p>
                          <w:p w14:paraId="03388605">
                            <w:pPr>
                              <w:pStyle w:val="191"/>
                              <w:spacing w:line="180" w:lineRule="exact"/>
                              <w:rPr>
                                <w:b/>
                                <w:bCs/>
                              </w:rPr>
                            </w:pPr>
                          </w:p>
                        </w:txbxContent>
                      </wps:txbx>
                      <wps:bodyPr wrap="square" lIns="0" tIns="0" rIns="0" bIns="0" upright="1"/>
                    </wps:wsp>
                  </a:graphicData>
                </a:graphic>
              </wp:anchor>
            </w:drawing>
          </mc:Choice>
          <mc:Fallback>
            <w:pict>
              <v:shape id="文本框 7" o:spid="_x0000_s1026" o:spt="202" type="#_x0000_t202" style="position:absolute;left:0pt;margin-left:0pt;margin-top:303.7pt;height:330.75pt;width:510.65pt;mso-position-horizontal-relative:margin;mso-position-vertical-relative:margin;z-index:251663360;mso-width-relative:page;mso-height-relative:page;" fillcolor="#FFFFFF" filled="t" stroked="f" coordsize="21600,21600" o:gfxdata="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FUYhftgAAAAKAQAADwAA&#10;AAAAAAABACAAAAAiAAAAZHJzL2Rvd25yZXYueG1sUEsBAhQAFAAAAAgAh07iQGH1VpHdAQAAuAMA&#10;AA4AAAAAAAAAAQAgAAAAJwEAAGRycy9lMm9Eb2MueG1sUEsFBgAAAAAGAAYAWQEAAHYFAAAAAA==&#10;">
                <v:fill on="t" focussize="0,0"/>
                <v:stroke on="f"/>
                <v:imagedata o:title=""/>
                <o:lock v:ext="edit" aspectratio="f"/>
                <v:textbox inset="0mm,0mm,0mm,0mm">
                  <w:txbxContent>
                    <w:p w14:paraId="37F8139F">
                      <w:pPr>
                        <w:spacing w:line="520" w:lineRule="exact"/>
                        <w:rPr>
                          <w:rFonts w:hint="eastAsia" w:ascii="黑体" w:eastAsia="黑体"/>
                          <w:sz w:val="44"/>
                          <w:szCs w:val="44"/>
                        </w:rPr>
                      </w:pPr>
                      <w:bookmarkStart w:id="7" w:name="OLE_LINK23"/>
                      <w:r>
                        <w:rPr>
                          <w:rFonts w:hint="eastAsia" w:ascii="黑体" w:eastAsia="黑体"/>
                          <w:sz w:val="44"/>
                          <w:szCs w:val="44"/>
                        </w:rPr>
                        <w:t>Chemical analysis methods of non-rare earth impurities in rare earth metals and their oxides—Part 13: Determination of molybdenum and tungsten content</w:t>
                      </w:r>
                    </w:p>
                    <w:bookmarkEnd w:id="7"/>
                    <w:p w14:paraId="7107E3B7">
                      <w:pPr>
                        <w:rPr>
                          <w:sz w:val="24"/>
                        </w:rPr>
                      </w:pPr>
                    </w:p>
                    <w:p w14:paraId="43A2F111">
                      <w:pPr>
                        <w:ind w:left="23" w:leftChars="-6" w:hanging="36" w:hangingChars="7"/>
                        <w:jc w:val="both"/>
                        <w:rPr>
                          <w:rFonts w:ascii="黑体" w:eastAsia="黑体"/>
                          <w:sz w:val="52"/>
                          <w:szCs w:val="52"/>
                        </w:rPr>
                      </w:pPr>
                      <w:r>
                        <w:rPr>
                          <w:rFonts w:hint="eastAsia" w:ascii="黑体" w:eastAsia="黑体"/>
                          <w:sz w:val="52"/>
                          <w:szCs w:val="52"/>
                        </w:rPr>
                        <w:t>稀土金属及其氧化物中非稀土杂质</w:t>
                      </w:r>
                    </w:p>
                    <w:p w14:paraId="18A7853D">
                      <w:pPr>
                        <w:ind w:left="23" w:leftChars="-6" w:hanging="36" w:hangingChars="7"/>
                        <w:jc w:val="both"/>
                        <w:rPr>
                          <w:rFonts w:hint="eastAsia" w:ascii="黑体" w:eastAsia="黑体"/>
                          <w:sz w:val="52"/>
                          <w:szCs w:val="52"/>
                        </w:rPr>
                      </w:pPr>
                      <w:r>
                        <w:rPr>
                          <w:rFonts w:hint="eastAsia" w:ascii="黑体" w:eastAsia="黑体"/>
                          <w:sz w:val="52"/>
                          <w:szCs w:val="52"/>
                        </w:rPr>
                        <w:t xml:space="preserve">化学分析方法 </w:t>
                      </w:r>
                    </w:p>
                    <w:p w14:paraId="2EDA0CF0">
                      <w:pPr>
                        <w:ind w:left="23" w:leftChars="-6" w:hanging="36" w:hangingChars="7"/>
                        <w:jc w:val="both"/>
                        <w:rPr>
                          <w:rFonts w:ascii="黑体" w:eastAsia="黑体"/>
                          <w:sz w:val="52"/>
                          <w:szCs w:val="52"/>
                        </w:rPr>
                      </w:pPr>
                      <w:r>
                        <w:rPr>
                          <w:rFonts w:hint="eastAsia" w:ascii="黑体" w:eastAsia="黑体"/>
                          <w:sz w:val="52"/>
                          <w:szCs w:val="52"/>
                        </w:rPr>
                        <w:t>第13部分：钼、钨</w:t>
                      </w:r>
                      <w:r>
                        <w:rPr>
                          <w:rFonts w:hint="eastAsia" w:ascii="黑体" w:eastAsia="黑体"/>
                          <w:sz w:val="52"/>
                          <w:szCs w:val="52"/>
                          <w:lang w:val="en-US" w:eastAsia="zh-CN"/>
                        </w:rPr>
                        <w:t>含</w:t>
                      </w:r>
                      <w:r>
                        <w:rPr>
                          <w:rFonts w:hint="eastAsia" w:ascii="黑体" w:eastAsia="黑体"/>
                          <w:sz w:val="52"/>
                          <w:szCs w:val="52"/>
                        </w:rPr>
                        <w:t>量的测定</w:t>
                      </w:r>
                    </w:p>
                    <w:p w14:paraId="4F0FCA2C">
                      <w:pPr>
                        <w:pStyle w:val="191"/>
                        <w:spacing w:before="0" w:line="770" w:lineRule="exact"/>
                        <w:jc w:val="left"/>
                        <w:rPr>
                          <w:rFonts w:hint="eastAsia" w:ascii="黑体" w:eastAsia="黑体"/>
                          <w:sz w:val="52"/>
                          <w:szCs w:val="52"/>
                        </w:rPr>
                      </w:pPr>
                    </w:p>
                    <w:p w14:paraId="46750439">
                      <w:pPr>
                        <w:jc w:val="left"/>
                        <w:rPr>
                          <w:rFonts w:hint="eastAsia" w:ascii="黑体" w:eastAsia="黑体"/>
                          <w:i/>
                          <w:kern w:val="0"/>
                          <w:sz w:val="36"/>
                          <w:szCs w:val="36"/>
                        </w:rPr>
                      </w:pPr>
                      <w:r>
                        <w:rPr>
                          <w:rFonts w:hint="eastAsia" w:ascii="黑体" w:eastAsia="黑体"/>
                          <w:i/>
                          <w:kern w:val="0"/>
                          <w:sz w:val="36"/>
                          <w:szCs w:val="36"/>
                        </w:rPr>
                        <w:t>(English translation)</w:t>
                      </w:r>
                    </w:p>
                    <w:p w14:paraId="249744AF">
                      <w:pPr>
                        <w:jc w:val="center"/>
                        <w:rPr>
                          <w:sz w:val="28"/>
                          <w:szCs w:val="28"/>
                        </w:rPr>
                      </w:pPr>
                    </w:p>
                    <w:p w14:paraId="43A711BC">
                      <w:pPr>
                        <w:jc w:val="center"/>
                        <w:rPr>
                          <w:sz w:val="24"/>
                        </w:rPr>
                      </w:pPr>
                    </w:p>
                    <w:p w14:paraId="3C8E03E9">
                      <w:pPr>
                        <w:rPr>
                          <w:sz w:val="24"/>
                        </w:rPr>
                      </w:pPr>
                    </w:p>
                    <w:p w14:paraId="195B4B23">
                      <w:pPr>
                        <w:rPr>
                          <w:sz w:val="24"/>
                        </w:rPr>
                      </w:pPr>
                    </w:p>
                    <w:p w14:paraId="03388605">
                      <w:pPr>
                        <w:pStyle w:val="191"/>
                        <w:spacing w:line="180" w:lineRule="exact"/>
                        <w:rPr>
                          <w:b/>
                          <w:bCs/>
                        </w:rPr>
                      </w:pPr>
                    </w:p>
                  </w:txbxContent>
                </v:textbox>
                <w10:anchorlock/>
              </v:shape>
            </w:pict>
          </mc:Fallback>
        </mc:AlternateContent>
      </w:r>
      <w:r>
        <w:rPr>
          <w:rFonts w:hint="eastAsia" w:ascii="黑体" w:hAnsi="黑体" w:eastAsia="黑体" w:cs="黑体"/>
          <w:color w:val="auto"/>
        </w:rP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1108710</wp:posOffset>
                </wp:positionV>
                <wp:extent cx="6120130" cy="407670"/>
                <wp:effectExtent l="0" t="0" r="4445" b="1905"/>
                <wp:wrapNone/>
                <wp:docPr id="7" name="文本框 8"/>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a:effectLst/>
                      </wps:spPr>
                      <wps:txbx>
                        <w:txbxContent>
                          <w:p w14:paraId="31C37F06">
                            <w:pPr>
                              <w:autoSpaceDE w:val="0"/>
                              <w:autoSpaceDN w:val="0"/>
                              <w:jc w:val="distribute"/>
                              <w:rPr>
                                <w:rFonts w:hint="eastAsia" w:ascii="黑体" w:eastAsia="黑体"/>
                                <w:spacing w:val="27"/>
                                <w:w w:val="82"/>
                                <w:kern w:val="0"/>
                                <w:sz w:val="44"/>
                                <w:szCs w:val="44"/>
                              </w:rPr>
                            </w:pPr>
                            <w:r>
                              <w:rPr>
                                <w:rFonts w:hint="eastAsia" w:ascii="黑体" w:eastAsia="黑体"/>
                                <w:spacing w:val="1"/>
                                <w:w w:val="85"/>
                                <w:kern w:val="0"/>
                                <w:sz w:val="44"/>
                                <w:szCs w:val="44"/>
                                <w:fitText w:val="9638" w:id="-652477696"/>
                              </w:rPr>
                              <w:t>National Standard of the People's Republic of Chin</w:t>
                            </w:r>
                            <w:r>
                              <w:rPr>
                                <w:rFonts w:hint="eastAsia" w:ascii="黑体" w:eastAsia="黑体"/>
                                <w:spacing w:val="51"/>
                                <w:w w:val="85"/>
                                <w:kern w:val="0"/>
                                <w:sz w:val="44"/>
                                <w:szCs w:val="44"/>
                                <w:fitText w:val="9638" w:id="-652477696"/>
                              </w:rPr>
                              <w:t>a</w:t>
                            </w:r>
                          </w:p>
                        </w:txbxContent>
                      </wps:txbx>
                      <wps:bodyPr wrap="square" lIns="0" tIns="0" rIns="0" bIns="0" upright="1"/>
                    </wps:wsp>
                  </a:graphicData>
                </a:graphic>
              </wp:anchor>
            </w:drawing>
          </mc:Choice>
          <mc:Fallback>
            <w:pict>
              <v:shape id="文本框 8" o:spid="_x0000_s1026" o:spt="202" type="#_x0000_t202" style="position:absolute;left:0pt;margin-left:0pt;margin-top:87.3pt;height:32.1pt;width:481.9pt;mso-position-horizontal-relative:margin;mso-position-vertical-relative:margin;z-index:251664384;mso-width-relative:page;mso-height-relative:page;" fillcolor="#FFFFFF" filled="t" stroked="f" coordsize="21600,21600" o:gfxdata="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44F6V1wAAAAgBAAAPAAAA&#10;AAAAAAEAIAAAACIAAABkcnMvZG93bnJldi54bWxQSwECFAAUAAAACACHTuJAnymUS90BAAC3AwAA&#10;DgAAAAAAAAABACAAAAAmAQAAZHJzL2Uyb0RvYy54bWxQSwUGAAAAAAYABgBZAQAAdQUAAAAA&#10;">
                <v:fill on="t" focussize="0,0"/>
                <v:stroke on="f"/>
                <v:imagedata o:title=""/>
                <o:lock v:ext="edit" aspectratio="f"/>
                <v:textbox inset="0mm,0mm,0mm,0mm">
                  <w:txbxContent>
                    <w:p w14:paraId="31C37F06">
                      <w:pPr>
                        <w:autoSpaceDE w:val="0"/>
                        <w:autoSpaceDN w:val="0"/>
                        <w:jc w:val="distribute"/>
                        <w:rPr>
                          <w:rFonts w:hint="eastAsia" w:ascii="黑体" w:eastAsia="黑体"/>
                          <w:spacing w:val="27"/>
                          <w:w w:val="82"/>
                          <w:kern w:val="0"/>
                          <w:sz w:val="44"/>
                          <w:szCs w:val="44"/>
                        </w:rPr>
                      </w:pPr>
                      <w:r>
                        <w:rPr>
                          <w:rFonts w:hint="eastAsia" w:ascii="黑体" w:eastAsia="黑体"/>
                          <w:spacing w:val="1"/>
                          <w:w w:val="85"/>
                          <w:kern w:val="0"/>
                          <w:sz w:val="44"/>
                          <w:szCs w:val="44"/>
                          <w:fitText w:val="9638" w:id="-652477696"/>
                        </w:rPr>
                        <w:t>National Standard of the People's Republic of Chin</w:t>
                      </w:r>
                      <w:r>
                        <w:rPr>
                          <w:rFonts w:hint="eastAsia" w:ascii="黑体" w:eastAsia="黑体"/>
                          <w:spacing w:val="51"/>
                          <w:w w:val="85"/>
                          <w:kern w:val="0"/>
                          <w:sz w:val="44"/>
                          <w:szCs w:val="44"/>
                          <w:fitText w:val="9638" w:id="-652477696"/>
                        </w:rPr>
                        <w:t>a</w:t>
                      </w:r>
                    </w:p>
                  </w:txbxContent>
                </v:textbox>
                <w10:anchorlock/>
              </v:shape>
            </w:pict>
          </mc:Fallback>
        </mc:AlternateContent>
      </w:r>
      <w:r>
        <w:rPr>
          <w:rFonts w:hint="eastAsia" w:ascii="黑体" w:hAnsi="黑体" w:eastAsia="黑体" w:cs="黑体"/>
          <w:color w:val="auto"/>
        </w:rPr>
        <mc:AlternateContent>
          <mc:Choice Requires="wps">
            <w:drawing>
              <wp:anchor distT="0" distB="0" distL="114300" distR="114300" simplePos="0" relativeHeight="251665408" behindDoc="0" locked="1" layoutInCell="1" allowOverlap="1">
                <wp:simplePos x="0" y="0"/>
                <wp:positionH relativeFrom="margin">
                  <wp:posOffset>0</wp:posOffset>
                </wp:positionH>
                <wp:positionV relativeFrom="margin">
                  <wp:posOffset>0</wp:posOffset>
                </wp:positionV>
                <wp:extent cx="2540000" cy="657860"/>
                <wp:effectExtent l="0" t="0" r="3175" b="8890"/>
                <wp:wrapNone/>
                <wp:docPr id="8" name="文本框 9"/>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a:noFill/>
                        </a:ln>
                        <a:effectLst/>
                      </wps:spPr>
                      <wps:txbx>
                        <w:txbxContent>
                          <w:p w14:paraId="01F43ADD">
                            <w:pPr>
                              <w:pStyle w:val="143"/>
                              <w:spacing w:line="0" w:lineRule="atLeast"/>
                              <w:rPr>
                                <w:rFonts w:ascii="黑体" w:hAnsi="黑体"/>
                              </w:rPr>
                            </w:pPr>
                            <w:r>
                              <w:rPr>
                                <w:rFonts w:ascii="黑体" w:hAnsi="黑体"/>
                              </w:rPr>
                              <w:t xml:space="preserve">ICS </w:t>
                            </w:r>
                            <w:r>
                              <w:rPr>
                                <w:rFonts w:ascii="黑体"/>
                              </w:rPr>
                              <w:t>77.120.99</w:t>
                            </w:r>
                          </w:p>
                          <w:p w14:paraId="06F9CEFD">
                            <w:pPr>
                              <w:pStyle w:val="143"/>
                              <w:spacing w:line="0" w:lineRule="atLeast"/>
                              <w:rPr>
                                <w:rFonts w:ascii="黑体" w:hAnsi="黑体"/>
                              </w:rPr>
                            </w:pPr>
                            <w:r>
                              <w:rPr>
                                <w:rFonts w:ascii="黑体" w:hAnsi="黑体"/>
                              </w:rPr>
                              <w:t>CCS</w:t>
                            </w:r>
                            <w:r>
                              <w:rPr>
                                <w:rFonts w:hint="eastAsia" w:ascii="黑体" w:hAnsi="黑体"/>
                              </w:rPr>
                              <w:t xml:space="preserve"> </w:t>
                            </w:r>
                            <w:r>
                              <w:rPr>
                                <w:rFonts w:hint="eastAsia" w:ascii="黑体"/>
                              </w:rPr>
                              <w:t>H 14</w:t>
                            </w:r>
                          </w:p>
                          <w:p w14:paraId="3325CC5D">
                            <w:pPr>
                              <w:pStyle w:val="143"/>
                            </w:pPr>
                          </w:p>
                        </w:txbxContent>
                      </wps:txbx>
                      <wps:bodyPr wrap="square" lIns="0" tIns="0" rIns="0" bIns="0" upright="1"/>
                    </wps:wsp>
                  </a:graphicData>
                </a:graphic>
              </wp:anchor>
            </w:drawing>
          </mc:Choice>
          <mc:Fallback>
            <w:pict>
              <v:shape id="文本框 9" o:spid="_x0000_s1026" o:spt="202" type="#_x0000_t202" style="position:absolute;left:0pt;margin-left:0pt;margin-top:0pt;height:51.8pt;width:200pt;mso-position-horizontal-relative:margin;mso-position-vertical-relative:margin;z-index:251665408;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Xsy+DTAAAABQEAAA8AAAAAAAAA&#10;AQAgAAAAIgAAAGRycy9kb3ducmV2LnhtbFBLAQIUABQAAAAIAIdO4kBXnef43QEAALcDAAAOAAAA&#10;AAAAAAEAIAAAACIBAABkcnMvZTJvRG9jLnhtbFBLBQYAAAAABgAGAFkBAABxBQAAAAA=&#10;">
                <v:fill on="t" focussize="0,0"/>
                <v:stroke on="f"/>
                <v:imagedata o:title=""/>
                <o:lock v:ext="edit" aspectratio="f"/>
                <v:textbox inset="0mm,0mm,0mm,0mm">
                  <w:txbxContent>
                    <w:p w14:paraId="01F43ADD">
                      <w:pPr>
                        <w:pStyle w:val="143"/>
                        <w:spacing w:line="0" w:lineRule="atLeast"/>
                        <w:rPr>
                          <w:rFonts w:ascii="黑体" w:hAnsi="黑体"/>
                        </w:rPr>
                      </w:pPr>
                      <w:r>
                        <w:rPr>
                          <w:rFonts w:ascii="黑体" w:hAnsi="黑体"/>
                        </w:rPr>
                        <w:t xml:space="preserve">ICS </w:t>
                      </w:r>
                      <w:r>
                        <w:rPr>
                          <w:rFonts w:ascii="黑体"/>
                        </w:rPr>
                        <w:t>77.120.99</w:t>
                      </w:r>
                    </w:p>
                    <w:p w14:paraId="06F9CEFD">
                      <w:pPr>
                        <w:pStyle w:val="143"/>
                        <w:spacing w:line="0" w:lineRule="atLeast"/>
                        <w:rPr>
                          <w:rFonts w:ascii="黑体" w:hAnsi="黑体"/>
                        </w:rPr>
                      </w:pPr>
                      <w:r>
                        <w:rPr>
                          <w:rFonts w:ascii="黑体" w:hAnsi="黑体"/>
                        </w:rPr>
                        <w:t>CCS</w:t>
                      </w:r>
                      <w:r>
                        <w:rPr>
                          <w:rFonts w:hint="eastAsia" w:ascii="黑体" w:hAnsi="黑体"/>
                        </w:rPr>
                        <w:t xml:space="preserve"> </w:t>
                      </w:r>
                      <w:r>
                        <w:rPr>
                          <w:rFonts w:hint="eastAsia" w:ascii="黑体"/>
                        </w:rPr>
                        <w:t>H 14</w:t>
                      </w:r>
                    </w:p>
                    <w:p w14:paraId="3325CC5D">
                      <w:pPr>
                        <w:pStyle w:val="143"/>
                      </w:pPr>
                    </w:p>
                  </w:txbxContent>
                </v:textbox>
                <w10:anchorlock/>
              </v:shape>
            </w:pict>
          </mc:Fallback>
        </mc:AlternateContent>
      </w:r>
    </w:p>
    <w:p w14:paraId="3E5D1A96">
      <w:pPr>
        <w:pStyle w:val="289"/>
        <w:rPr>
          <w:rFonts w:hint="eastAsia" w:ascii="黑体" w:hAnsi="黑体" w:eastAsia="黑体" w:cs="黑体"/>
          <w:color w:val="auto"/>
        </w:rPr>
      </w:pPr>
    </w:p>
    <w:p w14:paraId="020CE1AC">
      <w:pPr>
        <w:rPr>
          <w:rFonts w:hint="eastAsia" w:ascii="黑体" w:hAnsi="黑体" w:eastAsia="黑体" w:cs="黑体"/>
          <w:color w:val="auto"/>
        </w:rPr>
      </w:pPr>
    </w:p>
    <w:p w14:paraId="34FD1711">
      <w:pPr>
        <w:rPr>
          <w:rFonts w:hint="eastAsia" w:ascii="黑体" w:hAnsi="黑体" w:eastAsia="黑体" w:cs="黑体"/>
          <w:color w:val="auto"/>
        </w:rPr>
      </w:pPr>
    </w:p>
    <w:p w14:paraId="14C220FD">
      <w:pPr>
        <w:rPr>
          <w:rFonts w:hint="eastAsia" w:ascii="黑体" w:hAnsi="黑体" w:eastAsia="黑体" w:cs="黑体"/>
          <w:color w:val="auto"/>
        </w:rPr>
      </w:pPr>
    </w:p>
    <w:p w14:paraId="36DAB954">
      <w:pPr>
        <w:rPr>
          <w:rFonts w:hint="eastAsia" w:ascii="黑体" w:hAnsi="黑体" w:eastAsia="黑体" w:cs="黑体"/>
          <w:color w:val="auto"/>
        </w:rPr>
      </w:pPr>
    </w:p>
    <w:p w14:paraId="55B24D6B">
      <w:pPr>
        <w:rPr>
          <w:rFonts w:hint="eastAsia" w:ascii="黑体" w:hAnsi="黑体" w:eastAsia="黑体" w:cs="黑体"/>
          <w:color w:val="auto"/>
          <w:sz w:val="28"/>
          <w:szCs w:val="28"/>
        </w:rPr>
      </w:pPr>
    </w:p>
    <w:p w14:paraId="61B5D232">
      <w:pPr>
        <w:ind w:left="2814" w:leftChars="1340" w:firstLine="4032" w:firstLineChars="1440"/>
        <w:rPr>
          <w:rFonts w:hint="eastAsia" w:ascii="黑体" w:hAnsi="黑体" w:eastAsia="黑体" w:cs="黑体"/>
          <w:b/>
          <w:bCs/>
          <w:color w:val="auto"/>
          <w:sz w:val="28"/>
          <w:szCs w:val="28"/>
        </w:rPr>
      </w:pPr>
      <w:r>
        <w:rPr>
          <w:rFonts w:hint="eastAsia" w:ascii="黑体" w:hAnsi="黑体" w:eastAsia="黑体" w:cs="黑体"/>
          <w:color w:val="auto"/>
          <w:sz w:val="28"/>
          <w:szCs w:val="28"/>
        </w:rPr>
        <w:t>GB/T 1</w:t>
      </w:r>
      <w:r>
        <w:rPr>
          <w:rFonts w:hint="eastAsia" w:ascii="黑体" w:hAnsi="黑体" w:eastAsia="黑体" w:cs="黑体"/>
          <w:color w:val="auto"/>
          <w:sz w:val="28"/>
          <w:szCs w:val="28"/>
          <w:lang w:val="en-US" w:eastAsia="zh-CN"/>
        </w:rPr>
        <w:t>2690.13</w:t>
      </w:r>
      <w:r>
        <w:rPr>
          <w:rFonts w:hint="eastAsia" w:ascii="黑体" w:hAnsi="黑体" w:eastAsia="黑体" w:cs="黑体"/>
          <w:color w:val="auto"/>
          <w:sz w:val="28"/>
          <w:szCs w:val="28"/>
        </w:rPr>
        <w:t>—2025</w:t>
      </w:r>
    </w:p>
    <w:p w14:paraId="594EAAD4">
      <w:pPr>
        <w:ind w:left="840" w:leftChars="400" w:right="420" w:rightChars="200"/>
        <w:jc w:val="both"/>
        <w:rPr>
          <w:rFonts w:hint="default" w:ascii="黑体" w:hAnsi="黑体" w:eastAsia="黑体" w:cs="黑体"/>
          <w:color w:val="auto"/>
          <w:lang w:val="en-US" w:eastAsia="zh-CN"/>
        </w:rPr>
      </w:pPr>
      <w:r>
        <w:rPr>
          <w:rFonts w:hint="eastAsia" w:ascii="黑体" w:hAnsi="黑体" w:eastAsia="黑体" w:cs="黑体"/>
          <w:color w:val="auto"/>
        </w:rPr>
        <w:t xml:space="preserve">                                                     </w:t>
      </w:r>
      <w:r>
        <w:rPr>
          <w:rFonts w:hint="eastAsia" w:ascii="黑体" w:hAnsi="黑体" w:eastAsia="黑体" w:cs="黑体"/>
          <w:color w:val="auto"/>
          <w:szCs w:val="21"/>
        </w:rPr>
        <w:t>Replaces GB/T 1</w:t>
      </w:r>
      <w:r>
        <w:rPr>
          <w:rFonts w:hint="eastAsia" w:ascii="黑体" w:hAnsi="黑体" w:eastAsia="黑体" w:cs="黑体"/>
          <w:color w:val="auto"/>
          <w:szCs w:val="21"/>
          <w:lang w:val="en-US" w:eastAsia="zh-CN"/>
        </w:rPr>
        <w:t>2690.13-2003</w:t>
      </w:r>
    </w:p>
    <w:p w14:paraId="4A241ED7">
      <w:pPr>
        <w:ind w:left="840" w:leftChars="400" w:right="420" w:rightChars="200"/>
        <w:jc w:val="right"/>
        <w:rPr>
          <w:rFonts w:hint="eastAsia" w:ascii="黑体" w:hAnsi="黑体" w:eastAsia="黑体" w:cs="黑体"/>
          <w:color w:val="auto"/>
        </w:rPr>
      </w:pPr>
      <w:r>
        <w:rPr>
          <w:rFonts w:hint="eastAsia" w:ascii="黑体" w:hAnsi="黑体" w:eastAsia="黑体" w:cs="黑体"/>
          <w:color w:val="auto"/>
          <w:sz w:val="20"/>
        </w:rPr>
        <mc:AlternateContent>
          <mc:Choice Requires="wps">
            <w:drawing>
              <wp:anchor distT="0" distB="0" distL="114300" distR="114300" simplePos="0" relativeHeight="251666432" behindDoc="0" locked="0" layoutInCell="1" allowOverlap="1">
                <wp:simplePos x="0" y="0"/>
                <wp:positionH relativeFrom="column">
                  <wp:posOffset>222250</wp:posOffset>
                </wp:positionH>
                <wp:positionV relativeFrom="paragraph">
                  <wp:posOffset>177165</wp:posOffset>
                </wp:positionV>
                <wp:extent cx="6000750" cy="0"/>
                <wp:effectExtent l="0" t="4445" r="0" b="5080"/>
                <wp:wrapNone/>
                <wp:docPr id="9" name="直线 10"/>
                <wp:cNvGraphicFramePr/>
                <a:graphic xmlns:a="http://schemas.openxmlformats.org/drawingml/2006/main">
                  <a:graphicData uri="http://schemas.microsoft.com/office/word/2010/wordprocessingShape">
                    <wps:wsp>
                      <wps:cNvCnPr/>
                      <wps:spPr>
                        <a:xfrm flipH="1">
                          <a:off x="0" y="0"/>
                          <a:ext cx="60007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10" o:spid="_x0000_s1026" o:spt="20" style="position:absolute;left:0pt;flip:x;margin-left:17.5pt;margin-top:13.95pt;height:0pt;width:472.5pt;z-index:251666432;mso-width-relative:page;mso-height-relative:page;" filled="f" stroked="t" coordsize="21600,21600" o:gfxdata="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FoT/zVAAAACAEAAA8AAAAAAAAAAQAgAAAAIgAAAGRycy9kb3ducmV2LnhtbFBLAQIUABQA&#10;AAAIAIdO4kBEhHPq8wEAAPQDAAAOAAAAAAAAAAEAIAAAACQBAABkcnMvZTJvRG9jLnhtbFBLBQYA&#10;AAAABgAGAFkBAACJBQAAAAA=&#10;">
                <v:fill on="f" focussize="0,0"/>
                <v:stroke color="#000000" joinstyle="round"/>
                <v:imagedata o:title=""/>
                <o:lock v:ext="edit" aspectratio="f"/>
              </v:line>
            </w:pict>
          </mc:Fallback>
        </mc:AlternateContent>
      </w:r>
    </w:p>
    <w:p w14:paraId="3D760260">
      <w:pPr>
        <w:ind w:left="2814" w:leftChars="1340" w:firstLine="3927" w:firstLineChars="1870"/>
        <w:rPr>
          <w:rFonts w:hint="eastAsia" w:ascii="黑体" w:hAnsi="黑体" w:eastAsia="黑体" w:cs="黑体"/>
          <w:color w:val="auto"/>
        </w:rPr>
      </w:pPr>
    </w:p>
    <w:p w14:paraId="29C30F52">
      <w:pPr>
        <w:ind w:left="2814" w:leftChars="1340" w:firstLine="3927" w:firstLineChars="1870"/>
        <w:rPr>
          <w:rFonts w:hint="eastAsia" w:ascii="黑体" w:hAnsi="黑体" w:eastAsia="黑体" w:cs="黑体"/>
          <w:color w:val="auto"/>
        </w:rPr>
      </w:pPr>
    </w:p>
    <w:p w14:paraId="0E595C2C">
      <w:pPr>
        <w:ind w:firstLine="540"/>
        <w:jc w:val="center"/>
        <w:rPr>
          <w:rFonts w:hint="eastAsia" w:ascii="黑体" w:hAnsi="黑体" w:eastAsia="黑体" w:cs="黑体"/>
          <w:color w:val="auto"/>
        </w:rPr>
      </w:pPr>
    </w:p>
    <w:p w14:paraId="7CC412D3">
      <w:pPr>
        <w:ind w:firstLine="540"/>
        <w:jc w:val="center"/>
        <w:rPr>
          <w:rFonts w:hint="eastAsia" w:ascii="黑体" w:hAnsi="黑体" w:eastAsia="黑体" w:cs="黑体"/>
          <w:color w:val="auto"/>
        </w:rPr>
      </w:pPr>
    </w:p>
    <w:p w14:paraId="6D0B79D3">
      <w:pPr>
        <w:ind w:firstLine="540"/>
        <w:jc w:val="center"/>
        <w:rPr>
          <w:rFonts w:hint="eastAsia" w:ascii="黑体" w:hAnsi="黑体" w:eastAsia="黑体" w:cs="黑体"/>
          <w:color w:val="auto"/>
        </w:rPr>
      </w:pPr>
    </w:p>
    <w:p w14:paraId="703FD7AB">
      <w:pPr>
        <w:ind w:firstLine="540"/>
        <w:jc w:val="center"/>
        <w:rPr>
          <w:rFonts w:hint="eastAsia" w:ascii="黑体" w:hAnsi="黑体" w:eastAsia="黑体" w:cs="黑体"/>
          <w:color w:val="auto"/>
        </w:rPr>
      </w:pPr>
    </w:p>
    <w:p w14:paraId="0B21A740">
      <w:pPr>
        <w:ind w:firstLine="540"/>
        <w:jc w:val="center"/>
        <w:rPr>
          <w:rFonts w:hint="eastAsia" w:ascii="黑体" w:hAnsi="黑体" w:eastAsia="黑体" w:cs="黑体"/>
          <w:color w:val="auto"/>
        </w:rPr>
      </w:pPr>
    </w:p>
    <w:p w14:paraId="16E18A3B">
      <w:pPr>
        <w:ind w:firstLine="540"/>
        <w:jc w:val="center"/>
        <w:rPr>
          <w:rFonts w:hint="eastAsia" w:ascii="黑体" w:hAnsi="黑体" w:eastAsia="黑体" w:cs="黑体"/>
          <w:color w:val="auto"/>
        </w:rPr>
      </w:pPr>
    </w:p>
    <w:p w14:paraId="1E292062">
      <w:pPr>
        <w:ind w:firstLine="540"/>
        <w:jc w:val="center"/>
        <w:rPr>
          <w:rFonts w:hint="eastAsia" w:ascii="黑体" w:hAnsi="黑体" w:eastAsia="黑体" w:cs="黑体"/>
          <w:color w:val="auto"/>
        </w:rPr>
      </w:pPr>
    </w:p>
    <w:p w14:paraId="39A82CA8">
      <w:pPr>
        <w:ind w:firstLine="540"/>
        <w:jc w:val="center"/>
        <w:rPr>
          <w:rFonts w:hint="eastAsia" w:ascii="黑体" w:hAnsi="黑体" w:eastAsia="黑体" w:cs="黑体"/>
          <w:color w:val="auto"/>
        </w:rPr>
      </w:pPr>
    </w:p>
    <w:p w14:paraId="58C60323">
      <w:pPr>
        <w:ind w:firstLine="540"/>
        <w:jc w:val="center"/>
        <w:rPr>
          <w:rFonts w:hint="eastAsia" w:ascii="黑体" w:hAnsi="黑体" w:eastAsia="黑体" w:cs="黑体"/>
          <w:color w:val="auto"/>
        </w:rPr>
      </w:pPr>
    </w:p>
    <w:p w14:paraId="7963C23A">
      <w:pPr>
        <w:ind w:firstLine="540"/>
        <w:jc w:val="center"/>
        <w:rPr>
          <w:rFonts w:hint="eastAsia" w:ascii="黑体" w:hAnsi="黑体" w:eastAsia="黑体" w:cs="黑体"/>
          <w:color w:val="auto"/>
        </w:rPr>
      </w:pPr>
    </w:p>
    <w:p w14:paraId="19B40FFE">
      <w:pPr>
        <w:ind w:firstLine="540"/>
        <w:jc w:val="center"/>
        <w:rPr>
          <w:rFonts w:hint="eastAsia" w:ascii="黑体" w:hAnsi="黑体" w:eastAsia="黑体" w:cs="黑体"/>
          <w:color w:val="auto"/>
        </w:rPr>
      </w:pPr>
    </w:p>
    <w:p w14:paraId="7FFEAA7E">
      <w:pPr>
        <w:ind w:firstLine="540"/>
        <w:jc w:val="center"/>
        <w:rPr>
          <w:rFonts w:hint="eastAsia" w:ascii="黑体" w:hAnsi="黑体" w:eastAsia="黑体" w:cs="黑体"/>
          <w:color w:val="auto"/>
        </w:rPr>
      </w:pPr>
    </w:p>
    <w:p w14:paraId="4E5EC7B4">
      <w:pPr>
        <w:ind w:firstLine="540"/>
        <w:jc w:val="center"/>
        <w:rPr>
          <w:rFonts w:hint="eastAsia" w:ascii="黑体" w:hAnsi="黑体" w:eastAsia="黑体" w:cs="黑体"/>
          <w:color w:val="auto"/>
        </w:rPr>
      </w:pPr>
    </w:p>
    <w:p w14:paraId="6CC78198">
      <w:pPr>
        <w:ind w:firstLine="540"/>
        <w:jc w:val="center"/>
        <w:rPr>
          <w:rFonts w:hint="eastAsia" w:ascii="黑体" w:hAnsi="黑体" w:eastAsia="黑体" w:cs="黑体"/>
          <w:color w:val="auto"/>
        </w:rPr>
      </w:pPr>
    </w:p>
    <w:p w14:paraId="08585D06">
      <w:pPr>
        <w:ind w:firstLine="540"/>
        <w:jc w:val="center"/>
        <w:rPr>
          <w:rFonts w:hint="eastAsia" w:ascii="黑体" w:hAnsi="黑体" w:eastAsia="黑体" w:cs="黑体"/>
          <w:color w:val="auto"/>
        </w:rPr>
      </w:pPr>
    </w:p>
    <w:p w14:paraId="49B1F553">
      <w:pPr>
        <w:ind w:firstLine="540"/>
        <w:jc w:val="center"/>
        <w:rPr>
          <w:rFonts w:hint="eastAsia" w:ascii="黑体" w:hAnsi="黑体" w:eastAsia="黑体" w:cs="黑体"/>
          <w:color w:val="auto"/>
        </w:rPr>
      </w:pPr>
    </w:p>
    <w:p w14:paraId="4803701B">
      <w:pPr>
        <w:ind w:firstLine="540"/>
        <w:jc w:val="center"/>
        <w:rPr>
          <w:rFonts w:hint="eastAsia" w:ascii="黑体" w:hAnsi="黑体" w:eastAsia="黑体" w:cs="黑体"/>
          <w:color w:val="auto"/>
        </w:rPr>
      </w:pPr>
    </w:p>
    <w:p w14:paraId="2CD96BF0">
      <w:pPr>
        <w:ind w:firstLine="540"/>
        <w:jc w:val="center"/>
        <w:rPr>
          <w:rFonts w:hint="eastAsia" w:ascii="黑体" w:hAnsi="黑体" w:eastAsia="黑体" w:cs="黑体"/>
          <w:color w:val="auto"/>
        </w:rPr>
      </w:pPr>
    </w:p>
    <w:p w14:paraId="17C57430">
      <w:pPr>
        <w:ind w:firstLine="540"/>
        <w:rPr>
          <w:rFonts w:hint="eastAsia" w:ascii="黑体" w:hAnsi="黑体" w:eastAsia="黑体" w:cs="黑体"/>
          <w:color w:val="auto"/>
        </w:rPr>
        <w:sectPr>
          <w:headerReference r:id="rId3" w:type="default"/>
          <w:footerReference r:id="rId5" w:type="default"/>
          <w:headerReference r:id="rId4" w:type="even"/>
          <w:footerReference r:id="rId6" w:type="even"/>
          <w:endnotePr>
            <w:numFmt w:val="decimal"/>
          </w:endnotePr>
          <w:pgSz w:w="11907" w:h="16839"/>
          <w:pgMar w:top="567" w:right="851" w:bottom="851" w:left="1418" w:header="0" w:footer="0" w:gutter="0"/>
          <w:pgNumType w:start="1"/>
          <w:cols w:space="720" w:num="1"/>
          <w:titlePg/>
          <w:docGrid w:type="lines" w:linePitch="312" w:charSpace="0"/>
        </w:sectPr>
      </w:pPr>
      <w:r>
        <w:rPr>
          <w:color w:val="auto"/>
        </w:rPr>
        <mc:AlternateContent>
          <mc:Choice Requires="wps">
            <w:drawing>
              <wp:anchor distT="0" distB="0" distL="114300" distR="114300" simplePos="0" relativeHeight="251668480" behindDoc="0" locked="0" layoutInCell="1" allowOverlap="1">
                <wp:simplePos x="0" y="0"/>
                <wp:positionH relativeFrom="margin">
                  <wp:posOffset>-5080</wp:posOffset>
                </wp:positionH>
                <wp:positionV relativeFrom="paragraph">
                  <wp:posOffset>2715260</wp:posOffset>
                </wp:positionV>
                <wp:extent cx="6121400" cy="0"/>
                <wp:effectExtent l="0" t="6350" r="3175" b="7620"/>
                <wp:wrapSquare wrapText="bothSides"/>
                <wp:docPr id="27" name="直线 11"/>
                <wp:cNvGraphicFramePr/>
                <a:graphic xmlns:a="http://schemas.openxmlformats.org/drawingml/2006/main">
                  <a:graphicData uri="http://schemas.microsoft.com/office/word/2010/wordprocessingShape">
                    <wps:wsp>
                      <wps:cNvCnPr/>
                      <wps:spPr>
                        <a:xfrm>
                          <a:off x="895350" y="9215755"/>
                          <a:ext cx="6121400" cy="0"/>
                        </a:xfrm>
                        <a:prstGeom prst="line">
                          <a:avLst/>
                        </a:prstGeom>
                        <a:noFill/>
                        <a:ln w="12700" cap="flat" cmpd="sng">
                          <a:solidFill>
                            <a:srgbClr val="000000"/>
                          </a:solidFill>
                          <a:prstDash val="solid"/>
                          <a:round/>
                        </a:ln>
                        <a:effectLst/>
                      </wps:spPr>
                      <wps:bodyPr/>
                    </wps:wsp>
                  </a:graphicData>
                </a:graphic>
              </wp:anchor>
            </w:drawing>
          </mc:Choice>
          <mc:Fallback>
            <w:pict>
              <v:line id="直线 11" o:spid="_x0000_s1026" o:spt="20" style="position:absolute;left:0pt;margin-left:-0.4pt;margin-top:213.8pt;height:0pt;width:482pt;mso-position-horizontal-relative:margin;mso-wrap-distance-bottom:0pt;mso-wrap-distance-left:9pt;mso-wrap-distance-right:9pt;mso-wrap-distance-top:0pt;z-index:251668480;mso-width-relative:page;mso-height-relative:page;" filled="f" stroked="t" coordsize="21600,21600" o:gfxdata="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20m4dNcAAAAJAQAADwAA&#10;AAAAAAABACAAAAAiAAAAZHJzL2Rvd25yZXYueG1sUEsBAhQAFAAAAAgAh07iQLwRNtjeAQAArAMA&#10;AA4AAAAAAAAAAQAgAAAAJgEAAGRycy9lMm9Eb2MueG1sUEsFBgAAAAAGAAYAWQEAAHYFAAAAAA==&#10;">
                <v:fill on="f" focussize="0,0"/>
                <v:stroke weight="1pt" color="#000000" joinstyle="round"/>
                <v:imagedata o:title=""/>
                <o:lock v:ext="edit" aspectratio="f"/>
                <w10:wrap type="square"/>
              </v:line>
            </w:pict>
          </mc:Fallback>
        </mc:AlternateContent>
      </w:r>
    </w:p>
    <w:bookmarkEnd w:id="0"/>
    <w:p w14:paraId="19CD5446">
      <w:pPr>
        <w:spacing w:line="400" w:lineRule="exact"/>
        <w:jc w:val="left"/>
        <w:outlineLvl w:val="0"/>
        <w:rPr>
          <w:rFonts w:hint="eastAsia" w:ascii="黑体" w:hAnsi="黑体" w:eastAsia="黑体" w:cs="黑体"/>
          <w:color w:val="auto"/>
          <w:kern w:val="0"/>
          <w:sz w:val="36"/>
          <w:szCs w:val="36"/>
        </w:rPr>
      </w:pPr>
      <w:r>
        <w:rPr>
          <w:rFonts w:hint="eastAsia" w:ascii="黑体" w:hAnsi="黑体" w:eastAsia="黑体" w:cs="黑体"/>
          <w:color w:val="auto"/>
          <w:kern w:val="0"/>
          <w:sz w:val="36"/>
          <w:szCs w:val="36"/>
        </w:rPr>
        <w:t>Foreword</w:t>
      </w:r>
    </w:p>
    <w:p w14:paraId="34781BDE">
      <w:pPr>
        <w:rPr>
          <w:rFonts w:hint="eastAsia" w:ascii="黑体" w:eastAsia="黑体"/>
          <w:color w:val="auto"/>
        </w:rPr>
      </w:pPr>
      <w:bookmarkStart w:id="1" w:name="OLE_LINK10"/>
    </w:p>
    <w:p w14:paraId="4A70FBB3">
      <w:pPr>
        <w:tabs>
          <w:tab w:val="left" w:pos="7350"/>
        </w:tabs>
        <w:rPr>
          <w:rFonts w:hint="eastAsia" w:ascii="黑体" w:eastAsia="黑体"/>
          <w:color w:val="auto"/>
        </w:rPr>
      </w:pPr>
      <w:r>
        <w:rPr>
          <w:rFonts w:hint="eastAsia" w:ascii="黑体" w:hAnsi="Times New Roman" w:eastAsia="黑体" w:cs="Times New Roman"/>
          <w:color w:val="auto"/>
        </w:rPr>
        <w:t>SAC/TC 229 is in charge of this English translation.</w:t>
      </w:r>
      <w:r>
        <w:rPr>
          <w:rFonts w:hint="eastAsia" w:ascii="黑体" w:eastAsia="黑体"/>
          <w:color w:val="auto"/>
        </w:rPr>
        <w:t xml:space="preserve"> In case of any doubt about the contents of the English translation, the Chinese original shall be considered authoritative.</w:t>
      </w:r>
    </w:p>
    <w:p w14:paraId="23FAAFC1">
      <w:pPr>
        <w:rPr>
          <w:rFonts w:hint="eastAsia" w:ascii="黑体" w:eastAsia="黑体"/>
          <w:color w:val="auto"/>
        </w:rPr>
      </w:pPr>
    </w:p>
    <w:p w14:paraId="6ED8F38B">
      <w:pPr>
        <w:rPr>
          <w:rFonts w:ascii="黑体" w:eastAsia="黑体"/>
          <w:color w:val="auto"/>
        </w:rPr>
      </w:pPr>
      <w:r>
        <w:rPr>
          <w:rFonts w:hint="eastAsia" w:ascii="黑体" w:eastAsia="黑体"/>
          <w:color w:val="auto"/>
        </w:rPr>
        <w:t xml:space="preserve">This </w:t>
      </w:r>
      <w:r>
        <w:rPr>
          <w:rFonts w:ascii="黑体" w:eastAsia="黑体"/>
          <w:color w:val="auto"/>
        </w:rPr>
        <w:t>document</w:t>
      </w:r>
      <w:r>
        <w:rPr>
          <w:rFonts w:hint="eastAsia" w:ascii="黑体" w:eastAsia="黑体"/>
          <w:color w:val="auto"/>
        </w:rPr>
        <w:t xml:space="preserve"> is drafted in accordance with the rules given in the GB/T 1.1—2020 </w:t>
      </w:r>
      <w:r>
        <w:rPr>
          <w:rFonts w:hint="eastAsia" w:ascii="黑体" w:eastAsia="黑体"/>
          <w:i/>
          <w:iCs/>
          <w:color w:val="auto"/>
        </w:rPr>
        <w:t>Directives for standardization</w:t>
      </w:r>
      <w:r>
        <w:rPr>
          <w:rFonts w:hint="eastAsia" w:ascii="黑体" w:eastAsia="黑体"/>
          <w:i/>
          <w:iCs/>
          <w:color w:val="auto"/>
          <w:lang w:val="en-US" w:eastAsia="zh-CN"/>
        </w:rPr>
        <w:t xml:space="preserve"> </w:t>
      </w:r>
      <w:r>
        <w:rPr>
          <w:rFonts w:hint="eastAsia" w:ascii="黑体" w:eastAsia="黑体"/>
          <w:i/>
          <w:iCs/>
          <w:color w:val="auto"/>
        </w:rPr>
        <w:t>—</w:t>
      </w:r>
      <w:r>
        <w:rPr>
          <w:rFonts w:hint="eastAsia" w:ascii="黑体" w:eastAsia="黑体"/>
          <w:i/>
          <w:iCs/>
          <w:color w:val="auto"/>
          <w:lang w:val="en-US" w:eastAsia="zh-CN"/>
        </w:rPr>
        <w:t xml:space="preserve"> </w:t>
      </w:r>
      <w:r>
        <w:rPr>
          <w:rFonts w:hint="eastAsia" w:ascii="黑体" w:eastAsia="黑体"/>
          <w:i/>
          <w:iCs/>
          <w:color w:val="auto"/>
        </w:rPr>
        <w:t>Part 1: Rules for the structure and drafting of standardizing documents</w:t>
      </w:r>
      <w:r>
        <w:rPr>
          <w:rFonts w:hint="eastAsia" w:ascii="黑体" w:eastAsia="黑体"/>
          <w:color w:val="auto"/>
        </w:rPr>
        <w:t>.</w:t>
      </w:r>
    </w:p>
    <w:p w14:paraId="13B507B3">
      <w:pPr>
        <w:rPr>
          <w:rFonts w:hint="eastAsia" w:ascii="黑体" w:eastAsia="黑体"/>
          <w:color w:val="auto"/>
        </w:rPr>
      </w:pPr>
    </w:p>
    <w:p w14:paraId="42A83CEE">
      <w:pPr>
        <w:rPr>
          <w:rFonts w:ascii="黑体" w:eastAsia="黑体" w:cs="Arial"/>
          <w:color w:val="auto"/>
          <w:kern w:val="0"/>
          <w:szCs w:val="21"/>
        </w:rPr>
      </w:pPr>
      <w:r>
        <w:rPr>
          <w:rFonts w:ascii="黑体" w:eastAsia="黑体" w:cs="Arial"/>
          <w:color w:val="auto"/>
          <w:kern w:val="0"/>
          <w:szCs w:val="21"/>
        </w:rPr>
        <w:t xml:space="preserve">This document is Part </w:t>
      </w:r>
      <w:r>
        <w:rPr>
          <w:rFonts w:hint="eastAsia" w:ascii="黑体" w:eastAsia="黑体" w:cs="Arial"/>
          <w:color w:val="auto"/>
          <w:kern w:val="0"/>
          <w:szCs w:val="21"/>
          <w:lang w:val="en-US" w:eastAsia="zh-CN"/>
        </w:rPr>
        <w:t>1</w:t>
      </w:r>
      <w:r>
        <w:rPr>
          <w:rFonts w:hint="eastAsia" w:ascii="黑体" w:eastAsia="黑体" w:cs="Arial"/>
          <w:color w:val="auto"/>
          <w:kern w:val="0"/>
          <w:szCs w:val="21"/>
        </w:rPr>
        <w:t>3</w:t>
      </w:r>
      <w:r>
        <w:rPr>
          <w:rFonts w:ascii="黑体" w:eastAsia="黑体" w:cs="Arial"/>
          <w:color w:val="auto"/>
          <w:kern w:val="0"/>
          <w:szCs w:val="21"/>
        </w:rPr>
        <w:t xml:space="preserve"> of GB/T </w:t>
      </w:r>
      <w:r>
        <w:rPr>
          <w:rFonts w:hint="eastAsia" w:ascii="黑体" w:eastAsia="黑体" w:cs="Arial"/>
          <w:color w:val="auto"/>
          <w:kern w:val="0"/>
          <w:szCs w:val="21"/>
          <w:lang w:val="en-US" w:eastAsia="zh-CN"/>
        </w:rPr>
        <w:t>12690</w:t>
      </w:r>
      <w:r>
        <w:rPr>
          <w:rFonts w:hint="eastAsia" w:ascii="黑体" w:eastAsia="黑体" w:cs="Arial"/>
          <w:color w:val="auto"/>
          <w:kern w:val="0"/>
          <w:szCs w:val="21"/>
        </w:rPr>
        <w:t xml:space="preserve"> </w:t>
      </w:r>
      <w:r>
        <w:rPr>
          <w:rFonts w:ascii="黑体" w:eastAsia="黑体" w:cs="Arial"/>
          <w:i/>
          <w:iCs/>
          <w:color w:val="auto"/>
          <w:kern w:val="0"/>
          <w:szCs w:val="21"/>
        </w:rPr>
        <w:t>Chemical analysis methods for non-rare earth impurities of rare earth metals and their oxides</w:t>
      </w:r>
      <w:r>
        <w:rPr>
          <w:rFonts w:ascii="黑体" w:eastAsia="黑体" w:cs="Arial"/>
          <w:color w:val="auto"/>
          <w:kern w:val="0"/>
          <w:szCs w:val="21"/>
        </w:rPr>
        <w:t>.</w:t>
      </w:r>
      <w:r>
        <w:rPr>
          <w:rFonts w:hint="eastAsia" w:ascii="黑体" w:eastAsia="黑体" w:cs="Arial"/>
          <w:color w:val="auto"/>
          <w:kern w:val="0"/>
          <w:szCs w:val="21"/>
          <w:lang w:val="en-US" w:eastAsia="zh-CN"/>
        </w:rPr>
        <w:t xml:space="preserve"> </w:t>
      </w:r>
      <w:r>
        <w:rPr>
          <w:rFonts w:hint="eastAsia" w:ascii="黑体" w:hAnsi="黑体" w:eastAsia="黑体" w:cs="黑体"/>
          <w:color w:val="auto"/>
          <w:szCs w:val="21"/>
        </w:rPr>
        <w:t>The following parts have been released for</w:t>
      </w:r>
      <w:r>
        <w:rPr>
          <w:rFonts w:hint="eastAsia" w:ascii="黑体" w:hAnsi="黑体" w:eastAsia="黑体" w:cs="黑体"/>
          <w:color w:val="auto"/>
          <w:szCs w:val="21"/>
          <w:lang w:val="en-US" w:eastAsia="zh-CN"/>
        </w:rPr>
        <w:t xml:space="preserve"> </w:t>
      </w:r>
      <w:r>
        <w:rPr>
          <w:rFonts w:ascii="黑体" w:eastAsia="黑体" w:cs="Arial"/>
          <w:color w:val="auto"/>
          <w:kern w:val="0"/>
          <w:szCs w:val="21"/>
        </w:rPr>
        <w:t>GB/T 12690:</w:t>
      </w:r>
    </w:p>
    <w:p w14:paraId="7CDC9361">
      <w:pPr>
        <w:rPr>
          <w:rFonts w:hint="eastAsia" w:ascii="黑体" w:eastAsia="黑体" w:cs="Arial"/>
          <w:color w:val="auto"/>
          <w:kern w:val="0"/>
          <w:szCs w:val="21"/>
        </w:rPr>
      </w:pPr>
    </w:p>
    <w:bookmarkEnd w:id="1"/>
    <w:p w14:paraId="28796397">
      <w:pPr>
        <w:rPr>
          <w:rFonts w:ascii="黑体" w:eastAsia="黑体" w:cs="Arial"/>
          <w:i/>
          <w:iCs/>
          <w:color w:val="auto"/>
          <w:kern w:val="0"/>
          <w:szCs w:val="21"/>
        </w:rPr>
      </w:pPr>
      <w:bookmarkStart w:id="2" w:name="_Hlk193103392"/>
      <w:bookmarkStart w:id="3" w:name="_Hlk193102993"/>
      <w:r>
        <w:rPr>
          <w:rFonts w:hint="eastAsia" w:ascii="黑体" w:eastAsia="黑体" w:cs="Arial"/>
          <w:color w:val="auto"/>
          <w:kern w:val="0"/>
          <w:szCs w:val="21"/>
        </w:rPr>
        <w:t>—</w:t>
      </w:r>
      <w:bookmarkEnd w:id="2"/>
      <w:r>
        <w:rPr>
          <w:rFonts w:ascii="黑体" w:eastAsia="黑体" w:cs="Arial"/>
          <w:i/>
          <w:iCs/>
          <w:color w:val="auto"/>
          <w:kern w:val="0"/>
          <w:szCs w:val="21"/>
        </w:rPr>
        <w:t>Part 1: Determination of carbon and sulfur content</w:t>
      </w:r>
      <w:r>
        <w:rPr>
          <w:rFonts w:hint="eastAsia" w:ascii="黑体" w:eastAsia="黑体" w:cs="Arial"/>
          <w:i/>
          <w:iCs/>
          <w:color w:val="auto"/>
          <w:kern w:val="0"/>
          <w:szCs w:val="21"/>
        </w:rPr>
        <w:t>s</w:t>
      </w:r>
      <w:r>
        <w:rPr>
          <w:rFonts w:hint="eastAsia" w:ascii="黑体" w:eastAsia="黑体" w:cs="Arial"/>
          <w:i/>
          <w:iCs/>
          <w:color w:val="auto"/>
          <w:kern w:val="0"/>
          <w:szCs w:val="21"/>
          <w:lang w:val="en-US" w:eastAsia="zh-CN"/>
        </w:rPr>
        <w:t xml:space="preserve"> </w:t>
      </w:r>
      <w:r>
        <w:rPr>
          <w:rFonts w:hint="eastAsia" w:ascii="黑体" w:eastAsia="黑体" w:cs="Arial"/>
          <w:i/>
          <w:iCs/>
          <w:color w:val="auto"/>
          <w:kern w:val="0"/>
          <w:szCs w:val="21"/>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High</w:t>
      </w:r>
      <w:r>
        <w:rPr>
          <w:rFonts w:hint="eastAsia" w:ascii="黑体" w:eastAsia="黑体" w:cs="Arial"/>
          <w:i/>
          <w:iCs/>
          <w:color w:val="auto"/>
          <w:kern w:val="0"/>
          <w:szCs w:val="21"/>
        </w:rPr>
        <w:t xml:space="preserve"> </w:t>
      </w:r>
      <w:r>
        <w:rPr>
          <w:rFonts w:ascii="黑体" w:eastAsia="黑体" w:cs="Arial"/>
          <w:i/>
          <w:iCs/>
          <w:color w:val="auto"/>
          <w:kern w:val="0"/>
          <w:szCs w:val="21"/>
        </w:rPr>
        <w:t>frequency</w:t>
      </w:r>
      <w:r>
        <w:rPr>
          <w:rFonts w:hint="eastAsia" w:ascii="黑体" w:eastAsia="黑体" w:cs="Arial"/>
          <w:i/>
          <w:iCs/>
          <w:color w:val="auto"/>
          <w:kern w:val="0"/>
          <w:szCs w:val="21"/>
        </w:rPr>
        <w:t>-</w:t>
      </w:r>
      <w:r>
        <w:rPr>
          <w:rFonts w:ascii="黑体" w:eastAsia="黑体" w:cs="Arial"/>
          <w:i/>
          <w:iCs/>
          <w:color w:val="auto"/>
          <w:kern w:val="0"/>
          <w:szCs w:val="21"/>
        </w:rPr>
        <w:t>infrared absorption method</w:t>
      </w:r>
      <w:r>
        <w:rPr>
          <w:rFonts w:ascii="黑体" w:eastAsia="黑体" w:cs="Arial"/>
          <w:color w:val="auto"/>
          <w:kern w:val="0"/>
          <w:szCs w:val="21"/>
        </w:rPr>
        <w:t>;</w:t>
      </w:r>
      <w:r>
        <w:rPr>
          <w:rFonts w:ascii="黑体" w:eastAsia="黑体" w:cs="Arial"/>
          <w:color w:val="auto"/>
          <w:kern w:val="0"/>
          <w:szCs w:val="21"/>
        </w:rPr>
        <w:br w:type="textWrapping"/>
      </w:r>
      <w:r>
        <w:rPr>
          <w:rFonts w:hint="eastAsia" w:ascii="黑体" w:eastAsia="黑体" w:cs="Arial"/>
          <w:color w:val="auto"/>
          <w:kern w:val="0"/>
          <w:szCs w:val="21"/>
        </w:rPr>
        <w:t>—</w:t>
      </w:r>
      <w:r>
        <w:rPr>
          <w:rFonts w:ascii="黑体" w:eastAsia="黑体" w:cs="Arial"/>
          <w:i/>
          <w:iCs/>
          <w:color w:val="auto"/>
          <w:kern w:val="0"/>
          <w:szCs w:val="21"/>
        </w:rPr>
        <w:t>Part 2: Determination of ignition</w:t>
      </w:r>
      <w:r>
        <w:rPr>
          <w:rFonts w:hint="eastAsia" w:ascii="黑体" w:eastAsia="黑体" w:cs="Arial"/>
          <w:i/>
          <w:iCs/>
          <w:color w:val="auto"/>
          <w:kern w:val="0"/>
          <w:szCs w:val="21"/>
        </w:rPr>
        <w:t xml:space="preserve"> loss</w:t>
      </w:r>
      <w:r>
        <w:rPr>
          <w:rFonts w:ascii="黑体" w:eastAsia="黑体" w:cs="Arial"/>
          <w:i/>
          <w:iCs/>
          <w:color w:val="auto"/>
          <w:kern w:val="0"/>
          <w:szCs w:val="21"/>
        </w:rPr>
        <w:t xml:space="preserve"> </w:t>
      </w:r>
      <w:r>
        <w:rPr>
          <w:rFonts w:hint="eastAsia" w:ascii="黑体" w:eastAsia="黑体" w:cs="Arial"/>
          <w:i/>
          <w:iCs/>
          <w:color w:val="auto"/>
          <w:kern w:val="0"/>
          <w:szCs w:val="21"/>
        </w:rPr>
        <w:t>content of</w:t>
      </w:r>
      <w:r>
        <w:rPr>
          <w:rFonts w:ascii="黑体" w:eastAsia="黑体" w:cs="Arial"/>
          <w:i/>
          <w:iCs/>
          <w:color w:val="auto"/>
          <w:kern w:val="0"/>
          <w:szCs w:val="21"/>
        </w:rPr>
        <w:t xml:space="preserve"> rare earth oxides</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olor w:val="auto"/>
          <w:lang w:val="en-US" w:eastAsia="zh-CN"/>
        </w:rPr>
        <w:t xml:space="preserve"> </w:t>
      </w:r>
      <w:r>
        <w:rPr>
          <w:rFonts w:ascii="黑体" w:eastAsia="黑体" w:cs="Arial"/>
          <w:i/>
          <w:iCs/>
          <w:color w:val="auto"/>
          <w:kern w:val="0"/>
          <w:szCs w:val="21"/>
        </w:rPr>
        <w:t>Gravimetric method;</w:t>
      </w:r>
      <w:r>
        <w:rPr>
          <w:rFonts w:ascii="黑体" w:eastAsia="黑体" w:cs="Arial"/>
          <w:i/>
          <w:iCs/>
          <w:color w:val="auto"/>
          <w:kern w:val="0"/>
          <w:szCs w:val="21"/>
        </w:rPr>
        <w:br w:type="textWrapping"/>
      </w: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3</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 xml:space="preserve">Determination of </w:t>
      </w:r>
      <w:r>
        <w:rPr>
          <w:rFonts w:hint="eastAsia" w:ascii="黑体" w:eastAsia="黑体" w:cs="Arial"/>
          <w:i/>
          <w:iCs/>
          <w:color w:val="auto"/>
          <w:kern w:val="0"/>
          <w:szCs w:val="21"/>
        </w:rPr>
        <w:t>water</w:t>
      </w:r>
      <w:r>
        <w:rPr>
          <w:rFonts w:ascii="黑体" w:eastAsia="黑体" w:cs="Arial"/>
          <w:i/>
          <w:iCs/>
          <w:color w:val="auto"/>
          <w:kern w:val="0"/>
          <w:szCs w:val="21"/>
        </w:rPr>
        <w:t xml:space="preserve"> content </w:t>
      </w:r>
      <w:r>
        <w:rPr>
          <w:rFonts w:hint="eastAsia" w:ascii="黑体" w:eastAsia="黑体" w:cs="Arial"/>
          <w:i/>
          <w:iCs/>
          <w:color w:val="auto"/>
          <w:kern w:val="0"/>
          <w:szCs w:val="21"/>
        </w:rPr>
        <w:t>of</w:t>
      </w:r>
      <w:r>
        <w:rPr>
          <w:rFonts w:ascii="黑体" w:eastAsia="黑体" w:cs="Arial"/>
          <w:i/>
          <w:iCs/>
          <w:color w:val="auto"/>
          <w:kern w:val="0"/>
          <w:szCs w:val="21"/>
        </w:rPr>
        <w:t xml:space="preserve"> rare earth oxides</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Gravimetric method</w:t>
      </w:r>
      <w:r>
        <w:rPr>
          <w:rFonts w:hint="eastAsia" w:ascii="黑体" w:eastAsia="黑体" w:cs="Arial"/>
          <w:i/>
          <w:iCs/>
          <w:color w:val="auto"/>
          <w:kern w:val="0"/>
          <w:szCs w:val="21"/>
        </w:rPr>
        <w:t>;</w:t>
      </w:r>
    </w:p>
    <w:p w14:paraId="7C253B80">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Part</w:t>
      </w:r>
      <w:r>
        <w:rPr>
          <w:rFonts w:hint="eastAsia" w:ascii="黑体" w:eastAsia="黑体" w:cs="Arial"/>
          <w:i/>
          <w:iCs/>
          <w:color w:val="auto"/>
          <w:kern w:val="0"/>
          <w:szCs w:val="21"/>
        </w:rPr>
        <w:t xml:space="preserve"> 4</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oxygen and nitrogen content</w:t>
      </w:r>
      <w:r>
        <w:rPr>
          <w:rFonts w:hint="eastAsia" w:ascii="黑体" w:eastAsia="黑体" w:cs="Arial"/>
          <w:i/>
          <w:iCs/>
          <w:color w:val="auto"/>
          <w:kern w:val="0"/>
          <w:szCs w:val="21"/>
        </w:rPr>
        <w:t>s</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I</w:t>
      </w:r>
      <w:r>
        <w:rPr>
          <w:rFonts w:hint="eastAsia" w:ascii="黑体" w:eastAsia="黑体" w:cs="Arial"/>
          <w:i/>
          <w:iCs/>
          <w:color w:val="auto"/>
          <w:kern w:val="0"/>
          <w:szCs w:val="21"/>
        </w:rPr>
        <w:t>mpulse</w:t>
      </w:r>
      <w:r>
        <w:rPr>
          <w:rFonts w:ascii="黑体" w:eastAsia="黑体" w:cs="Arial"/>
          <w:i/>
          <w:iCs/>
          <w:color w:val="auto"/>
          <w:kern w:val="0"/>
          <w:szCs w:val="21"/>
        </w:rPr>
        <w:t xml:space="preserve">-infrared absorption and </w:t>
      </w:r>
      <w:r>
        <w:rPr>
          <w:rFonts w:hint="eastAsia" w:ascii="黑体" w:eastAsia="黑体" w:cs="Arial"/>
          <w:i/>
          <w:iCs/>
          <w:color w:val="auto"/>
          <w:kern w:val="0"/>
          <w:szCs w:val="21"/>
          <w:lang w:val="en-US" w:eastAsia="zh-CN"/>
        </w:rPr>
        <w:t>i</w:t>
      </w:r>
      <w:r>
        <w:rPr>
          <w:rFonts w:hint="eastAsia" w:ascii="黑体" w:eastAsia="黑体" w:cs="Arial"/>
          <w:i/>
          <w:iCs/>
          <w:color w:val="auto"/>
          <w:kern w:val="0"/>
          <w:szCs w:val="21"/>
        </w:rPr>
        <w:t>mpulse</w:t>
      </w:r>
      <w:r>
        <w:rPr>
          <w:rFonts w:ascii="黑体" w:eastAsia="黑体" w:cs="Arial"/>
          <w:i/>
          <w:iCs/>
          <w:color w:val="auto"/>
          <w:kern w:val="0"/>
          <w:szCs w:val="21"/>
        </w:rPr>
        <w:t>-thermal conductivity method</w:t>
      </w:r>
      <w:r>
        <w:rPr>
          <w:rFonts w:hint="eastAsia" w:ascii="黑体" w:eastAsia="黑体" w:cs="Arial"/>
          <w:i/>
          <w:iCs/>
          <w:color w:val="auto"/>
          <w:kern w:val="0"/>
          <w:szCs w:val="21"/>
        </w:rPr>
        <w:t>;</w:t>
      </w:r>
    </w:p>
    <w:p w14:paraId="341B5ABB">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5</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cobalt, manganese, lead, nickel, copper, zinc, aluminum, chromium, magnesium, cadmium, vanadium, and iron content</w:t>
      </w:r>
      <w:r>
        <w:rPr>
          <w:rFonts w:hint="eastAsia" w:ascii="黑体" w:eastAsia="黑体" w:cs="Arial"/>
          <w:i/>
          <w:iCs/>
          <w:color w:val="auto"/>
          <w:kern w:val="0"/>
          <w:szCs w:val="21"/>
        </w:rPr>
        <w:t>s;</w:t>
      </w:r>
    </w:p>
    <w:p w14:paraId="4BA7437D">
      <w:pPr>
        <w:keepNext w:val="0"/>
        <w:keepLines w:val="0"/>
        <w:pageBreakBefore w:val="0"/>
        <w:widowControl w:val="0"/>
        <w:kinsoku/>
        <w:wordWrap w:val="0"/>
        <w:overflowPunct/>
        <w:topLinePunct w:val="0"/>
        <w:autoSpaceDE/>
        <w:autoSpaceDN/>
        <w:bidi w:val="0"/>
        <w:adjustRightInd/>
        <w:snapToGrid/>
        <w:textAlignment w:val="auto"/>
        <w:rPr>
          <w:rFonts w:ascii="黑体" w:eastAsia="黑体" w:cs="Arial"/>
          <w:i/>
          <w:iCs/>
          <w:color w:val="auto"/>
          <w:kern w:val="0"/>
          <w:szCs w:val="21"/>
        </w:rPr>
      </w:pPr>
      <w:r>
        <w:rPr>
          <w:rFonts w:hint="eastAsia" w:ascii="黑体" w:eastAsia="黑体" w:cs="Arial"/>
          <w:color w:val="auto"/>
          <w:kern w:val="0"/>
          <w:szCs w:val="21"/>
        </w:rPr>
        <w:t>—</w:t>
      </w:r>
      <w:r>
        <w:rPr>
          <w:rFonts w:hint="eastAsia" w:ascii="黑体" w:eastAsia="黑体" w:cs="Arial"/>
          <w:i/>
          <w:iCs/>
          <w:color w:val="auto"/>
          <w:kern w:val="0"/>
          <w:szCs w:val="21"/>
        </w:rPr>
        <w:t>Part 6: Determination of iron content</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hint="eastAsia" w:ascii="黑体" w:eastAsia="黑体" w:cs="Arial"/>
          <w:i/>
          <w:iCs/>
          <w:color w:val="auto"/>
          <w:kern w:val="0"/>
          <w:szCs w:val="21"/>
        </w:rPr>
        <w:t>Kalium thiocyanate, 1,10-Phenanthroline spectrophotometric method;</w:t>
      </w:r>
    </w:p>
    <w:p w14:paraId="05EDFFA0">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7</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silicon content</w:t>
      </w:r>
      <w:r>
        <w:rPr>
          <w:rFonts w:hint="eastAsia" w:ascii="黑体" w:eastAsia="黑体" w:cs="Arial"/>
          <w:i/>
          <w:iCs/>
          <w:color w:val="auto"/>
          <w:kern w:val="0"/>
          <w:szCs w:val="21"/>
        </w:rPr>
        <w:t>;</w:t>
      </w:r>
    </w:p>
    <w:p w14:paraId="04E3910A">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8</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sodium content</w:t>
      </w:r>
      <w:r>
        <w:rPr>
          <w:rFonts w:hint="eastAsia" w:ascii="黑体" w:eastAsia="黑体" w:cs="Arial"/>
          <w:i/>
          <w:iCs/>
          <w:color w:val="auto"/>
          <w:kern w:val="0"/>
          <w:szCs w:val="21"/>
        </w:rPr>
        <w:t>;</w:t>
      </w:r>
    </w:p>
    <w:p w14:paraId="1126B3A0">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9</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chlorine content</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Silver nitrate turbidimetr</w:t>
      </w:r>
      <w:r>
        <w:rPr>
          <w:rFonts w:hint="eastAsia" w:ascii="黑体" w:eastAsia="黑体" w:cs="Arial"/>
          <w:i/>
          <w:iCs/>
          <w:color w:val="auto"/>
          <w:kern w:val="0"/>
          <w:szCs w:val="21"/>
        </w:rPr>
        <w:t>ic method;</w:t>
      </w:r>
    </w:p>
    <w:p w14:paraId="0038436A">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10</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phosphorus content</w:t>
      </w:r>
      <w:r>
        <w:rPr>
          <w:rFonts w:hint="eastAsia" w:ascii="黑体" w:eastAsia="黑体" w:cs="Arial"/>
          <w:i/>
          <w:iCs/>
          <w:color w:val="auto"/>
          <w:kern w:val="0"/>
          <w:szCs w:val="21"/>
        </w:rPr>
        <w:t xml:space="preserve"> by m</w:t>
      </w:r>
      <w:r>
        <w:rPr>
          <w:rFonts w:ascii="黑体" w:eastAsia="黑体" w:cs="Arial"/>
          <w:i/>
          <w:iCs/>
          <w:color w:val="auto"/>
          <w:kern w:val="0"/>
          <w:szCs w:val="21"/>
        </w:rPr>
        <w:t>olybdenum blue spectrophotometr</w:t>
      </w:r>
      <w:r>
        <w:rPr>
          <w:rFonts w:hint="eastAsia" w:ascii="黑体" w:eastAsia="黑体" w:cs="Arial"/>
          <w:i/>
          <w:iCs/>
          <w:color w:val="auto"/>
          <w:kern w:val="0"/>
          <w:szCs w:val="21"/>
        </w:rPr>
        <w:t>ic method;</w:t>
      </w:r>
    </w:p>
    <w:p w14:paraId="27A188B2">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11</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magnesium content</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Flame atomic absorption spectrometr</w:t>
      </w:r>
      <w:r>
        <w:rPr>
          <w:rFonts w:hint="eastAsia" w:ascii="黑体" w:eastAsia="黑体" w:cs="Arial"/>
          <w:i/>
          <w:iCs/>
          <w:color w:val="auto"/>
          <w:kern w:val="0"/>
          <w:szCs w:val="21"/>
        </w:rPr>
        <w:t>ic method;</w:t>
      </w:r>
    </w:p>
    <w:p w14:paraId="2EABB871">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12</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thorium and uranium content</w:t>
      </w:r>
      <w:r>
        <w:rPr>
          <w:rFonts w:hint="eastAsia" w:ascii="黑体" w:eastAsia="黑体" w:cs="Arial"/>
          <w:i/>
          <w:iCs/>
          <w:color w:val="auto"/>
          <w:kern w:val="0"/>
          <w:szCs w:val="21"/>
        </w:rPr>
        <w:t>s</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Inductively coupled plasma mass spectr</w:t>
      </w:r>
      <w:r>
        <w:rPr>
          <w:rFonts w:hint="eastAsia" w:ascii="黑体" w:eastAsia="黑体" w:cs="Arial"/>
          <w:i/>
          <w:iCs/>
          <w:color w:val="auto"/>
          <w:kern w:val="0"/>
          <w:szCs w:val="21"/>
        </w:rPr>
        <w:t>um method;</w:t>
      </w:r>
    </w:p>
    <w:p w14:paraId="0CCF9F65">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13</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molybdenum and tungsten content</w:t>
      </w:r>
      <w:r>
        <w:rPr>
          <w:rFonts w:hint="eastAsia" w:ascii="黑体" w:eastAsia="黑体" w:cs="Arial"/>
          <w:i/>
          <w:iCs/>
          <w:color w:val="auto"/>
          <w:kern w:val="0"/>
          <w:szCs w:val="21"/>
        </w:rPr>
        <w:t>;</w:t>
      </w:r>
    </w:p>
    <w:p w14:paraId="14229F17">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14</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 xml:space="preserve">Determination of titanium </w:t>
      </w:r>
      <w:r>
        <w:rPr>
          <w:rFonts w:hint="eastAsia" w:ascii="黑体" w:eastAsia="黑体" w:cs="Arial"/>
          <w:i/>
          <w:iCs/>
          <w:color w:val="auto"/>
          <w:kern w:val="0"/>
          <w:szCs w:val="21"/>
        </w:rPr>
        <w:t>in rare earth metals;</w:t>
      </w:r>
    </w:p>
    <w:p w14:paraId="0F3DEE14">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15</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calcium content</w:t>
      </w:r>
      <w:r>
        <w:rPr>
          <w:rFonts w:hint="eastAsia" w:ascii="黑体" w:eastAsia="黑体" w:cs="Arial"/>
          <w:i/>
          <w:iCs/>
          <w:color w:val="auto"/>
          <w:kern w:val="0"/>
          <w:szCs w:val="21"/>
        </w:rPr>
        <w:t>;</w:t>
      </w:r>
    </w:p>
    <w:p w14:paraId="55E33BFF">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16</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fluorine content</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Ion</w:t>
      </w:r>
      <w:r>
        <w:rPr>
          <w:rFonts w:hint="eastAsia" w:ascii="黑体" w:eastAsia="黑体" w:cs="Arial"/>
          <w:i/>
          <w:iCs/>
          <w:color w:val="auto"/>
          <w:kern w:val="0"/>
          <w:szCs w:val="21"/>
        </w:rPr>
        <w:t xml:space="preserve"> </w:t>
      </w:r>
      <w:r>
        <w:rPr>
          <w:rFonts w:ascii="黑体" w:eastAsia="黑体" w:cs="Arial"/>
          <w:i/>
          <w:iCs/>
          <w:color w:val="auto"/>
          <w:kern w:val="0"/>
          <w:szCs w:val="21"/>
        </w:rPr>
        <w:t xml:space="preserve">selective electrode </w:t>
      </w:r>
      <w:r>
        <w:rPr>
          <w:rFonts w:hint="eastAsia" w:ascii="黑体" w:eastAsia="黑体" w:cs="Arial"/>
          <w:i/>
          <w:iCs/>
          <w:color w:val="auto"/>
          <w:kern w:val="0"/>
          <w:szCs w:val="21"/>
        </w:rPr>
        <w:t>analysis;</w:t>
      </w:r>
    </w:p>
    <w:p w14:paraId="09819176">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17</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niobium and tantalum content</w:t>
      </w:r>
      <w:r>
        <w:rPr>
          <w:rFonts w:hint="eastAsia" w:ascii="黑体" w:eastAsia="黑体" w:cs="Arial"/>
          <w:i/>
          <w:iCs/>
          <w:color w:val="auto"/>
          <w:kern w:val="0"/>
          <w:szCs w:val="21"/>
        </w:rPr>
        <w:t>s</w:t>
      </w:r>
      <w:r>
        <w:rPr>
          <w:rFonts w:ascii="黑体" w:eastAsia="黑体" w:cs="Arial"/>
          <w:i/>
          <w:iCs/>
          <w:color w:val="auto"/>
          <w:kern w:val="0"/>
          <w:szCs w:val="21"/>
        </w:rPr>
        <w:t xml:space="preserve"> </w:t>
      </w:r>
      <w:r>
        <w:rPr>
          <w:rFonts w:hint="eastAsia" w:ascii="黑体" w:eastAsia="黑体" w:cs="Arial"/>
          <w:i/>
          <w:iCs/>
          <w:color w:val="auto"/>
          <w:kern w:val="0"/>
          <w:szCs w:val="21"/>
        </w:rPr>
        <w:t>of</w:t>
      </w:r>
      <w:r>
        <w:rPr>
          <w:rFonts w:ascii="黑体" w:eastAsia="黑体" w:cs="Arial"/>
          <w:i/>
          <w:iCs/>
          <w:color w:val="auto"/>
          <w:kern w:val="0"/>
          <w:szCs w:val="21"/>
        </w:rPr>
        <w:t xml:space="preserve"> rare earth metals</w:t>
      </w:r>
      <w:r>
        <w:rPr>
          <w:rFonts w:hint="eastAsia" w:ascii="黑体" w:eastAsia="黑体" w:cs="Arial"/>
          <w:i/>
          <w:iCs/>
          <w:color w:val="auto"/>
          <w:kern w:val="0"/>
          <w:szCs w:val="21"/>
        </w:rPr>
        <w:t>;</w:t>
      </w:r>
    </w:p>
    <w:p w14:paraId="4AB61DF4">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18</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zirconium content</w:t>
      </w:r>
      <w:r>
        <w:rPr>
          <w:rFonts w:hint="eastAsia" w:ascii="黑体" w:eastAsia="黑体" w:cs="Arial"/>
          <w:i/>
          <w:iCs/>
          <w:color w:val="auto"/>
          <w:kern w:val="0"/>
          <w:szCs w:val="21"/>
        </w:rPr>
        <w:t>;</w:t>
      </w:r>
    </w:p>
    <w:p w14:paraId="47A7FB6C">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19</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arsenic and mercury content</w:t>
      </w:r>
      <w:r>
        <w:rPr>
          <w:rFonts w:hint="eastAsia" w:ascii="黑体" w:eastAsia="黑体" w:cs="Arial"/>
          <w:i/>
          <w:iCs/>
          <w:color w:val="auto"/>
          <w:kern w:val="0"/>
          <w:szCs w:val="21"/>
        </w:rPr>
        <w:t>s;</w:t>
      </w:r>
    </w:p>
    <w:p w14:paraId="50C46BDB">
      <w:pPr>
        <w:rPr>
          <w:rFonts w:ascii="黑体" w:eastAsia="黑体" w:cs="Arial"/>
          <w:i/>
          <w:iCs/>
          <w:color w:val="auto"/>
          <w:kern w:val="0"/>
          <w:szCs w:val="21"/>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20</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 xml:space="preserve">Determination of </w:t>
      </w:r>
      <w:r>
        <w:rPr>
          <w:rFonts w:hint="eastAsia" w:ascii="黑体" w:eastAsia="黑体" w:cs="Arial"/>
          <w:i/>
          <w:iCs/>
          <w:color w:val="auto"/>
          <w:kern w:val="0"/>
          <w:szCs w:val="21"/>
        </w:rPr>
        <w:t>minor amounts of</w:t>
      </w:r>
      <w:r>
        <w:rPr>
          <w:rFonts w:ascii="黑体" w:eastAsia="黑体" w:cs="Arial"/>
          <w:i/>
          <w:iCs/>
          <w:color w:val="auto"/>
          <w:kern w:val="0"/>
          <w:szCs w:val="21"/>
        </w:rPr>
        <w:t xml:space="preserve"> fluorine and chlorine in rare earth oxides</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Ion chromatography</w:t>
      </w:r>
      <w:r>
        <w:rPr>
          <w:rFonts w:hint="eastAsia" w:ascii="黑体" w:eastAsia="黑体" w:cs="Arial"/>
          <w:i/>
          <w:iCs/>
          <w:color w:val="auto"/>
          <w:kern w:val="0"/>
          <w:szCs w:val="21"/>
        </w:rPr>
        <w:t xml:space="preserve"> method;</w:t>
      </w:r>
      <w:r>
        <w:rPr>
          <w:rFonts w:ascii="黑体" w:eastAsia="黑体" w:cs="Arial"/>
          <w:i/>
          <w:iCs/>
          <w:color w:val="auto"/>
          <w:kern w:val="0"/>
          <w:szCs w:val="21"/>
        </w:rPr>
        <w:br w:type="textWrapping"/>
      </w:r>
      <w:r>
        <w:rPr>
          <w:rFonts w:hint="eastAsia" w:ascii="黑体" w:eastAsia="黑体" w:cs="Arial"/>
          <w:color w:val="auto"/>
          <w:kern w:val="0"/>
          <w:szCs w:val="21"/>
        </w:rPr>
        <w:t>—</w:t>
      </w:r>
      <w:r>
        <w:rPr>
          <w:rFonts w:ascii="黑体" w:eastAsia="黑体" w:cs="Arial"/>
          <w:i/>
          <w:iCs/>
          <w:color w:val="auto"/>
          <w:kern w:val="0"/>
          <w:szCs w:val="21"/>
        </w:rPr>
        <w:t>Part 21: Determination of sulfate</w:t>
      </w:r>
      <w:r>
        <w:rPr>
          <w:rFonts w:hint="eastAsia" w:ascii="黑体" w:eastAsia="黑体" w:cs="Arial"/>
          <w:i/>
          <w:iCs/>
          <w:color w:val="auto"/>
          <w:kern w:val="0"/>
          <w:szCs w:val="21"/>
          <w:lang w:val="en-US" w:eastAsia="zh-CN"/>
        </w:rPr>
        <w:t xml:space="preserve"> radical</w:t>
      </w:r>
      <w:r>
        <w:rPr>
          <w:rFonts w:hint="eastAsia" w:ascii="黑体" w:eastAsia="黑体" w:cs="Arial"/>
          <w:i/>
          <w:iCs/>
          <w:color w:val="auto"/>
          <w:kern w:val="0"/>
          <w:szCs w:val="21"/>
        </w:rPr>
        <w:t xml:space="preserve"> </w:t>
      </w:r>
      <w:r>
        <w:rPr>
          <w:rFonts w:ascii="黑体" w:eastAsia="黑体" w:cs="Arial"/>
          <w:i/>
          <w:iCs/>
          <w:color w:val="auto"/>
          <w:kern w:val="0"/>
          <w:szCs w:val="21"/>
        </w:rPr>
        <w:t>content in rare earth oxides</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Barium sulfate turbidimetry.</w:t>
      </w:r>
    </w:p>
    <w:bookmarkEnd w:id="3"/>
    <w:p w14:paraId="0EA875BF">
      <w:pPr>
        <w:rPr>
          <w:rFonts w:hint="eastAsia" w:ascii="黑体" w:eastAsia="黑体" w:cs="Arial"/>
          <w:i w:val="0"/>
          <w:iCs w:val="0"/>
          <w:color w:val="auto"/>
          <w:kern w:val="0"/>
          <w:szCs w:val="21"/>
        </w:rPr>
      </w:pPr>
      <w:r>
        <w:rPr>
          <w:rFonts w:hint="eastAsia" w:ascii="黑体" w:eastAsia="黑体" w:cs="Arial"/>
          <w:color w:val="auto"/>
          <w:kern w:val="0"/>
          <w:szCs w:val="21"/>
        </w:rPr>
        <w:t>This</w:t>
      </w:r>
      <w:r>
        <w:rPr>
          <w:rFonts w:ascii="黑体" w:eastAsia="黑体" w:cs="Arial"/>
          <w:color w:val="auto"/>
          <w:kern w:val="0"/>
          <w:szCs w:val="21"/>
        </w:rPr>
        <w:t xml:space="preserve"> document</w:t>
      </w:r>
      <w:r>
        <w:rPr>
          <w:rFonts w:hint="eastAsia" w:ascii="黑体" w:eastAsia="黑体" w:cs="Arial"/>
          <w:color w:val="auto"/>
          <w:kern w:val="0"/>
          <w:szCs w:val="21"/>
        </w:rPr>
        <w:t xml:space="preserve"> replaces GB/T </w:t>
      </w:r>
      <w:r>
        <w:rPr>
          <w:rFonts w:hint="eastAsia" w:ascii="黑体" w:eastAsia="黑体" w:cs="Arial"/>
          <w:color w:val="auto"/>
          <w:kern w:val="0"/>
          <w:szCs w:val="21"/>
          <w:lang w:eastAsia="zh-CN"/>
        </w:rPr>
        <w:t>12690.13-2003</w:t>
      </w:r>
      <w:r>
        <w:rPr>
          <w:rFonts w:hint="eastAsia" w:ascii="黑体" w:eastAsia="黑体" w:cs="Arial"/>
          <w:color w:val="auto"/>
          <w:kern w:val="0"/>
          <w:szCs w:val="21"/>
        </w:rPr>
        <w:t xml:space="preserve"> </w:t>
      </w:r>
      <w:r>
        <w:rPr>
          <w:rFonts w:hint="eastAsia" w:ascii="黑体" w:eastAsia="黑体" w:cs="Arial"/>
          <w:i/>
          <w:iCs/>
          <w:color w:val="auto"/>
          <w:kern w:val="0"/>
          <w:szCs w:val="21"/>
        </w:rPr>
        <w:t>Chemical analysis methods for non-rare</w:t>
      </w:r>
      <w:r>
        <w:rPr>
          <w:rFonts w:hint="eastAsia" w:ascii="黑体" w:eastAsia="黑体" w:cs="Arial"/>
          <w:i/>
          <w:iCs/>
          <w:color w:val="auto"/>
          <w:kern w:val="0"/>
          <w:szCs w:val="21"/>
          <w:lang w:val="en-US" w:eastAsia="zh-CN"/>
        </w:rPr>
        <w:t xml:space="preserve"> </w:t>
      </w:r>
      <w:r>
        <w:rPr>
          <w:rFonts w:hint="eastAsia" w:ascii="黑体" w:eastAsia="黑体" w:cs="Arial"/>
          <w:i/>
          <w:iCs/>
          <w:color w:val="auto"/>
          <w:kern w:val="0"/>
          <w:szCs w:val="21"/>
        </w:rPr>
        <w:t>earth impurities of rare earth metals and their oxides</w:t>
      </w:r>
      <w:r>
        <w:rPr>
          <w:rFonts w:hint="eastAsia" w:ascii="黑体" w:eastAsia="黑体" w:cs="Arial"/>
          <w:i/>
          <w:iCs/>
          <w:color w:val="auto"/>
          <w:kern w:val="0"/>
          <w:szCs w:val="21"/>
          <w:lang w:val="en-US" w:eastAsia="zh-CN"/>
        </w:rPr>
        <w:t xml:space="preserve"> </w:t>
      </w:r>
      <w:r>
        <w:rPr>
          <w:rFonts w:hint="eastAsia" w:ascii="黑体" w:eastAsia="黑体" w:cs="Arial"/>
          <w:i/>
          <w:iCs/>
          <w:color w:val="auto"/>
          <w:kern w:val="0"/>
          <w:szCs w:val="21"/>
          <w:lang w:eastAsia="zh-CN"/>
        </w:rPr>
        <w:t>—</w:t>
      </w:r>
      <w:r>
        <w:rPr>
          <w:rFonts w:hint="eastAsia" w:ascii="黑体" w:eastAsia="黑体" w:cs="Arial"/>
          <w:i/>
          <w:iCs/>
          <w:color w:val="auto"/>
          <w:kern w:val="0"/>
          <w:szCs w:val="21"/>
          <w:lang w:val="en-US" w:eastAsia="zh-CN"/>
        </w:rPr>
        <w:t xml:space="preserve"> </w:t>
      </w:r>
      <w:r>
        <w:rPr>
          <w:rFonts w:hint="eastAsia" w:ascii="黑体" w:eastAsia="黑体" w:cs="Arial"/>
          <w:i/>
          <w:iCs/>
          <w:color w:val="auto"/>
          <w:kern w:val="0"/>
          <w:szCs w:val="21"/>
        </w:rPr>
        <w:t>Determination of molybdenum and tungsten content</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hint="eastAsia" w:ascii="黑体" w:eastAsia="黑体" w:cs="Arial"/>
          <w:i/>
          <w:iCs/>
          <w:color w:val="auto"/>
          <w:kern w:val="0"/>
          <w:szCs w:val="21"/>
        </w:rPr>
        <w:t>Inductively coupled plasma atomic emission spectrographic method and inductively coupled plasma mass spectrum</w:t>
      </w:r>
      <w:r>
        <w:rPr>
          <w:rFonts w:hint="eastAsia" w:ascii="黑体" w:eastAsia="黑体" w:cs="Arial"/>
          <w:color w:val="auto"/>
          <w:kern w:val="0"/>
          <w:szCs w:val="21"/>
          <w:lang w:val="en-US" w:eastAsia="zh-CN"/>
        </w:rPr>
        <w:t>.</w:t>
      </w:r>
      <w:r>
        <w:rPr>
          <w:rFonts w:hint="eastAsia" w:ascii="黑体" w:eastAsia="黑体" w:cs="Arial"/>
          <w:i/>
          <w:iCs/>
          <w:color w:val="auto"/>
          <w:kern w:val="0"/>
          <w:szCs w:val="21"/>
        </w:rPr>
        <w:t xml:space="preserve"> </w:t>
      </w:r>
      <w:r>
        <w:rPr>
          <w:rFonts w:hint="eastAsia" w:ascii="黑体" w:eastAsia="黑体" w:cs="Arial"/>
          <w:i w:val="0"/>
          <w:iCs w:val="0"/>
          <w:color w:val="auto"/>
          <w:kern w:val="0"/>
          <w:szCs w:val="21"/>
        </w:rPr>
        <w:t>In addition to structural adjustments and editorial changes, the following main technical changes have been made with respect to GB/T 12690.13—2003:</w:t>
      </w:r>
    </w:p>
    <w:p w14:paraId="77F62131">
      <w:pPr>
        <w:rPr>
          <w:rFonts w:hint="eastAsia" w:ascii="黑体" w:hAnsi="黑体" w:eastAsia="黑体" w:cs="黑体"/>
          <w:color w:val="auto"/>
          <w:kern w:val="2"/>
          <w:sz w:val="21"/>
          <w:szCs w:val="21"/>
          <w:lang w:val="en-US" w:eastAsia="zh-CN" w:bidi="ar-SA"/>
        </w:rPr>
      </w:pPr>
      <w:r>
        <w:rPr>
          <w:rFonts w:hint="eastAsia" w:ascii="黑体" w:eastAsia="黑体" w:cs="Arial"/>
          <w:color w:val="auto"/>
          <w:kern w:val="0"/>
          <w:szCs w:val="21"/>
          <w:lang w:val="en-US" w:eastAsia="zh-CN"/>
        </w:rPr>
        <w:t>a</w:t>
      </w:r>
      <w:r>
        <w:rPr>
          <w:rFonts w:hint="eastAsia" w:ascii="黑体" w:eastAsia="黑体" w:cs="Arial"/>
          <w:color w:val="auto"/>
          <w:kern w:val="0"/>
          <w:szCs w:val="21"/>
        </w:rPr>
        <w:t xml:space="preserve">) </w:t>
      </w:r>
      <w:r>
        <w:rPr>
          <w:rFonts w:hint="eastAsia" w:ascii="黑体" w:hAnsi="黑体" w:eastAsia="黑体" w:cs="黑体"/>
          <w:color w:val="auto"/>
          <w:kern w:val="2"/>
          <w:sz w:val="21"/>
          <w:szCs w:val="21"/>
          <w:lang w:val="en-US" w:eastAsia="zh-CN" w:bidi="ar-SA"/>
        </w:rPr>
        <w:t>Changed the scope of application and determination range, and added the provision for arbitration method (see Clause 1; Clause 1 of the 2003 edition);</w:t>
      </w:r>
    </w:p>
    <w:p w14:paraId="0CF017A1">
      <w:pPr>
        <w:rPr>
          <w:rFonts w:hint="eastAsia" w:ascii="黑体" w:hAnsi="黑体" w:eastAsia="黑体" w:cs="黑体"/>
          <w:color w:val="auto"/>
          <w:kern w:val="2"/>
          <w:sz w:val="21"/>
          <w:szCs w:val="21"/>
          <w:lang w:val="en-US" w:eastAsia="zh-CN" w:bidi="ar-SA"/>
        </w:rPr>
      </w:pPr>
      <w:r>
        <w:rPr>
          <w:rFonts w:hint="eastAsia" w:ascii="黑体" w:eastAsia="黑体" w:cs="Arial"/>
          <w:color w:val="auto"/>
          <w:kern w:val="0"/>
          <w:szCs w:val="21"/>
        </w:rPr>
        <w:t>b)</w:t>
      </w:r>
      <w:r>
        <w:rPr>
          <w:rFonts w:hint="eastAsia" w:ascii="黑体" w:eastAsia="黑体" w:cs="Arial"/>
          <w:color w:val="auto"/>
          <w:kern w:val="0"/>
          <w:szCs w:val="21"/>
          <w:lang w:val="en-US" w:eastAsia="zh-CN"/>
        </w:rPr>
        <w:t xml:space="preserve"> </w:t>
      </w:r>
      <w:r>
        <w:rPr>
          <w:rFonts w:hint="eastAsia" w:ascii="黑体" w:hAnsi="黑体" w:eastAsia="黑体" w:cs="黑体"/>
          <w:color w:val="auto"/>
          <w:kern w:val="2"/>
          <w:sz w:val="21"/>
          <w:szCs w:val="21"/>
          <w:lang w:val="en-US" w:eastAsia="zh-CN" w:bidi="ar-SA"/>
        </w:rPr>
        <w:t>Changed the principle of Method 1 and Method 2 (see 4.1 and 5.1; Clause 2 and Clause 11 of the 2003 edition);</w:t>
      </w:r>
    </w:p>
    <w:p w14:paraId="4254ED98">
      <w:pPr>
        <w:rPr>
          <w:rFonts w:hint="default" w:ascii="黑体" w:eastAsia="黑体" w:cs="Arial"/>
          <w:color w:val="auto"/>
          <w:kern w:val="0"/>
          <w:szCs w:val="21"/>
          <w:lang w:val="en-US" w:eastAsia="zh-CN"/>
        </w:rPr>
      </w:pPr>
      <w:r>
        <w:rPr>
          <w:rFonts w:hint="eastAsia" w:ascii="黑体" w:eastAsia="黑体" w:cs="Arial"/>
          <w:color w:val="auto"/>
          <w:kern w:val="0"/>
          <w:szCs w:val="21"/>
          <w:lang w:val="en-US" w:eastAsia="zh-CN"/>
        </w:rPr>
        <w:t xml:space="preserve">c) Added specifications for reagents and water used in the analysis </w:t>
      </w:r>
      <w:r>
        <w:rPr>
          <w:rFonts w:hint="eastAsia" w:ascii="黑体" w:eastAsia="黑体" w:cs="Arial"/>
          <w:color w:val="auto"/>
          <w:kern w:val="0"/>
          <w:szCs w:val="21"/>
        </w:rPr>
        <w:t>(see 4.2 and 5.2);</w:t>
      </w:r>
    </w:p>
    <w:p w14:paraId="5138D26C">
      <w:pPr>
        <w:rPr>
          <w:rFonts w:hint="eastAsia" w:ascii="黑体" w:eastAsia="黑体" w:cs="Arial"/>
          <w:color w:val="auto"/>
          <w:kern w:val="0"/>
          <w:szCs w:val="21"/>
        </w:rPr>
      </w:pPr>
      <w:r>
        <w:rPr>
          <w:rFonts w:hint="eastAsia" w:ascii="黑体" w:eastAsia="黑体" w:cs="Arial"/>
          <w:color w:val="auto"/>
          <w:kern w:val="0"/>
          <w:szCs w:val="21"/>
        </w:rPr>
        <w:t xml:space="preserve">d) </w:t>
      </w:r>
      <w:r>
        <w:rPr>
          <w:rFonts w:hint="eastAsia" w:ascii="黑体" w:eastAsia="黑体" w:cs="Arial"/>
          <w:color w:val="auto"/>
          <w:kern w:val="0"/>
          <w:szCs w:val="21"/>
          <w:lang w:val="en-US" w:eastAsia="zh-CN"/>
        </w:rPr>
        <w:t>A</w:t>
      </w:r>
      <w:r>
        <w:rPr>
          <w:rFonts w:hint="eastAsia" w:ascii="黑体" w:eastAsia="黑体" w:cs="Arial"/>
          <w:color w:val="auto"/>
          <w:kern w:val="0"/>
          <w:szCs w:val="21"/>
        </w:rPr>
        <w:t>dded</w:t>
      </w:r>
      <w:r>
        <w:rPr>
          <w:rFonts w:hint="eastAsia" w:ascii="黑体" w:eastAsia="黑体" w:cs="Arial"/>
          <w:color w:val="auto"/>
          <w:kern w:val="0"/>
          <w:szCs w:val="21"/>
          <w:lang w:val="en-US" w:eastAsia="zh-CN"/>
        </w:rPr>
        <w:t xml:space="preserve"> </w:t>
      </w:r>
      <w:r>
        <w:rPr>
          <w:rFonts w:hint="eastAsia" w:ascii="黑体" w:eastAsia="黑体" w:cs="Arial"/>
          <w:color w:val="auto"/>
          <w:kern w:val="0"/>
          <w:szCs w:val="21"/>
        </w:rPr>
        <w:t>sodium hydroxide, nitric acid (1+1) and ammonia solution (1+3)</w:t>
      </w:r>
      <w:r>
        <w:rPr>
          <w:rFonts w:hint="eastAsia" w:ascii="黑体" w:eastAsia="黑体" w:cs="Arial"/>
          <w:color w:val="auto"/>
          <w:kern w:val="0"/>
          <w:szCs w:val="21"/>
          <w:lang w:val="en-US" w:eastAsia="zh-CN"/>
        </w:rPr>
        <w:t xml:space="preserve"> as </w:t>
      </w:r>
      <w:r>
        <w:rPr>
          <w:rFonts w:hint="eastAsia" w:ascii="黑体" w:eastAsia="黑体" w:cs="Arial"/>
          <w:color w:val="auto"/>
          <w:kern w:val="0"/>
          <w:szCs w:val="21"/>
        </w:rPr>
        <w:t>reagents for Method 1 and Method 2 (see 4.2.1, 4.2.2 and 4.2.5);</w:t>
      </w:r>
    </w:p>
    <w:p w14:paraId="5858BE97">
      <w:pPr>
        <w:rPr>
          <w:rFonts w:hint="eastAsia" w:ascii="黑体" w:eastAsia="黑体" w:cs="Arial"/>
          <w:color w:val="auto"/>
          <w:kern w:val="0"/>
          <w:szCs w:val="21"/>
        </w:rPr>
      </w:pPr>
      <w:r>
        <w:rPr>
          <w:rFonts w:hint="eastAsia" w:ascii="黑体" w:eastAsia="黑体" w:cs="Arial"/>
          <w:color w:val="auto"/>
          <w:kern w:val="0"/>
          <w:szCs w:val="21"/>
        </w:rPr>
        <w:t xml:space="preserve">e) </w:t>
      </w:r>
      <w:r>
        <w:rPr>
          <w:rFonts w:hint="eastAsia" w:ascii="黑体" w:hAnsi="黑体" w:eastAsia="黑体" w:cs="黑体"/>
          <w:color w:val="auto"/>
          <w:kern w:val="2"/>
          <w:sz w:val="21"/>
          <w:szCs w:val="21"/>
          <w:lang w:val="en-US" w:eastAsia="zh-CN" w:bidi="ar-SA"/>
        </w:rPr>
        <w:t xml:space="preserve">Changed </w:t>
      </w:r>
      <w:r>
        <w:rPr>
          <w:rFonts w:hint="eastAsia" w:ascii="黑体" w:eastAsia="黑体" w:cs="Arial"/>
          <w:color w:val="auto"/>
          <w:kern w:val="0"/>
          <w:szCs w:val="21"/>
        </w:rPr>
        <w:t>the specific requirements for apparatus in Method 1 and Method 2</w:t>
      </w:r>
      <w:r>
        <w:rPr>
          <w:rFonts w:hint="eastAsia" w:ascii="黑体" w:eastAsia="黑体" w:cs="Arial"/>
          <w:color w:val="auto"/>
          <w:kern w:val="0"/>
          <w:szCs w:val="21"/>
          <w:lang w:val="en-US" w:eastAsia="zh-CN"/>
        </w:rPr>
        <w:t xml:space="preserve"> </w:t>
      </w:r>
      <w:r>
        <w:rPr>
          <w:rFonts w:hint="eastAsia" w:ascii="黑体" w:eastAsia="黑体" w:cs="Arial"/>
          <w:color w:val="auto"/>
          <w:kern w:val="0"/>
          <w:szCs w:val="21"/>
        </w:rPr>
        <w:t>(see 4.3 and 5.3; Chapter 4 and Chapter 13 of the 2003 edition);</w:t>
      </w:r>
    </w:p>
    <w:p w14:paraId="09EBC07A">
      <w:pPr>
        <w:rPr>
          <w:rFonts w:hint="eastAsia" w:ascii="黑体" w:eastAsia="黑体" w:cs="Arial"/>
          <w:color w:val="auto"/>
          <w:kern w:val="0"/>
          <w:szCs w:val="21"/>
        </w:rPr>
      </w:pPr>
      <w:r>
        <w:rPr>
          <w:rFonts w:hint="eastAsia" w:ascii="黑体" w:eastAsia="黑体" w:cs="Arial"/>
          <w:color w:val="auto"/>
          <w:kern w:val="0"/>
          <w:szCs w:val="21"/>
        </w:rPr>
        <w:t xml:space="preserve">f) </w:t>
      </w:r>
      <w:r>
        <w:rPr>
          <w:rFonts w:hint="eastAsia" w:ascii="黑体" w:hAnsi="黑体" w:eastAsia="黑体" w:cs="黑体"/>
          <w:color w:val="auto"/>
          <w:kern w:val="2"/>
          <w:sz w:val="21"/>
          <w:szCs w:val="21"/>
          <w:lang w:val="en-US" w:eastAsia="zh-CN" w:bidi="ar-SA"/>
        </w:rPr>
        <w:t xml:space="preserve">Changed </w:t>
      </w:r>
      <w:r>
        <w:rPr>
          <w:rFonts w:hint="eastAsia" w:ascii="黑体" w:eastAsia="黑体" w:cs="Arial"/>
          <w:color w:val="auto"/>
          <w:kern w:val="0"/>
          <w:szCs w:val="21"/>
        </w:rPr>
        <w:t>the recommended analytical lines for Method 1</w:t>
      </w:r>
      <w:r>
        <w:rPr>
          <w:rFonts w:hint="eastAsia" w:ascii="黑体" w:eastAsia="黑体" w:cs="Arial"/>
          <w:color w:val="auto"/>
          <w:kern w:val="0"/>
          <w:szCs w:val="21"/>
          <w:lang w:val="en-US" w:eastAsia="zh-CN"/>
        </w:rPr>
        <w:t xml:space="preserve"> </w:t>
      </w:r>
      <w:r>
        <w:rPr>
          <w:rFonts w:hint="eastAsia" w:ascii="黑体" w:eastAsia="黑体" w:cs="Arial"/>
          <w:color w:val="auto"/>
          <w:kern w:val="0"/>
          <w:szCs w:val="21"/>
        </w:rPr>
        <w:t>(see Table 1; 6.3.2 of the 2003 edition);</w:t>
      </w:r>
    </w:p>
    <w:p w14:paraId="4632FFEC">
      <w:pPr>
        <w:rPr>
          <w:rFonts w:hint="eastAsia" w:ascii="黑体" w:eastAsia="黑体" w:cs="Arial"/>
          <w:color w:val="auto"/>
          <w:kern w:val="0"/>
          <w:szCs w:val="21"/>
        </w:rPr>
      </w:pPr>
      <w:r>
        <w:rPr>
          <w:rFonts w:hint="eastAsia" w:ascii="黑体" w:eastAsia="黑体" w:cs="Arial"/>
          <w:color w:val="auto"/>
          <w:kern w:val="0"/>
          <w:szCs w:val="21"/>
        </w:rPr>
        <w:t xml:space="preserve">g) </w:t>
      </w:r>
      <w:r>
        <w:rPr>
          <w:rFonts w:hint="eastAsia" w:ascii="黑体" w:hAnsi="黑体" w:eastAsia="黑体" w:cs="黑体"/>
          <w:color w:val="auto"/>
          <w:kern w:val="2"/>
          <w:sz w:val="21"/>
          <w:szCs w:val="21"/>
          <w:lang w:val="en-US" w:eastAsia="zh-CN" w:bidi="ar-SA"/>
        </w:rPr>
        <w:t>Changed</w:t>
      </w:r>
      <w:r>
        <w:rPr>
          <w:rFonts w:hint="eastAsia" w:ascii="黑体" w:eastAsia="黑体" w:cs="Arial"/>
          <w:color w:val="auto"/>
          <w:kern w:val="0"/>
          <w:szCs w:val="21"/>
        </w:rPr>
        <w:t xml:space="preserve"> the sample treatment procedures for Method 1 and Method 2</w:t>
      </w:r>
      <w:r>
        <w:rPr>
          <w:rFonts w:hint="eastAsia" w:ascii="黑体" w:eastAsia="黑体" w:cs="Arial"/>
          <w:color w:val="auto"/>
          <w:kern w:val="0"/>
          <w:szCs w:val="21"/>
          <w:lang w:val="en-US" w:eastAsia="zh-CN"/>
        </w:rPr>
        <w:t xml:space="preserve"> </w:t>
      </w:r>
      <w:r>
        <w:rPr>
          <w:rFonts w:hint="eastAsia" w:ascii="黑体" w:eastAsia="黑体" w:cs="Arial"/>
          <w:color w:val="auto"/>
          <w:kern w:val="0"/>
          <w:szCs w:val="21"/>
        </w:rPr>
        <w:t>(see 4.4 and 5.4; Chapter 5 and Chapter 14 of the 2003 edition);</w:t>
      </w:r>
    </w:p>
    <w:p w14:paraId="0808E5A1">
      <w:pPr>
        <w:rPr>
          <w:rFonts w:hint="eastAsia" w:ascii="黑体" w:eastAsia="黑体" w:cs="Arial"/>
          <w:color w:val="auto"/>
          <w:kern w:val="0"/>
          <w:szCs w:val="21"/>
        </w:rPr>
      </w:pPr>
      <w:r>
        <w:rPr>
          <w:rFonts w:hint="eastAsia" w:ascii="黑体" w:eastAsia="黑体" w:cs="Arial"/>
          <w:color w:val="auto"/>
          <w:kern w:val="0"/>
          <w:szCs w:val="21"/>
        </w:rPr>
        <w:t xml:space="preserve">h) </w:t>
      </w:r>
      <w:r>
        <w:rPr>
          <w:rFonts w:hint="eastAsia" w:ascii="黑体" w:hAnsi="黑体" w:eastAsia="黑体" w:cs="黑体"/>
          <w:color w:val="auto"/>
          <w:kern w:val="2"/>
          <w:sz w:val="21"/>
          <w:szCs w:val="21"/>
          <w:lang w:val="en-US" w:eastAsia="zh-CN" w:bidi="ar-SA"/>
        </w:rPr>
        <w:t>Changed</w:t>
      </w:r>
      <w:r>
        <w:rPr>
          <w:rFonts w:hint="eastAsia" w:ascii="黑体" w:eastAsia="黑体" w:cs="Arial"/>
          <w:color w:val="auto"/>
          <w:kern w:val="0"/>
          <w:szCs w:val="21"/>
        </w:rPr>
        <w:t xml:space="preserve"> the preparation method of analytical test solutions for Method 1 and Method 2</w:t>
      </w:r>
      <w:r>
        <w:rPr>
          <w:rFonts w:hint="eastAsia" w:ascii="黑体" w:eastAsia="黑体" w:cs="Arial"/>
          <w:color w:val="auto"/>
          <w:kern w:val="0"/>
          <w:szCs w:val="21"/>
          <w:lang w:val="en-US" w:eastAsia="zh-CN"/>
        </w:rPr>
        <w:t xml:space="preserve"> </w:t>
      </w:r>
      <w:r>
        <w:rPr>
          <w:rFonts w:hint="eastAsia" w:ascii="黑体" w:eastAsia="黑体" w:cs="Arial"/>
          <w:color w:val="auto"/>
          <w:kern w:val="0"/>
          <w:szCs w:val="21"/>
        </w:rPr>
        <w:t>(see 4.5.4 and 5.5.4; 6.1 and 15.1 of the 2003 edition);</w:t>
      </w:r>
    </w:p>
    <w:p w14:paraId="55D2FE6A">
      <w:pPr>
        <w:rPr>
          <w:rFonts w:hint="eastAsia" w:ascii="黑体" w:eastAsia="黑体" w:cs="Arial"/>
          <w:color w:val="auto"/>
          <w:kern w:val="0"/>
          <w:szCs w:val="21"/>
        </w:rPr>
      </w:pPr>
      <w:r>
        <w:rPr>
          <w:rFonts w:hint="eastAsia" w:ascii="黑体" w:eastAsia="黑体" w:cs="Arial"/>
          <w:color w:val="auto"/>
          <w:kern w:val="0"/>
          <w:szCs w:val="21"/>
        </w:rPr>
        <w:t xml:space="preserve">i) </w:t>
      </w:r>
      <w:r>
        <w:rPr>
          <w:rFonts w:hint="eastAsia" w:ascii="黑体" w:hAnsi="黑体" w:eastAsia="黑体" w:cs="黑体"/>
          <w:color w:val="auto"/>
          <w:kern w:val="2"/>
          <w:sz w:val="21"/>
          <w:szCs w:val="21"/>
          <w:lang w:val="en-US" w:eastAsia="zh-CN" w:bidi="ar-SA"/>
        </w:rPr>
        <w:t>Changed</w:t>
      </w:r>
      <w:r>
        <w:rPr>
          <w:rFonts w:hint="eastAsia" w:ascii="黑体" w:eastAsia="黑体" w:cs="Arial"/>
          <w:color w:val="auto"/>
          <w:kern w:val="0"/>
          <w:szCs w:val="21"/>
        </w:rPr>
        <w:t xml:space="preserve"> the preparation procedure for </w:t>
      </w:r>
      <w:r>
        <w:rPr>
          <w:rFonts w:hint="eastAsia" w:ascii="黑体" w:eastAsia="黑体" w:cs="Arial"/>
          <w:color w:val="auto"/>
          <w:kern w:val="0"/>
          <w:szCs w:val="21"/>
          <w:lang w:val="en-US" w:eastAsia="zh-CN"/>
        </w:rPr>
        <w:t xml:space="preserve">the </w:t>
      </w:r>
      <w:r>
        <w:rPr>
          <w:rFonts w:hint="eastAsia" w:ascii="黑体" w:eastAsia="黑体" w:cs="Arial"/>
          <w:color w:val="auto"/>
          <w:kern w:val="0"/>
          <w:szCs w:val="21"/>
        </w:rPr>
        <w:t>standard series</w:t>
      </w:r>
      <w:r>
        <w:rPr>
          <w:rFonts w:hint="eastAsia" w:ascii="黑体" w:eastAsia="黑体" w:cs="Arial"/>
          <w:color w:val="auto"/>
          <w:kern w:val="0"/>
          <w:szCs w:val="21"/>
          <w:lang w:val="en-US" w:eastAsia="zh-CN"/>
        </w:rPr>
        <w:t xml:space="preserve"> </w:t>
      </w:r>
      <w:r>
        <w:rPr>
          <w:rFonts w:hint="eastAsia" w:ascii="黑体" w:eastAsia="黑体" w:cs="Arial"/>
          <w:color w:val="auto"/>
          <w:kern w:val="0"/>
          <w:szCs w:val="21"/>
        </w:rPr>
        <w:t>solutions for Method 1 and Method 2 (see 4.5.5 and 5.5.5; 6.2 of the 2003 edition);</w:t>
      </w:r>
    </w:p>
    <w:p w14:paraId="7829B2FA">
      <w:pPr>
        <w:rPr>
          <w:rFonts w:hint="eastAsia" w:ascii="黑体" w:eastAsia="黑体" w:cs="Arial"/>
          <w:color w:val="auto"/>
          <w:kern w:val="0"/>
          <w:szCs w:val="21"/>
        </w:rPr>
      </w:pPr>
      <w:r>
        <w:rPr>
          <w:rFonts w:hint="eastAsia" w:ascii="黑体" w:eastAsia="黑体" w:cs="Arial"/>
          <w:color w:val="auto"/>
          <w:kern w:val="0"/>
          <w:szCs w:val="21"/>
        </w:rPr>
        <w:t xml:space="preserve">j) </w:t>
      </w:r>
      <w:r>
        <w:rPr>
          <w:rFonts w:hint="eastAsia" w:ascii="黑体" w:eastAsia="黑体" w:cs="Arial"/>
          <w:color w:val="auto"/>
          <w:kern w:val="0"/>
          <w:szCs w:val="21"/>
          <w:lang w:val="en-US" w:eastAsia="zh-CN"/>
        </w:rPr>
        <w:t xml:space="preserve">Added </w:t>
      </w:r>
      <w:r>
        <w:rPr>
          <w:rFonts w:hint="eastAsia" w:ascii="黑体" w:eastAsia="黑体" w:cs="Arial"/>
          <w:color w:val="auto"/>
          <w:kern w:val="0"/>
          <w:szCs w:val="21"/>
        </w:rPr>
        <w:t>the procedure for the establishment of calibration curve and the measurement of blank test solutions for Method 1 and Method 2</w:t>
      </w:r>
      <w:r>
        <w:rPr>
          <w:rFonts w:hint="eastAsia" w:ascii="黑体" w:eastAsia="黑体" w:cs="Arial"/>
          <w:color w:val="auto"/>
          <w:kern w:val="0"/>
          <w:szCs w:val="21"/>
          <w:lang w:val="en-US" w:eastAsia="zh-CN"/>
        </w:rPr>
        <w:t xml:space="preserve"> </w:t>
      </w:r>
      <w:r>
        <w:rPr>
          <w:rFonts w:hint="eastAsia" w:ascii="黑体" w:eastAsia="黑体" w:cs="Arial"/>
          <w:color w:val="auto"/>
          <w:kern w:val="0"/>
          <w:szCs w:val="21"/>
        </w:rPr>
        <w:t>(see 4.5.6.1, 4.5.6.2, 5.5.6.1 and 5.5.6.2);</w:t>
      </w:r>
    </w:p>
    <w:p w14:paraId="1A25B974">
      <w:pPr>
        <w:rPr>
          <w:rFonts w:hint="eastAsia" w:ascii="黑体" w:eastAsia="黑体" w:cs="Arial"/>
          <w:color w:val="auto"/>
          <w:kern w:val="0"/>
          <w:szCs w:val="21"/>
        </w:rPr>
      </w:pPr>
      <w:r>
        <w:rPr>
          <w:rFonts w:hint="eastAsia" w:ascii="黑体" w:eastAsia="黑体" w:cs="Arial"/>
          <w:color w:val="auto"/>
          <w:kern w:val="0"/>
          <w:szCs w:val="21"/>
        </w:rPr>
        <w:t xml:space="preserve">k) </w:t>
      </w:r>
      <w:r>
        <w:rPr>
          <w:rFonts w:hint="eastAsia" w:ascii="黑体" w:hAnsi="黑体" w:eastAsia="黑体" w:cs="黑体"/>
          <w:color w:val="auto"/>
          <w:kern w:val="2"/>
          <w:sz w:val="21"/>
          <w:szCs w:val="21"/>
          <w:lang w:val="en-US" w:eastAsia="zh-CN" w:bidi="ar-SA"/>
        </w:rPr>
        <w:t>Changed</w:t>
      </w:r>
      <w:r>
        <w:rPr>
          <w:rFonts w:hint="eastAsia" w:ascii="黑体" w:eastAsia="黑体" w:cs="Arial"/>
          <w:color w:val="auto"/>
          <w:kern w:val="0"/>
          <w:szCs w:val="21"/>
        </w:rPr>
        <w:t xml:space="preserve"> the calculation formula for the test data processing for Method 1 and Method 2</w:t>
      </w:r>
      <w:r>
        <w:rPr>
          <w:rFonts w:hint="eastAsia" w:ascii="黑体" w:eastAsia="黑体" w:cs="Arial"/>
          <w:color w:val="auto"/>
          <w:kern w:val="0"/>
          <w:szCs w:val="21"/>
          <w:lang w:val="en-US" w:eastAsia="zh-CN"/>
        </w:rPr>
        <w:t xml:space="preserve"> </w:t>
      </w:r>
      <w:r>
        <w:rPr>
          <w:rFonts w:hint="eastAsia" w:ascii="黑体" w:eastAsia="黑体" w:cs="Arial"/>
          <w:color w:val="auto"/>
          <w:kern w:val="0"/>
          <w:szCs w:val="21"/>
        </w:rPr>
        <w:t>(see 4.6 and 5.6; Chapter 7 and Chapter 16 of the 2003 edition);</w:t>
      </w:r>
    </w:p>
    <w:p w14:paraId="372883A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eastAsia="黑体" w:cs="Arial"/>
          <w:color w:val="auto"/>
          <w:kern w:val="0"/>
          <w:szCs w:val="21"/>
        </w:rPr>
      </w:pPr>
      <w:r>
        <w:rPr>
          <w:rFonts w:hint="eastAsia" w:ascii="黑体" w:eastAsia="黑体" w:cs="Arial"/>
          <w:color w:val="auto"/>
          <w:kern w:val="0"/>
          <w:szCs w:val="21"/>
        </w:rPr>
        <w:t>l) Changed the "allowable deviation" of precision in the Method 1 and Method 2 to "reproducibility"</w:t>
      </w:r>
      <w:r>
        <w:rPr>
          <w:rFonts w:hint="eastAsia" w:ascii="黑体" w:eastAsia="黑体" w:cs="Arial"/>
          <w:color w:val="auto"/>
          <w:kern w:val="0"/>
          <w:szCs w:val="21"/>
          <w:lang w:val="en-US" w:eastAsia="zh-CN"/>
        </w:rPr>
        <w:t xml:space="preserve"> </w:t>
      </w:r>
      <w:r>
        <w:rPr>
          <w:rFonts w:hint="eastAsia" w:ascii="黑体" w:eastAsia="黑体" w:cs="Arial"/>
          <w:color w:val="auto"/>
          <w:kern w:val="0"/>
          <w:szCs w:val="21"/>
        </w:rPr>
        <w:t>(see 4.7 and 5.7; Chapter 8 and Chapter 17 of the 2003 edition);</w:t>
      </w:r>
    </w:p>
    <w:p w14:paraId="26602BE7">
      <w:pPr>
        <w:rPr>
          <w:rFonts w:hint="eastAsia" w:ascii="黑体" w:eastAsia="黑体" w:cs="Arial"/>
          <w:color w:val="auto"/>
          <w:kern w:val="0"/>
          <w:szCs w:val="21"/>
        </w:rPr>
      </w:pPr>
      <w:r>
        <w:rPr>
          <w:rFonts w:hint="eastAsia" w:ascii="黑体" w:eastAsia="黑体" w:cs="Arial"/>
          <w:color w:val="auto"/>
          <w:kern w:val="0"/>
          <w:szCs w:val="21"/>
        </w:rPr>
        <w:t xml:space="preserve">m) </w:t>
      </w:r>
      <w:r>
        <w:rPr>
          <w:rFonts w:hint="eastAsia" w:ascii="黑体" w:eastAsia="黑体" w:cs="Arial"/>
          <w:color w:val="auto"/>
          <w:kern w:val="0"/>
          <w:szCs w:val="21"/>
          <w:lang w:val="en-US" w:eastAsia="zh-CN"/>
        </w:rPr>
        <w:t>D</w:t>
      </w:r>
      <w:r>
        <w:rPr>
          <w:rFonts w:hint="eastAsia" w:ascii="黑体" w:eastAsia="黑体" w:cs="Arial"/>
          <w:color w:val="auto"/>
          <w:kern w:val="0"/>
          <w:szCs w:val="21"/>
        </w:rPr>
        <w:t>eleted</w:t>
      </w:r>
      <w:r>
        <w:rPr>
          <w:rFonts w:hint="eastAsia" w:ascii="黑体" w:eastAsia="黑体" w:cs="Arial"/>
          <w:color w:val="auto"/>
          <w:kern w:val="0"/>
          <w:szCs w:val="21"/>
          <w:lang w:val="en-US" w:eastAsia="zh-CN"/>
        </w:rPr>
        <w:t xml:space="preserve"> </w:t>
      </w:r>
      <w:r>
        <w:rPr>
          <w:rFonts w:hint="eastAsia" w:ascii="黑体" w:eastAsia="黑体" w:cs="Arial"/>
          <w:color w:val="auto"/>
          <w:kern w:val="0"/>
          <w:szCs w:val="21"/>
        </w:rPr>
        <w:t>the determination conditions for Method 1 and Method 2</w:t>
      </w:r>
      <w:r>
        <w:rPr>
          <w:rFonts w:hint="eastAsia" w:ascii="黑体" w:eastAsia="黑体" w:cs="Arial"/>
          <w:color w:val="auto"/>
          <w:kern w:val="0"/>
          <w:szCs w:val="21"/>
          <w:lang w:val="en-US" w:eastAsia="zh-CN"/>
        </w:rPr>
        <w:t xml:space="preserve"> </w:t>
      </w:r>
      <w:r>
        <w:rPr>
          <w:rFonts w:hint="eastAsia" w:ascii="黑体" w:eastAsia="黑体" w:cs="Arial"/>
          <w:color w:val="auto"/>
          <w:kern w:val="0"/>
          <w:szCs w:val="21"/>
        </w:rPr>
        <w:t>(see 6.3.1 and 15.3.1 of the 2003 edition);</w:t>
      </w:r>
    </w:p>
    <w:p w14:paraId="27D51C8F">
      <w:pPr>
        <w:rPr>
          <w:rFonts w:hint="eastAsia" w:ascii="黑体" w:eastAsia="黑体" w:cs="Arial"/>
          <w:color w:val="auto"/>
          <w:kern w:val="0"/>
          <w:szCs w:val="21"/>
        </w:rPr>
      </w:pPr>
      <w:r>
        <w:rPr>
          <w:rFonts w:hint="eastAsia" w:ascii="黑体" w:eastAsia="黑体" w:cs="Arial"/>
          <w:color w:val="auto"/>
          <w:kern w:val="0"/>
          <w:szCs w:val="21"/>
        </w:rPr>
        <w:t>n) Changed the measurement isotopes and the internal standard for determination in Method 2 (see Table 4; 15.3.2 of the 2003 edition).</w:t>
      </w:r>
    </w:p>
    <w:p w14:paraId="025FC4B1">
      <w:pPr>
        <w:rPr>
          <w:rFonts w:hint="eastAsia" w:ascii="黑体" w:eastAsia="黑体" w:cs="Arial"/>
          <w:color w:val="auto"/>
          <w:kern w:val="0"/>
          <w:szCs w:val="21"/>
        </w:rPr>
      </w:pPr>
    </w:p>
    <w:p w14:paraId="09ACA32D">
      <w:pPr>
        <w:rPr>
          <w:rFonts w:hint="eastAsia" w:ascii="黑体" w:eastAsia="黑体" w:cs="Arial"/>
          <w:color w:val="auto"/>
          <w:kern w:val="0"/>
          <w:szCs w:val="21"/>
        </w:rPr>
      </w:pPr>
      <w:r>
        <w:rPr>
          <w:rFonts w:hint="eastAsia" w:ascii="黑体" w:eastAsia="黑体" w:cs="Arial"/>
          <w:color w:val="auto"/>
          <w:kern w:val="0"/>
          <w:szCs w:val="21"/>
        </w:rPr>
        <w:t>Attention is drawn to the possibility that some of the elements of this document may be the subject of patent rights. The issuing body of this document shall not be held responsible for identifying any or all such patent rights.</w:t>
      </w:r>
    </w:p>
    <w:p w14:paraId="387FC103">
      <w:pPr>
        <w:rPr>
          <w:rFonts w:hint="eastAsia" w:ascii="黑体" w:hAnsi="黑体" w:eastAsia="黑体" w:cs="黑体"/>
          <w:b/>
          <w:bCs/>
          <w:color w:val="auto"/>
          <w:kern w:val="0"/>
          <w:szCs w:val="21"/>
        </w:rPr>
      </w:pPr>
      <w:r>
        <w:rPr>
          <w:rFonts w:hint="eastAsia" w:ascii="黑体" w:hAnsi="黑体" w:eastAsia="黑体" w:cs="黑体"/>
          <w:color w:val="auto"/>
          <w:szCs w:val="21"/>
        </w:rPr>
        <w:t>This document was proposed and prepared by SAC/TC 229 (China Rare Earth Standardization Technical Committee).</w:t>
      </w:r>
    </w:p>
    <w:p w14:paraId="644EA720">
      <w:pPr>
        <w:rPr>
          <w:rFonts w:hint="eastAsia" w:ascii="黑体" w:eastAsia="黑体" w:cs="Arial"/>
          <w:color w:val="auto"/>
          <w:kern w:val="0"/>
          <w:szCs w:val="21"/>
        </w:rPr>
      </w:pPr>
      <w:r>
        <w:rPr>
          <w:rFonts w:hint="eastAsia" w:ascii="黑体" w:eastAsia="黑体" w:cs="Arial"/>
          <w:color w:val="auto"/>
          <w:kern w:val="0"/>
          <w:szCs w:val="21"/>
        </w:rPr>
        <w:t xml:space="preserve">This document was </w:t>
      </w:r>
      <w:r>
        <w:rPr>
          <w:rFonts w:hint="eastAsia" w:ascii="黑体" w:eastAsia="黑体" w:cs="Arial"/>
          <w:color w:val="auto"/>
          <w:kern w:val="0"/>
          <w:szCs w:val="21"/>
          <w:lang w:val="en-US" w:eastAsia="zh-CN"/>
        </w:rPr>
        <w:t xml:space="preserve">first </w:t>
      </w:r>
      <w:r>
        <w:rPr>
          <w:rFonts w:hint="eastAsia" w:ascii="黑体" w:eastAsia="黑体" w:cs="Arial"/>
          <w:color w:val="auto"/>
          <w:kern w:val="0"/>
          <w:szCs w:val="21"/>
        </w:rPr>
        <w:t>issued in 200</w:t>
      </w:r>
      <w:r>
        <w:rPr>
          <w:rFonts w:hint="eastAsia" w:ascii="黑体" w:eastAsia="黑体" w:cs="Arial"/>
          <w:color w:val="auto"/>
          <w:kern w:val="0"/>
          <w:szCs w:val="21"/>
          <w:lang w:val="en-US" w:eastAsia="zh-CN"/>
        </w:rPr>
        <w:t>3</w:t>
      </w:r>
      <w:r>
        <w:rPr>
          <w:rFonts w:hint="eastAsia" w:ascii="黑体" w:eastAsia="黑体" w:cs="Arial"/>
          <w:color w:val="auto"/>
          <w:kern w:val="0"/>
          <w:szCs w:val="21"/>
        </w:rPr>
        <w:t xml:space="preserve">; this is the </w:t>
      </w:r>
      <w:r>
        <w:rPr>
          <w:rFonts w:hint="eastAsia" w:ascii="黑体" w:hAnsi="黑体" w:eastAsia="黑体" w:cs="黑体"/>
          <w:color w:val="auto"/>
        </w:rPr>
        <w:t xml:space="preserve">first </w:t>
      </w:r>
      <w:r>
        <w:rPr>
          <w:rFonts w:hint="eastAsia" w:ascii="黑体" w:hAnsi="黑体" w:eastAsia="黑体" w:cs="黑体"/>
          <w:color w:val="auto"/>
          <w:lang w:val="en-US" w:eastAsia="zh-CN"/>
        </w:rPr>
        <w:t>r</w:t>
      </w:r>
      <w:r>
        <w:rPr>
          <w:rFonts w:hint="eastAsia" w:ascii="黑体" w:eastAsia="黑体" w:cs="Arial"/>
          <w:color w:val="auto"/>
          <w:kern w:val="0"/>
          <w:szCs w:val="21"/>
        </w:rPr>
        <w:t>evision.</w:t>
      </w:r>
    </w:p>
    <w:p w14:paraId="7B58C992">
      <w:pPr>
        <w:spacing w:line="400" w:lineRule="exact"/>
        <w:jc w:val="left"/>
        <w:outlineLvl w:val="0"/>
        <w:rPr>
          <w:rFonts w:hint="eastAsia" w:ascii="黑体" w:hAnsi="黑体" w:eastAsia="黑体" w:cs="黑体"/>
          <w:color w:val="auto"/>
          <w:kern w:val="0"/>
          <w:sz w:val="36"/>
          <w:szCs w:val="36"/>
        </w:rPr>
      </w:pPr>
    </w:p>
    <w:p w14:paraId="54603833">
      <w:pPr>
        <w:spacing w:line="400" w:lineRule="exact"/>
        <w:jc w:val="left"/>
        <w:outlineLvl w:val="0"/>
        <w:rPr>
          <w:rFonts w:hint="eastAsia" w:ascii="黑体" w:hAnsi="黑体" w:eastAsia="黑体" w:cs="黑体"/>
          <w:color w:val="auto"/>
          <w:kern w:val="0"/>
          <w:sz w:val="36"/>
          <w:szCs w:val="36"/>
        </w:rPr>
      </w:pPr>
      <w:r>
        <w:rPr>
          <w:rFonts w:hint="eastAsia" w:ascii="黑体" w:hAnsi="黑体" w:eastAsia="黑体" w:cs="黑体"/>
          <w:color w:val="auto"/>
          <w:kern w:val="0"/>
          <w:sz w:val="36"/>
          <w:szCs w:val="36"/>
        </w:rPr>
        <w:br w:type="page"/>
      </w:r>
      <w:r>
        <w:rPr>
          <w:rFonts w:hint="eastAsia" w:ascii="黑体" w:hAnsi="黑体" w:eastAsia="黑体" w:cs="黑体"/>
          <w:color w:val="auto"/>
          <w:kern w:val="0"/>
          <w:sz w:val="36"/>
          <w:szCs w:val="36"/>
        </w:rPr>
        <w:t>Introduction</w:t>
      </w:r>
    </w:p>
    <w:p w14:paraId="008CE7CA">
      <w:pPr>
        <w:pStyle w:val="113"/>
        <w:ind w:firstLine="0" w:firstLineChars="0"/>
        <w:rPr>
          <w:rFonts w:hint="eastAsia" w:ascii="黑体" w:eastAsia="黑体"/>
          <w:color w:val="auto"/>
          <w:kern w:val="2"/>
          <w:szCs w:val="24"/>
        </w:rPr>
      </w:pPr>
    </w:p>
    <w:p w14:paraId="6F75D044">
      <w:pPr>
        <w:pStyle w:val="113"/>
        <w:ind w:firstLine="0" w:firstLineChars="0"/>
        <w:rPr>
          <w:rFonts w:hint="eastAsia" w:ascii="黑体" w:eastAsia="黑体"/>
          <w:color w:val="auto"/>
          <w:kern w:val="2"/>
          <w:szCs w:val="24"/>
        </w:rPr>
      </w:pPr>
      <w:r>
        <w:rPr>
          <w:rFonts w:hint="eastAsia" w:ascii="黑体" w:eastAsia="黑体"/>
          <w:color w:val="auto"/>
          <w:kern w:val="2"/>
          <w:szCs w:val="24"/>
          <w:lang w:val="en-US" w:eastAsia="zh-CN"/>
        </w:rPr>
        <w:t>I</w:t>
      </w:r>
      <w:r>
        <w:rPr>
          <w:rFonts w:hint="eastAsia" w:ascii="黑体" w:eastAsia="黑体"/>
          <w:color w:val="auto"/>
          <w:kern w:val="2"/>
          <w:szCs w:val="24"/>
        </w:rPr>
        <w:t>n the field of chemical composition analysis of rare earth products, a relatively comprehensive standard system has been established in China for the determination of total rare earth</w:t>
      </w:r>
      <w:r>
        <w:rPr>
          <w:rFonts w:hint="eastAsia" w:ascii="黑体" w:eastAsia="黑体"/>
          <w:color w:val="auto"/>
          <w:kern w:val="2"/>
          <w:szCs w:val="24"/>
          <w:lang w:val="en-US" w:eastAsia="zh-CN"/>
        </w:rPr>
        <w:t xml:space="preserve"> content</w:t>
      </w:r>
      <w:r>
        <w:rPr>
          <w:rFonts w:hint="eastAsia" w:ascii="黑体" w:eastAsia="黑体"/>
          <w:color w:val="auto"/>
          <w:kern w:val="2"/>
          <w:szCs w:val="24"/>
        </w:rPr>
        <w:t xml:space="preserve">, non-rare earth impurities, rare earth impurities, etc. GB/T 12690 </w:t>
      </w:r>
      <w:r>
        <w:rPr>
          <w:rFonts w:hint="eastAsia" w:ascii="黑体" w:eastAsia="黑体"/>
          <w:i/>
          <w:iCs/>
          <w:color w:val="auto"/>
          <w:kern w:val="2"/>
          <w:szCs w:val="24"/>
        </w:rPr>
        <w:t>Chemical analysis methods of non-rare earth impurities in rare earth metals and their oxides</w:t>
      </w:r>
      <w:r>
        <w:rPr>
          <w:rFonts w:hint="eastAsia" w:ascii="黑体" w:eastAsia="黑体"/>
          <w:color w:val="auto"/>
          <w:kern w:val="2"/>
          <w:szCs w:val="24"/>
        </w:rPr>
        <w:t>, based on the original standard GB/T 12690</w:t>
      </w:r>
      <w:r>
        <w:rPr>
          <w:rFonts w:hint="eastAsia" w:ascii="黑体" w:eastAsia="黑体"/>
          <w:i/>
          <w:iCs/>
          <w:color w:val="auto"/>
          <w:kern w:val="2"/>
          <w:szCs w:val="24"/>
        </w:rPr>
        <w:t xml:space="preserve"> Chemical analysis methods of rare earth metals and their oxides</w:t>
      </w:r>
      <w:r>
        <w:rPr>
          <w:rFonts w:hint="eastAsia" w:ascii="黑体" w:eastAsia="黑体"/>
          <w:color w:val="auto"/>
          <w:kern w:val="2"/>
          <w:szCs w:val="24"/>
        </w:rPr>
        <w:t xml:space="preserve">, has integrated standards such as GB/T 8762.3—1988 </w:t>
      </w:r>
      <w:r>
        <w:rPr>
          <w:rFonts w:hint="eastAsia" w:ascii="黑体" w:eastAsia="黑体"/>
          <w:i/>
          <w:iCs/>
          <w:color w:val="auto"/>
          <w:kern w:val="2"/>
          <w:szCs w:val="24"/>
        </w:rPr>
        <w:t>Yttrium oxide of fluorescent grade—Determination of acid soluble silicon dioxide content</w:t>
      </w:r>
      <w:r>
        <w:rPr>
          <w:rFonts w:hint="eastAsia" w:ascii="黑体" w:eastAsia="黑体"/>
          <w:i/>
          <w:iCs/>
          <w:color w:val="auto"/>
          <w:kern w:val="2"/>
          <w:szCs w:val="24"/>
          <w:lang w:val="en-US" w:eastAsia="zh-CN"/>
        </w:rPr>
        <w:t xml:space="preserve"> </w:t>
      </w:r>
      <w:r>
        <w:rPr>
          <w:rFonts w:hint="eastAsia" w:ascii="黑体" w:eastAsia="黑体"/>
          <w:i/>
          <w:iCs/>
          <w:color w:val="auto"/>
          <w:kern w:val="2"/>
          <w:szCs w:val="24"/>
        </w:rPr>
        <w:t>—</w:t>
      </w:r>
      <w:r>
        <w:rPr>
          <w:rFonts w:hint="eastAsia" w:ascii="黑体" w:eastAsia="黑体"/>
          <w:i/>
          <w:iCs/>
          <w:color w:val="auto"/>
          <w:kern w:val="2"/>
          <w:szCs w:val="24"/>
          <w:lang w:val="en-US" w:eastAsia="zh-CN"/>
        </w:rPr>
        <w:t xml:space="preserve"> </w:t>
      </w:r>
      <w:r>
        <w:rPr>
          <w:rFonts w:hint="eastAsia" w:ascii="黑体" w:eastAsia="黑体"/>
          <w:i/>
          <w:iCs/>
          <w:color w:val="auto"/>
          <w:kern w:val="2"/>
          <w:szCs w:val="24"/>
        </w:rPr>
        <w:t>Molybdenum blue spectrophotometric method</w:t>
      </w:r>
      <w:r>
        <w:rPr>
          <w:rFonts w:hint="eastAsia" w:ascii="黑体" w:eastAsia="黑体"/>
          <w:color w:val="auto"/>
          <w:kern w:val="2"/>
          <w:szCs w:val="24"/>
        </w:rPr>
        <w:t xml:space="preserve">, GB/T 8762.4—1988 </w:t>
      </w:r>
      <w:r>
        <w:rPr>
          <w:rFonts w:hint="eastAsia" w:ascii="黑体" w:eastAsia="黑体"/>
          <w:i/>
          <w:iCs/>
          <w:color w:val="auto"/>
          <w:kern w:val="2"/>
          <w:szCs w:val="24"/>
        </w:rPr>
        <w:t>Yttrium oxide of fluorescent grade — Determination of ferric oxide, lead oxide, nickel oxide and copper oxide contents</w:t>
      </w:r>
      <w:r>
        <w:rPr>
          <w:rFonts w:hint="eastAsia" w:ascii="黑体" w:eastAsia="黑体"/>
          <w:i/>
          <w:iCs/>
          <w:color w:val="auto"/>
          <w:kern w:val="2"/>
          <w:szCs w:val="24"/>
          <w:lang w:val="en-US" w:eastAsia="zh-CN"/>
        </w:rPr>
        <w:t xml:space="preserve"> </w:t>
      </w:r>
      <w:r>
        <w:rPr>
          <w:rFonts w:hint="eastAsia" w:ascii="黑体" w:eastAsia="黑体"/>
          <w:i/>
          <w:iCs/>
          <w:color w:val="auto"/>
          <w:kern w:val="2"/>
          <w:szCs w:val="24"/>
        </w:rPr>
        <w:t>—</w:t>
      </w:r>
      <w:r>
        <w:rPr>
          <w:rFonts w:hint="eastAsia" w:ascii="黑体" w:eastAsia="黑体"/>
          <w:i/>
          <w:iCs/>
          <w:color w:val="auto"/>
          <w:kern w:val="2"/>
          <w:szCs w:val="24"/>
          <w:lang w:val="en-US" w:eastAsia="zh-CN"/>
        </w:rPr>
        <w:t xml:space="preserve"> </w:t>
      </w:r>
      <w:r>
        <w:rPr>
          <w:rFonts w:hint="eastAsia" w:ascii="黑体" w:eastAsia="黑体"/>
          <w:i/>
          <w:iCs/>
          <w:color w:val="auto"/>
          <w:kern w:val="2"/>
          <w:szCs w:val="24"/>
        </w:rPr>
        <w:t>Emission spectrographic method</w:t>
      </w:r>
      <w:r>
        <w:rPr>
          <w:rFonts w:hint="eastAsia" w:ascii="黑体" w:eastAsia="黑体"/>
          <w:color w:val="auto"/>
          <w:kern w:val="2"/>
          <w:szCs w:val="24"/>
        </w:rPr>
        <w:t xml:space="preserve">, GB/T 8762.6—1988 </w:t>
      </w:r>
      <w:r>
        <w:rPr>
          <w:rFonts w:hint="eastAsia" w:ascii="黑体" w:eastAsia="黑体"/>
          <w:i/>
          <w:iCs/>
          <w:color w:val="auto"/>
          <w:kern w:val="2"/>
          <w:szCs w:val="24"/>
        </w:rPr>
        <w:t>Europium oxide of fluorescent grade</w:t>
      </w:r>
      <w:r>
        <w:rPr>
          <w:rFonts w:hint="eastAsia" w:ascii="黑体" w:eastAsia="黑体"/>
          <w:i/>
          <w:iCs/>
          <w:color w:val="auto"/>
          <w:kern w:val="2"/>
          <w:szCs w:val="24"/>
          <w:lang w:val="en-US" w:eastAsia="zh-CN"/>
        </w:rPr>
        <w:t xml:space="preserve"> </w:t>
      </w:r>
      <w:r>
        <w:rPr>
          <w:rFonts w:hint="eastAsia" w:ascii="黑体" w:eastAsia="黑体"/>
          <w:i/>
          <w:iCs/>
          <w:color w:val="auto"/>
          <w:kern w:val="2"/>
          <w:szCs w:val="24"/>
        </w:rPr>
        <w:t>—</w:t>
      </w:r>
      <w:r>
        <w:rPr>
          <w:rFonts w:hint="eastAsia" w:ascii="黑体" w:eastAsia="黑体"/>
          <w:i/>
          <w:iCs/>
          <w:color w:val="auto"/>
          <w:kern w:val="2"/>
          <w:szCs w:val="24"/>
          <w:lang w:val="en-US" w:eastAsia="zh-CN"/>
        </w:rPr>
        <w:t xml:space="preserve"> </w:t>
      </w:r>
      <w:r>
        <w:rPr>
          <w:rFonts w:hint="eastAsia" w:ascii="黑体" w:eastAsia="黑体"/>
          <w:i/>
          <w:iCs/>
          <w:color w:val="auto"/>
          <w:kern w:val="2"/>
          <w:szCs w:val="24"/>
        </w:rPr>
        <w:t>Determination of lead oxide, nickel oxide, iron oxide and copper oxide contents</w:t>
      </w:r>
      <w:r>
        <w:rPr>
          <w:rFonts w:hint="eastAsia" w:ascii="黑体" w:eastAsia="黑体"/>
          <w:i/>
          <w:iCs/>
          <w:color w:val="auto"/>
          <w:kern w:val="2"/>
          <w:szCs w:val="24"/>
          <w:lang w:val="en-US" w:eastAsia="zh-CN"/>
        </w:rPr>
        <w:t xml:space="preserve"> </w:t>
      </w:r>
      <w:r>
        <w:rPr>
          <w:rFonts w:hint="eastAsia" w:ascii="黑体" w:eastAsia="黑体"/>
          <w:i/>
          <w:iCs/>
          <w:color w:val="auto"/>
          <w:kern w:val="2"/>
          <w:szCs w:val="24"/>
        </w:rPr>
        <w:t>—</w:t>
      </w:r>
      <w:r>
        <w:rPr>
          <w:rFonts w:hint="eastAsia" w:ascii="黑体" w:eastAsia="黑体"/>
          <w:i/>
          <w:iCs/>
          <w:color w:val="auto"/>
          <w:kern w:val="2"/>
          <w:szCs w:val="24"/>
          <w:lang w:val="en-US" w:eastAsia="zh-CN"/>
        </w:rPr>
        <w:t xml:space="preserve"> </w:t>
      </w:r>
      <w:r>
        <w:rPr>
          <w:rFonts w:hint="eastAsia" w:ascii="黑体" w:eastAsia="黑体"/>
          <w:i/>
          <w:iCs/>
          <w:color w:val="auto"/>
          <w:kern w:val="2"/>
          <w:szCs w:val="24"/>
        </w:rPr>
        <w:t>Emission spectrographic method</w:t>
      </w:r>
      <w:r>
        <w:rPr>
          <w:rFonts w:hint="eastAsia" w:ascii="黑体" w:eastAsia="黑体"/>
          <w:color w:val="auto"/>
          <w:kern w:val="2"/>
          <w:szCs w:val="24"/>
        </w:rPr>
        <w:t xml:space="preserve">, and GB/T 11074 </w:t>
      </w:r>
      <w:r>
        <w:rPr>
          <w:rFonts w:hint="eastAsia" w:ascii="黑体" w:eastAsia="黑体"/>
          <w:i/>
          <w:iCs/>
          <w:color w:val="auto"/>
          <w:kern w:val="2"/>
          <w:szCs w:val="24"/>
        </w:rPr>
        <w:t>Chemical analysis methods of yttrium oxide</w:t>
      </w:r>
      <w:r>
        <w:rPr>
          <w:rFonts w:hint="eastAsia" w:ascii="黑体" w:eastAsia="黑体"/>
          <w:color w:val="auto"/>
          <w:kern w:val="2"/>
          <w:szCs w:val="24"/>
        </w:rPr>
        <w:t xml:space="preserve">, to form a comprehensive analysis standard for non-rare earth impurities in all rare earth metals and their oxides. The integrated series of method standards </w:t>
      </w:r>
      <w:r>
        <w:rPr>
          <w:rFonts w:hint="eastAsia" w:ascii="黑体" w:eastAsia="黑体"/>
          <w:color w:val="auto"/>
          <w:kern w:val="2"/>
          <w:szCs w:val="24"/>
          <w:lang w:val="en-US" w:eastAsia="zh-CN"/>
        </w:rPr>
        <w:t>references</w:t>
      </w:r>
      <w:r>
        <w:rPr>
          <w:rFonts w:hint="eastAsia" w:ascii="黑体" w:eastAsia="黑体"/>
          <w:color w:val="auto"/>
          <w:kern w:val="2"/>
          <w:szCs w:val="24"/>
        </w:rPr>
        <w:t xml:space="preserve"> advanced detection methods and essentially cover</w:t>
      </w:r>
      <w:r>
        <w:rPr>
          <w:rFonts w:hint="eastAsia" w:ascii="黑体" w:eastAsia="黑体"/>
          <w:color w:val="auto"/>
          <w:kern w:val="2"/>
          <w:szCs w:val="24"/>
          <w:lang w:val="en-US" w:eastAsia="zh-CN"/>
        </w:rPr>
        <w:t>s</w:t>
      </w:r>
      <w:r>
        <w:rPr>
          <w:rFonts w:hint="eastAsia" w:ascii="黑体" w:eastAsia="黑体"/>
          <w:color w:val="auto"/>
          <w:kern w:val="2"/>
          <w:szCs w:val="24"/>
        </w:rPr>
        <w:t xml:space="preserve"> all rare earth metal and rare earth oxide matrices. It provides rapid and accurate method</w:t>
      </w:r>
      <w:r>
        <w:rPr>
          <w:rFonts w:hint="eastAsia" w:ascii="黑体" w:eastAsia="黑体"/>
          <w:color w:val="auto"/>
          <w:kern w:val="2"/>
          <w:szCs w:val="24"/>
          <w:lang w:val="en-US" w:eastAsia="zh-CN"/>
        </w:rPr>
        <w:t>s</w:t>
      </w:r>
      <w:r>
        <w:rPr>
          <w:rFonts w:hint="eastAsia" w:ascii="黑体" w:eastAsia="黑体"/>
          <w:color w:val="auto"/>
          <w:kern w:val="2"/>
          <w:szCs w:val="24"/>
        </w:rPr>
        <w:t xml:space="preserve"> for the determination of non-rare earth impurity content in rare earth metals and their oxides, with good </w:t>
      </w:r>
      <w:r>
        <w:rPr>
          <w:rFonts w:hint="eastAsia" w:ascii="黑体" w:eastAsia="黑体"/>
          <w:color w:val="auto"/>
          <w:kern w:val="2"/>
          <w:szCs w:val="24"/>
          <w:lang w:val="en-US" w:eastAsia="zh-CN"/>
        </w:rPr>
        <w:t>practicability</w:t>
      </w:r>
      <w:r>
        <w:rPr>
          <w:rFonts w:hint="eastAsia" w:ascii="黑体" w:eastAsia="黑体"/>
          <w:color w:val="auto"/>
          <w:kern w:val="2"/>
          <w:szCs w:val="24"/>
        </w:rPr>
        <w:t>.</w:t>
      </w:r>
    </w:p>
    <w:p w14:paraId="26669DD2">
      <w:pPr>
        <w:pStyle w:val="113"/>
        <w:ind w:firstLine="0" w:firstLineChars="0"/>
        <w:rPr>
          <w:rFonts w:hint="eastAsia" w:ascii="黑体" w:eastAsia="黑体"/>
          <w:color w:val="auto"/>
          <w:kern w:val="2"/>
          <w:szCs w:val="24"/>
        </w:rPr>
      </w:pPr>
    </w:p>
    <w:p w14:paraId="5E6BB2B4">
      <w:pPr>
        <w:rPr>
          <w:rFonts w:hint="eastAsia" w:ascii="黑体" w:eastAsia="黑体"/>
          <w:i w:val="0"/>
          <w:iCs w:val="0"/>
          <w:color w:val="auto"/>
        </w:rPr>
      </w:pPr>
      <w:r>
        <w:rPr>
          <w:rFonts w:hint="eastAsia" w:ascii="黑体" w:eastAsia="黑体"/>
          <w:i w:val="0"/>
          <w:iCs w:val="0"/>
          <w:color w:val="auto"/>
        </w:rPr>
        <w:t>According to differences in detection objects, detection methods, and the matrices of various rare earth metals and rare earth oxides, GB/T 12690 consists of 21 parts:</w:t>
      </w:r>
    </w:p>
    <w:p w14:paraId="263693D3">
      <w:pPr>
        <w:rPr>
          <w:rFonts w:hint="eastAsia" w:ascii="黑体" w:eastAsia="黑体"/>
          <w:color w:val="auto"/>
        </w:rPr>
      </w:pPr>
    </w:p>
    <w:p w14:paraId="1989AA2B">
      <w:pPr>
        <w:rPr>
          <w:rFonts w:hint="default" w:ascii="黑体" w:eastAsia="宋体" w:cs="Arial"/>
          <w:color w:val="auto"/>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Part 1: Determination of carbon and sulfur content</w:t>
      </w:r>
      <w:r>
        <w:rPr>
          <w:rFonts w:hint="eastAsia" w:ascii="黑体" w:eastAsia="黑体" w:cs="Arial"/>
          <w:i/>
          <w:iCs/>
          <w:color w:val="auto"/>
          <w:kern w:val="0"/>
          <w:szCs w:val="21"/>
        </w:rPr>
        <w:t>s</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High</w:t>
      </w:r>
      <w:r>
        <w:rPr>
          <w:rFonts w:hint="eastAsia" w:ascii="黑体" w:eastAsia="黑体" w:cs="Arial"/>
          <w:i/>
          <w:iCs/>
          <w:color w:val="auto"/>
          <w:kern w:val="0"/>
          <w:szCs w:val="21"/>
        </w:rPr>
        <w:t xml:space="preserve"> </w:t>
      </w:r>
      <w:r>
        <w:rPr>
          <w:rFonts w:ascii="黑体" w:eastAsia="黑体" w:cs="Arial"/>
          <w:i/>
          <w:iCs/>
          <w:color w:val="auto"/>
          <w:kern w:val="0"/>
          <w:szCs w:val="21"/>
        </w:rPr>
        <w:t>frequency</w:t>
      </w:r>
      <w:r>
        <w:rPr>
          <w:rFonts w:hint="eastAsia" w:ascii="黑体" w:eastAsia="黑体" w:cs="Arial"/>
          <w:i/>
          <w:iCs/>
          <w:color w:val="auto"/>
          <w:kern w:val="0"/>
          <w:szCs w:val="21"/>
        </w:rPr>
        <w:t>-</w:t>
      </w:r>
      <w:r>
        <w:rPr>
          <w:rFonts w:ascii="黑体" w:eastAsia="黑体" w:cs="Arial"/>
          <w:i/>
          <w:iCs/>
          <w:color w:val="auto"/>
          <w:kern w:val="0"/>
          <w:szCs w:val="21"/>
        </w:rPr>
        <w:t>infrared absorption method</w:t>
      </w:r>
      <w:r>
        <w:rPr>
          <w:rFonts w:hint="eastAsia" w:ascii="黑体" w:eastAsia="黑体" w:cs="Arial"/>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a</w:t>
      </w:r>
      <w:r>
        <w:rPr>
          <w:rFonts w:hint="eastAsia" w:ascii="黑体" w:eastAsia="黑体" w:cs="Arial"/>
          <w:color w:val="auto"/>
          <w:szCs w:val="21"/>
        </w:rPr>
        <w:t xml:space="preserve"> high frequency-infrared absorption method</w:t>
      </w:r>
      <w:r>
        <w:rPr>
          <w:rFonts w:hint="eastAsia" w:ascii="黑体" w:eastAsia="黑体" w:cs="Arial"/>
          <w:color w:val="auto"/>
          <w:szCs w:val="21"/>
          <w:lang w:val="en-US" w:eastAsia="zh-CN"/>
        </w:rPr>
        <w:t xml:space="preserve"> </w:t>
      </w:r>
      <w:r>
        <w:rPr>
          <w:rFonts w:hint="eastAsia" w:ascii="黑体" w:eastAsia="黑体" w:cs="Arial"/>
          <w:color w:val="auto"/>
          <w:szCs w:val="21"/>
        </w:rPr>
        <w:t>for the determination of carbon and sulfur content</w:t>
      </w:r>
      <w:r>
        <w:rPr>
          <w:rFonts w:hint="eastAsia" w:ascii="黑体" w:eastAsia="黑体" w:cs="Arial"/>
          <w:color w:val="auto"/>
          <w:szCs w:val="21"/>
          <w:lang w:val="en-US" w:eastAsia="zh-CN"/>
        </w:rPr>
        <w:t>s</w:t>
      </w:r>
      <w:r>
        <w:rPr>
          <w:rFonts w:hint="eastAsia" w:ascii="黑体" w:eastAsia="黑体" w:cs="Arial"/>
          <w:color w:val="auto"/>
          <w:szCs w:val="21"/>
        </w:rPr>
        <w:t xml:space="preserve"> in rare earth metals and their oxide</w:t>
      </w:r>
      <w:r>
        <w:rPr>
          <w:rFonts w:hint="eastAsia" w:ascii="黑体" w:eastAsia="黑体" w:cs="Arial"/>
          <w:color w:val="auto"/>
          <w:szCs w:val="21"/>
          <w:lang w:val="en-US" w:eastAsia="zh-CN"/>
        </w:rPr>
        <w:t>s.</w:t>
      </w:r>
    </w:p>
    <w:p w14:paraId="65A654AB">
      <w:pPr>
        <w:rPr>
          <w:rFonts w:hint="eastAsia" w:ascii="黑体" w:eastAsia="黑体" w:cs="Arial"/>
          <w:i w:val="0"/>
          <w:iCs w:val="0"/>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Part 2: Determination of ignition</w:t>
      </w:r>
      <w:r>
        <w:rPr>
          <w:rFonts w:hint="eastAsia" w:ascii="黑体" w:eastAsia="黑体" w:cs="Arial"/>
          <w:i/>
          <w:iCs/>
          <w:color w:val="auto"/>
          <w:kern w:val="0"/>
          <w:szCs w:val="21"/>
        </w:rPr>
        <w:t xml:space="preserve"> loss</w:t>
      </w:r>
      <w:r>
        <w:rPr>
          <w:rFonts w:ascii="黑体" w:eastAsia="黑体" w:cs="Arial"/>
          <w:i/>
          <w:iCs/>
          <w:color w:val="auto"/>
          <w:kern w:val="0"/>
          <w:szCs w:val="21"/>
        </w:rPr>
        <w:t xml:space="preserve"> </w:t>
      </w:r>
      <w:r>
        <w:rPr>
          <w:rFonts w:hint="eastAsia" w:ascii="黑体" w:eastAsia="黑体" w:cs="Arial"/>
          <w:i/>
          <w:iCs/>
          <w:color w:val="auto"/>
          <w:kern w:val="0"/>
          <w:szCs w:val="21"/>
        </w:rPr>
        <w:t>content of</w:t>
      </w:r>
      <w:r>
        <w:rPr>
          <w:rFonts w:ascii="黑体" w:eastAsia="黑体" w:cs="Arial"/>
          <w:i/>
          <w:iCs/>
          <w:color w:val="auto"/>
          <w:kern w:val="0"/>
          <w:szCs w:val="21"/>
        </w:rPr>
        <w:t xml:space="preserve"> rare earth oxides</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Gravimetric method</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w:t>
      </w:r>
      <w:r>
        <w:rPr>
          <w:rFonts w:hint="eastAsia" w:ascii="黑体" w:eastAsia="黑体" w:cs="Arial"/>
          <w:i w:val="0"/>
          <w:iCs w:val="0"/>
          <w:color w:val="auto"/>
          <w:kern w:val="0"/>
          <w:szCs w:val="21"/>
        </w:rPr>
        <w:t>a gravimetric method for</w:t>
      </w:r>
      <w:r>
        <w:rPr>
          <w:rFonts w:hint="eastAsia" w:ascii="黑体" w:eastAsia="黑体" w:cs="Arial"/>
          <w:i w:val="0"/>
          <w:iCs w:val="0"/>
          <w:color w:val="auto"/>
          <w:kern w:val="0"/>
          <w:szCs w:val="21"/>
          <w:lang w:val="en-US" w:eastAsia="zh-CN"/>
        </w:rPr>
        <w:t xml:space="preserve"> </w:t>
      </w:r>
      <w:r>
        <w:rPr>
          <w:rFonts w:hint="eastAsia" w:ascii="黑体" w:eastAsia="黑体" w:cs="Arial"/>
          <w:i w:val="0"/>
          <w:iCs w:val="0"/>
          <w:color w:val="auto"/>
          <w:kern w:val="0"/>
          <w:szCs w:val="21"/>
        </w:rPr>
        <w:t>the determination of ignition loss in rare earth oxides</w:t>
      </w:r>
      <w:r>
        <w:rPr>
          <w:rFonts w:hint="eastAsia" w:ascii="黑体" w:eastAsia="黑体" w:cs="Arial"/>
          <w:i w:val="0"/>
          <w:iCs w:val="0"/>
          <w:color w:val="auto"/>
          <w:kern w:val="0"/>
          <w:szCs w:val="21"/>
          <w:lang w:val="en-US" w:eastAsia="zh-CN"/>
        </w:rPr>
        <w:t>.</w:t>
      </w:r>
      <w:r>
        <w:rPr>
          <w:rFonts w:hint="eastAsia" w:ascii="黑体" w:eastAsia="黑体" w:cs="Arial"/>
          <w:i w:val="0"/>
          <w:iCs w:val="0"/>
          <w:color w:val="auto"/>
          <w:kern w:val="0"/>
          <w:szCs w:val="21"/>
        </w:rPr>
        <w:t xml:space="preserve"> </w:t>
      </w:r>
    </w:p>
    <w:p w14:paraId="461BD58D">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3</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 xml:space="preserve">Determination of </w:t>
      </w:r>
      <w:r>
        <w:rPr>
          <w:rFonts w:hint="eastAsia" w:ascii="黑体" w:eastAsia="黑体" w:cs="Arial"/>
          <w:i/>
          <w:iCs/>
          <w:color w:val="auto"/>
          <w:kern w:val="0"/>
          <w:szCs w:val="21"/>
        </w:rPr>
        <w:t>water</w:t>
      </w:r>
      <w:r>
        <w:rPr>
          <w:rFonts w:ascii="黑体" w:eastAsia="黑体" w:cs="Arial"/>
          <w:i/>
          <w:iCs/>
          <w:color w:val="auto"/>
          <w:kern w:val="0"/>
          <w:szCs w:val="21"/>
        </w:rPr>
        <w:t xml:space="preserve"> content </w:t>
      </w:r>
      <w:r>
        <w:rPr>
          <w:rFonts w:hint="eastAsia" w:ascii="黑体" w:eastAsia="黑体" w:cs="Arial"/>
          <w:i/>
          <w:iCs/>
          <w:color w:val="auto"/>
          <w:kern w:val="0"/>
          <w:szCs w:val="21"/>
        </w:rPr>
        <w:t>of</w:t>
      </w:r>
      <w:r>
        <w:rPr>
          <w:rFonts w:ascii="黑体" w:eastAsia="黑体" w:cs="Arial"/>
          <w:i/>
          <w:iCs/>
          <w:color w:val="auto"/>
          <w:kern w:val="0"/>
          <w:szCs w:val="21"/>
        </w:rPr>
        <w:t xml:space="preserve"> rare earth oxides</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Gravimetric method</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w:t>
      </w:r>
      <w:r>
        <w:rPr>
          <w:rFonts w:hint="eastAsia" w:ascii="黑体" w:eastAsia="黑体" w:cs="Arial"/>
          <w:i w:val="0"/>
          <w:iCs w:val="0"/>
          <w:color w:val="auto"/>
          <w:kern w:val="0"/>
          <w:szCs w:val="21"/>
        </w:rPr>
        <w:t xml:space="preserve">a gravimetric method for the determination of </w:t>
      </w:r>
      <w:r>
        <w:rPr>
          <w:rFonts w:hint="eastAsia" w:ascii="黑体" w:eastAsia="黑体" w:cs="Arial"/>
          <w:i/>
          <w:iCs/>
          <w:color w:val="auto"/>
          <w:kern w:val="0"/>
          <w:szCs w:val="21"/>
        </w:rPr>
        <w:t>water</w:t>
      </w:r>
      <w:r>
        <w:rPr>
          <w:rFonts w:hint="eastAsia" w:ascii="黑体" w:eastAsia="黑体" w:cs="Arial"/>
          <w:i w:val="0"/>
          <w:iCs w:val="0"/>
          <w:color w:val="auto"/>
          <w:kern w:val="0"/>
          <w:szCs w:val="21"/>
        </w:rPr>
        <w:t xml:space="preserve"> content in rare earth oxides.</w:t>
      </w:r>
    </w:p>
    <w:p w14:paraId="281D57D6">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Part</w:t>
      </w:r>
      <w:r>
        <w:rPr>
          <w:rFonts w:hint="eastAsia" w:ascii="黑体" w:eastAsia="黑体" w:cs="Arial"/>
          <w:i/>
          <w:iCs/>
          <w:color w:val="auto"/>
          <w:kern w:val="0"/>
          <w:szCs w:val="21"/>
        </w:rPr>
        <w:t xml:space="preserve"> 4</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oxygen and nitrogen content</w:t>
      </w:r>
      <w:r>
        <w:rPr>
          <w:rFonts w:hint="eastAsia" w:ascii="黑体" w:eastAsia="黑体" w:cs="Arial"/>
          <w:i/>
          <w:iCs/>
          <w:color w:val="auto"/>
          <w:kern w:val="0"/>
          <w:szCs w:val="21"/>
        </w:rPr>
        <w:t>s</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I</w:t>
      </w:r>
      <w:r>
        <w:rPr>
          <w:rFonts w:hint="eastAsia" w:ascii="黑体" w:eastAsia="黑体" w:cs="Arial"/>
          <w:i/>
          <w:iCs/>
          <w:color w:val="auto"/>
          <w:kern w:val="0"/>
          <w:szCs w:val="21"/>
        </w:rPr>
        <w:t>mpulse</w:t>
      </w:r>
      <w:r>
        <w:rPr>
          <w:rFonts w:ascii="黑体" w:eastAsia="黑体" w:cs="Arial"/>
          <w:i/>
          <w:iCs/>
          <w:color w:val="auto"/>
          <w:kern w:val="0"/>
          <w:szCs w:val="21"/>
        </w:rPr>
        <w:t xml:space="preserve">-infrared absorption and </w:t>
      </w:r>
      <w:r>
        <w:rPr>
          <w:rFonts w:hint="eastAsia" w:ascii="黑体" w:eastAsia="黑体" w:cs="Arial"/>
          <w:i/>
          <w:iCs/>
          <w:color w:val="auto"/>
          <w:kern w:val="0"/>
          <w:szCs w:val="21"/>
          <w:lang w:val="en-US" w:eastAsia="zh-CN"/>
        </w:rPr>
        <w:t>i</w:t>
      </w:r>
      <w:r>
        <w:rPr>
          <w:rFonts w:hint="eastAsia" w:ascii="黑体" w:eastAsia="黑体" w:cs="Arial"/>
          <w:i/>
          <w:iCs/>
          <w:color w:val="auto"/>
          <w:kern w:val="0"/>
          <w:szCs w:val="21"/>
        </w:rPr>
        <w:t>mpulse</w:t>
      </w:r>
      <w:r>
        <w:rPr>
          <w:rFonts w:ascii="黑体" w:eastAsia="黑体" w:cs="Arial"/>
          <w:i/>
          <w:iCs/>
          <w:color w:val="auto"/>
          <w:kern w:val="0"/>
          <w:szCs w:val="21"/>
        </w:rPr>
        <w:t>-thermal conductivity method</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an impulse-infrared absorption and impulse-thermal conductivity method for the determination of oxygen and nitrogen contents in rare earth metals (except dysprosium metal).</w:t>
      </w:r>
    </w:p>
    <w:p w14:paraId="1687B726">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5</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cobalt, manganese, lead, nickel, copper, zinc, aluminum, chromium, magnesium, cadmium, vanadium, and iron content</w:t>
      </w:r>
      <w:r>
        <w:rPr>
          <w:rFonts w:hint="eastAsia" w:ascii="黑体" w:eastAsia="黑体" w:cs="Arial"/>
          <w:i/>
          <w:iCs/>
          <w:color w:val="auto"/>
          <w:kern w:val="0"/>
          <w:szCs w:val="21"/>
        </w:rPr>
        <w:t>s</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inductively coupled plasma atomic emission spectrometry and inductively coupled plasma mass spectrometry for the determination of cobalt, manganese, lead, nickel, copper, zinc, aluminum, chromium, magnesium, cadmium, vanadium, and iron contents in rare earth metals and their oxides.</w:t>
      </w:r>
    </w:p>
    <w:p w14:paraId="2BA1D60D">
      <w:pPr>
        <w:keepNext w:val="0"/>
        <w:keepLines w:val="0"/>
        <w:pageBreakBefore w:val="0"/>
        <w:widowControl w:val="0"/>
        <w:kinsoku/>
        <w:wordWrap/>
        <w:overflowPunct/>
        <w:topLinePunct w:val="0"/>
        <w:autoSpaceDE/>
        <w:autoSpaceDN/>
        <w:bidi w:val="0"/>
        <w:adjustRightInd/>
        <w:snapToGrid/>
        <w:textAlignment w:val="auto"/>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hint="eastAsia" w:ascii="黑体" w:eastAsia="黑体" w:cs="Arial"/>
          <w:i/>
          <w:iCs/>
          <w:color w:val="auto"/>
          <w:kern w:val="0"/>
          <w:szCs w:val="21"/>
        </w:rPr>
        <w:t>Part 6: Determination of iron content</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hint="eastAsia" w:ascii="黑体" w:eastAsia="黑体" w:cs="Arial"/>
          <w:i/>
          <w:iCs/>
          <w:color w:val="auto"/>
          <w:kern w:val="0"/>
          <w:szCs w:val="21"/>
        </w:rPr>
        <w:t>K</w:t>
      </w:r>
      <w:r>
        <w:rPr>
          <w:rFonts w:hint="eastAsia" w:ascii="黑体" w:eastAsia="黑体" w:cs="Arial"/>
          <w:i/>
          <w:iCs/>
          <w:color w:val="auto"/>
          <w:kern w:val="0"/>
          <w:szCs w:val="21"/>
          <w:lang w:val="en-US" w:eastAsia="zh-CN"/>
        </w:rPr>
        <w:t>s</w:t>
      </w:r>
      <w:r>
        <w:rPr>
          <w:rFonts w:hint="eastAsia" w:ascii="黑体" w:eastAsia="黑体" w:cs="Arial"/>
          <w:i/>
          <w:iCs/>
          <w:color w:val="auto"/>
          <w:kern w:val="0"/>
          <w:szCs w:val="21"/>
        </w:rPr>
        <w:t>lium thiocyanate, 1,10-</w:t>
      </w:r>
      <w:r>
        <w:rPr>
          <w:rFonts w:hint="eastAsia" w:ascii="黑体" w:eastAsia="黑体" w:cs="Arial"/>
          <w:i/>
          <w:iCs/>
          <w:color w:val="auto"/>
          <w:kern w:val="0"/>
          <w:szCs w:val="21"/>
          <w:lang w:val="en-US" w:eastAsia="zh-CN"/>
        </w:rPr>
        <w:t>p</w:t>
      </w:r>
      <w:r>
        <w:rPr>
          <w:rFonts w:hint="eastAsia" w:ascii="黑体" w:eastAsia="黑体" w:cs="Arial"/>
          <w:i/>
          <w:iCs/>
          <w:color w:val="auto"/>
          <w:kern w:val="0"/>
          <w:szCs w:val="21"/>
        </w:rPr>
        <w:t>henanthroline spectrophotometric method</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spectrophotometry for the determination of iron content in rare earth metals and their oxides.</w:t>
      </w:r>
    </w:p>
    <w:p w14:paraId="6BCF630C">
      <w:pPr>
        <w:rPr>
          <w:rFonts w:hint="eastAsia"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7</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silicon content</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spectrophotometry and inductively coupled plasma atomic emission spectrometry for the determination of silicon content in rare earth metals and their oxides.</w:t>
      </w:r>
    </w:p>
    <w:p w14:paraId="0061018A">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8</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sodium content</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a flame atomic absorption spectrometry, inductively coupled plasma atomic emission spectrometry and inductively coupled plasma mass spectrometry for the determination of sodium contents in rare earth metals and their oxides.</w:t>
      </w:r>
    </w:p>
    <w:p w14:paraId="07BA0FBC">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9</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chlorine content</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Silver nitrate turbidimetr</w:t>
      </w:r>
      <w:r>
        <w:rPr>
          <w:rFonts w:hint="eastAsia" w:ascii="黑体" w:eastAsia="黑体" w:cs="Arial"/>
          <w:i/>
          <w:iCs/>
          <w:color w:val="auto"/>
          <w:kern w:val="0"/>
          <w:szCs w:val="21"/>
        </w:rPr>
        <w:t>ic method</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a spectrophotometry for the determination of chlorine contents in rare earth metals and their oxides.</w:t>
      </w:r>
    </w:p>
    <w:p w14:paraId="4FB03159">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10</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phosphorus content</w:t>
      </w:r>
      <w:r>
        <w:rPr>
          <w:rFonts w:hint="eastAsia" w:ascii="黑体" w:eastAsia="黑体" w:cs="Arial"/>
          <w:i/>
          <w:iCs/>
          <w:color w:val="auto"/>
          <w:kern w:val="0"/>
          <w:szCs w:val="21"/>
        </w:rPr>
        <w:t xml:space="preserve"> by m</w:t>
      </w:r>
      <w:r>
        <w:rPr>
          <w:rFonts w:ascii="黑体" w:eastAsia="黑体" w:cs="Arial"/>
          <w:i/>
          <w:iCs/>
          <w:color w:val="auto"/>
          <w:kern w:val="0"/>
          <w:szCs w:val="21"/>
        </w:rPr>
        <w:t>olybdenum blue spectrophotometr</w:t>
      </w:r>
      <w:r>
        <w:rPr>
          <w:rFonts w:hint="eastAsia" w:ascii="黑体" w:eastAsia="黑体" w:cs="Arial"/>
          <w:i/>
          <w:iCs/>
          <w:color w:val="auto"/>
          <w:kern w:val="0"/>
          <w:szCs w:val="21"/>
        </w:rPr>
        <w:t>ic method</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a spectrophotometry for the determination of phosphorus contents in rare earth metals and their oxides.</w:t>
      </w:r>
    </w:p>
    <w:p w14:paraId="37088529">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11</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magnesium content</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Flame atomic absorption spectrometr</w:t>
      </w:r>
      <w:r>
        <w:rPr>
          <w:rFonts w:hint="eastAsia" w:ascii="黑体" w:eastAsia="黑体" w:cs="Arial"/>
          <w:i/>
          <w:iCs/>
          <w:color w:val="auto"/>
          <w:kern w:val="0"/>
          <w:szCs w:val="21"/>
        </w:rPr>
        <w:t>ic method</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a flame atomic absorption spectrometry for the determination of magnesium contents in rare earth metals and their oxides.</w:t>
      </w:r>
    </w:p>
    <w:p w14:paraId="5A112AE3">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12</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thorium and uranium content</w:t>
      </w:r>
      <w:r>
        <w:rPr>
          <w:rFonts w:hint="eastAsia" w:ascii="黑体" w:eastAsia="黑体" w:cs="Arial"/>
          <w:i/>
          <w:iCs/>
          <w:color w:val="auto"/>
          <w:kern w:val="0"/>
          <w:szCs w:val="21"/>
        </w:rPr>
        <w:t>s</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Inductively coupled plasma mass spectr</w:t>
      </w:r>
      <w:r>
        <w:rPr>
          <w:rFonts w:hint="eastAsia" w:ascii="黑体" w:eastAsia="黑体" w:cs="Arial"/>
          <w:i/>
          <w:iCs/>
          <w:color w:val="auto"/>
          <w:kern w:val="0"/>
          <w:szCs w:val="21"/>
        </w:rPr>
        <w:t>um method</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inductively coupled plasma mass spectrometry for the determination of thorium and uranium content in rare earth metals and their oxides.</w:t>
      </w:r>
    </w:p>
    <w:p w14:paraId="72FF9C53">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13</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molybdenum and tungsten content</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inductively coupled plasma atomic emission spectrometry and inductively coupled plasma mass spectrometry for the determination of molybdenum and tungsten contents in rare earth metals.</w:t>
      </w:r>
    </w:p>
    <w:p w14:paraId="4EC8D9E6">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14</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 xml:space="preserve">Determination of titanium </w:t>
      </w:r>
      <w:r>
        <w:rPr>
          <w:rFonts w:hint="eastAsia" w:ascii="黑体" w:eastAsia="黑体" w:cs="Arial"/>
          <w:i/>
          <w:iCs/>
          <w:color w:val="auto"/>
          <w:kern w:val="0"/>
          <w:szCs w:val="21"/>
        </w:rPr>
        <w:t>in rare earth metals</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inductively coupled plasma atomic emission spectrometry and spectrophotometry for the determination of titanium content in rare earth metals.</w:t>
      </w:r>
    </w:p>
    <w:p w14:paraId="4383C802">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15</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calcium content</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inductively coupled plasma atomic emission spectrometry, flame atomic absorption spectrometry and inductively coupled plasma mass spectrometry for the determination of calcium content in rare earth metals and their oxides.</w:t>
      </w:r>
    </w:p>
    <w:p w14:paraId="78479F9B">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16</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fluorine content</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olor w:val="auto"/>
          <w:lang w:val="en-US" w:eastAsia="zh-CN"/>
        </w:rPr>
        <w:t xml:space="preserve"> </w:t>
      </w:r>
      <w:r>
        <w:rPr>
          <w:rFonts w:ascii="黑体" w:eastAsia="黑体" w:cs="Arial"/>
          <w:i/>
          <w:iCs/>
          <w:color w:val="auto"/>
          <w:kern w:val="0"/>
          <w:szCs w:val="21"/>
        </w:rPr>
        <w:t>Ion</w:t>
      </w:r>
      <w:r>
        <w:rPr>
          <w:rFonts w:hint="eastAsia" w:ascii="黑体" w:eastAsia="黑体" w:cs="Arial"/>
          <w:i/>
          <w:iCs/>
          <w:color w:val="auto"/>
          <w:kern w:val="0"/>
          <w:szCs w:val="21"/>
        </w:rPr>
        <w:t xml:space="preserve"> </w:t>
      </w:r>
      <w:r>
        <w:rPr>
          <w:rFonts w:ascii="黑体" w:eastAsia="黑体" w:cs="Arial"/>
          <w:i/>
          <w:iCs/>
          <w:color w:val="auto"/>
          <w:kern w:val="0"/>
          <w:szCs w:val="21"/>
        </w:rPr>
        <w:t xml:space="preserve">selective electrode </w:t>
      </w:r>
      <w:r>
        <w:rPr>
          <w:rFonts w:hint="eastAsia" w:ascii="黑体" w:eastAsia="黑体" w:cs="Arial"/>
          <w:i/>
          <w:iCs/>
          <w:color w:val="auto"/>
          <w:kern w:val="0"/>
          <w:szCs w:val="21"/>
        </w:rPr>
        <w:t>analysis</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ion selective electrode method for the determination of fluorine content in rare earth metals and their oxides.</w:t>
      </w:r>
    </w:p>
    <w:p w14:paraId="6DD9FCAE">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17</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niobium and tantalum content</w:t>
      </w:r>
      <w:r>
        <w:rPr>
          <w:rFonts w:hint="eastAsia" w:ascii="黑体" w:eastAsia="黑体" w:cs="Arial"/>
          <w:i/>
          <w:iCs/>
          <w:color w:val="auto"/>
          <w:kern w:val="0"/>
          <w:szCs w:val="21"/>
        </w:rPr>
        <w:t>s</w:t>
      </w:r>
      <w:r>
        <w:rPr>
          <w:rFonts w:ascii="黑体" w:eastAsia="黑体" w:cs="Arial"/>
          <w:i/>
          <w:iCs/>
          <w:color w:val="auto"/>
          <w:kern w:val="0"/>
          <w:szCs w:val="21"/>
        </w:rPr>
        <w:t xml:space="preserve"> </w:t>
      </w:r>
      <w:r>
        <w:rPr>
          <w:rFonts w:hint="eastAsia" w:ascii="黑体" w:eastAsia="黑体" w:cs="Arial"/>
          <w:i/>
          <w:iCs/>
          <w:color w:val="auto"/>
          <w:kern w:val="0"/>
          <w:szCs w:val="21"/>
        </w:rPr>
        <w:t>of</w:t>
      </w:r>
      <w:r>
        <w:rPr>
          <w:rFonts w:ascii="黑体" w:eastAsia="黑体" w:cs="Arial"/>
          <w:i/>
          <w:iCs/>
          <w:color w:val="auto"/>
          <w:kern w:val="0"/>
          <w:szCs w:val="21"/>
        </w:rPr>
        <w:t xml:space="preserve"> rare earth metals</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inductively coupled plasma atomic emission spectrometry and inductively coupled plasma mass spectrometry for the determination of niobium and tantalum content in rare earth metals.</w:t>
      </w:r>
    </w:p>
    <w:p w14:paraId="49414D45">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18</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zirconium content</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inductively coupled plasma atomic emission spectrometry and inductively coupled plasma mass spectrometry for the determination of zirconium content in rare earth metals and their oxides.</w:t>
      </w:r>
    </w:p>
    <w:p w14:paraId="5B4A623D">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19</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Determination of arsenic and mercury content</w:t>
      </w:r>
      <w:r>
        <w:rPr>
          <w:rFonts w:hint="eastAsia" w:ascii="黑体" w:eastAsia="黑体" w:cs="Arial"/>
          <w:i/>
          <w:iCs/>
          <w:color w:val="auto"/>
          <w:kern w:val="0"/>
          <w:szCs w:val="21"/>
        </w:rPr>
        <w:t>s</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inductively coupled plasma mass spectrometry and atomic fluorescence spectrometry for the determination of arsenic and mercury contents in rare earth metals and their oxides.</w:t>
      </w:r>
    </w:p>
    <w:p w14:paraId="5B3D87BC">
      <w:pPr>
        <w:rPr>
          <w:rFonts w:hint="default" w:ascii="黑体" w:eastAsia="黑体" w:cs="Arial"/>
          <w:color w:val="auto"/>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 xml:space="preserve">Part </w:t>
      </w:r>
      <w:r>
        <w:rPr>
          <w:rFonts w:hint="eastAsia" w:ascii="黑体" w:eastAsia="黑体" w:cs="Arial"/>
          <w:i/>
          <w:iCs/>
          <w:color w:val="auto"/>
          <w:kern w:val="0"/>
          <w:szCs w:val="21"/>
        </w:rPr>
        <w:t>20</w:t>
      </w:r>
      <w:r>
        <w:rPr>
          <w:rFonts w:ascii="黑体" w:eastAsia="黑体" w:cs="Arial"/>
          <w:i/>
          <w:iCs/>
          <w:color w:val="auto"/>
          <w:kern w:val="0"/>
          <w:szCs w:val="21"/>
        </w:rPr>
        <w:t>:</w:t>
      </w:r>
      <w:r>
        <w:rPr>
          <w:rFonts w:ascii="Segoe UI" w:hAnsi="Segoe UI" w:cs="Segoe UI"/>
          <w:color w:val="auto"/>
          <w:shd w:val="clear" w:color="auto" w:fill="FCFCFC"/>
        </w:rPr>
        <w:t xml:space="preserve"> </w:t>
      </w:r>
      <w:r>
        <w:rPr>
          <w:rFonts w:ascii="黑体" w:eastAsia="黑体" w:cs="Arial"/>
          <w:i/>
          <w:iCs/>
          <w:color w:val="auto"/>
          <w:kern w:val="0"/>
          <w:szCs w:val="21"/>
        </w:rPr>
        <w:t xml:space="preserve">Determination of </w:t>
      </w:r>
      <w:r>
        <w:rPr>
          <w:rFonts w:hint="eastAsia" w:ascii="黑体" w:eastAsia="黑体" w:cs="Arial"/>
          <w:i/>
          <w:iCs/>
          <w:color w:val="auto"/>
          <w:kern w:val="0"/>
          <w:szCs w:val="21"/>
        </w:rPr>
        <w:t>minor amounts of</w:t>
      </w:r>
      <w:r>
        <w:rPr>
          <w:rFonts w:ascii="黑体" w:eastAsia="黑体" w:cs="Arial"/>
          <w:i/>
          <w:iCs/>
          <w:color w:val="auto"/>
          <w:kern w:val="0"/>
          <w:szCs w:val="21"/>
        </w:rPr>
        <w:t xml:space="preserve"> fluorine and chlorine in rare earth oxides</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Ion chromatography</w:t>
      </w:r>
      <w:r>
        <w:rPr>
          <w:rFonts w:hint="eastAsia" w:ascii="黑体" w:eastAsia="黑体" w:cs="Arial"/>
          <w:i/>
          <w:iCs/>
          <w:color w:val="auto"/>
          <w:kern w:val="0"/>
          <w:szCs w:val="21"/>
        </w:rPr>
        <w:t xml:space="preserve"> method</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ion chromatography method for the determination of trace fluorine and chlorine content in rare earth oxides.</w:t>
      </w:r>
    </w:p>
    <w:p w14:paraId="2EF20A5F">
      <w:pPr>
        <w:rPr>
          <w:rFonts w:hint="default" w:ascii="黑体" w:eastAsia="黑体" w:cs="Arial"/>
          <w:i/>
          <w:iCs/>
          <w:color w:val="auto"/>
          <w:kern w:val="0"/>
          <w:szCs w:val="21"/>
          <w:lang w:val="en-US" w:eastAsia="zh-CN"/>
        </w:rPr>
      </w:pPr>
      <w:r>
        <w:rPr>
          <w:rFonts w:hint="eastAsia" w:ascii="黑体" w:eastAsia="黑体" w:cs="Arial"/>
          <w:color w:val="auto"/>
          <w:kern w:val="0"/>
          <w:szCs w:val="21"/>
        </w:rPr>
        <w:t>—</w:t>
      </w:r>
      <w:r>
        <w:rPr>
          <w:rFonts w:ascii="黑体" w:eastAsia="黑体" w:cs="Arial"/>
          <w:i/>
          <w:iCs/>
          <w:color w:val="auto"/>
          <w:kern w:val="0"/>
          <w:szCs w:val="21"/>
        </w:rPr>
        <w:t>Part 21: Determination of sulfate</w:t>
      </w:r>
      <w:r>
        <w:rPr>
          <w:rFonts w:hint="eastAsia" w:ascii="黑体" w:eastAsia="黑体" w:cs="Arial"/>
          <w:i/>
          <w:iCs/>
          <w:color w:val="auto"/>
          <w:kern w:val="0"/>
          <w:szCs w:val="21"/>
        </w:rPr>
        <w:t xml:space="preserve"> radical</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content in rare earth oxides</w:t>
      </w:r>
      <w:r>
        <w:rPr>
          <w:rFonts w:hint="eastAsia" w:ascii="黑体" w:eastAsia="黑体" w:cs="Arial"/>
          <w:i/>
          <w:iCs/>
          <w:color w:val="auto"/>
          <w:kern w:val="0"/>
          <w:szCs w:val="21"/>
          <w:lang w:val="en-US" w:eastAsia="zh-CN"/>
        </w:rPr>
        <w:t xml:space="preserve"> </w:t>
      </w:r>
      <w:r>
        <w:rPr>
          <w:rFonts w:hint="eastAsia" w:ascii="黑体" w:eastAsia="黑体"/>
          <w:color w:val="auto"/>
        </w:rPr>
        <w:t>—</w:t>
      </w:r>
      <w:r>
        <w:rPr>
          <w:rFonts w:hint="eastAsia" w:ascii="黑体" w:eastAsia="黑体" w:cs="Arial"/>
          <w:i/>
          <w:iCs/>
          <w:color w:val="auto"/>
          <w:kern w:val="0"/>
          <w:szCs w:val="21"/>
          <w:lang w:val="en-US" w:eastAsia="zh-CN"/>
        </w:rPr>
        <w:t xml:space="preserve"> </w:t>
      </w:r>
      <w:r>
        <w:rPr>
          <w:rFonts w:ascii="黑体" w:eastAsia="黑体" w:cs="Arial"/>
          <w:i/>
          <w:iCs/>
          <w:color w:val="auto"/>
          <w:kern w:val="0"/>
          <w:szCs w:val="21"/>
        </w:rPr>
        <w:t>Barium sulfate turbidimetry.</w:t>
      </w:r>
      <w:r>
        <w:rPr>
          <w:rFonts w:hint="eastAsia" w:ascii="黑体" w:eastAsia="黑体" w:cs="Arial"/>
          <w:i/>
          <w:iCs/>
          <w:color w:val="auto"/>
          <w:kern w:val="0"/>
          <w:szCs w:val="21"/>
          <w:lang w:val="en-US" w:eastAsia="zh-CN"/>
        </w:rPr>
        <w:t xml:space="preserve"> </w:t>
      </w:r>
      <w:r>
        <w:rPr>
          <w:rFonts w:hint="eastAsia" w:ascii="黑体" w:eastAsia="黑体" w:cs="Arial"/>
          <w:color w:val="auto"/>
          <w:szCs w:val="21"/>
        </w:rPr>
        <w:t>The aim is to establish</w:t>
      </w:r>
      <w:r>
        <w:rPr>
          <w:rFonts w:hint="eastAsia" w:ascii="黑体" w:eastAsia="黑体" w:cs="Arial"/>
          <w:color w:val="auto"/>
          <w:szCs w:val="21"/>
          <w:lang w:val="en-US" w:eastAsia="zh-CN"/>
        </w:rPr>
        <w:t xml:space="preserve"> spectrophotometry for the determination of sulfate radical content in rare earth oxides.</w:t>
      </w:r>
    </w:p>
    <w:p w14:paraId="3C588B46">
      <w:pPr>
        <w:rPr>
          <w:rFonts w:hint="eastAsia" w:ascii="黑体" w:eastAsia="黑体"/>
          <w:color w:val="auto"/>
        </w:rPr>
      </w:pPr>
      <w:r>
        <w:rPr>
          <w:rFonts w:hint="eastAsia" w:ascii="黑体" w:eastAsia="黑体"/>
          <w:color w:val="auto"/>
        </w:rPr>
        <w:t xml:space="preserve">The above parts of the standard are established sequentially according to the elements routinely tested in the production and trade of rare earth metals and their oxides. Each part includes one or more detection methods, respectively specifying the scope of application, the selection of reagents, materials and test equipment, and standardizing the test procedures. Precision data are provided based on multiple tests and </w:t>
      </w:r>
      <w:r>
        <w:rPr>
          <w:rFonts w:hint="eastAsia" w:ascii="黑体" w:eastAsia="黑体"/>
          <w:color w:val="auto"/>
          <w:lang w:val="en-US" w:eastAsia="zh-CN"/>
        </w:rPr>
        <w:t>validation</w:t>
      </w:r>
      <w:r>
        <w:rPr>
          <w:rFonts w:hint="eastAsia" w:ascii="黑体" w:eastAsia="黑体"/>
          <w:color w:val="auto"/>
        </w:rPr>
        <w:t xml:space="preserve"> by multiple laboratories, establishing a rigorous and normative basis for standardization for the quality verification of rare earth metals and their oxides.</w:t>
      </w:r>
    </w:p>
    <w:p w14:paraId="330BE90F">
      <w:pPr>
        <w:rPr>
          <w:rFonts w:hint="eastAsia" w:ascii="黑体" w:eastAsia="黑体"/>
          <w:color w:val="auto"/>
        </w:rPr>
      </w:pPr>
      <w:r>
        <w:rPr>
          <w:rFonts w:hint="eastAsia" w:ascii="黑体" w:eastAsia="黑体"/>
          <w:color w:val="auto"/>
        </w:rPr>
        <w:t xml:space="preserve">At present, molybdenum and tungsten in rare earth metals mainly originate from the </w:t>
      </w:r>
      <w:r>
        <w:rPr>
          <w:rFonts w:hint="eastAsia" w:ascii="黑体" w:eastAsia="黑体"/>
          <w:color w:val="auto"/>
          <w:lang w:val="en-US" w:eastAsia="zh-CN"/>
        </w:rPr>
        <w:t>containers</w:t>
      </w:r>
      <w:r>
        <w:rPr>
          <w:rFonts w:hint="eastAsia" w:ascii="黑体" w:eastAsia="黑体"/>
          <w:color w:val="auto"/>
        </w:rPr>
        <w:t xml:space="preserve"> used in the production and smelting process. In the production and trading process of many rare earth metals, there are requirements for</w:t>
      </w:r>
      <w:r>
        <w:rPr>
          <w:rFonts w:hint="eastAsia" w:ascii="黑体" w:eastAsia="黑体"/>
          <w:color w:val="auto"/>
          <w:lang w:val="en-US" w:eastAsia="zh-CN"/>
        </w:rPr>
        <w:t xml:space="preserve"> the limits of</w:t>
      </w:r>
      <w:r>
        <w:rPr>
          <w:rFonts w:hint="eastAsia" w:ascii="黑体" w:eastAsia="黑体"/>
          <w:color w:val="auto"/>
        </w:rPr>
        <w:t xml:space="preserve"> molybdenum and tungsten content. Therefore, it is particularly important to establish a unified, rapid and accurate standard for the determination of molybdenum and tungsten content in rare earth metals. In practical detection and analysis, inductively coupled plasma atomic emission spectrometry and inductively coupled plasma mass spectrometry can complement each other and comprehensively cover the range of molybdenum and tungsten content requirements in existing product standards. Through extensive condition experiments, this document standardizes each step of the detection process using inductively coupled plasma atomic emission spectrometers and inductively coupled plasma mass spectrometers, ultimately establishing a set of standardized, </w:t>
      </w:r>
      <w:r>
        <w:rPr>
          <w:rFonts w:hint="eastAsia" w:ascii="黑体" w:eastAsia="黑体"/>
          <w:color w:val="auto"/>
          <w:lang w:val="en-US" w:eastAsia="zh-CN"/>
        </w:rPr>
        <w:t>practical</w:t>
      </w:r>
      <w:r>
        <w:rPr>
          <w:rFonts w:hint="eastAsia" w:ascii="黑体" w:eastAsia="黑体"/>
          <w:color w:val="auto"/>
        </w:rPr>
        <w:t xml:space="preserve"> and highly accurate detection </w:t>
      </w:r>
      <w:r>
        <w:rPr>
          <w:rFonts w:hint="eastAsia" w:ascii="黑体" w:eastAsia="黑体"/>
          <w:color w:val="auto"/>
          <w:lang w:val="en-US" w:eastAsia="zh-CN"/>
        </w:rPr>
        <w:t>methods</w:t>
      </w:r>
      <w:r>
        <w:rPr>
          <w:rFonts w:hint="eastAsia" w:ascii="黑体" w:eastAsia="黑体"/>
          <w:color w:val="auto"/>
        </w:rPr>
        <w:t>.</w:t>
      </w:r>
    </w:p>
    <w:p w14:paraId="04710AFF">
      <w:pPr>
        <w:rPr>
          <w:rFonts w:hint="eastAsia"/>
          <w:color w:val="auto"/>
        </w:rPr>
      </w:pPr>
    </w:p>
    <w:p w14:paraId="62B305B3">
      <w:pPr>
        <w:rPr>
          <w:rFonts w:hint="eastAsia"/>
          <w:color w:val="auto"/>
        </w:rPr>
      </w:pPr>
    </w:p>
    <w:p w14:paraId="170745F5">
      <w:pPr>
        <w:jc w:val="left"/>
        <w:rPr>
          <w:rFonts w:hint="eastAsia" w:ascii="黑体" w:hAnsi="黑体" w:eastAsia="黑体" w:cs="黑体"/>
          <w:color w:val="auto"/>
          <w:sz w:val="36"/>
          <w:szCs w:val="36"/>
        </w:rPr>
      </w:pPr>
      <w:r>
        <w:rPr>
          <w:rFonts w:hint="eastAsia"/>
          <w:color w:val="auto"/>
        </w:rPr>
        <w:br w:type="page"/>
      </w:r>
      <w:r>
        <w:rPr>
          <w:rFonts w:hint="eastAsia" w:ascii="黑体" w:hAnsi="黑体" w:eastAsia="黑体" w:cs="黑体"/>
          <w:color w:val="auto"/>
          <w:sz w:val="36"/>
          <w:szCs w:val="36"/>
        </w:rPr>
        <w:t>Chemical analysis methods of non-rare earth impurities in rare earth metals and their oxides</w:t>
      </w:r>
      <w:r>
        <w:rPr>
          <w:rFonts w:hint="eastAsia" w:ascii="黑体" w:hAnsi="黑体" w:eastAsia="黑体" w:cs="黑体"/>
          <w:color w:val="auto"/>
          <w:sz w:val="36"/>
          <w:szCs w:val="36"/>
          <w:lang w:val="en-US" w:eastAsia="zh-CN"/>
        </w:rPr>
        <w:t xml:space="preserve"> </w:t>
      </w:r>
      <w:r>
        <w:rPr>
          <w:rFonts w:hint="eastAsia" w:ascii="黑体" w:hAnsi="黑体" w:eastAsia="黑体" w:cs="黑体"/>
          <w:color w:val="auto"/>
          <w:sz w:val="36"/>
          <w:szCs w:val="36"/>
        </w:rPr>
        <w:t>—</w:t>
      </w:r>
      <w:r>
        <w:rPr>
          <w:rFonts w:hint="eastAsia" w:ascii="黑体" w:hAnsi="黑体" w:eastAsia="黑体" w:cs="黑体"/>
          <w:color w:val="auto"/>
          <w:sz w:val="36"/>
          <w:szCs w:val="36"/>
          <w:lang w:val="en-US" w:eastAsia="zh-CN"/>
        </w:rPr>
        <w:t xml:space="preserve"> </w:t>
      </w:r>
      <w:r>
        <w:rPr>
          <w:rFonts w:hint="eastAsia" w:ascii="黑体" w:hAnsi="黑体" w:eastAsia="黑体" w:cs="黑体"/>
          <w:color w:val="auto"/>
          <w:sz w:val="36"/>
          <w:szCs w:val="36"/>
        </w:rPr>
        <w:t>Part 13: Determination of molybdenum and tungsten content</w:t>
      </w:r>
    </w:p>
    <w:p w14:paraId="58F5659D">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rPr>
        <w:t>1 Scope</w:t>
      </w:r>
    </w:p>
    <w:p w14:paraId="589499B4">
      <w:pPr>
        <w:spacing w:line="360" w:lineRule="exact"/>
        <w:rPr>
          <w:rFonts w:hint="eastAsia" w:ascii="黑体" w:hAnsi="黑体" w:eastAsia="黑体" w:cs="黑体"/>
          <w:color w:val="auto"/>
        </w:rPr>
      </w:pPr>
      <w:bookmarkStart w:id="4" w:name="_Ref496623692"/>
      <w:r>
        <w:rPr>
          <w:rFonts w:hint="eastAsia" w:ascii="黑体" w:hAnsi="黑体" w:eastAsia="黑体" w:cs="黑体"/>
          <w:color w:val="auto"/>
        </w:rPr>
        <w:t>This document describes the method</w:t>
      </w:r>
      <w:r>
        <w:rPr>
          <w:rFonts w:hint="eastAsia" w:ascii="黑体" w:hAnsi="黑体" w:eastAsia="黑体" w:cs="黑体"/>
          <w:color w:val="auto"/>
          <w:lang w:val="en-US" w:eastAsia="zh-CN"/>
        </w:rPr>
        <w:t>s</w:t>
      </w:r>
      <w:r>
        <w:rPr>
          <w:rFonts w:hint="eastAsia" w:ascii="黑体" w:hAnsi="黑体" w:eastAsia="黑体" w:cs="黑体"/>
          <w:color w:val="auto"/>
        </w:rPr>
        <w:t xml:space="preserve"> for the determination of molybdenum and tungsten content in rare earth metals.</w:t>
      </w:r>
    </w:p>
    <w:p w14:paraId="1329543B">
      <w:pPr>
        <w:spacing w:line="360" w:lineRule="exact"/>
        <w:rPr>
          <w:rFonts w:hint="eastAsia" w:ascii="黑体" w:hAnsi="黑体" w:eastAsia="黑体" w:cs="黑体"/>
          <w:color w:val="auto"/>
        </w:rPr>
      </w:pPr>
      <w:r>
        <w:rPr>
          <w:rFonts w:hint="eastAsia" w:ascii="黑体" w:hAnsi="黑体" w:eastAsia="黑体" w:cs="黑体"/>
          <w:color w:val="auto"/>
        </w:rPr>
        <w:t xml:space="preserve">This document is applicable to the determination of molybdenum and tungsten content in rare earth metals. The determination range (mass fraction) for inductively coupled plasma atomic emission spectrometry (Method 1) is </w:t>
      </w:r>
      <w:r>
        <w:rPr>
          <w:rFonts w:hint="eastAsia" w:ascii="黑体" w:hAnsi="黑体" w:eastAsia="黑体" w:cs="黑体"/>
          <w:color w:val="auto"/>
          <w:lang w:val="en-US" w:eastAsia="zh-CN"/>
        </w:rPr>
        <w:t xml:space="preserve">from </w:t>
      </w:r>
      <w:r>
        <w:rPr>
          <w:rFonts w:hint="eastAsia" w:ascii="黑体" w:hAnsi="黑体" w:eastAsia="黑体" w:cs="黑体"/>
          <w:color w:val="auto"/>
        </w:rPr>
        <w:t xml:space="preserve">0.0050% to 0.50%. The determination range (mass fraction) for inductively coupled plasma mass spectrometry (Method 2) is </w:t>
      </w:r>
      <w:r>
        <w:rPr>
          <w:rFonts w:hint="eastAsia" w:ascii="黑体" w:hAnsi="黑体" w:eastAsia="黑体" w:cs="黑体"/>
          <w:color w:val="auto"/>
          <w:lang w:val="en-US" w:eastAsia="zh-CN"/>
        </w:rPr>
        <w:t xml:space="preserve">from </w:t>
      </w:r>
      <w:r>
        <w:rPr>
          <w:rFonts w:hint="eastAsia" w:ascii="黑体" w:hAnsi="黑体" w:eastAsia="黑体" w:cs="黑体"/>
          <w:color w:val="auto"/>
        </w:rPr>
        <w:t>0.0001% to 0.10%.</w:t>
      </w:r>
      <w:r>
        <w:rPr>
          <w:rFonts w:hint="eastAsia" w:ascii="黑体" w:hAnsi="黑体" w:eastAsia="黑体" w:cs="黑体"/>
          <w:color w:val="auto"/>
          <w:lang w:val="en-US" w:eastAsia="zh-CN"/>
        </w:rPr>
        <w:t xml:space="preserve"> </w:t>
      </w:r>
      <w:r>
        <w:rPr>
          <w:rFonts w:hint="eastAsia" w:ascii="黑体" w:hAnsi="黑体" w:eastAsia="黑体" w:cs="黑体"/>
          <w:color w:val="auto"/>
        </w:rPr>
        <w:t>Whe</w:t>
      </w:r>
      <w:r>
        <w:rPr>
          <w:rFonts w:hint="eastAsia" w:ascii="黑体" w:hAnsi="黑体" w:eastAsia="黑体" w:cs="黑体"/>
          <w:color w:val="auto"/>
          <w:lang w:val="en-US" w:eastAsia="zh-CN"/>
        </w:rPr>
        <w:t>n</w:t>
      </w:r>
      <w:r>
        <w:rPr>
          <w:rFonts w:hint="eastAsia" w:ascii="黑体" w:hAnsi="黑体" w:eastAsia="黑体" w:cs="黑体"/>
          <w:color w:val="auto"/>
        </w:rPr>
        <w:t xml:space="preserve"> the determination ranges overlap, Method 1</w:t>
      </w:r>
      <w:r>
        <w:rPr>
          <w:rFonts w:hint="eastAsia" w:ascii="黑体" w:hAnsi="黑体" w:eastAsia="黑体" w:cs="黑体"/>
          <w:color w:val="auto"/>
          <w:lang w:val="en-US" w:eastAsia="zh-CN"/>
        </w:rPr>
        <w:t xml:space="preserve"> </w:t>
      </w:r>
      <w:r>
        <w:rPr>
          <w:rFonts w:hint="eastAsia" w:ascii="黑体" w:hAnsi="黑体" w:eastAsia="黑体" w:cs="黑体"/>
          <w:color w:val="auto"/>
        </w:rPr>
        <w:t xml:space="preserve">is used as </w:t>
      </w:r>
      <w:r>
        <w:rPr>
          <w:rFonts w:hint="eastAsia" w:ascii="黑体" w:hAnsi="黑体" w:eastAsia="黑体" w:cs="黑体"/>
          <w:color w:val="auto"/>
          <w:lang w:val="en-US" w:eastAsia="zh-CN"/>
        </w:rPr>
        <w:t xml:space="preserve">the </w:t>
      </w:r>
      <w:r>
        <w:rPr>
          <w:rFonts w:hint="eastAsia" w:ascii="黑体" w:hAnsi="黑体" w:eastAsia="黑体" w:cs="黑体"/>
          <w:color w:val="auto"/>
        </w:rPr>
        <w:t>arbitration method.</w:t>
      </w:r>
    </w:p>
    <w:p w14:paraId="2F267CB2">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rPr>
        <w:t>2 Normative references</w:t>
      </w:r>
    </w:p>
    <w:p w14:paraId="739E6197">
      <w:pPr>
        <w:spacing w:line="360" w:lineRule="exact"/>
        <w:rPr>
          <w:rFonts w:hint="eastAsia" w:ascii="黑体" w:hAnsi="黑体" w:eastAsia="黑体" w:cs="黑体"/>
          <w:color w:val="auto"/>
        </w:rPr>
      </w:pPr>
      <w:r>
        <w:rPr>
          <w:rFonts w:hint="eastAsia" w:ascii="黑体" w:hAnsi="黑体" w:eastAsia="黑体" w:cs="黑体"/>
          <w:color w:val="auto"/>
        </w:rPr>
        <w:t>The following referenced documents are indispensable for the application of this document. For dated references, only the edition cited applies. For undated references, the latest edition of the reference document (including any amendments) applies.</w:t>
      </w:r>
    </w:p>
    <w:p w14:paraId="24FB2E74">
      <w:pPr>
        <w:spacing w:line="360" w:lineRule="exact"/>
        <w:rPr>
          <w:rFonts w:hint="eastAsia" w:ascii="黑体" w:hAnsi="黑体" w:eastAsia="黑体" w:cs="黑体"/>
          <w:i/>
          <w:iCs/>
          <w:color w:val="auto"/>
        </w:rPr>
      </w:pPr>
      <w:r>
        <w:rPr>
          <w:rFonts w:hint="eastAsia" w:ascii="黑体" w:hAnsi="黑体" w:eastAsia="黑体" w:cs="黑体"/>
          <w:color w:val="auto"/>
        </w:rPr>
        <w:t xml:space="preserve">—GB/T 6682 </w:t>
      </w:r>
      <w:r>
        <w:rPr>
          <w:rFonts w:hint="eastAsia" w:ascii="黑体" w:hAnsi="黑体" w:eastAsia="黑体" w:cs="黑体"/>
          <w:i/>
          <w:iCs/>
          <w:color w:val="auto"/>
        </w:rPr>
        <w:t xml:space="preserve">Water for analytical laboratory use </w:t>
      </w:r>
      <w:r>
        <w:rPr>
          <w:rFonts w:hint="eastAsia" w:ascii="黑体" w:eastAsia="黑体"/>
          <w:color w:val="auto"/>
        </w:rPr>
        <w:t>—</w:t>
      </w:r>
      <w:r>
        <w:rPr>
          <w:rFonts w:hint="eastAsia" w:ascii="黑体" w:hAnsi="黑体" w:eastAsia="黑体" w:cs="黑体"/>
          <w:i/>
          <w:iCs/>
          <w:color w:val="auto"/>
        </w:rPr>
        <w:t xml:space="preserve"> Specification and test methods.</w:t>
      </w:r>
    </w:p>
    <w:p w14:paraId="5720F234">
      <w:pPr>
        <w:spacing w:line="360" w:lineRule="exact"/>
        <w:rPr>
          <w:rFonts w:hint="eastAsia" w:ascii="黑体" w:hAnsi="黑体" w:eastAsia="黑体" w:cs="黑体"/>
          <w:color w:val="auto"/>
        </w:rPr>
      </w:pPr>
      <w:r>
        <w:rPr>
          <w:rFonts w:hint="eastAsia" w:ascii="黑体" w:hAnsi="黑体" w:eastAsia="黑体" w:cs="黑体"/>
          <w:color w:val="auto"/>
        </w:rPr>
        <w:t xml:space="preserve">—GB/T 8170 </w:t>
      </w:r>
      <w:r>
        <w:rPr>
          <w:rFonts w:hint="eastAsia" w:ascii="黑体" w:hAnsi="黑体" w:eastAsia="黑体" w:cs="黑体"/>
          <w:i/>
          <w:iCs/>
          <w:color w:val="auto"/>
        </w:rPr>
        <w:t>Rules of</w:t>
      </w:r>
      <w:r>
        <w:rPr>
          <w:rFonts w:hint="eastAsia" w:ascii="黑体" w:hAnsi="黑体" w:eastAsia="黑体" w:cs="黑体"/>
          <w:i/>
          <w:iCs/>
          <w:color w:val="auto"/>
          <w:lang w:val="en-US" w:eastAsia="zh-CN"/>
        </w:rPr>
        <w:t xml:space="preserve"> </w:t>
      </w:r>
      <w:r>
        <w:rPr>
          <w:rFonts w:hint="eastAsia" w:ascii="黑体" w:hAnsi="黑体" w:eastAsia="黑体" w:cs="黑体"/>
          <w:i/>
          <w:iCs/>
          <w:color w:val="auto"/>
        </w:rPr>
        <w:t>rounding off for numerical values &amp; expression and judgement of limiting values.</w:t>
      </w:r>
    </w:p>
    <w:p w14:paraId="7DB2CBF7">
      <w:pPr>
        <w:spacing w:line="360" w:lineRule="exact"/>
        <w:rPr>
          <w:rFonts w:hint="default" w:ascii="黑体" w:hAnsi="黑体" w:eastAsia="黑体" w:cs="黑体"/>
          <w:color w:val="auto"/>
          <w:lang w:val="en-US" w:eastAsia="zh-CN"/>
        </w:rPr>
      </w:pPr>
      <w:bookmarkStart w:id="5" w:name="OLE_LINK26"/>
      <w:r>
        <w:rPr>
          <w:rFonts w:hint="eastAsia" w:ascii="黑体" w:hAnsi="黑体" w:eastAsia="黑体" w:cs="黑体"/>
          <w:color w:val="auto"/>
        </w:rPr>
        <w:t>—JJ</w:t>
      </w:r>
      <w:bookmarkEnd w:id="5"/>
      <w:r>
        <w:rPr>
          <w:rFonts w:hint="eastAsia" w:ascii="黑体" w:hAnsi="黑体" w:eastAsia="黑体" w:cs="黑体"/>
          <w:color w:val="auto"/>
          <w:lang w:val="en-US" w:eastAsia="zh-CN"/>
        </w:rPr>
        <w:t xml:space="preserve">F 1159 </w:t>
      </w:r>
      <w:r>
        <w:rPr>
          <w:rFonts w:hint="eastAsia" w:ascii="黑体" w:hAnsi="黑体" w:eastAsia="黑体" w:cs="黑体"/>
          <w:i/>
          <w:iCs/>
          <w:color w:val="auto"/>
          <w:lang w:val="en-US" w:eastAsia="zh-CN"/>
        </w:rPr>
        <w:t>Calibration Specification for Quadrupole Inductively Coupled Plasma Mass Spectrometers.</w:t>
      </w:r>
    </w:p>
    <w:p w14:paraId="5B9F301F">
      <w:pPr>
        <w:spacing w:line="360" w:lineRule="exact"/>
        <w:rPr>
          <w:rFonts w:hint="eastAsia" w:ascii="黑体" w:hAnsi="黑体" w:eastAsia="黑体" w:cs="黑体"/>
          <w:i/>
          <w:iCs/>
          <w:color w:val="auto"/>
        </w:rPr>
      </w:pPr>
      <w:r>
        <w:rPr>
          <w:rFonts w:hint="eastAsia" w:ascii="黑体" w:hAnsi="黑体" w:eastAsia="黑体" w:cs="黑体"/>
          <w:color w:val="auto"/>
        </w:rPr>
        <w:t xml:space="preserve">—JJG 768 </w:t>
      </w:r>
      <w:r>
        <w:rPr>
          <w:rFonts w:hint="eastAsia" w:ascii="黑体" w:hAnsi="黑体" w:eastAsia="黑体" w:cs="黑体"/>
          <w:i/>
          <w:iCs/>
          <w:color w:val="auto"/>
        </w:rPr>
        <w:t>Verification Regulation of Emission Spectrometer.</w:t>
      </w:r>
    </w:p>
    <w:p w14:paraId="4AB03ED0">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rPr>
        <w:t>3 Terms and Definitions</w:t>
      </w:r>
    </w:p>
    <w:bookmarkEnd w:id="4"/>
    <w:p w14:paraId="6BAEFC74">
      <w:pPr>
        <w:spacing w:line="360" w:lineRule="exact"/>
        <w:rPr>
          <w:rFonts w:hint="eastAsia" w:ascii="黑体" w:hAnsi="黑体" w:eastAsia="黑体" w:cs="黑体"/>
          <w:color w:val="auto"/>
        </w:rPr>
      </w:pPr>
      <w:r>
        <w:rPr>
          <w:rFonts w:hint="eastAsia" w:ascii="黑体" w:hAnsi="黑体" w:eastAsia="黑体" w:cs="黑体"/>
          <w:color w:val="auto"/>
          <w:lang w:val="en-US" w:eastAsia="zh-CN"/>
        </w:rPr>
        <w:t>There are no</w:t>
      </w:r>
      <w:r>
        <w:rPr>
          <w:rFonts w:hint="eastAsia" w:ascii="黑体" w:hAnsi="黑体" w:eastAsia="黑体" w:cs="黑体"/>
          <w:color w:val="auto"/>
        </w:rPr>
        <w:t xml:space="preserve"> term</w:t>
      </w:r>
      <w:r>
        <w:rPr>
          <w:rFonts w:hint="eastAsia" w:ascii="黑体" w:hAnsi="黑体" w:eastAsia="黑体" w:cs="黑体"/>
          <w:color w:val="auto"/>
          <w:lang w:val="en-US" w:eastAsia="zh-CN"/>
        </w:rPr>
        <w:t>s</w:t>
      </w:r>
      <w:r>
        <w:rPr>
          <w:rFonts w:hint="eastAsia" w:ascii="黑体" w:hAnsi="黑体" w:eastAsia="黑体" w:cs="黑体"/>
          <w:color w:val="auto"/>
        </w:rPr>
        <w:t xml:space="preserve"> or definition</w:t>
      </w:r>
      <w:r>
        <w:rPr>
          <w:rFonts w:hint="eastAsia" w:ascii="黑体" w:hAnsi="黑体" w:eastAsia="黑体" w:cs="黑体"/>
          <w:color w:val="auto"/>
          <w:lang w:val="en-US" w:eastAsia="zh-CN"/>
        </w:rPr>
        <w:t>s</w:t>
      </w:r>
      <w:r>
        <w:rPr>
          <w:rFonts w:hint="eastAsia" w:ascii="黑体" w:hAnsi="黑体" w:eastAsia="黑体" w:cs="黑体"/>
          <w:color w:val="auto"/>
        </w:rPr>
        <w:t xml:space="preserve"> </w:t>
      </w:r>
      <w:r>
        <w:rPr>
          <w:rFonts w:hint="eastAsia" w:ascii="黑体" w:hAnsi="黑体" w:eastAsia="黑体" w:cs="黑体"/>
          <w:color w:val="auto"/>
          <w:lang w:val="en-US" w:eastAsia="zh-CN"/>
        </w:rPr>
        <w:t xml:space="preserve">that </w:t>
      </w:r>
      <w:r>
        <w:rPr>
          <w:rFonts w:hint="eastAsia" w:ascii="黑体" w:hAnsi="黑体" w:eastAsia="黑体" w:cs="黑体"/>
          <w:color w:val="auto"/>
        </w:rPr>
        <w:t>need to be defined in this document.</w:t>
      </w:r>
    </w:p>
    <w:p w14:paraId="4FC4D90B">
      <w:pPr>
        <w:spacing w:line="360" w:lineRule="exact"/>
        <w:rPr>
          <w:rFonts w:hint="eastAsia" w:ascii="黑体" w:hAnsi="黑体" w:eastAsia="黑体" w:cs="黑体"/>
          <w:color w:val="auto"/>
          <w:lang w:eastAsia="zh-CN"/>
        </w:rPr>
      </w:pPr>
    </w:p>
    <w:p w14:paraId="4A46F3CC">
      <w:pPr>
        <w:rPr>
          <w:rFonts w:hint="eastAsia" w:ascii="黑体" w:hAnsi="黑体" w:eastAsia="黑体" w:cs="黑体"/>
          <w:color w:val="auto"/>
          <w:szCs w:val="21"/>
        </w:rPr>
      </w:pPr>
      <w:r>
        <w:rPr>
          <w:rFonts w:hint="eastAsia" w:ascii="黑体" w:hAnsi="黑体" w:eastAsia="黑体" w:cs="黑体"/>
          <w:bCs/>
          <w:color w:val="auto"/>
          <w:lang w:val="en-US" w:eastAsia="zh-CN"/>
        </w:rPr>
        <w:t>4</w:t>
      </w:r>
      <w:r>
        <w:rPr>
          <w:rFonts w:hint="eastAsia" w:ascii="黑体" w:hAnsi="黑体" w:eastAsia="黑体" w:cs="黑体"/>
          <w:bCs/>
          <w:color w:val="auto"/>
        </w:rPr>
        <w:t xml:space="preserve"> Inductively Coupled Plasma Emission Spectrometry </w:t>
      </w:r>
      <w:r>
        <w:rPr>
          <w:rFonts w:hint="eastAsia" w:ascii="黑体" w:hAnsi="黑体" w:eastAsia="黑体" w:cs="黑体"/>
          <w:bCs/>
          <w:color w:val="auto"/>
          <w:lang w:eastAsia="zh-CN"/>
        </w:rPr>
        <w:t>(</w:t>
      </w:r>
      <w:r>
        <w:rPr>
          <w:rFonts w:hint="eastAsia" w:ascii="黑体" w:hAnsi="黑体" w:eastAsia="黑体" w:cs="黑体"/>
          <w:bCs/>
          <w:color w:val="auto"/>
          <w:lang w:val="en-US" w:eastAsia="zh-CN"/>
        </w:rPr>
        <w:t>M</w:t>
      </w:r>
      <w:r>
        <w:rPr>
          <w:rFonts w:hint="eastAsia" w:ascii="黑体" w:hAnsi="黑体" w:eastAsia="黑体" w:cs="黑体"/>
          <w:bCs/>
          <w:color w:val="auto"/>
          <w:lang w:eastAsia="zh-CN"/>
        </w:rPr>
        <w:t>ethod</w:t>
      </w:r>
      <w:r>
        <w:rPr>
          <w:rFonts w:hint="eastAsia" w:ascii="黑体" w:hAnsi="黑体" w:eastAsia="黑体" w:cs="黑体"/>
          <w:bCs/>
          <w:color w:val="auto"/>
        </w:rPr>
        <w:t xml:space="preserve"> </w:t>
      </w:r>
      <w:r>
        <w:rPr>
          <w:rFonts w:hint="eastAsia" w:ascii="黑体" w:hAnsi="黑体" w:eastAsia="黑体" w:cs="黑体"/>
          <w:bCs/>
          <w:color w:val="auto"/>
          <w:lang w:val="en-US" w:eastAsia="zh-CN"/>
        </w:rPr>
        <w:t>1</w:t>
      </w:r>
      <w:r>
        <w:rPr>
          <w:rFonts w:hint="eastAsia" w:ascii="黑体" w:hAnsi="黑体" w:eastAsia="黑体" w:cs="黑体"/>
          <w:bCs/>
          <w:color w:val="auto"/>
        </w:rPr>
        <w:t>)</w:t>
      </w:r>
    </w:p>
    <w:p w14:paraId="1B92B9F9">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lang w:val="en-US" w:eastAsia="zh-CN"/>
        </w:rPr>
        <w:t>4</w:t>
      </w:r>
      <w:r>
        <w:rPr>
          <w:rFonts w:hint="eastAsia" w:hAnsi="黑体" w:cs="黑体"/>
          <w:color w:val="auto"/>
        </w:rPr>
        <w:t>.1 Principle</w:t>
      </w:r>
    </w:p>
    <w:p w14:paraId="36D1DB4D">
      <w:pPr>
        <w:pStyle w:val="29"/>
        <w:adjustRightInd w:val="0"/>
        <w:snapToGrid w:val="0"/>
        <w:spacing w:line="360" w:lineRule="exact"/>
        <w:rPr>
          <w:rFonts w:hint="eastAsia" w:ascii="黑体" w:hAnsi="黑体" w:eastAsia="黑体" w:cs="黑体"/>
          <w:color w:val="auto"/>
          <w:szCs w:val="21"/>
        </w:rPr>
      </w:pPr>
      <w:r>
        <w:rPr>
          <w:rFonts w:hint="eastAsia" w:ascii="黑体" w:hAnsi="黑体" w:eastAsia="黑体" w:cs="黑体"/>
          <w:color w:val="auto"/>
          <w:szCs w:val="21"/>
        </w:rPr>
        <w:t>The test portion is dissolved with nitric acid and hydrofluoric acid, and the rare earth matrix is separated by fluoride precipitation. The molybdenum and tungsten contents are determined at the selected wavelengths in a nitric acid-boric acid medium using an inductively coupled plasma emission spectrometer.</w:t>
      </w:r>
    </w:p>
    <w:p w14:paraId="1FEF6A0A">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lang w:val="en-US" w:eastAsia="zh-CN"/>
        </w:rPr>
        <w:t>4</w:t>
      </w:r>
      <w:r>
        <w:rPr>
          <w:rFonts w:hint="eastAsia" w:hAnsi="黑体" w:cs="黑体"/>
          <w:color w:val="auto"/>
        </w:rPr>
        <w:t>.2 Reagents and Materials</w:t>
      </w:r>
    </w:p>
    <w:p w14:paraId="380CEA04">
      <w:pPr>
        <w:spacing w:line="360" w:lineRule="exact"/>
        <w:rPr>
          <w:rFonts w:hint="eastAsia" w:ascii="黑体" w:hAnsi="黑体" w:eastAsia="黑体" w:cs="黑体"/>
          <w:bCs/>
          <w:color w:val="auto"/>
        </w:rPr>
      </w:pPr>
      <w:r>
        <w:rPr>
          <w:rFonts w:hint="eastAsia" w:ascii="黑体" w:hAnsi="黑体" w:eastAsia="黑体" w:cs="黑体"/>
          <w:bCs/>
          <w:color w:val="auto"/>
        </w:rPr>
        <w:t xml:space="preserve">Unless otherwise stated, only reagents confirmed to be of analytical grade or above and secondary water complying with GB/T 6682 are used in the analysis. </w:t>
      </w:r>
      <w:r>
        <w:rPr>
          <w:rFonts w:hint="eastAsia" w:ascii="黑体" w:hAnsi="黑体" w:eastAsia="黑体" w:cs="黑体"/>
          <w:color w:val="auto"/>
        </w:rPr>
        <w:t>All of the liquid reagents shall be stored in plastic bottles, certified</w:t>
      </w:r>
      <w:r>
        <w:rPr>
          <w:rFonts w:hint="eastAsia" w:ascii="黑体" w:hAnsi="黑体" w:eastAsia="黑体" w:cs="黑体"/>
          <w:bCs/>
          <w:color w:val="auto"/>
        </w:rPr>
        <w:t xml:space="preserve"> standard solutions are preferred.</w:t>
      </w:r>
    </w:p>
    <w:p w14:paraId="37EEDA29">
      <w:pPr>
        <w:spacing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.2.1 Sodium hydroxide.</w:t>
      </w:r>
    </w:p>
    <w:p w14:paraId="5B041C58">
      <w:pPr>
        <w:spacing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.2.2 Nitric acid (</w:t>
      </w:r>
      <w:r>
        <w:rPr>
          <w:rFonts w:hint="eastAsia" w:ascii="黑体" w:hAnsi="黑体" w:eastAsia="黑体" w:cs="黑体"/>
          <w:i/>
          <w:iCs/>
          <w:color w:val="auto"/>
        </w:rPr>
        <w:t>ρ</w:t>
      </w:r>
      <w:r>
        <w:rPr>
          <w:rFonts w:hint="eastAsia" w:ascii="黑体" w:hAnsi="黑体" w:eastAsia="黑体" w:cs="黑体"/>
          <w:color w:val="auto"/>
        </w:rPr>
        <w:t>= 1.42 g/mL).</w:t>
      </w:r>
    </w:p>
    <w:p w14:paraId="3BEEE6C8">
      <w:pPr>
        <w:spacing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.2.3 Hydrofluoric acid (</w:t>
      </w:r>
      <w:r>
        <w:rPr>
          <w:rFonts w:hint="eastAsia" w:ascii="黑体" w:hAnsi="黑体" w:eastAsia="黑体" w:cs="黑体"/>
          <w:i/>
          <w:iCs/>
          <w:color w:val="auto"/>
        </w:rPr>
        <w:t>ρ</w:t>
      </w:r>
      <w:r>
        <w:rPr>
          <w:rFonts w:hint="eastAsia" w:ascii="黑体" w:hAnsi="黑体" w:eastAsia="黑体" w:cs="黑体"/>
          <w:color w:val="auto"/>
        </w:rPr>
        <w:t>= 1.14 g/mL).</w:t>
      </w:r>
    </w:p>
    <w:p w14:paraId="252F31F6">
      <w:pPr>
        <w:spacing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.2.4 Nitric acid (1+1).</w:t>
      </w:r>
    </w:p>
    <w:p w14:paraId="4052F84B">
      <w:pPr>
        <w:spacing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.2.5 Ammonia solution (1+3).</w:t>
      </w:r>
    </w:p>
    <w:p w14:paraId="00DEB1D3">
      <w:pPr>
        <w:spacing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.2.6 Boric acid solution (50 g/L): Weigh 5 g of boric acid and dissolve in 100 mL of water.</w:t>
      </w:r>
    </w:p>
    <w:p w14:paraId="192EBDD8">
      <w:pPr>
        <w:spacing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.2.7 Molybdenum standard stock solution: Weigh 0.1500 g of molybdenum oxide [</w:t>
      </w:r>
      <w:r>
        <w:rPr>
          <w:rFonts w:hint="eastAsia" w:ascii="黑体" w:hAnsi="黑体" w:eastAsia="黑体" w:cs="黑体"/>
          <w:color w:val="auto"/>
          <w:position w:val="-6"/>
          <w:szCs w:val="21"/>
        </w:rPr>
        <w:object>
          <v:shape id="_x0000_i1025" o:spt="75" type="#_x0000_t75" style="height:10.45pt;width:9.45pt;" o:ole="t" filled="f" o:preferrelative="t" stroked="f" coordsize="21600,21600">
            <v:path/>
            <v:fill on="f" focussize="0,0"/>
            <v:stroke on="f"/>
            <v:imagedata r:id="rId14" o:title=""/>
            <o:lock v:ext="edit" aspectratio="t"/>
            <w10:wrap type="none"/>
            <w10:anchorlock/>
          </v:shape>
          <o:OLEObject Type="Embed" ProgID="Equation.KSEE3" ShapeID="_x0000_i1025" DrawAspect="Content" ObjectID="_1468075725" r:id="rId13">
            <o:LockedField>false</o:LockedField>
          </o:OLEObject>
        </w:object>
      </w:r>
      <w:r>
        <w:rPr>
          <w:rFonts w:hint="eastAsia" w:ascii="黑体" w:hAnsi="黑体" w:eastAsia="黑体" w:cs="黑体"/>
          <w:color w:val="auto"/>
        </w:rPr>
        <w:t>(MoO</w:t>
      </w:r>
      <w:r>
        <w:rPr>
          <w:rFonts w:hint="eastAsia" w:ascii="黑体" w:hAnsi="黑体" w:eastAsia="黑体" w:cs="黑体"/>
          <w:color w:val="auto"/>
          <w:vertAlign w:val="subscript"/>
          <w:lang w:val="en-US" w:eastAsia="zh-CN"/>
        </w:rPr>
        <w:t>3</w:t>
      </w:r>
      <w:r>
        <w:rPr>
          <w:rFonts w:hint="eastAsia" w:ascii="黑体" w:hAnsi="黑体" w:eastAsia="黑体" w:cs="黑体"/>
          <w:color w:val="auto"/>
        </w:rPr>
        <w:t xml:space="preserve">) ≥ 99.99%] which has been dried at 110 </w:t>
      </w:r>
      <w:r>
        <w:rPr>
          <w:rFonts w:hint="eastAsia" w:ascii="黑体" w:hAnsi="黑体" w:eastAsia="黑体" w:cs="黑体"/>
          <w:color w:val="auto"/>
          <w:szCs w:val="21"/>
          <w:lang w:val="en-US" w:eastAsia="zh-CN"/>
        </w:rPr>
        <w:t>℃</w:t>
      </w:r>
      <w:r>
        <w:rPr>
          <w:rFonts w:hint="eastAsia" w:ascii="黑体" w:hAnsi="黑体" w:eastAsia="黑体" w:cs="黑体"/>
          <w:color w:val="auto"/>
        </w:rPr>
        <w:t xml:space="preserve"> for 1 h and cooled to room temperature in a desiccator. Place in a 50 mL plastic beaker, add 20 mL of ammonia solution (4.2.5) to dissolve completely. If the molybdenum oxide is not completely dissolved, add</w:t>
      </w:r>
      <w:r>
        <w:rPr>
          <w:rFonts w:hint="eastAsia" w:ascii="黑体" w:hAnsi="黑体" w:eastAsia="黑体" w:cs="黑体"/>
          <w:color w:val="auto"/>
          <w:lang w:val="en-US" w:eastAsia="zh-CN"/>
        </w:rPr>
        <w:t xml:space="preserve"> </w:t>
      </w:r>
      <w:r>
        <w:rPr>
          <w:rFonts w:hint="eastAsia" w:ascii="黑体" w:hAnsi="黑体" w:eastAsia="黑体" w:cs="黑体"/>
          <w:color w:val="auto"/>
        </w:rPr>
        <w:t>additional 5 mL of ammonia solution (4.2.5) and heat the mixture</w:t>
      </w:r>
      <w:r>
        <w:rPr>
          <w:rFonts w:hint="eastAsia" w:ascii="黑体" w:hAnsi="黑体" w:eastAsia="黑体" w:cs="黑体"/>
          <w:color w:val="auto"/>
          <w:lang w:val="en-US" w:eastAsia="zh-CN"/>
        </w:rPr>
        <w:t xml:space="preserve"> </w:t>
      </w:r>
      <w:r>
        <w:rPr>
          <w:rFonts w:hint="eastAsia" w:ascii="黑体" w:hAnsi="黑体" w:eastAsia="黑体" w:cs="黑体"/>
          <w:color w:val="auto"/>
        </w:rPr>
        <w:t xml:space="preserve">in 50 </w:t>
      </w:r>
      <w:r>
        <w:rPr>
          <w:rFonts w:hint="eastAsia" w:ascii="黑体" w:hAnsi="黑体" w:eastAsia="黑体" w:cs="黑体"/>
          <w:color w:val="auto"/>
          <w:szCs w:val="21"/>
          <w:lang w:val="en-US" w:eastAsia="zh-CN"/>
        </w:rPr>
        <w:t>℃</w:t>
      </w:r>
      <w:r>
        <w:rPr>
          <w:rFonts w:hint="eastAsia" w:ascii="黑体" w:hAnsi="黑体" w:eastAsia="黑体" w:cs="黑体"/>
          <w:color w:val="auto"/>
        </w:rPr>
        <w:t xml:space="preserve"> water bath for 5 min</w:t>
      </w:r>
      <w:r>
        <w:rPr>
          <w:rFonts w:hint="eastAsia" w:ascii="黑体" w:hAnsi="黑体" w:eastAsia="黑体" w:cs="黑体"/>
          <w:color w:val="auto"/>
          <w:lang w:val="en-US" w:eastAsia="zh-CN"/>
        </w:rPr>
        <w:t>s</w:t>
      </w:r>
      <w:r>
        <w:rPr>
          <w:rFonts w:hint="eastAsia" w:ascii="黑体" w:hAnsi="黑体" w:eastAsia="黑体" w:cs="黑体"/>
          <w:color w:val="auto"/>
        </w:rPr>
        <w:t xml:space="preserve">, then cool before </w:t>
      </w:r>
      <w:r>
        <w:rPr>
          <w:rFonts w:hint="eastAsia" w:ascii="黑体" w:hAnsi="黑体" w:eastAsia="黑体" w:cs="黑体"/>
          <w:color w:val="auto"/>
          <w:lang w:val="en-US" w:eastAsia="zh-CN"/>
        </w:rPr>
        <w:t>c</w:t>
      </w:r>
      <w:r>
        <w:rPr>
          <w:rFonts w:hint="eastAsia" w:ascii="黑体" w:hAnsi="黑体" w:eastAsia="黑体" w:cs="黑体"/>
          <w:color w:val="auto"/>
        </w:rPr>
        <w:t>onstant volume. Transfer to a 100 mL plastic volumetric flask, dilute to the mark with water, and mix well. This solution contains 1 mg of molybdenum per millilitre.</w:t>
      </w:r>
    </w:p>
    <w:p w14:paraId="627E4913">
      <w:pPr>
        <w:spacing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.2.8 Tungsten standard stock solution: Weigh 0.1261 g of tungsten trioxide [</w:t>
      </w:r>
      <w:r>
        <w:rPr>
          <w:rFonts w:hint="eastAsia" w:ascii="黑体" w:hAnsi="黑体" w:eastAsia="黑体" w:cs="黑体"/>
          <w:color w:val="auto"/>
          <w:position w:val="-6"/>
          <w:szCs w:val="21"/>
        </w:rPr>
        <w:object>
          <v:shape id="_x0000_i1026" o:spt="75" type="#_x0000_t75" style="height:10.45pt;width:9.45pt;" o:ole="t" filled="f" o:preferrelative="t" stroked="f" coordsize="21600,21600">
            <v:path/>
            <v:fill on="f" focussize="0,0"/>
            <v:stroke on="f"/>
            <v:imagedata r:id="rId14" o:title=""/>
            <o:lock v:ext="edit" aspectratio="t"/>
            <w10:wrap type="none"/>
            <w10:anchorlock/>
          </v:shape>
          <o:OLEObject Type="Embed" ProgID="Equation.KSEE3" ShapeID="_x0000_i1026" DrawAspect="Content" ObjectID="_1468075726" r:id="rId15">
            <o:LockedField>false</o:LockedField>
          </o:OLEObject>
        </w:object>
      </w:r>
      <w:r>
        <w:rPr>
          <w:rFonts w:hint="eastAsia" w:ascii="黑体" w:hAnsi="黑体" w:eastAsia="黑体" w:cs="黑体"/>
          <w:color w:val="auto"/>
        </w:rPr>
        <w:t>(WO</w:t>
      </w:r>
      <w:r>
        <w:rPr>
          <w:rFonts w:hint="eastAsia" w:ascii="黑体" w:hAnsi="黑体" w:eastAsia="黑体" w:cs="黑体"/>
          <w:color w:val="auto"/>
          <w:vertAlign w:val="subscript"/>
          <w:lang w:val="en-US" w:eastAsia="zh-CN"/>
        </w:rPr>
        <w:t>3</w:t>
      </w:r>
      <w:r>
        <w:rPr>
          <w:rFonts w:hint="eastAsia" w:ascii="黑体" w:hAnsi="黑体" w:eastAsia="黑体" w:cs="黑体"/>
          <w:color w:val="auto"/>
        </w:rPr>
        <w:t xml:space="preserve">) ≥ 99.99%] which has been dried at 110 </w:t>
      </w:r>
      <w:r>
        <w:rPr>
          <w:rFonts w:hint="eastAsia" w:ascii="黑体" w:hAnsi="黑体" w:eastAsia="黑体" w:cs="黑体"/>
          <w:color w:val="auto"/>
          <w:szCs w:val="21"/>
          <w:lang w:val="en-US" w:eastAsia="zh-CN"/>
        </w:rPr>
        <w:t>℃</w:t>
      </w:r>
      <w:r>
        <w:rPr>
          <w:rFonts w:hint="eastAsia" w:ascii="黑体" w:hAnsi="黑体" w:eastAsia="黑体" w:cs="黑体"/>
          <w:color w:val="auto"/>
        </w:rPr>
        <w:t xml:space="preserve"> for 1 h and cooled to room temperature in a desiccator. Place in a 50 mL plastic beaker, add 20 mL of water and 2.0 g of sodium hydroxide (4.2.1) to dissolve completely. If the tungsten trioxide is not completely dissolved, an additional 1.0 g of sodium hydroxide (4.2.1) may be added and stirred until dissolved, avoiding excess (excess will cause precipitation upon subsequent acidification). Transfer to a 100 mL plastic volumetric flask, dilute to the mark with water, and mix well. This solution contains 1 mg of tungsten per millilitre.</w:t>
      </w:r>
    </w:p>
    <w:p w14:paraId="2206D423">
      <w:pPr>
        <w:spacing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.2.9 Molybdenum and tungsten mixed standard solution: Pipette 5.00 mL of molybdenum standard stock solution (4.2.7) and 5.00 mL of tungsten standard stock solution (4.2.8) into a 100 mL plastic volumetric flask, add 5 mL of hydrofluoric acid (4.2.3), dilute to the mark</w:t>
      </w:r>
      <w:r>
        <w:rPr>
          <w:rFonts w:hint="eastAsia" w:ascii="黑体" w:hAnsi="黑体" w:eastAsia="黑体" w:cs="黑体"/>
          <w:color w:val="auto"/>
          <w:lang w:val="en-US" w:eastAsia="zh-CN"/>
        </w:rPr>
        <w:t xml:space="preserve"> </w:t>
      </w:r>
      <w:r>
        <w:rPr>
          <w:rFonts w:hint="eastAsia" w:ascii="黑体" w:hAnsi="黑体" w:eastAsia="黑体" w:cs="黑体"/>
          <w:color w:val="auto"/>
        </w:rPr>
        <w:t xml:space="preserve">with water, and mix well. This solution contains 50 </w:t>
      </w:r>
      <w:r>
        <w:rPr>
          <w:rFonts w:hint="eastAsia" w:ascii="黑体" w:hAnsi="黑体" w:eastAsia="黑体" w:cs="黑体"/>
          <w:color w:val="auto"/>
          <w:lang w:eastAsia="zh-CN"/>
        </w:rPr>
        <w:t>μ</w:t>
      </w:r>
      <w:r>
        <w:rPr>
          <w:rFonts w:hint="eastAsia" w:ascii="黑体" w:hAnsi="黑体" w:eastAsia="黑体" w:cs="黑体"/>
          <w:color w:val="auto"/>
        </w:rPr>
        <w:t xml:space="preserve">g of molybdenum and 50 </w:t>
      </w:r>
      <w:r>
        <w:rPr>
          <w:rFonts w:hint="eastAsia" w:ascii="黑体" w:hAnsi="黑体" w:eastAsia="黑体" w:cs="黑体"/>
          <w:color w:val="auto"/>
          <w:lang w:eastAsia="zh-CN"/>
        </w:rPr>
        <w:t>μ</w:t>
      </w:r>
      <w:r>
        <w:rPr>
          <w:rFonts w:hint="eastAsia" w:ascii="黑体" w:hAnsi="黑体" w:eastAsia="黑体" w:cs="黑体"/>
          <w:color w:val="auto"/>
        </w:rPr>
        <w:t>g of tungsten per millilitre.</w:t>
      </w:r>
    </w:p>
    <w:p w14:paraId="318DCB33">
      <w:pPr>
        <w:spacing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.2.10 Argon: Volume fraction ≥ 99.99%.</w:t>
      </w:r>
    </w:p>
    <w:p w14:paraId="76DC46CB">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lang w:val="en-US" w:eastAsia="zh-CN"/>
        </w:rPr>
        <w:t>4</w:t>
      </w:r>
      <w:r>
        <w:rPr>
          <w:rFonts w:hint="eastAsia" w:hAnsi="黑体" w:cs="黑体"/>
          <w:color w:val="auto"/>
        </w:rPr>
        <w:t>.3 Apparatus</w:t>
      </w:r>
    </w:p>
    <w:p w14:paraId="60E45EF8">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I</w:t>
      </w:r>
      <w:r>
        <w:rPr>
          <w:rFonts w:hint="eastAsia" w:ascii="黑体" w:hAnsi="黑体" w:eastAsia="黑体" w:cs="黑体"/>
          <w:color w:val="auto"/>
        </w:rPr>
        <w:t>nductively coupled</w:t>
      </w:r>
      <w:r>
        <w:rPr>
          <w:rFonts w:hint="eastAsia" w:ascii="黑体" w:hAnsi="黑体" w:eastAsia="黑体" w:cs="黑体"/>
          <w:color w:val="auto"/>
          <w:lang w:val="en-US" w:eastAsia="zh-CN"/>
        </w:rPr>
        <w:t xml:space="preserve"> </w:t>
      </w:r>
      <w:r>
        <w:rPr>
          <w:rFonts w:hint="eastAsia" w:ascii="黑体" w:hAnsi="黑体" w:eastAsia="黑体" w:cs="黑体"/>
          <w:color w:val="auto"/>
        </w:rPr>
        <w:t>plasma emission spectrometer, which may be used provided it meets the following performance criteria under optimum operating conditions.</w:t>
      </w:r>
    </w:p>
    <w:p w14:paraId="54C70022">
      <w:pPr>
        <w:spacing w:line="360" w:lineRule="exact"/>
        <w:rPr>
          <w:rFonts w:hint="eastAsia" w:ascii="黑体" w:hAnsi="黑体" w:eastAsia="黑体" w:cs="黑体"/>
          <w:color w:val="auto"/>
        </w:rPr>
      </w:pPr>
      <w:r>
        <w:rPr>
          <w:rFonts w:hint="eastAsia" w:ascii="黑体" w:hAnsi="黑体" w:eastAsia="黑体" w:cs="黑体"/>
          <w:color w:val="auto"/>
        </w:rPr>
        <w:t>—Complies with the provisions of JJG</w:t>
      </w:r>
      <w:r>
        <w:rPr>
          <w:rFonts w:hint="eastAsia" w:ascii="黑体" w:hAnsi="黑体" w:eastAsia="黑体" w:cs="黑体"/>
          <w:color w:val="auto"/>
          <w:lang w:val="en-US" w:eastAsia="zh-CN"/>
        </w:rPr>
        <w:t xml:space="preserve"> </w:t>
      </w:r>
      <w:r>
        <w:rPr>
          <w:rFonts w:hint="eastAsia" w:ascii="黑体" w:hAnsi="黑体" w:eastAsia="黑体" w:cs="黑体"/>
          <w:color w:val="auto"/>
        </w:rPr>
        <w:t>768.</w:t>
      </w:r>
    </w:p>
    <w:p w14:paraId="41AD596A">
      <w:pPr>
        <w:spacing w:line="360" w:lineRule="exact"/>
        <w:rPr>
          <w:rFonts w:hint="eastAsia" w:ascii="黑体" w:hAnsi="黑体" w:eastAsia="黑体" w:cs="黑体"/>
          <w:color w:val="auto"/>
          <w:lang w:val="en-US" w:eastAsia="zh-CN"/>
        </w:rPr>
      </w:pPr>
      <w:r>
        <w:rPr>
          <w:rFonts w:hint="eastAsia" w:ascii="黑体" w:hAnsi="黑体" w:eastAsia="黑体" w:cs="黑体"/>
          <w:color w:val="auto"/>
        </w:rPr>
        <w:t>—</w:t>
      </w:r>
      <w:r>
        <w:rPr>
          <w:rFonts w:hint="eastAsia" w:ascii="黑体" w:hAnsi="黑体" w:eastAsia="黑体" w:cs="黑体"/>
          <w:color w:val="auto"/>
          <w:lang w:val="en-US" w:eastAsia="zh-CN"/>
        </w:rPr>
        <w:t>The recommended analytical line wavelengths for the elements are listed in Table 1.</w:t>
      </w:r>
    </w:p>
    <w:p w14:paraId="6CC3DAD0">
      <w:pPr>
        <w:spacing w:before="156" w:beforeLines="50" w:after="156" w:afterLines="50" w:line="300" w:lineRule="exact"/>
        <w:jc w:val="center"/>
        <w:rPr>
          <w:rFonts w:hint="eastAsia" w:eastAsia="黑体"/>
          <w:color w:val="auto"/>
        </w:rPr>
      </w:pPr>
      <w:r>
        <w:rPr>
          <w:rFonts w:hint="eastAsia" w:ascii="黑体" w:hAnsi="黑体" w:eastAsia="黑体" w:cs="黑体"/>
          <w:color w:val="auto"/>
          <w:lang w:val="en-US" w:eastAsia="zh-CN"/>
        </w:rPr>
        <w:t>Table 1</w:t>
      </w:r>
      <w:r>
        <w:rPr>
          <w:rFonts w:hint="eastAsia" w:eastAsia="黑体"/>
          <w:color w:val="auto"/>
        </w:rPr>
        <w:t xml:space="preserve"> </w:t>
      </w:r>
      <w:r>
        <w:rPr>
          <w:rFonts w:hint="eastAsia" w:ascii="黑体" w:hAnsi="黑体" w:eastAsia="黑体" w:cs="黑体"/>
          <w:color w:val="auto"/>
          <w:lang w:val="en-US" w:eastAsia="zh-CN"/>
        </w:rPr>
        <w:t>Recommended analytical lines wavelengths</w:t>
      </w:r>
    </w:p>
    <w:p w14:paraId="29E94040">
      <w:pPr>
        <w:spacing w:before="0" w:beforeLines="-2147483648" w:after="0" w:afterLines="-2147483648" w:line="240" w:lineRule="auto"/>
        <w:jc w:val="right"/>
        <w:rPr>
          <w:rFonts w:hint="eastAsia" w:eastAsia="宋体"/>
          <w:color w:val="auto"/>
          <w:sz w:val="18"/>
          <w:szCs w:val="18"/>
          <w:lang w:val="en-US" w:eastAsia="zh-CN"/>
        </w:rPr>
      </w:pPr>
      <w:r>
        <w:rPr>
          <w:rFonts w:hint="eastAsia" w:ascii="黑体" w:hAnsi="黑体" w:eastAsia="黑体" w:cs="黑体"/>
          <w:i w:val="0"/>
          <w:iCs w:val="0"/>
          <w:caps w:val="0"/>
          <w:color w:val="auto"/>
          <w:spacing w:val="0"/>
          <w:sz w:val="18"/>
          <w:szCs w:val="18"/>
          <w:shd w:val="clear" w:fill="FFFFFF"/>
        </w:rPr>
        <w:t>Unit: nanometres</w:t>
      </w:r>
    </w:p>
    <w:tbl>
      <w:tblPr>
        <w:tblStyle w:val="5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7"/>
        <w:gridCol w:w="5083"/>
      </w:tblGrid>
      <w:tr w14:paraId="1708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44" w:type="pct"/>
            <w:tcBorders>
              <w:top w:val="single" w:color="000000" w:sz="12" w:space="0"/>
              <w:left w:val="single" w:color="000000" w:sz="12" w:space="0"/>
              <w:bottom w:val="single" w:color="auto" w:sz="12" w:space="0"/>
              <w:right w:val="single" w:color="000000" w:sz="4" w:space="0"/>
              <w:tl2br w:val="nil"/>
            </w:tcBorders>
            <w:shd w:val="clear" w:color="auto" w:fill="FFFFFF"/>
            <w:noWrap/>
            <w:vAlign w:val="center"/>
          </w:tcPr>
          <w:p w14:paraId="7C162C2E">
            <w:pPr>
              <w:jc w:val="center"/>
              <w:rPr>
                <w:rFonts w:hint="eastAsia" w:ascii="黑体" w:hAnsi="黑体" w:eastAsia="黑体" w:cs="黑体"/>
                <w:color w:val="auto"/>
                <w:sz w:val="18"/>
                <w:szCs w:val="18"/>
                <w:lang w:eastAsia="zh-CN"/>
              </w:rPr>
            </w:pPr>
            <w:r>
              <w:rPr>
                <w:rFonts w:hint="eastAsia" w:ascii="黑体" w:hAnsi="黑体" w:eastAsia="黑体" w:cs="黑体"/>
                <w:color w:val="auto"/>
                <w:sz w:val="18"/>
                <w:szCs w:val="18"/>
                <w:lang w:val="en-US" w:eastAsia="zh-CN"/>
              </w:rPr>
              <w:t>Element</w:t>
            </w:r>
          </w:p>
        </w:tc>
        <w:tc>
          <w:tcPr>
            <w:tcW w:w="2655" w:type="pct"/>
            <w:tcBorders>
              <w:top w:val="single" w:color="000000" w:sz="12" w:space="0"/>
              <w:left w:val="single" w:color="000000" w:sz="4" w:space="0"/>
              <w:bottom w:val="single" w:color="auto" w:sz="12" w:space="0"/>
              <w:right w:val="single" w:color="000000" w:sz="12" w:space="0"/>
            </w:tcBorders>
            <w:shd w:val="clear" w:color="auto" w:fill="FFFFFF"/>
            <w:noWrap/>
          </w:tcPr>
          <w:p w14:paraId="27B1CD0E">
            <w:pPr>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Wavelength</w:t>
            </w:r>
          </w:p>
        </w:tc>
      </w:tr>
      <w:tr w14:paraId="299C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2344" w:type="pct"/>
            <w:tcBorders>
              <w:top w:val="single" w:color="000000" w:sz="4" w:space="0"/>
              <w:left w:val="single" w:color="000000" w:sz="12" w:space="0"/>
              <w:bottom w:val="single" w:color="000000" w:sz="4" w:space="0"/>
              <w:right w:val="single" w:color="000000" w:sz="4" w:space="0"/>
            </w:tcBorders>
            <w:shd w:val="clear" w:color="auto" w:fill="FFFFFF"/>
            <w:noWrap/>
            <w:vAlign w:val="center"/>
          </w:tcPr>
          <w:p w14:paraId="31CE8864">
            <w:pPr>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M</w:t>
            </w:r>
            <w:r>
              <w:rPr>
                <w:rFonts w:hint="eastAsia" w:ascii="黑体" w:hAnsi="黑体" w:eastAsia="黑体" w:cs="黑体"/>
                <w:color w:val="auto"/>
                <w:sz w:val="18"/>
                <w:szCs w:val="18"/>
              </w:rPr>
              <w:t>olybdenum</w:t>
            </w:r>
          </w:p>
        </w:tc>
        <w:tc>
          <w:tcPr>
            <w:tcW w:w="2655" w:type="pct"/>
            <w:tcBorders>
              <w:top w:val="single" w:color="000000" w:sz="4" w:space="0"/>
              <w:left w:val="single" w:color="000000" w:sz="4" w:space="0"/>
              <w:bottom w:val="single" w:color="000000" w:sz="4" w:space="0"/>
              <w:right w:val="single" w:color="000000" w:sz="12" w:space="0"/>
            </w:tcBorders>
            <w:shd w:val="clear" w:color="auto" w:fill="FFFFFF"/>
            <w:noWrap/>
            <w:vAlign w:val="center"/>
          </w:tcPr>
          <w:p w14:paraId="77CBF484">
            <w:pPr>
              <w:jc w:val="center"/>
              <w:rPr>
                <w:rFonts w:hint="eastAsia" w:ascii="黑体" w:hAnsi="黑体" w:eastAsia="黑体" w:cs="黑体"/>
                <w:color w:val="auto"/>
                <w:sz w:val="18"/>
                <w:szCs w:val="18"/>
              </w:rPr>
            </w:pPr>
            <w:r>
              <w:rPr>
                <w:rFonts w:hint="eastAsia" w:ascii="黑体" w:hAnsi="黑体" w:eastAsia="黑体" w:cs="黑体"/>
                <w:color w:val="auto"/>
                <w:sz w:val="18"/>
                <w:szCs w:val="18"/>
              </w:rPr>
              <w:t>202.032</w:t>
            </w:r>
            <w:r>
              <w:rPr>
                <w:rFonts w:hint="eastAsia" w:ascii="黑体" w:hAnsi="黑体" w:eastAsia="黑体" w:cs="黑体"/>
                <w:color w:val="auto"/>
                <w:sz w:val="18"/>
                <w:szCs w:val="18"/>
                <w:lang w:val="en-US" w:eastAsia="zh-CN"/>
              </w:rPr>
              <w:t xml:space="preserve">, </w:t>
            </w:r>
            <w:r>
              <w:rPr>
                <w:rFonts w:hint="eastAsia" w:ascii="黑体" w:hAnsi="黑体" w:eastAsia="黑体" w:cs="黑体"/>
                <w:color w:val="auto"/>
                <w:sz w:val="18"/>
                <w:szCs w:val="18"/>
              </w:rPr>
              <w:t>268.414</w:t>
            </w:r>
            <w:r>
              <w:rPr>
                <w:rFonts w:hint="eastAsia" w:ascii="黑体" w:hAnsi="黑体" w:eastAsia="黑体" w:cs="黑体"/>
                <w:color w:val="auto"/>
                <w:sz w:val="18"/>
                <w:szCs w:val="18"/>
                <w:lang w:val="en-US" w:eastAsia="zh-CN"/>
              </w:rPr>
              <w:t xml:space="preserve">, </w:t>
            </w:r>
            <w:r>
              <w:rPr>
                <w:rFonts w:hint="eastAsia" w:ascii="黑体" w:hAnsi="黑体" w:eastAsia="黑体" w:cs="黑体"/>
                <w:color w:val="auto"/>
                <w:sz w:val="18"/>
                <w:szCs w:val="18"/>
              </w:rPr>
              <w:t>281.615</w:t>
            </w:r>
          </w:p>
        </w:tc>
      </w:tr>
      <w:tr w14:paraId="4300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2344" w:type="pct"/>
            <w:tcBorders>
              <w:top w:val="single" w:color="000000" w:sz="4" w:space="0"/>
              <w:left w:val="single" w:color="000000" w:sz="12" w:space="0"/>
              <w:bottom w:val="single" w:color="000000" w:sz="12" w:space="0"/>
              <w:right w:val="single" w:color="000000" w:sz="4" w:space="0"/>
            </w:tcBorders>
            <w:shd w:val="clear" w:color="auto" w:fill="FFFFFF"/>
            <w:noWrap/>
            <w:vAlign w:val="center"/>
          </w:tcPr>
          <w:p w14:paraId="7FD25422">
            <w:pPr>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T</w:t>
            </w:r>
            <w:r>
              <w:rPr>
                <w:rFonts w:hint="eastAsia" w:ascii="黑体" w:hAnsi="黑体" w:eastAsia="黑体" w:cs="黑体"/>
                <w:color w:val="auto"/>
                <w:sz w:val="18"/>
                <w:szCs w:val="18"/>
              </w:rPr>
              <w:t>ungsten</w:t>
            </w:r>
          </w:p>
        </w:tc>
        <w:tc>
          <w:tcPr>
            <w:tcW w:w="2655" w:type="pct"/>
            <w:tcBorders>
              <w:top w:val="single" w:color="000000" w:sz="4" w:space="0"/>
              <w:left w:val="single" w:color="000000" w:sz="4" w:space="0"/>
              <w:bottom w:val="single" w:color="000000" w:sz="12" w:space="0"/>
              <w:right w:val="single" w:color="000000" w:sz="12" w:space="0"/>
            </w:tcBorders>
            <w:shd w:val="clear" w:color="auto" w:fill="FFFFFF"/>
            <w:noWrap/>
            <w:vAlign w:val="center"/>
          </w:tcPr>
          <w:p w14:paraId="2C9F2AE3">
            <w:pPr>
              <w:jc w:val="center"/>
              <w:rPr>
                <w:rFonts w:hint="eastAsia" w:ascii="黑体" w:hAnsi="黑体" w:eastAsia="黑体" w:cs="黑体"/>
                <w:color w:val="auto"/>
                <w:sz w:val="18"/>
                <w:szCs w:val="18"/>
              </w:rPr>
            </w:pPr>
            <w:r>
              <w:rPr>
                <w:rFonts w:hint="eastAsia" w:ascii="黑体" w:hAnsi="黑体" w:eastAsia="黑体" w:cs="黑体"/>
                <w:color w:val="auto"/>
                <w:sz w:val="18"/>
                <w:szCs w:val="18"/>
              </w:rPr>
              <w:t>207.911</w:t>
            </w:r>
            <w:r>
              <w:rPr>
                <w:rFonts w:hint="eastAsia" w:ascii="黑体" w:hAnsi="黑体" w:eastAsia="黑体" w:cs="黑体"/>
                <w:color w:val="auto"/>
                <w:sz w:val="18"/>
                <w:szCs w:val="18"/>
                <w:lang w:val="en-US" w:eastAsia="zh-CN"/>
              </w:rPr>
              <w:t xml:space="preserve">, </w:t>
            </w:r>
            <w:r>
              <w:rPr>
                <w:rFonts w:hint="eastAsia" w:ascii="黑体" w:hAnsi="黑体" w:eastAsia="黑体" w:cs="黑体"/>
                <w:color w:val="auto"/>
                <w:sz w:val="18"/>
                <w:szCs w:val="18"/>
              </w:rPr>
              <w:t>216.632</w:t>
            </w:r>
            <w:r>
              <w:rPr>
                <w:rFonts w:hint="eastAsia" w:ascii="黑体" w:hAnsi="黑体" w:eastAsia="黑体" w:cs="黑体"/>
                <w:color w:val="auto"/>
                <w:sz w:val="18"/>
                <w:szCs w:val="18"/>
                <w:lang w:val="en-US" w:eastAsia="zh-CN"/>
              </w:rPr>
              <w:t xml:space="preserve">, </w:t>
            </w:r>
            <w:r>
              <w:rPr>
                <w:rFonts w:hint="eastAsia" w:ascii="黑体" w:hAnsi="黑体" w:eastAsia="黑体" w:cs="黑体"/>
                <w:color w:val="auto"/>
                <w:sz w:val="18"/>
                <w:szCs w:val="18"/>
              </w:rPr>
              <w:t>248.923</w:t>
            </w:r>
          </w:p>
        </w:tc>
      </w:tr>
    </w:tbl>
    <w:p w14:paraId="485C7756">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lang w:val="en-US" w:eastAsia="zh-CN"/>
        </w:rPr>
        <w:t>4</w:t>
      </w:r>
      <w:r>
        <w:rPr>
          <w:rFonts w:hint="eastAsia" w:hAnsi="黑体" w:cs="黑体"/>
          <w:color w:val="auto"/>
        </w:rPr>
        <w:t>.4 Sample</w:t>
      </w:r>
    </w:p>
    <w:p w14:paraId="00F5CDB4">
      <w:pPr>
        <w:spacing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.4.1 Chipped samples of rare earth metal shall be weighed immediately after removal.</w:t>
      </w:r>
    </w:p>
    <w:p w14:paraId="175D5A6E">
      <w:pPr>
        <w:pStyle w:val="118"/>
        <w:numPr>
          <w:ilvl w:val="1"/>
          <w:numId w:val="0"/>
        </w:numPr>
        <w:tabs>
          <w:tab w:val="left" w:pos="112"/>
        </w:tabs>
        <w:spacing w:before="312" w:beforeLines="100" w:after="312" w:afterLines="100"/>
        <w:outlineLvl w:val="0"/>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.4.2 For bulk rare earth metal,</w:t>
      </w:r>
      <w:r>
        <w:rPr>
          <w:rFonts w:hint="eastAsia" w:hAnsi="黑体" w:cs="黑体"/>
          <w:color w:val="auto"/>
          <w:lang w:val="en-US" w:eastAsia="zh-CN"/>
        </w:rPr>
        <w:t xml:space="preserve"> </w:t>
      </w:r>
      <w:r>
        <w:rPr>
          <w:rFonts w:hint="eastAsia" w:ascii="黑体" w:hAnsi="黑体" w:eastAsia="黑体" w:cs="黑体"/>
          <w:color w:val="auto"/>
          <w:lang w:val="en-US" w:eastAsia="zh-CN"/>
        </w:rPr>
        <w:t>polish the surface</w:t>
      </w:r>
      <w:r>
        <w:rPr>
          <w:rFonts w:hint="eastAsia" w:ascii="黑体" w:hAnsi="黑体" w:eastAsia="黑体" w:cs="黑体"/>
          <w:color w:val="auto"/>
        </w:rPr>
        <w:t xml:space="preserve">. Drill three points at equal distances on both the upper and lower surfaces of the metal ingot using a drill </w:t>
      </w:r>
      <w:r>
        <w:rPr>
          <w:rFonts w:hint="eastAsia" w:hAnsi="黑体" w:cs="黑体"/>
          <w:color w:val="auto"/>
          <w:lang w:val="en-US" w:eastAsia="zh-CN"/>
        </w:rPr>
        <w:t xml:space="preserve">bit </w:t>
      </w:r>
      <w:r>
        <w:rPr>
          <w:rFonts w:hint="eastAsia" w:ascii="黑体" w:hAnsi="黑体" w:eastAsia="黑体" w:cs="黑体"/>
          <w:color w:val="auto"/>
        </w:rPr>
        <w:t xml:space="preserve">with a diameter of 6 mm. Discard the drillings within 0.5 mm to 1.0 mm from </w:t>
      </w:r>
      <w:r>
        <w:rPr>
          <w:rFonts w:hint="eastAsia" w:ascii="黑体" w:hAnsi="黑体" w:eastAsia="黑体" w:cs="黑体"/>
          <w:bCs/>
          <w:color w:val="auto"/>
          <w:lang w:val="en-US" w:eastAsia="zh-CN"/>
        </w:rPr>
        <w:t>the bulk surface</w:t>
      </w:r>
      <w:r>
        <w:rPr>
          <w:rFonts w:hint="eastAsia" w:ascii="黑体" w:hAnsi="黑体" w:eastAsia="黑体" w:cs="黑体"/>
          <w:color w:val="auto"/>
        </w:rPr>
        <w:t>, then obtain the test sample using a drill with a diameter of 4 mm. The sample amount shall be not less than 10 g. Rapidly mix and reduce the obtained sample by quartering into four portions, and weigh the required test portion immediately.</w:t>
      </w:r>
    </w:p>
    <w:p w14:paraId="149F6FAA">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lang w:val="en-US" w:eastAsia="zh-CN"/>
        </w:rPr>
        <w:t>4</w:t>
      </w:r>
      <w:r>
        <w:rPr>
          <w:rFonts w:hint="eastAsia" w:hAnsi="黑体" w:cs="黑体"/>
          <w:color w:val="auto"/>
        </w:rPr>
        <w:t>.5 Test Procedures</w:t>
      </w:r>
    </w:p>
    <w:p w14:paraId="7FD18472">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.5.1 Test portion</w:t>
      </w:r>
    </w:p>
    <w:p w14:paraId="26381CEE">
      <w:pPr>
        <w:spacing w:line="360" w:lineRule="exact"/>
        <w:rPr>
          <w:rFonts w:hint="eastAsia" w:ascii="黑体" w:hAnsi="黑体" w:eastAsia="黑体" w:cs="黑体"/>
          <w:color w:val="auto"/>
        </w:rPr>
      </w:pPr>
      <w:r>
        <w:rPr>
          <w:rFonts w:hint="eastAsia" w:ascii="黑体" w:hAnsi="黑体" w:eastAsia="黑体" w:cs="黑体"/>
          <w:color w:val="auto"/>
        </w:rPr>
        <w:t xml:space="preserve">Weigh </w:t>
      </w:r>
      <w:r>
        <w:rPr>
          <w:rFonts w:hint="eastAsia" w:ascii="黑体" w:hAnsi="黑体" w:eastAsia="黑体" w:cs="黑体"/>
          <w:color w:val="auto"/>
          <w:lang w:val="en-US" w:eastAsia="zh-CN"/>
        </w:rPr>
        <w:t>1.0</w:t>
      </w:r>
      <w:r>
        <w:rPr>
          <w:rFonts w:hint="eastAsia" w:ascii="黑体" w:hAnsi="黑体" w:eastAsia="黑体" w:cs="黑体"/>
          <w:color w:val="auto"/>
        </w:rPr>
        <w:t>0 g of the sample (4.4), accurate to 0.0001 g.</w:t>
      </w:r>
    </w:p>
    <w:p w14:paraId="66610E57">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.5.2 Parallel test</w:t>
      </w:r>
    </w:p>
    <w:p w14:paraId="2F6B104D">
      <w:pPr>
        <w:pStyle w:val="29"/>
        <w:adjustRightInd w:val="0"/>
        <w:snapToGrid w:val="0"/>
        <w:spacing w:line="360" w:lineRule="exact"/>
        <w:rPr>
          <w:rFonts w:hint="eastAsia" w:ascii="黑体" w:hAnsi="黑体" w:eastAsia="黑体" w:cs="黑体"/>
          <w:color w:val="auto"/>
        </w:rPr>
      </w:pPr>
      <w:r>
        <w:rPr>
          <w:rFonts w:hint="eastAsia" w:ascii="黑体" w:hAnsi="黑体" w:eastAsia="黑体" w:cs="黑体"/>
          <w:color w:val="auto"/>
          <w:lang w:val="en-US" w:eastAsia="zh-CN"/>
        </w:rPr>
        <w:t xml:space="preserve">Carry out two tests in </w:t>
      </w:r>
      <w:r>
        <w:rPr>
          <w:rFonts w:hint="eastAsia" w:ascii="黑体" w:hAnsi="黑体" w:eastAsia="黑体" w:cs="黑体"/>
          <w:color w:val="auto"/>
        </w:rPr>
        <w:t>parallel.</w:t>
      </w:r>
    </w:p>
    <w:p w14:paraId="5D5C03EB">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 xml:space="preserve">.5.3 Blank test </w:t>
      </w:r>
    </w:p>
    <w:p w14:paraId="1DBDF5BD">
      <w:pPr>
        <w:pStyle w:val="29"/>
        <w:adjustRightInd w:val="0"/>
        <w:snapToGrid w:val="0"/>
        <w:spacing w:line="360" w:lineRule="exact"/>
        <w:rPr>
          <w:rFonts w:hint="eastAsia" w:ascii="黑体" w:hAnsi="黑体" w:eastAsia="黑体" w:cs="黑体"/>
          <w:color w:val="auto"/>
        </w:rPr>
      </w:pPr>
      <w:r>
        <w:rPr>
          <w:rFonts w:hint="eastAsia" w:ascii="黑体" w:hAnsi="黑体" w:eastAsia="黑体" w:cs="黑体"/>
          <w:color w:val="auto"/>
        </w:rPr>
        <w:t xml:space="preserve">Carry out a blank test along with the </w:t>
      </w:r>
      <w:r>
        <w:rPr>
          <w:rFonts w:hint="eastAsia" w:ascii="黑体" w:hAnsi="黑体" w:eastAsia="黑体" w:cs="黑体"/>
          <w:color w:val="auto"/>
          <w:lang w:val="en-US" w:eastAsia="zh-CN"/>
        </w:rPr>
        <w:t>test portion</w:t>
      </w:r>
      <w:r>
        <w:rPr>
          <w:rFonts w:hint="eastAsia" w:ascii="黑体" w:hAnsi="黑体" w:eastAsia="黑体" w:cs="黑体"/>
          <w:color w:val="auto"/>
        </w:rPr>
        <w:t>.</w:t>
      </w:r>
    </w:p>
    <w:p w14:paraId="6A862A15">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.5.4 Preparation for analytical test solution</w:t>
      </w:r>
    </w:p>
    <w:p w14:paraId="0F33F4DD">
      <w:pPr>
        <w:pStyle w:val="29"/>
        <w:adjustRightInd w:val="0"/>
        <w:snapToGrid w:val="0"/>
        <w:spacing w:line="360" w:lineRule="exact"/>
        <w:rPr>
          <w:rFonts w:hint="eastAsia" w:ascii="黑体" w:hAnsi="黑体" w:eastAsia="黑体" w:cs="黑体"/>
          <w:color w:val="auto"/>
          <w:szCs w:val="21"/>
        </w:rPr>
      </w:pPr>
      <w:r>
        <w:rPr>
          <w:rFonts w:hint="eastAsia" w:ascii="黑体" w:hAnsi="黑体" w:eastAsia="黑体" w:cs="黑体"/>
          <w:color w:val="auto"/>
          <w:szCs w:val="21"/>
          <w:lang w:val="en-US" w:eastAsia="zh-CN"/>
        </w:rPr>
        <w:t>4</w:t>
      </w:r>
      <w:r>
        <w:rPr>
          <w:rFonts w:hint="eastAsia" w:ascii="黑体" w:hAnsi="黑体" w:eastAsia="黑体" w:cs="黑体"/>
          <w:color w:val="auto"/>
          <w:szCs w:val="21"/>
        </w:rPr>
        <w:t xml:space="preserve">.5.4.1 Place the test portion (4.5.1) in a 200 mL polytetrafluoroethylene (PTFE) beaker and moisten with a small amount of water. Add 10 mL of nitric acid (4.2.4) and heat at low temperature </w:t>
      </w:r>
      <w:r>
        <w:rPr>
          <w:rFonts w:hint="eastAsia" w:ascii="黑体" w:hAnsi="黑体" w:eastAsia="黑体" w:cs="黑体"/>
          <w:color w:val="auto"/>
          <w:szCs w:val="21"/>
          <w:lang w:val="en-US" w:eastAsia="zh-CN"/>
        </w:rPr>
        <w:t>until completely dissolved to a clear solution.</w:t>
      </w:r>
      <w:r>
        <w:rPr>
          <w:rFonts w:hint="eastAsia" w:ascii="黑体" w:hAnsi="黑体" w:eastAsia="黑体" w:cs="黑体"/>
          <w:color w:val="auto"/>
          <w:szCs w:val="21"/>
        </w:rPr>
        <w:t xml:space="preserve"> Add 50 mL of water and 5 mL of hydrofluoric acid (4.2.3),</w:t>
      </w:r>
      <w:r>
        <w:rPr>
          <w:rFonts w:hint="eastAsia" w:ascii="黑体" w:hAnsi="黑体" w:eastAsia="黑体" w:cs="黑体"/>
          <w:color w:val="auto"/>
          <w:szCs w:val="21"/>
          <w:lang w:val="en-US" w:eastAsia="zh-CN"/>
        </w:rPr>
        <w:t xml:space="preserve"> </w:t>
      </w:r>
      <w:r>
        <w:rPr>
          <w:rFonts w:hint="eastAsia" w:ascii="黑体" w:hAnsi="黑体" w:eastAsia="黑体" w:cs="黑体"/>
          <w:color w:val="auto"/>
          <w:szCs w:val="21"/>
        </w:rPr>
        <w:t>heat to near boiling</w:t>
      </w:r>
      <w:r>
        <w:rPr>
          <w:rFonts w:hint="eastAsia" w:ascii="黑体" w:hAnsi="黑体" w:eastAsia="黑体" w:cs="黑体"/>
          <w:color w:val="auto"/>
          <w:szCs w:val="21"/>
          <w:lang w:eastAsia="zh-CN"/>
        </w:rPr>
        <w:t>，</w:t>
      </w:r>
      <w:r>
        <w:rPr>
          <w:rFonts w:hint="eastAsia" w:ascii="黑体" w:hAnsi="黑体" w:eastAsia="黑体" w:cs="黑体"/>
          <w:color w:val="auto"/>
          <w:szCs w:val="21"/>
        </w:rPr>
        <w:t xml:space="preserve"> keep it warm on</w:t>
      </w:r>
      <w:r>
        <w:rPr>
          <w:rFonts w:hint="eastAsia" w:ascii="黑体" w:hAnsi="黑体" w:eastAsia="黑体" w:cs="黑体"/>
          <w:color w:val="auto"/>
          <w:szCs w:val="21"/>
          <w:lang w:val="en-US" w:eastAsia="zh-CN"/>
        </w:rPr>
        <w:t xml:space="preserve"> </w:t>
      </w:r>
      <w:r>
        <w:rPr>
          <w:rFonts w:hint="eastAsia" w:ascii="黑体" w:hAnsi="黑体" w:eastAsia="黑体" w:cs="黑体"/>
          <w:color w:val="auto"/>
          <w:szCs w:val="21"/>
        </w:rPr>
        <w:t>a hot plate</w:t>
      </w:r>
      <w:r>
        <w:rPr>
          <w:rFonts w:hint="eastAsia" w:ascii="黑体" w:hAnsi="黑体" w:eastAsia="黑体" w:cs="黑体"/>
          <w:color w:val="auto"/>
          <w:szCs w:val="21"/>
          <w:lang w:val="en-US" w:eastAsia="zh-CN"/>
        </w:rPr>
        <w:t xml:space="preserve"> at</w:t>
      </w:r>
      <w:r>
        <w:rPr>
          <w:rFonts w:hint="eastAsia" w:ascii="黑体" w:hAnsi="黑体" w:eastAsia="黑体" w:cs="黑体"/>
          <w:color w:val="auto"/>
          <w:szCs w:val="21"/>
        </w:rPr>
        <w:t xml:space="preserve"> 80 </w:t>
      </w:r>
      <w:r>
        <w:rPr>
          <w:rFonts w:hint="eastAsia" w:ascii="黑体" w:hAnsi="黑体" w:eastAsia="黑体" w:cs="黑体"/>
          <w:color w:val="auto"/>
          <w:szCs w:val="21"/>
          <w:lang w:val="en-US" w:eastAsia="zh-CN"/>
        </w:rPr>
        <w:t>℃</w:t>
      </w:r>
      <w:r>
        <w:rPr>
          <w:rFonts w:hint="eastAsia" w:ascii="黑体" w:hAnsi="黑体" w:eastAsia="黑体" w:cs="黑体"/>
          <w:color w:val="auto"/>
          <w:szCs w:val="21"/>
        </w:rPr>
        <w:t xml:space="preserve"> for 10 min. Allow to cool to room temperature, transfer to a 100 mL plastic volumetric flask, dilute to the mark with water, and mix well. After the precipitate settles, filter through a double layer of slow-speed filter paper (dry filtration).</w:t>
      </w:r>
    </w:p>
    <w:p w14:paraId="2B2B4DA3">
      <w:pPr>
        <w:spacing w:line="360" w:lineRule="exact"/>
        <w:rPr>
          <w:rFonts w:hint="eastAsia" w:ascii="黑体" w:hAnsi="黑体" w:eastAsia="黑体" w:cs="黑体"/>
          <w:color w:val="auto"/>
          <w:szCs w:val="21"/>
        </w:rPr>
      </w:pPr>
      <w:r>
        <w:rPr>
          <w:rFonts w:hint="eastAsia" w:ascii="黑体" w:hAnsi="黑体" w:eastAsia="黑体" w:cs="黑体"/>
          <w:color w:val="auto"/>
          <w:szCs w:val="21"/>
          <w:lang w:val="en-US" w:eastAsia="zh-CN"/>
        </w:rPr>
        <w:t>4</w:t>
      </w:r>
      <w:r>
        <w:rPr>
          <w:rFonts w:hint="eastAsia" w:ascii="黑体" w:hAnsi="黑体" w:eastAsia="黑体" w:cs="黑体"/>
          <w:color w:val="auto"/>
          <w:szCs w:val="21"/>
        </w:rPr>
        <w:t>.5.4.2 Pipette 10.00 mL of the test solution (4.5.4.1) into a 50 mL plastic volumetric flask, add 5 mL of boric acid solution (4.2.6) and 1 mL of nitric acid (4.2.2), dilute to the mark with water, and mix well. This solution is ready for measurement.</w:t>
      </w:r>
    </w:p>
    <w:p w14:paraId="04922A7D">
      <w:pPr>
        <w:spacing w:before="156" w:beforeLines="50" w:after="156" w:afterLines="50" w:line="360" w:lineRule="exact"/>
        <w:rPr>
          <w:rFonts w:hint="eastAsia" w:ascii="黑体" w:hAnsi="黑体" w:eastAsia="黑体" w:cs="黑体"/>
          <w:color w:val="auto"/>
          <w:sz w:val="18"/>
          <w:szCs w:val="18"/>
        </w:rPr>
      </w:pPr>
      <w:r>
        <w:rPr>
          <w:rFonts w:hint="eastAsia" w:ascii="黑体" w:hAnsi="黑体" w:eastAsia="黑体" w:cs="黑体"/>
          <w:color w:val="auto"/>
          <w:sz w:val="18"/>
          <w:szCs w:val="18"/>
        </w:rPr>
        <w:t>NOTE: If the instrument is equipped with a hydrofluoric acid-resistant sample introduction system, the boric acid solution (4.2.6) may be omitted.</w:t>
      </w:r>
    </w:p>
    <w:p w14:paraId="73DD0E70">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.5.5 Preparation of standard series solutions</w:t>
      </w:r>
    </w:p>
    <w:p w14:paraId="58785097">
      <w:pPr>
        <w:spacing w:line="360" w:lineRule="exact"/>
        <w:rPr>
          <w:rFonts w:hint="eastAsia" w:ascii="黑体" w:hAnsi="黑体" w:eastAsia="黑体" w:cs="黑体"/>
          <w:color w:val="auto"/>
        </w:rPr>
      </w:pPr>
      <w:r>
        <w:rPr>
          <w:rFonts w:hint="eastAsia" w:ascii="黑体" w:hAnsi="黑体" w:eastAsia="黑体" w:cs="黑体"/>
          <w:color w:val="auto"/>
          <w:lang w:val="en-US" w:eastAsia="zh-CN"/>
        </w:rPr>
        <w:t>T</w:t>
      </w:r>
      <w:r>
        <w:rPr>
          <w:rFonts w:hint="eastAsia" w:ascii="黑体" w:hAnsi="黑体" w:eastAsia="黑体" w:cs="黑体"/>
          <w:color w:val="auto"/>
        </w:rPr>
        <w:t>ransfer 0 mL, 0.</w:t>
      </w:r>
      <w:r>
        <w:rPr>
          <w:rFonts w:hint="eastAsia" w:ascii="黑体" w:hAnsi="黑体" w:eastAsia="黑体" w:cs="黑体"/>
          <w:color w:val="auto"/>
          <w:lang w:val="en-US" w:eastAsia="zh-CN"/>
        </w:rPr>
        <w:t>1</w:t>
      </w:r>
      <w:r>
        <w:rPr>
          <w:rFonts w:hint="eastAsia" w:ascii="黑体" w:hAnsi="黑体" w:eastAsia="黑体" w:cs="黑体"/>
          <w:color w:val="auto"/>
        </w:rPr>
        <w:t xml:space="preserve">0 mL, </w:t>
      </w:r>
      <w:r>
        <w:rPr>
          <w:rFonts w:hint="eastAsia" w:ascii="黑体" w:hAnsi="黑体" w:eastAsia="黑体" w:cs="黑体"/>
          <w:color w:val="auto"/>
          <w:lang w:val="en-US" w:eastAsia="zh-CN"/>
        </w:rPr>
        <w:t>0.5</w:t>
      </w:r>
      <w:r>
        <w:rPr>
          <w:rFonts w:hint="eastAsia" w:ascii="黑体" w:hAnsi="黑体" w:eastAsia="黑体" w:cs="黑体"/>
          <w:color w:val="auto"/>
        </w:rPr>
        <w:t xml:space="preserve"> mL, </w:t>
      </w:r>
      <w:r>
        <w:rPr>
          <w:rFonts w:hint="eastAsia" w:ascii="黑体" w:hAnsi="黑体" w:eastAsia="黑体" w:cs="黑体"/>
          <w:color w:val="auto"/>
          <w:lang w:val="en-US" w:eastAsia="zh-CN"/>
        </w:rPr>
        <w:t>1</w:t>
      </w:r>
      <w:r>
        <w:rPr>
          <w:rFonts w:hint="eastAsia" w:ascii="黑体" w:hAnsi="黑体" w:eastAsia="黑体" w:cs="黑体"/>
          <w:color w:val="auto"/>
        </w:rPr>
        <w:t xml:space="preserve">.00 mL, </w:t>
      </w:r>
      <w:r>
        <w:rPr>
          <w:rFonts w:hint="eastAsia" w:ascii="黑体" w:hAnsi="黑体" w:eastAsia="黑体" w:cs="黑体"/>
          <w:color w:val="auto"/>
          <w:lang w:val="en-US" w:eastAsia="zh-CN"/>
        </w:rPr>
        <w:t>2.</w:t>
      </w:r>
      <w:r>
        <w:rPr>
          <w:rFonts w:hint="eastAsia" w:ascii="黑体" w:hAnsi="黑体" w:eastAsia="黑体" w:cs="黑体"/>
          <w:color w:val="auto"/>
        </w:rPr>
        <w:t xml:space="preserve">50 mL, </w:t>
      </w:r>
      <w:r>
        <w:rPr>
          <w:rFonts w:hint="eastAsia" w:ascii="黑体" w:hAnsi="黑体" w:eastAsia="黑体" w:cs="黑体"/>
          <w:color w:val="auto"/>
          <w:lang w:val="en-US" w:eastAsia="zh-CN"/>
        </w:rPr>
        <w:t>5</w:t>
      </w:r>
      <w:r>
        <w:rPr>
          <w:rFonts w:hint="eastAsia" w:ascii="黑体" w:hAnsi="黑体" w:eastAsia="黑体" w:cs="黑体"/>
          <w:color w:val="auto"/>
        </w:rPr>
        <w:t>.00 mL and 1</w:t>
      </w:r>
      <w:r>
        <w:rPr>
          <w:rFonts w:hint="eastAsia" w:ascii="黑体" w:hAnsi="黑体" w:eastAsia="黑体" w:cs="黑体"/>
          <w:color w:val="auto"/>
          <w:lang w:val="en-US" w:eastAsia="zh-CN"/>
        </w:rPr>
        <w:t>0</w:t>
      </w:r>
      <w:r>
        <w:rPr>
          <w:rFonts w:hint="eastAsia" w:ascii="黑体" w:hAnsi="黑体" w:eastAsia="黑体" w:cs="黑体"/>
          <w:color w:val="auto"/>
        </w:rPr>
        <w:t xml:space="preserve">.00 mL of </w:t>
      </w:r>
      <w:r>
        <w:rPr>
          <w:rFonts w:hint="eastAsia" w:ascii="黑体" w:hAnsi="黑体" w:eastAsia="黑体" w:cs="黑体"/>
          <w:color w:val="auto"/>
          <w:lang w:val="en-US" w:eastAsia="zh-CN"/>
        </w:rPr>
        <w:t>m</w:t>
      </w:r>
      <w:r>
        <w:rPr>
          <w:rFonts w:hint="eastAsia" w:ascii="黑体" w:hAnsi="黑体" w:eastAsia="黑体" w:cs="黑体"/>
          <w:color w:val="auto"/>
        </w:rPr>
        <w:t>olybdenum and tungsten mixed standard solution (</w:t>
      </w:r>
      <w:r>
        <w:rPr>
          <w:rFonts w:hint="eastAsia" w:ascii="黑体" w:hAnsi="黑体" w:eastAsia="黑体" w:cs="黑体"/>
          <w:color w:val="auto"/>
          <w:lang w:val="en-US" w:eastAsia="zh-CN"/>
        </w:rPr>
        <w:t>4</w:t>
      </w:r>
      <w:r>
        <w:rPr>
          <w:rFonts w:hint="eastAsia" w:ascii="黑体" w:hAnsi="黑体" w:eastAsia="黑体" w:cs="黑体"/>
          <w:color w:val="auto"/>
        </w:rPr>
        <w:t xml:space="preserve">.2.9) into </w:t>
      </w:r>
      <w:r>
        <w:rPr>
          <w:rFonts w:hint="eastAsia" w:ascii="黑体" w:hAnsi="黑体" w:eastAsia="黑体" w:cs="黑体"/>
          <w:color w:val="auto"/>
          <w:lang w:val="en-US" w:eastAsia="zh-CN"/>
        </w:rPr>
        <w:t>seven</w:t>
      </w:r>
      <w:r>
        <w:rPr>
          <w:rFonts w:hint="eastAsia" w:ascii="黑体" w:hAnsi="黑体" w:eastAsia="黑体" w:cs="黑体"/>
          <w:color w:val="auto"/>
        </w:rPr>
        <w:t xml:space="preserve"> 50 mL plastic</w:t>
      </w:r>
      <w:r>
        <w:rPr>
          <w:rFonts w:hint="eastAsia" w:ascii="黑体" w:hAnsi="黑体" w:eastAsia="黑体" w:cs="黑体"/>
          <w:color w:val="auto"/>
          <w:lang w:val="en-US" w:eastAsia="zh-CN"/>
        </w:rPr>
        <w:t xml:space="preserve"> </w:t>
      </w:r>
      <w:r>
        <w:rPr>
          <w:rFonts w:hint="eastAsia" w:ascii="黑体" w:hAnsi="黑体" w:eastAsia="黑体" w:cs="黑体"/>
          <w:color w:val="auto"/>
        </w:rPr>
        <w:t>volumetric flasks, respectively; add 4 drops (approx. 0.2 mL) of hydrofluoric acid (4.2.3)</w:t>
      </w:r>
      <w:r>
        <w:rPr>
          <w:rFonts w:hint="eastAsia" w:ascii="黑体" w:hAnsi="黑体" w:eastAsia="黑体" w:cs="黑体"/>
          <w:color w:val="auto"/>
          <w:szCs w:val="21"/>
          <w:lang w:val="en-US" w:eastAsia="zh-CN"/>
        </w:rPr>
        <w:t>,</w:t>
      </w:r>
      <w:r>
        <w:rPr>
          <w:rFonts w:hint="eastAsia" w:ascii="黑体" w:hAnsi="黑体" w:eastAsia="黑体" w:cs="黑体"/>
          <w:color w:val="auto"/>
        </w:rPr>
        <w:t xml:space="preserve"> 5 mL of boric acid solution (4.2.6) and 1 mL of nitric acid (4.2.2)respectively, dilute to the mark with water, and mix well. </w:t>
      </w:r>
    </w:p>
    <w:p w14:paraId="10D59799">
      <w:pPr>
        <w:spacing w:line="360" w:lineRule="exact"/>
        <w:rPr>
          <w:rFonts w:hint="eastAsia" w:ascii="黑体" w:hAnsi="黑体" w:eastAsia="黑体" w:cs="黑体"/>
          <w:color w:val="auto"/>
        </w:rPr>
      </w:pPr>
      <w:r>
        <w:rPr>
          <w:rFonts w:hint="eastAsia" w:ascii="黑体" w:hAnsi="黑体" w:eastAsia="黑体" w:cs="黑体"/>
          <w:color w:val="auto"/>
        </w:rPr>
        <w:t>The mass concentration of the molybdenum and tungsten</w:t>
      </w:r>
      <w:r>
        <w:rPr>
          <w:rFonts w:hint="eastAsia" w:ascii="黑体" w:hAnsi="黑体" w:eastAsia="黑体" w:cs="黑体"/>
          <w:color w:val="auto"/>
          <w:lang w:val="en-US" w:eastAsia="zh-CN"/>
        </w:rPr>
        <w:t xml:space="preserve"> </w:t>
      </w:r>
      <w:r>
        <w:rPr>
          <w:rFonts w:hint="eastAsia" w:ascii="黑体" w:hAnsi="黑体" w:eastAsia="黑体" w:cs="黑体"/>
          <w:color w:val="auto"/>
        </w:rPr>
        <w:t xml:space="preserve">series standard solutions are </w:t>
      </w:r>
      <w:r>
        <w:rPr>
          <w:rFonts w:hint="eastAsia" w:ascii="黑体" w:hAnsi="黑体" w:eastAsia="黑体" w:cs="黑体"/>
          <w:color w:val="auto"/>
          <w:szCs w:val="21"/>
        </w:rPr>
        <w:t xml:space="preserve">0 </w:t>
      </w:r>
      <w:r>
        <w:rPr>
          <w:rFonts w:hint="eastAsia" w:ascii="黑体" w:hAnsi="黑体" w:eastAsia="黑体" w:cs="黑体"/>
          <w:color w:val="auto"/>
          <w:szCs w:val="21"/>
          <w:lang w:eastAsia="zh-CN"/>
        </w:rPr>
        <w:t>μ</w:t>
      </w:r>
      <w:r>
        <w:rPr>
          <w:rFonts w:hint="eastAsia" w:ascii="黑体" w:hAnsi="黑体" w:eastAsia="黑体" w:cs="黑体"/>
          <w:color w:val="auto"/>
          <w:szCs w:val="21"/>
        </w:rPr>
        <w:t>g/mL</w:t>
      </w:r>
      <w:r>
        <w:rPr>
          <w:rFonts w:hint="eastAsia" w:ascii="黑体" w:hAnsi="黑体" w:eastAsia="黑体" w:cs="黑体"/>
          <w:color w:val="auto"/>
          <w:szCs w:val="21"/>
          <w:lang w:val="en-US" w:eastAsia="zh-CN"/>
        </w:rPr>
        <w:t xml:space="preserve">, </w:t>
      </w:r>
      <w:r>
        <w:rPr>
          <w:rFonts w:hint="eastAsia" w:ascii="黑体" w:hAnsi="黑体" w:eastAsia="黑体" w:cs="黑体"/>
          <w:color w:val="auto"/>
          <w:szCs w:val="21"/>
        </w:rPr>
        <w:t>0.</w:t>
      </w:r>
      <w:r>
        <w:rPr>
          <w:rFonts w:hint="eastAsia" w:ascii="黑体" w:hAnsi="黑体" w:eastAsia="黑体" w:cs="黑体"/>
          <w:color w:val="auto"/>
          <w:szCs w:val="21"/>
          <w:lang w:val="en-US" w:eastAsia="zh-CN"/>
        </w:rPr>
        <w:t>1</w:t>
      </w:r>
      <w:r>
        <w:rPr>
          <w:rFonts w:hint="eastAsia" w:ascii="黑体" w:hAnsi="黑体" w:eastAsia="黑体" w:cs="黑体"/>
          <w:color w:val="auto"/>
          <w:szCs w:val="21"/>
        </w:rPr>
        <w:t xml:space="preserve">0 </w:t>
      </w:r>
      <w:r>
        <w:rPr>
          <w:rFonts w:hint="eastAsia" w:ascii="黑体" w:hAnsi="黑体" w:eastAsia="黑体" w:cs="黑体"/>
          <w:color w:val="auto"/>
          <w:szCs w:val="21"/>
          <w:lang w:eastAsia="zh-CN"/>
        </w:rPr>
        <w:t>μ</w:t>
      </w:r>
      <w:r>
        <w:rPr>
          <w:rFonts w:hint="eastAsia" w:ascii="黑体" w:hAnsi="黑体" w:eastAsia="黑体" w:cs="黑体"/>
          <w:color w:val="auto"/>
          <w:szCs w:val="21"/>
        </w:rPr>
        <w:t>g/mL</w:t>
      </w:r>
      <w:r>
        <w:rPr>
          <w:rFonts w:hint="eastAsia" w:ascii="黑体" w:hAnsi="黑体" w:eastAsia="黑体" w:cs="黑体"/>
          <w:color w:val="auto"/>
          <w:szCs w:val="21"/>
          <w:lang w:val="en-US" w:eastAsia="zh-CN"/>
        </w:rPr>
        <w:t>, 0.5</w:t>
      </w:r>
      <w:r>
        <w:rPr>
          <w:rFonts w:hint="eastAsia" w:ascii="黑体" w:hAnsi="黑体" w:eastAsia="黑体" w:cs="黑体"/>
          <w:color w:val="auto"/>
          <w:szCs w:val="21"/>
        </w:rPr>
        <w:t xml:space="preserve">0 </w:t>
      </w:r>
      <w:r>
        <w:rPr>
          <w:rFonts w:hint="eastAsia" w:ascii="黑体" w:hAnsi="黑体" w:eastAsia="黑体" w:cs="黑体"/>
          <w:color w:val="auto"/>
          <w:szCs w:val="21"/>
          <w:lang w:eastAsia="zh-CN"/>
        </w:rPr>
        <w:t>μ</w:t>
      </w:r>
      <w:r>
        <w:rPr>
          <w:rFonts w:hint="eastAsia" w:ascii="黑体" w:hAnsi="黑体" w:eastAsia="黑体" w:cs="黑体"/>
          <w:color w:val="auto"/>
          <w:szCs w:val="21"/>
        </w:rPr>
        <w:t>g/mL</w:t>
      </w:r>
      <w:r>
        <w:rPr>
          <w:rFonts w:hint="eastAsia" w:ascii="黑体" w:hAnsi="黑体" w:eastAsia="黑体" w:cs="黑体"/>
          <w:color w:val="auto"/>
          <w:szCs w:val="21"/>
          <w:lang w:val="en-US" w:eastAsia="zh-CN"/>
        </w:rPr>
        <w:t>, 1</w:t>
      </w:r>
      <w:r>
        <w:rPr>
          <w:rFonts w:hint="eastAsia" w:ascii="黑体" w:hAnsi="黑体" w:eastAsia="黑体" w:cs="黑体"/>
          <w:color w:val="auto"/>
          <w:szCs w:val="21"/>
        </w:rPr>
        <w:t xml:space="preserve">.00 </w:t>
      </w:r>
      <w:r>
        <w:rPr>
          <w:rFonts w:hint="eastAsia" w:ascii="黑体" w:hAnsi="黑体" w:eastAsia="黑体" w:cs="黑体"/>
          <w:color w:val="auto"/>
          <w:szCs w:val="21"/>
          <w:lang w:eastAsia="zh-CN"/>
        </w:rPr>
        <w:t>μ</w:t>
      </w:r>
      <w:r>
        <w:rPr>
          <w:rFonts w:hint="eastAsia" w:ascii="黑体" w:hAnsi="黑体" w:eastAsia="黑体" w:cs="黑体"/>
          <w:color w:val="auto"/>
          <w:szCs w:val="21"/>
        </w:rPr>
        <w:t>g/mL</w:t>
      </w:r>
      <w:r>
        <w:rPr>
          <w:rFonts w:hint="eastAsia" w:ascii="黑体" w:hAnsi="黑体" w:eastAsia="黑体" w:cs="黑体"/>
          <w:color w:val="auto"/>
          <w:szCs w:val="21"/>
          <w:lang w:val="en-US" w:eastAsia="zh-CN"/>
        </w:rPr>
        <w:t>, 2.5</w:t>
      </w:r>
      <w:r>
        <w:rPr>
          <w:rFonts w:hint="eastAsia" w:ascii="黑体" w:hAnsi="黑体" w:eastAsia="黑体" w:cs="黑体"/>
          <w:color w:val="auto"/>
          <w:szCs w:val="21"/>
        </w:rPr>
        <w:t xml:space="preserve">0 </w:t>
      </w:r>
      <w:bookmarkStart w:id="6" w:name="OLE_LINK65"/>
      <w:r>
        <w:rPr>
          <w:rFonts w:hint="eastAsia" w:ascii="黑体" w:hAnsi="黑体" w:eastAsia="黑体" w:cs="黑体"/>
          <w:color w:val="auto"/>
          <w:szCs w:val="21"/>
          <w:lang w:eastAsia="zh-CN"/>
        </w:rPr>
        <w:t>μ</w:t>
      </w:r>
      <w:r>
        <w:rPr>
          <w:rFonts w:hint="eastAsia" w:ascii="黑体" w:hAnsi="黑体" w:eastAsia="黑体" w:cs="黑体"/>
          <w:color w:val="auto"/>
          <w:szCs w:val="21"/>
        </w:rPr>
        <w:t>g/mL</w:t>
      </w:r>
      <w:bookmarkEnd w:id="6"/>
      <w:r>
        <w:rPr>
          <w:rFonts w:hint="eastAsia" w:ascii="黑体" w:hAnsi="黑体" w:eastAsia="黑体" w:cs="黑体"/>
          <w:color w:val="auto"/>
          <w:szCs w:val="21"/>
          <w:lang w:val="en-US" w:eastAsia="zh-CN"/>
        </w:rPr>
        <w:t xml:space="preserve">, </w:t>
      </w:r>
      <w:r>
        <w:rPr>
          <w:rFonts w:hint="eastAsia" w:ascii="黑体" w:hAnsi="黑体" w:eastAsia="黑体" w:cs="黑体"/>
          <w:color w:val="auto"/>
          <w:szCs w:val="21"/>
        </w:rPr>
        <w:t xml:space="preserve">5.00 </w:t>
      </w:r>
      <w:r>
        <w:rPr>
          <w:rFonts w:hint="eastAsia" w:ascii="黑体" w:hAnsi="黑体" w:eastAsia="黑体" w:cs="黑体"/>
          <w:color w:val="auto"/>
          <w:szCs w:val="21"/>
          <w:lang w:eastAsia="zh-CN"/>
        </w:rPr>
        <w:t>μ</w:t>
      </w:r>
      <w:r>
        <w:rPr>
          <w:rFonts w:hint="eastAsia" w:ascii="黑体" w:hAnsi="黑体" w:eastAsia="黑体" w:cs="黑体"/>
          <w:color w:val="auto"/>
          <w:szCs w:val="21"/>
        </w:rPr>
        <w:t>g/mL</w:t>
      </w:r>
      <w:r>
        <w:rPr>
          <w:rFonts w:hint="eastAsia" w:ascii="黑体" w:hAnsi="黑体" w:eastAsia="黑体" w:cs="黑体"/>
          <w:color w:val="auto"/>
          <w:szCs w:val="21"/>
          <w:lang w:val="en-US" w:eastAsia="zh-CN"/>
        </w:rPr>
        <w:t xml:space="preserve">, </w:t>
      </w:r>
      <w:r>
        <w:rPr>
          <w:rFonts w:hint="eastAsia" w:ascii="黑体" w:hAnsi="黑体" w:eastAsia="黑体" w:cs="黑体"/>
          <w:color w:val="auto"/>
          <w:szCs w:val="21"/>
        </w:rPr>
        <w:t xml:space="preserve">10.00 </w:t>
      </w:r>
      <w:r>
        <w:rPr>
          <w:rFonts w:hint="eastAsia" w:ascii="黑体" w:hAnsi="黑体" w:eastAsia="黑体" w:cs="黑体"/>
          <w:color w:val="auto"/>
          <w:szCs w:val="21"/>
          <w:lang w:eastAsia="zh-CN"/>
        </w:rPr>
        <w:t>μ</w:t>
      </w:r>
      <w:r>
        <w:rPr>
          <w:rFonts w:hint="eastAsia" w:ascii="黑体" w:hAnsi="黑体" w:eastAsia="黑体" w:cs="黑体"/>
          <w:color w:val="auto"/>
          <w:szCs w:val="21"/>
        </w:rPr>
        <w:t>g/mL</w:t>
      </w:r>
      <w:r>
        <w:rPr>
          <w:rFonts w:hint="eastAsia" w:ascii="黑体" w:hAnsi="黑体" w:eastAsia="黑体" w:cs="黑体"/>
          <w:color w:val="auto"/>
          <w:szCs w:val="21"/>
          <w:lang w:val="en-US" w:eastAsia="zh-CN"/>
        </w:rPr>
        <w:t>,</w:t>
      </w:r>
      <w:r>
        <w:rPr>
          <w:rFonts w:hint="eastAsia" w:ascii="黑体" w:hAnsi="黑体" w:eastAsia="黑体" w:cs="黑体"/>
          <w:color w:val="auto"/>
          <w:szCs w:val="21"/>
        </w:rPr>
        <w:t xml:space="preserve"> </w:t>
      </w:r>
      <w:r>
        <w:rPr>
          <w:rFonts w:hint="eastAsia" w:ascii="黑体" w:hAnsi="黑体" w:eastAsia="黑体" w:cs="黑体"/>
          <w:color w:val="auto"/>
        </w:rPr>
        <w:t>respectively.</w:t>
      </w:r>
    </w:p>
    <w:p w14:paraId="4053E41C">
      <w:pPr>
        <w:spacing w:line="360" w:lineRule="exact"/>
        <w:rPr>
          <w:rFonts w:hint="eastAsia" w:ascii="黑体" w:hAnsi="黑体" w:eastAsia="黑体" w:cs="黑体"/>
          <w:color w:val="auto"/>
          <w:sz w:val="18"/>
          <w:szCs w:val="21"/>
        </w:rPr>
      </w:pPr>
      <w:r>
        <w:rPr>
          <w:rFonts w:hint="eastAsia" w:ascii="黑体" w:hAnsi="黑体" w:eastAsia="黑体" w:cs="黑体"/>
          <w:color w:val="auto"/>
          <w:sz w:val="18"/>
          <w:szCs w:val="21"/>
        </w:rPr>
        <w:t>NOTE: If the instrument is equipped with a hydrofluoric acid-resistant sample introduction system, the boric acid solution (4.2.6) may be omitted.</w:t>
      </w:r>
    </w:p>
    <w:p w14:paraId="3554BD0D">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.5.6 Determination</w:t>
      </w:r>
    </w:p>
    <w:p w14:paraId="5428D10F">
      <w:pPr>
        <w:pStyle w:val="29"/>
        <w:adjustRightInd w:val="0"/>
        <w:snapToGrid w:val="0"/>
        <w:spacing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 xml:space="preserve">.5.6.1 </w:t>
      </w:r>
      <w:r>
        <w:rPr>
          <w:rFonts w:ascii="黑体" w:hAnsi="黑体" w:eastAsia="黑体" w:cs="黑体"/>
          <w:color w:val="auto"/>
        </w:rPr>
        <w:t>Plotting the calibration curve</w:t>
      </w:r>
    </w:p>
    <w:p w14:paraId="3AECBD27">
      <w:pPr>
        <w:pStyle w:val="29"/>
        <w:adjustRightInd w:val="0"/>
        <w:snapToGrid w:val="0"/>
        <w:spacing w:line="360" w:lineRule="exact"/>
        <w:rPr>
          <w:rFonts w:hint="eastAsia" w:ascii="黑体" w:hAnsi="黑体" w:eastAsia="黑体" w:cs="黑体"/>
          <w:color w:val="auto"/>
        </w:rPr>
      </w:pPr>
      <w:r>
        <w:rPr>
          <w:rFonts w:hint="eastAsia" w:ascii="黑体" w:hAnsi="黑体" w:eastAsia="黑体" w:cs="黑体"/>
          <w:color w:val="auto"/>
          <w:kern w:val="2"/>
          <w:sz w:val="21"/>
          <w:szCs w:val="20"/>
          <w:lang w:val="en-US" w:eastAsia="zh-CN" w:bidi="ar-SA"/>
        </w:rPr>
        <w:t>Under the selected operating conditions of the instrument, perform argon plasma atomic emission spectrometric measurement on the series of standard solutions (4.5.5) using the selected analytical spectral lines. Plot the working curve with the optical signal intensity of the element to be determined as the ordinate and the mass concentration of the series of standard solutions as the abscissa. The linear correlation coefficient shall be not less than 0.9995</w:t>
      </w:r>
      <w:r>
        <w:rPr>
          <w:rFonts w:hint="eastAsia" w:ascii="黑体" w:hAnsi="黑体" w:eastAsia="黑体" w:cs="黑体"/>
          <w:color w:val="auto"/>
        </w:rPr>
        <w:t>.</w:t>
      </w:r>
    </w:p>
    <w:p w14:paraId="74CD2CD4">
      <w:pPr>
        <w:pStyle w:val="29"/>
        <w:adjustRightInd w:val="0"/>
        <w:snapToGrid w:val="0"/>
        <w:spacing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.5.6.2 Determination of blank test solution</w:t>
      </w:r>
    </w:p>
    <w:p w14:paraId="256EA17A">
      <w:pPr>
        <w:spacing w:line="360" w:lineRule="exact"/>
        <w:rPr>
          <w:rFonts w:hint="eastAsia" w:ascii="黑体" w:hAnsi="黑体" w:eastAsia="黑体" w:cs="黑体"/>
          <w:color w:val="auto"/>
        </w:rPr>
      </w:pPr>
      <w:r>
        <w:rPr>
          <w:rFonts w:hint="eastAsia" w:ascii="黑体" w:hAnsi="黑体" w:eastAsia="黑体" w:cs="黑体"/>
          <w:color w:val="auto"/>
        </w:rPr>
        <w:t xml:space="preserve">After the </w:t>
      </w:r>
      <w:r>
        <w:rPr>
          <w:rFonts w:ascii="黑体" w:hAnsi="黑体" w:eastAsia="黑体" w:cs="黑体"/>
          <w:color w:val="auto"/>
        </w:rPr>
        <w:t>calibration</w:t>
      </w:r>
      <w:r>
        <w:rPr>
          <w:rFonts w:hint="eastAsia" w:ascii="黑体" w:hAnsi="黑体" w:eastAsia="黑体" w:cs="黑体"/>
          <w:color w:val="auto"/>
        </w:rPr>
        <w:t xml:space="preserve"> curve (</w:t>
      </w:r>
      <w:r>
        <w:rPr>
          <w:rFonts w:hint="eastAsia" w:ascii="黑体" w:hAnsi="黑体" w:eastAsia="黑体" w:cs="黑体"/>
          <w:color w:val="auto"/>
          <w:lang w:val="en-US" w:eastAsia="zh-CN"/>
        </w:rPr>
        <w:t>4.5.6.1</w:t>
      </w:r>
      <w:r>
        <w:rPr>
          <w:rFonts w:hint="eastAsia" w:ascii="黑体" w:hAnsi="黑体" w:eastAsia="黑体" w:cs="黑体"/>
          <w:color w:val="auto"/>
        </w:rPr>
        <w:t>) meets the determination requirements</w:t>
      </w:r>
      <w:r>
        <w:rPr>
          <w:rFonts w:hint="eastAsia" w:ascii="黑体" w:hAnsi="黑体" w:eastAsia="黑体" w:cs="黑体"/>
          <w:color w:val="auto"/>
          <w:lang w:val="en-US" w:eastAsia="zh-CN"/>
        </w:rPr>
        <w:t xml:space="preserve">, </w:t>
      </w:r>
      <w:r>
        <w:rPr>
          <w:rFonts w:hint="eastAsia" w:ascii="黑体" w:hAnsi="黑体" w:eastAsia="黑体" w:cs="黑体"/>
          <w:color w:val="auto"/>
        </w:rPr>
        <w:t xml:space="preserve">perform argon plasma atomic emission spectrometric measurement on the blank test solution (4.5.3) using the selected analytical spectral lines. The instrument automatically processes the data according to the </w:t>
      </w:r>
      <w:r>
        <w:rPr>
          <w:rFonts w:ascii="黑体" w:hAnsi="黑体" w:eastAsia="黑体" w:cs="黑体"/>
          <w:color w:val="auto"/>
        </w:rPr>
        <w:t>calibration</w:t>
      </w:r>
      <w:r>
        <w:rPr>
          <w:rFonts w:hint="eastAsia" w:ascii="黑体" w:hAnsi="黑体" w:eastAsia="黑体" w:cs="黑体"/>
          <w:color w:val="auto"/>
        </w:rPr>
        <w:t xml:space="preserve"> curve, calculates and outputs the mass concentration of the element</w:t>
      </w:r>
      <w:r>
        <w:rPr>
          <w:rFonts w:hint="eastAsia" w:ascii="黑体" w:hAnsi="黑体" w:eastAsia="黑体" w:cs="黑体"/>
          <w:color w:val="auto"/>
          <w:lang w:val="en-US" w:eastAsia="zh-CN"/>
        </w:rPr>
        <w:t>s.</w:t>
      </w:r>
    </w:p>
    <w:p w14:paraId="078B02A1">
      <w:pPr>
        <w:pStyle w:val="29"/>
        <w:adjustRightInd w:val="0"/>
        <w:snapToGrid w:val="0"/>
        <w:spacing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.5.6.</w:t>
      </w:r>
      <w:r>
        <w:rPr>
          <w:rFonts w:hint="eastAsia" w:ascii="黑体" w:hAnsi="黑体" w:eastAsia="黑体" w:cs="黑体"/>
          <w:color w:val="auto"/>
          <w:lang w:val="en-US" w:eastAsia="zh-CN"/>
        </w:rPr>
        <w:t>3</w:t>
      </w:r>
      <w:r>
        <w:rPr>
          <w:rFonts w:hint="eastAsia" w:ascii="黑体" w:hAnsi="黑体" w:eastAsia="黑体" w:cs="黑体"/>
          <w:color w:val="auto"/>
        </w:rPr>
        <w:t xml:space="preserve"> Determination of analytical test solution</w:t>
      </w:r>
    </w:p>
    <w:p w14:paraId="7A7E972D">
      <w:pPr>
        <w:spacing w:line="360" w:lineRule="exact"/>
        <w:rPr>
          <w:rFonts w:hint="eastAsia" w:ascii="黑体" w:hAnsi="黑体" w:eastAsia="黑体" w:cs="黑体"/>
          <w:color w:val="auto"/>
        </w:rPr>
      </w:pPr>
      <w:r>
        <w:rPr>
          <w:rFonts w:hint="eastAsia" w:ascii="黑体" w:hAnsi="黑体" w:eastAsia="黑体" w:cs="黑体"/>
          <w:color w:val="auto"/>
        </w:rPr>
        <w:t>After the calibration curve (4.5.6.1) meets the determination requirements, perform argon plasma atomic emission spectrometric measurement on the analytical test solution (4.5.</w:t>
      </w:r>
      <w:r>
        <w:rPr>
          <w:rFonts w:hint="eastAsia" w:ascii="黑体" w:hAnsi="黑体" w:eastAsia="黑体" w:cs="黑体"/>
          <w:color w:val="auto"/>
          <w:lang w:val="en-US" w:eastAsia="zh-CN"/>
        </w:rPr>
        <w:t>4.2</w:t>
      </w:r>
      <w:r>
        <w:rPr>
          <w:rFonts w:hint="eastAsia" w:ascii="黑体" w:hAnsi="黑体" w:eastAsia="黑体" w:cs="黑体"/>
          <w:color w:val="auto"/>
        </w:rPr>
        <w:t>) using the selected analytical spectral lines. The instrument automatically processes the data according to the calibration curve, calculates and outputs the mass concentration of the elements.</w:t>
      </w:r>
    </w:p>
    <w:p w14:paraId="2D8506AA">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lang w:val="en-US" w:eastAsia="zh-CN"/>
        </w:rPr>
        <w:t>4</w:t>
      </w:r>
      <w:r>
        <w:rPr>
          <w:rFonts w:hint="eastAsia" w:hAnsi="黑体" w:cs="黑体"/>
          <w:color w:val="auto"/>
        </w:rPr>
        <w:t>.6 Test data processing</w:t>
      </w:r>
    </w:p>
    <w:p w14:paraId="48D192F7">
      <w:pPr>
        <w:spacing w:line="360" w:lineRule="exact"/>
        <w:rPr>
          <w:rFonts w:hint="eastAsia" w:ascii="黑体" w:hAnsi="黑体" w:eastAsia="黑体" w:cs="黑体"/>
          <w:color w:val="auto"/>
        </w:rPr>
      </w:pPr>
      <w:r>
        <w:rPr>
          <w:rFonts w:hint="eastAsia" w:ascii="黑体" w:hAnsi="黑体" w:eastAsia="黑体" w:cs="黑体"/>
          <w:color w:val="auto"/>
        </w:rPr>
        <w:t xml:space="preserve">The molybdenum </w:t>
      </w:r>
      <w:r>
        <w:rPr>
          <w:rFonts w:hint="eastAsia" w:ascii="黑体" w:hAnsi="黑体" w:eastAsia="黑体" w:cs="黑体"/>
          <w:color w:val="auto"/>
          <w:lang w:val="en-US" w:eastAsia="zh-CN"/>
        </w:rPr>
        <w:t>or</w:t>
      </w:r>
      <w:r>
        <w:rPr>
          <w:rFonts w:hint="eastAsia" w:ascii="黑体" w:hAnsi="黑体" w:eastAsia="黑体" w:cs="黑体"/>
          <w:color w:val="auto"/>
        </w:rPr>
        <w:t xml:space="preserve"> tungsten</w:t>
      </w:r>
      <w:r>
        <w:rPr>
          <w:rFonts w:hint="eastAsia" w:ascii="黑体" w:hAnsi="黑体" w:eastAsia="黑体" w:cs="黑体"/>
          <w:color w:val="auto"/>
          <w:lang w:val="en-US" w:eastAsia="zh-CN"/>
        </w:rPr>
        <w:t xml:space="preserve"> </w:t>
      </w:r>
      <w:r>
        <w:rPr>
          <w:rFonts w:hint="eastAsia" w:ascii="黑体" w:hAnsi="黑体" w:eastAsia="黑体" w:cs="黑体"/>
          <w:color w:val="auto"/>
        </w:rPr>
        <w:t xml:space="preserve">content is calculated as a mass fraction </w:t>
      </w:r>
      <w:r>
        <w:rPr>
          <w:rFonts w:hint="eastAsia" w:ascii="黑体" w:hAnsi="黑体" w:eastAsia="黑体" w:cs="黑体"/>
          <w:color w:val="auto"/>
        </w:rPr>
        <w:drawing>
          <wp:inline distT="0" distB="0" distL="114300" distR="114300">
            <wp:extent cx="142875" cy="133350"/>
            <wp:effectExtent l="0" t="0" r="9525" b="3175"/>
            <wp:docPr id="1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pic:cNvPicPr>
                      <a:picLocks noChangeAspect="1"/>
                    </pic:cNvPicPr>
                  </pic:nvPicPr>
                  <pic:blipFill>
                    <a:blip r:embed="rId16"/>
                    <a:stretch>
                      <a:fillRect/>
                    </a:stretch>
                  </pic:blipFill>
                  <pic:spPr>
                    <a:xfrm>
                      <a:off x="0" y="0"/>
                      <a:ext cx="142875" cy="133350"/>
                    </a:xfrm>
                    <a:prstGeom prst="rect">
                      <a:avLst/>
                    </a:prstGeom>
                    <a:noFill/>
                    <a:ln>
                      <a:noFill/>
                    </a:ln>
                  </pic:spPr>
                </pic:pic>
              </a:graphicData>
            </a:graphic>
          </wp:inline>
        </w:drawing>
      </w:r>
      <w:r>
        <w:rPr>
          <w:rFonts w:hint="eastAsia" w:ascii="黑体" w:hAnsi="黑体" w:eastAsia="黑体" w:cs="黑体"/>
          <w:color w:val="auto"/>
        </w:rPr>
        <w:t>(</w:t>
      </w:r>
      <w:r>
        <w:rPr>
          <w:rFonts w:hint="eastAsia" w:ascii="黑体" w:hAnsi="黑体" w:eastAsia="黑体" w:cs="黑体"/>
          <w:i/>
          <w:iCs/>
          <w:color w:val="auto"/>
          <w:lang w:val="en-US" w:eastAsia="zh-CN"/>
        </w:rPr>
        <w:t>i</w:t>
      </w:r>
      <w:r>
        <w:rPr>
          <w:rFonts w:hint="eastAsia" w:ascii="黑体" w:hAnsi="黑体" w:eastAsia="黑体" w:cs="黑体"/>
          <w:color w:val="auto"/>
        </w:rPr>
        <w:t xml:space="preserve">) </w:t>
      </w:r>
      <w:r>
        <w:rPr>
          <w:rFonts w:hint="eastAsia" w:ascii="黑体" w:hAnsi="黑体" w:eastAsia="黑体" w:cs="黑体"/>
          <w:color w:val="auto"/>
          <w:lang w:val="en-US" w:eastAsia="zh-CN"/>
        </w:rPr>
        <w:t>according</w:t>
      </w:r>
      <w:r>
        <w:rPr>
          <w:rFonts w:hint="eastAsia" w:ascii="黑体" w:hAnsi="黑体" w:eastAsia="黑体" w:cs="黑体"/>
          <w:color w:val="auto"/>
        </w:rPr>
        <w:t xml:space="preserve"> to formula (</w:t>
      </w:r>
      <w:r>
        <w:rPr>
          <w:rFonts w:hint="eastAsia" w:ascii="黑体" w:hAnsi="黑体" w:eastAsia="黑体" w:cs="黑体"/>
          <w:color w:val="auto"/>
          <w:lang w:val="en-US" w:eastAsia="zh-CN"/>
        </w:rPr>
        <w:t>1</w:t>
      </w:r>
      <w:r>
        <w:rPr>
          <w:rFonts w:hint="eastAsia" w:ascii="黑体" w:hAnsi="黑体" w:eastAsia="黑体" w:cs="黑体"/>
          <w:color w:val="auto"/>
        </w:rPr>
        <w:t xml:space="preserve">): </w:t>
      </w:r>
    </w:p>
    <w:p w14:paraId="522EF084">
      <w:pPr>
        <w:jc w:val="right"/>
        <w:rPr>
          <w:color w:val="auto"/>
          <w:szCs w:val="21"/>
        </w:rPr>
      </w:pPr>
      <w:r>
        <w:rPr>
          <w:rFonts w:hint="eastAsia"/>
          <w:color w:val="auto"/>
          <w:position w:val="-30"/>
          <w:sz w:val="18"/>
        </w:rPr>
        <w:object>
          <v:shape id="_x0000_i1027" o:spt="75" type="#_x0000_t75" style="height:29.15pt;width:155.75pt;" o:ole="t" filled="f" o:preferrelative="t" stroked="f" coordsize="21600,21600">
            <v:path/>
            <v:fill on="f" focussize="0,0"/>
            <v:stroke on="f"/>
            <v:imagedata r:id="rId18" o:title=""/>
            <o:lock v:ext="edit" aspectratio="t"/>
            <w10:wrap type="none"/>
            <w10:anchorlock/>
          </v:shape>
          <o:OLEObject Type="Embed" ProgID="Equation.3" ShapeID="_x0000_i1027" DrawAspect="Content" ObjectID="_1468075727" r:id="rId17">
            <o:LockedField>false</o:LockedField>
          </o:OLEObject>
        </w:object>
      </w:r>
      <w:r>
        <w:rPr>
          <w:rFonts w:hint="eastAsia"/>
          <w:color w:val="auto"/>
          <w:szCs w:val="21"/>
        </w:rPr>
        <w:t>………………………………（1）</w:t>
      </w:r>
    </w:p>
    <w:p w14:paraId="597F8BEA">
      <w:pPr>
        <w:pStyle w:val="113"/>
        <w:spacing w:line="360" w:lineRule="exact"/>
        <w:ind w:firstLine="0" w:firstLineChars="0"/>
        <w:rPr>
          <w:rFonts w:hint="eastAsia" w:ascii="黑体" w:hAnsi="黑体" w:eastAsia="黑体" w:cs="黑体"/>
          <w:color w:val="auto"/>
        </w:rPr>
      </w:pPr>
      <w:r>
        <w:rPr>
          <w:rFonts w:hint="eastAsia" w:ascii="黑体" w:hAnsi="黑体" w:eastAsia="黑体" w:cs="黑体"/>
          <w:color w:val="auto"/>
        </w:rPr>
        <w:t>Where,</w:t>
      </w:r>
    </w:p>
    <w:p w14:paraId="3F9DC784">
      <w:pPr>
        <w:adjustRightInd w:val="0"/>
        <w:snapToGrid w:val="0"/>
        <w:spacing w:line="360" w:lineRule="exact"/>
        <w:jc w:val="left"/>
        <w:rPr>
          <w:rFonts w:hint="eastAsia" w:ascii="黑体" w:hAnsi="黑体" w:eastAsia="黑体" w:cs="黑体"/>
          <w:color w:val="auto"/>
          <w:szCs w:val="21"/>
        </w:rPr>
      </w:pPr>
      <w:r>
        <w:rPr>
          <w:rFonts w:hint="eastAsia" w:ascii="黑体" w:hAnsi="黑体" w:eastAsia="黑体" w:cs="黑体"/>
          <w:i/>
          <w:iCs/>
          <w:color w:val="auto"/>
          <w:szCs w:val="21"/>
        </w:rPr>
        <w:t>ρ</w:t>
      </w:r>
      <w:r>
        <w:rPr>
          <w:rFonts w:hint="eastAsia" w:ascii="黑体" w:hAnsi="黑体" w:eastAsia="黑体" w:cs="黑体"/>
          <w:i/>
          <w:iCs/>
          <w:color w:val="auto"/>
          <w:szCs w:val="21"/>
          <w:vertAlign w:val="subscript"/>
        </w:rPr>
        <w:t>i</w:t>
      </w:r>
      <w:r>
        <w:rPr>
          <w:rFonts w:hint="eastAsia" w:ascii="黑体" w:hAnsi="黑体" w:eastAsia="黑体" w:cs="黑体"/>
          <w:color w:val="auto"/>
          <w:szCs w:val="21"/>
          <w:vertAlign w:val="subscript"/>
        </w:rPr>
        <w:t>1</w:t>
      </w:r>
      <w:r>
        <w:rPr>
          <w:rFonts w:hint="eastAsia" w:ascii="黑体" w:hAnsi="黑体" w:eastAsia="黑体" w:cs="黑体"/>
          <w:color w:val="auto"/>
          <w:szCs w:val="21"/>
          <w:vertAlign w:val="subscript"/>
          <w:lang w:val="en-US" w:eastAsia="zh-CN"/>
        </w:rPr>
        <w:t xml:space="preserve"> </w:t>
      </w:r>
      <w:r>
        <w:rPr>
          <w:rFonts w:hint="eastAsia" w:ascii="黑体" w:hAnsi="黑体" w:eastAsia="黑体" w:cs="黑体"/>
          <w:color w:val="auto"/>
          <w:szCs w:val="21"/>
        </w:rPr>
        <w:t>is</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t</w:t>
      </w:r>
      <w:r>
        <w:rPr>
          <w:rFonts w:hint="eastAsia" w:ascii="黑体" w:hAnsi="黑体" w:eastAsia="黑体" w:cs="黑体"/>
          <w:iCs/>
          <w:color w:val="auto"/>
        </w:rPr>
        <w:t>he mass concentration of</w:t>
      </w:r>
      <w:r>
        <w:rPr>
          <w:rFonts w:hint="eastAsia" w:ascii="黑体" w:hAnsi="黑体" w:eastAsia="黑体" w:cs="黑体"/>
          <w:iCs/>
          <w:color w:val="auto"/>
          <w:lang w:val="en-US" w:eastAsia="zh-CN"/>
        </w:rPr>
        <w:t xml:space="preserve"> </w:t>
      </w:r>
      <w:r>
        <w:rPr>
          <w:rFonts w:hint="eastAsia" w:ascii="黑体" w:hAnsi="黑体" w:eastAsia="黑体" w:cs="黑体"/>
          <w:iCs/>
          <w:color w:val="auto"/>
        </w:rPr>
        <w:t>the element</w:t>
      </w:r>
      <w:r>
        <w:rPr>
          <w:rFonts w:hint="eastAsia" w:ascii="黑体" w:hAnsi="黑体" w:eastAsia="黑体" w:cs="黑体"/>
          <w:iCs/>
          <w:color w:val="auto"/>
          <w:lang w:val="en-US" w:eastAsia="zh-CN"/>
        </w:rPr>
        <w:t>s</w:t>
      </w:r>
      <w:r>
        <w:rPr>
          <w:rFonts w:hint="eastAsia" w:ascii="黑体" w:hAnsi="黑体" w:eastAsia="黑体" w:cs="黑体"/>
          <w:iCs/>
          <w:color w:val="auto"/>
        </w:rPr>
        <w:t xml:space="preserve"> to be determined in the analytical test solution (4.5.4.2), read from the working curve or output by the computer, in micrograms per milliliter (</w:t>
      </w:r>
      <w:r>
        <w:rPr>
          <w:rFonts w:hint="eastAsia" w:eastAsia="黑体"/>
          <w:color w:val="auto"/>
          <w:lang w:eastAsia="zh-CN"/>
        </w:rPr>
        <w:t>μ</w:t>
      </w:r>
      <w:r>
        <w:rPr>
          <w:rFonts w:hint="eastAsia" w:ascii="黑体" w:hAnsi="黑体" w:eastAsia="黑体" w:cs="黑体"/>
          <w:color w:val="auto"/>
          <w:szCs w:val="21"/>
        </w:rPr>
        <w:t>g/mL</w:t>
      </w:r>
      <w:r>
        <w:rPr>
          <w:rFonts w:hint="eastAsia" w:ascii="黑体" w:hAnsi="黑体" w:eastAsia="黑体" w:cs="黑体"/>
          <w:iCs/>
          <w:color w:val="auto"/>
        </w:rPr>
        <w:t>)</w:t>
      </w:r>
      <w:r>
        <w:rPr>
          <w:rFonts w:hint="eastAsia" w:ascii="黑体" w:hAnsi="黑体" w:eastAsia="黑体" w:cs="黑体"/>
          <w:color w:val="auto"/>
        </w:rPr>
        <w:t>;</w:t>
      </w:r>
    </w:p>
    <w:p w14:paraId="1E4855A5">
      <w:pPr>
        <w:adjustRightInd w:val="0"/>
        <w:snapToGrid w:val="0"/>
        <w:spacing w:line="360" w:lineRule="exact"/>
        <w:jc w:val="left"/>
        <w:rPr>
          <w:rFonts w:hint="eastAsia" w:ascii="黑体" w:hAnsi="黑体" w:eastAsia="黑体" w:cs="黑体"/>
          <w:color w:val="auto"/>
          <w:szCs w:val="21"/>
        </w:rPr>
      </w:pPr>
      <w:r>
        <w:rPr>
          <w:rFonts w:hint="eastAsia" w:ascii="黑体" w:hAnsi="黑体" w:eastAsia="黑体" w:cs="黑体"/>
          <w:i/>
          <w:color w:val="auto"/>
        </w:rPr>
        <w:t>ρ</w:t>
      </w:r>
      <w:r>
        <w:rPr>
          <w:rFonts w:hint="eastAsia" w:ascii="黑体" w:hAnsi="黑体" w:eastAsia="黑体" w:cs="黑体"/>
          <w:i/>
          <w:iCs/>
          <w:color w:val="auto"/>
          <w:szCs w:val="21"/>
          <w:vertAlign w:val="subscript"/>
        </w:rPr>
        <w:t>i</w:t>
      </w:r>
      <w:r>
        <w:rPr>
          <w:rFonts w:hint="eastAsia" w:ascii="黑体" w:hAnsi="黑体" w:eastAsia="黑体" w:cs="黑体"/>
          <w:color w:val="auto"/>
          <w:vertAlign w:val="subscript"/>
        </w:rPr>
        <w:t>0</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is</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t</w:t>
      </w:r>
      <w:r>
        <w:rPr>
          <w:rFonts w:hint="eastAsia" w:ascii="黑体" w:hAnsi="黑体" w:eastAsia="黑体" w:cs="黑体"/>
          <w:iCs/>
          <w:color w:val="auto"/>
        </w:rPr>
        <w:t>he m</w:t>
      </w:r>
      <w:r>
        <w:rPr>
          <w:rFonts w:hint="eastAsia" w:ascii="黑体" w:hAnsi="黑体" w:eastAsia="黑体" w:cs="黑体"/>
          <w:color w:val="auto"/>
        </w:rPr>
        <w:t>ass concentration of the element</w:t>
      </w:r>
      <w:r>
        <w:rPr>
          <w:rFonts w:hint="eastAsia" w:ascii="黑体" w:hAnsi="黑体" w:eastAsia="黑体" w:cs="黑体"/>
          <w:color w:val="auto"/>
          <w:lang w:val="en-US" w:eastAsia="zh-CN"/>
        </w:rPr>
        <w:t>s</w:t>
      </w:r>
      <w:r>
        <w:rPr>
          <w:rFonts w:hint="eastAsia" w:ascii="黑体" w:hAnsi="黑体" w:eastAsia="黑体" w:cs="黑体"/>
          <w:color w:val="auto"/>
        </w:rPr>
        <w:t xml:space="preserve"> to be determined in the blank test solution (4.5.3), read from the working curve or output by the computer</w:t>
      </w:r>
      <w:r>
        <w:rPr>
          <w:rFonts w:hint="eastAsia" w:ascii="黑体" w:hAnsi="黑体" w:eastAsia="黑体" w:cs="黑体"/>
          <w:color w:val="auto"/>
          <w:lang w:val="en-US" w:eastAsia="zh-CN"/>
        </w:rPr>
        <w:t xml:space="preserve">, </w:t>
      </w:r>
      <w:r>
        <w:rPr>
          <w:rFonts w:hint="eastAsia" w:ascii="黑体" w:hAnsi="黑体" w:eastAsia="黑体" w:cs="黑体"/>
          <w:color w:val="auto"/>
        </w:rPr>
        <w:t xml:space="preserve">in </w:t>
      </w:r>
      <w:r>
        <w:rPr>
          <w:rFonts w:hint="eastAsia" w:ascii="黑体" w:hAnsi="黑体" w:eastAsia="黑体" w:cs="黑体"/>
          <w:iCs/>
          <w:color w:val="auto"/>
        </w:rPr>
        <w:t>micrograms per milliliter (</w:t>
      </w:r>
      <w:r>
        <w:rPr>
          <w:rFonts w:hint="eastAsia" w:eastAsia="黑体"/>
          <w:color w:val="auto"/>
          <w:lang w:eastAsia="zh-CN"/>
        </w:rPr>
        <w:t>μ</w:t>
      </w:r>
      <w:r>
        <w:rPr>
          <w:rFonts w:hint="eastAsia" w:ascii="黑体" w:hAnsi="黑体" w:eastAsia="黑体" w:cs="黑体"/>
          <w:color w:val="auto"/>
          <w:szCs w:val="21"/>
        </w:rPr>
        <w:t>g/mL</w:t>
      </w:r>
      <w:r>
        <w:rPr>
          <w:rFonts w:hint="eastAsia" w:ascii="黑体" w:hAnsi="黑体" w:eastAsia="黑体" w:cs="黑体"/>
          <w:iCs/>
          <w:color w:val="auto"/>
        </w:rPr>
        <w:t>)</w:t>
      </w:r>
      <w:r>
        <w:rPr>
          <w:rFonts w:hint="eastAsia" w:ascii="黑体" w:hAnsi="黑体" w:eastAsia="黑体" w:cs="黑体"/>
          <w:color w:val="auto"/>
        </w:rPr>
        <w:t>;</w:t>
      </w:r>
    </w:p>
    <w:p w14:paraId="1A1369FF">
      <w:pPr>
        <w:adjustRightInd w:val="0"/>
        <w:snapToGrid w:val="0"/>
        <w:spacing w:line="360" w:lineRule="exact"/>
        <w:jc w:val="left"/>
        <w:rPr>
          <w:rFonts w:hint="eastAsia" w:ascii="黑体" w:hAnsi="黑体" w:eastAsia="黑体" w:cs="黑体"/>
          <w:color w:val="auto"/>
          <w:szCs w:val="21"/>
        </w:rPr>
      </w:pPr>
      <w:r>
        <w:rPr>
          <w:rFonts w:hint="eastAsia" w:ascii="黑体" w:hAnsi="黑体" w:eastAsia="黑体" w:cs="黑体"/>
          <w:i/>
          <w:color w:val="auto"/>
        </w:rPr>
        <w:t>V</w:t>
      </w:r>
      <w:r>
        <w:rPr>
          <w:rFonts w:hint="eastAsia" w:ascii="黑体" w:hAnsi="黑体" w:eastAsia="黑体" w:cs="黑体"/>
          <w:color w:val="auto"/>
          <w:vertAlign w:val="subscript"/>
          <w:lang w:val="en-US" w:eastAsia="zh-CN"/>
        </w:rPr>
        <w:t>0</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is</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t</w:t>
      </w:r>
      <w:r>
        <w:rPr>
          <w:rFonts w:hint="eastAsia" w:ascii="黑体" w:hAnsi="黑体" w:eastAsia="黑体" w:cs="黑体"/>
          <w:iCs/>
          <w:color w:val="auto"/>
        </w:rPr>
        <w:t>he total v</w:t>
      </w:r>
      <w:r>
        <w:rPr>
          <w:rFonts w:hint="eastAsia" w:ascii="黑体" w:hAnsi="黑体" w:eastAsia="黑体" w:cs="黑体"/>
          <w:color w:val="auto"/>
        </w:rPr>
        <w:t>olume of solution</w:t>
      </w:r>
      <w:r>
        <w:rPr>
          <w:rFonts w:hint="eastAsia" w:ascii="黑体" w:hAnsi="黑体" w:eastAsia="黑体" w:cs="黑体"/>
          <w:color w:val="auto"/>
          <w:lang w:val="en-US" w:eastAsia="zh-CN"/>
        </w:rPr>
        <w:t xml:space="preserve"> </w:t>
      </w:r>
      <w:r>
        <w:rPr>
          <w:rFonts w:hint="eastAsia" w:ascii="黑体" w:hAnsi="黑体" w:eastAsia="黑体" w:cs="黑体"/>
          <w:color w:val="auto"/>
        </w:rPr>
        <w:t>(</w:t>
      </w:r>
      <w:r>
        <w:rPr>
          <w:rFonts w:hint="eastAsia" w:ascii="黑体" w:hAnsi="黑体" w:eastAsia="黑体" w:cs="黑体"/>
          <w:color w:val="auto"/>
          <w:lang w:val="en-US" w:eastAsia="zh-CN"/>
        </w:rPr>
        <w:t>4.5.</w:t>
      </w:r>
      <w:r>
        <w:rPr>
          <w:rFonts w:hint="eastAsia" w:ascii="黑体" w:hAnsi="黑体" w:eastAsia="黑体" w:cs="黑体"/>
          <w:color w:val="auto"/>
        </w:rPr>
        <w:t>4.</w:t>
      </w:r>
      <w:r>
        <w:rPr>
          <w:rFonts w:hint="eastAsia" w:ascii="黑体" w:hAnsi="黑体" w:eastAsia="黑体" w:cs="黑体"/>
          <w:color w:val="auto"/>
          <w:lang w:val="en-US" w:eastAsia="zh-CN"/>
        </w:rPr>
        <w:t>1</w:t>
      </w:r>
      <w:r>
        <w:rPr>
          <w:rFonts w:hint="eastAsia" w:ascii="黑体" w:hAnsi="黑体" w:eastAsia="黑体" w:cs="黑体"/>
          <w:color w:val="auto"/>
        </w:rPr>
        <w:t>),</w:t>
      </w:r>
      <w:r>
        <w:rPr>
          <w:rFonts w:hint="eastAsia" w:ascii="黑体" w:hAnsi="黑体" w:eastAsia="黑体" w:cs="黑体"/>
          <w:color w:val="auto"/>
          <w:lang w:val="en-US" w:eastAsia="zh-CN"/>
        </w:rPr>
        <w:t xml:space="preserve"> </w:t>
      </w:r>
      <w:r>
        <w:rPr>
          <w:rFonts w:hint="eastAsia" w:ascii="黑体" w:hAnsi="黑体" w:eastAsia="黑体" w:cs="黑体"/>
          <w:color w:val="auto"/>
        </w:rPr>
        <w:t>in milliliter (mL);</w:t>
      </w:r>
    </w:p>
    <w:p w14:paraId="1C9201E4">
      <w:pPr>
        <w:pStyle w:val="47"/>
        <w:spacing w:line="360" w:lineRule="exact"/>
        <w:ind w:left="0" w:leftChars="0" w:firstLine="0" w:firstLineChars="0"/>
        <w:rPr>
          <w:rFonts w:hint="eastAsia" w:ascii="黑体" w:hAnsi="黑体" w:eastAsia="黑体" w:cs="黑体"/>
          <w:color w:val="auto"/>
          <w:sz w:val="21"/>
          <w:szCs w:val="21"/>
        </w:rPr>
      </w:pPr>
      <w:r>
        <w:rPr>
          <w:rFonts w:hint="eastAsia" w:ascii="黑体" w:hAnsi="黑体" w:eastAsia="黑体" w:cs="黑体"/>
          <w:i/>
          <w:color w:val="auto"/>
          <w:sz w:val="21"/>
        </w:rPr>
        <w:t>V</w:t>
      </w:r>
      <w:r>
        <w:rPr>
          <w:rFonts w:hint="eastAsia" w:ascii="黑体" w:hAnsi="黑体" w:eastAsia="黑体" w:cs="黑体"/>
          <w:color w:val="auto"/>
          <w:sz w:val="21"/>
          <w:vertAlign w:val="subscript"/>
        </w:rPr>
        <w:t>1</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i</w:t>
      </w:r>
      <w:r>
        <w:rPr>
          <w:rFonts w:hint="eastAsia" w:ascii="黑体" w:hAnsi="黑体" w:eastAsia="黑体" w:cs="黑体"/>
          <w:color w:val="auto"/>
          <w:sz w:val="21"/>
          <w:szCs w:val="18"/>
        </w:rPr>
        <w:t>s</w:t>
      </w:r>
      <w:r>
        <w:rPr>
          <w:rFonts w:hint="eastAsia" w:ascii="黑体" w:hAnsi="黑体" w:eastAsia="黑体" w:cs="黑体"/>
          <w:color w:val="auto"/>
          <w:szCs w:val="21"/>
          <w:vertAlign w:val="subscript"/>
        </w:rPr>
        <w:t xml:space="preserve"> </w:t>
      </w:r>
      <w:r>
        <w:rPr>
          <w:rFonts w:hint="eastAsia" w:ascii="黑体" w:hAnsi="黑体" w:eastAsia="黑体" w:cs="黑体"/>
          <w:color w:val="auto"/>
          <w:sz w:val="21"/>
          <w:szCs w:val="18"/>
        </w:rPr>
        <w:t>t</w:t>
      </w:r>
      <w:r>
        <w:rPr>
          <w:rFonts w:hint="eastAsia" w:ascii="黑体" w:hAnsi="黑体" w:eastAsia="黑体" w:cs="黑体"/>
          <w:color w:val="auto"/>
          <w:sz w:val="21"/>
        </w:rPr>
        <w:t>he volume of test solution</w:t>
      </w:r>
      <w:r>
        <w:rPr>
          <w:rFonts w:hint="eastAsia" w:ascii="黑体" w:hAnsi="黑体" w:eastAsia="黑体" w:cs="黑体"/>
          <w:color w:val="auto"/>
          <w:sz w:val="21"/>
          <w:lang w:val="en-US" w:eastAsia="zh-CN"/>
        </w:rPr>
        <w:t xml:space="preserve"> </w:t>
      </w:r>
      <w:r>
        <w:rPr>
          <w:rFonts w:hint="eastAsia" w:ascii="黑体" w:hAnsi="黑体" w:eastAsia="黑体" w:cs="黑体"/>
          <w:color w:val="auto"/>
          <w:sz w:val="21"/>
        </w:rPr>
        <w:t>(4.5.4.</w:t>
      </w:r>
      <w:r>
        <w:rPr>
          <w:rFonts w:hint="eastAsia" w:ascii="黑体" w:hAnsi="黑体" w:eastAsia="黑体" w:cs="黑体"/>
          <w:color w:val="auto"/>
          <w:sz w:val="21"/>
          <w:lang w:val="en-US" w:eastAsia="zh-CN"/>
        </w:rPr>
        <w:t>2</w:t>
      </w:r>
      <w:r>
        <w:rPr>
          <w:rFonts w:hint="eastAsia" w:ascii="黑体" w:hAnsi="黑体" w:eastAsia="黑体" w:cs="黑体"/>
          <w:color w:val="auto"/>
          <w:sz w:val="21"/>
        </w:rPr>
        <w:t>),</w:t>
      </w:r>
      <w:r>
        <w:rPr>
          <w:rFonts w:hint="eastAsia" w:ascii="黑体" w:hAnsi="黑体" w:eastAsia="黑体" w:cs="黑体"/>
          <w:color w:val="auto"/>
          <w:sz w:val="21"/>
          <w:lang w:val="en-US" w:eastAsia="zh-CN"/>
        </w:rPr>
        <w:t xml:space="preserve"> </w:t>
      </w:r>
      <w:r>
        <w:rPr>
          <w:rFonts w:hint="eastAsia" w:ascii="黑体" w:hAnsi="黑体" w:eastAsia="黑体" w:cs="黑体"/>
          <w:color w:val="auto"/>
          <w:sz w:val="21"/>
        </w:rPr>
        <w:t>in milliliter (mL);</w:t>
      </w:r>
    </w:p>
    <w:p w14:paraId="6FE44A3E">
      <w:pPr>
        <w:spacing w:line="360" w:lineRule="exact"/>
        <w:jc w:val="left"/>
        <w:rPr>
          <w:rFonts w:hint="eastAsia" w:ascii="黑体" w:hAnsi="黑体" w:eastAsia="黑体" w:cs="黑体"/>
          <w:color w:val="auto"/>
          <w:kern w:val="0"/>
          <w:szCs w:val="21"/>
        </w:rPr>
      </w:pPr>
      <w:r>
        <w:rPr>
          <w:rFonts w:hint="eastAsia" w:ascii="黑体" w:hAnsi="黑体" w:eastAsia="黑体" w:cs="黑体"/>
          <w:i/>
          <w:color w:val="auto"/>
        </w:rPr>
        <w:t>m</w:t>
      </w:r>
      <w:r>
        <w:rPr>
          <w:rFonts w:hint="eastAsia" w:ascii="黑体" w:hAnsi="黑体" w:eastAsia="黑体" w:cs="黑体"/>
          <w:i/>
          <w:color w:val="auto"/>
          <w:vertAlign w:val="subscript"/>
          <w:lang w:val="en-US" w:eastAsia="zh-CN"/>
        </w:rPr>
        <w:t>1</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is</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t</w:t>
      </w:r>
      <w:r>
        <w:rPr>
          <w:rFonts w:hint="eastAsia" w:ascii="黑体" w:hAnsi="黑体" w:eastAsia="黑体" w:cs="黑体"/>
          <w:iCs/>
          <w:color w:val="auto"/>
        </w:rPr>
        <w:t>he m</w:t>
      </w:r>
      <w:r>
        <w:rPr>
          <w:rFonts w:hint="eastAsia" w:ascii="黑体" w:hAnsi="黑体" w:eastAsia="黑体" w:cs="黑体"/>
          <w:color w:val="auto"/>
        </w:rPr>
        <w:t xml:space="preserve">ass of test </w:t>
      </w:r>
      <w:r>
        <w:rPr>
          <w:rFonts w:hint="eastAsia" w:ascii="黑体" w:hAnsi="黑体" w:eastAsia="黑体" w:cs="黑体"/>
          <w:color w:val="auto"/>
          <w:lang w:val="en-US" w:eastAsia="zh-CN"/>
        </w:rPr>
        <w:t xml:space="preserve">portion </w:t>
      </w:r>
      <w:r>
        <w:rPr>
          <w:rFonts w:hint="eastAsia" w:ascii="黑体" w:hAnsi="黑体" w:eastAsia="黑体" w:cs="黑体"/>
          <w:color w:val="auto"/>
          <w:sz w:val="21"/>
        </w:rPr>
        <w:t>(4.5.</w:t>
      </w:r>
      <w:r>
        <w:rPr>
          <w:rFonts w:hint="eastAsia" w:ascii="黑体" w:hAnsi="黑体" w:eastAsia="黑体" w:cs="黑体"/>
          <w:color w:val="auto"/>
          <w:sz w:val="21"/>
          <w:lang w:val="en-US" w:eastAsia="zh-CN"/>
        </w:rPr>
        <w:t>1</w:t>
      </w:r>
      <w:r>
        <w:rPr>
          <w:rFonts w:hint="eastAsia" w:ascii="黑体" w:hAnsi="黑体" w:eastAsia="黑体" w:cs="黑体"/>
          <w:color w:val="auto"/>
          <w:sz w:val="21"/>
        </w:rPr>
        <w:t>)</w:t>
      </w:r>
      <w:r>
        <w:rPr>
          <w:rFonts w:hint="eastAsia" w:ascii="黑体" w:hAnsi="黑体" w:eastAsia="黑体" w:cs="黑体"/>
          <w:color w:val="auto"/>
        </w:rPr>
        <w:t>, in gram (g);</w:t>
      </w:r>
    </w:p>
    <w:p w14:paraId="05A6EA77">
      <w:pPr>
        <w:pStyle w:val="113"/>
        <w:spacing w:line="360" w:lineRule="exact"/>
        <w:ind w:firstLine="0" w:firstLineChars="0"/>
        <w:jc w:val="left"/>
        <w:rPr>
          <w:rFonts w:hint="eastAsia" w:ascii="黑体" w:hAnsi="黑体" w:eastAsia="黑体" w:cs="黑体"/>
          <w:color w:val="auto"/>
        </w:rPr>
      </w:pPr>
      <w:r>
        <w:rPr>
          <w:rFonts w:hint="eastAsia" w:ascii="黑体" w:hAnsi="黑体" w:eastAsia="黑体" w:cs="黑体"/>
          <w:i/>
          <w:color w:val="auto"/>
        </w:rPr>
        <w:t>V</w:t>
      </w:r>
      <w:r>
        <w:rPr>
          <w:rFonts w:hint="eastAsia" w:ascii="黑体" w:hAnsi="黑体" w:eastAsia="黑体" w:cs="黑体"/>
          <w:color w:val="auto"/>
          <w:vertAlign w:val="subscript"/>
          <w:lang w:val="en-US" w:eastAsia="zh-CN"/>
        </w:rPr>
        <w:t>2</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is</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t</w:t>
      </w:r>
      <w:r>
        <w:rPr>
          <w:rFonts w:hint="eastAsia" w:ascii="黑体" w:hAnsi="黑体" w:eastAsia="黑体" w:cs="黑体"/>
          <w:iCs/>
          <w:color w:val="auto"/>
          <w:kern w:val="2"/>
          <w:szCs w:val="24"/>
        </w:rPr>
        <w:t>he</w:t>
      </w:r>
      <w:r>
        <w:rPr>
          <w:rFonts w:hint="eastAsia" w:ascii="黑体" w:hAnsi="黑体" w:eastAsia="黑体" w:cs="黑体"/>
          <w:iCs/>
          <w:color w:val="auto"/>
          <w:kern w:val="2"/>
          <w:sz w:val="24"/>
          <w:szCs w:val="24"/>
        </w:rPr>
        <w:t xml:space="preserve"> v</w:t>
      </w:r>
      <w:r>
        <w:rPr>
          <w:rFonts w:hint="eastAsia" w:ascii="黑体" w:hAnsi="黑体" w:eastAsia="黑体" w:cs="黑体"/>
          <w:color w:val="auto"/>
        </w:rPr>
        <w:t xml:space="preserve">olume of </w:t>
      </w:r>
      <w:r>
        <w:rPr>
          <w:rFonts w:hint="eastAsia" w:ascii="黑体" w:hAnsi="黑体" w:eastAsia="黑体" w:cs="黑体"/>
          <w:color w:val="auto"/>
          <w:lang w:val="en-US" w:eastAsia="zh-CN"/>
        </w:rPr>
        <w:t xml:space="preserve">transfer </w:t>
      </w:r>
      <w:r>
        <w:rPr>
          <w:rFonts w:hint="eastAsia" w:ascii="黑体" w:hAnsi="黑体" w:eastAsia="黑体" w:cs="黑体"/>
          <w:color w:val="auto"/>
        </w:rPr>
        <w:t>test solution taken separately,</w:t>
      </w:r>
      <w:r>
        <w:rPr>
          <w:rFonts w:hint="eastAsia" w:ascii="黑体" w:hAnsi="黑体" w:eastAsia="黑体" w:cs="黑体"/>
          <w:color w:val="auto"/>
          <w:lang w:val="en-US" w:eastAsia="zh-CN"/>
        </w:rPr>
        <w:t xml:space="preserve"> </w:t>
      </w:r>
      <w:r>
        <w:rPr>
          <w:rFonts w:hint="eastAsia" w:ascii="黑体" w:hAnsi="黑体" w:eastAsia="黑体" w:cs="黑体"/>
          <w:color w:val="auto"/>
        </w:rPr>
        <w:t>in milliliter (mL).</w:t>
      </w:r>
    </w:p>
    <w:p w14:paraId="6AB36AB3">
      <w:pPr>
        <w:adjustRightInd w:val="0"/>
        <w:snapToGrid w:val="0"/>
        <w:spacing w:line="360" w:lineRule="exact"/>
        <w:rPr>
          <w:rFonts w:hint="eastAsia" w:ascii="黑体" w:hAnsi="黑体" w:eastAsia="黑体" w:cs="黑体"/>
          <w:color w:val="auto"/>
        </w:rPr>
      </w:pPr>
      <w:r>
        <w:rPr>
          <w:rFonts w:hint="eastAsia" w:ascii="黑体" w:hAnsi="黑体" w:eastAsia="黑体" w:cs="黑体"/>
          <w:color w:val="auto"/>
          <w:lang w:val="en-US" w:eastAsia="zh-CN"/>
        </w:rPr>
        <w:t>T</w:t>
      </w:r>
      <w:r>
        <w:rPr>
          <w:rFonts w:hint="eastAsia" w:ascii="黑体" w:hAnsi="黑体" w:eastAsia="黑体" w:cs="黑体"/>
          <w:color w:val="auto"/>
        </w:rPr>
        <w:t xml:space="preserve">he average value </w:t>
      </w:r>
      <w:r>
        <w:rPr>
          <w:rFonts w:hint="eastAsia" w:ascii="黑体" w:hAnsi="黑体" w:eastAsia="黑体" w:cs="黑体"/>
          <w:color w:val="auto"/>
          <w:lang w:val="en-US" w:eastAsia="zh-CN"/>
        </w:rPr>
        <w:t>shall be</w:t>
      </w:r>
      <w:r>
        <w:rPr>
          <w:rFonts w:hint="eastAsia" w:ascii="黑体" w:hAnsi="黑体" w:eastAsia="黑体" w:cs="黑体"/>
          <w:color w:val="auto"/>
        </w:rPr>
        <w:t xml:space="preserve"> reported as the </w:t>
      </w:r>
      <w:r>
        <w:rPr>
          <w:rFonts w:hint="eastAsia" w:ascii="黑体" w:hAnsi="黑体" w:eastAsia="黑体" w:cs="黑体"/>
          <w:color w:val="auto"/>
          <w:lang w:val="en-US" w:eastAsia="zh-CN"/>
        </w:rPr>
        <w:t>determination</w:t>
      </w:r>
      <w:r>
        <w:rPr>
          <w:rFonts w:hint="eastAsia" w:ascii="黑体" w:hAnsi="黑体" w:eastAsia="黑体" w:cs="黑体"/>
          <w:color w:val="auto"/>
        </w:rPr>
        <w:t xml:space="preserve"> result. </w:t>
      </w:r>
      <w:r>
        <w:rPr>
          <w:rFonts w:hint="eastAsia" w:ascii="黑体" w:hAnsi="黑体" w:eastAsia="黑体" w:cs="黑体"/>
          <w:color w:val="auto"/>
          <w:lang w:val="en-US" w:eastAsia="zh-CN"/>
        </w:rPr>
        <w:t>Calculation r</w:t>
      </w:r>
      <w:r>
        <w:rPr>
          <w:rFonts w:hint="eastAsia" w:ascii="黑体" w:hAnsi="黑体" w:eastAsia="黑体" w:cs="黑体"/>
          <w:color w:val="auto"/>
        </w:rPr>
        <w:t xml:space="preserve">esults </w:t>
      </w:r>
      <w:r>
        <w:rPr>
          <w:rFonts w:hint="eastAsia" w:ascii="黑体" w:hAnsi="黑体" w:eastAsia="黑体" w:cs="黑体"/>
          <w:color w:val="auto"/>
          <w:lang w:val="en-US" w:eastAsia="zh-CN"/>
        </w:rPr>
        <w:t>shall be</w:t>
      </w:r>
      <w:r>
        <w:rPr>
          <w:rFonts w:hint="eastAsia" w:ascii="黑体" w:hAnsi="黑体" w:eastAsia="黑体" w:cs="黑体"/>
          <w:color w:val="auto"/>
        </w:rPr>
        <w:t xml:space="preserve"> retained to two significant figures and rounded conforming to the provisions of GB/T 8170.</w:t>
      </w:r>
    </w:p>
    <w:p w14:paraId="45E9B3E6">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lang w:val="en-US" w:eastAsia="zh-CN"/>
        </w:rPr>
        <w:t>4</w:t>
      </w:r>
      <w:r>
        <w:rPr>
          <w:rFonts w:hint="eastAsia" w:hAnsi="黑体" w:cs="黑体"/>
          <w:color w:val="auto"/>
        </w:rPr>
        <w:t>.7 Precision</w:t>
      </w:r>
    </w:p>
    <w:p w14:paraId="35EC7077">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.7.1 Repeatability</w:t>
      </w:r>
    </w:p>
    <w:p w14:paraId="6B5CC854">
      <w:pPr>
        <w:spacing w:line="360" w:lineRule="exact"/>
        <w:ind w:right="102"/>
        <w:rPr>
          <w:rFonts w:hint="eastAsia" w:ascii="黑体" w:hAnsi="黑体" w:eastAsia="黑体" w:cs="黑体"/>
          <w:color w:val="auto"/>
        </w:rPr>
      </w:pPr>
      <w:r>
        <w:rPr>
          <w:rFonts w:hint="eastAsia" w:ascii="黑体" w:hAnsi="黑体" w:eastAsia="黑体" w:cs="黑体"/>
          <w:color w:val="auto"/>
        </w:rPr>
        <w:t>Under repeatability conditions, the absolute difference between two independent test results sh</w:t>
      </w:r>
      <w:r>
        <w:rPr>
          <w:rFonts w:hint="eastAsia" w:ascii="黑体" w:hAnsi="黑体" w:eastAsia="黑体" w:cs="黑体"/>
          <w:color w:val="auto"/>
          <w:lang w:val="en-US" w:eastAsia="zh-CN"/>
        </w:rPr>
        <w:t xml:space="preserve">all </w:t>
      </w:r>
      <w:r>
        <w:rPr>
          <w:rFonts w:hint="eastAsia" w:ascii="黑体" w:hAnsi="黑体" w:eastAsia="黑体" w:cs="黑体"/>
          <w:color w:val="auto"/>
        </w:rPr>
        <w:t>not exceed the repeatability limit (</w:t>
      </w:r>
      <w:r>
        <w:rPr>
          <w:rFonts w:hint="eastAsia" w:ascii="黑体" w:hAnsi="黑体" w:eastAsia="黑体" w:cs="黑体"/>
          <w:i/>
          <w:iCs/>
          <w:color w:val="auto"/>
        </w:rPr>
        <w:t>r</w:t>
      </w:r>
      <w:r>
        <w:rPr>
          <w:rFonts w:hint="eastAsia" w:ascii="黑体" w:hAnsi="黑体" w:eastAsia="黑体" w:cs="黑体"/>
          <w:color w:val="auto"/>
        </w:rPr>
        <w:t>), and the occurrence of exceeding the repeatability limit (</w:t>
      </w:r>
      <w:r>
        <w:rPr>
          <w:rFonts w:hint="eastAsia" w:ascii="黑体" w:hAnsi="黑体" w:eastAsia="黑体" w:cs="黑体"/>
          <w:i/>
          <w:iCs/>
          <w:color w:val="auto"/>
        </w:rPr>
        <w:t>r</w:t>
      </w:r>
      <w:r>
        <w:rPr>
          <w:rFonts w:hint="eastAsia" w:ascii="黑体" w:hAnsi="黑体" w:eastAsia="黑体" w:cs="黑体"/>
          <w:color w:val="auto"/>
        </w:rPr>
        <w:t>) sh</w:t>
      </w:r>
      <w:r>
        <w:rPr>
          <w:rFonts w:hint="eastAsia" w:ascii="黑体" w:hAnsi="黑体" w:eastAsia="黑体" w:cs="黑体"/>
          <w:color w:val="auto"/>
          <w:lang w:val="en-US" w:eastAsia="zh-CN"/>
        </w:rPr>
        <w:t>all</w:t>
      </w:r>
      <w:r>
        <w:rPr>
          <w:rFonts w:hint="eastAsia" w:ascii="黑体" w:hAnsi="黑体" w:eastAsia="黑体" w:cs="黑体"/>
          <w:color w:val="auto"/>
        </w:rPr>
        <w:t xml:space="preserve"> not exceed 5%. The repeatability limit (</w:t>
      </w:r>
      <w:r>
        <w:rPr>
          <w:rFonts w:hint="eastAsia" w:ascii="黑体" w:hAnsi="黑体" w:eastAsia="黑体" w:cs="黑体"/>
          <w:i/>
          <w:iCs/>
          <w:color w:val="auto"/>
        </w:rPr>
        <w:t>r</w:t>
      </w:r>
      <w:r>
        <w:rPr>
          <w:rFonts w:hint="eastAsia" w:ascii="黑体" w:hAnsi="黑体" w:eastAsia="黑体" w:cs="黑体"/>
          <w:color w:val="auto"/>
        </w:rPr>
        <w:t xml:space="preserve">) is determined using </w:t>
      </w:r>
      <w:r>
        <w:rPr>
          <w:rFonts w:hint="eastAsia" w:ascii="黑体" w:hAnsi="黑体" w:eastAsia="黑体" w:cs="黑体"/>
          <w:color w:val="auto"/>
          <w:lang w:val="en-US" w:eastAsia="zh-CN"/>
        </w:rPr>
        <w:t>l</w:t>
      </w:r>
      <w:r>
        <w:rPr>
          <w:rFonts w:hint="eastAsia" w:ascii="黑体" w:hAnsi="黑体" w:eastAsia="黑体" w:cs="黑体"/>
          <w:color w:val="auto"/>
        </w:rPr>
        <w:t xml:space="preserve">inear interpolation or extrapolation based on the data in Table </w:t>
      </w:r>
      <w:r>
        <w:rPr>
          <w:rFonts w:hint="eastAsia" w:ascii="黑体" w:hAnsi="黑体" w:eastAsia="黑体" w:cs="黑体"/>
          <w:color w:val="auto"/>
          <w:lang w:val="en-US" w:eastAsia="zh-CN"/>
        </w:rPr>
        <w:t>2</w:t>
      </w:r>
      <w:r>
        <w:rPr>
          <w:rFonts w:hint="eastAsia" w:ascii="黑体" w:hAnsi="黑体" w:eastAsia="黑体" w:cs="黑体"/>
          <w:color w:val="auto"/>
        </w:rPr>
        <w:t>.</w:t>
      </w:r>
    </w:p>
    <w:p w14:paraId="5DEF7CB4">
      <w:pPr>
        <w:spacing w:line="360" w:lineRule="exact"/>
        <w:jc w:val="center"/>
        <w:rPr>
          <w:rFonts w:hint="eastAsia" w:ascii="黑体" w:hAnsi="黑体" w:eastAsia="黑体" w:cs="黑体"/>
          <w:color w:val="auto"/>
          <w:szCs w:val="21"/>
        </w:rPr>
      </w:pPr>
      <w:r>
        <w:rPr>
          <w:rFonts w:hint="eastAsia" w:ascii="黑体" w:hAnsi="黑体" w:eastAsia="黑体" w:cs="黑体"/>
          <w:color w:val="auto"/>
          <w:szCs w:val="21"/>
        </w:rPr>
        <w:t xml:space="preserve">Table </w:t>
      </w:r>
      <w:r>
        <w:rPr>
          <w:rFonts w:hint="eastAsia" w:ascii="黑体" w:hAnsi="黑体" w:eastAsia="黑体" w:cs="黑体"/>
          <w:color w:val="auto"/>
          <w:szCs w:val="21"/>
          <w:lang w:val="en-US" w:eastAsia="zh-CN"/>
        </w:rPr>
        <w:t>2</w:t>
      </w:r>
      <w:r>
        <w:rPr>
          <w:rFonts w:hint="eastAsia" w:ascii="黑体" w:hAnsi="黑体" w:eastAsia="黑体" w:cs="黑体"/>
          <w:color w:val="auto"/>
          <w:szCs w:val="21"/>
        </w:rPr>
        <w:t xml:space="preserve"> The </w:t>
      </w:r>
      <w:r>
        <w:rPr>
          <w:rFonts w:hint="eastAsia" w:ascii="黑体" w:hAnsi="黑体" w:eastAsia="黑体" w:cs="黑体"/>
          <w:color w:val="auto"/>
          <w:szCs w:val="21"/>
          <w:lang w:val="en-US" w:eastAsia="zh-CN"/>
        </w:rPr>
        <w:t>r</w:t>
      </w:r>
      <w:r>
        <w:rPr>
          <w:rFonts w:hint="eastAsia" w:ascii="黑体" w:hAnsi="黑体" w:eastAsia="黑体" w:cs="黑体"/>
          <w:color w:val="auto"/>
          <w:szCs w:val="21"/>
        </w:rPr>
        <w:t xml:space="preserve">epeatability </w:t>
      </w:r>
      <w:r>
        <w:rPr>
          <w:rFonts w:hint="eastAsia" w:ascii="黑体" w:hAnsi="黑体" w:eastAsia="黑体" w:cs="黑体"/>
          <w:color w:val="auto"/>
          <w:szCs w:val="21"/>
          <w:lang w:val="en-US" w:eastAsia="zh-CN"/>
        </w:rPr>
        <w:t>l</w:t>
      </w:r>
      <w:r>
        <w:rPr>
          <w:rFonts w:hint="eastAsia" w:ascii="黑体" w:hAnsi="黑体" w:eastAsia="黑体" w:cs="黑体"/>
          <w:color w:val="auto"/>
          <w:szCs w:val="21"/>
        </w:rPr>
        <w:t>imit (</w:t>
      </w:r>
      <w:r>
        <w:rPr>
          <w:rFonts w:hint="eastAsia" w:ascii="黑体" w:hAnsi="黑体" w:eastAsia="黑体" w:cs="黑体"/>
          <w:i/>
          <w:iCs/>
          <w:color w:val="auto"/>
          <w:szCs w:val="21"/>
        </w:rPr>
        <w:t>r</w:t>
      </w:r>
      <w:r>
        <w:rPr>
          <w:rFonts w:hint="eastAsia" w:ascii="黑体" w:hAnsi="黑体" w:eastAsia="黑体" w:cs="黑体"/>
          <w:color w:val="auto"/>
          <w:szCs w:val="21"/>
        </w:rPr>
        <w:t>)</w:t>
      </w:r>
    </w:p>
    <w:tbl>
      <w:tblPr>
        <w:tblStyle w:val="51"/>
        <w:tblW w:w="503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75"/>
        <w:gridCol w:w="1384"/>
        <w:gridCol w:w="2245"/>
        <w:gridCol w:w="1103"/>
        <w:gridCol w:w="1355"/>
        <w:gridCol w:w="2277"/>
      </w:tblGrid>
      <w:tr w14:paraId="2C4AD0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61" w:type="pct"/>
            <w:tcBorders>
              <w:left w:val="single" w:color="auto" w:sz="12" w:space="0"/>
              <w:bottom w:val="single" w:color="auto" w:sz="12" w:space="0"/>
            </w:tcBorders>
            <w:vAlign w:val="center"/>
          </w:tcPr>
          <w:p w14:paraId="5B98E3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Element</w:t>
            </w:r>
          </w:p>
        </w:tc>
        <w:tc>
          <w:tcPr>
            <w:tcW w:w="717" w:type="pct"/>
            <w:tcBorders>
              <w:bottom w:val="single" w:color="auto" w:sz="12" w:space="0"/>
            </w:tcBorders>
            <w:vAlign w:val="center"/>
          </w:tcPr>
          <w:p w14:paraId="4F07D1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M</w:t>
            </w:r>
            <w:r>
              <w:rPr>
                <w:rFonts w:hint="eastAsia" w:ascii="黑体" w:hAnsi="黑体" w:eastAsia="黑体" w:cs="黑体"/>
                <w:color w:val="auto"/>
                <w:sz w:val="18"/>
                <w:szCs w:val="18"/>
              </w:rPr>
              <w:t>ass fraction</w:t>
            </w:r>
          </w:p>
          <w:p w14:paraId="41D5AE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c>
          <w:tcPr>
            <w:tcW w:w="1164" w:type="pct"/>
            <w:tcBorders>
              <w:bottom w:val="single" w:color="auto" w:sz="12" w:space="0"/>
              <w:right w:val="double" w:color="auto" w:sz="4" w:space="0"/>
            </w:tcBorders>
            <w:vAlign w:val="center"/>
          </w:tcPr>
          <w:p w14:paraId="070DE95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Repeatability limit (</w:t>
            </w:r>
            <w:r>
              <w:rPr>
                <w:rFonts w:hint="eastAsia" w:ascii="黑体" w:hAnsi="黑体" w:eastAsia="黑体" w:cs="黑体"/>
                <w:i/>
                <w:iCs/>
                <w:color w:val="auto"/>
                <w:sz w:val="18"/>
                <w:szCs w:val="18"/>
              </w:rPr>
              <w:t>r</w:t>
            </w:r>
            <w:r>
              <w:rPr>
                <w:rFonts w:hint="eastAsia" w:ascii="黑体" w:hAnsi="黑体" w:eastAsia="黑体" w:cs="黑体"/>
                <w:color w:val="auto"/>
                <w:sz w:val="18"/>
                <w:szCs w:val="18"/>
              </w:rPr>
              <w:t>)</w:t>
            </w:r>
          </w:p>
          <w:p w14:paraId="420BFA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c>
          <w:tcPr>
            <w:tcW w:w="572" w:type="pct"/>
            <w:tcBorders>
              <w:left w:val="double" w:color="auto" w:sz="4" w:space="0"/>
              <w:bottom w:val="single" w:color="auto" w:sz="12" w:space="0"/>
            </w:tcBorders>
            <w:vAlign w:val="center"/>
          </w:tcPr>
          <w:p w14:paraId="3A798E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Element</w:t>
            </w:r>
          </w:p>
        </w:tc>
        <w:tc>
          <w:tcPr>
            <w:tcW w:w="702" w:type="pct"/>
            <w:tcBorders>
              <w:bottom w:val="single" w:color="auto" w:sz="12" w:space="0"/>
            </w:tcBorders>
            <w:vAlign w:val="center"/>
          </w:tcPr>
          <w:p w14:paraId="2CCBFD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M</w:t>
            </w:r>
            <w:r>
              <w:rPr>
                <w:rFonts w:hint="eastAsia" w:ascii="黑体" w:hAnsi="黑体" w:eastAsia="黑体" w:cs="黑体"/>
                <w:color w:val="auto"/>
                <w:sz w:val="18"/>
                <w:szCs w:val="18"/>
              </w:rPr>
              <w:t>ass fraction</w:t>
            </w:r>
          </w:p>
          <w:p w14:paraId="74F5D4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c>
          <w:tcPr>
            <w:tcW w:w="1181" w:type="pct"/>
            <w:tcBorders>
              <w:bottom w:val="single" w:color="auto" w:sz="12" w:space="0"/>
            </w:tcBorders>
            <w:vAlign w:val="center"/>
          </w:tcPr>
          <w:p w14:paraId="6A4D73D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Repeatability limit (</w:t>
            </w:r>
            <w:r>
              <w:rPr>
                <w:rFonts w:hint="eastAsia" w:ascii="黑体" w:hAnsi="黑体" w:eastAsia="黑体" w:cs="黑体"/>
                <w:i/>
                <w:iCs/>
                <w:color w:val="auto"/>
                <w:sz w:val="18"/>
                <w:szCs w:val="18"/>
              </w:rPr>
              <w:t>r</w:t>
            </w:r>
            <w:r>
              <w:rPr>
                <w:rFonts w:hint="eastAsia" w:ascii="黑体" w:hAnsi="黑体" w:eastAsia="黑体" w:cs="黑体"/>
                <w:color w:val="auto"/>
                <w:sz w:val="18"/>
                <w:szCs w:val="18"/>
              </w:rPr>
              <w:t>)</w:t>
            </w:r>
          </w:p>
          <w:p w14:paraId="449099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r>
      <w:tr w14:paraId="232A5B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661" w:type="pct"/>
            <w:vMerge w:val="restart"/>
            <w:tcBorders>
              <w:top w:val="single" w:color="auto" w:sz="12" w:space="0"/>
              <w:left w:val="single" w:color="auto" w:sz="12" w:space="0"/>
              <w:right w:val="single" w:color="auto" w:sz="4" w:space="0"/>
            </w:tcBorders>
            <w:vAlign w:val="center"/>
          </w:tcPr>
          <w:p w14:paraId="75393958">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M</w:t>
            </w:r>
            <w:r>
              <w:rPr>
                <w:rFonts w:hint="eastAsia" w:ascii="黑体" w:hAnsi="黑体" w:eastAsia="黑体" w:cs="黑体"/>
                <w:color w:val="auto"/>
                <w:sz w:val="18"/>
                <w:szCs w:val="18"/>
              </w:rPr>
              <w:t xml:space="preserve">olybdenum </w:t>
            </w:r>
          </w:p>
        </w:tc>
        <w:tc>
          <w:tcPr>
            <w:tcW w:w="717" w:type="pct"/>
            <w:tcBorders>
              <w:top w:val="single" w:color="auto" w:sz="12" w:space="0"/>
              <w:left w:val="single" w:color="auto" w:sz="4" w:space="0"/>
            </w:tcBorders>
            <w:vAlign w:val="center"/>
          </w:tcPr>
          <w:p w14:paraId="46B303BB">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0.0058</w:t>
            </w:r>
          </w:p>
        </w:tc>
        <w:tc>
          <w:tcPr>
            <w:tcW w:w="1164" w:type="pct"/>
            <w:tcBorders>
              <w:top w:val="single" w:color="auto" w:sz="12" w:space="0"/>
              <w:right w:val="double" w:color="auto" w:sz="4" w:space="0"/>
            </w:tcBorders>
            <w:vAlign w:val="center"/>
          </w:tcPr>
          <w:p w14:paraId="56BB3D13">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0.0006</w:t>
            </w:r>
          </w:p>
        </w:tc>
        <w:tc>
          <w:tcPr>
            <w:tcW w:w="572" w:type="pct"/>
            <w:vMerge w:val="restart"/>
            <w:tcBorders>
              <w:top w:val="single" w:color="auto" w:sz="12" w:space="0"/>
              <w:left w:val="double" w:color="auto" w:sz="4" w:space="0"/>
            </w:tcBorders>
            <w:vAlign w:val="center"/>
          </w:tcPr>
          <w:p w14:paraId="41398636">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T</w:t>
            </w:r>
            <w:r>
              <w:rPr>
                <w:rFonts w:hint="eastAsia" w:ascii="黑体" w:hAnsi="黑体" w:eastAsia="黑体" w:cs="黑体"/>
                <w:color w:val="auto"/>
                <w:sz w:val="18"/>
                <w:szCs w:val="18"/>
              </w:rPr>
              <w:t>ungsten</w:t>
            </w:r>
          </w:p>
        </w:tc>
        <w:tc>
          <w:tcPr>
            <w:tcW w:w="702" w:type="pct"/>
            <w:tcBorders>
              <w:top w:val="single" w:color="auto" w:sz="12" w:space="0"/>
            </w:tcBorders>
            <w:vAlign w:val="center"/>
          </w:tcPr>
          <w:p w14:paraId="39F9C72A">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0.0052</w:t>
            </w:r>
          </w:p>
        </w:tc>
        <w:tc>
          <w:tcPr>
            <w:tcW w:w="1181" w:type="pct"/>
            <w:tcBorders>
              <w:top w:val="single" w:color="auto" w:sz="12" w:space="0"/>
            </w:tcBorders>
            <w:vAlign w:val="center"/>
          </w:tcPr>
          <w:p w14:paraId="66FBB072">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0.0006</w:t>
            </w:r>
          </w:p>
        </w:tc>
      </w:tr>
      <w:tr w14:paraId="7B1ACF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661" w:type="pct"/>
            <w:vMerge w:val="continue"/>
            <w:tcBorders>
              <w:left w:val="single" w:color="auto" w:sz="12" w:space="0"/>
              <w:right w:val="single" w:color="auto" w:sz="4" w:space="0"/>
            </w:tcBorders>
            <w:vAlign w:val="center"/>
          </w:tcPr>
          <w:p w14:paraId="1C859C3B">
            <w:pPr>
              <w:spacing w:line="400" w:lineRule="exact"/>
              <w:jc w:val="center"/>
              <w:rPr>
                <w:rFonts w:hint="eastAsia" w:ascii="黑体" w:hAnsi="黑体" w:eastAsia="黑体" w:cs="黑体"/>
                <w:color w:val="auto"/>
                <w:sz w:val="18"/>
                <w:szCs w:val="18"/>
              </w:rPr>
            </w:pPr>
          </w:p>
        </w:tc>
        <w:tc>
          <w:tcPr>
            <w:tcW w:w="717" w:type="pct"/>
            <w:tcBorders>
              <w:left w:val="single" w:color="auto" w:sz="4" w:space="0"/>
            </w:tcBorders>
            <w:vAlign w:val="center"/>
          </w:tcPr>
          <w:p w14:paraId="02D2E183">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0.047</w:t>
            </w:r>
          </w:p>
        </w:tc>
        <w:tc>
          <w:tcPr>
            <w:tcW w:w="1164" w:type="pct"/>
            <w:tcBorders>
              <w:right w:val="double" w:color="auto" w:sz="4" w:space="0"/>
            </w:tcBorders>
            <w:vAlign w:val="center"/>
          </w:tcPr>
          <w:p w14:paraId="486315BB">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0.003</w:t>
            </w:r>
          </w:p>
        </w:tc>
        <w:tc>
          <w:tcPr>
            <w:tcW w:w="572" w:type="pct"/>
            <w:vMerge w:val="continue"/>
            <w:tcBorders>
              <w:left w:val="double" w:color="auto" w:sz="4" w:space="0"/>
            </w:tcBorders>
            <w:vAlign w:val="center"/>
          </w:tcPr>
          <w:p w14:paraId="01077BD5">
            <w:pPr>
              <w:spacing w:line="400" w:lineRule="exact"/>
              <w:jc w:val="center"/>
              <w:rPr>
                <w:rFonts w:hint="eastAsia" w:ascii="黑体" w:hAnsi="黑体" w:eastAsia="黑体" w:cs="黑体"/>
                <w:color w:val="auto"/>
                <w:sz w:val="18"/>
                <w:szCs w:val="18"/>
              </w:rPr>
            </w:pPr>
          </w:p>
        </w:tc>
        <w:tc>
          <w:tcPr>
            <w:tcW w:w="702" w:type="pct"/>
            <w:vAlign w:val="center"/>
          </w:tcPr>
          <w:p w14:paraId="18A67E0B">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0.013</w:t>
            </w:r>
          </w:p>
        </w:tc>
        <w:tc>
          <w:tcPr>
            <w:tcW w:w="1181" w:type="pct"/>
            <w:vAlign w:val="center"/>
          </w:tcPr>
          <w:p w14:paraId="4036C2D3">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0.002</w:t>
            </w:r>
          </w:p>
        </w:tc>
      </w:tr>
      <w:tr w14:paraId="065E5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661" w:type="pct"/>
            <w:vMerge w:val="continue"/>
            <w:tcBorders>
              <w:left w:val="single" w:color="auto" w:sz="12" w:space="0"/>
              <w:right w:val="single" w:color="auto" w:sz="4" w:space="0"/>
            </w:tcBorders>
            <w:vAlign w:val="center"/>
          </w:tcPr>
          <w:p w14:paraId="2B23C6ED">
            <w:pPr>
              <w:spacing w:line="400" w:lineRule="exact"/>
              <w:jc w:val="center"/>
              <w:rPr>
                <w:rFonts w:hint="eastAsia" w:ascii="黑体" w:hAnsi="黑体" w:eastAsia="黑体" w:cs="黑体"/>
                <w:color w:val="auto"/>
                <w:sz w:val="18"/>
                <w:szCs w:val="18"/>
              </w:rPr>
            </w:pPr>
          </w:p>
        </w:tc>
        <w:tc>
          <w:tcPr>
            <w:tcW w:w="717" w:type="pct"/>
            <w:tcBorders>
              <w:left w:val="single" w:color="auto" w:sz="4" w:space="0"/>
            </w:tcBorders>
            <w:vAlign w:val="center"/>
          </w:tcPr>
          <w:p w14:paraId="6A36DC78">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0.10</w:t>
            </w:r>
          </w:p>
        </w:tc>
        <w:tc>
          <w:tcPr>
            <w:tcW w:w="1164" w:type="pct"/>
            <w:tcBorders>
              <w:right w:val="double" w:color="auto" w:sz="4" w:space="0"/>
            </w:tcBorders>
            <w:vAlign w:val="center"/>
          </w:tcPr>
          <w:p w14:paraId="490D7D5A">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0.005</w:t>
            </w:r>
          </w:p>
        </w:tc>
        <w:tc>
          <w:tcPr>
            <w:tcW w:w="572" w:type="pct"/>
            <w:vMerge w:val="continue"/>
            <w:tcBorders>
              <w:left w:val="double" w:color="auto" w:sz="4" w:space="0"/>
            </w:tcBorders>
            <w:vAlign w:val="center"/>
          </w:tcPr>
          <w:p w14:paraId="45BED6D0">
            <w:pPr>
              <w:spacing w:line="400" w:lineRule="exact"/>
              <w:jc w:val="center"/>
              <w:rPr>
                <w:rFonts w:hint="eastAsia" w:ascii="黑体" w:hAnsi="黑体" w:eastAsia="黑体" w:cs="黑体"/>
                <w:color w:val="auto"/>
                <w:sz w:val="18"/>
                <w:szCs w:val="18"/>
              </w:rPr>
            </w:pPr>
          </w:p>
        </w:tc>
        <w:tc>
          <w:tcPr>
            <w:tcW w:w="702" w:type="pct"/>
            <w:vAlign w:val="center"/>
          </w:tcPr>
          <w:p w14:paraId="268A8A23">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0.049</w:t>
            </w:r>
          </w:p>
        </w:tc>
        <w:tc>
          <w:tcPr>
            <w:tcW w:w="1181" w:type="pct"/>
            <w:vAlign w:val="center"/>
          </w:tcPr>
          <w:p w14:paraId="150A2A97">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0.004</w:t>
            </w:r>
          </w:p>
        </w:tc>
      </w:tr>
      <w:tr w14:paraId="4C5897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661" w:type="pct"/>
            <w:vMerge w:val="continue"/>
            <w:tcBorders>
              <w:left w:val="single" w:color="auto" w:sz="12" w:space="0"/>
              <w:right w:val="single" w:color="auto" w:sz="4" w:space="0"/>
            </w:tcBorders>
            <w:vAlign w:val="center"/>
          </w:tcPr>
          <w:p w14:paraId="094EFC5B">
            <w:pPr>
              <w:spacing w:line="400" w:lineRule="exact"/>
              <w:jc w:val="center"/>
              <w:rPr>
                <w:rFonts w:hint="eastAsia" w:ascii="黑体" w:hAnsi="黑体" w:eastAsia="黑体" w:cs="黑体"/>
                <w:color w:val="auto"/>
                <w:sz w:val="18"/>
                <w:szCs w:val="18"/>
              </w:rPr>
            </w:pPr>
          </w:p>
        </w:tc>
        <w:tc>
          <w:tcPr>
            <w:tcW w:w="717" w:type="pct"/>
            <w:tcBorders>
              <w:left w:val="single" w:color="auto" w:sz="4" w:space="0"/>
            </w:tcBorders>
            <w:vAlign w:val="center"/>
          </w:tcPr>
          <w:p w14:paraId="7804F66B">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0.38</w:t>
            </w:r>
          </w:p>
        </w:tc>
        <w:tc>
          <w:tcPr>
            <w:tcW w:w="1164" w:type="pct"/>
            <w:tcBorders>
              <w:right w:val="double" w:color="auto" w:sz="4" w:space="0"/>
            </w:tcBorders>
            <w:vAlign w:val="center"/>
          </w:tcPr>
          <w:p w14:paraId="7879EFFA">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0.03</w:t>
            </w:r>
          </w:p>
        </w:tc>
        <w:tc>
          <w:tcPr>
            <w:tcW w:w="572" w:type="pct"/>
            <w:vMerge w:val="continue"/>
            <w:tcBorders>
              <w:left w:val="double" w:color="auto" w:sz="4" w:space="0"/>
            </w:tcBorders>
            <w:vAlign w:val="center"/>
          </w:tcPr>
          <w:p w14:paraId="175C0DE5">
            <w:pPr>
              <w:spacing w:line="400" w:lineRule="exact"/>
              <w:jc w:val="center"/>
              <w:rPr>
                <w:rFonts w:hint="eastAsia" w:ascii="黑体" w:hAnsi="黑体" w:eastAsia="黑体" w:cs="黑体"/>
                <w:color w:val="auto"/>
                <w:sz w:val="18"/>
                <w:szCs w:val="18"/>
              </w:rPr>
            </w:pPr>
          </w:p>
        </w:tc>
        <w:tc>
          <w:tcPr>
            <w:tcW w:w="702" w:type="pct"/>
            <w:vAlign w:val="center"/>
          </w:tcPr>
          <w:p w14:paraId="50F6B0E1">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0.10</w:t>
            </w:r>
          </w:p>
        </w:tc>
        <w:tc>
          <w:tcPr>
            <w:tcW w:w="1181" w:type="pct"/>
            <w:vAlign w:val="center"/>
          </w:tcPr>
          <w:p w14:paraId="700D185E">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0.007</w:t>
            </w:r>
          </w:p>
        </w:tc>
      </w:tr>
      <w:tr w14:paraId="655FCB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661" w:type="pct"/>
            <w:vMerge w:val="continue"/>
            <w:tcBorders>
              <w:left w:val="single" w:color="auto" w:sz="12" w:space="0"/>
              <w:right w:val="single" w:color="auto" w:sz="4" w:space="0"/>
            </w:tcBorders>
            <w:vAlign w:val="center"/>
          </w:tcPr>
          <w:p w14:paraId="56D121AA">
            <w:pPr>
              <w:spacing w:line="400" w:lineRule="exact"/>
              <w:jc w:val="center"/>
              <w:rPr>
                <w:rFonts w:hint="eastAsia" w:ascii="黑体" w:hAnsi="黑体" w:eastAsia="黑体" w:cs="黑体"/>
                <w:color w:val="auto"/>
                <w:sz w:val="18"/>
                <w:szCs w:val="18"/>
              </w:rPr>
            </w:pPr>
          </w:p>
        </w:tc>
        <w:tc>
          <w:tcPr>
            <w:tcW w:w="717" w:type="pct"/>
            <w:tcBorders>
              <w:left w:val="single" w:color="auto" w:sz="4" w:space="0"/>
            </w:tcBorders>
            <w:vAlign w:val="center"/>
          </w:tcPr>
          <w:p w14:paraId="6C0A5FE1">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0.50</w:t>
            </w:r>
          </w:p>
        </w:tc>
        <w:tc>
          <w:tcPr>
            <w:tcW w:w="1164" w:type="pct"/>
            <w:tcBorders>
              <w:right w:val="double" w:color="auto" w:sz="4" w:space="0"/>
            </w:tcBorders>
            <w:vAlign w:val="center"/>
          </w:tcPr>
          <w:p w14:paraId="4F755EF2">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0.03</w:t>
            </w:r>
          </w:p>
        </w:tc>
        <w:tc>
          <w:tcPr>
            <w:tcW w:w="572" w:type="pct"/>
            <w:vMerge w:val="continue"/>
            <w:tcBorders>
              <w:left w:val="double" w:color="auto" w:sz="4" w:space="0"/>
            </w:tcBorders>
            <w:vAlign w:val="center"/>
          </w:tcPr>
          <w:p w14:paraId="14C9F33C">
            <w:pPr>
              <w:spacing w:line="400" w:lineRule="exact"/>
              <w:jc w:val="center"/>
              <w:rPr>
                <w:rFonts w:hint="eastAsia" w:ascii="黑体" w:hAnsi="黑体" w:eastAsia="黑体" w:cs="黑体"/>
                <w:color w:val="auto"/>
                <w:sz w:val="18"/>
                <w:szCs w:val="18"/>
              </w:rPr>
            </w:pPr>
          </w:p>
        </w:tc>
        <w:tc>
          <w:tcPr>
            <w:tcW w:w="702" w:type="pct"/>
            <w:vAlign w:val="center"/>
          </w:tcPr>
          <w:p w14:paraId="728B84F3">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0.40</w:t>
            </w:r>
          </w:p>
        </w:tc>
        <w:tc>
          <w:tcPr>
            <w:tcW w:w="1181" w:type="pct"/>
            <w:vAlign w:val="center"/>
          </w:tcPr>
          <w:p w14:paraId="52061204">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0.03</w:t>
            </w:r>
          </w:p>
        </w:tc>
      </w:tr>
      <w:tr w14:paraId="178BF2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661" w:type="pct"/>
            <w:vMerge w:val="continue"/>
            <w:tcBorders>
              <w:left w:val="single" w:color="auto" w:sz="12" w:space="0"/>
              <w:bottom w:val="single" w:color="auto" w:sz="4" w:space="0"/>
              <w:right w:val="single" w:color="auto" w:sz="4" w:space="0"/>
            </w:tcBorders>
            <w:vAlign w:val="center"/>
          </w:tcPr>
          <w:p w14:paraId="6C0854B7">
            <w:pPr>
              <w:spacing w:line="400" w:lineRule="exact"/>
              <w:jc w:val="center"/>
              <w:rPr>
                <w:rFonts w:hint="eastAsia" w:ascii="黑体" w:hAnsi="黑体" w:eastAsia="黑体" w:cs="黑体"/>
                <w:color w:val="auto"/>
                <w:sz w:val="18"/>
                <w:szCs w:val="18"/>
                <w:lang w:val="en-US" w:eastAsia="zh-CN"/>
              </w:rPr>
            </w:pPr>
          </w:p>
        </w:tc>
        <w:tc>
          <w:tcPr>
            <w:tcW w:w="717" w:type="pct"/>
            <w:tcBorders>
              <w:left w:val="single" w:color="auto" w:sz="4" w:space="0"/>
            </w:tcBorders>
            <w:vAlign w:val="center"/>
          </w:tcPr>
          <w:p w14:paraId="373803EE">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w:t>
            </w:r>
          </w:p>
        </w:tc>
        <w:tc>
          <w:tcPr>
            <w:tcW w:w="1164" w:type="pct"/>
            <w:tcBorders>
              <w:right w:val="double" w:color="auto" w:sz="4" w:space="0"/>
            </w:tcBorders>
            <w:vAlign w:val="center"/>
          </w:tcPr>
          <w:p w14:paraId="0BA524C4">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w:t>
            </w:r>
          </w:p>
        </w:tc>
        <w:tc>
          <w:tcPr>
            <w:tcW w:w="572" w:type="pct"/>
            <w:vMerge w:val="continue"/>
            <w:tcBorders>
              <w:left w:val="double" w:color="auto" w:sz="4" w:space="0"/>
            </w:tcBorders>
            <w:vAlign w:val="center"/>
          </w:tcPr>
          <w:p w14:paraId="449D7B5D">
            <w:pPr>
              <w:spacing w:line="400" w:lineRule="exact"/>
              <w:jc w:val="center"/>
              <w:rPr>
                <w:rFonts w:hint="eastAsia" w:ascii="黑体" w:hAnsi="黑体" w:eastAsia="黑体" w:cs="黑体"/>
                <w:color w:val="auto"/>
                <w:sz w:val="18"/>
                <w:szCs w:val="18"/>
                <w:lang w:val="en-US"/>
              </w:rPr>
            </w:pPr>
          </w:p>
        </w:tc>
        <w:tc>
          <w:tcPr>
            <w:tcW w:w="702" w:type="pct"/>
            <w:vAlign w:val="center"/>
          </w:tcPr>
          <w:p w14:paraId="32EC5706">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0.50</w:t>
            </w:r>
          </w:p>
        </w:tc>
        <w:tc>
          <w:tcPr>
            <w:tcW w:w="1181" w:type="pct"/>
            <w:vAlign w:val="center"/>
          </w:tcPr>
          <w:p w14:paraId="5D265655">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0.03</w:t>
            </w:r>
          </w:p>
        </w:tc>
      </w:tr>
      <w:tr w14:paraId="1265EF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5000" w:type="pct"/>
            <w:gridSpan w:val="6"/>
            <w:tcBorders>
              <w:left w:val="single" w:color="auto" w:sz="12" w:space="0"/>
            </w:tcBorders>
            <w:vAlign w:val="center"/>
          </w:tcPr>
          <w:p w14:paraId="1AD48553">
            <w:pPr>
              <w:spacing w:line="400" w:lineRule="exact"/>
              <w:jc w:val="left"/>
              <w:rPr>
                <w:rFonts w:hint="eastAsia" w:ascii="黑体" w:hAnsi="黑体" w:eastAsia="黑体" w:cs="黑体"/>
                <w:color w:val="auto"/>
                <w:sz w:val="18"/>
                <w:szCs w:val="18"/>
              </w:rPr>
            </w:pPr>
            <w:r>
              <w:rPr>
                <w:rFonts w:hint="eastAsia" w:ascii="黑体" w:hAnsi="黑体" w:eastAsia="黑体" w:cs="黑体"/>
                <w:color w:val="auto"/>
                <w:sz w:val="18"/>
                <w:szCs w:val="18"/>
              </w:rPr>
              <w:t>Note: The repeatability limit (</w:t>
            </w:r>
            <w:r>
              <w:rPr>
                <w:rFonts w:hint="eastAsia" w:ascii="黑体" w:hAnsi="黑体" w:eastAsia="黑体" w:cs="黑体"/>
                <w:i/>
                <w:iCs/>
                <w:color w:val="auto"/>
                <w:sz w:val="18"/>
                <w:szCs w:val="18"/>
              </w:rPr>
              <w:t xml:space="preserve">r) </w:t>
            </w:r>
            <w:r>
              <w:rPr>
                <w:rFonts w:hint="eastAsia" w:ascii="黑体" w:hAnsi="黑体" w:eastAsia="黑体" w:cs="黑体"/>
                <w:color w:val="auto"/>
                <w:sz w:val="18"/>
                <w:szCs w:val="18"/>
              </w:rPr>
              <w:t>is 2.8×</w:t>
            </w:r>
            <w:r>
              <w:rPr>
                <w:rFonts w:hint="eastAsia" w:ascii="黑体" w:hAnsi="黑体" w:eastAsia="黑体" w:cs="黑体"/>
                <w:i/>
                <w:iCs/>
                <w:color w:val="auto"/>
                <w:sz w:val="18"/>
                <w:szCs w:val="18"/>
              </w:rPr>
              <w:t>S</w:t>
            </w:r>
            <w:r>
              <w:rPr>
                <w:rFonts w:hint="eastAsia" w:ascii="黑体" w:hAnsi="黑体" w:eastAsia="黑体" w:cs="黑体"/>
                <w:i/>
                <w:iCs/>
                <w:color w:val="auto"/>
                <w:sz w:val="18"/>
                <w:szCs w:val="18"/>
                <w:vertAlign w:val="subscript"/>
              </w:rPr>
              <w:t>r</w:t>
            </w:r>
            <w:r>
              <w:rPr>
                <w:rFonts w:hint="eastAsia" w:ascii="黑体" w:hAnsi="黑体" w:eastAsia="黑体" w:cs="黑体"/>
                <w:i/>
                <w:iCs/>
                <w:color w:val="auto"/>
                <w:sz w:val="18"/>
                <w:szCs w:val="18"/>
              </w:rPr>
              <w:t>,</w:t>
            </w:r>
            <w:r>
              <w:rPr>
                <w:rFonts w:hint="eastAsia" w:ascii="黑体" w:hAnsi="黑体" w:eastAsia="黑体" w:cs="黑体"/>
                <w:i/>
                <w:iCs/>
                <w:color w:val="auto"/>
                <w:sz w:val="18"/>
                <w:szCs w:val="18"/>
                <w:lang w:val="en-US" w:eastAsia="zh-CN"/>
              </w:rPr>
              <w:t xml:space="preserve"> </w:t>
            </w:r>
            <w:r>
              <w:rPr>
                <w:rFonts w:hint="eastAsia" w:ascii="黑体" w:hAnsi="黑体" w:eastAsia="黑体" w:cs="黑体"/>
                <w:color w:val="auto"/>
                <w:sz w:val="18"/>
                <w:szCs w:val="18"/>
                <w:lang w:val="en-US" w:eastAsia="zh-CN"/>
              </w:rPr>
              <w:t>w</w:t>
            </w:r>
            <w:r>
              <w:rPr>
                <w:rFonts w:hint="eastAsia" w:ascii="黑体" w:hAnsi="黑体" w:eastAsia="黑体" w:cs="黑体"/>
                <w:color w:val="auto"/>
                <w:sz w:val="18"/>
                <w:szCs w:val="18"/>
              </w:rPr>
              <w:t xml:space="preserve">here </w:t>
            </w:r>
            <w:r>
              <w:rPr>
                <w:rFonts w:hint="eastAsia" w:ascii="黑体" w:hAnsi="黑体" w:eastAsia="黑体" w:cs="黑体"/>
                <w:i/>
                <w:iCs/>
                <w:color w:val="auto"/>
                <w:sz w:val="18"/>
                <w:szCs w:val="18"/>
              </w:rPr>
              <w:t>S</w:t>
            </w:r>
            <w:r>
              <w:rPr>
                <w:rFonts w:hint="eastAsia" w:ascii="黑体" w:hAnsi="黑体" w:eastAsia="黑体" w:cs="黑体"/>
                <w:i/>
                <w:iCs/>
                <w:color w:val="auto"/>
                <w:sz w:val="18"/>
                <w:szCs w:val="18"/>
                <w:vertAlign w:val="subscript"/>
              </w:rPr>
              <w:t>r</w:t>
            </w:r>
            <w:r>
              <w:rPr>
                <w:rFonts w:hint="eastAsia" w:ascii="黑体" w:hAnsi="黑体" w:eastAsia="黑体" w:cs="黑体"/>
                <w:color w:val="auto"/>
                <w:sz w:val="18"/>
                <w:szCs w:val="18"/>
                <w:vertAlign w:val="subscript"/>
              </w:rPr>
              <w:t xml:space="preserve"> </w:t>
            </w:r>
            <w:r>
              <w:rPr>
                <w:rFonts w:hint="eastAsia" w:ascii="黑体" w:hAnsi="黑体" w:eastAsia="黑体" w:cs="黑体"/>
                <w:color w:val="auto"/>
                <w:sz w:val="18"/>
                <w:szCs w:val="18"/>
              </w:rPr>
              <w:t>is the standard deviation of repeatability.</w:t>
            </w:r>
          </w:p>
        </w:tc>
      </w:tr>
    </w:tbl>
    <w:p w14:paraId="52C5F76C">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4</w:t>
      </w:r>
      <w:r>
        <w:rPr>
          <w:rFonts w:hint="eastAsia" w:ascii="黑体" w:hAnsi="黑体" w:eastAsia="黑体" w:cs="黑体"/>
          <w:color w:val="auto"/>
        </w:rPr>
        <w:t>.7.</w:t>
      </w:r>
      <w:r>
        <w:rPr>
          <w:rFonts w:hint="eastAsia" w:ascii="黑体" w:hAnsi="黑体" w:eastAsia="黑体" w:cs="黑体"/>
          <w:color w:val="auto"/>
          <w:lang w:val="en-US" w:eastAsia="zh-CN"/>
        </w:rPr>
        <w:t>2</w:t>
      </w:r>
      <w:r>
        <w:rPr>
          <w:rFonts w:hint="eastAsia" w:ascii="黑体" w:hAnsi="黑体" w:eastAsia="黑体" w:cs="黑体"/>
          <w:color w:val="auto"/>
        </w:rPr>
        <w:t xml:space="preserve"> Reproducibility</w:t>
      </w:r>
    </w:p>
    <w:p w14:paraId="2AED152F">
      <w:pPr>
        <w:pStyle w:val="113"/>
        <w:snapToGrid w:val="0"/>
        <w:spacing w:line="360" w:lineRule="exact"/>
        <w:ind w:firstLine="0" w:firstLineChars="0"/>
        <w:rPr>
          <w:rFonts w:hint="eastAsia" w:ascii="黑体" w:hAnsi="黑体" w:eastAsia="黑体" w:cs="黑体"/>
          <w:color w:val="auto"/>
        </w:rPr>
      </w:pPr>
      <w:r>
        <w:rPr>
          <w:rFonts w:hint="eastAsia" w:ascii="黑体" w:hAnsi="黑体" w:eastAsia="黑体" w:cs="黑体"/>
          <w:color w:val="auto"/>
        </w:rPr>
        <w:t>Under reproducibility conditions, the absolute difference between two independent test results sh</w:t>
      </w:r>
      <w:r>
        <w:rPr>
          <w:rFonts w:hint="eastAsia" w:ascii="黑体" w:hAnsi="黑体" w:eastAsia="黑体" w:cs="黑体"/>
          <w:color w:val="auto"/>
          <w:lang w:val="en-US" w:eastAsia="zh-CN"/>
        </w:rPr>
        <w:t>all</w:t>
      </w:r>
      <w:r>
        <w:rPr>
          <w:rFonts w:hint="eastAsia" w:ascii="黑体" w:hAnsi="黑体" w:eastAsia="黑体" w:cs="黑体"/>
          <w:color w:val="auto"/>
        </w:rPr>
        <w:t xml:space="preserve"> not exceed the reproducibility limit (</w:t>
      </w:r>
      <w:r>
        <w:rPr>
          <w:rFonts w:hint="eastAsia" w:ascii="黑体" w:hAnsi="黑体" w:eastAsia="黑体" w:cs="黑体"/>
          <w:i/>
          <w:iCs/>
          <w:color w:val="auto"/>
        </w:rPr>
        <w:t>R</w:t>
      </w:r>
      <w:r>
        <w:rPr>
          <w:rFonts w:hint="eastAsia" w:ascii="黑体" w:hAnsi="黑体" w:eastAsia="黑体" w:cs="黑体"/>
          <w:color w:val="auto"/>
        </w:rPr>
        <w:t>), and the occurrence of exceeding the reproducibility limit (</w:t>
      </w:r>
      <w:r>
        <w:rPr>
          <w:rFonts w:hint="eastAsia" w:ascii="黑体" w:hAnsi="黑体" w:eastAsia="黑体" w:cs="黑体"/>
          <w:i/>
          <w:iCs/>
          <w:color w:val="auto"/>
        </w:rPr>
        <w:t>R</w:t>
      </w:r>
      <w:r>
        <w:rPr>
          <w:rFonts w:hint="eastAsia" w:ascii="黑体" w:hAnsi="黑体" w:eastAsia="黑体" w:cs="黑体"/>
          <w:color w:val="auto"/>
        </w:rPr>
        <w:t>) sh</w:t>
      </w:r>
      <w:r>
        <w:rPr>
          <w:rFonts w:hint="eastAsia" w:ascii="黑体" w:hAnsi="黑体" w:eastAsia="黑体" w:cs="黑体"/>
          <w:color w:val="auto"/>
          <w:lang w:val="en-US" w:eastAsia="zh-CN"/>
        </w:rPr>
        <w:t>all</w:t>
      </w:r>
      <w:r>
        <w:rPr>
          <w:rFonts w:hint="eastAsia" w:ascii="黑体" w:hAnsi="黑体" w:eastAsia="黑体" w:cs="黑体"/>
          <w:color w:val="auto"/>
        </w:rPr>
        <w:t xml:space="preserve"> not exceed 5%. The reproducibility limit (</w:t>
      </w:r>
      <w:r>
        <w:rPr>
          <w:rFonts w:hint="eastAsia" w:ascii="黑体" w:hAnsi="黑体" w:eastAsia="黑体" w:cs="黑体"/>
          <w:i/>
          <w:iCs/>
          <w:color w:val="auto"/>
        </w:rPr>
        <w:t>R</w:t>
      </w:r>
      <w:r>
        <w:rPr>
          <w:rFonts w:hint="eastAsia" w:ascii="黑体" w:hAnsi="黑体" w:eastAsia="黑体" w:cs="黑体"/>
          <w:color w:val="auto"/>
        </w:rPr>
        <w:t xml:space="preserve">) is determined by linear interpolation or extrapolation based on the data in Table </w:t>
      </w:r>
      <w:r>
        <w:rPr>
          <w:rFonts w:hint="eastAsia" w:ascii="黑体" w:hAnsi="黑体" w:eastAsia="黑体" w:cs="黑体"/>
          <w:color w:val="auto"/>
          <w:lang w:val="en-US" w:eastAsia="zh-CN"/>
        </w:rPr>
        <w:t>3</w:t>
      </w:r>
      <w:r>
        <w:rPr>
          <w:rFonts w:hint="eastAsia" w:ascii="黑体" w:hAnsi="黑体" w:eastAsia="黑体" w:cs="黑体"/>
          <w:color w:val="auto"/>
        </w:rPr>
        <w:t>.</w:t>
      </w:r>
    </w:p>
    <w:p w14:paraId="08688A25">
      <w:pPr>
        <w:spacing w:line="360" w:lineRule="exact"/>
        <w:jc w:val="center"/>
        <w:rPr>
          <w:color w:val="auto"/>
          <w:spacing w:val="6"/>
        </w:rPr>
      </w:pPr>
      <w:r>
        <w:rPr>
          <w:rFonts w:hint="eastAsia" w:ascii="黑体" w:hAnsi="黑体" w:eastAsia="黑体" w:cs="黑体"/>
          <w:color w:val="auto"/>
          <w:szCs w:val="21"/>
        </w:rPr>
        <w:t xml:space="preserve">Table </w:t>
      </w:r>
      <w:r>
        <w:rPr>
          <w:rFonts w:hint="eastAsia" w:ascii="黑体" w:hAnsi="黑体" w:eastAsia="黑体" w:cs="黑体"/>
          <w:color w:val="auto"/>
          <w:szCs w:val="21"/>
          <w:lang w:val="en-US" w:eastAsia="zh-CN"/>
        </w:rPr>
        <w:t>3</w:t>
      </w:r>
      <w:r>
        <w:rPr>
          <w:rFonts w:hint="eastAsia" w:ascii="黑体" w:hAnsi="黑体" w:eastAsia="黑体" w:cs="黑体"/>
          <w:color w:val="auto"/>
          <w:szCs w:val="21"/>
        </w:rPr>
        <w:t xml:space="preserve"> The </w:t>
      </w:r>
      <w:r>
        <w:rPr>
          <w:rFonts w:hint="eastAsia" w:ascii="黑体" w:hAnsi="黑体" w:eastAsia="黑体" w:cs="黑体"/>
          <w:color w:val="auto"/>
          <w:szCs w:val="21"/>
          <w:lang w:val="en-US" w:eastAsia="zh-CN"/>
        </w:rPr>
        <w:t>r</w:t>
      </w:r>
      <w:r>
        <w:rPr>
          <w:rFonts w:hint="eastAsia" w:ascii="黑体" w:hAnsi="黑体" w:eastAsia="黑体" w:cs="黑体"/>
          <w:color w:val="auto"/>
          <w:szCs w:val="21"/>
        </w:rPr>
        <w:t xml:space="preserve">eproducibility </w:t>
      </w:r>
      <w:r>
        <w:rPr>
          <w:rFonts w:hint="eastAsia" w:ascii="黑体" w:hAnsi="黑体" w:eastAsia="黑体" w:cs="黑体"/>
          <w:color w:val="auto"/>
          <w:szCs w:val="21"/>
          <w:lang w:val="en-US" w:eastAsia="zh-CN"/>
        </w:rPr>
        <w:t>l</w:t>
      </w:r>
      <w:r>
        <w:rPr>
          <w:rFonts w:hint="eastAsia" w:ascii="黑体" w:hAnsi="黑体" w:eastAsia="黑体" w:cs="黑体"/>
          <w:color w:val="auto"/>
          <w:szCs w:val="21"/>
        </w:rPr>
        <w:t>imit (</w:t>
      </w:r>
      <w:r>
        <w:rPr>
          <w:rFonts w:hint="eastAsia" w:ascii="黑体" w:hAnsi="黑体" w:eastAsia="黑体" w:cs="黑体"/>
          <w:i/>
          <w:iCs/>
          <w:color w:val="auto"/>
          <w:szCs w:val="21"/>
        </w:rPr>
        <w:t>R</w:t>
      </w:r>
      <w:r>
        <w:rPr>
          <w:rFonts w:hint="eastAsia" w:ascii="黑体" w:hAnsi="黑体" w:eastAsia="黑体" w:cs="黑体"/>
          <w:color w:val="auto"/>
          <w:szCs w:val="21"/>
        </w:rPr>
        <w:t>)</w:t>
      </w:r>
    </w:p>
    <w:tbl>
      <w:tblPr>
        <w:tblStyle w:val="51"/>
        <w:tblW w:w="504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4"/>
        <w:gridCol w:w="1452"/>
        <w:gridCol w:w="2164"/>
        <w:gridCol w:w="1223"/>
        <w:gridCol w:w="1432"/>
        <w:gridCol w:w="1960"/>
      </w:tblGrid>
      <w:tr w14:paraId="35D39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41" w:type="pct"/>
            <w:tcBorders>
              <w:left w:val="single" w:color="auto" w:sz="12" w:space="0"/>
              <w:bottom w:val="single" w:color="auto" w:sz="12" w:space="0"/>
            </w:tcBorders>
            <w:vAlign w:val="center"/>
          </w:tcPr>
          <w:p w14:paraId="3DC9DF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Element</w:t>
            </w:r>
          </w:p>
        </w:tc>
        <w:tc>
          <w:tcPr>
            <w:tcW w:w="751" w:type="pct"/>
            <w:tcBorders>
              <w:bottom w:val="single" w:color="auto" w:sz="12" w:space="0"/>
            </w:tcBorders>
            <w:vAlign w:val="center"/>
          </w:tcPr>
          <w:p w14:paraId="06E4DB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M</w:t>
            </w:r>
            <w:r>
              <w:rPr>
                <w:rFonts w:hint="eastAsia" w:ascii="黑体" w:hAnsi="黑体" w:eastAsia="黑体" w:cs="黑体"/>
                <w:color w:val="auto"/>
                <w:sz w:val="18"/>
                <w:szCs w:val="18"/>
              </w:rPr>
              <w:t>ass fraction</w:t>
            </w:r>
          </w:p>
          <w:p w14:paraId="3450DE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c>
          <w:tcPr>
            <w:tcW w:w="1119" w:type="pct"/>
            <w:tcBorders>
              <w:bottom w:val="single" w:color="auto" w:sz="12" w:space="0"/>
              <w:right w:val="double" w:color="auto" w:sz="4" w:space="0"/>
            </w:tcBorders>
            <w:vAlign w:val="center"/>
          </w:tcPr>
          <w:p w14:paraId="3A0105CC">
            <w:pPr>
              <w:spacing w:line="3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rPr>
              <w:t>Reproducibility</w:t>
            </w:r>
          </w:p>
          <w:p w14:paraId="1E5910C9">
            <w:pPr>
              <w:spacing w:line="3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rPr>
              <w:t>limit (</w:t>
            </w:r>
            <w:r>
              <w:rPr>
                <w:rFonts w:hint="eastAsia" w:ascii="黑体" w:hAnsi="黑体" w:eastAsia="黑体" w:cs="黑体"/>
                <w:i/>
                <w:iCs/>
                <w:color w:val="auto"/>
                <w:sz w:val="18"/>
                <w:szCs w:val="18"/>
              </w:rPr>
              <w:t>R</w:t>
            </w:r>
            <w:r>
              <w:rPr>
                <w:rFonts w:hint="eastAsia" w:ascii="黑体" w:hAnsi="黑体" w:eastAsia="黑体" w:cs="黑体"/>
                <w:color w:val="auto"/>
                <w:sz w:val="18"/>
                <w:szCs w:val="18"/>
              </w:rPr>
              <w:t>)</w:t>
            </w:r>
          </w:p>
          <w:p w14:paraId="552DE4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c>
          <w:tcPr>
            <w:tcW w:w="632" w:type="pct"/>
            <w:tcBorders>
              <w:left w:val="double" w:color="auto" w:sz="4" w:space="0"/>
              <w:bottom w:val="single" w:color="auto" w:sz="12" w:space="0"/>
            </w:tcBorders>
            <w:vAlign w:val="center"/>
          </w:tcPr>
          <w:p w14:paraId="0EB011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Element</w:t>
            </w:r>
          </w:p>
        </w:tc>
        <w:tc>
          <w:tcPr>
            <w:tcW w:w="740" w:type="pct"/>
            <w:tcBorders>
              <w:bottom w:val="single" w:color="auto" w:sz="12" w:space="0"/>
            </w:tcBorders>
            <w:vAlign w:val="center"/>
          </w:tcPr>
          <w:p w14:paraId="6237D9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M</w:t>
            </w:r>
            <w:r>
              <w:rPr>
                <w:rFonts w:hint="eastAsia" w:ascii="黑体" w:hAnsi="黑体" w:eastAsia="黑体" w:cs="黑体"/>
                <w:color w:val="auto"/>
                <w:sz w:val="18"/>
                <w:szCs w:val="18"/>
              </w:rPr>
              <w:t>ass fraction</w:t>
            </w:r>
          </w:p>
          <w:p w14:paraId="03B20D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c>
          <w:tcPr>
            <w:tcW w:w="1013" w:type="pct"/>
            <w:tcBorders>
              <w:bottom w:val="single" w:color="auto" w:sz="12" w:space="0"/>
            </w:tcBorders>
            <w:vAlign w:val="center"/>
          </w:tcPr>
          <w:p w14:paraId="285E7A20">
            <w:pPr>
              <w:spacing w:line="3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rPr>
              <w:t>Reproducibility</w:t>
            </w:r>
          </w:p>
          <w:p w14:paraId="4E48A1B8">
            <w:pPr>
              <w:spacing w:line="3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rPr>
              <w:t>limit (</w:t>
            </w:r>
            <w:r>
              <w:rPr>
                <w:rFonts w:hint="eastAsia" w:ascii="黑体" w:hAnsi="黑体" w:eastAsia="黑体" w:cs="黑体"/>
                <w:i/>
                <w:iCs/>
                <w:color w:val="auto"/>
                <w:sz w:val="18"/>
                <w:szCs w:val="18"/>
              </w:rPr>
              <w:t>R</w:t>
            </w:r>
            <w:r>
              <w:rPr>
                <w:rFonts w:hint="eastAsia" w:ascii="黑体" w:hAnsi="黑体" w:eastAsia="黑体" w:cs="黑体"/>
                <w:color w:val="auto"/>
                <w:sz w:val="18"/>
                <w:szCs w:val="18"/>
              </w:rPr>
              <w:t>)</w:t>
            </w:r>
          </w:p>
          <w:p w14:paraId="2723E0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r>
      <w:tr w14:paraId="0A6B8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741" w:type="pct"/>
            <w:vMerge w:val="restart"/>
            <w:tcBorders>
              <w:top w:val="single" w:color="auto" w:sz="12" w:space="0"/>
              <w:left w:val="single" w:color="auto" w:sz="12" w:space="0"/>
              <w:right w:val="single" w:color="auto" w:sz="4" w:space="0"/>
            </w:tcBorders>
            <w:vAlign w:val="center"/>
          </w:tcPr>
          <w:p w14:paraId="7A98AC77">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M</w:t>
            </w:r>
            <w:r>
              <w:rPr>
                <w:rFonts w:hint="eastAsia" w:ascii="黑体" w:hAnsi="黑体" w:eastAsia="黑体" w:cs="黑体"/>
                <w:color w:val="auto"/>
                <w:sz w:val="18"/>
                <w:szCs w:val="18"/>
              </w:rPr>
              <w:t>olybdenum</w:t>
            </w:r>
          </w:p>
        </w:tc>
        <w:tc>
          <w:tcPr>
            <w:tcW w:w="751" w:type="pct"/>
            <w:tcBorders>
              <w:top w:val="single" w:color="auto" w:sz="12" w:space="0"/>
              <w:left w:val="single" w:color="auto" w:sz="4" w:space="0"/>
            </w:tcBorders>
            <w:vAlign w:val="center"/>
          </w:tcPr>
          <w:p w14:paraId="588212E7">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0.0058</w:t>
            </w:r>
          </w:p>
        </w:tc>
        <w:tc>
          <w:tcPr>
            <w:tcW w:w="1119" w:type="pct"/>
            <w:tcBorders>
              <w:top w:val="single" w:color="auto" w:sz="12" w:space="0"/>
              <w:right w:val="double" w:color="auto" w:sz="4" w:space="0"/>
            </w:tcBorders>
            <w:vAlign w:val="center"/>
          </w:tcPr>
          <w:p w14:paraId="5639A10F">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0.0006</w:t>
            </w:r>
          </w:p>
        </w:tc>
        <w:tc>
          <w:tcPr>
            <w:tcW w:w="632" w:type="pct"/>
            <w:vMerge w:val="restart"/>
            <w:tcBorders>
              <w:top w:val="single" w:color="auto" w:sz="12" w:space="0"/>
              <w:left w:val="double" w:color="auto" w:sz="4" w:space="0"/>
            </w:tcBorders>
            <w:vAlign w:val="center"/>
          </w:tcPr>
          <w:p w14:paraId="13AD97C1">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T</w:t>
            </w:r>
            <w:r>
              <w:rPr>
                <w:rFonts w:hint="eastAsia" w:ascii="黑体" w:hAnsi="黑体" w:eastAsia="黑体" w:cs="黑体"/>
                <w:color w:val="auto"/>
                <w:sz w:val="18"/>
                <w:szCs w:val="18"/>
              </w:rPr>
              <w:t>ungsten</w:t>
            </w:r>
          </w:p>
        </w:tc>
        <w:tc>
          <w:tcPr>
            <w:tcW w:w="740" w:type="pct"/>
            <w:tcBorders>
              <w:top w:val="single" w:color="auto" w:sz="12" w:space="0"/>
            </w:tcBorders>
            <w:vAlign w:val="center"/>
          </w:tcPr>
          <w:p w14:paraId="1BA39A2F">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0.0052</w:t>
            </w:r>
          </w:p>
        </w:tc>
        <w:tc>
          <w:tcPr>
            <w:tcW w:w="1013" w:type="pct"/>
            <w:tcBorders>
              <w:top w:val="single" w:color="auto" w:sz="12" w:space="0"/>
            </w:tcBorders>
            <w:vAlign w:val="center"/>
          </w:tcPr>
          <w:p w14:paraId="624793E9">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0.0006</w:t>
            </w:r>
          </w:p>
        </w:tc>
      </w:tr>
      <w:tr w14:paraId="6752B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741" w:type="pct"/>
            <w:vMerge w:val="continue"/>
            <w:tcBorders>
              <w:left w:val="single" w:color="auto" w:sz="12" w:space="0"/>
              <w:right w:val="single" w:color="auto" w:sz="4" w:space="0"/>
            </w:tcBorders>
            <w:vAlign w:val="center"/>
          </w:tcPr>
          <w:p w14:paraId="4BD5FA7F">
            <w:pPr>
              <w:spacing w:line="400" w:lineRule="exact"/>
              <w:jc w:val="center"/>
              <w:rPr>
                <w:rFonts w:hint="eastAsia" w:ascii="黑体" w:hAnsi="黑体" w:eastAsia="黑体" w:cs="黑体"/>
                <w:color w:val="auto"/>
                <w:sz w:val="18"/>
                <w:szCs w:val="18"/>
              </w:rPr>
            </w:pPr>
          </w:p>
        </w:tc>
        <w:tc>
          <w:tcPr>
            <w:tcW w:w="751" w:type="pct"/>
            <w:tcBorders>
              <w:left w:val="single" w:color="auto" w:sz="4" w:space="0"/>
            </w:tcBorders>
            <w:vAlign w:val="center"/>
          </w:tcPr>
          <w:p w14:paraId="7601AEA7">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0.047</w:t>
            </w:r>
          </w:p>
        </w:tc>
        <w:tc>
          <w:tcPr>
            <w:tcW w:w="1119" w:type="pct"/>
            <w:tcBorders>
              <w:right w:val="double" w:color="auto" w:sz="4" w:space="0"/>
            </w:tcBorders>
            <w:vAlign w:val="center"/>
          </w:tcPr>
          <w:p w14:paraId="552FF179">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0.003</w:t>
            </w:r>
          </w:p>
        </w:tc>
        <w:tc>
          <w:tcPr>
            <w:tcW w:w="632" w:type="pct"/>
            <w:vMerge w:val="continue"/>
            <w:tcBorders>
              <w:left w:val="double" w:color="auto" w:sz="4" w:space="0"/>
            </w:tcBorders>
            <w:vAlign w:val="center"/>
          </w:tcPr>
          <w:p w14:paraId="46208465">
            <w:pPr>
              <w:spacing w:line="400" w:lineRule="exact"/>
              <w:jc w:val="center"/>
              <w:rPr>
                <w:rFonts w:hint="eastAsia" w:ascii="黑体" w:hAnsi="黑体" w:eastAsia="黑体" w:cs="黑体"/>
                <w:color w:val="auto"/>
                <w:sz w:val="18"/>
                <w:szCs w:val="18"/>
              </w:rPr>
            </w:pPr>
          </w:p>
        </w:tc>
        <w:tc>
          <w:tcPr>
            <w:tcW w:w="740" w:type="pct"/>
            <w:vAlign w:val="center"/>
          </w:tcPr>
          <w:p w14:paraId="3D78B663">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0.013</w:t>
            </w:r>
          </w:p>
        </w:tc>
        <w:tc>
          <w:tcPr>
            <w:tcW w:w="1013" w:type="pct"/>
            <w:vAlign w:val="center"/>
          </w:tcPr>
          <w:p w14:paraId="47BCEA2D">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0.002</w:t>
            </w:r>
          </w:p>
        </w:tc>
      </w:tr>
      <w:tr w14:paraId="0654C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741" w:type="pct"/>
            <w:vMerge w:val="continue"/>
            <w:tcBorders>
              <w:left w:val="single" w:color="auto" w:sz="12" w:space="0"/>
              <w:right w:val="single" w:color="auto" w:sz="4" w:space="0"/>
            </w:tcBorders>
            <w:vAlign w:val="center"/>
          </w:tcPr>
          <w:p w14:paraId="1B461E31">
            <w:pPr>
              <w:spacing w:line="400" w:lineRule="exact"/>
              <w:jc w:val="center"/>
              <w:rPr>
                <w:rFonts w:hint="eastAsia" w:ascii="黑体" w:hAnsi="黑体" w:eastAsia="黑体" w:cs="黑体"/>
                <w:color w:val="auto"/>
                <w:sz w:val="18"/>
                <w:szCs w:val="18"/>
              </w:rPr>
            </w:pPr>
          </w:p>
        </w:tc>
        <w:tc>
          <w:tcPr>
            <w:tcW w:w="751" w:type="pct"/>
            <w:tcBorders>
              <w:left w:val="single" w:color="auto" w:sz="4" w:space="0"/>
            </w:tcBorders>
            <w:vAlign w:val="center"/>
          </w:tcPr>
          <w:p w14:paraId="0DB86FB7">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0.10</w:t>
            </w:r>
          </w:p>
        </w:tc>
        <w:tc>
          <w:tcPr>
            <w:tcW w:w="1119" w:type="pct"/>
            <w:tcBorders>
              <w:right w:val="double" w:color="auto" w:sz="4" w:space="0"/>
            </w:tcBorders>
            <w:vAlign w:val="center"/>
          </w:tcPr>
          <w:p w14:paraId="43EF5C57">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0.005</w:t>
            </w:r>
          </w:p>
        </w:tc>
        <w:tc>
          <w:tcPr>
            <w:tcW w:w="632" w:type="pct"/>
            <w:vMerge w:val="continue"/>
            <w:tcBorders>
              <w:left w:val="double" w:color="auto" w:sz="4" w:space="0"/>
            </w:tcBorders>
            <w:vAlign w:val="center"/>
          </w:tcPr>
          <w:p w14:paraId="2AEF8BC8">
            <w:pPr>
              <w:spacing w:line="400" w:lineRule="exact"/>
              <w:jc w:val="center"/>
              <w:rPr>
                <w:rFonts w:hint="eastAsia" w:ascii="黑体" w:hAnsi="黑体" w:eastAsia="黑体" w:cs="黑体"/>
                <w:color w:val="auto"/>
                <w:sz w:val="18"/>
                <w:szCs w:val="18"/>
              </w:rPr>
            </w:pPr>
          </w:p>
        </w:tc>
        <w:tc>
          <w:tcPr>
            <w:tcW w:w="740" w:type="pct"/>
            <w:vAlign w:val="center"/>
          </w:tcPr>
          <w:p w14:paraId="3D0F78AC">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0.049</w:t>
            </w:r>
          </w:p>
        </w:tc>
        <w:tc>
          <w:tcPr>
            <w:tcW w:w="1013" w:type="pct"/>
            <w:vAlign w:val="center"/>
          </w:tcPr>
          <w:p w14:paraId="5F74954A">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0.004</w:t>
            </w:r>
          </w:p>
        </w:tc>
      </w:tr>
      <w:tr w14:paraId="1BE39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741" w:type="pct"/>
            <w:vMerge w:val="continue"/>
            <w:tcBorders>
              <w:left w:val="single" w:color="auto" w:sz="12" w:space="0"/>
              <w:right w:val="single" w:color="auto" w:sz="4" w:space="0"/>
            </w:tcBorders>
            <w:vAlign w:val="center"/>
          </w:tcPr>
          <w:p w14:paraId="26ECC3CB">
            <w:pPr>
              <w:spacing w:line="400" w:lineRule="exact"/>
              <w:jc w:val="center"/>
              <w:rPr>
                <w:rFonts w:hint="eastAsia" w:ascii="黑体" w:hAnsi="黑体" w:eastAsia="黑体" w:cs="黑体"/>
                <w:color w:val="auto"/>
                <w:sz w:val="18"/>
                <w:szCs w:val="18"/>
              </w:rPr>
            </w:pPr>
          </w:p>
        </w:tc>
        <w:tc>
          <w:tcPr>
            <w:tcW w:w="751" w:type="pct"/>
            <w:tcBorders>
              <w:left w:val="single" w:color="auto" w:sz="4" w:space="0"/>
            </w:tcBorders>
            <w:vAlign w:val="center"/>
          </w:tcPr>
          <w:p w14:paraId="6EAA0687">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0.38</w:t>
            </w:r>
          </w:p>
        </w:tc>
        <w:tc>
          <w:tcPr>
            <w:tcW w:w="1119" w:type="pct"/>
            <w:tcBorders>
              <w:right w:val="double" w:color="auto" w:sz="4" w:space="0"/>
            </w:tcBorders>
            <w:vAlign w:val="center"/>
          </w:tcPr>
          <w:p w14:paraId="5075B567">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0.03</w:t>
            </w:r>
          </w:p>
        </w:tc>
        <w:tc>
          <w:tcPr>
            <w:tcW w:w="632" w:type="pct"/>
            <w:vMerge w:val="continue"/>
            <w:tcBorders>
              <w:left w:val="double" w:color="auto" w:sz="4" w:space="0"/>
            </w:tcBorders>
            <w:vAlign w:val="center"/>
          </w:tcPr>
          <w:p w14:paraId="622C54CF">
            <w:pPr>
              <w:spacing w:line="400" w:lineRule="exact"/>
              <w:jc w:val="center"/>
              <w:rPr>
                <w:rFonts w:hint="eastAsia" w:ascii="黑体" w:hAnsi="黑体" w:eastAsia="黑体" w:cs="黑体"/>
                <w:color w:val="auto"/>
                <w:sz w:val="18"/>
                <w:szCs w:val="18"/>
              </w:rPr>
            </w:pPr>
          </w:p>
        </w:tc>
        <w:tc>
          <w:tcPr>
            <w:tcW w:w="740" w:type="pct"/>
            <w:vAlign w:val="center"/>
          </w:tcPr>
          <w:p w14:paraId="1CD30473">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0.10</w:t>
            </w:r>
          </w:p>
        </w:tc>
        <w:tc>
          <w:tcPr>
            <w:tcW w:w="1013" w:type="pct"/>
            <w:vAlign w:val="center"/>
          </w:tcPr>
          <w:p w14:paraId="010B400D">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0.007</w:t>
            </w:r>
          </w:p>
        </w:tc>
      </w:tr>
      <w:tr w14:paraId="72081E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741" w:type="pct"/>
            <w:vMerge w:val="continue"/>
            <w:tcBorders>
              <w:left w:val="single" w:color="auto" w:sz="12" w:space="0"/>
              <w:right w:val="single" w:color="auto" w:sz="4" w:space="0"/>
            </w:tcBorders>
            <w:vAlign w:val="center"/>
          </w:tcPr>
          <w:p w14:paraId="0E27DD82">
            <w:pPr>
              <w:spacing w:line="400" w:lineRule="exact"/>
              <w:jc w:val="center"/>
              <w:rPr>
                <w:rFonts w:hint="eastAsia" w:ascii="黑体" w:hAnsi="黑体" w:eastAsia="黑体" w:cs="黑体"/>
                <w:color w:val="auto"/>
                <w:sz w:val="18"/>
                <w:szCs w:val="18"/>
              </w:rPr>
            </w:pPr>
          </w:p>
        </w:tc>
        <w:tc>
          <w:tcPr>
            <w:tcW w:w="751" w:type="pct"/>
            <w:tcBorders>
              <w:left w:val="single" w:color="auto" w:sz="4" w:space="0"/>
            </w:tcBorders>
            <w:vAlign w:val="center"/>
          </w:tcPr>
          <w:p w14:paraId="5F353C25">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0.50</w:t>
            </w:r>
          </w:p>
        </w:tc>
        <w:tc>
          <w:tcPr>
            <w:tcW w:w="1119" w:type="pct"/>
            <w:tcBorders>
              <w:right w:val="double" w:color="auto" w:sz="4" w:space="0"/>
            </w:tcBorders>
            <w:vAlign w:val="center"/>
          </w:tcPr>
          <w:p w14:paraId="2F795DD0">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0.03</w:t>
            </w:r>
          </w:p>
        </w:tc>
        <w:tc>
          <w:tcPr>
            <w:tcW w:w="632" w:type="pct"/>
            <w:vMerge w:val="continue"/>
            <w:tcBorders>
              <w:left w:val="double" w:color="auto" w:sz="4" w:space="0"/>
            </w:tcBorders>
            <w:vAlign w:val="center"/>
          </w:tcPr>
          <w:p w14:paraId="5A37C51D">
            <w:pPr>
              <w:spacing w:line="400" w:lineRule="exact"/>
              <w:jc w:val="center"/>
              <w:rPr>
                <w:rFonts w:hint="eastAsia" w:ascii="黑体" w:hAnsi="黑体" w:eastAsia="黑体" w:cs="黑体"/>
                <w:color w:val="auto"/>
                <w:sz w:val="18"/>
                <w:szCs w:val="18"/>
              </w:rPr>
            </w:pPr>
          </w:p>
        </w:tc>
        <w:tc>
          <w:tcPr>
            <w:tcW w:w="740" w:type="pct"/>
            <w:vAlign w:val="center"/>
          </w:tcPr>
          <w:p w14:paraId="657964DB">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0.40</w:t>
            </w:r>
          </w:p>
        </w:tc>
        <w:tc>
          <w:tcPr>
            <w:tcW w:w="1013" w:type="pct"/>
            <w:vAlign w:val="center"/>
          </w:tcPr>
          <w:p w14:paraId="1CD6A077">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0.03</w:t>
            </w:r>
          </w:p>
        </w:tc>
      </w:tr>
      <w:tr w14:paraId="131D6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741" w:type="pct"/>
            <w:vMerge w:val="continue"/>
            <w:tcBorders>
              <w:left w:val="single" w:color="auto" w:sz="12" w:space="0"/>
              <w:bottom w:val="single" w:color="auto" w:sz="4" w:space="0"/>
              <w:right w:val="single" w:color="auto" w:sz="4" w:space="0"/>
            </w:tcBorders>
            <w:vAlign w:val="center"/>
          </w:tcPr>
          <w:p w14:paraId="0A38B3FC">
            <w:pPr>
              <w:spacing w:line="400" w:lineRule="exact"/>
              <w:jc w:val="center"/>
              <w:rPr>
                <w:rFonts w:hint="eastAsia" w:ascii="黑体" w:hAnsi="黑体" w:eastAsia="黑体" w:cs="黑体"/>
                <w:color w:val="auto"/>
                <w:sz w:val="18"/>
                <w:szCs w:val="18"/>
                <w:lang w:val="en-US" w:eastAsia="zh-CN"/>
              </w:rPr>
            </w:pPr>
          </w:p>
        </w:tc>
        <w:tc>
          <w:tcPr>
            <w:tcW w:w="751" w:type="pct"/>
            <w:tcBorders>
              <w:left w:val="single" w:color="auto" w:sz="4" w:space="0"/>
            </w:tcBorders>
            <w:vAlign w:val="center"/>
          </w:tcPr>
          <w:p w14:paraId="7266DA5B">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w:t>
            </w:r>
          </w:p>
        </w:tc>
        <w:tc>
          <w:tcPr>
            <w:tcW w:w="1119" w:type="pct"/>
            <w:tcBorders>
              <w:right w:val="double" w:color="auto" w:sz="4" w:space="0"/>
            </w:tcBorders>
            <w:vAlign w:val="center"/>
          </w:tcPr>
          <w:p w14:paraId="376922C1">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w:t>
            </w:r>
          </w:p>
        </w:tc>
        <w:tc>
          <w:tcPr>
            <w:tcW w:w="632" w:type="pct"/>
            <w:vMerge w:val="continue"/>
            <w:tcBorders>
              <w:left w:val="double" w:color="auto" w:sz="4" w:space="0"/>
            </w:tcBorders>
            <w:vAlign w:val="center"/>
          </w:tcPr>
          <w:p w14:paraId="0B8C7F41">
            <w:pPr>
              <w:spacing w:line="400" w:lineRule="exact"/>
              <w:jc w:val="center"/>
              <w:rPr>
                <w:rFonts w:hint="eastAsia" w:ascii="黑体" w:hAnsi="黑体" w:eastAsia="黑体" w:cs="黑体"/>
                <w:color w:val="auto"/>
                <w:sz w:val="18"/>
                <w:szCs w:val="18"/>
                <w:lang w:val="en-US"/>
              </w:rPr>
            </w:pPr>
          </w:p>
        </w:tc>
        <w:tc>
          <w:tcPr>
            <w:tcW w:w="740" w:type="pct"/>
            <w:vAlign w:val="center"/>
          </w:tcPr>
          <w:p w14:paraId="7DEEE386">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0.50</w:t>
            </w:r>
          </w:p>
        </w:tc>
        <w:tc>
          <w:tcPr>
            <w:tcW w:w="1013" w:type="pct"/>
            <w:vAlign w:val="center"/>
          </w:tcPr>
          <w:p w14:paraId="065B817D">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0.03</w:t>
            </w:r>
          </w:p>
        </w:tc>
      </w:tr>
      <w:tr w14:paraId="05963D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5000" w:type="pct"/>
            <w:gridSpan w:val="6"/>
            <w:tcBorders>
              <w:left w:val="single" w:color="auto" w:sz="12" w:space="0"/>
            </w:tcBorders>
            <w:vAlign w:val="center"/>
          </w:tcPr>
          <w:p w14:paraId="7519FD83">
            <w:pPr>
              <w:spacing w:line="400" w:lineRule="exact"/>
              <w:jc w:val="left"/>
              <w:rPr>
                <w:rFonts w:hint="eastAsia" w:ascii="黑体" w:hAnsi="黑体" w:eastAsia="黑体" w:cs="黑体"/>
                <w:color w:val="auto"/>
                <w:sz w:val="18"/>
                <w:szCs w:val="18"/>
              </w:rPr>
            </w:pPr>
            <w:r>
              <w:rPr>
                <w:rFonts w:hint="eastAsia" w:ascii="黑体" w:hAnsi="黑体" w:eastAsia="黑体" w:cs="黑体"/>
                <w:color w:val="auto"/>
                <w:sz w:val="18"/>
                <w:szCs w:val="18"/>
              </w:rPr>
              <w:t>Note: The reproducibility limit (</w:t>
            </w:r>
            <w:r>
              <w:rPr>
                <w:rFonts w:hint="eastAsia" w:ascii="黑体" w:hAnsi="黑体" w:eastAsia="黑体" w:cs="黑体"/>
                <w:i/>
                <w:iCs/>
                <w:color w:val="auto"/>
                <w:sz w:val="18"/>
                <w:szCs w:val="18"/>
              </w:rPr>
              <w:t>R</w:t>
            </w:r>
            <w:r>
              <w:rPr>
                <w:rFonts w:hint="eastAsia" w:ascii="黑体" w:hAnsi="黑体" w:eastAsia="黑体" w:cs="黑体"/>
                <w:color w:val="auto"/>
                <w:sz w:val="18"/>
                <w:szCs w:val="18"/>
              </w:rPr>
              <w:t>) is 2.8×</w:t>
            </w:r>
            <w:r>
              <w:rPr>
                <w:rFonts w:hint="eastAsia" w:ascii="黑体" w:hAnsi="黑体" w:eastAsia="黑体" w:cs="黑体"/>
                <w:i/>
                <w:iCs/>
                <w:color w:val="auto"/>
                <w:sz w:val="18"/>
                <w:szCs w:val="18"/>
              </w:rPr>
              <w:t>S</w:t>
            </w:r>
            <w:r>
              <w:rPr>
                <w:rFonts w:hint="eastAsia" w:ascii="黑体" w:hAnsi="黑体" w:eastAsia="黑体" w:cs="黑体"/>
                <w:i/>
                <w:iCs/>
                <w:color w:val="auto"/>
                <w:sz w:val="18"/>
                <w:szCs w:val="18"/>
                <w:vertAlign w:val="subscript"/>
              </w:rPr>
              <w:t>R</w:t>
            </w:r>
            <w:r>
              <w:rPr>
                <w:rFonts w:hint="eastAsia" w:ascii="黑体" w:hAnsi="黑体" w:eastAsia="黑体" w:cs="黑体"/>
                <w:i/>
                <w:iCs/>
                <w:color w:val="auto"/>
                <w:sz w:val="18"/>
                <w:szCs w:val="18"/>
              </w:rPr>
              <w:t>,</w:t>
            </w:r>
            <w:r>
              <w:rPr>
                <w:rFonts w:hint="eastAsia" w:ascii="黑体" w:hAnsi="黑体" w:eastAsia="黑体" w:cs="黑体"/>
                <w:i/>
                <w:iCs/>
                <w:color w:val="auto"/>
                <w:sz w:val="18"/>
                <w:szCs w:val="18"/>
                <w:lang w:val="en-US" w:eastAsia="zh-CN"/>
              </w:rPr>
              <w:t xml:space="preserve"> </w:t>
            </w:r>
            <w:r>
              <w:rPr>
                <w:rFonts w:hint="eastAsia" w:ascii="黑体" w:hAnsi="黑体" w:eastAsia="黑体" w:cs="黑体"/>
                <w:color w:val="auto"/>
                <w:sz w:val="18"/>
                <w:szCs w:val="18"/>
                <w:lang w:val="en-US" w:eastAsia="zh-CN"/>
              </w:rPr>
              <w:t>w</w:t>
            </w:r>
            <w:r>
              <w:rPr>
                <w:rFonts w:hint="eastAsia" w:ascii="黑体" w:hAnsi="黑体" w:eastAsia="黑体" w:cs="黑体"/>
                <w:color w:val="auto"/>
                <w:sz w:val="18"/>
                <w:szCs w:val="18"/>
              </w:rPr>
              <w:t>here S</w:t>
            </w:r>
            <w:r>
              <w:rPr>
                <w:rFonts w:hint="eastAsia" w:ascii="黑体" w:hAnsi="黑体" w:eastAsia="黑体" w:cs="黑体"/>
                <w:i/>
                <w:iCs/>
                <w:color w:val="auto"/>
                <w:sz w:val="18"/>
                <w:szCs w:val="18"/>
                <w:vertAlign w:val="subscript"/>
              </w:rPr>
              <w:t>R</w:t>
            </w:r>
            <w:r>
              <w:rPr>
                <w:rFonts w:hint="eastAsia" w:ascii="黑体" w:hAnsi="黑体" w:eastAsia="黑体" w:cs="黑体"/>
                <w:color w:val="auto"/>
                <w:sz w:val="18"/>
                <w:szCs w:val="18"/>
              </w:rPr>
              <w:t xml:space="preserve"> is the standard deviation of reproducibility.</w:t>
            </w:r>
          </w:p>
        </w:tc>
      </w:tr>
    </w:tbl>
    <w:p w14:paraId="1B60E8EC">
      <w:pPr>
        <w:adjustRightInd w:val="0"/>
        <w:snapToGrid w:val="0"/>
        <w:spacing w:line="360" w:lineRule="exact"/>
        <w:rPr>
          <w:color w:val="auto"/>
          <w:spacing w:val="6"/>
        </w:rPr>
      </w:pPr>
    </w:p>
    <w:p w14:paraId="1E03C04C">
      <w:pPr>
        <w:rPr>
          <w:rFonts w:hint="eastAsia" w:ascii="黑体" w:hAnsi="黑体" w:eastAsia="黑体" w:cs="黑体"/>
          <w:color w:val="auto"/>
          <w:szCs w:val="21"/>
        </w:rPr>
      </w:pPr>
      <w:r>
        <w:rPr>
          <w:rFonts w:hint="eastAsia" w:ascii="黑体" w:hAnsi="黑体" w:eastAsia="黑体" w:cs="黑体"/>
          <w:bCs/>
          <w:color w:val="auto"/>
          <w:lang w:val="en-US" w:eastAsia="zh-CN"/>
        </w:rPr>
        <w:t>5</w:t>
      </w:r>
      <w:r>
        <w:rPr>
          <w:rFonts w:hint="eastAsia" w:ascii="黑体" w:hAnsi="黑体" w:eastAsia="黑体" w:cs="黑体"/>
          <w:bCs/>
          <w:color w:val="auto"/>
        </w:rPr>
        <w:t xml:space="preserve"> Inductively Coupled Plasma </w:t>
      </w:r>
      <w:r>
        <w:rPr>
          <w:rFonts w:hint="eastAsia" w:ascii="黑体" w:hAnsi="黑体" w:eastAsia="黑体" w:cs="黑体"/>
          <w:bCs/>
          <w:color w:val="auto"/>
          <w:lang w:val="en-US" w:eastAsia="zh-CN"/>
        </w:rPr>
        <w:t>M</w:t>
      </w:r>
      <w:r>
        <w:rPr>
          <w:rFonts w:hint="eastAsia" w:ascii="黑体" w:hAnsi="黑体" w:eastAsia="黑体" w:cs="黑体"/>
          <w:bCs/>
          <w:color w:val="auto"/>
        </w:rPr>
        <w:t xml:space="preserve">ass Spectrometry </w:t>
      </w:r>
      <w:r>
        <w:rPr>
          <w:rFonts w:hint="eastAsia" w:ascii="黑体" w:hAnsi="黑体" w:eastAsia="黑体" w:cs="黑体"/>
          <w:bCs/>
          <w:color w:val="auto"/>
          <w:lang w:eastAsia="zh-CN"/>
        </w:rPr>
        <w:t>(</w:t>
      </w:r>
      <w:r>
        <w:rPr>
          <w:rFonts w:hint="eastAsia" w:ascii="黑体" w:hAnsi="黑体" w:eastAsia="黑体" w:cs="黑体"/>
          <w:bCs/>
          <w:color w:val="auto"/>
          <w:lang w:val="en-US" w:eastAsia="zh-CN"/>
        </w:rPr>
        <w:t>M</w:t>
      </w:r>
      <w:r>
        <w:rPr>
          <w:rFonts w:hint="eastAsia" w:ascii="黑体" w:hAnsi="黑体" w:eastAsia="黑体" w:cs="黑体"/>
          <w:bCs/>
          <w:color w:val="auto"/>
          <w:lang w:eastAsia="zh-CN"/>
        </w:rPr>
        <w:t>ethod</w:t>
      </w:r>
      <w:r>
        <w:rPr>
          <w:rFonts w:hint="eastAsia" w:ascii="黑体" w:hAnsi="黑体" w:eastAsia="黑体" w:cs="黑体"/>
          <w:bCs/>
          <w:color w:val="auto"/>
        </w:rPr>
        <w:t xml:space="preserve"> </w:t>
      </w:r>
      <w:r>
        <w:rPr>
          <w:rFonts w:hint="eastAsia" w:ascii="黑体" w:hAnsi="黑体" w:eastAsia="黑体" w:cs="黑体"/>
          <w:bCs/>
          <w:color w:val="auto"/>
          <w:lang w:val="en-US" w:eastAsia="zh-CN"/>
        </w:rPr>
        <w:t>2</w:t>
      </w:r>
      <w:r>
        <w:rPr>
          <w:rFonts w:hint="eastAsia" w:ascii="黑体" w:hAnsi="黑体" w:eastAsia="黑体" w:cs="黑体"/>
          <w:bCs/>
          <w:color w:val="auto"/>
        </w:rPr>
        <w:t>)</w:t>
      </w:r>
    </w:p>
    <w:p w14:paraId="484F4E51">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lang w:val="en-US" w:eastAsia="zh-CN"/>
        </w:rPr>
        <w:t>5</w:t>
      </w:r>
      <w:r>
        <w:rPr>
          <w:rFonts w:hint="eastAsia" w:hAnsi="黑体" w:cs="黑体"/>
          <w:color w:val="auto"/>
        </w:rPr>
        <w:t>.1 Principle</w:t>
      </w:r>
    </w:p>
    <w:p w14:paraId="599BE954">
      <w:pPr>
        <w:spacing w:line="360" w:lineRule="exact"/>
        <w:rPr>
          <w:rFonts w:hint="eastAsia" w:ascii="黑体" w:hAnsi="黑体" w:eastAsia="黑体" w:cs="黑体"/>
          <w:bCs/>
          <w:color w:val="auto"/>
        </w:rPr>
      </w:pPr>
      <w:r>
        <w:rPr>
          <w:rFonts w:hint="eastAsia" w:ascii="黑体" w:hAnsi="黑体" w:eastAsia="黑体" w:cs="黑体"/>
          <w:bCs/>
          <w:color w:val="auto"/>
        </w:rPr>
        <w:t>The test portion is dissolved with nitric acid and hydrofluoric acid, and the rare earth matrix is separated by fluoride precipitation. The molybdenum and tungsten contents are determined at the selected mass numbers in a nitric acid-boric acid medium using an inductively coupled plasma mass spectrometer.</w:t>
      </w:r>
    </w:p>
    <w:p w14:paraId="5EA38BCE">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lang w:val="en-US" w:eastAsia="zh-CN"/>
        </w:rPr>
        <w:t>5</w:t>
      </w:r>
      <w:r>
        <w:rPr>
          <w:rFonts w:hint="eastAsia" w:hAnsi="黑体" w:cs="黑体"/>
          <w:color w:val="auto"/>
        </w:rPr>
        <w:t>.2 Reagents and Materials</w:t>
      </w:r>
    </w:p>
    <w:p w14:paraId="10790AB2">
      <w:pPr>
        <w:spacing w:line="360" w:lineRule="exact"/>
        <w:rPr>
          <w:rFonts w:hint="eastAsia" w:ascii="黑体" w:hAnsi="黑体" w:eastAsia="黑体" w:cs="黑体"/>
          <w:bCs/>
          <w:color w:val="auto"/>
        </w:rPr>
      </w:pPr>
      <w:r>
        <w:rPr>
          <w:rFonts w:hint="eastAsia" w:ascii="黑体" w:hAnsi="黑体" w:eastAsia="黑体" w:cs="黑体"/>
          <w:bCs/>
          <w:color w:val="auto"/>
        </w:rPr>
        <w:t xml:space="preserve">Unless otherwise stated, only reagents confirmed to be of analytical grade or above and secondary water complying with GB/T 6682 are used in the analysis. </w:t>
      </w:r>
      <w:r>
        <w:rPr>
          <w:rFonts w:hint="eastAsia" w:ascii="黑体" w:hAnsi="黑体" w:eastAsia="黑体" w:cs="黑体"/>
          <w:color w:val="auto"/>
        </w:rPr>
        <w:t>All of the liquid reagents shall be stored in plastic bottles, certified</w:t>
      </w:r>
      <w:r>
        <w:rPr>
          <w:rFonts w:hint="eastAsia" w:ascii="黑体" w:hAnsi="黑体" w:eastAsia="黑体" w:cs="黑体"/>
          <w:bCs/>
          <w:color w:val="auto"/>
        </w:rPr>
        <w:t xml:space="preserve"> standard solutions are preferred.</w:t>
      </w:r>
    </w:p>
    <w:p w14:paraId="54088500">
      <w:pPr>
        <w:spacing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.2.1 Sodium hydroxide.</w:t>
      </w:r>
    </w:p>
    <w:p w14:paraId="6C1A9657">
      <w:pPr>
        <w:spacing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.2.2 Nitric acid (</w:t>
      </w:r>
      <w:r>
        <w:rPr>
          <w:rFonts w:hint="eastAsia" w:ascii="黑体" w:hAnsi="黑体" w:eastAsia="黑体" w:cs="黑体"/>
          <w:i/>
          <w:iCs/>
          <w:color w:val="auto"/>
        </w:rPr>
        <w:t>ρ</w:t>
      </w:r>
      <w:r>
        <w:rPr>
          <w:rFonts w:hint="eastAsia" w:ascii="黑体" w:hAnsi="黑体" w:eastAsia="黑体" w:cs="黑体"/>
          <w:color w:val="auto"/>
        </w:rPr>
        <w:t>= 1.42 g/mL).</w:t>
      </w:r>
    </w:p>
    <w:p w14:paraId="503C02E4">
      <w:pPr>
        <w:spacing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.2.3 Hydrofluoric acid (</w:t>
      </w:r>
      <w:r>
        <w:rPr>
          <w:rFonts w:hint="eastAsia" w:ascii="黑体" w:hAnsi="黑体" w:eastAsia="黑体" w:cs="黑体"/>
          <w:i/>
          <w:iCs/>
          <w:color w:val="auto"/>
        </w:rPr>
        <w:t>ρ</w:t>
      </w:r>
      <w:r>
        <w:rPr>
          <w:rFonts w:hint="eastAsia" w:ascii="黑体" w:hAnsi="黑体" w:eastAsia="黑体" w:cs="黑体"/>
          <w:color w:val="auto"/>
        </w:rPr>
        <w:t>= 1.14 g/mL).</w:t>
      </w:r>
    </w:p>
    <w:p w14:paraId="709F6E9C">
      <w:pPr>
        <w:spacing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.2.4 Nitric acid (1+1).</w:t>
      </w:r>
    </w:p>
    <w:p w14:paraId="5CF66E5C">
      <w:pPr>
        <w:spacing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.2.5 Ammonia solution (1+3).</w:t>
      </w:r>
    </w:p>
    <w:p w14:paraId="2EACE1DF">
      <w:pPr>
        <w:spacing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.2.6 Boric acid solution (50 g/L): Weigh 5 g of boric acid and dissolve in 100 mL of water.</w:t>
      </w:r>
    </w:p>
    <w:p w14:paraId="5F461BB8">
      <w:pPr>
        <w:spacing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.2.7 Molybdenum standard stock solution: Weigh 0.1500 g of molybdenum oxide [</w:t>
      </w:r>
      <w:r>
        <w:rPr>
          <w:rFonts w:hint="eastAsia" w:ascii="黑体" w:hAnsi="黑体" w:eastAsia="黑体" w:cs="黑体"/>
          <w:color w:val="auto"/>
        </w:rPr>
        <w:drawing>
          <wp:inline distT="0" distB="0" distL="114300" distR="114300">
            <wp:extent cx="142875" cy="133350"/>
            <wp:effectExtent l="0" t="0" r="9525" b="3175"/>
            <wp:docPr id="1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pic:cNvPicPr>
                      <a:picLocks noChangeAspect="1"/>
                    </pic:cNvPicPr>
                  </pic:nvPicPr>
                  <pic:blipFill>
                    <a:blip r:embed="rId16"/>
                    <a:stretch>
                      <a:fillRect/>
                    </a:stretch>
                  </pic:blipFill>
                  <pic:spPr>
                    <a:xfrm>
                      <a:off x="0" y="0"/>
                      <a:ext cx="142875" cy="133350"/>
                    </a:xfrm>
                    <a:prstGeom prst="rect">
                      <a:avLst/>
                    </a:prstGeom>
                    <a:noFill/>
                    <a:ln>
                      <a:noFill/>
                    </a:ln>
                  </pic:spPr>
                </pic:pic>
              </a:graphicData>
            </a:graphic>
          </wp:inline>
        </w:drawing>
      </w:r>
      <w:r>
        <w:rPr>
          <w:rFonts w:hint="eastAsia" w:ascii="黑体" w:hAnsi="黑体" w:eastAsia="黑体" w:cs="黑体"/>
          <w:color w:val="auto"/>
        </w:rPr>
        <w:t>(MoO</w:t>
      </w:r>
      <w:r>
        <w:rPr>
          <w:rFonts w:hint="eastAsia" w:ascii="黑体" w:hAnsi="黑体" w:eastAsia="黑体" w:cs="黑体"/>
          <w:color w:val="auto"/>
          <w:vertAlign w:val="subscript"/>
          <w:lang w:val="en-US" w:eastAsia="zh-CN"/>
        </w:rPr>
        <w:t>3</w:t>
      </w:r>
      <w:r>
        <w:rPr>
          <w:rFonts w:hint="eastAsia" w:ascii="黑体" w:hAnsi="黑体" w:eastAsia="黑体" w:cs="黑体"/>
          <w:color w:val="auto"/>
        </w:rPr>
        <w:t xml:space="preserve">) ≥ 99.99%] which has been dried at 110 </w:t>
      </w:r>
      <w:r>
        <w:rPr>
          <w:rFonts w:hint="eastAsia" w:ascii="黑体" w:hAnsi="黑体" w:eastAsia="黑体" w:cs="黑体"/>
          <w:color w:val="auto"/>
          <w:szCs w:val="21"/>
          <w:lang w:val="en-US" w:eastAsia="zh-CN"/>
        </w:rPr>
        <w:t>℃</w:t>
      </w:r>
      <w:r>
        <w:rPr>
          <w:rFonts w:hint="eastAsia" w:ascii="黑体" w:hAnsi="黑体" w:eastAsia="黑体" w:cs="黑体"/>
          <w:color w:val="auto"/>
        </w:rPr>
        <w:t xml:space="preserve"> for 1 h and cooled to room temperature in a desiccator. Place in a 50 mL plastic beaker, add 20 mL of ammonia solution (</w:t>
      </w:r>
      <w:r>
        <w:rPr>
          <w:rFonts w:hint="eastAsia" w:ascii="黑体" w:hAnsi="黑体" w:eastAsia="黑体" w:cs="黑体"/>
          <w:color w:val="auto"/>
          <w:lang w:val="en-US" w:eastAsia="zh-CN"/>
        </w:rPr>
        <w:t>5</w:t>
      </w:r>
      <w:r>
        <w:rPr>
          <w:rFonts w:hint="eastAsia" w:ascii="黑体" w:hAnsi="黑体" w:eastAsia="黑体" w:cs="黑体"/>
          <w:color w:val="auto"/>
        </w:rPr>
        <w:t xml:space="preserve">.2.5) to dissolve completely. </w:t>
      </w:r>
    </w:p>
    <w:p w14:paraId="4B55E2ED">
      <w:pPr>
        <w:spacing w:line="360" w:lineRule="exact"/>
        <w:rPr>
          <w:rFonts w:hint="eastAsia" w:ascii="黑体" w:hAnsi="黑体" w:eastAsia="黑体" w:cs="黑体"/>
          <w:color w:val="auto"/>
        </w:rPr>
      </w:pPr>
      <w:r>
        <w:rPr>
          <w:rFonts w:hint="eastAsia" w:ascii="黑体" w:hAnsi="黑体" w:eastAsia="黑体" w:cs="黑体"/>
          <w:color w:val="auto"/>
        </w:rPr>
        <w:t>If the molybdenum oxide is not completely dissolved, add</w:t>
      </w:r>
      <w:r>
        <w:rPr>
          <w:rFonts w:hint="eastAsia" w:ascii="黑体" w:hAnsi="黑体" w:eastAsia="黑体" w:cs="黑体"/>
          <w:color w:val="auto"/>
          <w:lang w:val="en-US" w:eastAsia="zh-CN"/>
        </w:rPr>
        <w:t xml:space="preserve"> </w:t>
      </w:r>
      <w:r>
        <w:rPr>
          <w:rFonts w:hint="eastAsia" w:ascii="黑体" w:hAnsi="黑体" w:eastAsia="黑体" w:cs="黑体"/>
          <w:color w:val="auto"/>
        </w:rPr>
        <w:t>additional 5 mL of ammonia solution (4.2.5) and heat the mixture</w:t>
      </w:r>
      <w:r>
        <w:rPr>
          <w:rFonts w:hint="eastAsia" w:ascii="黑体" w:hAnsi="黑体" w:eastAsia="黑体" w:cs="黑体"/>
          <w:color w:val="auto"/>
          <w:lang w:val="en-US" w:eastAsia="zh-CN"/>
        </w:rPr>
        <w:t xml:space="preserve"> </w:t>
      </w:r>
      <w:r>
        <w:rPr>
          <w:rFonts w:hint="eastAsia" w:ascii="黑体" w:hAnsi="黑体" w:eastAsia="黑体" w:cs="黑体"/>
          <w:color w:val="auto"/>
        </w:rPr>
        <w:t xml:space="preserve">in 50 </w:t>
      </w:r>
      <w:r>
        <w:rPr>
          <w:rFonts w:hint="eastAsia" w:ascii="黑体" w:hAnsi="黑体" w:eastAsia="黑体" w:cs="黑体"/>
          <w:color w:val="auto"/>
          <w:szCs w:val="21"/>
          <w:lang w:val="en-US" w:eastAsia="zh-CN"/>
        </w:rPr>
        <w:t>℃</w:t>
      </w:r>
      <w:r>
        <w:rPr>
          <w:rFonts w:hint="eastAsia" w:ascii="黑体" w:hAnsi="黑体" w:eastAsia="黑体" w:cs="黑体"/>
          <w:color w:val="auto"/>
        </w:rPr>
        <w:t xml:space="preserve"> water bath for 5 min</w:t>
      </w:r>
      <w:r>
        <w:rPr>
          <w:rFonts w:hint="eastAsia" w:ascii="黑体" w:hAnsi="黑体" w:eastAsia="黑体" w:cs="黑体"/>
          <w:color w:val="auto"/>
          <w:lang w:val="en-US" w:eastAsia="zh-CN"/>
        </w:rPr>
        <w:t>s</w:t>
      </w:r>
      <w:r>
        <w:rPr>
          <w:rFonts w:hint="eastAsia" w:ascii="黑体" w:hAnsi="黑体" w:eastAsia="黑体" w:cs="黑体"/>
          <w:color w:val="auto"/>
        </w:rPr>
        <w:t xml:space="preserve">, then cool before </w:t>
      </w:r>
      <w:r>
        <w:rPr>
          <w:rFonts w:hint="eastAsia" w:ascii="黑体" w:hAnsi="黑体" w:eastAsia="黑体" w:cs="黑体"/>
          <w:color w:val="auto"/>
          <w:lang w:val="en-US" w:eastAsia="zh-CN"/>
        </w:rPr>
        <w:t>c</w:t>
      </w:r>
      <w:r>
        <w:rPr>
          <w:rFonts w:hint="eastAsia" w:ascii="黑体" w:hAnsi="黑体" w:eastAsia="黑体" w:cs="黑体"/>
          <w:color w:val="auto"/>
        </w:rPr>
        <w:t>onstant volume. Transfer to a 10</w:t>
      </w:r>
      <w:r>
        <w:rPr>
          <w:rFonts w:hint="eastAsia" w:ascii="黑体" w:hAnsi="黑体" w:eastAsia="黑体" w:cs="黑体"/>
          <w:color w:val="auto"/>
          <w:lang w:val="en-US" w:eastAsia="zh-CN"/>
        </w:rPr>
        <w:t>0</w:t>
      </w:r>
      <w:r>
        <w:rPr>
          <w:rFonts w:hint="eastAsia" w:ascii="黑体" w:hAnsi="黑体" w:eastAsia="黑体" w:cs="黑体"/>
          <w:color w:val="auto"/>
        </w:rPr>
        <w:t>0 mL plastic volumetric flask, dilute to the mark with water, and mix well. This solution contains 1</w:t>
      </w:r>
      <w:r>
        <w:rPr>
          <w:rFonts w:hint="eastAsia" w:ascii="黑体" w:hAnsi="黑体" w:eastAsia="黑体" w:cs="黑体"/>
          <w:color w:val="auto"/>
          <w:lang w:val="en-US" w:eastAsia="zh-CN"/>
        </w:rPr>
        <w:t>00</w:t>
      </w:r>
      <w:r>
        <w:rPr>
          <w:rFonts w:hint="eastAsia" w:ascii="黑体" w:hAnsi="黑体" w:eastAsia="黑体" w:cs="黑体"/>
          <w:color w:val="auto"/>
        </w:rPr>
        <w:t xml:space="preserve"> </w:t>
      </w:r>
      <w:r>
        <w:rPr>
          <w:rFonts w:hint="eastAsia" w:ascii="黑体" w:hAnsi="黑体" w:eastAsia="黑体" w:cs="黑体"/>
          <w:color w:val="auto"/>
          <w:lang w:eastAsia="zh-CN"/>
        </w:rPr>
        <w:t>μ</w:t>
      </w:r>
      <w:r>
        <w:rPr>
          <w:rFonts w:hint="eastAsia" w:ascii="黑体" w:hAnsi="黑体" w:eastAsia="黑体" w:cs="黑体"/>
          <w:color w:val="auto"/>
        </w:rPr>
        <w:t>g of molybdenum per millilitre.</w:t>
      </w:r>
    </w:p>
    <w:p w14:paraId="3557D407">
      <w:pPr>
        <w:spacing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.2.8 Tungsten standard stock solution: Weigh 0.1261 g of tungsten trioxide [</w:t>
      </w:r>
      <w:r>
        <w:rPr>
          <w:rFonts w:hint="eastAsia" w:ascii="黑体" w:hAnsi="黑体" w:eastAsia="黑体" w:cs="黑体"/>
          <w:color w:val="auto"/>
        </w:rPr>
        <w:drawing>
          <wp:inline distT="0" distB="0" distL="114300" distR="114300">
            <wp:extent cx="142875" cy="133350"/>
            <wp:effectExtent l="0" t="0" r="9525" b="3175"/>
            <wp:docPr id="1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pic:cNvPicPr>
                      <a:picLocks noChangeAspect="1"/>
                    </pic:cNvPicPr>
                  </pic:nvPicPr>
                  <pic:blipFill>
                    <a:blip r:embed="rId16"/>
                    <a:stretch>
                      <a:fillRect/>
                    </a:stretch>
                  </pic:blipFill>
                  <pic:spPr>
                    <a:xfrm>
                      <a:off x="0" y="0"/>
                      <a:ext cx="142875" cy="133350"/>
                    </a:xfrm>
                    <a:prstGeom prst="rect">
                      <a:avLst/>
                    </a:prstGeom>
                    <a:noFill/>
                    <a:ln>
                      <a:noFill/>
                    </a:ln>
                  </pic:spPr>
                </pic:pic>
              </a:graphicData>
            </a:graphic>
          </wp:inline>
        </w:drawing>
      </w:r>
      <w:r>
        <w:rPr>
          <w:rFonts w:hint="eastAsia" w:ascii="黑体" w:hAnsi="黑体" w:eastAsia="黑体" w:cs="黑体"/>
          <w:color w:val="auto"/>
        </w:rPr>
        <w:t>(WO</w:t>
      </w:r>
      <w:r>
        <w:rPr>
          <w:rFonts w:hint="eastAsia" w:ascii="黑体" w:hAnsi="黑体" w:eastAsia="黑体" w:cs="黑体"/>
          <w:color w:val="auto"/>
          <w:vertAlign w:val="subscript"/>
          <w:lang w:val="en-US" w:eastAsia="zh-CN"/>
        </w:rPr>
        <w:t>3</w:t>
      </w:r>
      <w:r>
        <w:rPr>
          <w:rFonts w:hint="eastAsia" w:ascii="黑体" w:hAnsi="黑体" w:eastAsia="黑体" w:cs="黑体"/>
          <w:color w:val="auto"/>
        </w:rPr>
        <w:t xml:space="preserve">) ≥ 99.99%] which has been dried at 110 </w:t>
      </w:r>
      <w:r>
        <w:rPr>
          <w:rFonts w:hint="eastAsia" w:ascii="黑体" w:hAnsi="黑体" w:eastAsia="黑体" w:cs="黑体"/>
          <w:color w:val="auto"/>
          <w:szCs w:val="21"/>
          <w:lang w:val="en-US" w:eastAsia="zh-CN"/>
        </w:rPr>
        <w:t>℃</w:t>
      </w:r>
      <w:r>
        <w:rPr>
          <w:rFonts w:hint="eastAsia" w:ascii="黑体" w:hAnsi="黑体" w:eastAsia="黑体" w:cs="黑体"/>
          <w:color w:val="auto"/>
        </w:rPr>
        <w:t xml:space="preserve"> for 1 h and cooled to room temperature in a desiccator. Place in a 50 mL plastic beaker, add 20 mL of water and 2.0 g of sodium hydroxide (</w:t>
      </w:r>
      <w:r>
        <w:rPr>
          <w:rFonts w:hint="eastAsia" w:ascii="黑体" w:hAnsi="黑体" w:eastAsia="黑体" w:cs="黑体"/>
          <w:color w:val="auto"/>
          <w:lang w:val="en-US" w:eastAsia="zh-CN"/>
        </w:rPr>
        <w:t>5</w:t>
      </w:r>
      <w:r>
        <w:rPr>
          <w:rFonts w:hint="eastAsia" w:ascii="黑体" w:hAnsi="黑体" w:eastAsia="黑体" w:cs="黑体"/>
          <w:color w:val="auto"/>
        </w:rPr>
        <w:t>.2.1) to dissolve completely. If the tungsten trioxide is not completely dissolved, an additional 1.0 g of sodium hydroxide (</w:t>
      </w:r>
      <w:r>
        <w:rPr>
          <w:rFonts w:hint="eastAsia" w:ascii="黑体" w:hAnsi="黑体" w:eastAsia="黑体" w:cs="黑体"/>
          <w:color w:val="auto"/>
          <w:lang w:val="en-US" w:eastAsia="zh-CN"/>
        </w:rPr>
        <w:t>5</w:t>
      </w:r>
      <w:r>
        <w:rPr>
          <w:rFonts w:hint="eastAsia" w:ascii="黑体" w:hAnsi="黑体" w:eastAsia="黑体" w:cs="黑体"/>
          <w:color w:val="auto"/>
        </w:rPr>
        <w:t>.2.1) may be added and stirred until dissolved, avoiding excess (excess will cause precipitation upon subsequent acidification). Transfer to a 10</w:t>
      </w:r>
      <w:r>
        <w:rPr>
          <w:rFonts w:hint="eastAsia" w:ascii="黑体" w:hAnsi="黑体" w:eastAsia="黑体" w:cs="黑体"/>
          <w:color w:val="auto"/>
          <w:lang w:val="en-US" w:eastAsia="zh-CN"/>
        </w:rPr>
        <w:t>0</w:t>
      </w:r>
      <w:r>
        <w:rPr>
          <w:rFonts w:hint="eastAsia" w:ascii="黑体" w:hAnsi="黑体" w:eastAsia="黑体" w:cs="黑体"/>
          <w:color w:val="auto"/>
        </w:rPr>
        <w:t>0 mL plastic volumetric flask, dilute to the mark with water, and mix well. This solution contains 1</w:t>
      </w:r>
      <w:r>
        <w:rPr>
          <w:rFonts w:hint="eastAsia" w:ascii="黑体" w:hAnsi="黑体" w:eastAsia="黑体" w:cs="黑体"/>
          <w:color w:val="auto"/>
          <w:lang w:val="en-US" w:eastAsia="zh-CN"/>
        </w:rPr>
        <w:t xml:space="preserve">00 </w:t>
      </w:r>
      <w:r>
        <w:rPr>
          <w:rFonts w:hint="eastAsia" w:ascii="黑体" w:hAnsi="黑体" w:eastAsia="黑体" w:cs="黑体"/>
          <w:color w:val="auto"/>
          <w:lang w:eastAsia="zh-CN"/>
        </w:rPr>
        <w:t>μ</w:t>
      </w:r>
      <w:r>
        <w:rPr>
          <w:rFonts w:hint="eastAsia" w:ascii="黑体" w:hAnsi="黑体" w:eastAsia="黑体" w:cs="黑体"/>
          <w:color w:val="auto"/>
        </w:rPr>
        <w:t>g of tungsten per millilitre.</w:t>
      </w:r>
    </w:p>
    <w:p w14:paraId="4C14A644">
      <w:pPr>
        <w:spacing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 xml:space="preserve">.2.9 Molybdenum and tungsten mixed standard solution: Pipette </w:t>
      </w:r>
      <w:r>
        <w:rPr>
          <w:rFonts w:hint="eastAsia" w:ascii="黑体" w:hAnsi="黑体" w:eastAsia="黑体" w:cs="黑体"/>
          <w:color w:val="auto"/>
          <w:lang w:val="en-US" w:eastAsia="zh-CN"/>
        </w:rPr>
        <w:t>1</w:t>
      </w:r>
      <w:r>
        <w:rPr>
          <w:rFonts w:hint="eastAsia" w:ascii="黑体" w:hAnsi="黑体" w:eastAsia="黑体" w:cs="黑体"/>
          <w:color w:val="auto"/>
        </w:rPr>
        <w:t>.00 mL of molybdenum standard stock solution (</w:t>
      </w:r>
      <w:r>
        <w:rPr>
          <w:rFonts w:hint="eastAsia" w:ascii="黑体" w:hAnsi="黑体" w:eastAsia="黑体" w:cs="黑体"/>
          <w:color w:val="auto"/>
          <w:lang w:val="en-US" w:eastAsia="zh-CN"/>
        </w:rPr>
        <w:t>5</w:t>
      </w:r>
      <w:r>
        <w:rPr>
          <w:rFonts w:hint="eastAsia" w:ascii="黑体" w:hAnsi="黑体" w:eastAsia="黑体" w:cs="黑体"/>
          <w:color w:val="auto"/>
        </w:rPr>
        <w:t xml:space="preserve">.2.7) and </w:t>
      </w:r>
      <w:r>
        <w:rPr>
          <w:rFonts w:hint="eastAsia" w:ascii="黑体" w:hAnsi="黑体" w:eastAsia="黑体" w:cs="黑体"/>
          <w:color w:val="auto"/>
          <w:lang w:val="en-US" w:eastAsia="zh-CN"/>
        </w:rPr>
        <w:t>1</w:t>
      </w:r>
      <w:r>
        <w:rPr>
          <w:rFonts w:hint="eastAsia" w:ascii="黑体" w:hAnsi="黑体" w:eastAsia="黑体" w:cs="黑体"/>
          <w:color w:val="auto"/>
        </w:rPr>
        <w:t>.00 mL of tungsten standard stock solution (</w:t>
      </w:r>
      <w:r>
        <w:rPr>
          <w:rFonts w:hint="eastAsia" w:ascii="黑体" w:hAnsi="黑体" w:eastAsia="黑体" w:cs="黑体"/>
          <w:color w:val="auto"/>
          <w:lang w:val="en-US" w:eastAsia="zh-CN"/>
        </w:rPr>
        <w:t>5</w:t>
      </w:r>
      <w:r>
        <w:rPr>
          <w:rFonts w:hint="eastAsia" w:ascii="黑体" w:hAnsi="黑体" w:eastAsia="黑体" w:cs="黑体"/>
          <w:color w:val="auto"/>
        </w:rPr>
        <w:t xml:space="preserve">.2.8) into a </w:t>
      </w:r>
      <w:r>
        <w:rPr>
          <w:rFonts w:hint="eastAsia" w:ascii="黑体" w:hAnsi="黑体" w:eastAsia="黑体" w:cs="黑体"/>
          <w:color w:val="auto"/>
          <w:lang w:val="en-US" w:eastAsia="zh-CN"/>
        </w:rPr>
        <w:t>2</w:t>
      </w:r>
      <w:r>
        <w:rPr>
          <w:rFonts w:hint="eastAsia" w:ascii="黑体" w:hAnsi="黑体" w:eastAsia="黑体" w:cs="黑体"/>
          <w:color w:val="auto"/>
        </w:rPr>
        <w:t>00 mL plastic volumetric flask, add 5 mL of hydrofluoric acid (</w:t>
      </w:r>
      <w:r>
        <w:rPr>
          <w:rFonts w:hint="eastAsia" w:ascii="黑体" w:hAnsi="黑体" w:eastAsia="黑体" w:cs="黑体"/>
          <w:color w:val="auto"/>
          <w:lang w:val="en-US" w:eastAsia="zh-CN"/>
        </w:rPr>
        <w:t>5</w:t>
      </w:r>
      <w:r>
        <w:rPr>
          <w:rFonts w:hint="eastAsia" w:ascii="黑体" w:hAnsi="黑体" w:eastAsia="黑体" w:cs="黑体"/>
          <w:color w:val="auto"/>
        </w:rPr>
        <w:t>.2.3), dilute to the mark with water, and mix well. This solution contains 50</w:t>
      </w:r>
      <w:r>
        <w:rPr>
          <w:rFonts w:hint="eastAsia" w:ascii="黑体" w:hAnsi="黑体" w:eastAsia="黑体" w:cs="黑体"/>
          <w:color w:val="auto"/>
          <w:lang w:val="en-US" w:eastAsia="zh-CN"/>
        </w:rPr>
        <w:t>0</w:t>
      </w:r>
      <w:r>
        <w:rPr>
          <w:rFonts w:hint="eastAsia" w:ascii="黑体" w:hAnsi="黑体" w:eastAsia="黑体" w:cs="黑体"/>
          <w:color w:val="auto"/>
        </w:rPr>
        <w:t xml:space="preserve"> </w:t>
      </w:r>
      <w:r>
        <w:rPr>
          <w:rFonts w:hint="eastAsia" w:ascii="黑体" w:hAnsi="黑体" w:eastAsia="黑体" w:cs="黑体"/>
          <w:color w:val="auto"/>
          <w:lang w:val="en-US" w:eastAsia="zh-CN"/>
        </w:rPr>
        <w:t>n</w:t>
      </w:r>
      <w:r>
        <w:rPr>
          <w:rFonts w:hint="eastAsia" w:ascii="黑体" w:hAnsi="黑体" w:eastAsia="黑体" w:cs="黑体"/>
          <w:color w:val="auto"/>
        </w:rPr>
        <w:t>g of molybdenum and 50</w:t>
      </w:r>
      <w:r>
        <w:rPr>
          <w:rFonts w:hint="eastAsia" w:ascii="黑体" w:hAnsi="黑体" w:eastAsia="黑体" w:cs="黑体"/>
          <w:color w:val="auto"/>
          <w:lang w:val="en-US" w:eastAsia="zh-CN"/>
        </w:rPr>
        <w:t>0</w:t>
      </w:r>
      <w:r>
        <w:rPr>
          <w:rFonts w:hint="eastAsia" w:ascii="黑体" w:hAnsi="黑体" w:eastAsia="黑体" w:cs="黑体"/>
          <w:color w:val="auto"/>
        </w:rPr>
        <w:t xml:space="preserve"> </w:t>
      </w:r>
      <w:r>
        <w:rPr>
          <w:rFonts w:hint="eastAsia" w:ascii="黑体" w:hAnsi="黑体" w:eastAsia="黑体" w:cs="黑体"/>
          <w:color w:val="auto"/>
          <w:lang w:val="en-US" w:eastAsia="zh-CN"/>
        </w:rPr>
        <w:t>n</w:t>
      </w:r>
      <w:r>
        <w:rPr>
          <w:rFonts w:hint="eastAsia" w:ascii="黑体" w:hAnsi="黑体" w:eastAsia="黑体" w:cs="黑体"/>
          <w:color w:val="auto"/>
        </w:rPr>
        <w:t>g of tungsten per millilitre.</w:t>
      </w:r>
    </w:p>
    <w:p w14:paraId="610CFFF0">
      <w:pPr>
        <w:spacing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 xml:space="preserve">.2.10 </w:t>
      </w:r>
      <w:r>
        <w:rPr>
          <w:rFonts w:hint="eastAsia" w:ascii="黑体" w:hAnsi="黑体" w:eastAsia="黑体" w:cs="黑体"/>
          <w:color w:val="auto"/>
          <w:lang w:eastAsia="zh-CN"/>
        </w:rPr>
        <w:t>Cesium</w:t>
      </w:r>
      <w:r>
        <w:rPr>
          <w:rFonts w:hint="eastAsia" w:ascii="黑体" w:hAnsi="黑体" w:eastAsia="黑体" w:cs="黑体"/>
          <w:color w:val="auto"/>
        </w:rPr>
        <w:t xml:space="preserve"> internal standard stock solution: Weigh 0.1270 g of </w:t>
      </w:r>
      <w:r>
        <w:rPr>
          <w:rFonts w:hint="eastAsia" w:ascii="黑体" w:hAnsi="黑体" w:eastAsia="黑体" w:cs="黑体"/>
          <w:color w:val="auto"/>
          <w:lang w:val="en-US" w:eastAsia="zh-CN"/>
        </w:rPr>
        <w:t>Cesium</w:t>
      </w:r>
      <w:r>
        <w:rPr>
          <w:rFonts w:hint="eastAsia" w:ascii="黑体" w:hAnsi="黑体" w:eastAsia="黑体" w:cs="黑体"/>
          <w:color w:val="auto"/>
        </w:rPr>
        <w:t xml:space="preserve"> chloride, add 10 mL of water and 2 mL of nitric acid (5.2.2), dissolve until clear, and cool. Transfer to a 100 mL volumetric flask, dilute to the mark with water, and mix well. This solution contains 1 mg of </w:t>
      </w:r>
      <w:r>
        <w:rPr>
          <w:rFonts w:hint="eastAsia" w:ascii="黑体" w:hAnsi="黑体" w:eastAsia="黑体" w:cs="黑体"/>
          <w:color w:val="auto"/>
          <w:lang w:val="en-US" w:eastAsia="zh-CN"/>
        </w:rPr>
        <w:t>Cesium</w:t>
      </w:r>
      <w:r>
        <w:rPr>
          <w:rFonts w:hint="eastAsia" w:ascii="黑体" w:hAnsi="黑体" w:eastAsia="黑体" w:cs="黑体"/>
          <w:color w:val="auto"/>
        </w:rPr>
        <w:t xml:space="preserve"> per millilitre.</w:t>
      </w:r>
    </w:p>
    <w:p w14:paraId="4B8D86F3">
      <w:pPr>
        <w:spacing w:line="360" w:lineRule="exact"/>
        <w:rPr>
          <w:rFonts w:hint="eastAsia" w:ascii="黑体" w:hAnsi="黑体" w:eastAsia="黑体" w:cs="黑体"/>
          <w:color w:val="auto"/>
        </w:rPr>
      </w:pPr>
      <w:r>
        <w:rPr>
          <w:rFonts w:hint="eastAsia" w:ascii="黑体" w:hAnsi="黑体" w:eastAsia="黑体" w:cs="黑体"/>
          <w:color w:val="auto"/>
        </w:rPr>
        <w:t xml:space="preserve">5.2.11 Thallium internal standard stock solution: Weigh 0.1173 g of </w:t>
      </w:r>
      <w:r>
        <w:rPr>
          <w:rFonts w:hint="eastAsia" w:ascii="黑体" w:hAnsi="黑体" w:eastAsia="黑体" w:cs="黑体"/>
          <w:color w:val="auto"/>
          <w:lang w:val="en-US" w:eastAsia="zh-CN"/>
        </w:rPr>
        <w:t>t</w:t>
      </w:r>
      <w:r>
        <w:rPr>
          <w:rFonts w:hint="eastAsia" w:ascii="黑体" w:hAnsi="黑体" w:eastAsia="黑体" w:cs="黑体"/>
          <w:color w:val="auto"/>
        </w:rPr>
        <w:t xml:space="preserve">hallium chloride, add 10 mL of water to dissolve completely, add 10 mL of nitric acid (5.2.2), transfer to a 100 mL volumetric flask, dilute to the mark with water, and mix well. This solution contains 1 mg of </w:t>
      </w:r>
      <w:r>
        <w:rPr>
          <w:rFonts w:hint="eastAsia" w:ascii="黑体" w:hAnsi="黑体" w:eastAsia="黑体" w:cs="黑体"/>
          <w:color w:val="auto"/>
          <w:lang w:val="en-US" w:eastAsia="zh-CN"/>
        </w:rPr>
        <w:t>t</w:t>
      </w:r>
      <w:r>
        <w:rPr>
          <w:rFonts w:hint="eastAsia" w:ascii="黑体" w:hAnsi="黑体" w:eastAsia="黑体" w:cs="黑体"/>
          <w:color w:val="auto"/>
        </w:rPr>
        <w:t>hallium per millilitre.</w:t>
      </w:r>
    </w:p>
    <w:p w14:paraId="7813D95B">
      <w:pPr>
        <w:spacing w:line="360" w:lineRule="exact"/>
        <w:rPr>
          <w:rFonts w:hint="eastAsia" w:ascii="黑体" w:hAnsi="黑体" w:eastAsia="黑体" w:cs="黑体"/>
          <w:color w:val="auto"/>
        </w:rPr>
      </w:pPr>
      <w:r>
        <w:rPr>
          <w:rFonts w:hint="eastAsia" w:ascii="黑体" w:hAnsi="黑体" w:eastAsia="黑体" w:cs="黑体"/>
          <w:color w:val="auto"/>
        </w:rPr>
        <w:t>5.2.12 Rhodium internal standard stock solution: Weigh 0.256 g of rhodium chloride hydrate, add 10 mL of water to dissolve completely, add 10 mL of nitric acid (5.2.2), transfer to a 100 mL volumetric flask, dilute to the mark with water, and mix well. This solution contains 1 mg of rhodium per millilitre.</w:t>
      </w:r>
    </w:p>
    <w:p w14:paraId="0655C9EB">
      <w:pPr>
        <w:spacing w:line="360" w:lineRule="exact"/>
        <w:rPr>
          <w:rFonts w:hint="eastAsia" w:ascii="黑体" w:hAnsi="黑体" w:eastAsia="黑体" w:cs="黑体"/>
          <w:color w:val="auto"/>
        </w:rPr>
      </w:pPr>
      <w:r>
        <w:rPr>
          <w:rFonts w:hint="eastAsia" w:ascii="黑体" w:hAnsi="黑体" w:eastAsia="黑体" w:cs="黑体"/>
          <w:color w:val="auto"/>
        </w:rPr>
        <w:t xml:space="preserve">5.2.13 </w:t>
      </w:r>
      <w:r>
        <w:rPr>
          <w:rFonts w:hint="eastAsia" w:ascii="黑体" w:hAnsi="黑体" w:eastAsia="黑体" w:cs="黑体"/>
          <w:color w:val="auto"/>
          <w:lang w:eastAsia="zh-CN"/>
        </w:rPr>
        <w:t>Cesium</w:t>
      </w:r>
      <w:r>
        <w:rPr>
          <w:rFonts w:hint="eastAsia" w:ascii="黑体" w:hAnsi="黑体" w:eastAsia="黑体" w:cs="黑体"/>
          <w:color w:val="auto"/>
        </w:rPr>
        <w:t xml:space="preserve"> , rhodium, </w:t>
      </w:r>
      <w:r>
        <w:rPr>
          <w:rFonts w:hint="eastAsia" w:ascii="黑体" w:hAnsi="黑体" w:eastAsia="黑体" w:cs="黑体"/>
          <w:color w:val="auto"/>
          <w:lang w:val="en-US" w:eastAsia="zh-CN"/>
        </w:rPr>
        <w:t>t</w:t>
      </w:r>
      <w:r>
        <w:rPr>
          <w:rFonts w:hint="eastAsia" w:ascii="黑体" w:hAnsi="黑体" w:eastAsia="黑体" w:cs="黑体"/>
          <w:color w:val="auto"/>
        </w:rPr>
        <w:t xml:space="preserve">hallium internal standard mixed solution: Pipette 1.00 mL of </w:t>
      </w:r>
      <w:r>
        <w:rPr>
          <w:rFonts w:hint="eastAsia" w:ascii="黑体" w:hAnsi="黑体" w:eastAsia="黑体" w:cs="黑体"/>
          <w:color w:val="auto"/>
          <w:lang w:val="en-US" w:eastAsia="zh-CN"/>
        </w:rPr>
        <w:t>cesium</w:t>
      </w:r>
      <w:r>
        <w:rPr>
          <w:rFonts w:hint="eastAsia" w:ascii="黑体" w:hAnsi="黑体" w:eastAsia="黑体" w:cs="黑体"/>
          <w:color w:val="auto"/>
        </w:rPr>
        <w:t xml:space="preserve"> internal standard stock solution (5.2.10), 1.00 mL of </w:t>
      </w:r>
      <w:r>
        <w:rPr>
          <w:rFonts w:hint="eastAsia" w:ascii="黑体" w:hAnsi="黑体" w:eastAsia="黑体" w:cs="黑体"/>
          <w:color w:val="auto"/>
          <w:lang w:val="en-US" w:eastAsia="zh-CN"/>
        </w:rPr>
        <w:t>t</w:t>
      </w:r>
      <w:r>
        <w:rPr>
          <w:rFonts w:hint="eastAsia" w:ascii="黑体" w:hAnsi="黑体" w:eastAsia="黑体" w:cs="黑体"/>
          <w:color w:val="auto"/>
        </w:rPr>
        <w:t xml:space="preserve">hallium internal standard stock solution (5.2.11) and 1.00 mL of rhodium internal standard stock solution (5.2.12) into a 1000 mL volumetric flask, add 2 mL of nitric acid (5.2.2), dilute to the mark with water, and mix well. This solution contains 1 μg each of </w:t>
      </w:r>
      <w:r>
        <w:rPr>
          <w:rFonts w:hint="eastAsia" w:ascii="黑体" w:hAnsi="黑体" w:eastAsia="黑体" w:cs="黑体"/>
          <w:color w:val="auto"/>
          <w:lang w:val="en-US" w:eastAsia="zh-CN"/>
        </w:rPr>
        <w:t>cesium</w:t>
      </w:r>
      <w:r>
        <w:rPr>
          <w:rFonts w:hint="eastAsia" w:ascii="黑体" w:hAnsi="黑体" w:eastAsia="黑体" w:cs="黑体"/>
          <w:color w:val="auto"/>
        </w:rPr>
        <w:t xml:space="preserve">, rhodium, </w:t>
      </w:r>
      <w:r>
        <w:rPr>
          <w:rFonts w:hint="eastAsia" w:ascii="黑体" w:hAnsi="黑体" w:eastAsia="黑体" w:cs="黑体"/>
          <w:color w:val="auto"/>
          <w:lang w:val="en-US" w:eastAsia="zh-CN"/>
        </w:rPr>
        <w:t>t</w:t>
      </w:r>
      <w:r>
        <w:rPr>
          <w:rFonts w:hint="eastAsia" w:ascii="黑体" w:hAnsi="黑体" w:eastAsia="黑体" w:cs="黑体"/>
          <w:color w:val="auto"/>
        </w:rPr>
        <w:t>hallium per millilitre.</w:t>
      </w:r>
    </w:p>
    <w:p w14:paraId="7D2F786F">
      <w:pPr>
        <w:spacing w:line="360" w:lineRule="exact"/>
        <w:rPr>
          <w:rFonts w:hint="eastAsia" w:ascii="黑体" w:hAnsi="黑体" w:eastAsia="黑体" w:cs="黑体"/>
          <w:color w:val="auto"/>
        </w:rPr>
      </w:pPr>
      <w:r>
        <w:rPr>
          <w:rFonts w:hint="eastAsia" w:ascii="黑体" w:hAnsi="黑体" w:eastAsia="黑体" w:cs="黑体"/>
          <w:color w:val="auto"/>
          <w:lang w:val="en-US" w:eastAsia="zh-CN"/>
        </w:rPr>
        <w:t xml:space="preserve">5.2.14 </w:t>
      </w:r>
      <w:r>
        <w:rPr>
          <w:rFonts w:hint="eastAsia" w:ascii="黑体" w:hAnsi="黑体" w:eastAsia="黑体" w:cs="黑体"/>
          <w:color w:val="auto"/>
        </w:rPr>
        <w:t>Argon: Volume fraction ≥ 99.99%.</w:t>
      </w:r>
    </w:p>
    <w:p w14:paraId="3752A428">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lang w:val="en-US" w:eastAsia="zh-CN"/>
        </w:rPr>
        <w:t>5</w:t>
      </w:r>
      <w:r>
        <w:rPr>
          <w:rFonts w:hint="eastAsia" w:hAnsi="黑体" w:cs="黑体"/>
          <w:color w:val="auto"/>
        </w:rPr>
        <w:t>.3 Apparatus</w:t>
      </w:r>
    </w:p>
    <w:p w14:paraId="0B8E8626">
      <w:pPr>
        <w:spacing w:line="360" w:lineRule="exact"/>
        <w:rPr>
          <w:rFonts w:hint="eastAsia" w:ascii="黑体" w:hAnsi="黑体" w:eastAsia="黑体" w:cs="黑体"/>
          <w:color w:val="auto"/>
          <w:lang w:val="en-US" w:eastAsia="zh-CN"/>
        </w:rPr>
      </w:pPr>
      <w:r>
        <w:rPr>
          <w:rFonts w:hint="eastAsia" w:ascii="黑体" w:hAnsi="黑体" w:eastAsia="黑体" w:cs="黑体"/>
          <w:color w:val="auto"/>
          <w:lang w:val="en-US" w:eastAsia="zh-CN"/>
        </w:rPr>
        <w:t>Inductively coupled plasma mass spectrometer, which may be used provided it meets the following performance criteria under optimum operating conditions.</w:t>
      </w:r>
    </w:p>
    <w:p w14:paraId="403F9F85">
      <w:pPr>
        <w:spacing w:line="360" w:lineRule="exact"/>
        <w:rPr>
          <w:rFonts w:hint="eastAsia" w:ascii="黑体" w:hAnsi="黑体" w:eastAsia="黑体" w:cs="黑体"/>
          <w:color w:val="auto"/>
          <w:lang w:val="en-US" w:eastAsia="zh-CN"/>
        </w:rPr>
      </w:pPr>
      <w:r>
        <w:rPr>
          <w:rFonts w:hint="eastAsia" w:ascii="黑体" w:hAnsi="黑体" w:eastAsia="黑体" w:cs="黑体"/>
          <w:color w:val="auto"/>
        </w:rPr>
        <w:t>—</w:t>
      </w:r>
      <w:r>
        <w:rPr>
          <w:rFonts w:hint="eastAsia" w:ascii="黑体" w:hAnsi="黑体" w:eastAsia="黑体" w:cs="黑体"/>
          <w:color w:val="auto"/>
          <w:lang w:val="en-US" w:eastAsia="zh-CN"/>
        </w:rPr>
        <w:t>It shall comply with the calibration items and technical specifications for quadrupole plasma mass spectrometers required in JJF 1159.</w:t>
      </w:r>
    </w:p>
    <w:p w14:paraId="1D46B510">
      <w:pPr>
        <w:spacing w:line="360" w:lineRule="exact"/>
        <w:rPr>
          <w:rFonts w:hint="eastAsia" w:ascii="黑体" w:hAnsi="黑体" w:eastAsia="黑体" w:cs="黑体"/>
          <w:color w:val="auto"/>
          <w:lang w:val="en-US" w:eastAsia="zh-CN"/>
        </w:rPr>
      </w:pPr>
      <w:r>
        <w:rPr>
          <w:rFonts w:hint="eastAsia" w:ascii="黑体" w:hAnsi="黑体" w:eastAsia="黑体" w:cs="黑体"/>
          <w:color w:val="auto"/>
        </w:rPr>
        <w:t>—</w:t>
      </w:r>
      <w:r>
        <w:rPr>
          <w:rFonts w:hint="eastAsia" w:ascii="黑体" w:hAnsi="黑体" w:eastAsia="黑体" w:cs="黑体"/>
          <w:color w:val="auto"/>
          <w:lang w:val="en-US" w:eastAsia="zh-CN"/>
        </w:rPr>
        <w:t>The isotope mass numbers for the determination of elements are given in Table 4.</w:t>
      </w:r>
    </w:p>
    <w:p w14:paraId="7876C37C">
      <w:pPr>
        <w:spacing w:line="360" w:lineRule="exact"/>
        <w:jc w:val="center"/>
        <w:rPr>
          <w:rFonts w:hint="eastAsia" w:ascii="黑体" w:hAnsi="黑体" w:eastAsia="黑体" w:cs="黑体"/>
          <w:color w:val="auto"/>
          <w:lang w:val="en-US" w:eastAsia="zh-CN"/>
        </w:rPr>
      </w:pPr>
      <w:r>
        <w:rPr>
          <w:rFonts w:hint="eastAsia" w:ascii="黑体" w:hAnsi="黑体" w:eastAsia="黑体" w:cs="黑体"/>
          <w:color w:val="auto"/>
          <w:lang w:val="en-US" w:eastAsia="zh-CN"/>
        </w:rPr>
        <w:t>Table 4 Isotope mass numbers for measurement elements</w:t>
      </w:r>
    </w:p>
    <w:tbl>
      <w:tblPr>
        <w:tblStyle w:val="51"/>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8"/>
        <w:gridCol w:w="2460"/>
        <w:gridCol w:w="2466"/>
        <w:gridCol w:w="2476"/>
      </w:tblGrid>
      <w:tr w14:paraId="49A2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1" w:type="pct"/>
            <w:tcBorders>
              <w:top w:val="single" w:color="000000" w:sz="12" w:space="0"/>
              <w:left w:val="single" w:color="000000" w:sz="12" w:space="0"/>
              <w:bottom w:val="single" w:color="auto" w:sz="12" w:space="0"/>
              <w:right w:val="single" w:color="000000" w:sz="4" w:space="0"/>
              <w:tl2br w:val="nil"/>
            </w:tcBorders>
            <w:shd w:val="clear" w:color="auto" w:fill="FFFFFF"/>
            <w:noWrap/>
            <w:vAlign w:val="center"/>
          </w:tcPr>
          <w:p w14:paraId="3122E4B7">
            <w:pPr>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Element</w:t>
            </w:r>
          </w:p>
        </w:tc>
        <w:tc>
          <w:tcPr>
            <w:tcW w:w="1286" w:type="pct"/>
            <w:tcBorders>
              <w:top w:val="single" w:color="000000" w:sz="12" w:space="0"/>
              <w:left w:val="single" w:color="000000" w:sz="4" w:space="0"/>
              <w:bottom w:val="single" w:color="auto" w:sz="12" w:space="0"/>
              <w:right w:val="double" w:color="auto" w:sz="4" w:space="0"/>
            </w:tcBorders>
            <w:shd w:val="clear" w:color="auto" w:fill="FFFFFF"/>
            <w:noWrap/>
          </w:tcPr>
          <w:p w14:paraId="348993B8">
            <w:pPr>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Mass number</w:t>
            </w:r>
          </w:p>
        </w:tc>
        <w:tc>
          <w:tcPr>
            <w:tcW w:w="1289" w:type="pct"/>
            <w:tcBorders>
              <w:top w:val="single" w:color="000000" w:sz="12" w:space="0"/>
              <w:left w:val="double" w:color="auto" w:sz="4" w:space="0"/>
              <w:bottom w:val="single" w:color="auto" w:sz="12" w:space="0"/>
              <w:right w:val="single" w:color="auto" w:sz="4" w:space="0"/>
            </w:tcBorders>
            <w:shd w:val="clear" w:color="auto" w:fill="FFFFFF"/>
            <w:noWrap/>
          </w:tcPr>
          <w:p w14:paraId="2C2EE7E5">
            <w:pPr>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isotope mass number</w:t>
            </w:r>
          </w:p>
        </w:tc>
        <w:tc>
          <w:tcPr>
            <w:tcW w:w="1291" w:type="pct"/>
            <w:tcBorders>
              <w:top w:val="single" w:color="000000" w:sz="12" w:space="0"/>
              <w:left w:val="single" w:color="auto" w:sz="4" w:space="0"/>
              <w:bottom w:val="single" w:color="auto" w:sz="12" w:space="0"/>
              <w:right w:val="single" w:color="000000" w:sz="12" w:space="0"/>
            </w:tcBorders>
            <w:shd w:val="clear" w:color="auto" w:fill="FFFFFF"/>
            <w:noWrap/>
          </w:tcPr>
          <w:p w14:paraId="6A6B9B45">
            <w:pPr>
              <w:jc w:val="center"/>
              <w:rPr>
                <w:rFonts w:hint="eastAsia" w:ascii="黑体" w:hAnsi="黑体" w:eastAsia="黑体" w:cs="黑体"/>
                <w:color w:val="auto"/>
                <w:sz w:val="18"/>
                <w:szCs w:val="18"/>
                <w:lang w:val="en-US"/>
              </w:rPr>
            </w:pPr>
            <w:r>
              <w:rPr>
                <w:rFonts w:hint="eastAsia" w:ascii="黑体" w:hAnsi="黑体" w:eastAsia="黑体" w:cs="黑体"/>
                <w:color w:val="auto"/>
                <w:sz w:val="18"/>
                <w:szCs w:val="18"/>
                <w:lang w:val="en-US" w:eastAsia="zh-CN"/>
              </w:rPr>
              <w:t>Mass number</w:t>
            </w:r>
          </w:p>
        </w:tc>
      </w:tr>
      <w:tr w14:paraId="4CAB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1131" w:type="pct"/>
            <w:tcBorders>
              <w:top w:val="single" w:color="000000" w:sz="4" w:space="0"/>
              <w:left w:val="single" w:color="000000" w:sz="12" w:space="0"/>
              <w:bottom w:val="single" w:color="000000" w:sz="4" w:space="0"/>
              <w:right w:val="single" w:color="000000" w:sz="4" w:space="0"/>
            </w:tcBorders>
            <w:shd w:val="clear" w:color="auto" w:fill="FFFFFF"/>
            <w:noWrap/>
            <w:vAlign w:val="center"/>
          </w:tcPr>
          <w:p w14:paraId="4EFEF932">
            <w:pPr>
              <w:spacing w:line="36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Molybdenum</w:t>
            </w:r>
          </w:p>
        </w:tc>
        <w:tc>
          <w:tcPr>
            <w:tcW w:w="1286" w:type="pct"/>
            <w:tcBorders>
              <w:top w:val="single" w:color="000000" w:sz="4" w:space="0"/>
              <w:left w:val="single" w:color="000000" w:sz="4" w:space="0"/>
              <w:bottom w:val="single" w:color="000000" w:sz="4" w:space="0"/>
              <w:right w:val="double" w:color="auto" w:sz="4" w:space="0"/>
            </w:tcBorders>
            <w:shd w:val="clear" w:color="auto" w:fill="FFFFFF"/>
            <w:noWrap/>
            <w:vAlign w:val="center"/>
          </w:tcPr>
          <w:p w14:paraId="5670FA9F">
            <w:pPr>
              <w:jc w:val="center"/>
              <w:rPr>
                <w:rFonts w:hint="eastAsia" w:ascii="黑体" w:hAnsi="黑体" w:eastAsia="黑体" w:cs="黑体"/>
                <w:color w:val="auto"/>
                <w:kern w:val="2"/>
                <w:sz w:val="18"/>
                <w:szCs w:val="18"/>
                <w:lang w:val="en-US" w:eastAsia="zh-CN" w:bidi="ar-SA"/>
              </w:rPr>
            </w:pPr>
            <w:r>
              <w:rPr>
                <w:rFonts w:hint="eastAsia" w:ascii="黑体" w:hAnsi="黑体" w:eastAsia="黑体" w:cs="黑体"/>
                <w:color w:val="auto"/>
                <w:sz w:val="18"/>
                <w:szCs w:val="18"/>
              </w:rPr>
              <w:t>95</w:t>
            </w:r>
            <w:r>
              <w:rPr>
                <w:rFonts w:hint="eastAsia" w:ascii="黑体" w:hAnsi="黑体" w:eastAsia="黑体" w:cs="黑体"/>
                <w:color w:val="auto"/>
                <w:sz w:val="18"/>
                <w:szCs w:val="18"/>
                <w:lang w:val="en-US" w:eastAsia="zh-CN"/>
              </w:rPr>
              <w:t xml:space="preserve">, </w:t>
            </w:r>
            <w:r>
              <w:rPr>
                <w:rFonts w:hint="eastAsia" w:ascii="黑体" w:hAnsi="黑体" w:eastAsia="黑体" w:cs="黑体"/>
                <w:color w:val="auto"/>
                <w:sz w:val="18"/>
                <w:szCs w:val="18"/>
              </w:rPr>
              <w:t>98</w:t>
            </w:r>
          </w:p>
        </w:tc>
        <w:tc>
          <w:tcPr>
            <w:tcW w:w="1289" w:type="pct"/>
            <w:tcBorders>
              <w:top w:val="single" w:color="000000" w:sz="4" w:space="0"/>
              <w:left w:val="double" w:color="auto" w:sz="4" w:space="0"/>
              <w:bottom w:val="single" w:color="000000" w:sz="4" w:space="0"/>
              <w:right w:val="single" w:color="auto" w:sz="4" w:space="0"/>
            </w:tcBorders>
            <w:shd w:val="clear" w:color="auto" w:fill="FFFFFF"/>
            <w:noWrap/>
            <w:vAlign w:val="center"/>
          </w:tcPr>
          <w:p w14:paraId="1477251F">
            <w:pPr>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R</w:t>
            </w:r>
            <w:r>
              <w:rPr>
                <w:rFonts w:hint="eastAsia" w:ascii="黑体" w:hAnsi="黑体" w:eastAsia="黑体" w:cs="黑体"/>
                <w:color w:val="auto"/>
                <w:sz w:val="18"/>
                <w:szCs w:val="18"/>
              </w:rPr>
              <w:t>hodium</w:t>
            </w:r>
          </w:p>
        </w:tc>
        <w:tc>
          <w:tcPr>
            <w:tcW w:w="1291" w:type="pct"/>
            <w:tcBorders>
              <w:top w:val="single" w:color="000000" w:sz="4" w:space="0"/>
              <w:left w:val="single" w:color="auto" w:sz="4" w:space="0"/>
              <w:bottom w:val="single" w:color="000000" w:sz="4" w:space="0"/>
              <w:right w:val="single" w:color="000000" w:sz="12" w:space="0"/>
            </w:tcBorders>
            <w:shd w:val="clear" w:color="auto" w:fill="FFFFFF"/>
            <w:noWrap/>
            <w:vAlign w:val="center"/>
          </w:tcPr>
          <w:p w14:paraId="55938D99">
            <w:pPr>
              <w:jc w:val="center"/>
              <w:rPr>
                <w:rFonts w:hint="eastAsia" w:ascii="黑体" w:hAnsi="黑体" w:eastAsia="黑体" w:cs="黑体"/>
                <w:color w:val="auto"/>
                <w:sz w:val="18"/>
                <w:szCs w:val="18"/>
              </w:rPr>
            </w:pPr>
            <w:r>
              <w:rPr>
                <w:rFonts w:hint="eastAsia" w:ascii="黑体" w:hAnsi="黑体" w:eastAsia="黑体" w:cs="黑体"/>
                <w:color w:val="auto"/>
                <w:sz w:val="18"/>
                <w:szCs w:val="18"/>
              </w:rPr>
              <w:t>103</w:t>
            </w:r>
          </w:p>
        </w:tc>
      </w:tr>
      <w:tr w14:paraId="0F63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131" w:type="pct"/>
            <w:tcBorders>
              <w:top w:val="single" w:color="000000" w:sz="4" w:space="0"/>
              <w:left w:val="single" w:color="000000" w:sz="12" w:space="0"/>
              <w:bottom w:val="single" w:color="000000" w:sz="4" w:space="0"/>
              <w:right w:val="single" w:color="000000" w:sz="4" w:space="0"/>
            </w:tcBorders>
            <w:shd w:val="clear" w:color="auto" w:fill="FFFFFF"/>
            <w:noWrap/>
            <w:vAlign w:val="center"/>
          </w:tcPr>
          <w:p w14:paraId="7F53BF3B">
            <w:pPr>
              <w:spacing w:line="36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Tungsten</w:t>
            </w:r>
          </w:p>
        </w:tc>
        <w:tc>
          <w:tcPr>
            <w:tcW w:w="1286" w:type="pct"/>
            <w:tcBorders>
              <w:top w:val="single" w:color="000000" w:sz="4" w:space="0"/>
              <w:left w:val="single" w:color="000000" w:sz="4" w:space="0"/>
              <w:bottom w:val="single" w:color="000000" w:sz="4" w:space="0"/>
              <w:right w:val="double" w:color="auto" w:sz="4" w:space="0"/>
            </w:tcBorders>
            <w:shd w:val="clear" w:color="auto" w:fill="FFFFFF"/>
            <w:noWrap/>
            <w:vAlign w:val="center"/>
          </w:tcPr>
          <w:p w14:paraId="2DC8B1A1">
            <w:pPr>
              <w:jc w:val="center"/>
              <w:rPr>
                <w:rFonts w:hint="eastAsia" w:ascii="黑体" w:hAnsi="黑体" w:eastAsia="黑体" w:cs="黑体"/>
                <w:color w:val="auto"/>
                <w:sz w:val="18"/>
                <w:szCs w:val="18"/>
              </w:rPr>
            </w:pPr>
            <w:r>
              <w:rPr>
                <w:rFonts w:hint="eastAsia" w:ascii="黑体" w:hAnsi="黑体" w:eastAsia="黑体" w:cs="黑体"/>
                <w:color w:val="auto"/>
                <w:sz w:val="18"/>
                <w:szCs w:val="18"/>
              </w:rPr>
              <w:t>184</w:t>
            </w:r>
            <w:r>
              <w:rPr>
                <w:rFonts w:hint="eastAsia" w:ascii="黑体" w:hAnsi="黑体" w:eastAsia="黑体" w:cs="黑体"/>
                <w:color w:val="auto"/>
                <w:sz w:val="18"/>
                <w:szCs w:val="18"/>
                <w:lang w:val="en-US" w:eastAsia="zh-CN"/>
              </w:rPr>
              <w:t xml:space="preserve">, </w:t>
            </w:r>
            <w:r>
              <w:rPr>
                <w:rFonts w:hint="eastAsia" w:ascii="黑体" w:hAnsi="黑体" w:eastAsia="黑体" w:cs="黑体"/>
                <w:color w:val="auto"/>
                <w:sz w:val="18"/>
                <w:szCs w:val="18"/>
              </w:rPr>
              <w:t>186</w:t>
            </w:r>
          </w:p>
        </w:tc>
        <w:tc>
          <w:tcPr>
            <w:tcW w:w="1289" w:type="pct"/>
            <w:tcBorders>
              <w:top w:val="single" w:color="000000" w:sz="4" w:space="0"/>
              <w:left w:val="double" w:color="auto" w:sz="4" w:space="0"/>
              <w:bottom w:val="single" w:color="000000" w:sz="4" w:space="0"/>
              <w:right w:val="single" w:color="auto" w:sz="4" w:space="0"/>
            </w:tcBorders>
            <w:shd w:val="clear" w:color="auto" w:fill="FFFFFF"/>
            <w:noWrap/>
            <w:vAlign w:val="center"/>
          </w:tcPr>
          <w:p w14:paraId="1AA1BE33">
            <w:pPr>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T</w:t>
            </w:r>
            <w:r>
              <w:rPr>
                <w:rFonts w:hint="eastAsia" w:ascii="黑体" w:hAnsi="黑体" w:eastAsia="黑体" w:cs="黑体"/>
                <w:color w:val="auto"/>
                <w:sz w:val="18"/>
                <w:szCs w:val="18"/>
              </w:rPr>
              <w:t>hallium</w:t>
            </w:r>
            <w:r>
              <w:rPr>
                <w:rFonts w:hint="eastAsia" w:ascii="黑体" w:hAnsi="黑体" w:eastAsia="黑体" w:cs="黑体"/>
                <w:color w:val="auto"/>
                <w:sz w:val="18"/>
                <w:szCs w:val="18"/>
                <w:lang w:val="en-US" w:eastAsia="zh-CN"/>
              </w:rPr>
              <w:t>, Cesium</w:t>
            </w:r>
          </w:p>
        </w:tc>
        <w:tc>
          <w:tcPr>
            <w:tcW w:w="1291" w:type="pct"/>
            <w:tcBorders>
              <w:top w:val="single" w:color="000000" w:sz="4" w:space="0"/>
              <w:left w:val="single" w:color="auto" w:sz="4" w:space="0"/>
              <w:bottom w:val="single" w:color="000000" w:sz="4" w:space="0"/>
              <w:right w:val="single" w:color="000000" w:sz="12" w:space="0"/>
            </w:tcBorders>
            <w:shd w:val="clear" w:color="auto" w:fill="FFFFFF"/>
            <w:noWrap/>
            <w:vAlign w:val="center"/>
          </w:tcPr>
          <w:p w14:paraId="61B3B589">
            <w:pPr>
              <w:jc w:val="center"/>
              <w:rPr>
                <w:rFonts w:hint="eastAsia" w:ascii="黑体" w:hAnsi="黑体" w:eastAsia="黑体" w:cs="黑体"/>
                <w:color w:val="auto"/>
                <w:sz w:val="18"/>
                <w:szCs w:val="18"/>
              </w:rPr>
            </w:pPr>
            <w:r>
              <w:rPr>
                <w:rFonts w:hint="eastAsia" w:ascii="黑体" w:hAnsi="黑体" w:eastAsia="黑体" w:cs="黑体"/>
                <w:color w:val="auto"/>
                <w:sz w:val="18"/>
                <w:szCs w:val="18"/>
              </w:rPr>
              <w:t>205</w:t>
            </w:r>
            <w:r>
              <w:rPr>
                <w:rFonts w:hint="eastAsia" w:ascii="黑体" w:hAnsi="黑体" w:eastAsia="黑体" w:cs="黑体"/>
                <w:color w:val="auto"/>
                <w:sz w:val="18"/>
                <w:szCs w:val="18"/>
                <w:lang w:val="en-US" w:eastAsia="zh-CN"/>
              </w:rPr>
              <w:t>, 133</w:t>
            </w:r>
          </w:p>
        </w:tc>
      </w:tr>
      <w:tr w14:paraId="541B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5000" w:type="pct"/>
            <w:gridSpan w:val="4"/>
            <w:tcBorders>
              <w:top w:val="single" w:color="000000" w:sz="4" w:space="0"/>
              <w:left w:val="single" w:color="000000" w:sz="12" w:space="0"/>
              <w:bottom w:val="single" w:color="000000" w:sz="12" w:space="0"/>
              <w:right w:val="single" w:color="000000" w:sz="12" w:space="0"/>
            </w:tcBorders>
            <w:shd w:val="clear" w:color="auto" w:fill="FFFFFF"/>
            <w:noWrap/>
            <w:vAlign w:val="center"/>
          </w:tcPr>
          <w:p w14:paraId="0C0EACA4">
            <w:pPr>
              <w:keepNext w:val="0"/>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NOTE: For molybdenum metal and molybdenum-containing metals, the mass number 186 is selected for the determination of tungsten.</w:t>
            </w:r>
          </w:p>
        </w:tc>
      </w:tr>
    </w:tbl>
    <w:p w14:paraId="4B6F608C">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lang w:val="en-US" w:eastAsia="zh-CN"/>
        </w:rPr>
        <w:t>5</w:t>
      </w:r>
      <w:r>
        <w:rPr>
          <w:rFonts w:hint="eastAsia" w:hAnsi="黑体" w:cs="黑体"/>
          <w:color w:val="auto"/>
        </w:rPr>
        <w:t>.4 Sample</w:t>
      </w:r>
    </w:p>
    <w:p w14:paraId="2D782202">
      <w:pPr>
        <w:spacing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.4.1 Chipped samples of rare earth metal shall be weighed immediately after removal.</w:t>
      </w:r>
    </w:p>
    <w:p w14:paraId="190BDF63">
      <w:pPr>
        <w:pStyle w:val="118"/>
        <w:numPr>
          <w:ilvl w:val="1"/>
          <w:numId w:val="0"/>
        </w:numPr>
        <w:tabs>
          <w:tab w:val="left" w:pos="112"/>
        </w:tabs>
        <w:spacing w:before="312" w:beforeLines="100" w:after="312" w:afterLines="100"/>
        <w:outlineLvl w:val="0"/>
        <w:rPr>
          <w:rFonts w:hint="eastAsia" w:ascii="黑体" w:hAnsi="黑体" w:eastAsia="黑体" w:cs="黑体"/>
          <w:color w:val="auto"/>
        </w:rPr>
      </w:pPr>
      <w:r>
        <w:rPr>
          <w:rFonts w:hint="eastAsia" w:hAnsi="黑体" w:cs="黑体"/>
          <w:color w:val="auto"/>
          <w:lang w:val="en-US" w:eastAsia="zh-CN"/>
        </w:rPr>
        <w:t>5</w:t>
      </w:r>
      <w:r>
        <w:rPr>
          <w:rFonts w:hint="eastAsia" w:ascii="黑体" w:hAnsi="黑体" w:eastAsia="黑体" w:cs="黑体"/>
          <w:color w:val="auto"/>
        </w:rPr>
        <w:t>.4.2 For bulk rare earth metal,</w:t>
      </w:r>
      <w:r>
        <w:rPr>
          <w:rFonts w:hint="eastAsia" w:hAnsi="黑体" w:cs="黑体"/>
          <w:color w:val="auto"/>
          <w:lang w:val="en-US" w:eastAsia="zh-CN"/>
        </w:rPr>
        <w:t xml:space="preserve"> </w:t>
      </w:r>
      <w:r>
        <w:rPr>
          <w:rFonts w:hint="eastAsia" w:ascii="黑体" w:hAnsi="黑体" w:eastAsia="黑体" w:cs="黑体"/>
          <w:color w:val="auto"/>
          <w:lang w:val="en-US" w:eastAsia="zh-CN"/>
        </w:rPr>
        <w:t>polish the surface</w:t>
      </w:r>
      <w:r>
        <w:rPr>
          <w:rFonts w:hint="eastAsia" w:ascii="黑体" w:hAnsi="黑体" w:eastAsia="黑体" w:cs="黑体"/>
          <w:color w:val="auto"/>
        </w:rPr>
        <w:t xml:space="preserve">. Drill three points at equal distances on both the upper and lower surfaces of the metal ingot using a drill </w:t>
      </w:r>
      <w:r>
        <w:rPr>
          <w:rFonts w:hint="eastAsia" w:hAnsi="黑体" w:cs="黑体"/>
          <w:color w:val="auto"/>
          <w:lang w:val="en-US" w:eastAsia="zh-CN"/>
        </w:rPr>
        <w:t xml:space="preserve">bit </w:t>
      </w:r>
      <w:r>
        <w:rPr>
          <w:rFonts w:hint="eastAsia" w:ascii="黑体" w:hAnsi="黑体" w:eastAsia="黑体" w:cs="黑体"/>
          <w:color w:val="auto"/>
        </w:rPr>
        <w:t xml:space="preserve">with a diameter of 6 mm. Discard the drillings within 0.5 mm to 1.0 mm from </w:t>
      </w:r>
      <w:r>
        <w:rPr>
          <w:rFonts w:hint="eastAsia" w:ascii="黑体" w:hAnsi="黑体" w:eastAsia="黑体" w:cs="黑体"/>
          <w:bCs/>
          <w:color w:val="auto"/>
          <w:lang w:val="en-US" w:eastAsia="zh-CN"/>
        </w:rPr>
        <w:t>the bulk surface</w:t>
      </w:r>
      <w:r>
        <w:rPr>
          <w:rFonts w:hint="eastAsia" w:ascii="黑体" w:hAnsi="黑体" w:eastAsia="黑体" w:cs="黑体"/>
          <w:color w:val="auto"/>
        </w:rPr>
        <w:t>, then obtain the test sample using a drill with a diameter of 4 mm. The sample amount shall be not less than 10 g. Rapidly mix and reduce the obtained sample by quartering into four portions, and weigh the required test portion immediately.</w:t>
      </w:r>
    </w:p>
    <w:p w14:paraId="552F4C36">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lang w:val="en-US" w:eastAsia="zh-CN"/>
        </w:rPr>
        <w:t>5</w:t>
      </w:r>
      <w:r>
        <w:rPr>
          <w:rFonts w:hint="eastAsia" w:hAnsi="黑体" w:cs="黑体"/>
          <w:color w:val="auto"/>
        </w:rPr>
        <w:t>.5 Test Procedures</w:t>
      </w:r>
    </w:p>
    <w:p w14:paraId="6CA31EBD">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.5.1 Test portion</w:t>
      </w:r>
    </w:p>
    <w:p w14:paraId="4EC60245">
      <w:pPr>
        <w:spacing w:line="360" w:lineRule="exact"/>
        <w:rPr>
          <w:rFonts w:hint="eastAsia" w:ascii="黑体" w:hAnsi="黑体" w:eastAsia="黑体" w:cs="黑体"/>
          <w:color w:val="auto"/>
        </w:rPr>
      </w:pPr>
      <w:r>
        <w:rPr>
          <w:rFonts w:hint="eastAsia" w:ascii="黑体" w:hAnsi="黑体" w:eastAsia="黑体" w:cs="黑体"/>
          <w:color w:val="auto"/>
        </w:rPr>
        <w:t xml:space="preserve">Weigh </w:t>
      </w:r>
      <w:r>
        <w:rPr>
          <w:rFonts w:hint="eastAsia" w:ascii="黑体" w:hAnsi="黑体" w:eastAsia="黑体" w:cs="黑体"/>
          <w:color w:val="auto"/>
          <w:lang w:val="en-US" w:eastAsia="zh-CN"/>
        </w:rPr>
        <w:t>1.0</w:t>
      </w:r>
      <w:r>
        <w:rPr>
          <w:rFonts w:hint="eastAsia" w:ascii="黑体" w:hAnsi="黑体" w:eastAsia="黑体" w:cs="黑体"/>
          <w:color w:val="auto"/>
        </w:rPr>
        <w:t>0 g of the sample (</w:t>
      </w:r>
      <w:r>
        <w:rPr>
          <w:rFonts w:hint="eastAsia" w:ascii="黑体" w:hAnsi="黑体" w:eastAsia="黑体" w:cs="黑体"/>
          <w:color w:val="auto"/>
          <w:lang w:val="en-US" w:eastAsia="zh-CN"/>
        </w:rPr>
        <w:t>5</w:t>
      </w:r>
      <w:r>
        <w:rPr>
          <w:rFonts w:hint="eastAsia" w:ascii="黑体" w:hAnsi="黑体" w:eastAsia="黑体" w:cs="黑体"/>
          <w:color w:val="auto"/>
        </w:rPr>
        <w:t>.4), accurate to 0.0001 g.</w:t>
      </w:r>
    </w:p>
    <w:p w14:paraId="29FA7E7A">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.5.2 Parallel test</w:t>
      </w:r>
    </w:p>
    <w:p w14:paraId="4A1E038C">
      <w:pPr>
        <w:pStyle w:val="29"/>
        <w:adjustRightInd w:val="0"/>
        <w:snapToGrid w:val="0"/>
        <w:spacing w:line="360" w:lineRule="exact"/>
        <w:rPr>
          <w:rFonts w:hint="eastAsia" w:ascii="黑体" w:hAnsi="黑体" w:eastAsia="黑体" w:cs="黑体"/>
          <w:color w:val="auto"/>
        </w:rPr>
      </w:pPr>
      <w:r>
        <w:rPr>
          <w:rFonts w:hint="eastAsia" w:ascii="黑体" w:hAnsi="黑体" w:eastAsia="黑体" w:cs="黑体"/>
          <w:color w:val="auto"/>
          <w:lang w:val="en-US" w:eastAsia="zh-CN"/>
        </w:rPr>
        <w:t xml:space="preserve">Carry out two tests in </w:t>
      </w:r>
      <w:r>
        <w:rPr>
          <w:rFonts w:hint="eastAsia" w:ascii="黑体" w:hAnsi="黑体" w:eastAsia="黑体" w:cs="黑体"/>
          <w:color w:val="auto"/>
        </w:rPr>
        <w:t>parallel.</w:t>
      </w:r>
    </w:p>
    <w:p w14:paraId="57D202A3">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 xml:space="preserve">.5.3 Blank test </w:t>
      </w:r>
    </w:p>
    <w:p w14:paraId="21DD991E">
      <w:pPr>
        <w:pStyle w:val="29"/>
        <w:adjustRightInd w:val="0"/>
        <w:snapToGrid w:val="0"/>
        <w:spacing w:line="360" w:lineRule="exact"/>
        <w:rPr>
          <w:rFonts w:hint="eastAsia" w:ascii="黑体" w:hAnsi="黑体" w:eastAsia="黑体" w:cs="黑体"/>
          <w:color w:val="auto"/>
        </w:rPr>
      </w:pPr>
      <w:r>
        <w:rPr>
          <w:rFonts w:hint="eastAsia" w:ascii="黑体" w:hAnsi="黑体" w:eastAsia="黑体" w:cs="黑体"/>
          <w:color w:val="auto"/>
        </w:rPr>
        <w:t xml:space="preserve">Carry out a blank test along with the </w:t>
      </w:r>
      <w:r>
        <w:rPr>
          <w:rFonts w:hint="eastAsia" w:ascii="黑体" w:hAnsi="黑体" w:eastAsia="黑体" w:cs="黑体"/>
          <w:color w:val="auto"/>
          <w:lang w:val="en-US" w:eastAsia="zh-CN"/>
        </w:rPr>
        <w:t>test portion</w:t>
      </w:r>
      <w:r>
        <w:rPr>
          <w:rFonts w:hint="eastAsia" w:ascii="黑体" w:hAnsi="黑体" w:eastAsia="黑体" w:cs="黑体"/>
          <w:color w:val="auto"/>
        </w:rPr>
        <w:t>.</w:t>
      </w:r>
    </w:p>
    <w:p w14:paraId="14AA05C0">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.5.4 Preparation for analytical test solution</w:t>
      </w:r>
    </w:p>
    <w:p w14:paraId="1DBFFFD1">
      <w:pPr>
        <w:pStyle w:val="29"/>
        <w:adjustRightInd w:val="0"/>
        <w:snapToGrid w:val="0"/>
        <w:spacing w:line="360" w:lineRule="exact"/>
        <w:rPr>
          <w:rFonts w:hint="eastAsia" w:ascii="黑体" w:hAnsi="黑体" w:eastAsia="黑体" w:cs="黑体"/>
          <w:color w:val="auto"/>
          <w:szCs w:val="21"/>
        </w:rPr>
      </w:pPr>
      <w:r>
        <w:rPr>
          <w:rFonts w:hint="eastAsia" w:ascii="黑体" w:hAnsi="黑体" w:eastAsia="黑体" w:cs="黑体"/>
          <w:color w:val="auto"/>
          <w:szCs w:val="21"/>
          <w:lang w:val="en-US" w:eastAsia="zh-CN"/>
        </w:rPr>
        <w:t>5</w:t>
      </w:r>
      <w:r>
        <w:rPr>
          <w:rFonts w:hint="eastAsia" w:ascii="黑体" w:hAnsi="黑体" w:eastAsia="黑体" w:cs="黑体"/>
          <w:color w:val="auto"/>
          <w:szCs w:val="21"/>
        </w:rPr>
        <w:t>.5.4.1 Place the test portion (</w:t>
      </w:r>
      <w:r>
        <w:rPr>
          <w:rFonts w:hint="eastAsia" w:ascii="黑体" w:hAnsi="黑体" w:eastAsia="黑体" w:cs="黑体"/>
          <w:color w:val="auto"/>
          <w:szCs w:val="21"/>
          <w:lang w:val="en-US" w:eastAsia="zh-CN"/>
        </w:rPr>
        <w:t>5</w:t>
      </w:r>
      <w:r>
        <w:rPr>
          <w:rFonts w:hint="eastAsia" w:ascii="黑体" w:hAnsi="黑体" w:eastAsia="黑体" w:cs="黑体"/>
          <w:color w:val="auto"/>
          <w:szCs w:val="21"/>
        </w:rPr>
        <w:t>.5.1) in a 200 mL polytetrafluoroethylene (PTFE) beaker and moisten with a small amount of water. Add 10 mL of nitric acid (</w:t>
      </w:r>
      <w:r>
        <w:rPr>
          <w:rFonts w:hint="eastAsia" w:ascii="黑体" w:hAnsi="黑体" w:eastAsia="黑体" w:cs="黑体"/>
          <w:color w:val="auto"/>
          <w:szCs w:val="21"/>
          <w:lang w:val="en-US" w:eastAsia="zh-CN"/>
        </w:rPr>
        <w:t>5</w:t>
      </w:r>
      <w:r>
        <w:rPr>
          <w:rFonts w:hint="eastAsia" w:ascii="黑体" w:hAnsi="黑体" w:eastAsia="黑体" w:cs="黑体"/>
          <w:color w:val="auto"/>
          <w:szCs w:val="21"/>
        </w:rPr>
        <w:t xml:space="preserve">.2.4) and heat at low temperature </w:t>
      </w:r>
      <w:r>
        <w:rPr>
          <w:rFonts w:hint="eastAsia" w:ascii="黑体" w:hAnsi="黑体" w:eastAsia="黑体" w:cs="黑体"/>
          <w:color w:val="auto"/>
          <w:szCs w:val="21"/>
          <w:lang w:val="en-US" w:eastAsia="zh-CN"/>
        </w:rPr>
        <w:t>until completely dissolved to a clear solution.</w:t>
      </w:r>
      <w:r>
        <w:rPr>
          <w:rFonts w:hint="eastAsia" w:ascii="黑体" w:hAnsi="黑体" w:eastAsia="黑体" w:cs="黑体"/>
          <w:color w:val="auto"/>
          <w:szCs w:val="21"/>
        </w:rPr>
        <w:t xml:space="preserve"> Add 50 mL of water and 5 mL of hydrofluoric acid (</w:t>
      </w:r>
      <w:r>
        <w:rPr>
          <w:rFonts w:hint="eastAsia" w:ascii="黑体" w:hAnsi="黑体" w:eastAsia="黑体" w:cs="黑体"/>
          <w:color w:val="auto"/>
          <w:szCs w:val="21"/>
          <w:lang w:val="en-US" w:eastAsia="zh-CN"/>
        </w:rPr>
        <w:t>5</w:t>
      </w:r>
      <w:r>
        <w:rPr>
          <w:rFonts w:hint="eastAsia" w:ascii="黑体" w:hAnsi="黑体" w:eastAsia="黑体" w:cs="黑体"/>
          <w:color w:val="auto"/>
          <w:szCs w:val="21"/>
        </w:rPr>
        <w:t>.2.3), heat to near boiling， keep it warm on a hot plate at 80 ℃ for 10 min.. Allow to cool to room temperature, transfer to a 100 mL plastic volumetric flask, dilute to the mark with water, and mix well. After the precipitate settles, filter through a double layer of slow-speed filter paper (dry filtration).</w:t>
      </w:r>
    </w:p>
    <w:p w14:paraId="73DF6B2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color w:val="auto"/>
          <w:szCs w:val="21"/>
        </w:rPr>
      </w:pPr>
      <w:r>
        <w:rPr>
          <w:rFonts w:hint="eastAsia" w:ascii="黑体" w:hAnsi="黑体" w:eastAsia="黑体" w:cs="黑体"/>
          <w:color w:val="auto"/>
          <w:szCs w:val="21"/>
          <w:lang w:val="en-US" w:eastAsia="zh-CN"/>
        </w:rPr>
        <w:t>5</w:t>
      </w:r>
      <w:r>
        <w:rPr>
          <w:rFonts w:hint="eastAsia" w:ascii="黑体" w:hAnsi="黑体" w:eastAsia="黑体" w:cs="黑体"/>
          <w:color w:val="auto"/>
          <w:szCs w:val="21"/>
        </w:rPr>
        <w:t>.5.4.2 Pipette the corresponding volume of test solution (5.5.4.1) as specified in Table 5 into a 200 mL plastic volumetric flask, add 5 mL of boric acid solution (5.2.6), 4 mL of nitric acid (5.2.2) and 2 mL of cesium, rhodium, thallium internal standard mixed solution (5.2.13), dilute to the mark with water, and mix well. This solution is ready for measurement.</w:t>
      </w:r>
    </w:p>
    <w:p w14:paraId="36F67666">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textAlignment w:val="auto"/>
        <w:rPr>
          <w:rFonts w:hint="eastAsia" w:ascii="黑体" w:hAnsi="黑体" w:eastAsia="黑体" w:cs="黑体"/>
          <w:color w:val="auto"/>
          <w:sz w:val="18"/>
          <w:szCs w:val="21"/>
          <w:lang w:val="en-US" w:eastAsia="zh-CN"/>
        </w:rPr>
      </w:pPr>
      <w:r>
        <w:rPr>
          <w:rFonts w:hint="eastAsia" w:ascii="黑体" w:hAnsi="黑体" w:eastAsia="黑体" w:cs="黑体"/>
          <w:color w:val="auto"/>
          <w:sz w:val="18"/>
          <w:szCs w:val="21"/>
          <w:lang w:val="en-US" w:eastAsia="zh-CN"/>
        </w:rPr>
        <w:t>NOTE: If the instrument is equipped with a hydrofluoric acid-resistant sample introduction system, the boric acid solution (5.2.6) may be omitted. When using an instrument with an online internal standard addition device, the cesium, rhodium, thallium mixed internal standard solution (5.2.13) is not added; instead, the mass concentration of the cesium, rhodium, thallium internal standard mixed solution in the online determination solution is controlled to be 10 ng/mL according to the addition ratio of the device.</w:t>
      </w:r>
    </w:p>
    <w:p w14:paraId="3B8F77DC">
      <w:pPr>
        <w:spacing w:before="156" w:beforeLines="50" w:after="156" w:afterLines="50" w:line="360" w:lineRule="exact"/>
        <w:jc w:val="center"/>
        <w:rPr>
          <w:rFonts w:hint="eastAsia" w:ascii="黑体" w:hAnsi="黑体" w:eastAsia="黑体" w:cs="黑体"/>
          <w:color w:val="auto"/>
          <w:lang w:val="en-US" w:eastAsia="zh-CN"/>
        </w:rPr>
      </w:pPr>
      <w:r>
        <w:rPr>
          <w:rFonts w:hint="eastAsia" w:ascii="黑体" w:hAnsi="黑体" w:eastAsia="黑体" w:cs="黑体"/>
          <w:color w:val="auto"/>
          <w:lang w:val="en-US" w:eastAsia="zh-CN"/>
        </w:rPr>
        <w:t>Table 5 Pipetted volume of sample solution for different content ranges</w:t>
      </w:r>
    </w:p>
    <w:tbl>
      <w:tblPr>
        <w:tblStyle w:val="5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6"/>
        <w:gridCol w:w="4224"/>
      </w:tblGrid>
      <w:tr w14:paraId="6C66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1" w:type="pct"/>
            <w:tcBorders>
              <w:top w:val="single" w:color="000000" w:sz="12" w:space="0"/>
              <w:left w:val="single" w:color="000000" w:sz="12" w:space="0"/>
              <w:bottom w:val="single" w:color="auto" w:sz="12" w:space="0"/>
              <w:right w:val="single" w:color="000000" w:sz="4" w:space="0"/>
              <w:tl2br w:val="nil"/>
            </w:tcBorders>
            <w:shd w:val="clear" w:color="auto" w:fill="FFFFFF"/>
            <w:noWrap/>
            <w:vAlign w:val="center"/>
          </w:tcPr>
          <w:p w14:paraId="46E2D4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Content range of element to be determined (mass fraction)</w:t>
            </w:r>
          </w:p>
          <w:p w14:paraId="46F919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c>
          <w:tcPr>
            <w:tcW w:w="2398" w:type="pct"/>
            <w:tcBorders>
              <w:top w:val="single" w:color="000000" w:sz="12" w:space="0"/>
              <w:left w:val="single" w:color="auto" w:sz="4" w:space="0"/>
              <w:bottom w:val="single" w:color="auto" w:sz="12" w:space="0"/>
              <w:right w:val="single" w:color="000000" w:sz="12" w:space="0"/>
            </w:tcBorders>
            <w:shd w:val="clear" w:color="auto" w:fill="FFFFFF"/>
            <w:noWrap/>
          </w:tcPr>
          <w:p w14:paraId="247707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auto"/>
                <w:spacing w:val="0"/>
                <w:sz w:val="18"/>
                <w:szCs w:val="18"/>
                <w:shd w:val="clear" w:fill="FFFFFF"/>
              </w:rPr>
            </w:pPr>
            <w:r>
              <w:rPr>
                <w:rFonts w:hint="eastAsia" w:ascii="黑体" w:hAnsi="黑体" w:eastAsia="黑体" w:cs="黑体"/>
                <w:i w:val="0"/>
                <w:iCs w:val="0"/>
                <w:caps w:val="0"/>
                <w:color w:val="auto"/>
                <w:spacing w:val="0"/>
                <w:sz w:val="18"/>
                <w:szCs w:val="18"/>
                <w:shd w:val="clear" w:fill="FFFFFF"/>
              </w:rPr>
              <w:t>Pipetted volume</w:t>
            </w:r>
          </w:p>
          <w:p w14:paraId="0F39A5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i w:val="0"/>
                <w:iCs w:val="0"/>
                <w:caps w:val="0"/>
                <w:color w:val="auto"/>
                <w:spacing w:val="0"/>
                <w:sz w:val="18"/>
                <w:szCs w:val="18"/>
                <w:shd w:val="clear" w:fill="FFFFFF"/>
              </w:rPr>
              <w:t>mL</w:t>
            </w:r>
          </w:p>
        </w:tc>
      </w:tr>
      <w:tr w14:paraId="35D2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2601" w:type="pct"/>
            <w:tcBorders>
              <w:top w:val="single" w:color="auto" w:sz="12" w:space="0"/>
              <w:left w:val="single" w:color="000000" w:sz="12" w:space="0"/>
              <w:bottom w:val="single" w:color="000000" w:sz="4" w:space="0"/>
              <w:right w:val="single" w:color="000000" w:sz="4" w:space="0"/>
            </w:tcBorders>
            <w:shd w:val="clear" w:color="auto" w:fill="FFFFFF"/>
            <w:noWrap/>
            <w:vAlign w:val="center"/>
          </w:tcPr>
          <w:p w14:paraId="2B3D7E62">
            <w:pPr>
              <w:jc w:val="center"/>
              <w:rPr>
                <w:rFonts w:hint="eastAsia" w:ascii="黑体" w:hAnsi="黑体" w:eastAsia="黑体" w:cs="黑体"/>
                <w:color w:val="auto"/>
                <w:sz w:val="18"/>
                <w:szCs w:val="18"/>
              </w:rPr>
            </w:pPr>
            <w:r>
              <w:rPr>
                <w:rFonts w:hint="eastAsia" w:ascii="黑体" w:hAnsi="黑体" w:eastAsia="黑体" w:cs="黑体"/>
                <w:color w:val="auto"/>
                <w:sz w:val="18"/>
                <w:szCs w:val="18"/>
              </w:rPr>
              <w:t>0.0001~0.0</w:t>
            </w:r>
            <w:r>
              <w:rPr>
                <w:rFonts w:hint="eastAsia" w:ascii="黑体" w:hAnsi="黑体" w:eastAsia="黑体" w:cs="黑体"/>
                <w:color w:val="auto"/>
                <w:sz w:val="18"/>
                <w:szCs w:val="18"/>
                <w:lang w:val="en-US" w:eastAsia="zh-CN"/>
              </w:rPr>
              <w:t>05</w:t>
            </w:r>
            <w:r>
              <w:rPr>
                <w:rFonts w:hint="eastAsia" w:ascii="黑体" w:hAnsi="黑体" w:eastAsia="黑体" w:cs="黑体"/>
                <w:color w:val="auto"/>
                <w:sz w:val="18"/>
                <w:szCs w:val="18"/>
              </w:rPr>
              <w:t>0</w:t>
            </w:r>
          </w:p>
        </w:tc>
        <w:tc>
          <w:tcPr>
            <w:tcW w:w="2398" w:type="pct"/>
            <w:tcBorders>
              <w:top w:val="single" w:color="auto" w:sz="12" w:space="0"/>
              <w:left w:val="single" w:color="auto" w:sz="4" w:space="0"/>
              <w:bottom w:val="single" w:color="000000" w:sz="4" w:space="0"/>
              <w:right w:val="single" w:color="000000" w:sz="12" w:space="0"/>
            </w:tcBorders>
            <w:shd w:val="clear" w:color="auto" w:fill="FFFFFF"/>
            <w:noWrap/>
            <w:vAlign w:val="center"/>
          </w:tcPr>
          <w:p w14:paraId="1835FC3B">
            <w:pPr>
              <w:jc w:val="center"/>
              <w:rPr>
                <w:rFonts w:hint="eastAsia" w:ascii="黑体" w:hAnsi="黑体" w:eastAsia="黑体" w:cs="黑体"/>
                <w:color w:val="auto"/>
                <w:sz w:val="18"/>
                <w:szCs w:val="18"/>
              </w:rPr>
            </w:pPr>
            <w:r>
              <w:rPr>
                <w:rFonts w:hint="eastAsia" w:ascii="黑体" w:hAnsi="黑体" w:eastAsia="黑体" w:cs="黑体"/>
                <w:color w:val="auto"/>
                <w:sz w:val="18"/>
                <w:szCs w:val="18"/>
              </w:rPr>
              <w:t>10</w:t>
            </w:r>
          </w:p>
        </w:tc>
      </w:tr>
      <w:tr w14:paraId="5CC8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2601" w:type="pct"/>
            <w:tcBorders>
              <w:top w:val="single" w:color="000000" w:sz="4" w:space="0"/>
              <w:left w:val="single" w:color="000000" w:sz="12" w:space="0"/>
              <w:bottom w:val="single" w:color="000000" w:sz="12" w:space="0"/>
              <w:right w:val="single" w:color="000000" w:sz="4" w:space="0"/>
            </w:tcBorders>
            <w:shd w:val="clear" w:color="auto" w:fill="FFFFFF"/>
            <w:noWrap/>
            <w:vAlign w:val="center"/>
          </w:tcPr>
          <w:p w14:paraId="34C9C2EA">
            <w:pPr>
              <w:jc w:val="center"/>
              <w:rPr>
                <w:rFonts w:hint="eastAsia" w:ascii="黑体" w:hAnsi="黑体" w:eastAsia="黑体" w:cs="黑体"/>
                <w:color w:val="auto"/>
                <w:sz w:val="18"/>
                <w:szCs w:val="18"/>
              </w:rPr>
            </w:pPr>
            <w:r>
              <w:rPr>
                <w:rFonts w:hint="eastAsia" w:ascii="黑体" w:hAnsi="黑体" w:eastAsia="黑体" w:cs="黑体"/>
                <w:color w:val="auto"/>
                <w:sz w:val="18"/>
                <w:szCs w:val="18"/>
              </w:rPr>
              <w:t>&gt;0.0</w:t>
            </w:r>
            <w:r>
              <w:rPr>
                <w:rFonts w:hint="eastAsia" w:ascii="黑体" w:hAnsi="黑体" w:eastAsia="黑体" w:cs="黑体"/>
                <w:color w:val="auto"/>
                <w:sz w:val="18"/>
                <w:szCs w:val="18"/>
                <w:lang w:val="en-US" w:eastAsia="zh-CN"/>
              </w:rPr>
              <w:t>05</w:t>
            </w:r>
            <w:r>
              <w:rPr>
                <w:rFonts w:hint="eastAsia" w:ascii="黑体" w:hAnsi="黑体" w:eastAsia="黑体" w:cs="黑体"/>
                <w:color w:val="auto"/>
                <w:sz w:val="18"/>
                <w:szCs w:val="18"/>
              </w:rPr>
              <w:t>0~0.10</w:t>
            </w:r>
          </w:p>
        </w:tc>
        <w:tc>
          <w:tcPr>
            <w:tcW w:w="2398" w:type="pct"/>
            <w:tcBorders>
              <w:top w:val="single" w:color="000000" w:sz="4" w:space="0"/>
              <w:left w:val="single" w:color="auto" w:sz="4" w:space="0"/>
              <w:bottom w:val="single" w:color="000000" w:sz="12" w:space="0"/>
              <w:right w:val="single" w:color="000000" w:sz="12" w:space="0"/>
            </w:tcBorders>
            <w:shd w:val="clear" w:color="auto" w:fill="FFFFFF"/>
            <w:noWrap/>
            <w:vAlign w:val="center"/>
          </w:tcPr>
          <w:p w14:paraId="69F06226">
            <w:pPr>
              <w:jc w:val="center"/>
              <w:rPr>
                <w:rFonts w:hint="eastAsia" w:ascii="黑体" w:hAnsi="黑体" w:eastAsia="黑体" w:cs="黑体"/>
                <w:color w:val="auto"/>
                <w:sz w:val="18"/>
                <w:szCs w:val="18"/>
              </w:rPr>
            </w:pPr>
            <w:r>
              <w:rPr>
                <w:rFonts w:hint="eastAsia" w:ascii="黑体" w:hAnsi="黑体" w:eastAsia="黑体" w:cs="黑体"/>
                <w:color w:val="auto"/>
                <w:sz w:val="18"/>
                <w:szCs w:val="18"/>
              </w:rPr>
              <w:t>1</w:t>
            </w:r>
          </w:p>
        </w:tc>
      </w:tr>
    </w:tbl>
    <w:p w14:paraId="4A38EBA9">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.5.5 Preparation of standard series solutions</w:t>
      </w:r>
    </w:p>
    <w:p w14:paraId="0E5D3C36">
      <w:pPr>
        <w:spacing w:line="360" w:lineRule="exact"/>
        <w:rPr>
          <w:rFonts w:hint="eastAsia" w:ascii="黑体" w:hAnsi="黑体" w:eastAsia="黑体" w:cs="黑体"/>
          <w:color w:val="auto"/>
        </w:rPr>
      </w:pPr>
      <w:r>
        <w:rPr>
          <w:rFonts w:hint="eastAsia" w:ascii="黑体" w:hAnsi="黑体" w:eastAsia="黑体" w:cs="黑体"/>
          <w:color w:val="auto"/>
          <w:lang w:val="en-US" w:eastAsia="zh-CN"/>
        </w:rPr>
        <w:t>T</w:t>
      </w:r>
      <w:r>
        <w:rPr>
          <w:rFonts w:hint="eastAsia" w:ascii="黑体" w:hAnsi="黑体" w:eastAsia="黑体" w:cs="黑体"/>
          <w:color w:val="auto"/>
        </w:rPr>
        <w:t>ransfer 0 mL, 0.</w:t>
      </w:r>
      <w:r>
        <w:rPr>
          <w:rFonts w:hint="eastAsia" w:ascii="黑体" w:hAnsi="黑体" w:eastAsia="黑体" w:cs="黑体"/>
          <w:color w:val="auto"/>
          <w:lang w:val="en-US" w:eastAsia="zh-CN"/>
        </w:rPr>
        <w:t>1</w:t>
      </w:r>
      <w:r>
        <w:rPr>
          <w:rFonts w:hint="eastAsia" w:ascii="黑体" w:hAnsi="黑体" w:eastAsia="黑体" w:cs="黑体"/>
          <w:color w:val="auto"/>
        </w:rPr>
        <w:t xml:space="preserve">0 mL, </w:t>
      </w:r>
      <w:r>
        <w:rPr>
          <w:rFonts w:hint="eastAsia" w:ascii="黑体" w:hAnsi="黑体" w:eastAsia="黑体" w:cs="黑体"/>
          <w:color w:val="auto"/>
          <w:lang w:val="en-US" w:eastAsia="zh-CN"/>
        </w:rPr>
        <w:t>0.20</w:t>
      </w:r>
      <w:r>
        <w:rPr>
          <w:rFonts w:hint="eastAsia" w:ascii="黑体" w:hAnsi="黑体" w:eastAsia="黑体" w:cs="黑体"/>
          <w:color w:val="auto"/>
        </w:rPr>
        <w:t xml:space="preserve"> mL, </w:t>
      </w:r>
      <w:r>
        <w:rPr>
          <w:rFonts w:hint="eastAsia" w:ascii="黑体" w:hAnsi="黑体" w:eastAsia="黑体" w:cs="黑体"/>
          <w:color w:val="auto"/>
          <w:lang w:val="en-US" w:eastAsia="zh-CN"/>
        </w:rPr>
        <w:t>1</w:t>
      </w:r>
      <w:r>
        <w:rPr>
          <w:rFonts w:hint="eastAsia" w:ascii="黑体" w:hAnsi="黑体" w:eastAsia="黑体" w:cs="黑体"/>
          <w:color w:val="auto"/>
        </w:rPr>
        <w:t xml:space="preserve">.00 mL, </w:t>
      </w:r>
      <w:r>
        <w:rPr>
          <w:rFonts w:hint="eastAsia" w:ascii="黑体" w:hAnsi="黑体" w:eastAsia="黑体" w:cs="黑体"/>
          <w:color w:val="auto"/>
          <w:lang w:val="en-US" w:eastAsia="zh-CN"/>
        </w:rPr>
        <w:t>2.0</w:t>
      </w:r>
      <w:r>
        <w:rPr>
          <w:rFonts w:hint="eastAsia" w:ascii="黑体" w:hAnsi="黑体" w:eastAsia="黑体" w:cs="黑体"/>
          <w:color w:val="auto"/>
        </w:rPr>
        <w:t xml:space="preserve">0 mL, </w:t>
      </w:r>
      <w:r>
        <w:rPr>
          <w:rFonts w:hint="eastAsia" w:ascii="黑体" w:hAnsi="黑体" w:eastAsia="黑体" w:cs="黑体"/>
          <w:color w:val="auto"/>
          <w:lang w:val="en-US" w:eastAsia="zh-CN"/>
        </w:rPr>
        <w:t>5</w:t>
      </w:r>
      <w:r>
        <w:rPr>
          <w:rFonts w:hint="eastAsia" w:ascii="黑体" w:hAnsi="黑体" w:eastAsia="黑体" w:cs="黑体"/>
          <w:color w:val="auto"/>
        </w:rPr>
        <w:t>.00 mL and 1</w:t>
      </w:r>
      <w:r>
        <w:rPr>
          <w:rFonts w:hint="eastAsia" w:ascii="黑体" w:hAnsi="黑体" w:eastAsia="黑体" w:cs="黑体"/>
          <w:color w:val="auto"/>
          <w:lang w:val="en-US" w:eastAsia="zh-CN"/>
        </w:rPr>
        <w:t>0</w:t>
      </w:r>
      <w:r>
        <w:rPr>
          <w:rFonts w:hint="eastAsia" w:ascii="黑体" w:hAnsi="黑体" w:eastAsia="黑体" w:cs="黑体"/>
          <w:color w:val="auto"/>
        </w:rPr>
        <w:t xml:space="preserve">.00 mL of </w:t>
      </w:r>
      <w:r>
        <w:rPr>
          <w:rFonts w:hint="eastAsia" w:ascii="黑体" w:hAnsi="黑体" w:eastAsia="黑体" w:cs="黑体"/>
          <w:color w:val="auto"/>
          <w:lang w:val="en-US" w:eastAsia="zh-CN"/>
        </w:rPr>
        <w:t>m</w:t>
      </w:r>
      <w:r>
        <w:rPr>
          <w:rFonts w:hint="eastAsia" w:ascii="黑体" w:hAnsi="黑体" w:eastAsia="黑体" w:cs="黑体"/>
          <w:color w:val="auto"/>
        </w:rPr>
        <w:t>olybdenum and tungsten mixed standard solution (</w:t>
      </w:r>
      <w:r>
        <w:rPr>
          <w:rFonts w:hint="eastAsia" w:ascii="黑体" w:hAnsi="黑体" w:eastAsia="黑体" w:cs="黑体"/>
          <w:color w:val="auto"/>
          <w:lang w:val="en-US" w:eastAsia="zh-CN"/>
        </w:rPr>
        <w:t>5</w:t>
      </w:r>
      <w:r>
        <w:rPr>
          <w:rFonts w:hint="eastAsia" w:ascii="黑体" w:hAnsi="黑体" w:eastAsia="黑体" w:cs="黑体"/>
          <w:color w:val="auto"/>
        </w:rPr>
        <w:t xml:space="preserve">.2.9) into </w:t>
      </w:r>
      <w:r>
        <w:rPr>
          <w:rFonts w:hint="eastAsia" w:ascii="黑体" w:hAnsi="黑体" w:eastAsia="黑体" w:cs="黑体"/>
          <w:color w:val="auto"/>
          <w:lang w:val="en-US" w:eastAsia="zh-CN"/>
        </w:rPr>
        <w:t>seven</w:t>
      </w:r>
      <w:r>
        <w:rPr>
          <w:rFonts w:hint="eastAsia" w:ascii="黑体" w:hAnsi="黑体" w:eastAsia="黑体" w:cs="黑体"/>
          <w:color w:val="auto"/>
        </w:rPr>
        <w:t xml:space="preserve"> </w:t>
      </w:r>
      <w:r>
        <w:rPr>
          <w:rFonts w:hint="eastAsia" w:ascii="黑体" w:hAnsi="黑体" w:eastAsia="黑体" w:cs="黑体"/>
          <w:color w:val="auto"/>
          <w:lang w:val="en-US" w:eastAsia="zh-CN"/>
        </w:rPr>
        <w:t>10</w:t>
      </w:r>
      <w:r>
        <w:rPr>
          <w:rFonts w:hint="eastAsia" w:ascii="黑体" w:hAnsi="黑体" w:eastAsia="黑体" w:cs="黑体"/>
          <w:color w:val="auto"/>
        </w:rPr>
        <w:t>0 mL plastic</w:t>
      </w:r>
      <w:r>
        <w:rPr>
          <w:rFonts w:hint="eastAsia" w:ascii="黑体" w:hAnsi="黑体" w:eastAsia="黑体" w:cs="黑体"/>
          <w:color w:val="auto"/>
          <w:lang w:val="en-US" w:eastAsia="zh-CN"/>
        </w:rPr>
        <w:t xml:space="preserve"> </w:t>
      </w:r>
      <w:r>
        <w:rPr>
          <w:rFonts w:hint="eastAsia" w:ascii="黑体" w:hAnsi="黑体" w:eastAsia="黑体" w:cs="黑体"/>
          <w:color w:val="auto"/>
        </w:rPr>
        <w:t>volumetric flasks, respectively; add 4 drops (approx. 0.2 mL) of hydrofluoric acid (</w:t>
      </w:r>
      <w:r>
        <w:rPr>
          <w:rFonts w:hint="eastAsia" w:ascii="黑体" w:hAnsi="黑体" w:eastAsia="黑体" w:cs="黑体"/>
          <w:color w:val="auto"/>
          <w:lang w:val="en-US" w:eastAsia="zh-CN"/>
        </w:rPr>
        <w:t>5</w:t>
      </w:r>
      <w:r>
        <w:rPr>
          <w:rFonts w:hint="eastAsia" w:ascii="黑体" w:hAnsi="黑体" w:eastAsia="黑体" w:cs="黑体"/>
          <w:color w:val="auto"/>
        </w:rPr>
        <w:t>.2.3)</w:t>
      </w:r>
      <w:r>
        <w:rPr>
          <w:rFonts w:hint="eastAsia" w:ascii="黑体" w:hAnsi="黑体" w:eastAsia="黑体" w:cs="黑体"/>
          <w:color w:val="auto"/>
          <w:szCs w:val="21"/>
          <w:lang w:val="en-US" w:eastAsia="zh-CN"/>
        </w:rPr>
        <w:t>,</w:t>
      </w:r>
      <w:r>
        <w:rPr>
          <w:rFonts w:hint="eastAsia" w:ascii="黑体" w:hAnsi="黑体" w:eastAsia="黑体" w:cs="黑体"/>
          <w:color w:val="auto"/>
        </w:rPr>
        <w:t xml:space="preserve"> 5 mL of boric acid solution (</w:t>
      </w:r>
      <w:r>
        <w:rPr>
          <w:rFonts w:hint="eastAsia" w:ascii="黑体" w:hAnsi="黑体" w:eastAsia="黑体" w:cs="黑体"/>
          <w:color w:val="auto"/>
          <w:lang w:val="en-US" w:eastAsia="zh-CN"/>
        </w:rPr>
        <w:t>5</w:t>
      </w:r>
      <w:r>
        <w:rPr>
          <w:rFonts w:hint="eastAsia" w:ascii="黑体" w:hAnsi="黑体" w:eastAsia="黑体" w:cs="黑体"/>
          <w:color w:val="auto"/>
        </w:rPr>
        <w:t>.2.6)</w:t>
      </w:r>
      <w:r>
        <w:rPr>
          <w:rFonts w:hint="eastAsia" w:ascii="黑体" w:hAnsi="黑体" w:eastAsia="黑体" w:cs="黑体"/>
          <w:color w:val="auto"/>
          <w:lang w:val="en-US" w:eastAsia="zh-CN"/>
        </w:rPr>
        <w:t>,</w:t>
      </w:r>
      <w:r>
        <w:rPr>
          <w:rFonts w:hint="eastAsia" w:ascii="黑体" w:hAnsi="黑体" w:eastAsia="黑体" w:cs="黑体"/>
          <w:color w:val="auto"/>
        </w:rPr>
        <w:t xml:space="preserve"> </w:t>
      </w:r>
      <w:r>
        <w:rPr>
          <w:rFonts w:hint="eastAsia" w:ascii="黑体" w:hAnsi="黑体" w:eastAsia="黑体" w:cs="黑体"/>
          <w:color w:val="auto"/>
          <w:lang w:val="en-US" w:eastAsia="zh-CN"/>
        </w:rPr>
        <w:t>2</w:t>
      </w:r>
      <w:r>
        <w:rPr>
          <w:rFonts w:hint="eastAsia" w:ascii="黑体" w:hAnsi="黑体" w:eastAsia="黑体" w:cs="黑体"/>
          <w:color w:val="auto"/>
        </w:rPr>
        <w:t xml:space="preserve"> mL of nitric acid (</w:t>
      </w:r>
      <w:r>
        <w:rPr>
          <w:rFonts w:hint="eastAsia" w:ascii="黑体" w:hAnsi="黑体" w:eastAsia="黑体" w:cs="黑体"/>
          <w:color w:val="auto"/>
          <w:lang w:val="en-US" w:eastAsia="zh-CN"/>
        </w:rPr>
        <w:t>5</w:t>
      </w:r>
      <w:r>
        <w:rPr>
          <w:rFonts w:hint="eastAsia" w:ascii="黑体" w:hAnsi="黑体" w:eastAsia="黑体" w:cs="黑体"/>
          <w:color w:val="auto"/>
        </w:rPr>
        <w:t>.2.2)</w:t>
      </w:r>
      <w:r>
        <w:rPr>
          <w:rFonts w:hint="eastAsia" w:ascii="黑体" w:hAnsi="黑体" w:eastAsia="黑体" w:cs="黑体"/>
          <w:color w:val="auto"/>
          <w:lang w:val="en-US" w:eastAsia="zh-CN"/>
        </w:rPr>
        <w:t xml:space="preserve"> </w:t>
      </w:r>
      <w:r>
        <w:rPr>
          <w:rFonts w:hint="eastAsia" w:ascii="黑体" w:hAnsi="黑体" w:eastAsia="黑体" w:cs="黑体"/>
          <w:color w:val="auto"/>
        </w:rPr>
        <w:t>and</w:t>
      </w:r>
      <w:r>
        <w:rPr>
          <w:rFonts w:hint="eastAsia" w:ascii="黑体" w:hAnsi="黑体" w:eastAsia="黑体" w:cs="黑体"/>
          <w:color w:val="auto"/>
          <w:lang w:val="en-US" w:eastAsia="zh-CN"/>
        </w:rPr>
        <w:t xml:space="preserve"> 1</w:t>
      </w:r>
      <w:r>
        <w:rPr>
          <w:rFonts w:hint="eastAsia" w:ascii="黑体" w:hAnsi="黑体" w:eastAsia="黑体" w:cs="黑体"/>
          <w:color w:val="auto"/>
        </w:rPr>
        <w:t xml:space="preserve"> mL of</w:t>
      </w:r>
      <w:r>
        <w:rPr>
          <w:rFonts w:hint="eastAsia" w:ascii="黑体" w:hAnsi="黑体" w:eastAsia="黑体" w:cs="黑体"/>
          <w:color w:val="auto"/>
          <w:lang w:val="en-US" w:eastAsia="zh-CN"/>
        </w:rPr>
        <w:t xml:space="preserve"> Cesium</w:t>
      </w:r>
      <w:r>
        <w:rPr>
          <w:rFonts w:hint="eastAsia" w:ascii="黑体" w:hAnsi="黑体" w:eastAsia="黑体" w:cs="黑体"/>
          <w:color w:val="auto"/>
        </w:rPr>
        <w:t xml:space="preserve">, rhodium, </w:t>
      </w:r>
      <w:r>
        <w:rPr>
          <w:rFonts w:hint="eastAsia" w:ascii="黑体" w:hAnsi="黑体" w:eastAsia="黑体" w:cs="黑体"/>
          <w:color w:val="auto"/>
          <w:lang w:val="en-US" w:eastAsia="zh-CN"/>
        </w:rPr>
        <w:t>t</w:t>
      </w:r>
      <w:r>
        <w:rPr>
          <w:rFonts w:hint="eastAsia" w:ascii="黑体" w:hAnsi="黑体" w:eastAsia="黑体" w:cs="黑体"/>
          <w:color w:val="auto"/>
        </w:rPr>
        <w:t>hallium internal standard mixed solution(</w:t>
      </w:r>
      <w:r>
        <w:rPr>
          <w:rFonts w:hint="eastAsia" w:ascii="黑体" w:hAnsi="黑体" w:eastAsia="黑体" w:cs="黑体"/>
          <w:color w:val="auto"/>
          <w:lang w:val="en-US" w:eastAsia="zh-CN"/>
        </w:rPr>
        <w:t>5</w:t>
      </w:r>
      <w:r>
        <w:rPr>
          <w:rFonts w:hint="eastAsia" w:ascii="黑体" w:hAnsi="黑体" w:eastAsia="黑体" w:cs="黑体"/>
          <w:color w:val="auto"/>
        </w:rPr>
        <w:t>.2.</w:t>
      </w:r>
      <w:r>
        <w:rPr>
          <w:rFonts w:hint="eastAsia" w:ascii="黑体" w:hAnsi="黑体" w:eastAsia="黑体" w:cs="黑体"/>
          <w:color w:val="auto"/>
          <w:lang w:val="en-US" w:eastAsia="zh-CN"/>
        </w:rPr>
        <w:t>13</w:t>
      </w:r>
      <w:r>
        <w:rPr>
          <w:rFonts w:hint="eastAsia" w:ascii="黑体" w:hAnsi="黑体" w:eastAsia="黑体" w:cs="黑体"/>
          <w:color w:val="auto"/>
        </w:rPr>
        <w:t>)</w:t>
      </w:r>
      <w:r>
        <w:rPr>
          <w:rFonts w:hint="eastAsia" w:ascii="黑体" w:hAnsi="黑体" w:eastAsia="黑体" w:cs="黑体"/>
          <w:color w:val="auto"/>
          <w:lang w:val="en-US" w:eastAsia="zh-CN"/>
        </w:rPr>
        <w:t xml:space="preserve"> </w:t>
      </w:r>
      <w:r>
        <w:rPr>
          <w:rFonts w:hint="eastAsia" w:ascii="黑体" w:hAnsi="黑体" w:eastAsia="黑体" w:cs="黑体"/>
          <w:color w:val="auto"/>
        </w:rPr>
        <w:t>respectively, dilute to the mark with water, and mix well. The mass concentration of the molybdenum and tungsten</w:t>
      </w:r>
      <w:r>
        <w:rPr>
          <w:rFonts w:hint="eastAsia" w:ascii="黑体" w:hAnsi="黑体" w:eastAsia="黑体" w:cs="黑体"/>
          <w:color w:val="auto"/>
          <w:lang w:val="en-US" w:eastAsia="zh-CN"/>
        </w:rPr>
        <w:t xml:space="preserve"> </w:t>
      </w:r>
      <w:r>
        <w:rPr>
          <w:rFonts w:hint="eastAsia" w:ascii="黑体" w:hAnsi="黑体" w:eastAsia="黑体" w:cs="黑体"/>
          <w:color w:val="auto"/>
        </w:rPr>
        <w:t xml:space="preserve">series standard solutions are </w:t>
      </w:r>
      <w:r>
        <w:rPr>
          <w:rFonts w:hint="eastAsia" w:ascii="黑体" w:hAnsi="黑体" w:eastAsia="黑体" w:cs="黑体"/>
          <w:color w:val="auto"/>
          <w:szCs w:val="21"/>
        </w:rPr>
        <w:t xml:space="preserve">0 </w:t>
      </w:r>
      <w:r>
        <w:rPr>
          <w:rFonts w:hint="eastAsia" w:ascii="黑体" w:hAnsi="黑体" w:eastAsia="黑体" w:cs="黑体"/>
          <w:color w:val="auto"/>
          <w:szCs w:val="21"/>
          <w:lang w:val="en-US" w:eastAsia="zh-CN"/>
        </w:rPr>
        <w:t>n</w:t>
      </w:r>
      <w:r>
        <w:rPr>
          <w:rFonts w:hint="eastAsia" w:ascii="黑体" w:hAnsi="黑体" w:eastAsia="黑体" w:cs="黑体"/>
          <w:color w:val="auto"/>
          <w:szCs w:val="21"/>
        </w:rPr>
        <w:t>g/mL</w:t>
      </w:r>
      <w:r>
        <w:rPr>
          <w:rFonts w:hint="eastAsia" w:ascii="黑体" w:hAnsi="黑体" w:eastAsia="黑体" w:cs="黑体"/>
          <w:color w:val="auto"/>
          <w:szCs w:val="21"/>
          <w:lang w:val="en-US" w:eastAsia="zh-CN"/>
        </w:rPr>
        <w:t xml:space="preserve">, </w:t>
      </w:r>
      <w:r>
        <w:rPr>
          <w:rFonts w:hint="eastAsia" w:ascii="黑体" w:hAnsi="黑体" w:eastAsia="黑体" w:cs="黑体"/>
          <w:color w:val="auto"/>
          <w:szCs w:val="21"/>
        </w:rPr>
        <w:t>0.</w:t>
      </w:r>
      <w:r>
        <w:rPr>
          <w:rFonts w:hint="eastAsia" w:ascii="黑体" w:hAnsi="黑体" w:eastAsia="黑体" w:cs="黑体"/>
          <w:color w:val="auto"/>
          <w:szCs w:val="21"/>
          <w:lang w:val="en-US" w:eastAsia="zh-CN"/>
        </w:rPr>
        <w:t>5</w:t>
      </w:r>
      <w:r>
        <w:rPr>
          <w:rFonts w:hint="eastAsia" w:ascii="黑体" w:hAnsi="黑体" w:eastAsia="黑体" w:cs="黑体"/>
          <w:color w:val="auto"/>
          <w:szCs w:val="21"/>
        </w:rPr>
        <w:t xml:space="preserve">0 </w:t>
      </w:r>
      <w:r>
        <w:rPr>
          <w:rFonts w:hint="eastAsia" w:ascii="黑体" w:hAnsi="黑体" w:eastAsia="黑体" w:cs="黑体"/>
          <w:color w:val="auto"/>
          <w:szCs w:val="21"/>
          <w:lang w:val="en-US" w:eastAsia="zh-CN"/>
        </w:rPr>
        <w:t>n</w:t>
      </w:r>
      <w:r>
        <w:rPr>
          <w:rFonts w:hint="eastAsia" w:ascii="黑体" w:hAnsi="黑体" w:eastAsia="黑体" w:cs="黑体"/>
          <w:color w:val="auto"/>
          <w:szCs w:val="21"/>
        </w:rPr>
        <w:t>g/mL</w:t>
      </w:r>
      <w:r>
        <w:rPr>
          <w:rFonts w:hint="eastAsia" w:ascii="黑体" w:hAnsi="黑体" w:eastAsia="黑体" w:cs="黑体"/>
          <w:color w:val="auto"/>
          <w:szCs w:val="21"/>
          <w:lang w:val="en-US" w:eastAsia="zh-CN"/>
        </w:rPr>
        <w:t>, 1.00</w:t>
      </w:r>
      <w:r>
        <w:rPr>
          <w:rFonts w:hint="eastAsia" w:ascii="黑体" w:hAnsi="黑体" w:eastAsia="黑体" w:cs="黑体"/>
          <w:color w:val="auto"/>
          <w:szCs w:val="21"/>
        </w:rPr>
        <w:t xml:space="preserve"> </w:t>
      </w:r>
      <w:r>
        <w:rPr>
          <w:rFonts w:hint="eastAsia" w:ascii="黑体" w:hAnsi="黑体" w:eastAsia="黑体" w:cs="黑体"/>
          <w:color w:val="auto"/>
          <w:szCs w:val="21"/>
          <w:lang w:val="en-US" w:eastAsia="zh-CN"/>
        </w:rPr>
        <w:t>n</w:t>
      </w:r>
      <w:r>
        <w:rPr>
          <w:rFonts w:hint="eastAsia" w:ascii="黑体" w:hAnsi="黑体" w:eastAsia="黑体" w:cs="黑体"/>
          <w:color w:val="auto"/>
          <w:szCs w:val="21"/>
        </w:rPr>
        <w:t>g/mL</w:t>
      </w:r>
      <w:r>
        <w:rPr>
          <w:rFonts w:hint="eastAsia" w:ascii="黑体" w:hAnsi="黑体" w:eastAsia="黑体" w:cs="黑体"/>
          <w:color w:val="auto"/>
          <w:szCs w:val="21"/>
          <w:lang w:val="en-US" w:eastAsia="zh-CN"/>
        </w:rPr>
        <w:t>, 5</w:t>
      </w:r>
      <w:r>
        <w:rPr>
          <w:rFonts w:hint="eastAsia" w:ascii="黑体" w:hAnsi="黑体" w:eastAsia="黑体" w:cs="黑体"/>
          <w:color w:val="auto"/>
          <w:szCs w:val="21"/>
        </w:rPr>
        <w:t xml:space="preserve">.00 </w:t>
      </w:r>
      <w:r>
        <w:rPr>
          <w:rFonts w:hint="eastAsia" w:ascii="黑体" w:hAnsi="黑体" w:eastAsia="黑体" w:cs="黑体"/>
          <w:color w:val="auto"/>
          <w:szCs w:val="21"/>
          <w:lang w:val="en-US" w:eastAsia="zh-CN"/>
        </w:rPr>
        <w:t>n</w:t>
      </w:r>
      <w:r>
        <w:rPr>
          <w:rFonts w:hint="eastAsia" w:ascii="黑体" w:hAnsi="黑体" w:eastAsia="黑体" w:cs="黑体"/>
          <w:color w:val="auto"/>
          <w:szCs w:val="21"/>
        </w:rPr>
        <w:t>g/mL</w:t>
      </w:r>
      <w:r>
        <w:rPr>
          <w:rFonts w:hint="eastAsia" w:ascii="黑体" w:hAnsi="黑体" w:eastAsia="黑体" w:cs="黑体"/>
          <w:color w:val="auto"/>
          <w:szCs w:val="21"/>
          <w:lang w:val="en-US" w:eastAsia="zh-CN"/>
        </w:rPr>
        <w:t>, 10.00</w:t>
      </w:r>
      <w:r>
        <w:rPr>
          <w:rFonts w:hint="eastAsia" w:ascii="黑体" w:hAnsi="黑体" w:eastAsia="黑体" w:cs="黑体"/>
          <w:color w:val="auto"/>
          <w:szCs w:val="21"/>
        </w:rPr>
        <w:t xml:space="preserve"> </w:t>
      </w:r>
      <w:r>
        <w:rPr>
          <w:rFonts w:hint="eastAsia" w:ascii="黑体" w:hAnsi="黑体" w:eastAsia="黑体" w:cs="黑体"/>
          <w:color w:val="auto"/>
          <w:szCs w:val="21"/>
          <w:lang w:val="en-US" w:eastAsia="zh-CN"/>
        </w:rPr>
        <w:t>n</w:t>
      </w:r>
      <w:r>
        <w:rPr>
          <w:rFonts w:hint="eastAsia" w:ascii="黑体" w:hAnsi="黑体" w:eastAsia="黑体" w:cs="黑体"/>
          <w:color w:val="auto"/>
          <w:szCs w:val="21"/>
        </w:rPr>
        <w:t>g/mL</w:t>
      </w:r>
      <w:r>
        <w:rPr>
          <w:rFonts w:hint="eastAsia" w:ascii="黑体" w:hAnsi="黑体" w:eastAsia="黑体" w:cs="黑体"/>
          <w:color w:val="auto"/>
          <w:szCs w:val="21"/>
          <w:lang w:val="en-US" w:eastAsia="zh-CN"/>
        </w:rPr>
        <w:t>, 25</w:t>
      </w:r>
      <w:r>
        <w:rPr>
          <w:rFonts w:hint="eastAsia" w:ascii="黑体" w:hAnsi="黑体" w:eastAsia="黑体" w:cs="黑体"/>
          <w:color w:val="auto"/>
          <w:szCs w:val="21"/>
        </w:rPr>
        <w:t xml:space="preserve">.00 </w:t>
      </w:r>
      <w:r>
        <w:rPr>
          <w:rFonts w:hint="eastAsia" w:ascii="黑体" w:hAnsi="黑体" w:eastAsia="黑体" w:cs="黑体"/>
          <w:color w:val="auto"/>
          <w:szCs w:val="21"/>
          <w:lang w:val="en-US" w:eastAsia="zh-CN"/>
        </w:rPr>
        <w:t>n</w:t>
      </w:r>
      <w:r>
        <w:rPr>
          <w:rFonts w:hint="eastAsia" w:ascii="黑体" w:hAnsi="黑体" w:eastAsia="黑体" w:cs="黑体"/>
          <w:color w:val="auto"/>
          <w:szCs w:val="21"/>
        </w:rPr>
        <w:t>g/mL</w:t>
      </w:r>
      <w:r>
        <w:rPr>
          <w:rFonts w:hint="eastAsia" w:ascii="黑体" w:hAnsi="黑体" w:eastAsia="黑体" w:cs="黑体"/>
          <w:color w:val="auto"/>
          <w:szCs w:val="21"/>
          <w:lang w:val="en-US" w:eastAsia="zh-CN"/>
        </w:rPr>
        <w:t>, 5</w:t>
      </w:r>
      <w:r>
        <w:rPr>
          <w:rFonts w:hint="eastAsia" w:ascii="黑体" w:hAnsi="黑体" w:eastAsia="黑体" w:cs="黑体"/>
          <w:color w:val="auto"/>
          <w:szCs w:val="21"/>
        </w:rPr>
        <w:t xml:space="preserve">0.00 </w:t>
      </w:r>
      <w:r>
        <w:rPr>
          <w:rFonts w:hint="eastAsia" w:ascii="黑体" w:hAnsi="黑体" w:eastAsia="黑体" w:cs="黑体"/>
          <w:color w:val="auto"/>
          <w:szCs w:val="21"/>
          <w:lang w:val="en-US" w:eastAsia="zh-CN"/>
        </w:rPr>
        <w:t>n</w:t>
      </w:r>
      <w:r>
        <w:rPr>
          <w:rFonts w:hint="eastAsia" w:ascii="黑体" w:hAnsi="黑体" w:eastAsia="黑体" w:cs="黑体"/>
          <w:color w:val="auto"/>
          <w:szCs w:val="21"/>
        </w:rPr>
        <w:t>g</w:t>
      </w:r>
      <w:r>
        <w:rPr>
          <w:rFonts w:hint="eastAsia" w:ascii="黑体" w:hAnsi="黑体" w:eastAsia="黑体" w:cs="黑体"/>
          <w:color w:val="auto"/>
          <w:szCs w:val="21"/>
          <w:lang w:val="en-US" w:eastAsia="zh-CN"/>
        </w:rPr>
        <w:t xml:space="preserve"> </w:t>
      </w:r>
      <w:r>
        <w:rPr>
          <w:rFonts w:hint="eastAsia" w:ascii="黑体" w:hAnsi="黑体" w:eastAsia="黑体" w:cs="黑体"/>
          <w:color w:val="auto"/>
          <w:szCs w:val="21"/>
        </w:rPr>
        <w:t>/mL</w:t>
      </w:r>
      <w:r>
        <w:rPr>
          <w:rFonts w:hint="eastAsia" w:ascii="黑体" w:hAnsi="黑体" w:eastAsia="黑体" w:cs="黑体"/>
          <w:color w:val="auto"/>
          <w:szCs w:val="21"/>
          <w:lang w:val="en-US" w:eastAsia="zh-CN"/>
        </w:rPr>
        <w:t>,</w:t>
      </w:r>
      <w:r>
        <w:rPr>
          <w:rFonts w:hint="eastAsia" w:ascii="黑体" w:hAnsi="黑体" w:eastAsia="黑体" w:cs="黑体"/>
          <w:color w:val="auto"/>
          <w:szCs w:val="21"/>
        </w:rPr>
        <w:t xml:space="preserve"> </w:t>
      </w:r>
      <w:r>
        <w:rPr>
          <w:rFonts w:hint="eastAsia" w:ascii="黑体" w:hAnsi="黑体" w:eastAsia="黑体" w:cs="黑体"/>
          <w:color w:val="auto"/>
        </w:rPr>
        <w:t>respectively.</w:t>
      </w:r>
    </w:p>
    <w:p w14:paraId="56549015">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textAlignment w:val="auto"/>
        <w:rPr>
          <w:rFonts w:hint="eastAsia" w:ascii="黑体" w:hAnsi="黑体" w:eastAsia="黑体" w:cs="黑体"/>
          <w:color w:val="auto"/>
          <w:sz w:val="18"/>
          <w:szCs w:val="21"/>
          <w:lang w:val="en-US" w:eastAsia="zh-CN"/>
        </w:rPr>
      </w:pPr>
      <w:r>
        <w:rPr>
          <w:rFonts w:hint="eastAsia" w:ascii="黑体" w:hAnsi="黑体" w:eastAsia="黑体" w:cs="黑体"/>
          <w:color w:val="auto"/>
          <w:sz w:val="18"/>
          <w:szCs w:val="21"/>
          <w:lang w:val="en-US" w:eastAsia="zh-CN"/>
        </w:rPr>
        <w:t>NOTE: If the instrument is equipped with a hydrofluoric acid-resistant sample introduction system, the boric acid solution (5.2.6) may be omitted. When using an instrument with an online internal standard addition device, the cesium, rhodium, thallium mixed internal standard solution (5.2.13) is not added; instead, the mass concentration of the cesium, rhodium, thallium internal standard mixed solution in the online determination solution is controlled to be 10 ng/mL according to the addition ratio of the device.</w:t>
      </w:r>
    </w:p>
    <w:p w14:paraId="0781A87D">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.5.6 Determination</w:t>
      </w:r>
    </w:p>
    <w:p w14:paraId="5EAA1EDE">
      <w:pPr>
        <w:pStyle w:val="29"/>
        <w:adjustRightInd w:val="0"/>
        <w:snapToGrid w:val="0"/>
        <w:spacing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 xml:space="preserve">.5.6.1 </w:t>
      </w:r>
      <w:r>
        <w:rPr>
          <w:rFonts w:ascii="黑体" w:hAnsi="黑体" w:eastAsia="黑体" w:cs="黑体"/>
          <w:color w:val="auto"/>
        </w:rPr>
        <w:t>Plotting the calibration curve</w:t>
      </w:r>
    </w:p>
    <w:p w14:paraId="7DB0699D">
      <w:pPr>
        <w:pStyle w:val="29"/>
        <w:adjustRightInd w:val="0"/>
        <w:snapToGrid w:val="0"/>
        <w:spacing w:line="360" w:lineRule="exact"/>
        <w:rPr>
          <w:rFonts w:hint="eastAsia" w:ascii="黑体" w:hAnsi="黑体" w:eastAsia="黑体" w:cs="黑体"/>
          <w:color w:val="auto"/>
        </w:rPr>
      </w:pPr>
      <w:r>
        <w:rPr>
          <w:rFonts w:hint="eastAsia" w:ascii="黑体" w:hAnsi="黑体" w:eastAsia="黑体" w:cs="黑体"/>
          <w:color w:val="auto"/>
        </w:rPr>
        <w:t xml:space="preserve">After the inductively coupled plasma </w:t>
      </w:r>
      <w:r>
        <w:rPr>
          <w:rFonts w:hint="eastAsia" w:ascii="黑体" w:hAnsi="黑体" w:eastAsia="黑体" w:cs="黑体"/>
          <w:color w:val="auto"/>
          <w:lang w:val="en-US" w:eastAsia="zh-CN"/>
        </w:rPr>
        <w:t>mass</w:t>
      </w:r>
      <w:r>
        <w:rPr>
          <w:rFonts w:hint="eastAsia" w:ascii="黑体" w:hAnsi="黑体" w:eastAsia="黑体" w:cs="黑体"/>
          <w:color w:val="auto"/>
        </w:rPr>
        <w:t xml:space="preserve"> spectrometer operates stably, the ion current signal intensit</w:t>
      </w:r>
      <w:r>
        <w:rPr>
          <w:rFonts w:hint="eastAsia" w:ascii="黑体" w:hAnsi="黑体" w:eastAsia="黑体" w:cs="黑体"/>
          <w:color w:val="auto"/>
          <w:lang w:val="en-US" w:eastAsia="zh-CN"/>
        </w:rPr>
        <w:t>y</w:t>
      </w:r>
      <w:r>
        <w:rPr>
          <w:rFonts w:hint="eastAsia" w:ascii="黑体" w:hAnsi="黑体" w:eastAsia="黑体" w:cs="黑体"/>
          <w:color w:val="auto"/>
        </w:rPr>
        <w:t xml:space="preserve"> of the analyt</w:t>
      </w:r>
      <w:r>
        <w:rPr>
          <w:rFonts w:hint="eastAsia" w:ascii="黑体" w:hAnsi="黑体" w:eastAsia="黑体" w:cs="黑体"/>
          <w:color w:val="auto"/>
          <w:lang w:val="en-US" w:eastAsia="zh-CN"/>
        </w:rPr>
        <w:t>e</w:t>
      </w:r>
      <w:r>
        <w:rPr>
          <w:rFonts w:hint="eastAsia" w:ascii="黑体" w:hAnsi="黑体" w:eastAsia="黑体" w:cs="黑体"/>
          <w:color w:val="auto"/>
        </w:rPr>
        <w:t xml:space="preserve"> element</w:t>
      </w:r>
      <w:r>
        <w:rPr>
          <w:rFonts w:hint="eastAsia" w:ascii="黑体" w:hAnsi="黑体" w:eastAsia="黑体" w:cs="黑体"/>
          <w:color w:val="auto"/>
          <w:lang w:val="en-US" w:eastAsia="zh-CN"/>
        </w:rPr>
        <w:t>s</w:t>
      </w:r>
      <w:r>
        <w:rPr>
          <w:rFonts w:hint="eastAsia" w:ascii="黑体" w:hAnsi="黑体" w:eastAsia="黑体" w:cs="黑体"/>
          <w:color w:val="auto"/>
        </w:rPr>
        <w:t xml:space="preserve"> </w:t>
      </w:r>
      <w:r>
        <w:rPr>
          <w:rFonts w:hint="eastAsia" w:ascii="黑体" w:hAnsi="黑体" w:eastAsia="黑体" w:cs="黑体"/>
          <w:color w:val="auto"/>
          <w:lang w:val="en-US" w:eastAsia="zh-CN"/>
        </w:rPr>
        <w:t xml:space="preserve">and </w:t>
      </w:r>
      <w:r>
        <w:rPr>
          <w:rFonts w:hint="eastAsia" w:ascii="黑体" w:hAnsi="黑体" w:eastAsia="黑体" w:cs="黑体"/>
          <w:color w:val="auto"/>
        </w:rPr>
        <w:t>the internal standard elements</w:t>
      </w:r>
      <w:r>
        <w:rPr>
          <w:rFonts w:hint="eastAsia" w:ascii="黑体" w:hAnsi="黑体" w:eastAsia="黑体" w:cs="黑体"/>
          <w:color w:val="auto"/>
          <w:lang w:val="en-US" w:eastAsia="zh-CN"/>
        </w:rPr>
        <w:t xml:space="preserve"> </w:t>
      </w:r>
      <w:r>
        <w:rPr>
          <w:rFonts w:hint="eastAsia" w:ascii="黑体" w:hAnsi="黑体" w:eastAsia="黑体" w:cs="黑体"/>
          <w:color w:val="auto"/>
        </w:rPr>
        <w:t>in the series of standard solutions (</w:t>
      </w:r>
      <w:r>
        <w:rPr>
          <w:rFonts w:hint="eastAsia" w:ascii="黑体" w:hAnsi="黑体" w:eastAsia="黑体" w:cs="黑体"/>
          <w:color w:val="auto"/>
          <w:lang w:val="en-US" w:eastAsia="zh-CN"/>
        </w:rPr>
        <w:t>5</w:t>
      </w:r>
      <w:r>
        <w:rPr>
          <w:rFonts w:hint="eastAsia" w:ascii="黑体" w:hAnsi="黑体" w:eastAsia="黑体" w:cs="黑体"/>
          <w:color w:val="auto"/>
        </w:rPr>
        <w:t>.5.5) shall be measured at the</w:t>
      </w:r>
      <w:r>
        <w:rPr>
          <w:rFonts w:hint="eastAsia" w:ascii="黑体" w:hAnsi="黑体" w:eastAsia="黑体" w:cs="黑体"/>
          <w:color w:val="auto"/>
          <w:lang w:val="en-US" w:eastAsia="zh-CN"/>
        </w:rPr>
        <w:t xml:space="preserve"> elements and</w:t>
      </w:r>
      <w:r>
        <w:rPr>
          <w:rFonts w:hint="eastAsia" w:ascii="黑体" w:hAnsi="黑体" w:eastAsia="黑体" w:cs="黑体"/>
          <w:color w:val="auto"/>
        </w:rPr>
        <w:t xml:space="preserve"> </w:t>
      </w:r>
      <w:r>
        <w:rPr>
          <w:rFonts w:hint="eastAsia" w:ascii="黑体" w:hAnsi="黑体" w:eastAsia="黑体" w:cs="黑体"/>
          <w:color w:val="auto"/>
          <w:lang w:val="en-US" w:eastAsia="zh-CN"/>
        </w:rPr>
        <w:t xml:space="preserve">the </w:t>
      </w:r>
      <w:r>
        <w:rPr>
          <w:rFonts w:hint="eastAsia" w:ascii="黑体" w:hAnsi="黑体" w:eastAsia="黑体" w:cs="黑体"/>
          <w:color w:val="auto"/>
        </w:rPr>
        <w:t>internal standard element</w:t>
      </w:r>
      <w:r>
        <w:rPr>
          <w:rFonts w:hint="eastAsia" w:ascii="黑体" w:hAnsi="黑体" w:eastAsia="黑体" w:cs="黑体"/>
          <w:color w:val="auto"/>
          <w:lang w:val="en-US" w:eastAsia="zh-CN"/>
        </w:rPr>
        <w:t xml:space="preserve"> </w:t>
      </w:r>
      <w:r>
        <w:rPr>
          <w:rFonts w:hint="eastAsia" w:ascii="黑体" w:hAnsi="黑体" w:eastAsia="黑体" w:cs="黑体"/>
          <w:color w:val="auto"/>
        </w:rPr>
        <w:t>successively</w:t>
      </w:r>
      <w:r>
        <w:rPr>
          <w:rFonts w:hint="eastAsia" w:ascii="黑体" w:hAnsi="黑体" w:eastAsia="黑体" w:cs="黑体"/>
          <w:color w:val="auto"/>
          <w:lang w:val="en-US" w:eastAsia="zh-CN"/>
        </w:rPr>
        <w:t xml:space="preserve"> providing</w:t>
      </w:r>
      <w:r>
        <w:rPr>
          <w:rFonts w:hint="eastAsia" w:ascii="黑体" w:hAnsi="黑体" w:eastAsia="黑体" w:cs="黑体"/>
          <w:color w:val="auto"/>
        </w:rPr>
        <w:t xml:space="preserve"> the selected operating conditions of the instrument</w:t>
      </w:r>
      <w:r>
        <w:rPr>
          <w:rFonts w:hint="eastAsia" w:ascii="黑体" w:hAnsi="黑体" w:eastAsia="黑体" w:cs="黑体"/>
          <w:color w:val="auto"/>
          <w:lang w:val="en-US" w:eastAsia="zh-CN"/>
        </w:rPr>
        <w:t>.</w:t>
      </w:r>
      <w:r>
        <w:rPr>
          <w:rFonts w:hint="eastAsia" w:ascii="黑体" w:hAnsi="黑体" w:eastAsia="黑体" w:cs="黑体"/>
          <w:color w:val="auto"/>
        </w:rPr>
        <w:t xml:space="preserve"> The calibration curve shall be plotted, with the mass concentration of the element to be determined in the series of standard solutions as the abscissa, and the ratio of the ion current signal intensity of the element to be determined to that of the internal standard element as the ordinate. The correlation coefficient of the standard curve concerning each element shall be not less than 0.9995; otherwise, the standardization procedure shall be performed again, or the standard solution series shall be prepared again for standardization.</w:t>
      </w:r>
    </w:p>
    <w:p w14:paraId="1827A72E">
      <w:pPr>
        <w:pStyle w:val="29"/>
        <w:adjustRightInd w:val="0"/>
        <w:snapToGrid w:val="0"/>
        <w:spacing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.5.6.2 Determination of blank test solution</w:t>
      </w:r>
    </w:p>
    <w:p w14:paraId="503CD7BB">
      <w:pPr>
        <w:spacing w:line="360" w:lineRule="exact"/>
        <w:rPr>
          <w:rFonts w:hint="eastAsia" w:ascii="黑体" w:hAnsi="黑体" w:eastAsia="黑体" w:cs="黑体"/>
          <w:color w:val="auto"/>
        </w:rPr>
      </w:pPr>
      <w:r>
        <w:rPr>
          <w:rFonts w:hint="eastAsia" w:ascii="黑体" w:hAnsi="黑体" w:eastAsia="黑体" w:cs="黑体"/>
          <w:color w:val="auto"/>
        </w:rPr>
        <w:t xml:space="preserve">After the </w:t>
      </w:r>
      <w:r>
        <w:rPr>
          <w:rFonts w:ascii="黑体" w:hAnsi="黑体" w:eastAsia="黑体" w:cs="黑体"/>
          <w:color w:val="auto"/>
        </w:rPr>
        <w:t>calibration</w:t>
      </w:r>
      <w:r>
        <w:rPr>
          <w:rFonts w:hint="eastAsia" w:ascii="黑体" w:hAnsi="黑体" w:eastAsia="黑体" w:cs="黑体"/>
          <w:color w:val="auto"/>
        </w:rPr>
        <w:t xml:space="preserve"> curve (</w:t>
      </w:r>
      <w:r>
        <w:rPr>
          <w:rFonts w:hint="eastAsia" w:ascii="黑体" w:hAnsi="黑体" w:eastAsia="黑体" w:cs="黑体"/>
          <w:color w:val="auto"/>
          <w:lang w:val="en-US" w:eastAsia="zh-CN"/>
        </w:rPr>
        <w:t>5.5.6.1</w:t>
      </w:r>
      <w:r>
        <w:rPr>
          <w:rFonts w:hint="eastAsia" w:ascii="黑体" w:hAnsi="黑体" w:eastAsia="黑体" w:cs="黑体"/>
          <w:color w:val="auto"/>
        </w:rPr>
        <w:t>) meets the determination requirements</w:t>
      </w:r>
      <w:r>
        <w:rPr>
          <w:rFonts w:hint="eastAsia" w:ascii="黑体" w:hAnsi="黑体" w:eastAsia="黑体" w:cs="黑体"/>
          <w:color w:val="auto"/>
          <w:lang w:val="en-US" w:eastAsia="zh-CN"/>
        </w:rPr>
        <w:t xml:space="preserve">, </w:t>
      </w:r>
      <w:r>
        <w:rPr>
          <w:rFonts w:hint="eastAsia" w:ascii="黑体" w:hAnsi="黑体" w:eastAsia="黑体" w:cs="黑体"/>
          <w:color w:val="auto"/>
        </w:rPr>
        <w:t xml:space="preserve">perform argon plasma </w:t>
      </w:r>
      <w:r>
        <w:rPr>
          <w:rFonts w:hint="eastAsia" w:ascii="黑体" w:hAnsi="黑体" w:eastAsia="黑体" w:cs="黑体"/>
          <w:color w:val="auto"/>
          <w:lang w:val="en-US" w:eastAsia="zh-CN"/>
        </w:rPr>
        <w:t>mass</w:t>
      </w:r>
      <w:r>
        <w:rPr>
          <w:rFonts w:hint="eastAsia" w:ascii="黑体" w:hAnsi="黑体" w:eastAsia="黑体" w:cs="黑体"/>
          <w:color w:val="auto"/>
        </w:rPr>
        <w:t xml:space="preserve"> spectrometric measurement on the blank test solution (</w:t>
      </w:r>
      <w:r>
        <w:rPr>
          <w:rFonts w:hint="eastAsia" w:ascii="黑体" w:hAnsi="黑体" w:eastAsia="黑体" w:cs="黑体"/>
          <w:color w:val="auto"/>
          <w:lang w:val="en-US" w:eastAsia="zh-CN"/>
        </w:rPr>
        <w:t>5</w:t>
      </w:r>
      <w:r>
        <w:rPr>
          <w:rFonts w:hint="eastAsia" w:ascii="黑体" w:hAnsi="黑体" w:eastAsia="黑体" w:cs="黑体"/>
          <w:color w:val="auto"/>
        </w:rPr>
        <w:t xml:space="preserve">.5.3) using the selected isotope mass numbers. The instrument automatically processes the data according to the </w:t>
      </w:r>
      <w:r>
        <w:rPr>
          <w:rFonts w:ascii="黑体" w:hAnsi="黑体" w:eastAsia="黑体" w:cs="黑体"/>
          <w:color w:val="auto"/>
        </w:rPr>
        <w:t>calibration</w:t>
      </w:r>
      <w:r>
        <w:rPr>
          <w:rFonts w:hint="eastAsia" w:ascii="黑体" w:hAnsi="黑体" w:eastAsia="黑体" w:cs="黑体"/>
          <w:color w:val="auto"/>
        </w:rPr>
        <w:t xml:space="preserve"> curve, calculates and outputs the mass concentration of the element</w:t>
      </w:r>
      <w:r>
        <w:rPr>
          <w:rFonts w:hint="eastAsia" w:ascii="黑体" w:hAnsi="黑体" w:eastAsia="黑体" w:cs="黑体"/>
          <w:color w:val="auto"/>
          <w:lang w:val="en-US" w:eastAsia="zh-CN"/>
        </w:rPr>
        <w:t>s.</w:t>
      </w:r>
    </w:p>
    <w:p w14:paraId="1FF5D4FA">
      <w:pPr>
        <w:pStyle w:val="29"/>
        <w:adjustRightInd w:val="0"/>
        <w:snapToGrid w:val="0"/>
        <w:spacing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.5.6.</w:t>
      </w:r>
      <w:r>
        <w:rPr>
          <w:rFonts w:hint="eastAsia" w:ascii="黑体" w:hAnsi="黑体" w:eastAsia="黑体" w:cs="黑体"/>
          <w:color w:val="auto"/>
          <w:lang w:val="en-US" w:eastAsia="zh-CN"/>
        </w:rPr>
        <w:t>3</w:t>
      </w:r>
      <w:r>
        <w:rPr>
          <w:rFonts w:hint="eastAsia" w:ascii="黑体" w:hAnsi="黑体" w:eastAsia="黑体" w:cs="黑体"/>
          <w:color w:val="auto"/>
        </w:rPr>
        <w:t xml:space="preserve"> Determination of analytical test solution</w:t>
      </w:r>
    </w:p>
    <w:p w14:paraId="5529F79A">
      <w:pPr>
        <w:spacing w:line="360" w:lineRule="exact"/>
        <w:rPr>
          <w:rFonts w:hint="eastAsia" w:ascii="黑体" w:hAnsi="黑体" w:eastAsia="黑体" w:cs="黑体"/>
          <w:color w:val="auto"/>
        </w:rPr>
      </w:pPr>
      <w:r>
        <w:rPr>
          <w:rFonts w:hint="eastAsia" w:ascii="黑体" w:hAnsi="黑体" w:eastAsia="黑体" w:cs="黑体"/>
          <w:color w:val="auto"/>
        </w:rPr>
        <w:t>After the calibration curve (</w:t>
      </w:r>
      <w:r>
        <w:rPr>
          <w:rFonts w:hint="eastAsia" w:ascii="黑体" w:hAnsi="黑体" w:eastAsia="黑体" w:cs="黑体"/>
          <w:color w:val="auto"/>
          <w:lang w:val="en-US" w:eastAsia="zh-CN"/>
        </w:rPr>
        <w:t>5</w:t>
      </w:r>
      <w:r>
        <w:rPr>
          <w:rFonts w:hint="eastAsia" w:ascii="黑体" w:hAnsi="黑体" w:eastAsia="黑体" w:cs="黑体"/>
          <w:color w:val="auto"/>
        </w:rPr>
        <w:t xml:space="preserve">.5.6.1) meets the determination requirements, perform argon plasma </w:t>
      </w:r>
      <w:r>
        <w:rPr>
          <w:rFonts w:hint="eastAsia" w:ascii="黑体" w:hAnsi="黑体" w:eastAsia="黑体" w:cs="黑体"/>
          <w:color w:val="auto"/>
          <w:lang w:val="en-US" w:eastAsia="zh-CN"/>
        </w:rPr>
        <w:t>mass</w:t>
      </w:r>
      <w:r>
        <w:rPr>
          <w:rFonts w:hint="eastAsia" w:ascii="黑体" w:hAnsi="黑体" w:eastAsia="黑体" w:cs="黑体"/>
          <w:color w:val="auto"/>
        </w:rPr>
        <w:t xml:space="preserve"> spectrometric measurement on the analytical test solution (</w:t>
      </w:r>
      <w:r>
        <w:rPr>
          <w:rFonts w:hint="eastAsia" w:ascii="黑体" w:hAnsi="黑体" w:eastAsia="黑体" w:cs="黑体"/>
          <w:color w:val="auto"/>
          <w:lang w:val="en-US" w:eastAsia="zh-CN"/>
        </w:rPr>
        <w:t>5</w:t>
      </w:r>
      <w:r>
        <w:rPr>
          <w:rFonts w:hint="eastAsia" w:ascii="黑体" w:hAnsi="黑体" w:eastAsia="黑体" w:cs="黑体"/>
          <w:color w:val="auto"/>
        </w:rPr>
        <w:t>.5.</w:t>
      </w:r>
      <w:r>
        <w:rPr>
          <w:rFonts w:hint="eastAsia" w:ascii="黑体" w:hAnsi="黑体" w:eastAsia="黑体" w:cs="黑体"/>
          <w:color w:val="auto"/>
          <w:lang w:val="en-US" w:eastAsia="zh-CN"/>
        </w:rPr>
        <w:t>4,2</w:t>
      </w:r>
      <w:r>
        <w:rPr>
          <w:rFonts w:hint="eastAsia" w:ascii="黑体" w:hAnsi="黑体" w:eastAsia="黑体" w:cs="黑体"/>
          <w:color w:val="auto"/>
        </w:rPr>
        <w:t>) using the selected analytical spectral lines. The instrument automatically processes the data according to the calibration curve, calculates and outputs the mass concentration of the elements.</w:t>
      </w:r>
    </w:p>
    <w:p w14:paraId="639DA226">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lang w:val="en-US" w:eastAsia="zh-CN"/>
        </w:rPr>
        <w:t>5</w:t>
      </w:r>
      <w:r>
        <w:rPr>
          <w:rFonts w:hint="eastAsia" w:hAnsi="黑体" w:cs="黑体"/>
          <w:color w:val="auto"/>
        </w:rPr>
        <w:t>.6 Test data processing</w:t>
      </w:r>
    </w:p>
    <w:p w14:paraId="2CF1ECDF">
      <w:pPr>
        <w:spacing w:line="360" w:lineRule="exact"/>
        <w:rPr>
          <w:rFonts w:hint="eastAsia" w:ascii="黑体" w:hAnsi="黑体" w:eastAsia="黑体" w:cs="黑体"/>
          <w:color w:val="auto"/>
        </w:rPr>
      </w:pPr>
      <w:r>
        <w:rPr>
          <w:rFonts w:hint="eastAsia" w:ascii="黑体" w:hAnsi="黑体" w:eastAsia="黑体" w:cs="黑体"/>
          <w:color w:val="auto"/>
        </w:rPr>
        <w:t xml:space="preserve">The molybdenum </w:t>
      </w:r>
      <w:r>
        <w:rPr>
          <w:rFonts w:hint="eastAsia" w:ascii="黑体" w:hAnsi="黑体" w:eastAsia="黑体" w:cs="黑体"/>
          <w:color w:val="auto"/>
          <w:lang w:val="en-US" w:eastAsia="zh-CN"/>
        </w:rPr>
        <w:t>or</w:t>
      </w:r>
      <w:r>
        <w:rPr>
          <w:rFonts w:hint="eastAsia" w:ascii="黑体" w:hAnsi="黑体" w:eastAsia="黑体" w:cs="黑体"/>
          <w:color w:val="auto"/>
        </w:rPr>
        <w:t xml:space="preserve"> tungsten</w:t>
      </w:r>
      <w:r>
        <w:rPr>
          <w:rFonts w:hint="eastAsia" w:ascii="黑体" w:hAnsi="黑体" w:eastAsia="黑体" w:cs="黑体"/>
          <w:color w:val="auto"/>
          <w:lang w:val="en-US" w:eastAsia="zh-CN"/>
        </w:rPr>
        <w:t xml:space="preserve"> </w:t>
      </w:r>
      <w:r>
        <w:rPr>
          <w:rFonts w:hint="eastAsia" w:ascii="黑体" w:hAnsi="黑体" w:eastAsia="黑体" w:cs="黑体"/>
          <w:color w:val="auto"/>
        </w:rPr>
        <w:t xml:space="preserve">content is calculated as a mass fraction </w:t>
      </w:r>
      <w:r>
        <w:rPr>
          <w:rFonts w:hint="eastAsia" w:ascii="黑体" w:hAnsi="黑体" w:eastAsia="黑体" w:cs="黑体"/>
          <w:color w:val="auto"/>
        </w:rPr>
        <w:drawing>
          <wp:inline distT="0" distB="0" distL="114300" distR="114300">
            <wp:extent cx="142875" cy="133350"/>
            <wp:effectExtent l="0" t="0" r="9525" b="3175"/>
            <wp:docPr id="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1"/>
                    <pic:cNvPicPr>
                      <a:picLocks noChangeAspect="1"/>
                    </pic:cNvPicPr>
                  </pic:nvPicPr>
                  <pic:blipFill>
                    <a:blip r:embed="rId16"/>
                    <a:stretch>
                      <a:fillRect/>
                    </a:stretch>
                  </pic:blipFill>
                  <pic:spPr>
                    <a:xfrm>
                      <a:off x="0" y="0"/>
                      <a:ext cx="142875" cy="133350"/>
                    </a:xfrm>
                    <a:prstGeom prst="rect">
                      <a:avLst/>
                    </a:prstGeom>
                    <a:noFill/>
                    <a:ln>
                      <a:noFill/>
                    </a:ln>
                  </pic:spPr>
                </pic:pic>
              </a:graphicData>
            </a:graphic>
          </wp:inline>
        </w:drawing>
      </w:r>
      <w:r>
        <w:rPr>
          <w:rFonts w:hint="eastAsia" w:ascii="黑体" w:hAnsi="黑体" w:eastAsia="黑体" w:cs="黑体"/>
          <w:color w:val="auto"/>
        </w:rPr>
        <w:t>(</w:t>
      </w:r>
      <w:r>
        <w:rPr>
          <w:rFonts w:hint="eastAsia" w:ascii="黑体" w:hAnsi="黑体" w:eastAsia="黑体" w:cs="黑体"/>
          <w:i/>
          <w:iCs/>
          <w:color w:val="auto"/>
          <w:lang w:val="en-US" w:eastAsia="zh-CN"/>
        </w:rPr>
        <w:t>j</w:t>
      </w:r>
      <w:r>
        <w:rPr>
          <w:rFonts w:hint="eastAsia" w:ascii="黑体" w:hAnsi="黑体" w:eastAsia="黑体" w:cs="黑体"/>
          <w:color w:val="auto"/>
        </w:rPr>
        <w:t xml:space="preserve">) </w:t>
      </w:r>
      <w:r>
        <w:rPr>
          <w:rFonts w:hint="eastAsia" w:ascii="黑体" w:hAnsi="黑体" w:eastAsia="黑体" w:cs="黑体"/>
          <w:color w:val="auto"/>
          <w:lang w:val="en-US" w:eastAsia="zh-CN"/>
        </w:rPr>
        <w:t>according</w:t>
      </w:r>
      <w:r>
        <w:rPr>
          <w:rFonts w:hint="eastAsia" w:ascii="黑体" w:hAnsi="黑体" w:eastAsia="黑体" w:cs="黑体"/>
          <w:color w:val="auto"/>
        </w:rPr>
        <w:t xml:space="preserve"> to formula (</w:t>
      </w:r>
      <w:r>
        <w:rPr>
          <w:rFonts w:hint="eastAsia" w:ascii="黑体" w:hAnsi="黑体" w:eastAsia="黑体" w:cs="黑体"/>
          <w:color w:val="auto"/>
          <w:lang w:val="en-US" w:eastAsia="zh-CN"/>
        </w:rPr>
        <w:t>2</w:t>
      </w:r>
      <w:r>
        <w:rPr>
          <w:rFonts w:hint="eastAsia" w:ascii="黑体" w:hAnsi="黑体" w:eastAsia="黑体" w:cs="黑体"/>
          <w:color w:val="auto"/>
        </w:rPr>
        <w:t xml:space="preserve">): </w:t>
      </w:r>
    </w:p>
    <w:p w14:paraId="48EDD059">
      <w:pPr>
        <w:jc w:val="right"/>
        <w:rPr>
          <w:rFonts w:hint="eastAsia" w:ascii="黑体" w:hAnsi="黑体" w:eastAsia="黑体" w:cs="黑体"/>
          <w:color w:val="auto"/>
          <w:szCs w:val="21"/>
        </w:rPr>
      </w:pPr>
      <w:r>
        <w:rPr>
          <w:rFonts w:hint="eastAsia"/>
          <w:color w:val="auto"/>
          <w:position w:val="-30"/>
          <w:sz w:val="18"/>
        </w:rPr>
        <w:object>
          <v:shape id="_x0000_i1028" o:spt="75" type="#_x0000_t75" style="height:29.2pt;width:154.85pt;" o:ole="t" filled="f" o:preferrelative="t" stroked="f" coordsize="21600,21600">
            <v:path/>
            <v:fill on="f" focussize="0,0"/>
            <v:stroke on="f"/>
            <v:imagedata r:id="rId20" o:title=""/>
            <o:lock v:ext="edit" aspectratio="f"/>
            <w10:wrap type="none"/>
            <w10:anchorlock/>
          </v:shape>
          <o:OLEObject Type="Embed" ProgID="Equation.3" ShapeID="_x0000_i1028" DrawAspect="Content" ObjectID="_1468075728" r:id="rId19">
            <o:LockedField>false</o:LockedField>
          </o:OLEObject>
        </w:object>
      </w:r>
      <w:r>
        <w:rPr>
          <w:rFonts w:hint="eastAsia"/>
          <w:color w:val="auto"/>
          <w:szCs w:val="21"/>
        </w:rPr>
        <w:t>………………………………</w:t>
      </w:r>
      <w:r>
        <w:rPr>
          <w:rFonts w:hint="eastAsia" w:ascii="黑体" w:hAnsi="黑体" w:eastAsia="黑体" w:cs="黑体"/>
          <w:color w:val="auto"/>
          <w:szCs w:val="21"/>
        </w:rPr>
        <w:t>（</w:t>
      </w:r>
      <w:r>
        <w:rPr>
          <w:rFonts w:hint="eastAsia" w:ascii="黑体" w:hAnsi="黑体" w:eastAsia="黑体" w:cs="黑体"/>
          <w:color w:val="auto"/>
          <w:szCs w:val="21"/>
          <w:lang w:val="en-US" w:eastAsia="zh-CN"/>
        </w:rPr>
        <w:t>2</w:t>
      </w:r>
      <w:r>
        <w:rPr>
          <w:rFonts w:hint="eastAsia" w:ascii="黑体" w:hAnsi="黑体" w:eastAsia="黑体" w:cs="黑体"/>
          <w:color w:val="auto"/>
          <w:szCs w:val="21"/>
        </w:rPr>
        <w:t>）</w:t>
      </w:r>
    </w:p>
    <w:p w14:paraId="4CAF6C7B">
      <w:pPr>
        <w:pStyle w:val="113"/>
        <w:spacing w:line="360" w:lineRule="exact"/>
        <w:ind w:firstLine="0" w:firstLineChars="0"/>
        <w:rPr>
          <w:rFonts w:hint="eastAsia" w:ascii="黑体" w:hAnsi="黑体" w:eastAsia="黑体" w:cs="黑体"/>
          <w:color w:val="auto"/>
        </w:rPr>
      </w:pPr>
      <w:r>
        <w:rPr>
          <w:rFonts w:hint="eastAsia" w:ascii="黑体" w:hAnsi="黑体" w:eastAsia="黑体" w:cs="黑体"/>
          <w:color w:val="auto"/>
        </w:rPr>
        <w:t>Where,</w:t>
      </w:r>
    </w:p>
    <w:p w14:paraId="4987873F">
      <w:pPr>
        <w:adjustRightInd w:val="0"/>
        <w:snapToGrid w:val="0"/>
        <w:spacing w:line="360" w:lineRule="exact"/>
        <w:jc w:val="left"/>
        <w:rPr>
          <w:rFonts w:hint="eastAsia" w:ascii="黑体" w:hAnsi="黑体" w:eastAsia="黑体" w:cs="黑体"/>
          <w:color w:val="auto"/>
          <w:szCs w:val="21"/>
        </w:rPr>
      </w:pPr>
      <w:r>
        <w:rPr>
          <w:rFonts w:hint="eastAsia" w:ascii="黑体" w:hAnsi="黑体" w:eastAsia="黑体" w:cs="黑体"/>
          <w:i/>
          <w:iCs/>
          <w:color w:val="auto"/>
          <w:szCs w:val="21"/>
        </w:rPr>
        <w:t>ρ</w:t>
      </w:r>
      <w:r>
        <w:rPr>
          <w:rFonts w:hint="eastAsia" w:ascii="黑体" w:hAnsi="黑体" w:eastAsia="黑体" w:cs="黑体"/>
          <w:i/>
          <w:iCs/>
          <w:color w:val="auto"/>
          <w:szCs w:val="21"/>
          <w:vertAlign w:val="subscript"/>
          <w:lang w:val="en-US" w:eastAsia="zh-CN"/>
        </w:rPr>
        <w:t>j</w:t>
      </w:r>
      <w:r>
        <w:rPr>
          <w:rFonts w:hint="eastAsia" w:ascii="黑体" w:hAnsi="黑体" w:eastAsia="黑体" w:cs="黑体"/>
          <w:color w:val="auto"/>
          <w:szCs w:val="21"/>
          <w:vertAlign w:val="subscript"/>
        </w:rPr>
        <w:t>1</w:t>
      </w:r>
      <w:r>
        <w:rPr>
          <w:rFonts w:hint="eastAsia" w:ascii="黑体" w:hAnsi="黑体" w:eastAsia="黑体" w:cs="黑体"/>
          <w:color w:val="auto"/>
          <w:szCs w:val="21"/>
          <w:vertAlign w:val="subscript"/>
          <w:lang w:val="en-US" w:eastAsia="zh-CN"/>
        </w:rPr>
        <w:t xml:space="preserve"> </w:t>
      </w:r>
      <w:r>
        <w:rPr>
          <w:rFonts w:hint="eastAsia" w:ascii="黑体" w:hAnsi="黑体" w:eastAsia="黑体" w:cs="黑体"/>
          <w:color w:val="auto"/>
          <w:szCs w:val="21"/>
        </w:rPr>
        <w:t>is</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t</w:t>
      </w:r>
      <w:r>
        <w:rPr>
          <w:rFonts w:hint="eastAsia" w:ascii="黑体" w:hAnsi="黑体" w:eastAsia="黑体" w:cs="黑体"/>
          <w:iCs/>
          <w:color w:val="auto"/>
        </w:rPr>
        <w:t>he mass concentration of</w:t>
      </w:r>
      <w:r>
        <w:rPr>
          <w:rFonts w:hint="eastAsia" w:ascii="黑体" w:hAnsi="黑体" w:eastAsia="黑体" w:cs="黑体"/>
          <w:iCs/>
          <w:color w:val="auto"/>
          <w:lang w:val="en-US" w:eastAsia="zh-CN"/>
        </w:rPr>
        <w:t xml:space="preserve"> </w:t>
      </w:r>
      <w:r>
        <w:rPr>
          <w:rFonts w:hint="eastAsia" w:ascii="黑体" w:hAnsi="黑体" w:eastAsia="黑体" w:cs="黑体"/>
          <w:iCs/>
          <w:color w:val="auto"/>
        </w:rPr>
        <w:t>the element</w:t>
      </w:r>
      <w:r>
        <w:rPr>
          <w:rFonts w:hint="eastAsia" w:ascii="黑体" w:hAnsi="黑体" w:eastAsia="黑体" w:cs="黑体"/>
          <w:iCs/>
          <w:color w:val="auto"/>
          <w:lang w:val="en-US" w:eastAsia="zh-CN"/>
        </w:rPr>
        <w:t>s</w:t>
      </w:r>
      <w:r>
        <w:rPr>
          <w:rFonts w:hint="eastAsia" w:ascii="黑体" w:hAnsi="黑体" w:eastAsia="黑体" w:cs="黑体"/>
          <w:iCs/>
          <w:color w:val="auto"/>
        </w:rPr>
        <w:t xml:space="preserve"> to be determined in the analytical test solution (</w:t>
      </w:r>
      <w:r>
        <w:rPr>
          <w:rFonts w:hint="eastAsia" w:ascii="黑体" w:hAnsi="黑体" w:eastAsia="黑体" w:cs="黑体"/>
          <w:iCs/>
          <w:color w:val="auto"/>
          <w:lang w:val="en-US" w:eastAsia="zh-CN"/>
        </w:rPr>
        <w:t>5</w:t>
      </w:r>
      <w:r>
        <w:rPr>
          <w:rFonts w:hint="eastAsia" w:ascii="黑体" w:hAnsi="黑体" w:eastAsia="黑体" w:cs="黑体"/>
          <w:iCs/>
          <w:color w:val="auto"/>
        </w:rPr>
        <w:t>.5.4.2), read from the working curve or output by the computer, in nanograms per milliliter (</w:t>
      </w:r>
      <w:r>
        <w:rPr>
          <w:rFonts w:hint="eastAsia" w:ascii="黑体" w:hAnsi="黑体" w:eastAsia="黑体" w:cs="黑体"/>
          <w:color w:val="auto"/>
          <w:lang w:val="en-US" w:eastAsia="zh-CN"/>
        </w:rPr>
        <w:t>n</w:t>
      </w:r>
      <w:r>
        <w:rPr>
          <w:rFonts w:hint="eastAsia" w:ascii="黑体" w:hAnsi="黑体" w:eastAsia="黑体" w:cs="黑体"/>
          <w:color w:val="auto"/>
          <w:szCs w:val="21"/>
        </w:rPr>
        <w:t>g/mL</w:t>
      </w:r>
      <w:r>
        <w:rPr>
          <w:rFonts w:hint="eastAsia" w:ascii="黑体" w:hAnsi="黑体" w:eastAsia="黑体" w:cs="黑体"/>
          <w:iCs/>
          <w:color w:val="auto"/>
        </w:rPr>
        <w:t>)</w:t>
      </w:r>
      <w:r>
        <w:rPr>
          <w:rFonts w:hint="eastAsia" w:ascii="黑体" w:hAnsi="黑体" w:eastAsia="黑体" w:cs="黑体"/>
          <w:color w:val="auto"/>
        </w:rPr>
        <w:t>;</w:t>
      </w:r>
    </w:p>
    <w:p w14:paraId="030308CE">
      <w:pPr>
        <w:adjustRightInd w:val="0"/>
        <w:snapToGrid w:val="0"/>
        <w:spacing w:line="360" w:lineRule="exact"/>
        <w:jc w:val="left"/>
        <w:rPr>
          <w:rFonts w:hint="eastAsia" w:ascii="黑体" w:hAnsi="黑体" w:eastAsia="黑体" w:cs="黑体"/>
          <w:color w:val="auto"/>
          <w:szCs w:val="21"/>
        </w:rPr>
      </w:pPr>
      <w:r>
        <w:rPr>
          <w:rFonts w:hint="eastAsia" w:ascii="黑体" w:hAnsi="黑体" w:eastAsia="黑体" w:cs="黑体"/>
          <w:i/>
          <w:color w:val="auto"/>
        </w:rPr>
        <w:t>ρ</w:t>
      </w:r>
      <w:r>
        <w:rPr>
          <w:rFonts w:hint="eastAsia" w:ascii="黑体" w:hAnsi="黑体" w:eastAsia="黑体" w:cs="黑体"/>
          <w:i/>
          <w:iCs/>
          <w:color w:val="auto"/>
          <w:szCs w:val="21"/>
          <w:vertAlign w:val="subscript"/>
          <w:lang w:val="en-US" w:eastAsia="zh-CN"/>
        </w:rPr>
        <w:t>j</w:t>
      </w:r>
      <w:r>
        <w:rPr>
          <w:rFonts w:hint="eastAsia" w:ascii="黑体" w:hAnsi="黑体" w:eastAsia="黑体" w:cs="黑体"/>
          <w:color w:val="auto"/>
          <w:vertAlign w:val="subscript"/>
        </w:rPr>
        <w:t>0</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is</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t</w:t>
      </w:r>
      <w:r>
        <w:rPr>
          <w:rFonts w:hint="eastAsia" w:ascii="黑体" w:hAnsi="黑体" w:eastAsia="黑体" w:cs="黑体"/>
          <w:iCs/>
          <w:color w:val="auto"/>
        </w:rPr>
        <w:t>he m</w:t>
      </w:r>
      <w:r>
        <w:rPr>
          <w:rFonts w:hint="eastAsia" w:ascii="黑体" w:hAnsi="黑体" w:eastAsia="黑体" w:cs="黑体"/>
          <w:color w:val="auto"/>
        </w:rPr>
        <w:t>ass concentration of the element</w:t>
      </w:r>
      <w:r>
        <w:rPr>
          <w:rFonts w:hint="eastAsia" w:ascii="黑体" w:hAnsi="黑体" w:eastAsia="黑体" w:cs="黑体"/>
          <w:color w:val="auto"/>
          <w:lang w:val="en-US" w:eastAsia="zh-CN"/>
        </w:rPr>
        <w:t>s</w:t>
      </w:r>
      <w:r>
        <w:rPr>
          <w:rFonts w:hint="eastAsia" w:ascii="黑体" w:hAnsi="黑体" w:eastAsia="黑体" w:cs="黑体"/>
          <w:color w:val="auto"/>
        </w:rPr>
        <w:t xml:space="preserve"> to be determined in the blank test solution (</w:t>
      </w:r>
      <w:r>
        <w:rPr>
          <w:rFonts w:hint="eastAsia" w:ascii="黑体" w:hAnsi="黑体" w:eastAsia="黑体" w:cs="黑体"/>
          <w:color w:val="auto"/>
          <w:lang w:val="en-US" w:eastAsia="zh-CN"/>
        </w:rPr>
        <w:t>5</w:t>
      </w:r>
      <w:r>
        <w:rPr>
          <w:rFonts w:hint="eastAsia" w:ascii="黑体" w:hAnsi="黑体" w:eastAsia="黑体" w:cs="黑体"/>
          <w:color w:val="auto"/>
        </w:rPr>
        <w:t>.5.3), read from the working curve or output by the computer,</w:t>
      </w:r>
      <w:r>
        <w:rPr>
          <w:rFonts w:hint="eastAsia" w:ascii="黑体" w:hAnsi="黑体" w:eastAsia="黑体" w:cs="黑体"/>
          <w:color w:val="auto"/>
          <w:lang w:val="en-US" w:eastAsia="zh-CN"/>
        </w:rPr>
        <w:t xml:space="preserve"> </w:t>
      </w:r>
      <w:r>
        <w:rPr>
          <w:rFonts w:hint="eastAsia" w:ascii="黑体" w:hAnsi="黑体" w:eastAsia="黑体" w:cs="黑体"/>
          <w:color w:val="auto"/>
        </w:rPr>
        <w:t>in nanograms</w:t>
      </w:r>
      <w:r>
        <w:rPr>
          <w:rFonts w:hint="eastAsia" w:ascii="黑体" w:hAnsi="黑体" w:eastAsia="黑体" w:cs="黑体"/>
          <w:iCs/>
          <w:color w:val="auto"/>
        </w:rPr>
        <w:t xml:space="preserve"> per milliliter (</w:t>
      </w:r>
      <w:r>
        <w:rPr>
          <w:rFonts w:hint="eastAsia" w:ascii="黑体" w:hAnsi="黑体" w:eastAsia="黑体" w:cs="黑体"/>
          <w:color w:val="auto"/>
          <w:lang w:val="en-US" w:eastAsia="zh-CN"/>
        </w:rPr>
        <w:t>n</w:t>
      </w:r>
      <w:r>
        <w:rPr>
          <w:rFonts w:hint="eastAsia" w:ascii="黑体" w:hAnsi="黑体" w:eastAsia="黑体" w:cs="黑体"/>
          <w:color w:val="auto"/>
          <w:szCs w:val="21"/>
        </w:rPr>
        <w:t>g/mL</w:t>
      </w:r>
      <w:r>
        <w:rPr>
          <w:rFonts w:hint="eastAsia" w:ascii="黑体" w:hAnsi="黑体" w:eastAsia="黑体" w:cs="黑体"/>
          <w:iCs/>
          <w:color w:val="auto"/>
        </w:rPr>
        <w:t>)</w:t>
      </w:r>
      <w:r>
        <w:rPr>
          <w:rFonts w:hint="eastAsia" w:ascii="黑体" w:hAnsi="黑体" w:eastAsia="黑体" w:cs="黑体"/>
          <w:color w:val="auto"/>
        </w:rPr>
        <w:t>;</w:t>
      </w:r>
    </w:p>
    <w:p w14:paraId="2E0231D6">
      <w:pPr>
        <w:adjustRightInd w:val="0"/>
        <w:snapToGrid w:val="0"/>
        <w:spacing w:line="360" w:lineRule="exact"/>
        <w:jc w:val="left"/>
        <w:rPr>
          <w:rFonts w:hint="eastAsia" w:ascii="黑体" w:hAnsi="黑体" w:eastAsia="黑体" w:cs="黑体"/>
          <w:color w:val="auto"/>
          <w:szCs w:val="21"/>
        </w:rPr>
      </w:pPr>
      <w:r>
        <w:rPr>
          <w:rFonts w:hint="eastAsia" w:ascii="黑体" w:hAnsi="黑体" w:eastAsia="黑体" w:cs="黑体"/>
          <w:i/>
          <w:color w:val="auto"/>
        </w:rPr>
        <w:t>V</w:t>
      </w:r>
      <w:r>
        <w:rPr>
          <w:rFonts w:hint="eastAsia" w:ascii="黑体" w:hAnsi="黑体" w:eastAsia="黑体" w:cs="黑体"/>
          <w:color w:val="auto"/>
          <w:vertAlign w:val="subscript"/>
          <w:lang w:val="en-US" w:eastAsia="zh-CN"/>
        </w:rPr>
        <w:t>3</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is</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t</w:t>
      </w:r>
      <w:r>
        <w:rPr>
          <w:rFonts w:hint="eastAsia" w:ascii="黑体" w:hAnsi="黑体" w:eastAsia="黑体" w:cs="黑体"/>
          <w:iCs/>
          <w:color w:val="auto"/>
        </w:rPr>
        <w:t>he total v</w:t>
      </w:r>
      <w:r>
        <w:rPr>
          <w:rFonts w:hint="eastAsia" w:ascii="黑体" w:hAnsi="黑体" w:eastAsia="黑体" w:cs="黑体"/>
          <w:color w:val="auto"/>
        </w:rPr>
        <w:t>olume of solution</w:t>
      </w:r>
      <w:r>
        <w:rPr>
          <w:rFonts w:hint="eastAsia" w:ascii="黑体" w:hAnsi="黑体" w:eastAsia="黑体" w:cs="黑体"/>
          <w:color w:val="auto"/>
          <w:lang w:val="en-US" w:eastAsia="zh-CN"/>
        </w:rPr>
        <w:t xml:space="preserve"> </w:t>
      </w:r>
      <w:r>
        <w:rPr>
          <w:rFonts w:hint="eastAsia" w:ascii="黑体" w:hAnsi="黑体" w:eastAsia="黑体" w:cs="黑体"/>
          <w:color w:val="auto"/>
        </w:rPr>
        <w:t>(</w:t>
      </w:r>
      <w:r>
        <w:rPr>
          <w:rFonts w:hint="eastAsia" w:ascii="黑体" w:hAnsi="黑体" w:eastAsia="黑体" w:cs="黑体"/>
          <w:color w:val="auto"/>
          <w:lang w:val="en-US" w:eastAsia="zh-CN"/>
        </w:rPr>
        <w:t>5.5.</w:t>
      </w:r>
      <w:r>
        <w:rPr>
          <w:rFonts w:hint="eastAsia" w:ascii="黑体" w:hAnsi="黑体" w:eastAsia="黑体" w:cs="黑体"/>
          <w:color w:val="auto"/>
        </w:rPr>
        <w:t>4.</w:t>
      </w:r>
      <w:r>
        <w:rPr>
          <w:rFonts w:hint="eastAsia" w:ascii="黑体" w:hAnsi="黑体" w:eastAsia="黑体" w:cs="黑体"/>
          <w:color w:val="auto"/>
          <w:lang w:val="en-US" w:eastAsia="zh-CN"/>
        </w:rPr>
        <w:t>1</w:t>
      </w:r>
      <w:r>
        <w:rPr>
          <w:rFonts w:hint="eastAsia" w:ascii="黑体" w:hAnsi="黑体" w:eastAsia="黑体" w:cs="黑体"/>
          <w:color w:val="auto"/>
        </w:rPr>
        <w:t>),</w:t>
      </w:r>
      <w:r>
        <w:rPr>
          <w:rFonts w:hint="eastAsia" w:ascii="黑体" w:hAnsi="黑体" w:eastAsia="黑体" w:cs="黑体"/>
          <w:color w:val="auto"/>
          <w:lang w:val="en-US" w:eastAsia="zh-CN"/>
        </w:rPr>
        <w:t xml:space="preserve"> </w:t>
      </w:r>
      <w:r>
        <w:rPr>
          <w:rFonts w:hint="eastAsia" w:ascii="黑体" w:hAnsi="黑体" w:eastAsia="黑体" w:cs="黑体"/>
          <w:color w:val="auto"/>
        </w:rPr>
        <w:t>in milliliter (mL);</w:t>
      </w:r>
    </w:p>
    <w:p w14:paraId="634FD50B">
      <w:pPr>
        <w:pStyle w:val="47"/>
        <w:spacing w:line="360" w:lineRule="exact"/>
        <w:ind w:left="0" w:leftChars="0" w:firstLine="0" w:firstLineChars="0"/>
        <w:rPr>
          <w:rFonts w:hint="eastAsia" w:ascii="黑体" w:hAnsi="黑体" w:eastAsia="黑体" w:cs="黑体"/>
          <w:color w:val="auto"/>
          <w:sz w:val="21"/>
          <w:szCs w:val="21"/>
        </w:rPr>
      </w:pPr>
      <w:r>
        <w:rPr>
          <w:rFonts w:hint="eastAsia" w:ascii="黑体" w:hAnsi="黑体" w:eastAsia="黑体" w:cs="黑体"/>
          <w:i/>
          <w:color w:val="auto"/>
          <w:sz w:val="21"/>
        </w:rPr>
        <w:t>V</w:t>
      </w:r>
      <w:r>
        <w:rPr>
          <w:rFonts w:hint="eastAsia" w:ascii="黑体" w:hAnsi="黑体" w:eastAsia="黑体" w:cs="黑体"/>
          <w:color w:val="auto"/>
          <w:sz w:val="21"/>
          <w:vertAlign w:val="subscript"/>
          <w:lang w:val="en-US" w:eastAsia="zh-CN"/>
        </w:rPr>
        <w:t>4</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i</w:t>
      </w:r>
      <w:r>
        <w:rPr>
          <w:rFonts w:hint="eastAsia" w:ascii="黑体" w:hAnsi="黑体" w:eastAsia="黑体" w:cs="黑体"/>
          <w:color w:val="auto"/>
          <w:sz w:val="21"/>
          <w:szCs w:val="18"/>
        </w:rPr>
        <w:t>s</w:t>
      </w:r>
      <w:r>
        <w:rPr>
          <w:rFonts w:hint="eastAsia" w:ascii="黑体" w:hAnsi="黑体" w:eastAsia="黑体" w:cs="黑体"/>
          <w:color w:val="auto"/>
          <w:szCs w:val="21"/>
          <w:vertAlign w:val="subscript"/>
        </w:rPr>
        <w:t xml:space="preserve"> </w:t>
      </w:r>
      <w:r>
        <w:rPr>
          <w:rFonts w:hint="eastAsia" w:ascii="黑体" w:hAnsi="黑体" w:eastAsia="黑体" w:cs="黑体"/>
          <w:color w:val="auto"/>
          <w:sz w:val="21"/>
          <w:szCs w:val="18"/>
        </w:rPr>
        <w:t>t</w:t>
      </w:r>
      <w:r>
        <w:rPr>
          <w:rFonts w:hint="eastAsia" w:ascii="黑体" w:hAnsi="黑体" w:eastAsia="黑体" w:cs="黑体"/>
          <w:color w:val="auto"/>
          <w:sz w:val="21"/>
        </w:rPr>
        <w:t>he volume of test solution</w:t>
      </w:r>
      <w:r>
        <w:rPr>
          <w:rFonts w:hint="eastAsia" w:ascii="黑体" w:hAnsi="黑体" w:eastAsia="黑体" w:cs="黑体"/>
          <w:color w:val="auto"/>
          <w:sz w:val="21"/>
          <w:lang w:val="en-US" w:eastAsia="zh-CN"/>
        </w:rPr>
        <w:t xml:space="preserve"> </w:t>
      </w:r>
      <w:r>
        <w:rPr>
          <w:rFonts w:hint="eastAsia" w:ascii="黑体" w:hAnsi="黑体" w:eastAsia="黑体" w:cs="黑体"/>
          <w:color w:val="auto"/>
          <w:sz w:val="21"/>
        </w:rPr>
        <w:t>(</w:t>
      </w:r>
      <w:r>
        <w:rPr>
          <w:rFonts w:hint="eastAsia" w:ascii="黑体" w:hAnsi="黑体" w:eastAsia="黑体" w:cs="黑体"/>
          <w:color w:val="auto"/>
          <w:sz w:val="21"/>
          <w:lang w:val="en-US" w:eastAsia="zh-CN"/>
        </w:rPr>
        <w:t>5</w:t>
      </w:r>
      <w:r>
        <w:rPr>
          <w:rFonts w:hint="eastAsia" w:ascii="黑体" w:hAnsi="黑体" w:eastAsia="黑体" w:cs="黑体"/>
          <w:color w:val="auto"/>
          <w:sz w:val="21"/>
        </w:rPr>
        <w:t>.5.4.</w:t>
      </w:r>
      <w:r>
        <w:rPr>
          <w:rFonts w:hint="eastAsia" w:ascii="黑体" w:hAnsi="黑体" w:eastAsia="黑体" w:cs="黑体"/>
          <w:color w:val="auto"/>
          <w:sz w:val="21"/>
          <w:lang w:val="en-US" w:eastAsia="zh-CN"/>
        </w:rPr>
        <w:t>2</w:t>
      </w:r>
      <w:r>
        <w:rPr>
          <w:rFonts w:hint="eastAsia" w:ascii="黑体" w:hAnsi="黑体" w:eastAsia="黑体" w:cs="黑体"/>
          <w:color w:val="auto"/>
          <w:sz w:val="21"/>
        </w:rPr>
        <w:t>),</w:t>
      </w:r>
      <w:r>
        <w:rPr>
          <w:rFonts w:hint="eastAsia" w:ascii="黑体" w:hAnsi="黑体" w:eastAsia="黑体" w:cs="黑体"/>
          <w:color w:val="auto"/>
          <w:sz w:val="21"/>
          <w:lang w:val="en-US" w:eastAsia="zh-CN"/>
        </w:rPr>
        <w:t xml:space="preserve"> </w:t>
      </w:r>
      <w:r>
        <w:rPr>
          <w:rFonts w:hint="eastAsia" w:ascii="黑体" w:hAnsi="黑体" w:eastAsia="黑体" w:cs="黑体"/>
          <w:color w:val="auto"/>
          <w:sz w:val="21"/>
        </w:rPr>
        <w:t>in milliliter (mL);</w:t>
      </w:r>
    </w:p>
    <w:p w14:paraId="4FFF6DE0">
      <w:pPr>
        <w:spacing w:line="360" w:lineRule="exact"/>
        <w:jc w:val="left"/>
        <w:rPr>
          <w:rFonts w:hint="eastAsia" w:ascii="黑体" w:hAnsi="黑体" w:eastAsia="黑体" w:cs="黑体"/>
          <w:color w:val="auto"/>
          <w:kern w:val="0"/>
          <w:szCs w:val="21"/>
        </w:rPr>
      </w:pPr>
      <w:r>
        <w:rPr>
          <w:rFonts w:hint="eastAsia" w:ascii="黑体" w:hAnsi="黑体" w:eastAsia="黑体" w:cs="黑体"/>
          <w:i/>
          <w:color w:val="auto"/>
        </w:rPr>
        <w:t>m</w:t>
      </w:r>
      <w:r>
        <w:rPr>
          <w:rFonts w:hint="eastAsia" w:ascii="黑体" w:hAnsi="黑体" w:eastAsia="黑体" w:cs="黑体"/>
          <w:i/>
          <w:color w:val="auto"/>
          <w:vertAlign w:val="subscript"/>
          <w:lang w:val="en-US" w:eastAsia="zh-CN"/>
        </w:rPr>
        <w:t>2</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is</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t</w:t>
      </w:r>
      <w:r>
        <w:rPr>
          <w:rFonts w:hint="eastAsia" w:ascii="黑体" w:hAnsi="黑体" w:eastAsia="黑体" w:cs="黑体"/>
          <w:iCs/>
          <w:color w:val="auto"/>
        </w:rPr>
        <w:t>he m</w:t>
      </w:r>
      <w:r>
        <w:rPr>
          <w:rFonts w:hint="eastAsia" w:ascii="黑体" w:hAnsi="黑体" w:eastAsia="黑体" w:cs="黑体"/>
          <w:color w:val="auto"/>
        </w:rPr>
        <w:t xml:space="preserve">ass of test </w:t>
      </w:r>
      <w:r>
        <w:rPr>
          <w:rFonts w:hint="eastAsia" w:ascii="黑体" w:hAnsi="黑体" w:eastAsia="黑体" w:cs="黑体"/>
          <w:color w:val="auto"/>
          <w:lang w:val="en-US" w:eastAsia="zh-CN"/>
        </w:rPr>
        <w:t xml:space="preserve">portion </w:t>
      </w:r>
      <w:r>
        <w:rPr>
          <w:rFonts w:hint="eastAsia" w:ascii="黑体" w:hAnsi="黑体" w:eastAsia="黑体" w:cs="黑体"/>
          <w:color w:val="auto"/>
          <w:sz w:val="21"/>
        </w:rPr>
        <w:t>(</w:t>
      </w:r>
      <w:r>
        <w:rPr>
          <w:rFonts w:hint="eastAsia" w:ascii="黑体" w:hAnsi="黑体" w:eastAsia="黑体" w:cs="黑体"/>
          <w:color w:val="auto"/>
          <w:sz w:val="21"/>
          <w:lang w:val="en-US" w:eastAsia="zh-CN"/>
        </w:rPr>
        <w:t>5</w:t>
      </w:r>
      <w:r>
        <w:rPr>
          <w:rFonts w:hint="eastAsia" w:ascii="黑体" w:hAnsi="黑体" w:eastAsia="黑体" w:cs="黑体"/>
          <w:color w:val="auto"/>
          <w:sz w:val="21"/>
        </w:rPr>
        <w:t>.5.</w:t>
      </w:r>
      <w:r>
        <w:rPr>
          <w:rFonts w:hint="eastAsia" w:ascii="黑体" w:hAnsi="黑体" w:eastAsia="黑体" w:cs="黑体"/>
          <w:color w:val="auto"/>
          <w:sz w:val="21"/>
          <w:lang w:val="en-US" w:eastAsia="zh-CN"/>
        </w:rPr>
        <w:t>1</w:t>
      </w:r>
      <w:r>
        <w:rPr>
          <w:rFonts w:hint="eastAsia" w:ascii="黑体" w:hAnsi="黑体" w:eastAsia="黑体" w:cs="黑体"/>
          <w:color w:val="auto"/>
          <w:sz w:val="21"/>
        </w:rPr>
        <w:t>)</w:t>
      </w:r>
      <w:r>
        <w:rPr>
          <w:rFonts w:hint="eastAsia" w:ascii="黑体" w:hAnsi="黑体" w:eastAsia="黑体" w:cs="黑体"/>
          <w:color w:val="auto"/>
        </w:rPr>
        <w:t>, in gram (g);</w:t>
      </w:r>
    </w:p>
    <w:p w14:paraId="3A79723D">
      <w:pPr>
        <w:pStyle w:val="113"/>
        <w:spacing w:line="360" w:lineRule="exact"/>
        <w:ind w:firstLine="0" w:firstLineChars="0"/>
        <w:jc w:val="left"/>
        <w:rPr>
          <w:rFonts w:hint="eastAsia" w:ascii="黑体" w:hAnsi="黑体" w:eastAsia="黑体" w:cs="黑体"/>
          <w:color w:val="auto"/>
        </w:rPr>
      </w:pPr>
      <w:r>
        <w:rPr>
          <w:rFonts w:hint="eastAsia" w:ascii="黑体" w:hAnsi="黑体" w:eastAsia="黑体" w:cs="黑体"/>
          <w:i/>
          <w:color w:val="auto"/>
        </w:rPr>
        <w:t>V</w:t>
      </w:r>
      <w:r>
        <w:rPr>
          <w:rFonts w:hint="eastAsia" w:ascii="黑体" w:hAnsi="黑体" w:eastAsia="黑体" w:cs="黑体"/>
          <w:color w:val="auto"/>
          <w:vertAlign w:val="subscript"/>
          <w:lang w:val="en-US" w:eastAsia="zh-CN"/>
        </w:rPr>
        <w:t>5</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is</w:t>
      </w:r>
      <w:r>
        <w:rPr>
          <w:rFonts w:hint="eastAsia" w:ascii="黑体" w:hAnsi="黑体" w:eastAsia="黑体" w:cs="黑体"/>
          <w:color w:val="auto"/>
          <w:szCs w:val="21"/>
          <w:vertAlign w:val="subscript"/>
        </w:rPr>
        <w:t xml:space="preserve"> </w:t>
      </w:r>
      <w:r>
        <w:rPr>
          <w:rFonts w:hint="eastAsia" w:ascii="黑体" w:hAnsi="黑体" w:eastAsia="黑体" w:cs="黑体"/>
          <w:color w:val="auto"/>
          <w:szCs w:val="21"/>
        </w:rPr>
        <w:t>t</w:t>
      </w:r>
      <w:r>
        <w:rPr>
          <w:rFonts w:hint="eastAsia" w:ascii="黑体" w:hAnsi="黑体" w:eastAsia="黑体" w:cs="黑体"/>
          <w:iCs/>
          <w:color w:val="auto"/>
          <w:kern w:val="2"/>
          <w:szCs w:val="24"/>
        </w:rPr>
        <w:t>he</w:t>
      </w:r>
      <w:r>
        <w:rPr>
          <w:rFonts w:hint="eastAsia" w:ascii="黑体" w:hAnsi="黑体" w:eastAsia="黑体" w:cs="黑体"/>
          <w:iCs/>
          <w:color w:val="auto"/>
          <w:kern w:val="2"/>
          <w:sz w:val="24"/>
          <w:szCs w:val="24"/>
        </w:rPr>
        <w:t xml:space="preserve"> v</w:t>
      </w:r>
      <w:r>
        <w:rPr>
          <w:rFonts w:hint="eastAsia" w:ascii="黑体" w:hAnsi="黑体" w:eastAsia="黑体" w:cs="黑体"/>
          <w:color w:val="auto"/>
        </w:rPr>
        <w:t xml:space="preserve">olume of </w:t>
      </w:r>
      <w:r>
        <w:rPr>
          <w:rFonts w:hint="eastAsia" w:ascii="黑体" w:hAnsi="黑体" w:eastAsia="黑体" w:cs="黑体"/>
          <w:color w:val="auto"/>
          <w:lang w:val="en-US" w:eastAsia="zh-CN"/>
        </w:rPr>
        <w:t xml:space="preserve">transfer </w:t>
      </w:r>
      <w:r>
        <w:rPr>
          <w:rFonts w:hint="eastAsia" w:ascii="黑体" w:hAnsi="黑体" w:eastAsia="黑体" w:cs="黑体"/>
          <w:color w:val="auto"/>
        </w:rPr>
        <w:t>test solution taken separately,</w:t>
      </w:r>
      <w:r>
        <w:rPr>
          <w:rFonts w:hint="eastAsia" w:ascii="黑体" w:hAnsi="黑体" w:eastAsia="黑体" w:cs="黑体"/>
          <w:color w:val="auto"/>
          <w:lang w:val="en-US" w:eastAsia="zh-CN"/>
        </w:rPr>
        <w:t xml:space="preserve"> </w:t>
      </w:r>
      <w:r>
        <w:rPr>
          <w:rFonts w:hint="eastAsia" w:ascii="黑体" w:hAnsi="黑体" w:eastAsia="黑体" w:cs="黑体"/>
          <w:color w:val="auto"/>
        </w:rPr>
        <w:t>in milliliter (mL).</w:t>
      </w:r>
    </w:p>
    <w:p w14:paraId="7C04DE4A">
      <w:pPr>
        <w:adjustRightInd w:val="0"/>
        <w:snapToGrid w:val="0"/>
        <w:spacing w:line="360" w:lineRule="exact"/>
        <w:rPr>
          <w:rFonts w:hint="eastAsia" w:ascii="黑体" w:hAnsi="黑体" w:eastAsia="黑体" w:cs="黑体"/>
          <w:color w:val="auto"/>
        </w:rPr>
      </w:pPr>
      <w:r>
        <w:rPr>
          <w:rFonts w:hint="eastAsia" w:ascii="黑体" w:hAnsi="黑体" w:eastAsia="黑体" w:cs="黑体"/>
          <w:color w:val="auto"/>
          <w:lang w:val="en-US" w:eastAsia="zh-CN"/>
        </w:rPr>
        <w:t>T</w:t>
      </w:r>
      <w:r>
        <w:rPr>
          <w:rFonts w:hint="eastAsia" w:ascii="黑体" w:hAnsi="黑体" w:eastAsia="黑体" w:cs="黑体"/>
          <w:color w:val="auto"/>
        </w:rPr>
        <w:t xml:space="preserve">he average value </w:t>
      </w:r>
      <w:r>
        <w:rPr>
          <w:rFonts w:hint="eastAsia" w:ascii="黑体" w:hAnsi="黑体" w:eastAsia="黑体" w:cs="黑体"/>
          <w:color w:val="auto"/>
          <w:lang w:val="en-US" w:eastAsia="zh-CN"/>
        </w:rPr>
        <w:t>shall be</w:t>
      </w:r>
      <w:r>
        <w:rPr>
          <w:rFonts w:hint="eastAsia" w:ascii="黑体" w:hAnsi="黑体" w:eastAsia="黑体" w:cs="黑体"/>
          <w:color w:val="auto"/>
        </w:rPr>
        <w:t xml:space="preserve"> reported as the </w:t>
      </w:r>
      <w:r>
        <w:rPr>
          <w:rFonts w:hint="eastAsia" w:ascii="黑体" w:hAnsi="黑体" w:eastAsia="黑体" w:cs="黑体"/>
          <w:color w:val="auto"/>
          <w:lang w:val="en-US" w:eastAsia="zh-CN"/>
        </w:rPr>
        <w:t>determination</w:t>
      </w:r>
      <w:r>
        <w:rPr>
          <w:rFonts w:hint="eastAsia" w:ascii="黑体" w:hAnsi="黑体" w:eastAsia="黑体" w:cs="黑体"/>
          <w:color w:val="auto"/>
        </w:rPr>
        <w:t xml:space="preserve"> result.</w:t>
      </w:r>
      <w:r>
        <w:rPr>
          <w:rFonts w:hint="eastAsia" w:ascii="黑体" w:hAnsi="黑体" w:eastAsia="黑体" w:cs="黑体"/>
          <w:color w:val="auto"/>
          <w:lang w:val="en-US" w:eastAsia="zh-CN"/>
        </w:rPr>
        <w:t xml:space="preserve"> When the result is &lt; 0.0010%, it shall be</w:t>
      </w:r>
      <w:r>
        <w:rPr>
          <w:rFonts w:hint="eastAsia" w:ascii="黑体" w:hAnsi="黑体" w:eastAsia="黑体" w:cs="黑体"/>
          <w:color w:val="auto"/>
        </w:rPr>
        <w:t xml:space="preserve"> retained to </w:t>
      </w:r>
      <w:r>
        <w:rPr>
          <w:rFonts w:hint="eastAsia" w:ascii="黑体" w:hAnsi="黑体" w:eastAsia="黑体" w:cs="黑体"/>
          <w:color w:val="auto"/>
          <w:lang w:val="en-US" w:eastAsia="zh-CN"/>
        </w:rPr>
        <w:t>one</w:t>
      </w:r>
      <w:r>
        <w:rPr>
          <w:rFonts w:hint="eastAsia" w:ascii="黑体" w:hAnsi="黑体" w:eastAsia="黑体" w:cs="黑体"/>
          <w:color w:val="auto"/>
        </w:rPr>
        <w:t xml:space="preserve"> significant figures</w:t>
      </w:r>
      <w:r>
        <w:rPr>
          <w:rFonts w:hint="eastAsia" w:ascii="黑体" w:hAnsi="黑体" w:eastAsia="黑体" w:cs="黑体"/>
          <w:color w:val="auto"/>
          <w:lang w:val="en-US" w:eastAsia="zh-CN"/>
        </w:rPr>
        <w:t>. When the result is ≥ 0.0010%, it shall be</w:t>
      </w:r>
      <w:r>
        <w:rPr>
          <w:rFonts w:hint="eastAsia" w:ascii="黑体" w:hAnsi="黑体" w:eastAsia="黑体" w:cs="黑体"/>
          <w:color w:val="auto"/>
        </w:rPr>
        <w:t xml:space="preserve"> retained to two decimal places</w:t>
      </w:r>
      <w:r>
        <w:rPr>
          <w:rFonts w:hint="eastAsia" w:ascii="黑体" w:hAnsi="黑体" w:eastAsia="黑体" w:cs="黑体"/>
          <w:color w:val="auto"/>
          <w:lang w:val="en-US" w:eastAsia="zh-CN"/>
        </w:rPr>
        <w:t>. A</w:t>
      </w:r>
      <w:r>
        <w:rPr>
          <w:rFonts w:hint="eastAsia" w:ascii="黑体" w:hAnsi="黑体" w:eastAsia="黑体" w:cs="黑体"/>
          <w:color w:val="auto"/>
        </w:rPr>
        <w:t>nd rounded conforming to the provisions of GB/T 8170.</w:t>
      </w:r>
    </w:p>
    <w:p w14:paraId="3DA4006D">
      <w:pPr>
        <w:pStyle w:val="118"/>
        <w:numPr>
          <w:ilvl w:val="1"/>
          <w:numId w:val="0"/>
        </w:numPr>
        <w:tabs>
          <w:tab w:val="left" w:pos="112"/>
        </w:tabs>
        <w:spacing w:before="312" w:beforeLines="100" w:after="312" w:afterLines="100"/>
        <w:outlineLvl w:val="0"/>
        <w:rPr>
          <w:rFonts w:hint="eastAsia" w:hAnsi="黑体" w:cs="黑体"/>
          <w:color w:val="auto"/>
        </w:rPr>
      </w:pPr>
      <w:r>
        <w:rPr>
          <w:rFonts w:hint="eastAsia" w:hAnsi="黑体" w:cs="黑体"/>
          <w:color w:val="auto"/>
          <w:lang w:val="en-US" w:eastAsia="zh-CN"/>
        </w:rPr>
        <w:t>5</w:t>
      </w:r>
      <w:r>
        <w:rPr>
          <w:rFonts w:hint="eastAsia" w:hAnsi="黑体" w:cs="黑体"/>
          <w:color w:val="auto"/>
        </w:rPr>
        <w:t>.7 Precision</w:t>
      </w:r>
    </w:p>
    <w:p w14:paraId="046FEA08">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.7.1 Repeatability</w:t>
      </w:r>
    </w:p>
    <w:p w14:paraId="264D0414">
      <w:pPr>
        <w:spacing w:line="360" w:lineRule="exact"/>
        <w:ind w:right="102"/>
        <w:rPr>
          <w:rFonts w:hint="eastAsia" w:ascii="黑体" w:hAnsi="黑体" w:eastAsia="黑体" w:cs="黑体"/>
          <w:color w:val="auto"/>
        </w:rPr>
      </w:pPr>
      <w:r>
        <w:rPr>
          <w:rFonts w:hint="eastAsia" w:ascii="黑体" w:hAnsi="黑体" w:eastAsia="黑体" w:cs="黑体"/>
          <w:color w:val="auto"/>
        </w:rPr>
        <w:t>Under repeatability conditions, the absolute difference between two independent test results sh</w:t>
      </w:r>
      <w:r>
        <w:rPr>
          <w:rFonts w:hint="eastAsia" w:ascii="黑体" w:hAnsi="黑体" w:eastAsia="黑体" w:cs="黑体"/>
          <w:color w:val="auto"/>
          <w:lang w:val="en-US" w:eastAsia="zh-CN"/>
        </w:rPr>
        <w:t xml:space="preserve">all </w:t>
      </w:r>
      <w:r>
        <w:rPr>
          <w:rFonts w:hint="eastAsia" w:ascii="黑体" w:hAnsi="黑体" w:eastAsia="黑体" w:cs="黑体"/>
          <w:color w:val="auto"/>
        </w:rPr>
        <w:t>not exceed the repeatability limit (</w:t>
      </w:r>
      <w:r>
        <w:rPr>
          <w:rFonts w:hint="eastAsia" w:ascii="黑体" w:hAnsi="黑体" w:eastAsia="黑体" w:cs="黑体"/>
          <w:i/>
          <w:iCs/>
          <w:color w:val="auto"/>
        </w:rPr>
        <w:t>r</w:t>
      </w:r>
      <w:r>
        <w:rPr>
          <w:rFonts w:hint="eastAsia" w:ascii="黑体" w:hAnsi="黑体" w:eastAsia="黑体" w:cs="黑体"/>
          <w:color w:val="auto"/>
        </w:rPr>
        <w:t>), and the occurrence of exceeding the repeatability limit (</w:t>
      </w:r>
      <w:r>
        <w:rPr>
          <w:rFonts w:hint="eastAsia" w:ascii="黑体" w:hAnsi="黑体" w:eastAsia="黑体" w:cs="黑体"/>
          <w:i/>
          <w:iCs/>
          <w:color w:val="auto"/>
        </w:rPr>
        <w:t>r</w:t>
      </w:r>
      <w:r>
        <w:rPr>
          <w:rFonts w:hint="eastAsia" w:ascii="黑体" w:hAnsi="黑体" w:eastAsia="黑体" w:cs="黑体"/>
          <w:color w:val="auto"/>
        </w:rPr>
        <w:t>) sh</w:t>
      </w:r>
      <w:r>
        <w:rPr>
          <w:rFonts w:hint="eastAsia" w:ascii="黑体" w:hAnsi="黑体" w:eastAsia="黑体" w:cs="黑体"/>
          <w:color w:val="auto"/>
          <w:lang w:val="en-US" w:eastAsia="zh-CN"/>
        </w:rPr>
        <w:t>all</w:t>
      </w:r>
      <w:r>
        <w:rPr>
          <w:rFonts w:hint="eastAsia" w:ascii="黑体" w:hAnsi="黑体" w:eastAsia="黑体" w:cs="黑体"/>
          <w:color w:val="auto"/>
        </w:rPr>
        <w:t xml:space="preserve"> not exceed 5%. The repeatability limit (</w:t>
      </w:r>
      <w:r>
        <w:rPr>
          <w:rFonts w:hint="eastAsia" w:ascii="黑体" w:hAnsi="黑体" w:eastAsia="黑体" w:cs="黑体"/>
          <w:i/>
          <w:iCs/>
          <w:color w:val="auto"/>
        </w:rPr>
        <w:t>r</w:t>
      </w:r>
      <w:r>
        <w:rPr>
          <w:rFonts w:hint="eastAsia" w:ascii="黑体" w:hAnsi="黑体" w:eastAsia="黑体" w:cs="黑体"/>
          <w:color w:val="auto"/>
        </w:rPr>
        <w:t xml:space="preserve">) is determined using linear interpolation or extrapolation based on the data in Table </w:t>
      </w:r>
      <w:r>
        <w:rPr>
          <w:rFonts w:hint="eastAsia" w:ascii="黑体" w:hAnsi="黑体" w:eastAsia="黑体" w:cs="黑体"/>
          <w:color w:val="auto"/>
          <w:lang w:val="en-US" w:eastAsia="zh-CN"/>
        </w:rPr>
        <w:t>6</w:t>
      </w:r>
      <w:r>
        <w:rPr>
          <w:rFonts w:hint="eastAsia" w:ascii="黑体" w:hAnsi="黑体" w:eastAsia="黑体" w:cs="黑体"/>
          <w:color w:val="auto"/>
        </w:rPr>
        <w:t>.</w:t>
      </w:r>
    </w:p>
    <w:p w14:paraId="5BBB74B1">
      <w:pPr>
        <w:spacing w:line="360" w:lineRule="exact"/>
        <w:jc w:val="center"/>
        <w:rPr>
          <w:rFonts w:hint="eastAsia" w:ascii="黑体" w:hAnsi="黑体" w:eastAsia="黑体" w:cs="黑体"/>
          <w:color w:val="auto"/>
          <w:szCs w:val="21"/>
        </w:rPr>
      </w:pPr>
      <w:r>
        <w:rPr>
          <w:rFonts w:hint="eastAsia" w:ascii="黑体" w:hAnsi="黑体" w:eastAsia="黑体" w:cs="黑体"/>
          <w:color w:val="auto"/>
          <w:szCs w:val="21"/>
        </w:rPr>
        <w:t xml:space="preserve">Table </w:t>
      </w:r>
      <w:r>
        <w:rPr>
          <w:rFonts w:hint="eastAsia" w:ascii="黑体" w:hAnsi="黑体" w:eastAsia="黑体" w:cs="黑体"/>
          <w:color w:val="auto"/>
          <w:szCs w:val="21"/>
          <w:lang w:val="en-US" w:eastAsia="zh-CN"/>
        </w:rPr>
        <w:t>6</w:t>
      </w:r>
      <w:r>
        <w:rPr>
          <w:rFonts w:hint="eastAsia" w:ascii="黑体" w:hAnsi="黑体" w:eastAsia="黑体" w:cs="黑体"/>
          <w:color w:val="auto"/>
          <w:szCs w:val="21"/>
        </w:rPr>
        <w:t xml:space="preserve"> The </w:t>
      </w:r>
      <w:r>
        <w:rPr>
          <w:rFonts w:hint="eastAsia" w:ascii="黑体" w:hAnsi="黑体" w:eastAsia="黑体" w:cs="黑体"/>
          <w:color w:val="auto"/>
          <w:szCs w:val="21"/>
          <w:lang w:val="en-US" w:eastAsia="zh-CN"/>
        </w:rPr>
        <w:t>r</w:t>
      </w:r>
      <w:r>
        <w:rPr>
          <w:rFonts w:hint="eastAsia" w:ascii="黑体" w:hAnsi="黑体" w:eastAsia="黑体" w:cs="黑体"/>
          <w:color w:val="auto"/>
          <w:szCs w:val="21"/>
        </w:rPr>
        <w:t xml:space="preserve">epeatability </w:t>
      </w:r>
      <w:r>
        <w:rPr>
          <w:rFonts w:hint="eastAsia" w:ascii="黑体" w:hAnsi="黑体" w:eastAsia="黑体" w:cs="黑体"/>
          <w:color w:val="auto"/>
          <w:szCs w:val="21"/>
          <w:lang w:val="en-US" w:eastAsia="zh-CN"/>
        </w:rPr>
        <w:t>l</w:t>
      </w:r>
      <w:r>
        <w:rPr>
          <w:rFonts w:hint="eastAsia" w:ascii="黑体" w:hAnsi="黑体" w:eastAsia="黑体" w:cs="黑体"/>
          <w:color w:val="auto"/>
          <w:szCs w:val="21"/>
        </w:rPr>
        <w:t>imit (</w:t>
      </w:r>
      <w:r>
        <w:rPr>
          <w:rFonts w:hint="eastAsia" w:ascii="黑体" w:hAnsi="黑体" w:eastAsia="黑体" w:cs="黑体"/>
          <w:i/>
          <w:iCs/>
          <w:color w:val="auto"/>
          <w:szCs w:val="21"/>
        </w:rPr>
        <w:t>r</w:t>
      </w:r>
      <w:r>
        <w:rPr>
          <w:rFonts w:hint="eastAsia" w:ascii="黑体" w:hAnsi="黑体" w:eastAsia="黑体" w:cs="黑体"/>
          <w:color w:val="auto"/>
          <w:szCs w:val="21"/>
        </w:rPr>
        <w:t>)</w:t>
      </w:r>
    </w:p>
    <w:tbl>
      <w:tblPr>
        <w:tblStyle w:val="51"/>
        <w:tblW w:w="503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75"/>
        <w:gridCol w:w="1384"/>
        <w:gridCol w:w="2245"/>
        <w:gridCol w:w="1103"/>
        <w:gridCol w:w="1355"/>
        <w:gridCol w:w="2277"/>
      </w:tblGrid>
      <w:tr w14:paraId="6FD26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61" w:type="pct"/>
            <w:tcBorders>
              <w:left w:val="single" w:color="auto" w:sz="12" w:space="0"/>
              <w:bottom w:val="single" w:color="auto" w:sz="12" w:space="0"/>
            </w:tcBorders>
            <w:vAlign w:val="center"/>
          </w:tcPr>
          <w:p w14:paraId="664A35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Element</w:t>
            </w:r>
          </w:p>
        </w:tc>
        <w:tc>
          <w:tcPr>
            <w:tcW w:w="717" w:type="pct"/>
            <w:tcBorders>
              <w:bottom w:val="single" w:color="auto" w:sz="12" w:space="0"/>
            </w:tcBorders>
            <w:vAlign w:val="center"/>
          </w:tcPr>
          <w:p w14:paraId="05F790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M</w:t>
            </w:r>
            <w:r>
              <w:rPr>
                <w:rFonts w:hint="eastAsia" w:ascii="黑体" w:hAnsi="黑体" w:eastAsia="黑体" w:cs="黑体"/>
                <w:color w:val="auto"/>
                <w:sz w:val="18"/>
                <w:szCs w:val="18"/>
              </w:rPr>
              <w:t>ass fraction</w:t>
            </w:r>
          </w:p>
          <w:p w14:paraId="5A1C31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c>
          <w:tcPr>
            <w:tcW w:w="1164" w:type="pct"/>
            <w:tcBorders>
              <w:bottom w:val="single" w:color="auto" w:sz="12" w:space="0"/>
              <w:right w:val="double" w:color="auto" w:sz="4" w:space="0"/>
            </w:tcBorders>
            <w:vAlign w:val="center"/>
          </w:tcPr>
          <w:p w14:paraId="3263C3F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Repeatability limit (</w:t>
            </w:r>
            <w:r>
              <w:rPr>
                <w:rFonts w:hint="eastAsia" w:ascii="黑体" w:hAnsi="黑体" w:eastAsia="黑体" w:cs="黑体"/>
                <w:i/>
                <w:iCs/>
                <w:color w:val="auto"/>
                <w:sz w:val="18"/>
                <w:szCs w:val="18"/>
              </w:rPr>
              <w:t>r</w:t>
            </w:r>
            <w:r>
              <w:rPr>
                <w:rFonts w:hint="eastAsia" w:ascii="黑体" w:hAnsi="黑体" w:eastAsia="黑体" w:cs="黑体"/>
                <w:color w:val="auto"/>
                <w:sz w:val="18"/>
                <w:szCs w:val="18"/>
              </w:rPr>
              <w:t>)</w:t>
            </w:r>
          </w:p>
          <w:p w14:paraId="246BB7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c>
          <w:tcPr>
            <w:tcW w:w="572" w:type="pct"/>
            <w:tcBorders>
              <w:left w:val="double" w:color="auto" w:sz="4" w:space="0"/>
              <w:bottom w:val="single" w:color="auto" w:sz="12" w:space="0"/>
            </w:tcBorders>
            <w:vAlign w:val="center"/>
          </w:tcPr>
          <w:p w14:paraId="40D388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Element</w:t>
            </w:r>
          </w:p>
        </w:tc>
        <w:tc>
          <w:tcPr>
            <w:tcW w:w="702" w:type="pct"/>
            <w:tcBorders>
              <w:bottom w:val="single" w:color="auto" w:sz="12" w:space="0"/>
            </w:tcBorders>
            <w:vAlign w:val="center"/>
          </w:tcPr>
          <w:p w14:paraId="75A748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M</w:t>
            </w:r>
            <w:r>
              <w:rPr>
                <w:rFonts w:hint="eastAsia" w:ascii="黑体" w:hAnsi="黑体" w:eastAsia="黑体" w:cs="黑体"/>
                <w:color w:val="auto"/>
                <w:sz w:val="18"/>
                <w:szCs w:val="18"/>
              </w:rPr>
              <w:t>ass fraction</w:t>
            </w:r>
          </w:p>
          <w:p w14:paraId="67932C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c>
          <w:tcPr>
            <w:tcW w:w="1181" w:type="pct"/>
            <w:tcBorders>
              <w:bottom w:val="single" w:color="auto" w:sz="12" w:space="0"/>
            </w:tcBorders>
            <w:vAlign w:val="center"/>
          </w:tcPr>
          <w:p w14:paraId="1817B5A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Repeatability limit (</w:t>
            </w:r>
            <w:r>
              <w:rPr>
                <w:rFonts w:hint="eastAsia" w:ascii="黑体" w:hAnsi="黑体" w:eastAsia="黑体" w:cs="黑体"/>
                <w:i/>
                <w:iCs/>
                <w:color w:val="auto"/>
                <w:sz w:val="18"/>
                <w:szCs w:val="18"/>
              </w:rPr>
              <w:t>r</w:t>
            </w:r>
            <w:r>
              <w:rPr>
                <w:rFonts w:hint="eastAsia" w:ascii="黑体" w:hAnsi="黑体" w:eastAsia="黑体" w:cs="黑体"/>
                <w:color w:val="auto"/>
                <w:sz w:val="18"/>
                <w:szCs w:val="18"/>
              </w:rPr>
              <w:t>)</w:t>
            </w:r>
          </w:p>
          <w:p w14:paraId="4134EA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r>
      <w:tr w14:paraId="0D53BF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661" w:type="pct"/>
            <w:vMerge w:val="restart"/>
            <w:tcBorders>
              <w:top w:val="single" w:color="auto" w:sz="12" w:space="0"/>
              <w:left w:val="single" w:color="auto" w:sz="12" w:space="0"/>
              <w:right w:val="single" w:color="auto" w:sz="4" w:space="0"/>
            </w:tcBorders>
            <w:vAlign w:val="center"/>
          </w:tcPr>
          <w:p w14:paraId="3309DE81">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M</w:t>
            </w:r>
            <w:r>
              <w:rPr>
                <w:rFonts w:hint="eastAsia" w:ascii="黑体" w:hAnsi="黑体" w:eastAsia="黑体" w:cs="黑体"/>
                <w:color w:val="auto"/>
                <w:sz w:val="18"/>
                <w:szCs w:val="18"/>
              </w:rPr>
              <w:t xml:space="preserve">olybdenum </w:t>
            </w:r>
          </w:p>
        </w:tc>
        <w:tc>
          <w:tcPr>
            <w:tcW w:w="1384" w:type="dxa"/>
            <w:tcBorders>
              <w:top w:val="single" w:color="auto" w:sz="12" w:space="0"/>
              <w:left w:val="single" w:color="auto" w:sz="4" w:space="0"/>
            </w:tcBorders>
            <w:vAlign w:val="center"/>
          </w:tcPr>
          <w:p w14:paraId="1FF3D031">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0.0007</w:t>
            </w:r>
          </w:p>
        </w:tc>
        <w:tc>
          <w:tcPr>
            <w:tcW w:w="2245" w:type="dxa"/>
            <w:tcBorders>
              <w:top w:val="single" w:color="auto" w:sz="12" w:space="0"/>
              <w:right w:val="double" w:color="auto" w:sz="4" w:space="0"/>
            </w:tcBorders>
            <w:vAlign w:val="center"/>
          </w:tcPr>
          <w:p w14:paraId="4FA6E176">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0.0001</w:t>
            </w:r>
          </w:p>
        </w:tc>
        <w:tc>
          <w:tcPr>
            <w:tcW w:w="572" w:type="pct"/>
            <w:vMerge w:val="restart"/>
            <w:tcBorders>
              <w:top w:val="single" w:color="auto" w:sz="12" w:space="0"/>
              <w:left w:val="double" w:color="auto" w:sz="4" w:space="0"/>
            </w:tcBorders>
            <w:vAlign w:val="center"/>
          </w:tcPr>
          <w:p w14:paraId="03C1D758">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T</w:t>
            </w:r>
            <w:r>
              <w:rPr>
                <w:rFonts w:hint="eastAsia" w:ascii="黑体" w:hAnsi="黑体" w:eastAsia="黑体" w:cs="黑体"/>
                <w:color w:val="auto"/>
                <w:sz w:val="18"/>
                <w:szCs w:val="18"/>
              </w:rPr>
              <w:t>ungsten</w:t>
            </w:r>
          </w:p>
        </w:tc>
        <w:tc>
          <w:tcPr>
            <w:tcW w:w="1355" w:type="dxa"/>
            <w:tcBorders>
              <w:top w:val="single" w:color="auto" w:sz="12" w:space="0"/>
            </w:tcBorders>
            <w:vAlign w:val="center"/>
          </w:tcPr>
          <w:p w14:paraId="4C94CD49">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0.0002</w:t>
            </w:r>
          </w:p>
        </w:tc>
        <w:tc>
          <w:tcPr>
            <w:tcW w:w="2277" w:type="dxa"/>
            <w:tcBorders>
              <w:top w:val="single" w:color="auto" w:sz="12" w:space="0"/>
            </w:tcBorders>
            <w:vAlign w:val="center"/>
          </w:tcPr>
          <w:p w14:paraId="3AF76732">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0.0001</w:t>
            </w:r>
          </w:p>
        </w:tc>
      </w:tr>
      <w:tr w14:paraId="58E00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661" w:type="pct"/>
            <w:vMerge w:val="continue"/>
            <w:tcBorders>
              <w:left w:val="single" w:color="auto" w:sz="12" w:space="0"/>
              <w:right w:val="single" w:color="auto" w:sz="4" w:space="0"/>
            </w:tcBorders>
            <w:vAlign w:val="center"/>
          </w:tcPr>
          <w:p w14:paraId="715BEC56">
            <w:pPr>
              <w:spacing w:line="400" w:lineRule="exact"/>
              <w:jc w:val="center"/>
              <w:rPr>
                <w:rFonts w:hint="eastAsia" w:ascii="黑体" w:hAnsi="黑体" w:eastAsia="黑体" w:cs="黑体"/>
                <w:color w:val="auto"/>
                <w:sz w:val="18"/>
                <w:szCs w:val="18"/>
              </w:rPr>
            </w:pPr>
          </w:p>
        </w:tc>
        <w:tc>
          <w:tcPr>
            <w:tcW w:w="1384" w:type="dxa"/>
            <w:tcBorders>
              <w:left w:val="single" w:color="auto" w:sz="4" w:space="0"/>
            </w:tcBorders>
            <w:vAlign w:val="center"/>
          </w:tcPr>
          <w:p w14:paraId="002F0DA0">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0.0024</w:t>
            </w:r>
          </w:p>
        </w:tc>
        <w:tc>
          <w:tcPr>
            <w:tcW w:w="2245" w:type="dxa"/>
            <w:tcBorders>
              <w:right w:val="double" w:color="auto" w:sz="4" w:space="0"/>
            </w:tcBorders>
            <w:vAlign w:val="center"/>
          </w:tcPr>
          <w:p w14:paraId="7CFEFE72">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0.0004</w:t>
            </w:r>
          </w:p>
        </w:tc>
        <w:tc>
          <w:tcPr>
            <w:tcW w:w="572" w:type="pct"/>
            <w:vMerge w:val="continue"/>
            <w:tcBorders>
              <w:left w:val="double" w:color="auto" w:sz="4" w:space="0"/>
            </w:tcBorders>
            <w:vAlign w:val="center"/>
          </w:tcPr>
          <w:p w14:paraId="4F9098A9">
            <w:pPr>
              <w:spacing w:line="400" w:lineRule="exact"/>
              <w:jc w:val="center"/>
              <w:rPr>
                <w:rFonts w:hint="eastAsia" w:ascii="黑体" w:hAnsi="黑体" w:eastAsia="黑体" w:cs="黑体"/>
                <w:color w:val="auto"/>
                <w:sz w:val="18"/>
                <w:szCs w:val="18"/>
              </w:rPr>
            </w:pPr>
          </w:p>
        </w:tc>
        <w:tc>
          <w:tcPr>
            <w:tcW w:w="1355" w:type="dxa"/>
            <w:vAlign w:val="center"/>
          </w:tcPr>
          <w:p w14:paraId="7D675D49">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0.0051</w:t>
            </w:r>
          </w:p>
        </w:tc>
        <w:tc>
          <w:tcPr>
            <w:tcW w:w="2277" w:type="dxa"/>
            <w:vAlign w:val="center"/>
          </w:tcPr>
          <w:p w14:paraId="1FBBE42C">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0.0007</w:t>
            </w:r>
          </w:p>
        </w:tc>
      </w:tr>
      <w:tr w14:paraId="0DFCEF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661" w:type="pct"/>
            <w:vMerge w:val="continue"/>
            <w:tcBorders>
              <w:left w:val="single" w:color="auto" w:sz="12" w:space="0"/>
              <w:right w:val="single" w:color="auto" w:sz="4" w:space="0"/>
            </w:tcBorders>
            <w:vAlign w:val="center"/>
          </w:tcPr>
          <w:p w14:paraId="578CFCCB">
            <w:pPr>
              <w:spacing w:line="400" w:lineRule="exact"/>
              <w:jc w:val="center"/>
              <w:rPr>
                <w:rFonts w:hint="eastAsia" w:ascii="黑体" w:hAnsi="黑体" w:eastAsia="黑体" w:cs="黑体"/>
                <w:color w:val="auto"/>
                <w:sz w:val="18"/>
                <w:szCs w:val="18"/>
              </w:rPr>
            </w:pPr>
          </w:p>
        </w:tc>
        <w:tc>
          <w:tcPr>
            <w:tcW w:w="1384" w:type="dxa"/>
            <w:tcBorders>
              <w:left w:val="single" w:color="auto" w:sz="4" w:space="0"/>
            </w:tcBorders>
            <w:vAlign w:val="center"/>
          </w:tcPr>
          <w:p w14:paraId="02016E10">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0.0060</w:t>
            </w:r>
          </w:p>
        </w:tc>
        <w:tc>
          <w:tcPr>
            <w:tcW w:w="2245" w:type="dxa"/>
            <w:tcBorders>
              <w:right w:val="double" w:color="auto" w:sz="4" w:space="0"/>
            </w:tcBorders>
            <w:vAlign w:val="center"/>
          </w:tcPr>
          <w:p w14:paraId="0475F7C7">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0.0008</w:t>
            </w:r>
          </w:p>
        </w:tc>
        <w:tc>
          <w:tcPr>
            <w:tcW w:w="572" w:type="pct"/>
            <w:vMerge w:val="continue"/>
            <w:tcBorders>
              <w:left w:val="double" w:color="auto" w:sz="4" w:space="0"/>
            </w:tcBorders>
            <w:vAlign w:val="center"/>
          </w:tcPr>
          <w:p w14:paraId="1479471D">
            <w:pPr>
              <w:spacing w:line="400" w:lineRule="exact"/>
              <w:jc w:val="center"/>
              <w:rPr>
                <w:rFonts w:hint="eastAsia" w:ascii="黑体" w:hAnsi="黑体" w:eastAsia="黑体" w:cs="黑体"/>
                <w:color w:val="auto"/>
                <w:sz w:val="18"/>
                <w:szCs w:val="18"/>
              </w:rPr>
            </w:pPr>
          </w:p>
        </w:tc>
        <w:tc>
          <w:tcPr>
            <w:tcW w:w="1355" w:type="dxa"/>
            <w:vAlign w:val="center"/>
          </w:tcPr>
          <w:p w14:paraId="3E5C812D">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0.013</w:t>
            </w:r>
          </w:p>
        </w:tc>
        <w:tc>
          <w:tcPr>
            <w:tcW w:w="2277" w:type="dxa"/>
            <w:vAlign w:val="center"/>
          </w:tcPr>
          <w:p w14:paraId="72802A06">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0.002</w:t>
            </w:r>
          </w:p>
        </w:tc>
      </w:tr>
      <w:tr w14:paraId="3DB3DB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661" w:type="pct"/>
            <w:vMerge w:val="continue"/>
            <w:tcBorders>
              <w:left w:val="single" w:color="auto" w:sz="12" w:space="0"/>
              <w:right w:val="single" w:color="auto" w:sz="4" w:space="0"/>
            </w:tcBorders>
            <w:vAlign w:val="center"/>
          </w:tcPr>
          <w:p w14:paraId="3C7BB125">
            <w:pPr>
              <w:spacing w:line="400" w:lineRule="exact"/>
              <w:jc w:val="center"/>
              <w:rPr>
                <w:rFonts w:hint="eastAsia" w:ascii="黑体" w:hAnsi="黑体" w:eastAsia="黑体" w:cs="黑体"/>
                <w:color w:val="auto"/>
                <w:sz w:val="18"/>
                <w:szCs w:val="18"/>
              </w:rPr>
            </w:pPr>
          </w:p>
        </w:tc>
        <w:tc>
          <w:tcPr>
            <w:tcW w:w="1384" w:type="dxa"/>
            <w:tcBorders>
              <w:left w:val="single" w:color="auto" w:sz="4" w:space="0"/>
            </w:tcBorders>
            <w:vAlign w:val="center"/>
          </w:tcPr>
          <w:p w14:paraId="12FAE985">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0.045</w:t>
            </w:r>
          </w:p>
        </w:tc>
        <w:tc>
          <w:tcPr>
            <w:tcW w:w="2245" w:type="dxa"/>
            <w:tcBorders>
              <w:right w:val="double" w:color="auto" w:sz="4" w:space="0"/>
            </w:tcBorders>
            <w:vAlign w:val="center"/>
          </w:tcPr>
          <w:p w14:paraId="1166BDFE">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0.005</w:t>
            </w:r>
          </w:p>
        </w:tc>
        <w:tc>
          <w:tcPr>
            <w:tcW w:w="572" w:type="pct"/>
            <w:vMerge w:val="continue"/>
            <w:tcBorders>
              <w:left w:val="double" w:color="auto" w:sz="4" w:space="0"/>
            </w:tcBorders>
            <w:vAlign w:val="center"/>
          </w:tcPr>
          <w:p w14:paraId="2B39D5DD">
            <w:pPr>
              <w:spacing w:line="400" w:lineRule="exact"/>
              <w:jc w:val="center"/>
              <w:rPr>
                <w:rFonts w:hint="eastAsia" w:ascii="黑体" w:hAnsi="黑体" w:eastAsia="黑体" w:cs="黑体"/>
                <w:color w:val="auto"/>
                <w:sz w:val="18"/>
                <w:szCs w:val="18"/>
              </w:rPr>
            </w:pPr>
          </w:p>
        </w:tc>
        <w:tc>
          <w:tcPr>
            <w:tcW w:w="1355" w:type="dxa"/>
            <w:vAlign w:val="center"/>
          </w:tcPr>
          <w:p w14:paraId="600925DD">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0.024</w:t>
            </w:r>
          </w:p>
        </w:tc>
        <w:tc>
          <w:tcPr>
            <w:tcW w:w="2277" w:type="dxa"/>
            <w:vAlign w:val="center"/>
          </w:tcPr>
          <w:p w14:paraId="225B5875">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0.002</w:t>
            </w:r>
          </w:p>
        </w:tc>
      </w:tr>
      <w:tr w14:paraId="15A700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661" w:type="pct"/>
            <w:vMerge w:val="continue"/>
            <w:tcBorders>
              <w:left w:val="single" w:color="auto" w:sz="12" w:space="0"/>
              <w:right w:val="single" w:color="auto" w:sz="4" w:space="0"/>
            </w:tcBorders>
            <w:vAlign w:val="center"/>
          </w:tcPr>
          <w:p w14:paraId="54D961F0">
            <w:pPr>
              <w:spacing w:line="400" w:lineRule="exact"/>
              <w:jc w:val="center"/>
              <w:rPr>
                <w:rFonts w:hint="eastAsia" w:ascii="黑体" w:hAnsi="黑体" w:eastAsia="黑体" w:cs="黑体"/>
                <w:color w:val="auto"/>
                <w:sz w:val="18"/>
                <w:szCs w:val="18"/>
              </w:rPr>
            </w:pPr>
          </w:p>
        </w:tc>
        <w:tc>
          <w:tcPr>
            <w:tcW w:w="1384" w:type="dxa"/>
            <w:tcBorders>
              <w:left w:val="single" w:color="auto" w:sz="4" w:space="0"/>
            </w:tcBorders>
            <w:vAlign w:val="center"/>
          </w:tcPr>
          <w:p w14:paraId="77CB6C22">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0.11</w:t>
            </w:r>
          </w:p>
        </w:tc>
        <w:tc>
          <w:tcPr>
            <w:tcW w:w="2245" w:type="dxa"/>
            <w:tcBorders>
              <w:right w:val="double" w:color="auto" w:sz="4" w:space="0"/>
            </w:tcBorders>
            <w:vAlign w:val="center"/>
          </w:tcPr>
          <w:p w14:paraId="1D1114D0">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0.01</w:t>
            </w:r>
          </w:p>
        </w:tc>
        <w:tc>
          <w:tcPr>
            <w:tcW w:w="572" w:type="pct"/>
            <w:vMerge w:val="continue"/>
            <w:tcBorders>
              <w:left w:val="double" w:color="auto" w:sz="4" w:space="0"/>
            </w:tcBorders>
            <w:vAlign w:val="center"/>
          </w:tcPr>
          <w:p w14:paraId="2EE2E8D5">
            <w:pPr>
              <w:spacing w:line="400" w:lineRule="exact"/>
              <w:jc w:val="center"/>
              <w:rPr>
                <w:rFonts w:hint="eastAsia" w:ascii="黑体" w:hAnsi="黑体" w:eastAsia="黑体" w:cs="黑体"/>
                <w:color w:val="auto"/>
                <w:sz w:val="18"/>
                <w:szCs w:val="18"/>
              </w:rPr>
            </w:pPr>
          </w:p>
        </w:tc>
        <w:tc>
          <w:tcPr>
            <w:tcW w:w="1355" w:type="dxa"/>
            <w:vAlign w:val="center"/>
          </w:tcPr>
          <w:p w14:paraId="409D03B6">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0.050</w:t>
            </w:r>
          </w:p>
        </w:tc>
        <w:tc>
          <w:tcPr>
            <w:tcW w:w="2277" w:type="dxa"/>
            <w:vAlign w:val="center"/>
          </w:tcPr>
          <w:p w14:paraId="380630D9">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0.004</w:t>
            </w:r>
          </w:p>
        </w:tc>
      </w:tr>
      <w:tr w14:paraId="3CAD1C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661" w:type="pct"/>
            <w:vMerge w:val="continue"/>
            <w:tcBorders>
              <w:left w:val="single" w:color="auto" w:sz="12" w:space="0"/>
              <w:bottom w:val="single" w:color="auto" w:sz="4" w:space="0"/>
              <w:right w:val="single" w:color="auto" w:sz="4" w:space="0"/>
            </w:tcBorders>
            <w:vAlign w:val="center"/>
          </w:tcPr>
          <w:p w14:paraId="085192C9">
            <w:pPr>
              <w:spacing w:line="400" w:lineRule="exact"/>
              <w:jc w:val="center"/>
              <w:rPr>
                <w:rFonts w:hint="eastAsia" w:ascii="黑体" w:hAnsi="黑体" w:eastAsia="黑体" w:cs="黑体"/>
                <w:color w:val="auto"/>
                <w:sz w:val="18"/>
                <w:szCs w:val="18"/>
                <w:lang w:val="en-US" w:eastAsia="zh-CN"/>
              </w:rPr>
            </w:pPr>
          </w:p>
        </w:tc>
        <w:tc>
          <w:tcPr>
            <w:tcW w:w="1384" w:type="dxa"/>
            <w:tcBorders>
              <w:left w:val="single" w:color="auto" w:sz="4" w:space="0"/>
            </w:tcBorders>
            <w:vAlign w:val="center"/>
          </w:tcPr>
          <w:p w14:paraId="32238FCD">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w:t>
            </w:r>
          </w:p>
        </w:tc>
        <w:tc>
          <w:tcPr>
            <w:tcW w:w="2245" w:type="dxa"/>
            <w:tcBorders>
              <w:right w:val="double" w:color="auto" w:sz="4" w:space="0"/>
            </w:tcBorders>
            <w:vAlign w:val="center"/>
          </w:tcPr>
          <w:p w14:paraId="2918B762">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w:t>
            </w:r>
          </w:p>
        </w:tc>
        <w:tc>
          <w:tcPr>
            <w:tcW w:w="572" w:type="pct"/>
            <w:vMerge w:val="continue"/>
            <w:tcBorders>
              <w:left w:val="double" w:color="auto" w:sz="4" w:space="0"/>
            </w:tcBorders>
            <w:vAlign w:val="center"/>
          </w:tcPr>
          <w:p w14:paraId="386CF7AB">
            <w:pPr>
              <w:spacing w:line="400" w:lineRule="exact"/>
              <w:jc w:val="center"/>
              <w:rPr>
                <w:rFonts w:hint="eastAsia" w:ascii="黑体" w:hAnsi="黑体" w:eastAsia="黑体" w:cs="黑体"/>
                <w:color w:val="auto"/>
                <w:sz w:val="18"/>
                <w:szCs w:val="18"/>
                <w:lang w:val="en-US"/>
              </w:rPr>
            </w:pPr>
          </w:p>
        </w:tc>
        <w:tc>
          <w:tcPr>
            <w:tcW w:w="1355" w:type="dxa"/>
            <w:vAlign w:val="center"/>
          </w:tcPr>
          <w:p w14:paraId="5E31EDB9">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0.11</w:t>
            </w:r>
          </w:p>
        </w:tc>
        <w:tc>
          <w:tcPr>
            <w:tcW w:w="2277" w:type="dxa"/>
            <w:vAlign w:val="center"/>
          </w:tcPr>
          <w:p w14:paraId="5474B888">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0.01</w:t>
            </w:r>
          </w:p>
        </w:tc>
      </w:tr>
      <w:tr w14:paraId="0335F4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5000" w:type="pct"/>
            <w:gridSpan w:val="6"/>
            <w:tcBorders>
              <w:left w:val="single" w:color="auto" w:sz="12" w:space="0"/>
            </w:tcBorders>
            <w:vAlign w:val="center"/>
          </w:tcPr>
          <w:p w14:paraId="4EBEF60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Note: The repeatability limit (</w:t>
            </w:r>
            <w:r>
              <w:rPr>
                <w:rFonts w:hint="eastAsia" w:ascii="黑体" w:hAnsi="黑体" w:eastAsia="黑体" w:cs="黑体"/>
                <w:i/>
                <w:iCs/>
                <w:color w:val="auto"/>
                <w:sz w:val="18"/>
                <w:szCs w:val="18"/>
              </w:rPr>
              <w:t xml:space="preserve">r) </w:t>
            </w:r>
            <w:r>
              <w:rPr>
                <w:rFonts w:hint="eastAsia" w:ascii="黑体" w:hAnsi="黑体" w:eastAsia="黑体" w:cs="黑体"/>
                <w:color w:val="auto"/>
                <w:sz w:val="18"/>
                <w:szCs w:val="18"/>
              </w:rPr>
              <w:t>is 2.8×</w:t>
            </w:r>
            <w:r>
              <w:rPr>
                <w:rFonts w:hint="eastAsia" w:ascii="黑体" w:hAnsi="黑体" w:eastAsia="黑体" w:cs="黑体"/>
                <w:i/>
                <w:iCs/>
                <w:color w:val="auto"/>
                <w:sz w:val="18"/>
                <w:szCs w:val="18"/>
              </w:rPr>
              <w:t>S</w:t>
            </w:r>
            <w:r>
              <w:rPr>
                <w:rFonts w:hint="eastAsia" w:ascii="黑体" w:hAnsi="黑体" w:eastAsia="黑体" w:cs="黑体"/>
                <w:i/>
                <w:iCs/>
                <w:color w:val="auto"/>
                <w:sz w:val="18"/>
                <w:szCs w:val="18"/>
                <w:vertAlign w:val="subscript"/>
              </w:rPr>
              <w:t>r</w:t>
            </w:r>
            <w:r>
              <w:rPr>
                <w:rFonts w:hint="eastAsia" w:ascii="黑体" w:hAnsi="黑体" w:eastAsia="黑体" w:cs="黑体"/>
                <w:i/>
                <w:iCs/>
                <w:color w:val="auto"/>
                <w:sz w:val="18"/>
                <w:szCs w:val="18"/>
                <w:vertAlign w:val="baseline"/>
                <w:lang w:val="en-US" w:eastAsia="zh-CN"/>
              </w:rPr>
              <w:t xml:space="preserve">, </w:t>
            </w:r>
            <w:r>
              <w:rPr>
                <w:rFonts w:hint="eastAsia" w:ascii="黑体" w:hAnsi="黑体" w:eastAsia="黑体" w:cs="黑体"/>
                <w:color w:val="auto"/>
                <w:sz w:val="18"/>
                <w:szCs w:val="18"/>
                <w:lang w:val="en-US" w:eastAsia="zh-CN"/>
              </w:rPr>
              <w:t>w</w:t>
            </w:r>
            <w:r>
              <w:rPr>
                <w:rFonts w:hint="eastAsia" w:ascii="黑体" w:hAnsi="黑体" w:eastAsia="黑体" w:cs="黑体"/>
                <w:color w:val="auto"/>
                <w:sz w:val="18"/>
                <w:szCs w:val="18"/>
              </w:rPr>
              <w:t xml:space="preserve">here </w:t>
            </w:r>
            <w:r>
              <w:rPr>
                <w:rFonts w:hint="eastAsia" w:ascii="黑体" w:hAnsi="黑体" w:eastAsia="黑体" w:cs="黑体"/>
                <w:i/>
                <w:iCs/>
                <w:color w:val="auto"/>
                <w:sz w:val="18"/>
                <w:szCs w:val="18"/>
              </w:rPr>
              <w:t>S</w:t>
            </w:r>
            <w:r>
              <w:rPr>
                <w:rFonts w:hint="eastAsia" w:ascii="黑体" w:hAnsi="黑体" w:eastAsia="黑体" w:cs="黑体"/>
                <w:i/>
                <w:iCs/>
                <w:color w:val="auto"/>
                <w:sz w:val="18"/>
                <w:szCs w:val="18"/>
                <w:vertAlign w:val="subscript"/>
              </w:rPr>
              <w:t>r</w:t>
            </w:r>
            <w:r>
              <w:rPr>
                <w:rFonts w:hint="eastAsia" w:ascii="黑体" w:hAnsi="黑体" w:eastAsia="黑体" w:cs="黑体"/>
                <w:color w:val="auto"/>
                <w:sz w:val="18"/>
                <w:szCs w:val="18"/>
                <w:vertAlign w:val="subscript"/>
              </w:rPr>
              <w:t xml:space="preserve"> </w:t>
            </w:r>
            <w:r>
              <w:rPr>
                <w:rFonts w:hint="eastAsia" w:ascii="黑体" w:hAnsi="黑体" w:eastAsia="黑体" w:cs="黑体"/>
                <w:color w:val="auto"/>
                <w:sz w:val="18"/>
                <w:szCs w:val="18"/>
              </w:rPr>
              <w:t>is the standard deviation of repeatability.</w:t>
            </w:r>
          </w:p>
        </w:tc>
      </w:tr>
    </w:tbl>
    <w:p w14:paraId="5008179A">
      <w:pPr>
        <w:spacing w:before="156" w:beforeLines="50" w:after="156" w:afterLines="50" w:line="360" w:lineRule="exact"/>
        <w:rPr>
          <w:rFonts w:hint="eastAsia" w:ascii="黑体" w:hAnsi="黑体" w:eastAsia="黑体" w:cs="黑体"/>
          <w:color w:val="auto"/>
        </w:rPr>
      </w:pPr>
      <w:r>
        <w:rPr>
          <w:rFonts w:hint="eastAsia" w:ascii="黑体" w:hAnsi="黑体" w:eastAsia="黑体" w:cs="黑体"/>
          <w:color w:val="auto"/>
          <w:lang w:val="en-US" w:eastAsia="zh-CN"/>
        </w:rPr>
        <w:t>5</w:t>
      </w:r>
      <w:r>
        <w:rPr>
          <w:rFonts w:hint="eastAsia" w:ascii="黑体" w:hAnsi="黑体" w:eastAsia="黑体" w:cs="黑体"/>
          <w:color w:val="auto"/>
        </w:rPr>
        <w:t>.7.</w:t>
      </w:r>
      <w:r>
        <w:rPr>
          <w:rFonts w:hint="eastAsia" w:ascii="黑体" w:hAnsi="黑体" w:eastAsia="黑体" w:cs="黑体"/>
          <w:color w:val="auto"/>
          <w:lang w:val="en-US" w:eastAsia="zh-CN"/>
        </w:rPr>
        <w:t>2</w:t>
      </w:r>
      <w:r>
        <w:rPr>
          <w:rFonts w:hint="eastAsia" w:ascii="黑体" w:hAnsi="黑体" w:eastAsia="黑体" w:cs="黑体"/>
          <w:color w:val="auto"/>
        </w:rPr>
        <w:t xml:space="preserve"> Reproducibility</w:t>
      </w:r>
    </w:p>
    <w:p w14:paraId="37A0880A">
      <w:pPr>
        <w:pStyle w:val="113"/>
        <w:snapToGrid w:val="0"/>
        <w:spacing w:line="360" w:lineRule="exact"/>
        <w:ind w:firstLine="0" w:firstLineChars="0"/>
        <w:rPr>
          <w:rFonts w:hint="eastAsia" w:ascii="黑体" w:hAnsi="黑体" w:eastAsia="黑体" w:cs="黑体"/>
          <w:color w:val="auto"/>
        </w:rPr>
      </w:pPr>
      <w:r>
        <w:rPr>
          <w:rFonts w:hint="eastAsia" w:ascii="黑体" w:hAnsi="黑体" w:eastAsia="黑体" w:cs="黑体"/>
          <w:color w:val="auto"/>
        </w:rPr>
        <w:t>Under reproducibility conditions, the absolute difference between two independent test results sh</w:t>
      </w:r>
      <w:r>
        <w:rPr>
          <w:rFonts w:hint="eastAsia" w:ascii="黑体" w:hAnsi="黑体" w:eastAsia="黑体" w:cs="黑体"/>
          <w:color w:val="auto"/>
          <w:lang w:val="en-US" w:eastAsia="zh-CN"/>
        </w:rPr>
        <w:t>all</w:t>
      </w:r>
      <w:r>
        <w:rPr>
          <w:rFonts w:hint="eastAsia" w:ascii="黑体" w:hAnsi="黑体" w:eastAsia="黑体" w:cs="黑体"/>
          <w:color w:val="auto"/>
        </w:rPr>
        <w:t xml:space="preserve"> not exceed the reproducibility limit (</w:t>
      </w:r>
      <w:r>
        <w:rPr>
          <w:rFonts w:hint="eastAsia" w:ascii="黑体" w:hAnsi="黑体" w:eastAsia="黑体" w:cs="黑体"/>
          <w:i/>
          <w:iCs/>
          <w:color w:val="auto"/>
        </w:rPr>
        <w:t>R</w:t>
      </w:r>
      <w:r>
        <w:rPr>
          <w:rFonts w:hint="eastAsia" w:ascii="黑体" w:hAnsi="黑体" w:eastAsia="黑体" w:cs="黑体"/>
          <w:color w:val="auto"/>
        </w:rPr>
        <w:t>), and the occurrence of exceeding the reproducibility limit (</w:t>
      </w:r>
      <w:r>
        <w:rPr>
          <w:rFonts w:hint="eastAsia" w:ascii="黑体" w:hAnsi="黑体" w:eastAsia="黑体" w:cs="黑体"/>
          <w:i/>
          <w:iCs/>
          <w:color w:val="auto"/>
        </w:rPr>
        <w:t>R</w:t>
      </w:r>
      <w:r>
        <w:rPr>
          <w:rFonts w:hint="eastAsia" w:ascii="黑体" w:hAnsi="黑体" w:eastAsia="黑体" w:cs="黑体"/>
          <w:color w:val="auto"/>
        </w:rPr>
        <w:t>) sh</w:t>
      </w:r>
      <w:r>
        <w:rPr>
          <w:rFonts w:hint="eastAsia" w:ascii="黑体" w:hAnsi="黑体" w:eastAsia="黑体" w:cs="黑体"/>
          <w:color w:val="auto"/>
          <w:lang w:val="en-US" w:eastAsia="zh-CN"/>
        </w:rPr>
        <w:t>all</w:t>
      </w:r>
      <w:r>
        <w:rPr>
          <w:rFonts w:hint="eastAsia" w:ascii="黑体" w:hAnsi="黑体" w:eastAsia="黑体" w:cs="黑体"/>
          <w:color w:val="auto"/>
        </w:rPr>
        <w:t xml:space="preserve"> not exceed 5%. The reproducibility limit (</w:t>
      </w:r>
      <w:r>
        <w:rPr>
          <w:rFonts w:hint="eastAsia" w:ascii="黑体" w:hAnsi="黑体" w:eastAsia="黑体" w:cs="黑体"/>
          <w:i/>
          <w:iCs/>
          <w:color w:val="auto"/>
        </w:rPr>
        <w:t>R</w:t>
      </w:r>
      <w:r>
        <w:rPr>
          <w:rFonts w:hint="eastAsia" w:ascii="黑体" w:hAnsi="黑体" w:eastAsia="黑体" w:cs="黑体"/>
          <w:color w:val="auto"/>
        </w:rPr>
        <w:t xml:space="preserve">) is determined by linear interpolation or extrapolation based on the data in Table </w:t>
      </w:r>
      <w:r>
        <w:rPr>
          <w:rFonts w:hint="eastAsia" w:ascii="黑体" w:hAnsi="黑体" w:eastAsia="黑体" w:cs="黑体"/>
          <w:color w:val="auto"/>
          <w:lang w:val="en-US" w:eastAsia="zh-CN"/>
        </w:rPr>
        <w:t>7</w:t>
      </w:r>
      <w:r>
        <w:rPr>
          <w:rFonts w:hint="eastAsia" w:ascii="黑体" w:hAnsi="黑体" w:eastAsia="黑体" w:cs="黑体"/>
          <w:color w:val="auto"/>
        </w:rPr>
        <w:t>.</w:t>
      </w:r>
    </w:p>
    <w:p w14:paraId="3E8DAAB7">
      <w:pPr>
        <w:spacing w:line="360" w:lineRule="exact"/>
        <w:jc w:val="center"/>
        <w:rPr>
          <w:color w:val="auto"/>
          <w:spacing w:val="6"/>
        </w:rPr>
      </w:pPr>
      <w:r>
        <w:rPr>
          <w:rFonts w:hint="eastAsia" w:ascii="黑体" w:hAnsi="黑体" w:eastAsia="黑体" w:cs="黑体"/>
          <w:color w:val="auto"/>
          <w:szCs w:val="21"/>
        </w:rPr>
        <w:t xml:space="preserve">Table </w:t>
      </w:r>
      <w:r>
        <w:rPr>
          <w:rFonts w:hint="eastAsia" w:ascii="黑体" w:hAnsi="黑体" w:eastAsia="黑体" w:cs="黑体"/>
          <w:color w:val="auto"/>
          <w:szCs w:val="21"/>
          <w:lang w:val="en-US" w:eastAsia="zh-CN"/>
        </w:rPr>
        <w:t>7</w:t>
      </w:r>
      <w:r>
        <w:rPr>
          <w:rFonts w:hint="eastAsia" w:ascii="黑体" w:hAnsi="黑体" w:eastAsia="黑体" w:cs="黑体"/>
          <w:color w:val="auto"/>
          <w:szCs w:val="21"/>
        </w:rPr>
        <w:t xml:space="preserve"> The </w:t>
      </w:r>
      <w:r>
        <w:rPr>
          <w:rFonts w:hint="eastAsia" w:ascii="黑体" w:hAnsi="黑体" w:eastAsia="黑体" w:cs="黑体"/>
          <w:color w:val="auto"/>
          <w:szCs w:val="21"/>
          <w:lang w:val="en-US" w:eastAsia="zh-CN"/>
        </w:rPr>
        <w:t>r</w:t>
      </w:r>
      <w:r>
        <w:rPr>
          <w:rFonts w:hint="eastAsia" w:ascii="黑体" w:hAnsi="黑体" w:eastAsia="黑体" w:cs="黑体"/>
          <w:color w:val="auto"/>
          <w:szCs w:val="21"/>
        </w:rPr>
        <w:t xml:space="preserve">eproducibility </w:t>
      </w:r>
      <w:r>
        <w:rPr>
          <w:rFonts w:hint="eastAsia" w:ascii="黑体" w:hAnsi="黑体" w:eastAsia="黑体" w:cs="黑体"/>
          <w:color w:val="auto"/>
          <w:szCs w:val="21"/>
          <w:lang w:val="en-US" w:eastAsia="zh-CN"/>
        </w:rPr>
        <w:t>l</w:t>
      </w:r>
      <w:r>
        <w:rPr>
          <w:rFonts w:hint="eastAsia" w:ascii="黑体" w:hAnsi="黑体" w:eastAsia="黑体" w:cs="黑体"/>
          <w:color w:val="auto"/>
          <w:szCs w:val="21"/>
        </w:rPr>
        <w:t>imit (</w:t>
      </w:r>
      <w:r>
        <w:rPr>
          <w:rFonts w:hint="eastAsia" w:ascii="黑体" w:hAnsi="黑体" w:eastAsia="黑体" w:cs="黑体"/>
          <w:i/>
          <w:iCs/>
          <w:color w:val="auto"/>
          <w:szCs w:val="21"/>
        </w:rPr>
        <w:t>R</w:t>
      </w:r>
      <w:r>
        <w:rPr>
          <w:rFonts w:hint="eastAsia" w:ascii="黑体" w:hAnsi="黑体" w:eastAsia="黑体" w:cs="黑体"/>
          <w:color w:val="auto"/>
          <w:szCs w:val="21"/>
        </w:rPr>
        <w:t>)</w:t>
      </w:r>
    </w:p>
    <w:tbl>
      <w:tblPr>
        <w:tblStyle w:val="51"/>
        <w:tblW w:w="504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4"/>
        <w:gridCol w:w="1452"/>
        <w:gridCol w:w="2164"/>
        <w:gridCol w:w="1223"/>
        <w:gridCol w:w="1432"/>
        <w:gridCol w:w="1960"/>
      </w:tblGrid>
      <w:tr w14:paraId="095D53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41" w:type="pct"/>
            <w:tcBorders>
              <w:left w:val="single" w:color="auto" w:sz="12" w:space="0"/>
              <w:bottom w:val="single" w:color="auto" w:sz="12" w:space="0"/>
            </w:tcBorders>
            <w:vAlign w:val="center"/>
          </w:tcPr>
          <w:p w14:paraId="7D7B78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Element</w:t>
            </w:r>
          </w:p>
        </w:tc>
        <w:tc>
          <w:tcPr>
            <w:tcW w:w="751" w:type="pct"/>
            <w:tcBorders>
              <w:bottom w:val="single" w:color="auto" w:sz="12" w:space="0"/>
            </w:tcBorders>
            <w:vAlign w:val="center"/>
          </w:tcPr>
          <w:p w14:paraId="41701C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M</w:t>
            </w:r>
            <w:r>
              <w:rPr>
                <w:rFonts w:hint="eastAsia" w:ascii="黑体" w:hAnsi="黑体" w:eastAsia="黑体" w:cs="黑体"/>
                <w:color w:val="auto"/>
                <w:sz w:val="18"/>
                <w:szCs w:val="18"/>
              </w:rPr>
              <w:t>ass fraction</w:t>
            </w:r>
          </w:p>
          <w:p w14:paraId="380161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c>
          <w:tcPr>
            <w:tcW w:w="1119" w:type="pct"/>
            <w:tcBorders>
              <w:bottom w:val="single" w:color="auto" w:sz="12" w:space="0"/>
              <w:right w:val="double" w:color="auto" w:sz="4" w:space="0"/>
            </w:tcBorders>
            <w:vAlign w:val="center"/>
          </w:tcPr>
          <w:p w14:paraId="20C328CC">
            <w:pPr>
              <w:spacing w:line="3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rPr>
              <w:t>Reproducibility</w:t>
            </w:r>
          </w:p>
          <w:p w14:paraId="0D8B752D">
            <w:pPr>
              <w:spacing w:line="3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rPr>
              <w:t>limit (</w:t>
            </w:r>
            <w:r>
              <w:rPr>
                <w:rFonts w:hint="eastAsia" w:ascii="黑体" w:hAnsi="黑体" w:eastAsia="黑体" w:cs="黑体"/>
                <w:i/>
                <w:iCs/>
                <w:color w:val="auto"/>
                <w:sz w:val="18"/>
                <w:szCs w:val="18"/>
              </w:rPr>
              <w:t>R</w:t>
            </w:r>
            <w:r>
              <w:rPr>
                <w:rFonts w:hint="eastAsia" w:ascii="黑体" w:hAnsi="黑体" w:eastAsia="黑体" w:cs="黑体"/>
                <w:color w:val="auto"/>
                <w:sz w:val="18"/>
                <w:szCs w:val="18"/>
              </w:rPr>
              <w:t>)</w:t>
            </w:r>
          </w:p>
          <w:p w14:paraId="121700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c>
          <w:tcPr>
            <w:tcW w:w="632" w:type="pct"/>
            <w:tcBorders>
              <w:left w:val="double" w:color="auto" w:sz="4" w:space="0"/>
              <w:bottom w:val="single" w:color="auto" w:sz="12" w:space="0"/>
            </w:tcBorders>
            <w:vAlign w:val="center"/>
          </w:tcPr>
          <w:p w14:paraId="732D22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Element</w:t>
            </w:r>
          </w:p>
        </w:tc>
        <w:tc>
          <w:tcPr>
            <w:tcW w:w="740" w:type="pct"/>
            <w:tcBorders>
              <w:bottom w:val="single" w:color="auto" w:sz="12" w:space="0"/>
            </w:tcBorders>
            <w:vAlign w:val="center"/>
          </w:tcPr>
          <w:p w14:paraId="7220FA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M</w:t>
            </w:r>
            <w:r>
              <w:rPr>
                <w:rFonts w:hint="eastAsia" w:ascii="黑体" w:hAnsi="黑体" w:eastAsia="黑体" w:cs="黑体"/>
                <w:color w:val="auto"/>
                <w:sz w:val="18"/>
                <w:szCs w:val="18"/>
              </w:rPr>
              <w:t>ass fraction</w:t>
            </w:r>
          </w:p>
          <w:p w14:paraId="4EAEF6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c>
          <w:tcPr>
            <w:tcW w:w="1013" w:type="pct"/>
            <w:tcBorders>
              <w:bottom w:val="single" w:color="auto" w:sz="12" w:space="0"/>
            </w:tcBorders>
            <w:vAlign w:val="center"/>
          </w:tcPr>
          <w:p w14:paraId="385CB619">
            <w:pPr>
              <w:spacing w:line="3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rPr>
              <w:t>Reproducibility</w:t>
            </w:r>
          </w:p>
          <w:p w14:paraId="1F047980">
            <w:pPr>
              <w:spacing w:line="3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rPr>
              <w:t>limit (</w:t>
            </w:r>
            <w:r>
              <w:rPr>
                <w:rFonts w:hint="eastAsia" w:ascii="黑体" w:hAnsi="黑体" w:eastAsia="黑体" w:cs="黑体"/>
                <w:i/>
                <w:iCs/>
                <w:color w:val="auto"/>
                <w:sz w:val="18"/>
                <w:szCs w:val="18"/>
              </w:rPr>
              <w:t>R</w:t>
            </w:r>
            <w:r>
              <w:rPr>
                <w:rFonts w:hint="eastAsia" w:ascii="黑体" w:hAnsi="黑体" w:eastAsia="黑体" w:cs="黑体"/>
                <w:color w:val="auto"/>
                <w:sz w:val="18"/>
                <w:szCs w:val="18"/>
              </w:rPr>
              <w:t>)</w:t>
            </w:r>
          </w:p>
          <w:p w14:paraId="3D171D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w:t>
            </w:r>
          </w:p>
        </w:tc>
      </w:tr>
      <w:tr w14:paraId="1D407A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741" w:type="pct"/>
            <w:vMerge w:val="restart"/>
            <w:tcBorders>
              <w:top w:val="single" w:color="auto" w:sz="12" w:space="0"/>
              <w:left w:val="single" w:color="auto" w:sz="12" w:space="0"/>
              <w:right w:val="single" w:color="auto" w:sz="4" w:space="0"/>
            </w:tcBorders>
            <w:vAlign w:val="center"/>
          </w:tcPr>
          <w:p w14:paraId="4AE89647">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M</w:t>
            </w:r>
            <w:r>
              <w:rPr>
                <w:rFonts w:hint="eastAsia" w:ascii="黑体" w:hAnsi="黑体" w:eastAsia="黑体" w:cs="黑体"/>
                <w:color w:val="auto"/>
                <w:sz w:val="18"/>
                <w:szCs w:val="18"/>
              </w:rPr>
              <w:t>olybdenum</w:t>
            </w:r>
          </w:p>
        </w:tc>
        <w:tc>
          <w:tcPr>
            <w:tcW w:w="1452" w:type="dxa"/>
            <w:tcBorders>
              <w:top w:val="single" w:color="auto" w:sz="12" w:space="0"/>
              <w:left w:val="single" w:color="auto" w:sz="4" w:space="0"/>
            </w:tcBorders>
            <w:vAlign w:val="center"/>
          </w:tcPr>
          <w:p w14:paraId="16930B38">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0.0007</w:t>
            </w:r>
          </w:p>
        </w:tc>
        <w:tc>
          <w:tcPr>
            <w:tcW w:w="2164" w:type="dxa"/>
            <w:tcBorders>
              <w:top w:val="single" w:color="auto" w:sz="12" w:space="0"/>
              <w:right w:val="double" w:color="auto" w:sz="4" w:space="0"/>
            </w:tcBorders>
            <w:vAlign w:val="center"/>
          </w:tcPr>
          <w:p w14:paraId="3C578218">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0.0002</w:t>
            </w:r>
          </w:p>
        </w:tc>
        <w:tc>
          <w:tcPr>
            <w:tcW w:w="632" w:type="pct"/>
            <w:vMerge w:val="restart"/>
            <w:tcBorders>
              <w:top w:val="single" w:color="auto" w:sz="12" w:space="0"/>
              <w:left w:val="double" w:color="auto" w:sz="4" w:space="0"/>
            </w:tcBorders>
            <w:vAlign w:val="center"/>
          </w:tcPr>
          <w:p w14:paraId="568F4B80">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T</w:t>
            </w:r>
            <w:r>
              <w:rPr>
                <w:rFonts w:hint="eastAsia" w:ascii="黑体" w:hAnsi="黑体" w:eastAsia="黑体" w:cs="黑体"/>
                <w:color w:val="auto"/>
                <w:sz w:val="18"/>
                <w:szCs w:val="18"/>
              </w:rPr>
              <w:t>ungsten</w:t>
            </w:r>
          </w:p>
        </w:tc>
        <w:tc>
          <w:tcPr>
            <w:tcW w:w="1432" w:type="dxa"/>
            <w:tcBorders>
              <w:top w:val="single" w:color="auto" w:sz="12" w:space="0"/>
            </w:tcBorders>
            <w:vAlign w:val="center"/>
          </w:tcPr>
          <w:p w14:paraId="4CE54C53">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0.0002</w:t>
            </w:r>
          </w:p>
        </w:tc>
        <w:tc>
          <w:tcPr>
            <w:tcW w:w="1960" w:type="dxa"/>
            <w:tcBorders>
              <w:top w:val="single" w:color="auto" w:sz="12" w:space="0"/>
            </w:tcBorders>
            <w:vAlign w:val="center"/>
          </w:tcPr>
          <w:p w14:paraId="3530D7D4">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0.0001</w:t>
            </w:r>
          </w:p>
        </w:tc>
      </w:tr>
      <w:tr w14:paraId="4BCF7E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741" w:type="pct"/>
            <w:vMerge w:val="continue"/>
            <w:tcBorders>
              <w:left w:val="single" w:color="auto" w:sz="12" w:space="0"/>
              <w:right w:val="single" w:color="auto" w:sz="4" w:space="0"/>
            </w:tcBorders>
            <w:vAlign w:val="center"/>
          </w:tcPr>
          <w:p w14:paraId="355AE3A6">
            <w:pPr>
              <w:spacing w:line="400" w:lineRule="exact"/>
              <w:jc w:val="center"/>
              <w:rPr>
                <w:rFonts w:hint="eastAsia" w:ascii="黑体" w:hAnsi="黑体" w:eastAsia="黑体" w:cs="黑体"/>
                <w:color w:val="auto"/>
                <w:sz w:val="18"/>
                <w:szCs w:val="18"/>
              </w:rPr>
            </w:pPr>
          </w:p>
        </w:tc>
        <w:tc>
          <w:tcPr>
            <w:tcW w:w="1452" w:type="dxa"/>
            <w:tcBorders>
              <w:left w:val="single" w:color="auto" w:sz="4" w:space="0"/>
            </w:tcBorders>
            <w:vAlign w:val="center"/>
          </w:tcPr>
          <w:p w14:paraId="1434D909">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0.0024</w:t>
            </w:r>
          </w:p>
        </w:tc>
        <w:tc>
          <w:tcPr>
            <w:tcW w:w="2164" w:type="dxa"/>
            <w:tcBorders>
              <w:right w:val="double" w:color="auto" w:sz="4" w:space="0"/>
            </w:tcBorders>
            <w:vAlign w:val="center"/>
          </w:tcPr>
          <w:p w14:paraId="3E205FC5">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0.0006</w:t>
            </w:r>
          </w:p>
        </w:tc>
        <w:tc>
          <w:tcPr>
            <w:tcW w:w="632" w:type="pct"/>
            <w:vMerge w:val="continue"/>
            <w:tcBorders>
              <w:left w:val="double" w:color="auto" w:sz="4" w:space="0"/>
            </w:tcBorders>
            <w:vAlign w:val="center"/>
          </w:tcPr>
          <w:p w14:paraId="16DFEDF3">
            <w:pPr>
              <w:spacing w:line="400" w:lineRule="exact"/>
              <w:jc w:val="center"/>
              <w:rPr>
                <w:rFonts w:hint="eastAsia" w:ascii="黑体" w:hAnsi="黑体" w:eastAsia="黑体" w:cs="黑体"/>
                <w:color w:val="auto"/>
                <w:sz w:val="18"/>
                <w:szCs w:val="18"/>
              </w:rPr>
            </w:pPr>
          </w:p>
        </w:tc>
        <w:tc>
          <w:tcPr>
            <w:tcW w:w="1432" w:type="dxa"/>
            <w:vAlign w:val="center"/>
          </w:tcPr>
          <w:p w14:paraId="2CEFB895">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0.0051</w:t>
            </w:r>
          </w:p>
        </w:tc>
        <w:tc>
          <w:tcPr>
            <w:tcW w:w="1960" w:type="dxa"/>
            <w:vAlign w:val="center"/>
          </w:tcPr>
          <w:p w14:paraId="084BCC87">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0.0009</w:t>
            </w:r>
          </w:p>
        </w:tc>
      </w:tr>
      <w:tr w14:paraId="27A6F4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741" w:type="pct"/>
            <w:vMerge w:val="continue"/>
            <w:tcBorders>
              <w:left w:val="single" w:color="auto" w:sz="12" w:space="0"/>
              <w:right w:val="single" w:color="auto" w:sz="4" w:space="0"/>
            </w:tcBorders>
            <w:vAlign w:val="center"/>
          </w:tcPr>
          <w:p w14:paraId="4BB614F2">
            <w:pPr>
              <w:spacing w:line="400" w:lineRule="exact"/>
              <w:jc w:val="center"/>
              <w:rPr>
                <w:rFonts w:hint="eastAsia" w:ascii="黑体" w:hAnsi="黑体" w:eastAsia="黑体" w:cs="黑体"/>
                <w:color w:val="auto"/>
                <w:sz w:val="18"/>
                <w:szCs w:val="18"/>
              </w:rPr>
            </w:pPr>
          </w:p>
        </w:tc>
        <w:tc>
          <w:tcPr>
            <w:tcW w:w="1452" w:type="dxa"/>
            <w:tcBorders>
              <w:left w:val="single" w:color="auto" w:sz="4" w:space="0"/>
            </w:tcBorders>
            <w:vAlign w:val="center"/>
          </w:tcPr>
          <w:p w14:paraId="57069269">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0.0060</w:t>
            </w:r>
          </w:p>
        </w:tc>
        <w:tc>
          <w:tcPr>
            <w:tcW w:w="2164" w:type="dxa"/>
            <w:tcBorders>
              <w:right w:val="double" w:color="auto" w:sz="4" w:space="0"/>
            </w:tcBorders>
            <w:vAlign w:val="center"/>
          </w:tcPr>
          <w:p w14:paraId="55EF24BC">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0.0010</w:t>
            </w:r>
          </w:p>
        </w:tc>
        <w:tc>
          <w:tcPr>
            <w:tcW w:w="632" w:type="pct"/>
            <w:vMerge w:val="continue"/>
            <w:tcBorders>
              <w:left w:val="double" w:color="auto" w:sz="4" w:space="0"/>
            </w:tcBorders>
            <w:vAlign w:val="center"/>
          </w:tcPr>
          <w:p w14:paraId="4C7EE140">
            <w:pPr>
              <w:spacing w:line="400" w:lineRule="exact"/>
              <w:jc w:val="center"/>
              <w:rPr>
                <w:rFonts w:hint="eastAsia" w:ascii="黑体" w:hAnsi="黑体" w:eastAsia="黑体" w:cs="黑体"/>
                <w:color w:val="auto"/>
                <w:sz w:val="18"/>
                <w:szCs w:val="18"/>
              </w:rPr>
            </w:pPr>
          </w:p>
        </w:tc>
        <w:tc>
          <w:tcPr>
            <w:tcW w:w="1432" w:type="dxa"/>
            <w:vAlign w:val="center"/>
          </w:tcPr>
          <w:p w14:paraId="52F2D25F">
            <w:pPr>
              <w:spacing w:line="400" w:lineRule="exact"/>
              <w:jc w:val="center"/>
              <w:rPr>
                <w:rFonts w:hint="eastAsia" w:ascii="黑体" w:hAnsi="黑体" w:eastAsia="黑体" w:cs="黑体"/>
                <w:color w:val="auto"/>
                <w:sz w:val="18"/>
                <w:szCs w:val="18"/>
              </w:rPr>
            </w:pPr>
            <w:r>
              <w:rPr>
                <w:rFonts w:hint="eastAsia" w:ascii="黑体" w:hAnsi="黑体" w:eastAsia="黑体" w:cs="黑体"/>
                <w:color w:val="auto"/>
                <w:sz w:val="18"/>
                <w:szCs w:val="18"/>
                <w:lang w:val="en-US" w:eastAsia="zh-CN"/>
              </w:rPr>
              <w:t>0.013</w:t>
            </w:r>
          </w:p>
        </w:tc>
        <w:tc>
          <w:tcPr>
            <w:tcW w:w="1960" w:type="dxa"/>
            <w:vAlign w:val="center"/>
          </w:tcPr>
          <w:p w14:paraId="29ABEDA0">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0.002</w:t>
            </w:r>
          </w:p>
        </w:tc>
      </w:tr>
      <w:tr w14:paraId="3BB334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741" w:type="pct"/>
            <w:vMerge w:val="continue"/>
            <w:tcBorders>
              <w:left w:val="single" w:color="auto" w:sz="12" w:space="0"/>
              <w:right w:val="single" w:color="auto" w:sz="4" w:space="0"/>
            </w:tcBorders>
            <w:vAlign w:val="center"/>
          </w:tcPr>
          <w:p w14:paraId="6F1368A2">
            <w:pPr>
              <w:spacing w:line="400" w:lineRule="exact"/>
              <w:jc w:val="center"/>
              <w:rPr>
                <w:rFonts w:hint="eastAsia" w:ascii="黑体" w:hAnsi="黑体" w:eastAsia="黑体" w:cs="黑体"/>
                <w:color w:val="auto"/>
                <w:sz w:val="18"/>
                <w:szCs w:val="18"/>
              </w:rPr>
            </w:pPr>
          </w:p>
        </w:tc>
        <w:tc>
          <w:tcPr>
            <w:tcW w:w="1452" w:type="dxa"/>
            <w:tcBorders>
              <w:left w:val="single" w:color="auto" w:sz="4" w:space="0"/>
            </w:tcBorders>
            <w:vAlign w:val="center"/>
          </w:tcPr>
          <w:p w14:paraId="3B1DAB55">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0.045</w:t>
            </w:r>
          </w:p>
        </w:tc>
        <w:tc>
          <w:tcPr>
            <w:tcW w:w="2164" w:type="dxa"/>
            <w:tcBorders>
              <w:right w:val="double" w:color="auto" w:sz="4" w:space="0"/>
            </w:tcBorders>
            <w:vAlign w:val="center"/>
          </w:tcPr>
          <w:p w14:paraId="488745E6">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0.006</w:t>
            </w:r>
          </w:p>
        </w:tc>
        <w:tc>
          <w:tcPr>
            <w:tcW w:w="632" w:type="pct"/>
            <w:vMerge w:val="continue"/>
            <w:tcBorders>
              <w:left w:val="double" w:color="auto" w:sz="4" w:space="0"/>
            </w:tcBorders>
            <w:vAlign w:val="center"/>
          </w:tcPr>
          <w:p w14:paraId="35653750">
            <w:pPr>
              <w:spacing w:line="400" w:lineRule="exact"/>
              <w:jc w:val="center"/>
              <w:rPr>
                <w:rFonts w:hint="eastAsia" w:ascii="黑体" w:hAnsi="黑体" w:eastAsia="黑体" w:cs="黑体"/>
                <w:color w:val="auto"/>
                <w:sz w:val="18"/>
                <w:szCs w:val="18"/>
              </w:rPr>
            </w:pPr>
          </w:p>
        </w:tc>
        <w:tc>
          <w:tcPr>
            <w:tcW w:w="1432" w:type="dxa"/>
            <w:vAlign w:val="center"/>
          </w:tcPr>
          <w:p w14:paraId="3B9BB140">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0.024</w:t>
            </w:r>
          </w:p>
        </w:tc>
        <w:tc>
          <w:tcPr>
            <w:tcW w:w="1960" w:type="dxa"/>
            <w:vAlign w:val="center"/>
          </w:tcPr>
          <w:p w14:paraId="3B4082FC">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0.003</w:t>
            </w:r>
          </w:p>
        </w:tc>
      </w:tr>
      <w:tr w14:paraId="7BABC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741" w:type="pct"/>
            <w:vMerge w:val="continue"/>
            <w:tcBorders>
              <w:left w:val="single" w:color="auto" w:sz="12" w:space="0"/>
              <w:right w:val="single" w:color="auto" w:sz="4" w:space="0"/>
            </w:tcBorders>
            <w:vAlign w:val="center"/>
          </w:tcPr>
          <w:p w14:paraId="1152A73F">
            <w:pPr>
              <w:spacing w:line="400" w:lineRule="exact"/>
              <w:jc w:val="center"/>
              <w:rPr>
                <w:rFonts w:hint="eastAsia" w:ascii="黑体" w:hAnsi="黑体" w:eastAsia="黑体" w:cs="黑体"/>
                <w:color w:val="auto"/>
                <w:sz w:val="18"/>
                <w:szCs w:val="18"/>
              </w:rPr>
            </w:pPr>
          </w:p>
        </w:tc>
        <w:tc>
          <w:tcPr>
            <w:tcW w:w="1452" w:type="dxa"/>
            <w:tcBorders>
              <w:left w:val="single" w:color="auto" w:sz="4" w:space="0"/>
            </w:tcBorders>
            <w:vAlign w:val="center"/>
          </w:tcPr>
          <w:p w14:paraId="4E477A0A">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0.11</w:t>
            </w:r>
          </w:p>
        </w:tc>
        <w:tc>
          <w:tcPr>
            <w:tcW w:w="2164" w:type="dxa"/>
            <w:tcBorders>
              <w:right w:val="double" w:color="auto" w:sz="4" w:space="0"/>
            </w:tcBorders>
            <w:vAlign w:val="center"/>
          </w:tcPr>
          <w:p w14:paraId="4F1E28EF">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0.01</w:t>
            </w:r>
          </w:p>
        </w:tc>
        <w:tc>
          <w:tcPr>
            <w:tcW w:w="632" w:type="pct"/>
            <w:vMerge w:val="continue"/>
            <w:tcBorders>
              <w:left w:val="double" w:color="auto" w:sz="4" w:space="0"/>
            </w:tcBorders>
            <w:vAlign w:val="center"/>
          </w:tcPr>
          <w:p w14:paraId="519CE93C">
            <w:pPr>
              <w:spacing w:line="400" w:lineRule="exact"/>
              <w:jc w:val="center"/>
              <w:rPr>
                <w:rFonts w:hint="eastAsia" w:ascii="黑体" w:hAnsi="黑体" w:eastAsia="黑体" w:cs="黑体"/>
                <w:color w:val="auto"/>
                <w:sz w:val="18"/>
                <w:szCs w:val="18"/>
              </w:rPr>
            </w:pPr>
          </w:p>
        </w:tc>
        <w:tc>
          <w:tcPr>
            <w:tcW w:w="1432" w:type="dxa"/>
            <w:vAlign w:val="center"/>
          </w:tcPr>
          <w:p w14:paraId="7C7DBEF9">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0.050</w:t>
            </w:r>
          </w:p>
        </w:tc>
        <w:tc>
          <w:tcPr>
            <w:tcW w:w="1960" w:type="dxa"/>
            <w:vAlign w:val="center"/>
          </w:tcPr>
          <w:p w14:paraId="5082D283">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0.006</w:t>
            </w:r>
          </w:p>
        </w:tc>
      </w:tr>
      <w:tr w14:paraId="7DC7BB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 w:hRule="atLeast"/>
          <w:jc w:val="center"/>
        </w:trPr>
        <w:tc>
          <w:tcPr>
            <w:tcW w:w="741" w:type="pct"/>
            <w:vMerge w:val="continue"/>
            <w:tcBorders>
              <w:left w:val="single" w:color="auto" w:sz="12" w:space="0"/>
              <w:bottom w:val="single" w:color="auto" w:sz="4" w:space="0"/>
              <w:right w:val="single" w:color="auto" w:sz="4" w:space="0"/>
            </w:tcBorders>
            <w:vAlign w:val="center"/>
          </w:tcPr>
          <w:p w14:paraId="7E4C9816">
            <w:pPr>
              <w:spacing w:line="400" w:lineRule="exact"/>
              <w:jc w:val="center"/>
              <w:rPr>
                <w:rFonts w:hint="eastAsia" w:ascii="黑体" w:hAnsi="黑体" w:eastAsia="黑体" w:cs="黑体"/>
                <w:color w:val="auto"/>
                <w:sz w:val="18"/>
                <w:szCs w:val="18"/>
                <w:lang w:val="en-US" w:eastAsia="zh-CN"/>
              </w:rPr>
            </w:pPr>
          </w:p>
        </w:tc>
        <w:tc>
          <w:tcPr>
            <w:tcW w:w="1452" w:type="dxa"/>
            <w:tcBorders>
              <w:left w:val="single" w:color="auto" w:sz="4" w:space="0"/>
            </w:tcBorders>
            <w:vAlign w:val="center"/>
          </w:tcPr>
          <w:p w14:paraId="336C050D">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w:t>
            </w:r>
          </w:p>
        </w:tc>
        <w:tc>
          <w:tcPr>
            <w:tcW w:w="2164" w:type="dxa"/>
            <w:tcBorders>
              <w:right w:val="double" w:color="auto" w:sz="4" w:space="0"/>
            </w:tcBorders>
            <w:vAlign w:val="center"/>
          </w:tcPr>
          <w:p w14:paraId="42FC895C">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w:t>
            </w:r>
          </w:p>
        </w:tc>
        <w:tc>
          <w:tcPr>
            <w:tcW w:w="632" w:type="pct"/>
            <w:vMerge w:val="continue"/>
            <w:tcBorders>
              <w:left w:val="double" w:color="auto" w:sz="4" w:space="0"/>
            </w:tcBorders>
            <w:vAlign w:val="center"/>
          </w:tcPr>
          <w:p w14:paraId="0F188045">
            <w:pPr>
              <w:spacing w:line="400" w:lineRule="exact"/>
              <w:jc w:val="center"/>
              <w:rPr>
                <w:rFonts w:hint="eastAsia" w:ascii="黑体" w:hAnsi="黑体" w:eastAsia="黑体" w:cs="黑体"/>
                <w:color w:val="auto"/>
                <w:sz w:val="18"/>
                <w:szCs w:val="18"/>
                <w:lang w:val="en-US"/>
              </w:rPr>
            </w:pPr>
          </w:p>
        </w:tc>
        <w:tc>
          <w:tcPr>
            <w:tcW w:w="1432" w:type="dxa"/>
            <w:vAlign w:val="center"/>
          </w:tcPr>
          <w:p w14:paraId="4D2ECBFB">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0.11</w:t>
            </w:r>
          </w:p>
        </w:tc>
        <w:tc>
          <w:tcPr>
            <w:tcW w:w="1960" w:type="dxa"/>
            <w:vAlign w:val="center"/>
          </w:tcPr>
          <w:p w14:paraId="5F501E6C">
            <w:pPr>
              <w:spacing w:line="400" w:lineRule="exact"/>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0.01</w:t>
            </w:r>
          </w:p>
        </w:tc>
      </w:tr>
      <w:tr w14:paraId="439223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1" w:hRule="atLeast"/>
          <w:jc w:val="center"/>
        </w:trPr>
        <w:tc>
          <w:tcPr>
            <w:tcW w:w="5000" w:type="pct"/>
            <w:gridSpan w:val="6"/>
            <w:tcBorders>
              <w:left w:val="single" w:color="auto" w:sz="12" w:space="0"/>
            </w:tcBorders>
            <w:vAlign w:val="center"/>
          </w:tcPr>
          <w:p w14:paraId="201DD66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color w:val="auto"/>
                <w:sz w:val="18"/>
                <w:szCs w:val="18"/>
              </w:rPr>
            </w:pPr>
            <w:r>
              <w:rPr>
                <w:rFonts w:hint="eastAsia" w:ascii="黑体" w:hAnsi="黑体" w:eastAsia="黑体" w:cs="黑体"/>
                <w:color w:val="auto"/>
                <w:sz w:val="18"/>
                <w:szCs w:val="18"/>
              </w:rPr>
              <w:t>Note: The reproducibility limit (</w:t>
            </w:r>
            <w:r>
              <w:rPr>
                <w:rFonts w:hint="eastAsia" w:ascii="黑体" w:hAnsi="黑体" w:eastAsia="黑体" w:cs="黑体"/>
                <w:i/>
                <w:iCs/>
                <w:color w:val="auto"/>
                <w:sz w:val="18"/>
                <w:szCs w:val="18"/>
              </w:rPr>
              <w:t>R</w:t>
            </w:r>
            <w:r>
              <w:rPr>
                <w:rFonts w:hint="eastAsia" w:ascii="黑体" w:hAnsi="黑体" w:eastAsia="黑体" w:cs="黑体"/>
                <w:color w:val="auto"/>
                <w:sz w:val="18"/>
                <w:szCs w:val="18"/>
              </w:rPr>
              <w:t>) is 2.8×</w:t>
            </w:r>
            <w:r>
              <w:rPr>
                <w:rFonts w:hint="eastAsia" w:ascii="黑体" w:hAnsi="黑体" w:eastAsia="黑体" w:cs="黑体"/>
                <w:i/>
                <w:iCs/>
                <w:color w:val="auto"/>
                <w:sz w:val="18"/>
                <w:szCs w:val="18"/>
              </w:rPr>
              <w:t>S</w:t>
            </w:r>
            <w:r>
              <w:rPr>
                <w:rFonts w:hint="eastAsia" w:ascii="黑体" w:hAnsi="黑体" w:eastAsia="黑体" w:cs="黑体"/>
                <w:i/>
                <w:iCs/>
                <w:color w:val="auto"/>
                <w:sz w:val="18"/>
                <w:szCs w:val="18"/>
                <w:vertAlign w:val="subscript"/>
              </w:rPr>
              <w:t>R</w:t>
            </w:r>
            <w:r>
              <w:rPr>
                <w:rFonts w:hint="eastAsia" w:ascii="黑体" w:hAnsi="黑体" w:eastAsia="黑体" w:cs="黑体"/>
                <w:i/>
                <w:iCs/>
                <w:color w:val="auto"/>
                <w:sz w:val="18"/>
                <w:szCs w:val="18"/>
              </w:rPr>
              <w:t>,</w:t>
            </w:r>
            <w:r>
              <w:rPr>
                <w:rFonts w:hint="eastAsia" w:ascii="黑体" w:hAnsi="黑体" w:eastAsia="黑体" w:cs="黑体"/>
                <w:i/>
                <w:iCs/>
                <w:color w:val="auto"/>
                <w:sz w:val="18"/>
                <w:szCs w:val="18"/>
                <w:lang w:val="en-US" w:eastAsia="zh-CN"/>
              </w:rPr>
              <w:t xml:space="preserve"> </w:t>
            </w:r>
            <w:r>
              <w:rPr>
                <w:rFonts w:hint="eastAsia" w:ascii="黑体" w:hAnsi="黑体" w:eastAsia="黑体" w:cs="黑体"/>
                <w:color w:val="auto"/>
                <w:sz w:val="18"/>
                <w:szCs w:val="18"/>
                <w:lang w:val="en-US" w:eastAsia="zh-CN"/>
              </w:rPr>
              <w:t>w</w:t>
            </w:r>
            <w:r>
              <w:rPr>
                <w:rFonts w:hint="eastAsia" w:ascii="黑体" w:hAnsi="黑体" w:eastAsia="黑体" w:cs="黑体"/>
                <w:color w:val="auto"/>
                <w:sz w:val="18"/>
                <w:szCs w:val="18"/>
              </w:rPr>
              <w:t xml:space="preserve">here </w:t>
            </w:r>
            <w:r>
              <w:rPr>
                <w:rFonts w:hint="eastAsia" w:ascii="黑体" w:hAnsi="黑体" w:eastAsia="黑体" w:cs="黑体"/>
                <w:i/>
                <w:iCs/>
                <w:color w:val="auto"/>
                <w:sz w:val="18"/>
                <w:szCs w:val="18"/>
              </w:rPr>
              <w:t>S</w:t>
            </w:r>
            <w:r>
              <w:rPr>
                <w:rFonts w:hint="eastAsia" w:ascii="黑体" w:hAnsi="黑体" w:eastAsia="黑体" w:cs="黑体"/>
                <w:i/>
                <w:iCs/>
                <w:color w:val="auto"/>
                <w:sz w:val="18"/>
                <w:szCs w:val="18"/>
                <w:vertAlign w:val="subscript"/>
              </w:rPr>
              <w:t>R</w:t>
            </w:r>
            <w:r>
              <w:rPr>
                <w:rFonts w:hint="eastAsia" w:ascii="黑体" w:hAnsi="黑体" w:eastAsia="黑体" w:cs="黑体"/>
                <w:color w:val="auto"/>
                <w:sz w:val="18"/>
                <w:szCs w:val="18"/>
              </w:rPr>
              <w:t xml:space="preserve"> is the standard deviation of reproducibility.</w:t>
            </w:r>
          </w:p>
        </w:tc>
      </w:tr>
    </w:tbl>
    <w:p w14:paraId="13EF2037">
      <w:pPr>
        <w:pStyle w:val="113"/>
        <w:rPr>
          <w:rFonts w:hint="eastAsia"/>
          <w:color w:val="auto"/>
        </w:rPr>
      </w:pPr>
    </w:p>
    <w:p w14:paraId="5CB762D7">
      <w:pPr>
        <w:adjustRightInd w:val="0"/>
        <w:snapToGrid w:val="0"/>
        <w:spacing w:line="360" w:lineRule="exact"/>
        <w:rPr>
          <w:color w:val="auto"/>
          <w:spacing w:val="6"/>
        </w:rPr>
      </w:pPr>
      <w:r>
        <w:rPr>
          <w:color w:val="auto"/>
        </w:rPr>
        <mc:AlternateContent>
          <mc:Choice Requires="wps">
            <w:drawing>
              <wp:anchor distT="0" distB="0" distL="114300" distR="114300" simplePos="0" relativeHeight="251667456" behindDoc="0" locked="0" layoutInCell="1" allowOverlap="1">
                <wp:simplePos x="0" y="0"/>
                <wp:positionH relativeFrom="column">
                  <wp:posOffset>1970405</wp:posOffset>
                </wp:positionH>
                <wp:positionV relativeFrom="paragraph">
                  <wp:posOffset>189230</wp:posOffset>
                </wp:positionV>
                <wp:extent cx="2105660" cy="0"/>
                <wp:effectExtent l="0" t="9525" r="8890" b="9525"/>
                <wp:wrapNone/>
                <wp:docPr id="13" name="直接连接符 3"/>
                <wp:cNvGraphicFramePr/>
                <a:graphic xmlns:a="http://schemas.openxmlformats.org/drawingml/2006/main">
                  <a:graphicData uri="http://schemas.microsoft.com/office/word/2010/wordprocessingShape">
                    <wps:wsp>
                      <wps:cNvCnPr/>
                      <wps:spPr>
                        <a:xfrm>
                          <a:off x="0" y="0"/>
                          <a:ext cx="2105660" cy="0"/>
                        </a:xfrm>
                        <a:prstGeom prst="straightConnector1">
                          <a:avLst/>
                        </a:prstGeom>
                        <a:ln w="19050" cap="flat" cmpd="sng">
                          <a:solidFill>
                            <a:srgbClr val="000000"/>
                          </a:solidFill>
                          <a:prstDash val="solid"/>
                          <a:round/>
                          <a:headEnd type="none" w="med" len="med"/>
                          <a:tailEnd type="none" w="med" len="med"/>
                        </a:ln>
                        <a:effectLst/>
                      </wps:spPr>
                      <wps:bodyPr/>
                    </wps:wsp>
                  </a:graphicData>
                </a:graphic>
              </wp:anchor>
            </w:drawing>
          </mc:Choice>
          <mc:Fallback>
            <w:pict>
              <v:shape id="直接连接符 3" o:spid="_x0000_s1026" o:spt="32" type="#_x0000_t32" style="position:absolute;left:0pt;margin-left:155.15pt;margin-top:14.9pt;height:0pt;width:165.8pt;z-index:251667456;mso-width-relative:page;mso-height-relative:page;" filled="f" stroked="t" coordsize="21600,21600" o:gfxdata="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yU5/VAAAACQEAAA8AAAAAAAAAAQAgAAAAIgAAAGRycy9kb3ducmV2&#10;LnhtbFBLAQIUABQAAAAIAIdO4kAsJAsa/wEAAAAEAAAOAAAAAAAAAAEAIAAAACQBAABkcnMvZTJv&#10;RG9jLnhtbFBLBQYAAAAABgAGAFkBAACVBQAAAAA=&#10;">
                <v:fill on="f" focussize="0,0"/>
                <v:stroke weight="1.5pt" color="#000000" joinstyle="round"/>
                <v:imagedata o:title=""/>
                <o:lock v:ext="edit" aspectratio="f"/>
              </v:shape>
            </w:pict>
          </mc:Fallback>
        </mc:AlternateContent>
      </w:r>
    </w:p>
    <w:p w14:paraId="103B8AF5">
      <w:pPr>
        <w:ind w:firstLine="422" w:firstLineChars="200"/>
        <w:rPr>
          <w:rFonts w:hint="eastAsia" w:ascii="黑体" w:hAnsi="黑体" w:eastAsia="黑体" w:cs="黑体"/>
          <w:b/>
          <w:bCs/>
          <w:color w:val="auto"/>
          <w:szCs w:val="21"/>
        </w:rPr>
      </w:pPr>
    </w:p>
    <w:sectPr>
      <w:headerReference r:id="rId7" w:type="first"/>
      <w:footerReference r:id="rId10" w:type="first"/>
      <w:footerReference r:id="rId8" w:type="default"/>
      <w:footerReference r:id="rId9" w:type="even"/>
      <w:pgSz w:w="11906" w:h="16838"/>
      <w:pgMar w:top="1418" w:right="1134" w:bottom="1134" w:left="1418" w:header="1418" w:footer="1134" w:gutter="0"/>
      <w:pgNumType w:start="1"/>
      <w:cols w:space="720" w:num="1"/>
      <w:formProt w:val="0"/>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25FC7">
    <w:pPr>
      <w:pStyle w:val="275"/>
      <w:rPr>
        <w:rStyle w:val="55"/>
      </w:rPr>
    </w:pPr>
    <w:r>
      <w:fldChar w:fldCharType="begin"/>
    </w:r>
    <w:r>
      <w:rPr>
        <w:rStyle w:val="55"/>
      </w:rPr>
      <w:instrText xml:space="preserve">PAGE  </w:instrText>
    </w:r>
    <w:r>
      <w:fldChar w:fldCharType="separate"/>
    </w:r>
    <w:r>
      <w:rPr>
        <w:rStyle w:val="55"/>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5496D">
    <w:pPr>
      <w:pStyle w:val="164"/>
      <w:rPr>
        <w:rStyle w:val="55"/>
      </w:rPr>
    </w:pPr>
    <w:r>
      <w:fldChar w:fldCharType="begin"/>
    </w:r>
    <w:r>
      <w:rPr>
        <w:rStyle w:val="55"/>
      </w:rPr>
      <w:instrText xml:space="preserve">PAGE  </w:instrTex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4A214">
    <w:pPr>
      <w:pStyle w:val="36"/>
      <w:ind w:left="780" w:hanging="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14985" cy="284480"/>
              <wp:effectExtent l="0" t="0" r="0" b="0"/>
              <wp:wrapNone/>
              <wp:docPr id="12" name="Text Box 5"/>
              <wp:cNvGraphicFramePr/>
              <a:graphic xmlns:a="http://schemas.openxmlformats.org/drawingml/2006/main">
                <a:graphicData uri="http://schemas.microsoft.com/office/word/2010/wordprocessingShape">
                  <wps:wsp>
                    <wps:cNvSpPr txBox="1">
                      <a:spLocks noChangeArrowheads="1"/>
                    </wps:cNvSpPr>
                    <wps:spPr bwMode="auto">
                      <a:xfrm>
                        <a:off x="0" y="0"/>
                        <a:ext cx="514985" cy="284480"/>
                      </a:xfrm>
                      <a:prstGeom prst="rect">
                        <a:avLst/>
                      </a:prstGeom>
                      <a:noFill/>
                      <a:ln>
                        <a:noFill/>
                      </a:ln>
                      <a:effectLst/>
                    </wps:spPr>
                    <wps:txbx>
                      <w:txbxContent>
                        <w:p w14:paraId="5C5932C9">
                          <w:pPr>
                            <w:pStyle w:val="36"/>
                            <w:ind w:left="780" w:hanging="360"/>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5</w:t>
                          </w:r>
                          <w:r>
                            <w:rPr>
                              <w:rFonts w:ascii="宋体" w:hAnsi="宋体"/>
                              <w:lang w:val="zh-CN"/>
                            </w:rPr>
                            <w:fldChar w:fldCharType="end"/>
                          </w:r>
                        </w:p>
                        <w:p w14:paraId="6B1AE4AA">
                          <w:pPr>
                            <w:ind w:right="210" w:rightChars="100"/>
                          </w:pPr>
                        </w:p>
                      </w:txbxContent>
                    </wps:txbx>
                    <wps:bodyPr rot="0" vert="horz" wrap="none" lIns="0" tIns="0" rIns="0" bIns="0" anchor="t" anchorCtr="0" upright="1">
                      <a:spAutoFit/>
                    </wps:bodyPr>
                  </wps:wsp>
                </a:graphicData>
              </a:graphic>
            </wp:anchor>
          </w:drawing>
        </mc:Choice>
        <mc:Fallback>
          <w:pict>
            <v:shape id="Text Box 5" o:spid="_x0000_s1026" o:spt="202" type="#_x0000_t202" style="position:absolute;left:0pt;margin-top:0pt;height:22.4pt;width:40.55pt;mso-position-horizontal:center;mso-position-horizontal-relative:margin;mso-wrap-style:none;z-index:251659264;mso-width-relative:page;mso-height-relative:page;" filled="f" stroked="f" coordsize="21600,21600" o:gfxdata="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ZTwc9EAAAADAQAADwAAAAAAAAABACAAAAAiAAAAZHJzL2Rvd25yZXYueG1s&#10;UEsBAhQAFAAAAAgAh07iQIS1k2b/AQAAEAQAAA4AAAAAAAAAAQAgAAAAIAEAAGRycy9lMm9Eb2Mu&#10;eG1sUEsFBgAAAAAGAAYAWQEAAJEFAAAAAA==&#10;">
              <v:fill on="f" focussize="0,0"/>
              <v:stroke on="f"/>
              <v:imagedata o:title=""/>
              <o:lock v:ext="edit" aspectratio="f"/>
              <v:textbox inset="0mm,0mm,0mm,0mm" style="mso-fit-shape-to-text:t;">
                <w:txbxContent>
                  <w:p w14:paraId="5C5932C9">
                    <w:pPr>
                      <w:pStyle w:val="36"/>
                      <w:ind w:left="780" w:hanging="360"/>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5</w:t>
                    </w:r>
                    <w:r>
                      <w:rPr>
                        <w:rFonts w:ascii="宋体" w:hAnsi="宋体"/>
                        <w:lang w:val="zh-CN"/>
                      </w:rPr>
                      <w:fldChar w:fldCharType="end"/>
                    </w:r>
                  </w:p>
                  <w:p w14:paraId="6B1AE4AA">
                    <w:pPr>
                      <w:ind w:right="210" w:rightChars="100"/>
                    </w:pPr>
                  </w:p>
                </w:txbxContent>
              </v:textbox>
            </v:shape>
          </w:pict>
        </mc:Fallback>
      </mc:AlternateContent>
    </w:r>
  </w:p>
  <w:p w14:paraId="13F26B86">
    <w:pPr>
      <w:pStyle w:val="275"/>
      <w:ind w:left="780" w:right="197" w:rightChars="94" w:hanging="36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35453">
    <w:pPr>
      <w:pStyle w:val="36"/>
      <w:ind w:left="780" w:hanging="360"/>
      <w:jc w:val="center"/>
    </w:pPr>
    <w:r>
      <w:fldChar w:fldCharType="begin"/>
    </w:r>
    <w:r>
      <w:instrText xml:space="preserve">PAGE   \* MERGEFORMAT</w:instrText>
    </w:r>
    <w:r>
      <w:fldChar w:fldCharType="separate"/>
    </w:r>
    <w:r>
      <w:rPr>
        <w:lang w:val="zh-CN"/>
      </w:rPr>
      <w:t>6</w:t>
    </w:r>
    <w:r>
      <w:rPr>
        <w:lang w:val="zh-CN"/>
      </w:rPr>
      <w:fldChar w:fldCharType="end"/>
    </w:r>
  </w:p>
  <w:p w14:paraId="7E90B70D">
    <w:pPr>
      <w:pStyle w:val="36"/>
      <w:tabs>
        <w:tab w:val="center" w:pos="4677"/>
        <w:tab w:val="right" w:pos="9264"/>
      </w:tabs>
      <w:ind w:left="780" w:hanging="36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0906D">
    <w:pPr>
      <w:pStyle w:val="36"/>
      <w:ind w:left="780" w:hanging="360"/>
      <w:jc w:val="center"/>
    </w:pPr>
    <w:r>
      <w:rPr>
        <w:rFonts w:hint="eastAsia"/>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0AB34">
    <w:pPr>
      <w:pStyle w:val="230"/>
      <w:rPr>
        <w:rFonts w:hint="eastAsia" w:ascii="黑体" w:hAnsi="黑体" w:eastAsia="黑体"/>
      </w:rPr>
    </w:pPr>
    <w:r>
      <w:rPr>
        <w:rFonts w:ascii="黑体" w:hAnsi="黑体" w:eastAsia="黑体"/>
      </w:rPr>
      <w:t xml:space="preserve">GB/T </w:t>
    </w:r>
    <w:r>
      <w:rPr>
        <w:rFonts w:hint="eastAsia" w:ascii="黑体" w:hAnsi="黑体" w:eastAsia="黑体"/>
      </w:rPr>
      <w:t>1</w:t>
    </w:r>
    <w:r>
      <w:rPr>
        <w:rFonts w:hint="eastAsia" w:ascii="黑体" w:hAnsi="黑体" w:eastAsia="黑体"/>
        <w:lang w:val="en-US" w:eastAsia="zh-CN"/>
      </w:rPr>
      <w:t>2690</w:t>
    </w:r>
    <w:r>
      <w:rPr>
        <w:rFonts w:hint="eastAsia" w:ascii="黑体" w:hAnsi="黑体" w:eastAsia="黑体"/>
      </w:rPr>
      <w:t>.</w:t>
    </w:r>
    <w:r>
      <w:rPr>
        <w:rFonts w:hint="eastAsia" w:ascii="黑体" w:hAnsi="黑体" w:eastAsia="黑体"/>
        <w:lang w:val="en-US" w:eastAsia="zh-CN"/>
      </w:rPr>
      <w:t>1</w:t>
    </w:r>
    <w:r>
      <w:rPr>
        <w:rFonts w:hint="eastAsia" w:ascii="黑体" w:hAnsi="黑体" w:eastAsia="黑体"/>
      </w:rPr>
      <w:t>3-2025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7D559">
    <w:pPr>
      <w:pStyle w:val="302"/>
      <w:tabs>
        <w:tab w:val="clear" w:pos="4154"/>
        <w:tab w:val="clear" w:pos="8306"/>
      </w:tabs>
    </w:pPr>
    <w:r>
      <w:t>GB/T 12690.—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CD780">
    <w:pPr>
      <w:pStyle w:val="37"/>
      <w:pBdr>
        <w:bottom w:val="none" w:color="auto" w:sz="0" w:space="1"/>
      </w:pBdr>
      <w:ind w:left="227" w:leftChars="108"/>
      <w:jc w:val="right"/>
      <w:rPr>
        <w:rFonts w:hint="eastAsia" w:ascii="黑体" w:hAnsi="黑体" w:eastAsia="黑体"/>
        <w:sz w:val="21"/>
        <w:szCs w:val="21"/>
      </w:rPr>
    </w:pPr>
    <w:r>
      <w:rPr>
        <w:rFonts w:hint="eastAsia" w:ascii="黑体" w:hAnsi="黑体" w:eastAsia="黑体"/>
        <w:sz w:val="21"/>
        <w:szCs w:val="21"/>
      </w:rPr>
      <w:t>GB/T 1</w:t>
    </w:r>
    <w:r>
      <w:rPr>
        <w:rFonts w:hint="eastAsia" w:ascii="黑体" w:hAnsi="黑体" w:eastAsia="黑体"/>
        <w:sz w:val="21"/>
        <w:szCs w:val="21"/>
        <w:lang w:val="en-US" w:eastAsia="zh-CN"/>
      </w:rPr>
      <w:t>2690.13</w:t>
    </w:r>
    <w:r>
      <w:rPr>
        <w:rFonts w:hint="eastAsia" w:ascii="黑体" w:hAnsi="黑体" w:eastAsia="黑体"/>
        <w:sz w:val="21"/>
        <w:szCs w:val="21"/>
      </w:rPr>
      <w:t>-2025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77"/>
      <w:suff w:val="nothing"/>
      <w:lvlText w:val="%1%2.%3　"/>
      <w:lvlJc w:val="left"/>
      <w:pPr>
        <w:ind w:left="0" w:firstLine="0"/>
      </w:pPr>
      <w:rPr>
        <w:rFonts w:hint="eastAsia" w:ascii="黑体" w:hAnsi="Times New Roman" w:eastAsia="黑体"/>
        <w:b w:val="0"/>
        <w:i w:val="0"/>
        <w:sz w:val="21"/>
      </w:rPr>
    </w:lvl>
    <w:lvl w:ilvl="3" w:tentative="0">
      <w:start w:val="1"/>
      <w:numFmt w:val="decimal"/>
      <w:pStyle w:val="187"/>
      <w:suff w:val="nothing"/>
      <w:lvlText w:val="%1%2.%3.%4　"/>
      <w:lvlJc w:val="left"/>
      <w:pPr>
        <w:ind w:left="0" w:firstLine="0"/>
      </w:pPr>
      <w:rPr>
        <w:rFonts w:hint="eastAsia" w:ascii="黑体" w:hAnsi="Times New Roman" w:eastAsia="黑体"/>
        <w:b w:val="0"/>
        <w:i w:val="0"/>
        <w:sz w:val="21"/>
      </w:rPr>
    </w:lvl>
    <w:lvl w:ilvl="4" w:tentative="0">
      <w:start w:val="1"/>
      <w:numFmt w:val="decimal"/>
      <w:pStyle w:val="135"/>
      <w:suff w:val="nothing"/>
      <w:lvlText w:val="%1%2.%3.%4.%5　"/>
      <w:lvlJc w:val="left"/>
      <w:pPr>
        <w:ind w:left="0" w:firstLine="0"/>
      </w:pPr>
      <w:rPr>
        <w:rFonts w:hint="eastAsia" w:ascii="黑体" w:hAnsi="Times New Roman" w:eastAsia="黑体"/>
        <w:b w:val="0"/>
        <w:i w:val="0"/>
        <w:sz w:val="21"/>
      </w:rPr>
    </w:lvl>
    <w:lvl w:ilvl="5" w:tentative="0">
      <w:start w:val="1"/>
      <w:numFmt w:val="decimal"/>
      <w:pStyle w:val="221"/>
      <w:suff w:val="nothing"/>
      <w:lvlText w:val="%1%2.%3.%4.%5.%6　"/>
      <w:lvlJc w:val="left"/>
      <w:pPr>
        <w:ind w:left="0" w:firstLine="0"/>
      </w:pPr>
      <w:rPr>
        <w:rFonts w:hint="eastAsia" w:ascii="黑体" w:hAnsi="Times New Roman" w:eastAsia="黑体"/>
        <w:b w:val="0"/>
        <w:i w:val="0"/>
        <w:sz w:val="21"/>
      </w:rPr>
    </w:lvl>
    <w:lvl w:ilvl="6" w:tentative="0">
      <w:start w:val="1"/>
      <w:numFmt w:val="decimal"/>
      <w:pStyle w:val="30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2"/>
    <w:multiLevelType w:val="multilevel"/>
    <w:tmpl w:val="00000002"/>
    <w:lvl w:ilvl="0" w:tentative="0">
      <w:start w:val="0"/>
      <w:numFmt w:val="none"/>
      <w:pStyle w:val="303"/>
      <w:lvlText w:val=""/>
      <w:lvlJc w:val="left"/>
      <w:pPr>
        <w:tabs>
          <w:tab w:val="left" w:pos="360"/>
        </w:tabs>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3"/>
    <w:multiLevelType w:val="multilevel"/>
    <w:tmpl w:val="00000003"/>
    <w:lvl w:ilvl="0" w:tentative="0">
      <w:start w:val="1"/>
      <w:numFmt w:val="decimal"/>
      <w:pStyle w:val="246"/>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4"/>
    <w:multiLevelType w:val="multilevel"/>
    <w:tmpl w:val="00000004"/>
    <w:lvl w:ilvl="0" w:tentative="0">
      <w:start w:val="0"/>
      <w:numFmt w:val="none"/>
      <w:pStyle w:val="163"/>
      <w:lvlText w:val=""/>
      <w:lvlJc w:val="left"/>
      <w:pPr>
        <w:tabs>
          <w:tab w:val="left" w:pos="360"/>
        </w:tabs>
      </w:pPr>
    </w:lvl>
    <w:lvl w:ilvl="1" w:tentative="0">
      <w:start w:val="1"/>
      <w:numFmt w:val="decimal"/>
      <w:pStyle w:val="118"/>
      <w:suff w:val="nothing"/>
      <w:lvlText w:val="%1%2　"/>
      <w:lvlJc w:val="left"/>
      <w:pPr>
        <w:ind w:left="0" w:firstLine="0"/>
      </w:pPr>
      <w:rPr>
        <w:rFonts w:hint="eastAsia" w:ascii="黑体" w:hAnsi="Times New Roman" w:eastAsia="黑体"/>
        <w:b w:val="0"/>
        <w:i w:val="0"/>
        <w:sz w:val="21"/>
      </w:rPr>
    </w:lvl>
    <w:lvl w:ilvl="2" w:tentative="0">
      <w:start w:val="1"/>
      <w:numFmt w:val="decimal"/>
      <w:pStyle w:val="117"/>
      <w:suff w:val="nothing"/>
      <w:lvlText w:val="%1%2.%3　"/>
      <w:lvlJc w:val="left"/>
      <w:pPr>
        <w:ind w:left="0" w:firstLine="0"/>
      </w:pPr>
      <w:rPr>
        <w:rFonts w:hint="eastAsia" w:ascii="黑体" w:hAnsi="Times New Roman" w:eastAsia="黑体"/>
        <w:b w:val="0"/>
        <w:i w:val="0"/>
        <w:sz w:val="21"/>
      </w:rPr>
    </w:lvl>
    <w:lvl w:ilvl="3" w:tentative="0">
      <w:start w:val="1"/>
      <w:numFmt w:val="decimal"/>
      <w:pStyle w:val="169"/>
      <w:suff w:val="nothing"/>
      <w:lvlText w:val="%1%2.%3.%4　"/>
      <w:lvlJc w:val="left"/>
      <w:pPr>
        <w:ind w:left="0" w:firstLine="0"/>
      </w:pPr>
      <w:rPr>
        <w:rFonts w:hint="eastAsia" w:ascii="黑体" w:hAnsi="Times New Roman" w:eastAsia="黑体"/>
        <w:b w:val="0"/>
        <w:i w:val="0"/>
        <w:sz w:val="21"/>
      </w:rPr>
    </w:lvl>
    <w:lvl w:ilvl="4" w:tentative="0">
      <w:start w:val="1"/>
      <w:numFmt w:val="decimal"/>
      <w:pStyle w:val="173"/>
      <w:suff w:val="nothing"/>
      <w:lvlText w:val="%1%2.%3.%4.%5　"/>
      <w:lvlJc w:val="left"/>
      <w:pPr>
        <w:ind w:left="0" w:firstLine="0"/>
      </w:pPr>
      <w:rPr>
        <w:rFonts w:hint="eastAsia" w:ascii="黑体" w:hAnsi="Times New Roman" w:eastAsia="黑体"/>
        <w:b w:val="0"/>
        <w:i w:val="0"/>
        <w:sz w:val="21"/>
      </w:rPr>
    </w:lvl>
    <w:lvl w:ilvl="5" w:tentative="0">
      <w:start w:val="1"/>
      <w:numFmt w:val="decimal"/>
      <w:pStyle w:val="172"/>
      <w:suff w:val="nothing"/>
      <w:lvlText w:val="%1%2.%3.%4.%5.%6　"/>
      <w:lvlJc w:val="left"/>
      <w:pPr>
        <w:ind w:left="0" w:firstLine="0"/>
      </w:pPr>
      <w:rPr>
        <w:rFonts w:hint="eastAsia" w:ascii="黑体" w:hAnsi="Times New Roman" w:eastAsia="黑体"/>
        <w:b w:val="0"/>
        <w:i w:val="0"/>
        <w:sz w:val="21"/>
      </w:rPr>
    </w:lvl>
    <w:lvl w:ilvl="6" w:tentative="0">
      <w:start w:val="1"/>
      <w:numFmt w:val="decimal"/>
      <w:pStyle w:val="17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00000005"/>
    <w:multiLevelType w:val="multilevel"/>
    <w:tmpl w:val="00000005"/>
    <w:lvl w:ilvl="0" w:tentative="0">
      <w:start w:val="0"/>
      <w:numFmt w:val="none"/>
      <w:pStyle w:val="153"/>
      <w:lvlText w:val=""/>
      <w:lvlJc w:val="left"/>
      <w:pPr>
        <w:tabs>
          <w:tab w:val="left" w:pos="360"/>
        </w:tabs>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6"/>
    <w:multiLevelType w:val="multilevel"/>
    <w:tmpl w:val="00000006"/>
    <w:lvl w:ilvl="0" w:tentative="0">
      <w:start w:val="1"/>
      <w:numFmt w:val="decimal"/>
      <w:pStyle w:val="165"/>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00000007"/>
    <w:multiLevelType w:val="multilevel"/>
    <w:tmpl w:val="00000007"/>
    <w:lvl w:ilvl="0" w:tentative="0">
      <w:start w:val="1"/>
      <w:numFmt w:val="upperLetter"/>
      <w:pStyle w:val="280"/>
      <w:suff w:val="nothing"/>
      <w:lvlText w:val="附　录　%1"/>
      <w:lvlJc w:val="left"/>
      <w:pPr>
        <w:ind w:left="0" w:firstLine="0"/>
      </w:pPr>
      <w:rPr>
        <w:rFonts w:hint="eastAsia" w:ascii="黑体" w:hAnsi="Times New Roman" w:eastAsia="黑体"/>
        <w:b w:val="0"/>
        <w:i w:val="0"/>
        <w:sz w:val="21"/>
      </w:rPr>
    </w:lvl>
    <w:lvl w:ilvl="1" w:tentative="0">
      <w:start w:val="1"/>
      <w:numFmt w:val="decimal"/>
      <w:pStyle w:val="150"/>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49"/>
      <w:suff w:val="nothing"/>
      <w:lvlText w:val="%1.%2.%3　"/>
      <w:lvlJc w:val="left"/>
      <w:pPr>
        <w:ind w:left="0" w:firstLine="0"/>
      </w:pPr>
      <w:rPr>
        <w:rFonts w:hint="eastAsia" w:ascii="黑体" w:hAnsi="Times New Roman" w:eastAsia="黑体"/>
        <w:b w:val="0"/>
        <w:i w:val="0"/>
        <w:sz w:val="21"/>
      </w:rPr>
    </w:lvl>
    <w:lvl w:ilvl="3" w:tentative="0">
      <w:start w:val="1"/>
      <w:numFmt w:val="decimal"/>
      <w:pStyle w:val="148"/>
      <w:suff w:val="nothing"/>
      <w:lvlText w:val="%1.%2.%3.%4　"/>
      <w:lvlJc w:val="left"/>
      <w:pPr>
        <w:ind w:left="0" w:firstLine="0"/>
      </w:pPr>
      <w:rPr>
        <w:rFonts w:hint="eastAsia" w:ascii="黑体" w:hAnsi="Times New Roman" w:eastAsia="黑体"/>
        <w:b w:val="0"/>
        <w:i w:val="0"/>
        <w:sz w:val="21"/>
      </w:rPr>
    </w:lvl>
    <w:lvl w:ilvl="4" w:tentative="0">
      <w:start w:val="1"/>
      <w:numFmt w:val="decimal"/>
      <w:pStyle w:val="147"/>
      <w:suff w:val="nothing"/>
      <w:lvlText w:val="%1.%2.%3.%4.%5　"/>
      <w:lvlJc w:val="left"/>
      <w:pPr>
        <w:ind w:left="0" w:firstLine="0"/>
      </w:pPr>
      <w:rPr>
        <w:rFonts w:hint="eastAsia" w:ascii="黑体" w:hAnsi="Times New Roman" w:eastAsia="黑体"/>
        <w:b w:val="0"/>
        <w:i w:val="0"/>
        <w:sz w:val="21"/>
      </w:rPr>
    </w:lvl>
    <w:lvl w:ilvl="5" w:tentative="0">
      <w:start w:val="1"/>
      <w:numFmt w:val="decimal"/>
      <w:pStyle w:val="200"/>
      <w:suff w:val="nothing"/>
      <w:lvlText w:val="%1.%2.%3.%4.%5.%6　"/>
      <w:lvlJc w:val="left"/>
      <w:pPr>
        <w:ind w:left="0" w:firstLine="0"/>
      </w:pPr>
      <w:rPr>
        <w:rFonts w:hint="eastAsia" w:ascii="黑体" w:hAnsi="Times New Roman" w:eastAsia="黑体"/>
        <w:b w:val="0"/>
        <w:i w:val="0"/>
        <w:sz w:val="21"/>
      </w:rPr>
    </w:lvl>
    <w:lvl w:ilvl="6" w:tentative="0">
      <w:start w:val="1"/>
      <w:numFmt w:val="decimal"/>
      <w:pStyle w:val="19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00000008"/>
    <w:multiLevelType w:val="multilevel"/>
    <w:tmpl w:val="00000008"/>
    <w:lvl w:ilvl="0" w:tentative="0">
      <w:start w:val="0"/>
      <w:numFmt w:val="none"/>
      <w:pStyle w:val="184"/>
      <w:lvlText w:val=""/>
      <w:lvlJc w:val="left"/>
      <w:pPr>
        <w:tabs>
          <w:tab w:val="left" w:pos="360"/>
        </w:tabs>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09"/>
    <w:multiLevelType w:val="multilevel"/>
    <w:tmpl w:val="00000009"/>
    <w:lvl w:ilvl="0" w:tentative="0">
      <w:start w:val="0"/>
      <w:numFmt w:val="none"/>
      <w:pStyle w:val="194"/>
      <w:lvlText w:val=""/>
      <w:lvlJc w:val="left"/>
      <w:pPr>
        <w:tabs>
          <w:tab w:val="left" w:pos="360"/>
        </w:tabs>
      </w:p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0A"/>
    <w:multiLevelType w:val="multilevel"/>
    <w:tmpl w:val="0000000A"/>
    <w:lvl w:ilvl="0" w:tentative="0">
      <w:start w:val="0"/>
      <w:numFmt w:val="none"/>
      <w:pStyle w:val="273"/>
      <w:lvlText w:val=""/>
      <w:lvlJc w:val="left"/>
      <w:pPr>
        <w:tabs>
          <w:tab w:val="left" w:pos="360"/>
        </w:tabs>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0"/>
  </w:num>
  <w:num w:numId="3">
    <w:abstractNumId w:val="6"/>
  </w:num>
  <w:num w:numId="4">
    <w:abstractNumId w:val="4"/>
  </w:num>
  <w:num w:numId="5">
    <w:abstractNumId w:val="5"/>
  </w:num>
  <w:num w:numId="6">
    <w:abstractNumId w:val="7"/>
  </w:num>
  <w:num w:numId="7">
    <w:abstractNumId w:val="8"/>
  </w:num>
  <w:num w:numId="8">
    <w:abstractNumId w:val="2"/>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6"/>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mMTQ1NjFiNmJlNGE3OTlkNDhhMjRjZGU5YTdmZmYifQ=="/>
    <w:docVar w:name="KSO_WPS_MARK_KEY" w:val="90317edc-c47d-4029-8af8-7984a8ea9e48"/>
  </w:docVars>
  <w:rsids>
    <w:rsidRoot w:val="00172A27"/>
    <w:rsid w:val="000022BB"/>
    <w:rsid w:val="00004390"/>
    <w:rsid w:val="00004E8D"/>
    <w:rsid w:val="00010BCD"/>
    <w:rsid w:val="00013B0C"/>
    <w:rsid w:val="00015D92"/>
    <w:rsid w:val="000173AE"/>
    <w:rsid w:val="00017EDC"/>
    <w:rsid w:val="000208B8"/>
    <w:rsid w:val="000248A0"/>
    <w:rsid w:val="000258F5"/>
    <w:rsid w:val="000311E8"/>
    <w:rsid w:val="00035D20"/>
    <w:rsid w:val="00037508"/>
    <w:rsid w:val="00043999"/>
    <w:rsid w:val="000473E5"/>
    <w:rsid w:val="00050D80"/>
    <w:rsid w:val="000518A0"/>
    <w:rsid w:val="00052593"/>
    <w:rsid w:val="000627C6"/>
    <w:rsid w:val="0006395E"/>
    <w:rsid w:val="000655AE"/>
    <w:rsid w:val="000722F9"/>
    <w:rsid w:val="000733FF"/>
    <w:rsid w:val="00075A92"/>
    <w:rsid w:val="000825CA"/>
    <w:rsid w:val="00082F12"/>
    <w:rsid w:val="0008314B"/>
    <w:rsid w:val="000834E3"/>
    <w:rsid w:val="000835FF"/>
    <w:rsid w:val="00090DF1"/>
    <w:rsid w:val="00091D40"/>
    <w:rsid w:val="00091FF4"/>
    <w:rsid w:val="00094780"/>
    <w:rsid w:val="00096D05"/>
    <w:rsid w:val="000B4CD4"/>
    <w:rsid w:val="000B6158"/>
    <w:rsid w:val="000B7201"/>
    <w:rsid w:val="000B731C"/>
    <w:rsid w:val="000C4B9D"/>
    <w:rsid w:val="000C73B3"/>
    <w:rsid w:val="000D55DD"/>
    <w:rsid w:val="000E09B2"/>
    <w:rsid w:val="000E0B31"/>
    <w:rsid w:val="000E6F2C"/>
    <w:rsid w:val="000F00CC"/>
    <w:rsid w:val="000F2DFE"/>
    <w:rsid w:val="000F51A9"/>
    <w:rsid w:val="000F6CB4"/>
    <w:rsid w:val="000F7297"/>
    <w:rsid w:val="001005E8"/>
    <w:rsid w:val="001018A9"/>
    <w:rsid w:val="00102DD2"/>
    <w:rsid w:val="00103522"/>
    <w:rsid w:val="00104484"/>
    <w:rsid w:val="0010527F"/>
    <w:rsid w:val="00111C92"/>
    <w:rsid w:val="00111E25"/>
    <w:rsid w:val="00111F8E"/>
    <w:rsid w:val="00114CD1"/>
    <w:rsid w:val="001179F8"/>
    <w:rsid w:val="00124793"/>
    <w:rsid w:val="00124FA1"/>
    <w:rsid w:val="00125E92"/>
    <w:rsid w:val="001272E2"/>
    <w:rsid w:val="00127CD9"/>
    <w:rsid w:val="00132DCD"/>
    <w:rsid w:val="00133B88"/>
    <w:rsid w:val="00134E43"/>
    <w:rsid w:val="00137851"/>
    <w:rsid w:val="00144552"/>
    <w:rsid w:val="00146BC7"/>
    <w:rsid w:val="00147AF3"/>
    <w:rsid w:val="00154B06"/>
    <w:rsid w:val="00155D71"/>
    <w:rsid w:val="00160E33"/>
    <w:rsid w:val="00165412"/>
    <w:rsid w:val="00165557"/>
    <w:rsid w:val="00166FC1"/>
    <w:rsid w:val="00172A27"/>
    <w:rsid w:val="00176AFF"/>
    <w:rsid w:val="0017798A"/>
    <w:rsid w:val="00180706"/>
    <w:rsid w:val="00183D34"/>
    <w:rsid w:val="001840E2"/>
    <w:rsid w:val="00194264"/>
    <w:rsid w:val="00194B39"/>
    <w:rsid w:val="001951D5"/>
    <w:rsid w:val="00196A82"/>
    <w:rsid w:val="001A29D9"/>
    <w:rsid w:val="001A3407"/>
    <w:rsid w:val="001A59A0"/>
    <w:rsid w:val="001B1801"/>
    <w:rsid w:val="001B1934"/>
    <w:rsid w:val="001B29BD"/>
    <w:rsid w:val="001B2CA1"/>
    <w:rsid w:val="001B37CF"/>
    <w:rsid w:val="001B5BAD"/>
    <w:rsid w:val="001B7462"/>
    <w:rsid w:val="001C0C85"/>
    <w:rsid w:val="001C3151"/>
    <w:rsid w:val="001C432B"/>
    <w:rsid w:val="001D325B"/>
    <w:rsid w:val="001D352C"/>
    <w:rsid w:val="001D3B23"/>
    <w:rsid w:val="001D436A"/>
    <w:rsid w:val="001E164F"/>
    <w:rsid w:val="001E3122"/>
    <w:rsid w:val="001E4354"/>
    <w:rsid w:val="001E58E3"/>
    <w:rsid w:val="001E61FF"/>
    <w:rsid w:val="001F19F9"/>
    <w:rsid w:val="001F2ADE"/>
    <w:rsid w:val="0020403C"/>
    <w:rsid w:val="00207530"/>
    <w:rsid w:val="00211943"/>
    <w:rsid w:val="00213443"/>
    <w:rsid w:val="002150F7"/>
    <w:rsid w:val="002154A0"/>
    <w:rsid w:val="002167EE"/>
    <w:rsid w:val="0022033E"/>
    <w:rsid w:val="0022091D"/>
    <w:rsid w:val="00222CE2"/>
    <w:rsid w:val="00231CE6"/>
    <w:rsid w:val="00241427"/>
    <w:rsid w:val="0024250C"/>
    <w:rsid w:val="00246C2A"/>
    <w:rsid w:val="0025501C"/>
    <w:rsid w:val="002700B8"/>
    <w:rsid w:val="0027214A"/>
    <w:rsid w:val="00272473"/>
    <w:rsid w:val="00275209"/>
    <w:rsid w:val="00275E66"/>
    <w:rsid w:val="002775A4"/>
    <w:rsid w:val="002848F8"/>
    <w:rsid w:val="00292D2A"/>
    <w:rsid w:val="002A1F5F"/>
    <w:rsid w:val="002A3C69"/>
    <w:rsid w:val="002A4575"/>
    <w:rsid w:val="002A4E9C"/>
    <w:rsid w:val="002A593C"/>
    <w:rsid w:val="002B67EB"/>
    <w:rsid w:val="002C0F54"/>
    <w:rsid w:val="002C1E8D"/>
    <w:rsid w:val="002C25BF"/>
    <w:rsid w:val="002C2975"/>
    <w:rsid w:val="002C4980"/>
    <w:rsid w:val="002D0464"/>
    <w:rsid w:val="002D3F39"/>
    <w:rsid w:val="002D7B94"/>
    <w:rsid w:val="002E0352"/>
    <w:rsid w:val="002E254C"/>
    <w:rsid w:val="002E5D5A"/>
    <w:rsid w:val="002E6C45"/>
    <w:rsid w:val="002E6E17"/>
    <w:rsid w:val="002E7DDB"/>
    <w:rsid w:val="002F0014"/>
    <w:rsid w:val="002F2482"/>
    <w:rsid w:val="002F52C0"/>
    <w:rsid w:val="002F6026"/>
    <w:rsid w:val="002F7544"/>
    <w:rsid w:val="00301C57"/>
    <w:rsid w:val="00307C3E"/>
    <w:rsid w:val="0031269E"/>
    <w:rsid w:val="003128BD"/>
    <w:rsid w:val="00312BB7"/>
    <w:rsid w:val="00315056"/>
    <w:rsid w:val="00320FCC"/>
    <w:rsid w:val="00330DE7"/>
    <w:rsid w:val="00332869"/>
    <w:rsid w:val="00342980"/>
    <w:rsid w:val="00342B7E"/>
    <w:rsid w:val="003475F6"/>
    <w:rsid w:val="00347A99"/>
    <w:rsid w:val="00352259"/>
    <w:rsid w:val="00357F45"/>
    <w:rsid w:val="00361FAA"/>
    <w:rsid w:val="00366120"/>
    <w:rsid w:val="003673EB"/>
    <w:rsid w:val="00370189"/>
    <w:rsid w:val="00373B61"/>
    <w:rsid w:val="00373BC7"/>
    <w:rsid w:val="0037400F"/>
    <w:rsid w:val="0037506B"/>
    <w:rsid w:val="0037603D"/>
    <w:rsid w:val="0037710B"/>
    <w:rsid w:val="00385C18"/>
    <w:rsid w:val="00386AE7"/>
    <w:rsid w:val="00387534"/>
    <w:rsid w:val="00387973"/>
    <w:rsid w:val="003900C2"/>
    <w:rsid w:val="003902A9"/>
    <w:rsid w:val="003913AE"/>
    <w:rsid w:val="003959CC"/>
    <w:rsid w:val="003970EB"/>
    <w:rsid w:val="003A2907"/>
    <w:rsid w:val="003A7A87"/>
    <w:rsid w:val="003B4C49"/>
    <w:rsid w:val="003C066B"/>
    <w:rsid w:val="003C090D"/>
    <w:rsid w:val="003C29B2"/>
    <w:rsid w:val="003C3060"/>
    <w:rsid w:val="003C456A"/>
    <w:rsid w:val="003D38F9"/>
    <w:rsid w:val="003D3A16"/>
    <w:rsid w:val="003D55E9"/>
    <w:rsid w:val="003D5950"/>
    <w:rsid w:val="003D7C08"/>
    <w:rsid w:val="003E280F"/>
    <w:rsid w:val="003E6E77"/>
    <w:rsid w:val="003F2A48"/>
    <w:rsid w:val="003F469D"/>
    <w:rsid w:val="0040190F"/>
    <w:rsid w:val="004042F7"/>
    <w:rsid w:val="00407693"/>
    <w:rsid w:val="004110FC"/>
    <w:rsid w:val="00412042"/>
    <w:rsid w:val="00424FD3"/>
    <w:rsid w:val="00431580"/>
    <w:rsid w:val="00434100"/>
    <w:rsid w:val="004364E5"/>
    <w:rsid w:val="00443650"/>
    <w:rsid w:val="00444CA6"/>
    <w:rsid w:val="004478C0"/>
    <w:rsid w:val="00452402"/>
    <w:rsid w:val="0045542B"/>
    <w:rsid w:val="00455647"/>
    <w:rsid w:val="00456487"/>
    <w:rsid w:val="0045739D"/>
    <w:rsid w:val="0045764A"/>
    <w:rsid w:val="00461E2C"/>
    <w:rsid w:val="00466CE2"/>
    <w:rsid w:val="00470F10"/>
    <w:rsid w:val="0047266B"/>
    <w:rsid w:val="00473E1C"/>
    <w:rsid w:val="0048537F"/>
    <w:rsid w:val="00485703"/>
    <w:rsid w:val="0048771B"/>
    <w:rsid w:val="004951A4"/>
    <w:rsid w:val="00496E14"/>
    <w:rsid w:val="00497CDC"/>
    <w:rsid w:val="004B2275"/>
    <w:rsid w:val="004B5301"/>
    <w:rsid w:val="004B70A0"/>
    <w:rsid w:val="004C19E7"/>
    <w:rsid w:val="004C3971"/>
    <w:rsid w:val="004C3B0D"/>
    <w:rsid w:val="004C5DF3"/>
    <w:rsid w:val="004D3BD2"/>
    <w:rsid w:val="004D3E17"/>
    <w:rsid w:val="004D5102"/>
    <w:rsid w:val="004D5998"/>
    <w:rsid w:val="004E1F03"/>
    <w:rsid w:val="004E629B"/>
    <w:rsid w:val="004F3256"/>
    <w:rsid w:val="004F6C48"/>
    <w:rsid w:val="004F70AD"/>
    <w:rsid w:val="0051176D"/>
    <w:rsid w:val="005154D2"/>
    <w:rsid w:val="0051769C"/>
    <w:rsid w:val="00517C83"/>
    <w:rsid w:val="005262E7"/>
    <w:rsid w:val="0052650B"/>
    <w:rsid w:val="005267C5"/>
    <w:rsid w:val="00530B85"/>
    <w:rsid w:val="005418A8"/>
    <w:rsid w:val="0054715C"/>
    <w:rsid w:val="005478BA"/>
    <w:rsid w:val="00552065"/>
    <w:rsid w:val="00554728"/>
    <w:rsid w:val="00555605"/>
    <w:rsid w:val="00555B0F"/>
    <w:rsid w:val="005578E4"/>
    <w:rsid w:val="00562FBE"/>
    <w:rsid w:val="00567134"/>
    <w:rsid w:val="00570471"/>
    <w:rsid w:val="005705F8"/>
    <w:rsid w:val="0057256E"/>
    <w:rsid w:val="00573EE9"/>
    <w:rsid w:val="00573F5A"/>
    <w:rsid w:val="005744BE"/>
    <w:rsid w:val="005745F9"/>
    <w:rsid w:val="0057460E"/>
    <w:rsid w:val="0057489F"/>
    <w:rsid w:val="005775C4"/>
    <w:rsid w:val="0058135D"/>
    <w:rsid w:val="005821C6"/>
    <w:rsid w:val="005875B9"/>
    <w:rsid w:val="005877A0"/>
    <w:rsid w:val="005924DB"/>
    <w:rsid w:val="0059393B"/>
    <w:rsid w:val="00597933"/>
    <w:rsid w:val="005A30A4"/>
    <w:rsid w:val="005B2F64"/>
    <w:rsid w:val="005B670B"/>
    <w:rsid w:val="005B77C2"/>
    <w:rsid w:val="005C1547"/>
    <w:rsid w:val="005C1803"/>
    <w:rsid w:val="005D3048"/>
    <w:rsid w:val="005D45A0"/>
    <w:rsid w:val="005E2D3A"/>
    <w:rsid w:val="005E7BEC"/>
    <w:rsid w:val="005F6D6B"/>
    <w:rsid w:val="005F6E4C"/>
    <w:rsid w:val="00605C61"/>
    <w:rsid w:val="00610360"/>
    <w:rsid w:val="0062013C"/>
    <w:rsid w:val="00624512"/>
    <w:rsid w:val="00624DC9"/>
    <w:rsid w:val="0062795E"/>
    <w:rsid w:val="006304C1"/>
    <w:rsid w:val="0063183A"/>
    <w:rsid w:val="00635C44"/>
    <w:rsid w:val="00635DEA"/>
    <w:rsid w:val="006370CD"/>
    <w:rsid w:val="00640F3E"/>
    <w:rsid w:val="006410CC"/>
    <w:rsid w:val="006464AB"/>
    <w:rsid w:val="00647937"/>
    <w:rsid w:val="00653486"/>
    <w:rsid w:val="00657C28"/>
    <w:rsid w:val="00660B71"/>
    <w:rsid w:val="00660D5F"/>
    <w:rsid w:val="006616C8"/>
    <w:rsid w:val="00662105"/>
    <w:rsid w:val="006624A3"/>
    <w:rsid w:val="006626A1"/>
    <w:rsid w:val="00665F54"/>
    <w:rsid w:val="00670672"/>
    <w:rsid w:val="0067287A"/>
    <w:rsid w:val="00673B67"/>
    <w:rsid w:val="00680DFB"/>
    <w:rsid w:val="00683A97"/>
    <w:rsid w:val="0068726F"/>
    <w:rsid w:val="006927C1"/>
    <w:rsid w:val="00692C5A"/>
    <w:rsid w:val="00695E92"/>
    <w:rsid w:val="00697344"/>
    <w:rsid w:val="006A0727"/>
    <w:rsid w:val="006A2C03"/>
    <w:rsid w:val="006A2EBD"/>
    <w:rsid w:val="006A543B"/>
    <w:rsid w:val="006B3543"/>
    <w:rsid w:val="006B36D0"/>
    <w:rsid w:val="006B7AB5"/>
    <w:rsid w:val="006C35D5"/>
    <w:rsid w:val="006C3CB4"/>
    <w:rsid w:val="006C43BF"/>
    <w:rsid w:val="006C46FA"/>
    <w:rsid w:val="006D3827"/>
    <w:rsid w:val="006D4558"/>
    <w:rsid w:val="006E0799"/>
    <w:rsid w:val="006E1307"/>
    <w:rsid w:val="006E3149"/>
    <w:rsid w:val="006E483F"/>
    <w:rsid w:val="006F0932"/>
    <w:rsid w:val="006F384A"/>
    <w:rsid w:val="006F3F09"/>
    <w:rsid w:val="006F5627"/>
    <w:rsid w:val="006F5894"/>
    <w:rsid w:val="00701E32"/>
    <w:rsid w:val="007062D3"/>
    <w:rsid w:val="00706AE7"/>
    <w:rsid w:val="007071B8"/>
    <w:rsid w:val="00710D3E"/>
    <w:rsid w:val="00710FC9"/>
    <w:rsid w:val="007113A1"/>
    <w:rsid w:val="00715C22"/>
    <w:rsid w:val="00715EB6"/>
    <w:rsid w:val="0072085B"/>
    <w:rsid w:val="00720EDC"/>
    <w:rsid w:val="00726464"/>
    <w:rsid w:val="007268A7"/>
    <w:rsid w:val="007279D3"/>
    <w:rsid w:val="007366B5"/>
    <w:rsid w:val="00741D54"/>
    <w:rsid w:val="00742DC2"/>
    <w:rsid w:val="00750D73"/>
    <w:rsid w:val="0075183B"/>
    <w:rsid w:val="00751AEB"/>
    <w:rsid w:val="00757546"/>
    <w:rsid w:val="00761F93"/>
    <w:rsid w:val="0076368E"/>
    <w:rsid w:val="00766425"/>
    <w:rsid w:val="007669FD"/>
    <w:rsid w:val="00767FA5"/>
    <w:rsid w:val="00770371"/>
    <w:rsid w:val="007736E4"/>
    <w:rsid w:val="00777386"/>
    <w:rsid w:val="007860F2"/>
    <w:rsid w:val="00787253"/>
    <w:rsid w:val="00790539"/>
    <w:rsid w:val="00791BD4"/>
    <w:rsid w:val="00793F5F"/>
    <w:rsid w:val="00796BF7"/>
    <w:rsid w:val="007A2DA7"/>
    <w:rsid w:val="007A4C96"/>
    <w:rsid w:val="007B28B4"/>
    <w:rsid w:val="007B3555"/>
    <w:rsid w:val="007B62E1"/>
    <w:rsid w:val="007C07BF"/>
    <w:rsid w:val="007C0C5D"/>
    <w:rsid w:val="007D2565"/>
    <w:rsid w:val="007D2DBF"/>
    <w:rsid w:val="007D661E"/>
    <w:rsid w:val="007D7796"/>
    <w:rsid w:val="007E0302"/>
    <w:rsid w:val="007E4452"/>
    <w:rsid w:val="007F0EA5"/>
    <w:rsid w:val="007F77A6"/>
    <w:rsid w:val="00804EFB"/>
    <w:rsid w:val="008072FD"/>
    <w:rsid w:val="0081089D"/>
    <w:rsid w:val="0082402F"/>
    <w:rsid w:val="008245D5"/>
    <w:rsid w:val="00833122"/>
    <w:rsid w:val="00833150"/>
    <w:rsid w:val="0083343E"/>
    <w:rsid w:val="0083491A"/>
    <w:rsid w:val="00836CB1"/>
    <w:rsid w:val="00836E56"/>
    <w:rsid w:val="00840D24"/>
    <w:rsid w:val="0084263B"/>
    <w:rsid w:val="00842FA8"/>
    <w:rsid w:val="0084301C"/>
    <w:rsid w:val="008437EB"/>
    <w:rsid w:val="00843E72"/>
    <w:rsid w:val="008443E1"/>
    <w:rsid w:val="008515F0"/>
    <w:rsid w:val="0085194B"/>
    <w:rsid w:val="0085375A"/>
    <w:rsid w:val="00855E1F"/>
    <w:rsid w:val="00857742"/>
    <w:rsid w:val="00860C5A"/>
    <w:rsid w:val="00862A91"/>
    <w:rsid w:val="00863E8B"/>
    <w:rsid w:val="008710E6"/>
    <w:rsid w:val="00872DEA"/>
    <w:rsid w:val="00873E36"/>
    <w:rsid w:val="00875A23"/>
    <w:rsid w:val="008858D4"/>
    <w:rsid w:val="008968A8"/>
    <w:rsid w:val="00897F73"/>
    <w:rsid w:val="008A0F79"/>
    <w:rsid w:val="008A3536"/>
    <w:rsid w:val="008B1C08"/>
    <w:rsid w:val="008B1D72"/>
    <w:rsid w:val="008B330A"/>
    <w:rsid w:val="008B45B2"/>
    <w:rsid w:val="008B4DFD"/>
    <w:rsid w:val="008B728C"/>
    <w:rsid w:val="008C0BC3"/>
    <w:rsid w:val="008D2A6C"/>
    <w:rsid w:val="008D3C48"/>
    <w:rsid w:val="008D3CEC"/>
    <w:rsid w:val="008D6937"/>
    <w:rsid w:val="008E2C38"/>
    <w:rsid w:val="008E520D"/>
    <w:rsid w:val="008E7892"/>
    <w:rsid w:val="008F3ABD"/>
    <w:rsid w:val="00900190"/>
    <w:rsid w:val="00903C91"/>
    <w:rsid w:val="0090478F"/>
    <w:rsid w:val="00905E9E"/>
    <w:rsid w:val="00912402"/>
    <w:rsid w:val="00913749"/>
    <w:rsid w:val="00917AC8"/>
    <w:rsid w:val="009202AC"/>
    <w:rsid w:val="00921281"/>
    <w:rsid w:val="00921321"/>
    <w:rsid w:val="00923AE0"/>
    <w:rsid w:val="00931A8B"/>
    <w:rsid w:val="0093550A"/>
    <w:rsid w:val="00936E08"/>
    <w:rsid w:val="0094097A"/>
    <w:rsid w:val="0094376A"/>
    <w:rsid w:val="00944272"/>
    <w:rsid w:val="009720E4"/>
    <w:rsid w:val="00973829"/>
    <w:rsid w:val="00977519"/>
    <w:rsid w:val="00980137"/>
    <w:rsid w:val="009842AB"/>
    <w:rsid w:val="00990468"/>
    <w:rsid w:val="00993731"/>
    <w:rsid w:val="0099711B"/>
    <w:rsid w:val="009A1BBC"/>
    <w:rsid w:val="009B27F1"/>
    <w:rsid w:val="009B69F6"/>
    <w:rsid w:val="009B733F"/>
    <w:rsid w:val="009C1BB9"/>
    <w:rsid w:val="009D28B0"/>
    <w:rsid w:val="009D2C4D"/>
    <w:rsid w:val="009D3436"/>
    <w:rsid w:val="009D5F64"/>
    <w:rsid w:val="009D6208"/>
    <w:rsid w:val="009D748B"/>
    <w:rsid w:val="009E7058"/>
    <w:rsid w:val="009E7FC6"/>
    <w:rsid w:val="009F1F28"/>
    <w:rsid w:val="009F5361"/>
    <w:rsid w:val="009F57F1"/>
    <w:rsid w:val="009F7007"/>
    <w:rsid w:val="009F7589"/>
    <w:rsid w:val="00A06365"/>
    <w:rsid w:val="00A06B5C"/>
    <w:rsid w:val="00A11D2F"/>
    <w:rsid w:val="00A167BC"/>
    <w:rsid w:val="00A27C3F"/>
    <w:rsid w:val="00A31022"/>
    <w:rsid w:val="00A35CA7"/>
    <w:rsid w:val="00A3642F"/>
    <w:rsid w:val="00A40669"/>
    <w:rsid w:val="00A40D65"/>
    <w:rsid w:val="00A4518D"/>
    <w:rsid w:val="00A4526D"/>
    <w:rsid w:val="00A4719F"/>
    <w:rsid w:val="00A508C9"/>
    <w:rsid w:val="00A549BF"/>
    <w:rsid w:val="00A600AC"/>
    <w:rsid w:val="00A630F0"/>
    <w:rsid w:val="00A671E6"/>
    <w:rsid w:val="00A71E16"/>
    <w:rsid w:val="00A745CC"/>
    <w:rsid w:val="00A761A3"/>
    <w:rsid w:val="00A85C29"/>
    <w:rsid w:val="00A8631D"/>
    <w:rsid w:val="00A87A32"/>
    <w:rsid w:val="00AA1AE6"/>
    <w:rsid w:val="00AA1E30"/>
    <w:rsid w:val="00AA208B"/>
    <w:rsid w:val="00AA2F58"/>
    <w:rsid w:val="00AA6844"/>
    <w:rsid w:val="00AA6EDB"/>
    <w:rsid w:val="00AA71D1"/>
    <w:rsid w:val="00AA7B35"/>
    <w:rsid w:val="00AC035D"/>
    <w:rsid w:val="00AC03C6"/>
    <w:rsid w:val="00AC1986"/>
    <w:rsid w:val="00AC267A"/>
    <w:rsid w:val="00AC4E30"/>
    <w:rsid w:val="00AC5A64"/>
    <w:rsid w:val="00AD1131"/>
    <w:rsid w:val="00AD2365"/>
    <w:rsid w:val="00AD24BA"/>
    <w:rsid w:val="00AD56D6"/>
    <w:rsid w:val="00AD7ADE"/>
    <w:rsid w:val="00AE3435"/>
    <w:rsid w:val="00AE37C7"/>
    <w:rsid w:val="00AF0F7C"/>
    <w:rsid w:val="00AF1EBB"/>
    <w:rsid w:val="00AF1FEB"/>
    <w:rsid w:val="00AF26A9"/>
    <w:rsid w:val="00AF3EAC"/>
    <w:rsid w:val="00AF6084"/>
    <w:rsid w:val="00AF71DE"/>
    <w:rsid w:val="00AF7B67"/>
    <w:rsid w:val="00B051DA"/>
    <w:rsid w:val="00B112C9"/>
    <w:rsid w:val="00B11C86"/>
    <w:rsid w:val="00B223DB"/>
    <w:rsid w:val="00B23C85"/>
    <w:rsid w:val="00B25596"/>
    <w:rsid w:val="00B3268D"/>
    <w:rsid w:val="00B3307D"/>
    <w:rsid w:val="00B33437"/>
    <w:rsid w:val="00B3458B"/>
    <w:rsid w:val="00B3705D"/>
    <w:rsid w:val="00B3738C"/>
    <w:rsid w:val="00B4000F"/>
    <w:rsid w:val="00B5106E"/>
    <w:rsid w:val="00B53204"/>
    <w:rsid w:val="00B53848"/>
    <w:rsid w:val="00B53D98"/>
    <w:rsid w:val="00B558DA"/>
    <w:rsid w:val="00B57823"/>
    <w:rsid w:val="00B61CA7"/>
    <w:rsid w:val="00B636E4"/>
    <w:rsid w:val="00B6689F"/>
    <w:rsid w:val="00B70161"/>
    <w:rsid w:val="00B73E9A"/>
    <w:rsid w:val="00B76F4C"/>
    <w:rsid w:val="00B83CA2"/>
    <w:rsid w:val="00B858B2"/>
    <w:rsid w:val="00B90DFB"/>
    <w:rsid w:val="00B922BD"/>
    <w:rsid w:val="00B93C86"/>
    <w:rsid w:val="00B9458B"/>
    <w:rsid w:val="00B95CCC"/>
    <w:rsid w:val="00BA2884"/>
    <w:rsid w:val="00BA53C6"/>
    <w:rsid w:val="00BA7C7B"/>
    <w:rsid w:val="00BB1408"/>
    <w:rsid w:val="00BB1973"/>
    <w:rsid w:val="00BB209D"/>
    <w:rsid w:val="00BB3B15"/>
    <w:rsid w:val="00BB42CD"/>
    <w:rsid w:val="00BB5875"/>
    <w:rsid w:val="00BB5BAF"/>
    <w:rsid w:val="00BB743B"/>
    <w:rsid w:val="00BB7AE6"/>
    <w:rsid w:val="00BD0262"/>
    <w:rsid w:val="00BD2086"/>
    <w:rsid w:val="00BD7855"/>
    <w:rsid w:val="00BE16CE"/>
    <w:rsid w:val="00BE26E1"/>
    <w:rsid w:val="00BF1B35"/>
    <w:rsid w:val="00BF2CB0"/>
    <w:rsid w:val="00BF7D0E"/>
    <w:rsid w:val="00C00BAD"/>
    <w:rsid w:val="00C019E9"/>
    <w:rsid w:val="00C01CE6"/>
    <w:rsid w:val="00C045B5"/>
    <w:rsid w:val="00C069A0"/>
    <w:rsid w:val="00C1679B"/>
    <w:rsid w:val="00C16A8C"/>
    <w:rsid w:val="00C17098"/>
    <w:rsid w:val="00C2151F"/>
    <w:rsid w:val="00C22C5C"/>
    <w:rsid w:val="00C3168F"/>
    <w:rsid w:val="00C318FC"/>
    <w:rsid w:val="00C3255E"/>
    <w:rsid w:val="00C341CE"/>
    <w:rsid w:val="00C37DDF"/>
    <w:rsid w:val="00C45CB0"/>
    <w:rsid w:val="00C5039B"/>
    <w:rsid w:val="00C5069B"/>
    <w:rsid w:val="00C64CD5"/>
    <w:rsid w:val="00C73106"/>
    <w:rsid w:val="00C73A3A"/>
    <w:rsid w:val="00C73BE2"/>
    <w:rsid w:val="00C75174"/>
    <w:rsid w:val="00C75F91"/>
    <w:rsid w:val="00C76FC0"/>
    <w:rsid w:val="00C93078"/>
    <w:rsid w:val="00C95349"/>
    <w:rsid w:val="00C96B65"/>
    <w:rsid w:val="00C9762F"/>
    <w:rsid w:val="00CA2568"/>
    <w:rsid w:val="00CA5F75"/>
    <w:rsid w:val="00CB1165"/>
    <w:rsid w:val="00CB36D1"/>
    <w:rsid w:val="00CB761D"/>
    <w:rsid w:val="00CC43CC"/>
    <w:rsid w:val="00CD2296"/>
    <w:rsid w:val="00CD2B4A"/>
    <w:rsid w:val="00CE4747"/>
    <w:rsid w:val="00CE4F75"/>
    <w:rsid w:val="00CF58FF"/>
    <w:rsid w:val="00CF6504"/>
    <w:rsid w:val="00CF6902"/>
    <w:rsid w:val="00CF7061"/>
    <w:rsid w:val="00CF7822"/>
    <w:rsid w:val="00D15BEB"/>
    <w:rsid w:val="00D26BE5"/>
    <w:rsid w:val="00D33216"/>
    <w:rsid w:val="00D3428E"/>
    <w:rsid w:val="00D3499F"/>
    <w:rsid w:val="00D35DDC"/>
    <w:rsid w:val="00D404A5"/>
    <w:rsid w:val="00D440C0"/>
    <w:rsid w:val="00D450D7"/>
    <w:rsid w:val="00D53DB9"/>
    <w:rsid w:val="00D54312"/>
    <w:rsid w:val="00D57273"/>
    <w:rsid w:val="00D64E9A"/>
    <w:rsid w:val="00D7223B"/>
    <w:rsid w:val="00D73BC0"/>
    <w:rsid w:val="00D75F02"/>
    <w:rsid w:val="00D76B30"/>
    <w:rsid w:val="00D86C51"/>
    <w:rsid w:val="00D9081F"/>
    <w:rsid w:val="00D90C6B"/>
    <w:rsid w:val="00DA4CF5"/>
    <w:rsid w:val="00DA68CD"/>
    <w:rsid w:val="00DA7457"/>
    <w:rsid w:val="00DB075B"/>
    <w:rsid w:val="00DB3DE6"/>
    <w:rsid w:val="00DB46A4"/>
    <w:rsid w:val="00DB4739"/>
    <w:rsid w:val="00DB4FCC"/>
    <w:rsid w:val="00DB6E39"/>
    <w:rsid w:val="00DB7756"/>
    <w:rsid w:val="00DC0AB2"/>
    <w:rsid w:val="00DC14DA"/>
    <w:rsid w:val="00DC17CA"/>
    <w:rsid w:val="00DC2EA6"/>
    <w:rsid w:val="00DC3C2B"/>
    <w:rsid w:val="00DC5EDD"/>
    <w:rsid w:val="00DD4A88"/>
    <w:rsid w:val="00DD7552"/>
    <w:rsid w:val="00DE2AAE"/>
    <w:rsid w:val="00DE4B56"/>
    <w:rsid w:val="00DE6143"/>
    <w:rsid w:val="00DE62D1"/>
    <w:rsid w:val="00DF21EE"/>
    <w:rsid w:val="00DF333D"/>
    <w:rsid w:val="00E0301D"/>
    <w:rsid w:val="00E0334F"/>
    <w:rsid w:val="00E05C9C"/>
    <w:rsid w:val="00E0623D"/>
    <w:rsid w:val="00E07700"/>
    <w:rsid w:val="00E07A45"/>
    <w:rsid w:val="00E135E0"/>
    <w:rsid w:val="00E14F78"/>
    <w:rsid w:val="00E174D4"/>
    <w:rsid w:val="00E20293"/>
    <w:rsid w:val="00E20372"/>
    <w:rsid w:val="00E24354"/>
    <w:rsid w:val="00E2507F"/>
    <w:rsid w:val="00E2657F"/>
    <w:rsid w:val="00E27F77"/>
    <w:rsid w:val="00E4111D"/>
    <w:rsid w:val="00E429A1"/>
    <w:rsid w:val="00E43185"/>
    <w:rsid w:val="00E437D8"/>
    <w:rsid w:val="00E447DC"/>
    <w:rsid w:val="00E460C8"/>
    <w:rsid w:val="00E546F0"/>
    <w:rsid w:val="00E54B02"/>
    <w:rsid w:val="00E55404"/>
    <w:rsid w:val="00E57D88"/>
    <w:rsid w:val="00E60F2A"/>
    <w:rsid w:val="00E66127"/>
    <w:rsid w:val="00E74F52"/>
    <w:rsid w:val="00E77E72"/>
    <w:rsid w:val="00E8664B"/>
    <w:rsid w:val="00E87CBF"/>
    <w:rsid w:val="00E92961"/>
    <w:rsid w:val="00EA29D4"/>
    <w:rsid w:val="00EA2FBD"/>
    <w:rsid w:val="00EA3A77"/>
    <w:rsid w:val="00EB2EAD"/>
    <w:rsid w:val="00EB4AC7"/>
    <w:rsid w:val="00EB4B23"/>
    <w:rsid w:val="00EB776D"/>
    <w:rsid w:val="00EC12BF"/>
    <w:rsid w:val="00EC3938"/>
    <w:rsid w:val="00EC3A54"/>
    <w:rsid w:val="00EC6B3A"/>
    <w:rsid w:val="00ED2E03"/>
    <w:rsid w:val="00ED4EF1"/>
    <w:rsid w:val="00ED571E"/>
    <w:rsid w:val="00ED57EF"/>
    <w:rsid w:val="00ED6984"/>
    <w:rsid w:val="00EE292A"/>
    <w:rsid w:val="00EE2BC5"/>
    <w:rsid w:val="00EE52C8"/>
    <w:rsid w:val="00EF10EE"/>
    <w:rsid w:val="00EF609D"/>
    <w:rsid w:val="00EF61F0"/>
    <w:rsid w:val="00F01EC0"/>
    <w:rsid w:val="00F1032C"/>
    <w:rsid w:val="00F1106A"/>
    <w:rsid w:val="00F11D58"/>
    <w:rsid w:val="00F122BD"/>
    <w:rsid w:val="00F127DA"/>
    <w:rsid w:val="00F169AE"/>
    <w:rsid w:val="00F208CF"/>
    <w:rsid w:val="00F307CB"/>
    <w:rsid w:val="00F3212E"/>
    <w:rsid w:val="00F3307F"/>
    <w:rsid w:val="00F40CC0"/>
    <w:rsid w:val="00F43CCA"/>
    <w:rsid w:val="00F440A7"/>
    <w:rsid w:val="00F45B34"/>
    <w:rsid w:val="00F46EA2"/>
    <w:rsid w:val="00F509E0"/>
    <w:rsid w:val="00F6102F"/>
    <w:rsid w:val="00F6394C"/>
    <w:rsid w:val="00F63E50"/>
    <w:rsid w:val="00F659E9"/>
    <w:rsid w:val="00F70FEA"/>
    <w:rsid w:val="00F720A9"/>
    <w:rsid w:val="00F753E9"/>
    <w:rsid w:val="00F761F5"/>
    <w:rsid w:val="00F76D11"/>
    <w:rsid w:val="00F777B5"/>
    <w:rsid w:val="00F8701A"/>
    <w:rsid w:val="00F90537"/>
    <w:rsid w:val="00F93DA4"/>
    <w:rsid w:val="00F93FC6"/>
    <w:rsid w:val="00F94E42"/>
    <w:rsid w:val="00F972D1"/>
    <w:rsid w:val="00FA2B4E"/>
    <w:rsid w:val="00FA520E"/>
    <w:rsid w:val="00FA55BD"/>
    <w:rsid w:val="00FB0393"/>
    <w:rsid w:val="00FC42FA"/>
    <w:rsid w:val="00FC45D4"/>
    <w:rsid w:val="00FC4FD3"/>
    <w:rsid w:val="00FC7A7B"/>
    <w:rsid w:val="00FC7D9A"/>
    <w:rsid w:val="00FD0CB4"/>
    <w:rsid w:val="00FD0D4C"/>
    <w:rsid w:val="00FD275E"/>
    <w:rsid w:val="00FD49A5"/>
    <w:rsid w:val="00FD6744"/>
    <w:rsid w:val="00FD6745"/>
    <w:rsid w:val="00FE1123"/>
    <w:rsid w:val="00FE1278"/>
    <w:rsid w:val="00FE518D"/>
    <w:rsid w:val="00FE6662"/>
    <w:rsid w:val="00FE68C5"/>
    <w:rsid w:val="00FF17AD"/>
    <w:rsid w:val="00FF341B"/>
    <w:rsid w:val="00FF35B4"/>
    <w:rsid w:val="012D1C7B"/>
    <w:rsid w:val="018E4FEC"/>
    <w:rsid w:val="01B32262"/>
    <w:rsid w:val="01E60D21"/>
    <w:rsid w:val="02064434"/>
    <w:rsid w:val="022E0B39"/>
    <w:rsid w:val="02770DC5"/>
    <w:rsid w:val="027F0DBA"/>
    <w:rsid w:val="02C46BBB"/>
    <w:rsid w:val="034E561E"/>
    <w:rsid w:val="03697E78"/>
    <w:rsid w:val="037B3BE2"/>
    <w:rsid w:val="03875EC3"/>
    <w:rsid w:val="03CF0977"/>
    <w:rsid w:val="03EE0A6B"/>
    <w:rsid w:val="03FC4697"/>
    <w:rsid w:val="04192DED"/>
    <w:rsid w:val="043C03D6"/>
    <w:rsid w:val="048B7990"/>
    <w:rsid w:val="048C3FC4"/>
    <w:rsid w:val="048F48A3"/>
    <w:rsid w:val="04A36568"/>
    <w:rsid w:val="04D67F61"/>
    <w:rsid w:val="04F419D9"/>
    <w:rsid w:val="04F64013"/>
    <w:rsid w:val="05077808"/>
    <w:rsid w:val="0508700D"/>
    <w:rsid w:val="053C36A1"/>
    <w:rsid w:val="057520C2"/>
    <w:rsid w:val="0604268D"/>
    <w:rsid w:val="0649622C"/>
    <w:rsid w:val="07C81DD3"/>
    <w:rsid w:val="082E3E13"/>
    <w:rsid w:val="083A2F58"/>
    <w:rsid w:val="085E683A"/>
    <w:rsid w:val="08750165"/>
    <w:rsid w:val="08D73313"/>
    <w:rsid w:val="0A042C1F"/>
    <w:rsid w:val="0A1525B6"/>
    <w:rsid w:val="0ABC180B"/>
    <w:rsid w:val="0B0761FF"/>
    <w:rsid w:val="0BFF4020"/>
    <w:rsid w:val="0C135AEB"/>
    <w:rsid w:val="0CA219D4"/>
    <w:rsid w:val="0CF46DD9"/>
    <w:rsid w:val="0D464921"/>
    <w:rsid w:val="0DB803D3"/>
    <w:rsid w:val="0DE52235"/>
    <w:rsid w:val="0E7B79D9"/>
    <w:rsid w:val="0F0518CA"/>
    <w:rsid w:val="0F5F0397"/>
    <w:rsid w:val="0F5F5D23"/>
    <w:rsid w:val="0F7A48C9"/>
    <w:rsid w:val="10014AD3"/>
    <w:rsid w:val="10703EDE"/>
    <w:rsid w:val="11024D92"/>
    <w:rsid w:val="116C0D50"/>
    <w:rsid w:val="11915D93"/>
    <w:rsid w:val="12176D07"/>
    <w:rsid w:val="12F1219F"/>
    <w:rsid w:val="131D6A11"/>
    <w:rsid w:val="148733B9"/>
    <w:rsid w:val="14CF3B54"/>
    <w:rsid w:val="14F6001F"/>
    <w:rsid w:val="15096A57"/>
    <w:rsid w:val="15F650E9"/>
    <w:rsid w:val="162D0C0A"/>
    <w:rsid w:val="165602DA"/>
    <w:rsid w:val="1656196C"/>
    <w:rsid w:val="171F5838"/>
    <w:rsid w:val="17607737"/>
    <w:rsid w:val="176D652E"/>
    <w:rsid w:val="17790612"/>
    <w:rsid w:val="178816C8"/>
    <w:rsid w:val="17947E1B"/>
    <w:rsid w:val="17A530FA"/>
    <w:rsid w:val="188E608F"/>
    <w:rsid w:val="192A1101"/>
    <w:rsid w:val="19AE27C4"/>
    <w:rsid w:val="1A044015"/>
    <w:rsid w:val="1A480FF0"/>
    <w:rsid w:val="1A5652AF"/>
    <w:rsid w:val="1BC97D3B"/>
    <w:rsid w:val="1C4F48F9"/>
    <w:rsid w:val="1CA176F0"/>
    <w:rsid w:val="1CB707B8"/>
    <w:rsid w:val="1CBF7EE9"/>
    <w:rsid w:val="1D352451"/>
    <w:rsid w:val="1DC408DA"/>
    <w:rsid w:val="1EEA12FF"/>
    <w:rsid w:val="1F693A45"/>
    <w:rsid w:val="1F821850"/>
    <w:rsid w:val="1F910F40"/>
    <w:rsid w:val="206A0B4A"/>
    <w:rsid w:val="20FE1EB5"/>
    <w:rsid w:val="21486E03"/>
    <w:rsid w:val="215E6EF1"/>
    <w:rsid w:val="21834CCD"/>
    <w:rsid w:val="221B4C37"/>
    <w:rsid w:val="224406C2"/>
    <w:rsid w:val="22ED616F"/>
    <w:rsid w:val="233E03C2"/>
    <w:rsid w:val="23C00357"/>
    <w:rsid w:val="245A4DE4"/>
    <w:rsid w:val="24F133E8"/>
    <w:rsid w:val="253C0B8C"/>
    <w:rsid w:val="256365AB"/>
    <w:rsid w:val="26627D44"/>
    <w:rsid w:val="267F1B92"/>
    <w:rsid w:val="26A92584"/>
    <w:rsid w:val="27B96E2D"/>
    <w:rsid w:val="285408AF"/>
    <w:rsid w:val="285C7925"/>
    <w:rsid w:val="29106EBB"/>
    <w:rsid w:val="29480E7D"/>
    <w:rsid w:val="29B13BC0"/>
    <w:rsid w:val="29CA254F"/>
    <w:rsid w:val="29F63760"/>
    <w:rsid w:val="2AAE53C7"/>
    <w:rsid w:val="2ACF30B5"/>
    <w:rsid w:val="2AD1457D"/>
    <w:rsid w:val="2AD32D14"/>
    <w:rsid w:val="2AEB2C25"/>
    <w:rsid w:val="2B365FF8"/>
    <w:rsid w:val="2BE10C42"/>
    <w:rsid w:val="2C8D0B32"/>
    <w:rsid w:val="2CF34948"/>
    <w:rsid w:val="2D8901DD"/>
    <w:rsid w:val="2D9D28CC"/>
    <w:rsid w:val="2DCA67AC"/>
    <w:rsid w:val="2DF75D6B"/>
    <w:rsid w:val="2DF94E5E"/>
    <w:rsid w:val="2E325448"/>
    <w:rsid w:val="2E475C46"/>
    <w:rsid w:val="2E7D6D10"/>
    <w:rsid w:val="2ECB7F37"/>
    <w:rsid w:val="2FC33C3B"/>
    <w:rsid w:val="30FB1FEC"/>
    <w:rsid w:val="310B4EDF"/>
    <w:rsid w:val="32221084"/>
    <w:rsid w:val="322A317D"/>
    <w:rsid w:val="326B7CBC"/>
    <w:rsid w:val="328A4005"/>
    <w:rsid w:val="32D13F5E"/>
    <w:rsid w:val="32D974AC"/>
    <w:rsid w:val="33073CEF"/>
    <w:rsid w:val="33165182"/>
    <w:rsid w:val="331E51B1"/>
    <w:rsid w:val="33BC73C5"/>
    <w:rsid w:val="33CD2B3D"/>
    <w:rsid w:val="34BB2471"/>
    <w:rsid w:val="35A9589C"/>
    <w:rsid w:val="360C38FB"/>
    <w:rsid w:val="361207F8"/>
    <w:rsid w:val="362B3496"/>
    <w:rsid w:val="367C21ED"/>
    <w:rsid w:val="36BA7E6E"/>
    <w:rsid w:val="370004A0"/>
    <w:rsid w:val="37592D92"/>
    <w:rsid w:val="37DE2C3E"/>
    <w:rsid w:val="386A5CC2"/>
    <w:rsid w:val="387B458E"/>
    <w:rsid w:val="38C45BFC"/>
    <w:rsid w:val="38F11CD0"/>
    <w:rsid w:val="399D5E71"/>
    <w:rsid w:val="39E1195F"/>
    <w:rsid w:val="3AD66DD5"/>
    <w:rsid w:val="3B3079F6"/>
    <w:rsid w:val="3B9F0F81"/>
    <w:rsid w:val="3BA77254"/>
    <w:rsid w:val="3C7A0CAD"/>
    <w:rsid w:val="3CFA2DDE"/>
    <w:rsid w:val="3D1447F5"/>
    <w:rsid w:val="3D3C5C58"/>
    <w:rsid w:val="3E005B60"/>
    <w:rsid w:val="3E263CAA"/>
    <w:rsid w:val="3E341241"/>
    <w:rsid w:val="3E51788E"/>
    <w:rsid w:val="3E7027D9"/>
    <w:rsid w:val="3F612D93"/>
    <w:rsid w:val="3F9A52D5"/>
    <w:rsid w:val="3FCC262F"/>
    <w:rsid w:val="3FD073D2"/>
    <w:rsid w:val="406973C6"/>
    <w:rsid w:val="408C0A33"/>
    <w:rsid w:val="40D0614F"/>
    <w:rsid w:val="41076A98"/>
    <w:rsid w:val="41295EFF"/>
    <w:rsid w:val="412C536F"/>
    <w:rsid w:val="41471190"/>
    <w:rsid w:val="416F65FA"/>
    <w:rsid w:val="417862AD"/>
    <w:rsid w:val="41934DEF"/>
    <w:rsid w:val="427C2F0B"/>
    <w:rsid w:val="43141BB8"/>
    <w:rsid w:val="432C3FA6"/>
    <w:rsid w:val="44523FBF"/>
    <w:rsid w:val="44544176"/>
    <w:rsid w:val="44605C39"/>
    <w:rsid w:val="44714519"/>
    <w:rsid w:val="45E559C5"/>
    <w:rsid w:val="46F872A2"/>
    <w:rsid w:val="470B6C70"/>
    <w:rsid w:val="478677FC"/>
    <w:rsid w:val="47D53A9D"/>
    <w:rsid w:val="48A331D0"/>
    <w:rsid w:val="494B6CBB"/>
    <w:rsid w:val="49603331"/>
    <w:rsid w:val="496A026B"/>
    <w:rsid w:val="499D67AD"/>
    <w:rsid w:val="49C079A6"/>
    <w:rsid w:val="4A114AC8"/>
    <w:rsid w:val="4ADA4939"/>
    <w:rsid w:val="4B010E98"/>
    <w:rsid w:val="4B090E7C"/>
    <w:rsid w:val="4B0C0561"/>
    <w:rsid w:val="4B1E36AA"/>
    <w:rsid w:val="4B9540D2"/>
    <w:rsid w:val="4B9C12CD"/>
    <w:rsid w:val="4C993339"/>
    <w:rsid w:val="4D5325E2"/>
    <w:rsid w:val="4D5F78B7"/>
    <w:rsid w:val="4D8B3D99"/>
    <w:rsid w:val="4D9634FD"/>
    <w:rsid w:val="4E730DED"/>
    <w:rsid w:val="4F1D03C1"/>
    <w:rsid w:val="4F4A504A"/>
    <w:rsid w:val="4F4F6443"/>
    <w:rsid w:val="4F7D41E2"/>
    <w:rsid w:val="4FE81D73"/>
    <w:rsid w:val="503F320E"/>
    <w:rsid w:val="50E16065"/>
    <w:rsid w:val="52796FDA"/>
    <w:rsid w:val="527A72E5"/>
    <w:rsid w:val="52845B1F"/>
    <w:rsid w:val="539D3165"/>
    <w:rsid w:val="54160090"/>
    <w:rsid w:val="55541B21"/>
    <w:rsid w:val="55BC7616"/>
    <w:rsid w:val="5615211A"/>
    <w:rsid w:val="56381357"/>
    <w:rsid w:val="56433DC7"/>
    <w:rsid w:val="56FB2304"/>
    <w:rsid w:val="57BF1054"/>
    <w:rsid w:val="57C007E3"/>
    <w:rsid w:val="57D66CE8"/>
    <w:rsid w:val="58177A54"/>
    <w:rsid w:val="58E969CB"/>
    <w:rsid w:val="59792E9F"/>
    <w:rsid w:val="599319F6"/>
    <w:rsid w:val="59A11510"/>
    <w:rsid w:val="59A8767F"/>
    <w:rsid w:val="5A8C24FD"/>
    <w:rsid w:val="5B051309"/>
    <w:rsid w:val="5B0B06A3"/>
    <w:rsid w:val="5B7467A1"/>
    <w:rsid w:val="5B870A9D"/>
    <w:rsid w:val="5C0E7EBA"/>
    <w:rsid w:val="5C2C7F9F"/>
    <w:rsid w:val="5C9B540C"/>
    <w:rsid w:val="5CCB4B82"/>
    <w:rsid w:val="5DAB1C96"/>
    <w:rsid w:val="5E693BEC"/>
    <w:rsid w:val="5E906F52"/>
    <w:rsid w:val="5F0A52E9"/>
    <w:rsid w:val="5F2C1A66"/>
    <w:rsid w:val="5F841FEB"/>
    <w:rsid w:val="5FF6281E"/>
    <w:rsid w:val="5FFF6AED"/>
    <w:rsid w:val="60155459"/>
    <w:rsid w:val="610E2650"/>
    <w:rsid w:val="615C22FB"/>
    <w:rsid w:val="619A1FB1"/>
    <w:rsid w:val="62220E7B"/>
    <w:rsid w:val="62790919"/>
    <w:rsid w:val="627E5AE9"/>
    <w:rsid w:val="633C1269"/>
    <w:rsid w:val="63685CAA"/>
    <w:rsid w:val="637C5F97"/>
    <w:rsid w:val="63C73D37"/>
    <w:rsid w:val="64181537"/>
    <w:rsid w:val="641D7175"/>
    <w:rsid w:val="641F1D6D"/>
    <w:rsid w:val="642C4999"/>
    <w:rsid w:val="643F581D"/>
    <w:rsid w:val="64DF545C"/>
    <w:rsid w:val="652D005F"/>
    <w:rsid w:val="66393C4E"/>
    <w:rsid w:val="66D7138E"/>
    <w:rsid w:val="67601222"/>
    <w:rsid w:val="677F2FDF"/>
    <w:rsid w:val="67927DF4"/>
    <w:rsid w:val="67D423F2"/>
    <w:rsid w:val="682C0634"/>
    <w:rsid w:val="68576416"/>
    <w:rsid w:val="688A738C"/>
    <w:rsid w:val="6947021F"/>
    <w:rsid w:val="69667DB6"/>
    <w:rsid w:val="699D01D2"/>
    <w:rsid w:val="69EA2347"/>
    <w:rsid w:val="6A0152BD"/>
    <w:rsid w:val="6AD17127"/>
    <w:rsid w:val="6AF57328"/>
    <w:rsid w:val="6B0A06F5"/>
    <w:rsid w:val="6BAE6F69"/>
    <w:rsid w:val="6BC40363"/>
    <w:rsid w:val="6BDC2883"/>
    <w:rsid w:val="6C4D755A"/>
    <w:rsid w:val="6C6B2A0F"/>
    <w:rsid w:val="6C994567"/>
    <w:rsid w:val="6CC41ADE"/>
    <w:rsid w:val="6D06023A"/>
    <w:rsid w:val="6D4366AD"/>
    <w:rsid w:val="6DA37D9F"/>
    <w:rsid w:val="6E375527"/>
    <w:rsid w:val="6EA34504"/>
    <w:rsid w:val="6F016FDC"/>
    <w:rsid w:val="6F267730"/>
    <w:rsid w:val="6FAA79E8"/>
    <w:rsid w:val="6FDA21FC"/>
    <w:rsid w:val="6FE51982"/>
    <w:rsid w:val="704E1E0E"/>
    <w:rsid w:val="709D30CD"/>
    <w:rsid w:val="70CB25DC"/>
    <w:rsid w:val="70D761E2"/>
    <w:rsid w:val="70FA3AC5"/>
    <w:rsid w:val="71221ABC"/>
    <w:rsid w:val="71840CD3"/>
    <w:rsid w:val="71DA4377"/>
    <w:rsid w:val="721B0D0C"/>
    <w:rsid w:val="725E2291"/>
    <w:rsid w:val="72605C19"/>
    <w:rsid w:val="73117D7E"/>
    <w:rsid w:val="736C5BE5"/>
    <w:rsid w:val="73A11EBD"/>
    <w:rsid w:val="741C1FDE"/>
    <w:rsid w:val="741E6BF6"/>
    <w:rsid w:val="7501454E"/>
    <w:rsid w:val="756643B1"/>
    <w:rsid w:val="75772203"/>
    <w:rsid w:val="75A17087"/>
    <w:rsid w:val="75CA41DE"/>
    <w:rsid w:val="76D3255A"/>
    <w:rsid w:val="76DE138C"/>
    <w:rsid w:val="7731666A"/>
    <w:rsid w:val="77523EB0"/>
    <w:rsid w:val="775B51F9"/>
    <w:rsid w:val="7794526C"/>
    <w:rsid w:val="78DE2E63"/>
    <w:rsid w:val="79572DB7"/>
    <w:rsid w:val="796F5CD8"/>
    <w:rsid w:val="7A7D21DC"/>
    <w:rsid w:val="7AC872EB"/>
    <w:rsid w:val="7AE30252"/>
    <w:rsid w:val="7AFA397C"/>
    <w:rsid w:val="7B24209E"/>
    <w:rsid w:val="7BC14088"/>
    <w:rsid w:val="7BC47B8F"/>
    <w:rsid w:val="7BDE7397"/>
    <w:rsid w:val="7BE037AF"/>
    <w:rsid w:val="7BF64EC6"/>
    <w:rsid w:val="7C7623EB"/>
    <w:rsid w:val="7C861ACB"/>
    <w:rsid w:val="7CB8144D"/>
    <w:rsid w:val="7CEB707B"/>
    <w:rsid w:val="7D6F1724"/>
    <w:rsid w:val="7DCC2E55"/>
    <w:rsid w:val="7DEF163D"/>
    <w:rsid w:val="7F5B2AA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70"/>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71"/>
    <w:qFormat/>
    <w:uiPriority w:val="9"/>
    <w:pPr>
      <w:keepNext/>
      <w:keepLines/>
      <w:spacing w:before="260" w:after="260" w:line="416" w:lineRule="auto"/>
      <w:outlineLvl w:val="2"/>
    </w:pPr>
    <w:rPr>
      <w:b/>
      <w:bCs/>
      <w:sz w:val="32"/>
      <w:szCs w:val="32"/>
    </w:rPr>
  </w:style>
  <w:style w:type="paragraph" w:styleId="5">
    <w:name w:val="heading 4"/>
    <w:basedOn w:val="1"/>
    <w:next w:val="1"/>
    <w:link w:val="72"/>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3"/>
    <w:qFormat/>
    <w:uiPriority w:val="9"/>
    <w:pPr>
      <w:keepNext/>
      <w:keepLines/>
      <w:spacing w:before="280" w:after="290" w:line="376" w:lineRule="auto"/>
      <w:outlineLvl w:val="4"/>
    </w:pPr>
    <w:rPr>
      <w:b/>
      <w:bCs/>
      <w:sz w:val="28"/>
      <w:szCs w:val="28"/>
    </w:rPr>
  </w:style>
  <w:style w:type="paragraph" w:styleId="7">
    <w:name w:val="heading 6"/>
    <w:basedOn w:val="1"/>
    <w:next w:val="1"/>
    <w:link w:val="74"/>
    <w:qFormat/>
    <w:uiPriority w:val="9"/>
    <w:pPr>
      <w:keepNext/>
      <w:keepLines/>
      <w:spacing w:before="240" w:after="64" w:line="320" w:lineRule="auto"/>
      <w:outlineLvl w:val="5"/>
    </w:pPr>
    <w:rPr>
      <w:rFonts w:ascii="Arial" w:hAnsi="Arial" w:eastAsia="黑体"/>
      <w:b/>
      <w:bCs/>
      <w:sz w:val="24"/>
    </w:rPr>
  </w:style>
  <w:style w:type="paragraph" w:styleId="8">
    <w:name w:val="heading 7"/>
    <w:basedOn w:val="1"/>
    <w:next w:val="1"/>
    <w:link w:val="75"/>
    <w:qFormat/>
    <w:uiPriority w:val="9"/>
    <w:pPr>
      <w:keepNext/>
      <w:keepLines/>
      <w:spacing w:before="240" w:after="64" w:line="320" w:lineRule="auto"/>
      <w:outlineLvl w:val="6"/>
    </w:pPr>
    <w:rPr>
      <w:b/>
      <w:bCs/>
      <w:sz w:val="24"/>
    </w:rPr>
  </w:style>
  <w:style w:type="paragraph" w:styleId="9">
    <w:name w:val="heading 8"/>
    <w:basedOn w:val="1"/>
    <w:next w:val="1"/>
    <w:link w:val="76"/>
    <w:qFormat/>
    <w:uiPriority w:val="9"/>
    <w:pPr>
      <w:keepNext/>
      <w:keepLines/>
      <w:spacing w:before="240" w:after="64" w:line="320" w:lineRule="auto"/>
      <w:outlineLvl w:val="7"/>
    </w:pPr>
    <w:rPr>
      <w:rFonts w:ascii="Arial" w:hAnsi="Arial" w:eastAsia="黑体"/>
      <w:sz w:val="24"/>
    </w:rPr>
  </w:style>
  <w:style w:type="paragraph" w:styleId="10">
    <w:name w:val="heading 9"/>
    <w:basedOn w:val="1"/>
    <w:next w:val="1"/>
    <w:link w:val="77"/>
    <w:qFormat/>
    <w:uiPriority w:val="9"/>
    <w:pPr>
      <w:keepNext/>
      <w:keepLines/>
      <w:spacing w:before="240" w:after="64" w:line="320" w:lineRule="auto"/>
      <w:outlineLvl w:val="8"/>
    </w:pPr>
    <w:rPr>
      <w:rFonts w:ascii="Arial" w:hAnsi="Arial" w:eastAsia="黑体"/>
      <w:szCs w:val="21"/>
    </w:rPr>
  </w:style>
  <w:style w:type="character" w:default="1" w:styleId="53">
    <w:name w:val="Default Paragraph Font"/>
    <w:unhideWhenUsed/>
    <w:qFormat/>
    <w:uiPriority w:val="1"/>
  </w:style>
  <w:style w:type="table" w:default="1" w:styleId="51">
    <w:name w:val="Normal Table"/>
    <w:unhideWhenUsed/>
    <w:qFormat/>
    <w:uiPriority w:val="99"/>
    <w:tblPr>
      <w:tblCellMar>
        <w:top w:w="0" w:type="dxa"/>
        <w:left w:w="108" w:type="dxa"/>
        <w:bottom w:w="0" w:type="dxa"/>
        <w:right w:w="108" w:type="dxa"/>
      </w:tblCellMar>
    </w:tblPr>
  </w:style>
  <w:style w:type="paragraph" w:styleId="11">
    <w:name w:val="toc 7"/>
    <w:basedOn w:val="12"/>
    <w:next w:val="1"/>
    <w:qFormat/>
    <w:uiPriority w:val="0"/>
  </w:style>
  <w:style w:type="paragraph" w:styleId="12">
    <w:name w:val="toc 6"/>
    <w:basedOn w:val="13"/>
    <w:next w:val="1"/>
    <w:qFormat/>
    <w:uiPriority w:val="0"/>
  </w:style>
  <w:style w:type="paragraph" w:styleId="13">
    <w:name w:val="toc 5"/>
    <w:basedOn w:val="14"/>
    <w:next w:val="1"/>
    <w:qFormat/>
    <w:uiPriority w:val="0"/>
  </w:style>
  <w:style w:type="paragraph" w:styleId="14">
    <w:name w:val="toc 4"/>
    <w:basedOn w:val="15"/>
    <w:next w:val="1"/>
    <w:qFormat/>
    <w:uiPriority w:val="0"/>
  </w:style>
  <w:style w:type="paragraph" w:styleId="15">
    <w:name w:val="toc 3"/>
    <w:basedOn w:val="16"/>
    <w:next w:val="1"/>
    <w:qFormat/>
    <w:uiPriority w:val="0"/>
  </w:style>
  <w:style w:type="paragraph" w:styleId="16">
    <w:name w:val="toc 2"/>
    <w:basedOn w:val="17"/>
    <w:next w:val="1"/>
    <w:qFormat/>
    <w:uiPriority w:val="0"/>
    <w:rPr>
      <w:rFonts w:ascii="Times New Roman"/>
    </w:rPr>
  </w:style>
  <w:style w:type="paragraph" w:styleId="17">
    <w:name w:val="toc 1"/>
    <w:next w:val="1"/>
    <w:qFormat/>
    <w:uiPriority w:val="0"/>
    <w:pPr>
      <w:jc w:val="both"/>
    </w:pPr>
    <w:rPr>
      <w:rFonts w:ascii="宋体" w:hAnsi="Times New Roman" w:eastAsia="宋体" w:cs="Times New Roman"/>
      <w:sz w:val="21"/>
      <w:lang w:val="en-US" w:eastAsia="zh-CN" w:bidi="ar-SA"/>
    </w:rPr>
  </w:style>
  <w:style w:type="paragraph" w:styleId="18">
    <w:name w:val="index 8"/>
    <w:basedOn w:val="1"/>
    <w:next w:val="1"/>
    <w:qFormat/>
    <w:uiPriority w:val="0"/>
    <w:pPr>
      <w:widowControl/>
      <w:ind w:left="1680" w:leftChars="200" w:right="210" w:hanging="210" w:hangingChars="200"/>
      <w:jc w:val="left"/>
    </w:pPr>
    <w:rPr>
      <w:rFonts w:ascii="Calibri" w:hAnsi="Calibri"/>
      <w:sz w:val="20"/>
      <w:szCs w:val="20"/>
    </w:rPr>
  </w:style>
  <w:style w:type="paragraph" w:styleId="19">
    <w:name w:val="Normal Indent"/>
    <w:basedOn w:val="1"/>
    <w:qFormat/>
    <w:uiPriority w:val="99"/>
    <w:pPr>
      <w:adjustRightInd w:val="0"/>
      <w:spacing w:line="360" w:lineRule="atLeast"/>
      <w:ind w:firstLine="420"/>
      <w:jc w:val="left"/>
      <w:textAlignment w:val="baseline"/>
    </w:pPr>
    <w:rPr>
      <w:kern w:val="0"/>
      <w:sz w:val="24"/>
      <w:szCs w:val="20"/>
    </w:rPr>
  </w:style>
  <w:style w:type="paragraph" w:styleId="20">
    <w:name w:val="caption"/>
    <w:basedOn w:val="1"/>
    <w:next w:val="1"/>
    <w:qFormat/>
    <w:uiPriority w:val="0"/>
    <w:pPr>
      <w:widowControl/>
      <w:spacing w:before="152" w:after="160"/>
      <w:ind w:left="400" w:leftChars="200" w:right="210" w:hanging="200" w:hangingChars="200"/>
      <w:jc w:val="left"/>
    </w:pPr>
    <w:rPr>
      <w:rFonts w:ascii="Arial" w:hAnsi="Arial" w:eastAsia="黑体" w:cs="Arial"/>
      <w:sz w:val="20"/>
      <w:szCs w:val="20"/>
    </w:rPr>
  </w:style>
  <w:style w:type="paragraph" w:styleId="21">
    <w:name w:val="index 5"/>
    <w:basedOn w:val="1"/>
    <w:next w:val="1"/>
    <w:qFormat/>
    <w:uiPriority w:val="0"/>
    <w:pPr>
      <w:widowControl/>
      <w:ind w:left="1050" w:leftChars="200" w:right="210" w:hanging="210" w:hangingChars="200"/>
      <w:jc w:val="left"/>
    </w:pPr>
    <w:rPr>
      <w:rFonts w:ascii="Calibri" w:hAnsi="Calibri"/>
      <w:sz w:val="20"/>
      <w:szCs w:val="20"/>
    </w:rPr>
  </w:style>
  <w:style w:type="paragraph" w:styleId="22">
    <w:name w:val="Document Map"/>
    <w:basedOn w:val="1"/>
    <w:link w:val="78"/>
    <w:qFormat/>
    <w:uiPriority w:val="0"/>
    <w:pPr>
      <w:widowControl/>
      <w:shd w:val="clear" w:color="auto" w:fill="000080"/>
      <w:ind w:left="400" w:leftChars="200" w:right="210" w:hanging="200" w:hangingChars="200"/>
      <w:jc w:val="left"/>
    </w:pPr>
    <w:rPr>
      <w:kern w:val="0"/>
      <w:sz w:val="20"/>
    </w:rPr>
  </w:style>
  <w:style w:type="paragraph" w:styleId="23">
    <w:name w:val="annotation text"/>
    <w:basedOn w:val="1"/>
    <w:link w:val="79"/>
    <w:qFormat/>
    <w:uiPriority w:val="0"/>
    <w:pPr>
      <w:jc w:val="left"/>
    </w:pPr>
  </w:style>
  <w:style w:type="paragraph" w:styleId="24">
    <w:name w:val="index 6"/>
    <w:basedOn w:val="1"/>
    <w:next w:val="1"/>
    <w:qFormat/>
    <w:uiPriority w:val="0"/>
    <w:pPr>
      <w:widowControl/>
      <w:ind w:left="1260" w:leftChars="200" w:right="210" w:hanging="210" w:hangingChars="200"/>
      <w:jc w:val="left"/>
    </w:pPr>
    <w:rPr>
      <w:rFonts w:ascii="Calibri" w:hAnsi="Calibri"/>
      <w:sz w:val="20"/>
      <w:szCs w:val="20"/>
    </w:rPr>
  </w:style>
  <w:style w:type="paragraph" w:styleId="25">
    <w:name w:val="Body Text"/>
    <w:basedOn w:val="1"/>
    <w:link w:val="80"/>
    <w:qFormat/>
    <w:uiPriority w:val="0"/>
    <w:pPr>
      <w:spacing w:after="120"/>
    </w:pPr>
  </w:style>
  <w:style w:type="paragraph" w:styleId="26">
    <w:name w:val="Body Text Indent"/>
    <w:basedOn w:val="1"/>
    <w:link w:val="81"/>
    <w:qFormat/>
    <w:uiPriority w:val="99"/>
    <w:pPr>
      <w:adjustRightInd w:val="0"/>
      <w:spacing w:line="300" w:lineRule="exact"/>
      <w:ind w:firstLine="420" w:firstLineChars="200"/>
      <w:textAlignment w:val="baseline"/>
    </w:pPr>
    <w:rPr>
      <w:kern w:val="0"/>
      <w:szCs w:val="20"/>
    </w:rPr>
  </w:style>
  <w:style w:type="paragraph" w:styleId="27">
    <w:name w:val="HTML Address"/>
    <w:basedOn w:val="1"/>
    <w:link w:val="82"/>
    <w:qFormat/>
    <w:uiPriority w:val="0"/>
    <w:rPr>
      <w:i/>
      <w:iCs/>
    </w:rPr>
  </w:style>
  <w:style w:type="paragraph" w:styleId="28">
    <w:name w:val="index 4"/>
    <w:basedOn w:val="1"/>
    <w:next w:val="1"/>
    <w:qFormat/>
    <w:uiPriority w:val="0"/>
    <w:pPr>
      <w:widowControl/>
      <w:ind w:left="840" w:leftChars="200" w:right="210" w:hanging="210" w:hangingChars="200"/>
      <w:jc w:val="left"/>
    </w:pPr>
    <w:rPr>
      <w:rFonts w:ascii="Calibri" w:hAnsi="Calibri"/>
      <w:sz w:val="20"/>
      <w:szCs w:val="20"/>
    </w:rPr>
  </w:style>
  <w:style w:type="paragraph" w:styleId="29">
    <w:name w:val="Plain Text"/>
    <w:basedOn w:val="1"/>
    <w:link w:val="83"/>
    <w:qFormat/>
    <w:uiPriority w:val="0"/>
    <w:rPr>
      <w:rFonts w:ascii="宋体" w:hAnsi="Courier New"/>
      <w:szCs w:val="20"/>
    </w:rPr>
  </w:style>
  <w:style w:type="paragraph" w:styleId="30">
    <w:name w:val="toc 8"/>
    <w:basedOn w:val="11"/>
    <w:next w:val="1"/>
    <w:qFormat/>
    <w:uiPriority w:val="0"/>
  </w:style>
  <w:style w:type="paragraph" w:styleId="31">
    <w:name w:val="index 3"/>
    <w:basedOn w:val="1"/>
    <w:next w:val="1"/>
    <w:qFormat/>
    <w:uiPriority w:val="0"/>
    <w:pPr>
      <w:widowControl/>
      <w:ind w:left="630" w:leftChars="200" w:right="210" w:hanging="210" w:hangingChars="200"/>
      <w:jc w:val="left"/>
    </w:pPr>
    <w:rPr>
      <w:rFonts w:ascii="Calibri" w:hAnsi="Calibri"/>
      <w:sz w:val="20"/>
      <w:szCs w:val="20"/>
    </w:rPr>
  </w:style>
  <w:style w:type="paragraph" w:styleId="32">
    <w:name w:val="Date"/>
    <w:basedOn w:val="1"/>
    <w:next w:val="1"/>
    <w:qFormat/>
    <w:uiPriority w:val="0"/>
    <w:pPr>
      <w:ind w:left="100" w:leftChars="2500"/>
    </w:pPr>
  </w:style>
  <w:style w:type="paragraph" w:styleId="33">
    <w:name w:val="Body Text Indent 2"/>
    <w:basedOn w:val="1"/>
    <w:link w:val="84"/>
    <w:qFormat/>
    <w:uiPriority w:val="0"/>
    <w:pPr>
      <w:adjustRightInd w:val="0"/>
      <w:spacing w:line="312" w:lineRule="atLeast"/>
      <w:ind w:firstLine="315" w:firstLineChars="150"/>
      <w:textAlignment w:val="baseline"/>
    </w:pPr>
    <w:rPr>
      <w:kern w:val="0"/>
      <w:szCs w:val="20"/>
    </w:rPr>
  </w:style>
  <w:style w:type="paragraph" w:styleId="34">
    <w:name w:val="endnote text"/>
    <w:basedOn w:val="1"/>
    <w:link w:val="85"/>
    <w:qFormat/>
    <w:uiPriority w:val="0"/>
    <w:pPr>
      <w:widowControl/>
      <w:snapToGrid w:val="0"/>
      <w:ind w:left="400" w:leftChars="200" w:right="210" w:hanging="200" w:hangingChars="200"/>
      <w:jc w:val="left"/>
    </w:pPr>
    <w:rPr>
      <w:kern w:val="0"/>
      <w:sz w:val="20"/>
    </w:rPr>
  </w:style>
  <w:style w:type="paragraph" w:styleId="35">
    <w:name w:val="Balloon Text"/>
    <w:basedOn w:val="1"/>
    <w:link w:val="86"/>
    <w:qFormat/>
    <w:uiPriority w:val="0"/>
    <w:rPr>
      <w:sz w:val="18"/>
      <w:szCs w:val="18"/>
    </w:rPr>
  </w:style>
  <w:style w:type="paragraph" w:styleId="36">
    <w:name w:val="footer"/>
    <w:basedOn w:val="1"/>
    <w:link w:val="87"/>
    <w:qFormat/>
    <w:uiPriority w:val="99"/>
    <w:pPr>
      <w:tabs>
        <w:tab w:val="center" w:pos="4153"/>
        <w:tab w:val="right" w:pos="8306"/>
      </w:tabs>
      <w:snapToGrid w:val="0"/>
      <w:ind w:right="210" w:rightChars="100"/>
      <w:jc w:val="right"/>
    </w:pPr>
    <w:rPr>
      <w:sz w:val="18"/>
      <w:szCs w:val="18"/>
    </w:rPr>
  </w:style>
  <w:style w:type="paragraph" w:styleId="37">
    <w:name w:val="header"/>
    <w:basedOn w:val="1"/>
    <w:link w:val="88"/>
    <w:qFormat/>
    <w:uiPriority w:val="0"/>
    <w:pPr>
      <w:pBdr>
        <w:bottom w:val="single" w:color="auto" w:sz="6" w:space="1"/>
      </w:pBdr>
      <w:tabs>
        <w:tab w:val="center" w:pos="4153"/>
        <w:tab w:val="right" w:pos="8306"/>
      </w:tabs>
      <w:snapToGrid w:val="0"/>
      <w:jc w:val="center"/>
    </w:pPr>
    <w:rPr>
      <w:sz w:val="18"/>
      <w:szCs w:val="18"/>
    </w:rPr>
  </w:style>
  <w:style w:type="paragraph" w:styleId="38">
    <w:name w:val="index heading"/>
    <w:basedOn w:val="1"/>
    <w:next w:val="39"/>
    <w:qFormat/>
    <w:uiPriority w:val="0"/>
    <w:pPr>
      <w:widowControl/>
      <w:spacing w:before="120" w:after="120"/>
      <w:ind w:left="400" w:leftChars="200" w:right="210" w:hanging="200" w:hangingChars="200"/>
      <w:jc w:val="center"/>
    </w:pPr>
    <w:rPr>
      <w:rFonts w:ascii="Calibri" w:hAnsi="Calibri"/>
      <w:b/>
      <w:bCs/>
      <w:iCs/>
      <w:szCs w:val="20"/>
    </w:rPr>
  </w:style>
  <w:style w:type="paragraph" w:styleId="39">
    <w:name w:val="index 1"/>
    <w:basedOn w:val="1"/>
    <w:next w:val="1"/>
    <w:unhideWhenUsed/>
    <w:qFormat/>
    <w:uiPriority w:val="0"/>
  </w:style>
  <w:style w:type="paragraph" w:styleId="40">
    <w:name w:val="Subtitle"/>
    <w:basedOn w:val="1"/>
    <w:next w:val="1"/>
    <w:link w:val="89"/>
    <w:qFormat/>
    <w:uiPriority w:val="11"/>
    <w:pPr>
      <w:widowControl/>
      <w:spacing w:before="240" w:after="60" w:line="312" w:lineRule="auto"/>
      <w:ind w:left="400" w:leftChars="200" w:right="210" w:hanging="200" w:hangingChars="200"/>
      <w:jc w:val="center"/>
      <w:outlineLvl w:val="1"/>
    </w:pPr>
    <w:rPr>
      <w:rFonts w:ascii="Cambria" w:hAnsi="Cambria"/>
      <w:b/>
      <w:bCs/>
      <w:kern w:val="28"/>
      <w:sz w:val="32"/>
      <w:szCs w:val="32"/>
    </w:rPr>
  </w:style>
  <w:style w:type="paragraph" w:styleId="41">
    <w:name w:val="footnote text"/>
    <w:basedOn w:val="1"/>
    <w:link w:val="90"/>
    <w:qFormat/>
    <w:uiPriority w:val="0"/>
    <w:pPr>
      <w:snapToGrid w:val="0"/>
      <w:jc w:val="left"/>
    </w:pPr>
    <w:rPr>
      <w:sz w:val="18"/>
      <w:szCs w:val="18"/>
    </w:rPr>
  </w:style>
  <w:style w:type="paragraph" w:styleId="42">
    <w:name w:val="Body Text Indent 3"/>
    <w:basedOn w:val="1"/>
    <w:link w:val="91"/>
    <w:qFormat/>
    <w:uiPriority w:val="0"/>
    <w:pPr>
      <w:ind w:firstLine="420" w:firstLineChars="200"/>
    </w:pPr>
    <w:rPr>
      <w:color w:val="0000FF"/>
    </w:rPr>
  </w:style>
  <w:style w:type="paragraph" w:styleId="43">
    <w:name w:val="index 7"/>
    <w:basedOn w:val="1"/>
    <w:next w:val="1"/>
    <w:qFormat/>
    <w:uiPriority w:val="0"/>
    <w:pPr>
      <w:widowControl/>
      <w:ind w:left="1470" w:leftChars="200" w:right="210" w:hanging="210" w:hangingChars="200"/>
      <w:jc w:val="left"/>
    </w:pPr>
    <w:rPr>
      <w:rFonts w:ascii="Calibri" w:hAnsi="Calibri"/>
      <w:sz w:val="20"/>
      <w:szCs w:val="20"/>
    </w:rPr>
  </w:style>
  <w:style w:type="paragraph" w:styleId="44">
    <w:name w:val="index 9"/>
    <w:basedOn w:val="1"/>
    <w:next w:val="1"/>
    <w:qFormat/>
    <w:uiPriority w:val="0"/>
    <w:pPr>
      <w:widowControl/>
      <w:ind w:left="1890" w:leftChars="200" w:right="210" w:hanging="210" w:hangingChars="200"/>
      <w:jc w:val="left"/>
    </w:pPr>
    <w:rPr>
      <w:rFonts w:ascii="Calibri" w:hAnsi="Calibri"/>
      <w:sz w:val="20"/>
      <w:szCs w:val="20"/>
    </w:rPr>
  </w:style>
  <w:style w:type="paragraph" w:styleId="45">
    <w:name w:val="toc 9"/>
    <w:basedOn w:val="30"/>
    <w:next w:val="1"/>
    <w:qFormat/>
    <w:uiPriority w:val="0"/>
  </w:style>
  <w:style w:type="paragraph" w:styleId="46">
    <w:name w:val="HTML Preformatted"/>
    <w:basedOn w:val="1"/>
    <w:link w:val="92"/>
    <w:qFormat/>
    <w:uiPriority w:val="0"/>
    <w:rPr>
      <w:rFonts w:ascii="Courier New" w:hAnsi="Courier New"/>
      <w:sz w:val="20"/>
      <w:szCs w:val="20"/>
    </w:rPr>
  </w:style>
  <w:style w:type="paragraph" w:styleId="47">
    <w:name w:val="Normal (Web)"/>
    <w:basedOn w:val="1"/>
    <w:unhideWhenUsed/>
    <w:qFormat/>
    <w:uiPriority w:val="99"/>
    <w:pPr>
      <w:widowControl/>
      <w:ind w:left="400" w:leftChars="200" w:right="210" w:hanging="200" w:hangingChars="200"/>
      <w:jc w:val="left"/>
    </w:pPr>
    <w:rPr>
      <w:sz w:val="24"/>
    </w:rPr>
  </w:style>
  <w:style w:type="paragraph" w:styleId="48">
    <w:name w:val="index 2"/>
    <w:basedOn w:val="1"/>
    <w:next w:val="1"/>
    <w:qFormat/>
    <w:uiPriority w:val="0"/>
    <w:pPr>
      <w:widowControl/>
      <w:ind w:left="420" w:leftChars="200" w:right="210" w:hanging="210" w:hangingChars="200"/>
      <w:jc w:val="left"/>
    </w:pPr>
    <w:rPr>
      <w:rFonts w:ascii="Calibri" w:hAnsi="Calibri"/>
      <w:sz w:val="20"/>
      <w:szCs w:val="20"/>
    </w:rPr>
  </w:style>
  <w:style w:type="paragraph" w:styleId="49">
    <w:name w:val="Title"/>
    <w:basedOn w:val="1"/>
    <w:link w:val="93"/>
    <w:qFormat/>
    <w:uiPriority w:val="0"/>
    <w:pPr>
      <w:spacing w:before="240" w:after="60"/>
      <w:jc w:val="center"/>
      <w:outlineLvl w:val="0"/>
    </w:pPr>
    <w:rPr>
      <w:rFonts w:ascii="Arial" w:hAnsi="Arial"/>
      <w:b/>
      <w:bCs/>
      <w:sz w:val="32"/>
      <w:szCs w:val="32"/>
    </w:rPr>
  </w:style>
  <w:style w:type="paragraph" w:styleId="50">
    <w:name w:val="annotation subject"/>
    <w:basedOn w:val="23"/>
    <w:next w:val="23"/>
    <w:link w:val="94"/>
    <w:qFormat/>
    <w:uiPriority w:val="0"/>
    <w:rPr>
      <w:b/>
      <w:bCs/>
    </w:rPr>
  </w:style>
  <w:style w:type="table" w:styleId="52">
    <w:name w:val="Table Grid"/>
    <w:basedOn w:val="51"/>
    <w:qFormat/>
    <w:uiPriority w:val="59"/>
    <w:rPr>
      <w:rFonts w:ascii="宋体" w:hAnsi="Calibri"/>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4">
    <w:name w:val="endnote reference"/>
    <w:qFormat/>
    <w:uiPriority w:val="0"/>
    <w:rPr>
      <w:vertAlign w:val="superscript"/>
    </w:rPr>
  </w:style>
  <w:style w:type="character" w:styleId="55">
    <w:name w:val="page number"/>
    <w:qFormat/>
    <w:uiPriority w:val="0"/>
    <w:rPr>
      <w:rFonts w:ascii="Times New Roman" w:hAnsi="Times New Roman" w:eastAsia="宋体" w:cs="Times New Roman"/>
      <w:sz w:val="18"/>
    </w:rPr>
  </w:style>
  <w:style w:type="character" w:styleId="56">
    <w:name w:val="FollowedHyperlink"/>
    <w:qFormat/>
    <w:uiPriority w:val="0"/>
    <w:rPr>
      <w:rFonts w:ascii="Times New Roman" w:hAnsi="Times New Roman" w:eastAsia="宋体" w:cs="Times New Roman"/>
      <w:color w:val="800080"/>
      <w:u w:val="single"/>
    </w:rPr>
  </w:style>
  <w:style w:type="character" w:styleId="57">
    <w:name w:val="Emphasis"/>
    <w:qFormat/>
    <w:uiPriority w:val="20"/>
    <w:rPr>
      <w:color w:val="CC0000"/>
    </w:rPr>
  </w:style>
  <w:style w:type="character" w:styleId="58">
    <w:name w:val="HTML Definition"/>
    <w:qFormat/>
    <w:uiPriority w:val="0"/>
    <w:rPr>
      <w:rFonts w:ascii="Times New Roman" w:hAnsi="Times New Roman" w:eastAsia="宋体" w:cs="Times New Roman"/>
      <w:i/>
      <w:iCs/>
    </w:rPr>
  </w:style>
  <w:style w:type="character" w:styleId="59">
    <w:name w:val="HTML Typewriter"/>
    <w:qFormat/>
    <w:uiPriority w:val="0"/>
    <w:rPr>
      <w:rFonts w:ascii="Courier New" w:hAnsi="Courier New" w:eastAsia="宋体" w:cs="Times New Roman"/>
      <w:sz w:val="20"/>
      <w:szCs w:val="20"/>
    </w:rPr>
  </w:style>
  <w:style w:type="character" w:styleId="60">
    <w:name w:val="HTML Acronym"/>
    <w:qFormat/>
    <w:uiPriority w:val="0"/>
    <w:rPr>
      <w:rFonts w:ascii="Times New Roman" w:hAnsi="Times New Roman" w:eastAsia="宋体" w:cs="Times New Roman"/>
    </w:rPr>
  </w:style>
  <w:style w:type="character" w:styleId="61">
    <w:name w:val="HTML Variable"/>
    <w:qFormat/>
    <w:uiPriority w:val="0"/>
    <w:rPr>
      <w:rFonts w:ascii="Times New Roman" w:hAnsi="Times New Roman" w:eastAsia="宋体" w:cs="Times New Roman"/>
      <w:i/>
      <w:iCs/>
    </w:rPr>
  </w:style>
  <w:style w:type="character" w:styleId="62">
    <w:name w:val="Hyperlink"/>
    <w:qFormat/>
    <w:uiPriority w:val="0"/>
    <w:rPr>
      <w:rFonts w:ascii="Times New Roman" w:hAnsi="Times New Roman" w:eastAsia="宋体" w:cs="Times New Roman"/>
      <w:color w:val="auto"/>
      <w:spacing w:val="0"/>
      <w:w w:val="100"/>
      <w:position w:val="0"/>
      <w:sz w:val="21"/>
      <w:u w:val="none"/>
      <w:vertAlign w:val="baseline"/>
    </w:rPr>
  </w:style>
  <w:style w:type="character" w:styleId="63">
    <w:name w:val="HTML Code"/>
    <w:qFormat/>
    <w:uiPriority w:val="0"/>
    <w:rPr>
      <w:rFonts w:ascii="Courier New" w:hAnsi="Courier New" w:eastAsia="宋体" w:cs="Times New Roman"/>
      <w:sz w:val="20"/>
      <w:szCs w:val="20"/>
    </w:rPr>
  </w:style>
  <w:style w:type="character" w:styleId="64">
    <w:name w:val="annotation reference"/>
    <w:qFormat/>
    <w:uiPriority w:val="0"/>
    <w:rPr>
      <w:rFonts w:ascii="Times New Roman" w:hAnsi="Times New Roman" w:eastAsia="宋体" w:cs="Times New Roman"/>
      <w:sz w:val="21"/>
      <w:szCs w:val="21"/>
    </w:rPr>
  </w:style>
  <w:style w:type="character" w:styleId="65">
    <w:name w:val="HTML Cite"/>
    <w:qFormat/>
    <w:uiPriority w:val="0"/>
    <w:rPr>
      <w:rFonts w:ascii="Times New Roman" w:hAnsi="Times New Roman" w:eastAsia="宋体" w:cs="Times New Roman"/>
      <w:i/>
      <w:iCs/>
    </w:rPr>
  </w:style>
  <w:style w:type="character" w:styleId="66">
    <w:name w:val="footnote reference"/>
    <w:qFormat/>
    <w:uiPriority w:val="0"/>
    <w:rPr>
      <w:rFonts w:ascii="Times New Roman" w:hAnsi="Times New Roman" w:eastAsia="宋体" w:cs="Times New Roman"/>
      <w:vertAlign w:val="superscript"/>
    </w:rPr>
  </w:style>
  <w:style w:type="character" w:styleId="67">
    <w:name w:val="HTML Keyboard"/>
    <w:qFormat/>
    <w:uiPriority w:val="0"/>
    <w:rPr>
      <w:rFonts w:ascii="Courier New" w:hAnsi="Courier New" w:eastAsia="宋体" w:cs="Times New Roman"/>
      <w:sz w:val="20"/>
      <w:szCs w:val="20"/>
    </w:rPr>
  </w:style>
  <w:style w:type="character" w:styleId="68">
    <w:name w:val="HTML Sample"/>
    <w:qFormat/>
    <w:uiPriority w:val="0"/>
    <w:rPr>
      <w:rFonts w:ascii="Courier New" w:hAnsi="Courier New" w:eastAsia="宋体" w:cs="Times New Roman"/>
    </w:rPr>
  </w:style>
  <w:style w:type="character" w:customStyle="1" w:styleId="69">
    <w:name w:val="标题 1 字符"/>
    <w:link w:val="2"/>
    <w:qFormat/>
    <w:uiPriority w:val="9"/>
    <w:rPr>
      <w:b/>
      <w:bCs/>
      <w:kern w:val="44"/>
      <w:sz w:val="44"/>
      <w:szCs w:val="44"/>
    </w:rPr>
  </w:style>
  <w:style w:type="character" w:customStyle="1" w:styleId="70">
    <w:name w:val="标题 2 字符"/>
    <w:link w:val="3"/>
    <w:qFormat/>
    <w:uiPriority w:val="9"/>
    <w:rPr>
      <w:rFonts w:ascii="Arial" w:hAnsi="Arial" w:eastAsia="黑体"/>
      <w:b/>
      <w:bCs/>
      <w:kern w:val="2"/>
      <w:sz w:val="32"/>
      <w:szCs w:val="32"/>
    </w:rPr>
  </w:style>
  <w:style w:type="character" w:customStyle="1" w:styleId="71">
    <w:name w:val="标题 3 字符"/>
    <w:link w:val="4"/>
    <w:qFormat/>
    <w:uiPriority w:val="9"/>
    <w:rPr>
      <w:b/>
      <w:bCs/>
      <w:kern w:val="2"/>
      <w:sz w:val="32"/>
      <w:szCs w:val="32"/>
    </w:rPr>
  </w:style>
  <w:style w:type="character" w:customStyle="1" w:styleId="72">
    <w:name w:val="标题 4 字符"/>
    <w:link w:val="5"/>
    <w:qFormat/>
    <w:uiPriority w:val="9"/>
    <w:rPr>
      <w:rFonts w:ascii="Arial" w:hAnsi="Arial" w:eastAsia="黑体"/>
      <w:b/>
      <w:bCs/>
      <w:kern w:val="2"/>
      <w:sz w:val="28"/>
      <w:szCs w:val="28"/>
    </w:rPr>
  </w:style>
  <w:style w:type="character" w:customStyle="1" w:styleId="73">
    <w:name w:val="标题 5 字符"/>
    <w:link w:val="6"/>
    <w:qFormat/>
    <w:uiPriority w:val="9"/>
    <w:rPr>
      <w:b/>
      <w:bCs/>
      <w:kern w:val="2"/>
      <w:sz w:val="28"/>
      <w:szCs w:val="28"/>
    </w:rPr>
  </w:style>
  <w:style w:type="character" w:customStyle="1" w:styleId="74">
    <w:name w:val="标题 6 字符"/>
    <w:link w:val="7"/>
    <w:qFormat/>
    <w:uiPriority w:val="9"/>
    <w:rPr>
      <w:rFonts w:ascii="Arial" w:hAnsi="Arial" w:eastAsia="黑体"/>
      <w:b/>
      <w:bCs/>
      <w:kern w:val="2"/>
      <w:sz w:val="24"/>
      <w:szCs w:val="24"/>
    </w:rPr>
  </w:style>
  <w:style w:type="character" w:customStyle="1" w:styleId="75">
    <w:name w:val="标题 7 字符"/>
    <w:link w:val="8"/>
    <w:qFormat/>
    <w:uiPriority w:val="9"/>
    <w:rPr>
      <w:b/>
      <w:bCs/>
      <w:kern w:val="2"/>
      <w:sz w:val="24"/>
      <w:szCs w:val="24"/>
    </w:rPr>
  </w:style>
  <w:style w:type="character" w:customStyle="1" w:styleId="76">
    <w:name w:val="标题 8 字符"/>
    <w:link w:val="9"/>
    <w:qFormat/>
    <w:uiPriority w:val="9"/>
    <w:rPr>
      <w:rFonts w:ascii="Arial" w:hAnsi="Arial" w:eastAsia="黑体"/>
      <w:kern w:val="2"/>
      <w:sz w:val="24"/>
      <w:szCs w:val="24"/>
    </w:rPr>
  </w:style>
  <w:style w:type="character" w:customStyle="1" w:styleId="77">
    <w:name w:val="标题 9 字符"/>
    <w:link w:val="10"/>
    <w:qFormat/>
    <w:uiPriority w:val="9"/>
    <w:rPr>
      <w:rFonts w:ascii="Arial" w:hAnsi="Arial" w:eastAsia="黑体"/>
      <w:kern w:val="2"/>
      <w:sz w:val="21"/>
      <w:szCs w:val="21"/>
    </w:rPr>
  </w:style>
  <w:style w:type="character" w:customStyle="1" w:styleId="78">
    <w:name w:val="文档结构图 字符"/>
    <w:link w:val="22"/>
    <w:qFormat/>
    <w:uiPriority w:val="0"/>
    <w:rPr>
      <w:szCs w:val="24"/>
      <w:shd w:val="clear" w:color="auto" w:fill="000080"/>
    </w:rPr>
  </w:style>
  <w:style w:type="character" w:customStyle="1" w:styleId="79">
    <w:name w:val="批注文字 字符"/>
    <w:link w:val="23"/>
    <w:qFormat/>
    <w:uiPriority w:val="0"/>
    <w:rPr>
      <w:rFonts w:ascii="Times New Roman" w:hAnsi="Times New Roman" w:eastAsia="宋体" w:cs="Times New Roman"/>
      <w:kern w:val="2"/>
      <w:sz w:val="21"/>
      <w:szCs w:val="24"/>
    </w:rPr>
  </w:style>
  <w:style w:type="character" w:customStyle="1" w:styleId="80">
    <w:name w:val="正文文本 字符"/>
    <w:link w:val="25"/>
    <w:qFormat/>
    <w:uiPriority w:val="0"/>
    <w:rPr>
      <w:kern w:val="2"/>
      <w:sz w:val="21"/>
      <w:szCs w:val="24"/>
    </w:rPr>
  </w:style>
  <w:style w:type="character" w:customStyle="1" w:styleId="81">
    <w:name w:val="正文文本缩进 字符"/>
    <w:link w:val="26"/>
    <w:qFormat/>
    <w:uiPriority w:val="99"/>
    <w:rPr>
      <w:sz w:val="21"/>
    </w:rPr>
  </w:style>
  <w:style w:type="character" w:customStyle="1" w:styleId="82">
    <w:name w:val="HTML 地址 字符"/>
    <w:link w:val="27"/>
    <w:qFormat/>
    <w:uiPriority w:val="0"/>
    <w:rPr>
      <w:i/>
      <w:iCs/>
      <w:kern w:val="2"/>
      <w:sz w:val="21"/>
      <w:szCs w:val="24"/>
    </w:rPr>
  </w:style>
  <w:style w:type="character" w:customStyle="1" w:styleId="83">
    <w:name w:val="纯文本 字符"/>
    <w:link w:val="29"/>
    <w:qFormat/>
    <w:uiPriority w:val="0"/>
    <w:rPr>
      <w:rFonts w:ascii="宋体" w:hAnsi="Courier New"/>
      <w:kern w:val="2"/>
      <w:sz w:val="21"/>
    </w:rPr>
  </w:style>
  <w:style w:type="character" w:customStyle="1" w:styleId="84">
    <w:name w:val="正文文本缩进 2 字符"/>
    <w:link w:val="33"/>
    <w:qFormat/>
    <w:uiPriority w:val="0"/>
    <w:rPr>
      <w:sz w:val="21"/>
    </w:rPr>
  </w:style>
  <w:style w:type="character" w:customStyle="1" w:styleId="85">
    <w:name w:val="尾注文本 字符"/>
    <w:link w:val="34"/>
    <w:qFormat/>
    <w:uiPriority w:val="0"/>
    <w:rPr>
      <w:szCs w:val="24"/>
    </w:rPr>
  </w:style>
  <w:style w:type="character" w:customStyle="1" w:styleId="86">
    <w:name w:val="批注框文本 字符"/>
    <w:link w:val="35"/>
    <w:qFormat/>
    <w:uiPriority w:val="0"/>
    <w:rPr>
      <w:rFonts w:ascii="Times New Roman" w:hAnsi="Times New Roman" w:eastAsia="宋体" w:cs="Times New Roman"/>
      <w:kern w:val="2"/>
      <w:sz w:val="18"/>
      <w:szCs w:val="18"/>
    </w:rPr>
  </w:style>
  <w:style w:type="character" w:customStyle="1" w:styleId="87">
    <w:name w:val="页脚 字符1"/>
    <w:link w:val="36"/>
    <w:qFormat/>
    <w:uiPriority w:val="99"/>
    <w:rPr>
      <w:kern w:val="2"/>
      <w:sz w:val="18"/>
      <w:szCs w:val="18"/>
    </w:rPr>
  </w:style>
  <w:style w:type="character" w:customStyle="1" w:styleId="88">
    <w:name w:val="页眉 字符1"/>
    <w:link w:val="37"/>
    <w:qFormat/>
    <w:uiPriority w:val="0"/>
    <w:rPr>
      <w:kern w:val="2"/>
      <w:sz w:val="18"/>
      <w:szCs w:val="18"/>
    </w:rPr>
  </w:style>
  <w:style w:type="character" w:customStyle="1" w:styleId="89">
    <w:name w:val="副标题 字符"/>
    <w:link w:val="40"/>
    <w:qFormat/>
    <w:uiPriority w:val="11"/>
    <w:rPr>
      <w:rFonts w:ascii="Cambria" w:hAnsi="Cambria" w:cs="Times New Roman"/>
      <w:b/>
      <w:bCs/>
      <w:kern w:val="28"/>
      <w:sz w:val="32"/>
      <w:szCs w:val="32"/>
    </w:rPr>
  </w:style>
  <w:style w:type="character" w:customStyle="1" w:styleId="90">
    <w:name w:val="脚注文本 字符"/>
    <w:link w:val="41"/>
    <w:qFormat/>
    <w:uiPriority w:val="0"/>
    <w:rPr>
      <w:kern w:val="2"/>
      <w:sz w:val="18"/>
      <w:szCs w:val="18"/>
    </w:rPr>
  </w:style>
  <w:style w:type="character" w:customStyle="1" w:styleId="91">
    <w:name w:val="正文文本缩进 3 字符"/>
    <w:link w:val="42"/>
    <w:qFormat/>
    <w:uiPriority w:val="0"/>
    <w:rPr>
      <w:color w:val="0000FF"/>
      <w:kern w:val="2"/>
      <w:sz w:val="21"/>
      <w:szCs w:val="24"/>
    </w:rPr>
  </w:style>
  <w:style w:type="character" w:customStyle="1" w:styleId="92">
    <w:name w:val="HTML 预设格式 字符"/>
    <w:link w:val="46"/>
    <w:qFormat/>
    <w:uiPriority w:val="0"/>
    <w:rPr>
      <w:rFonts w:ascii="Courier New" w:hAnsi="Courier New" w:cs="Courier New"/>
      <w:kern w:val="2"/>
    </w:rPr>
  </w:style>
  <w:style w:type="character" w:customStyle="1" w:styleId="93">
    <w:name w:val="标题 字符"/>
    <w:link w:val="49"/>
    <w:qFormat/>
    <w:uiPriority w:val="0"/>
    <w:rPr>
      <w:rFonts w:ascii="Arial" w:hAnsi="Arial" w:cs="Arial"/>
      <w:b/>
      <w:bCs/>
      <w:kern w:val="2"/>
      <w:sz w:val="32"/>
      <w:szCs w:val="32"/>
    </w:rPr>
  </w:style>
  <w:style w:type="character" w:customStyle="1" w:styleId="94">
    <w:name w:val="批注主题 字符"/>
    <w:link w:val="50"/>
    <w:qFormat/>
    <w:uiPriority w:val="0"/>
    <w:rPr>
      <w:rFonts w:ascii="Times New Roman" w:hAnsi="Times New Roman" w:eastAsia="宋体" w:cs="Times New Roman"/>
      <w:b/>
      <w:bCs/>
      <w:kern w:val="2"/>
      <w:sz w:val="21"/>
      <w:szCs w:val="24"/>
    </w:rPr>
  </w:style>
  <w:style w:type="character" w:customStyle="1" w:styleId="95">
    <w:name w:val="页眉 Char"/>
    <w:qFormat/>
    <w:uiPriority w:val="0"/>
    <w:rPr>
      <w:kern w:val="2"/>
      <w:sz w:val="18"/>
      <w:szCs w:val="18"/>
    </w:rPr>
  </w:style>
  <w:style w:type="character" w:customStyle="1" w:styleId="96">
    <w:name w:val="占位符文本1"/>
    <w:unhideWhenUsed/>
    <w:qFormat/>
    <w:uiPriority w:val="99"/>
    <w:rPr>
      <w:color w:val="808080"/>
    </w:rPr>
  </w:style>
  <w:style w:type="character" w:customStyle="1" w:styleId="97">
    <w:name w:val="段 Char"/>
    <w:qFormat/>
    <w:uiPriority w:val="0"/>
    <w:rPr>
      <w:rFonts w:ascii="宋体" w:cs="黑体"/>
      <w:kern w:val="2"/>
      <w:sz w:val="21"/>
      <w:szCs w:val="22"/>
      <w:lang w:val="en-US" w:eastAsia="zh-CN" w:bidi="ar-SA"/>
    </w:rPr>
  </w:style>
  <w:style w:type="character" w:customStyle="1" w:styleId="98">
    <w:name w:val="占位符文本2"/>
    <w:qFormat/>
    <w:uiPriority w:val="99"/>
    <w:rPr>
      <w:color w:val="808080"/>
    </w:rPr>
  </w:style>
  <w:style w:type="character" w:customStyle="1" w:styleId="99">
    <w:name w:val="标题 1 Char"/>
    <w:qFormat/>
    <w:uiPriority w:val="9"/>
    <w:rPr>
      <w:rFonts w:eastAsia="黑体"/>
      <w:bCs/>
      <w:kern w:val="44"/>
      <w:sz w:val="21"/>
      <w:szCs w:val="44"/>
    </w:rPr>
  </w:style>
  <w:style w:type="character" w:customStyle="1" w:styleId="100">
    <w:name w:val="附录公式 Char"/>
    <w:qFormat/>
    <w:uiPriority w:val="0"/>
    <w:rPr>
      <w:rFonts w:ascii="宋体" w:hAnsi="Calibri" w:eastAsia="宋体" w:cs="黑体"/>
    </w:rPr>
  </w:style>
  <w:style w:type="character" w:customStyle="1" w:styleId="101">
    <w:name w:val="页脚 字符"/>
    <w:qFormat/>
    <w:uiPriority w:val="99"/>
    <w:rPr>
      <w:rFonts w:cs="Times New Roman"/>
      <w:sz w:val="18"/>
      <w:szCs w:val="18"/>
    </w:rPr>
  </w:style>
  <w:style w:type="character" w:customStyle="1" w:styleId="102">
    <w:name w:val="EmailStyle62"/>
    <w:qFormat/>
    <w:uiPriority w:val="0"/>
    <w:rPr>
      <w:rFonts w:ascii="Arial" w:hAnsi="Arial" w:eastAsia="宋体" w:cs="Arial"/>
      <w:color w:val="auto"/>
      <w:sz w:val="20"/>
    </w:rPr>
  </w:style>
  <w:style w:type="character" w:customStyle="1" w:styleId="103">
    <w:name w:val="发布"/>
    <w:qFormat/>
    <w:uiPriority w:val="0"/>
    <w:rPr>
      <w:rFonts w:ascii="黑体" w:hAnsi="Times New Roman" w:eastAsia="黑体" w:cs="Times New Roman"/>
      <w:spacing w:val="22"/>
      <w:w w:val="100"/>
      <w:position w:val="3"/>
      <w:sz w:val="28"/>
    </w:rPr>
  </w:style>
  <w:style w:type="character" w:customStyle="1" w:styleId="104">
    <w:name w:val="批注框文本 Char"/>
    <w:qFormat/>
    <w:uiPriority w:val="0"/>
    <w:rPr>
      <w:rFonts w:ascii="Times New Roman" w:hAnsi="Times New Roman" w:eastAsia="宋体" w:cs="Times New Roman"/>
      <w:kern w:val="2"/>
      <w:sz w:val="18"/>
      <w:szCs w:val="18"/>
    </w:rPr>
  </w:style>
  <w:style w:type="character" w:customStyle="1" w:styleId="105">
    <w:name w:val="首示例 Char"/>
    <w:qFormat/>
    <w:uiPriority w:val="0"/>
    <w:rPr>
      <w:rFonts w:ascii="宋体" w:hAnsi="宋体"/>
      <w:sz w:val="18"/>
      <w:szCs w:val="18"/>
      <w:lang w:bidi="ar-SA"/>
    </w:rPr>
  </w:style>
  <w:style w:type="character" w:customStyle="1" w:styleId="106">
    <w:name w:val="EmailStyle63"/>
    <w:qFormat/>
    <w:uiPriority w:val="0"/>
    <w:rPr>
      <w:rFonts w:ascii="Arial" w:hAnsi="Arial" w:eastAsia="宋体" w:cs="Arial"/>
      <w:color w:val="auto"/>
      <w:sz w:val="20"/>
    </w:rPr>
  </w:style>
  <w:style w:type="character" w:customStyle="1" w:styleId="107">
    <w:name w:val="首示例 Char Char Char"/>
    <w:qFormat/>
    <w:uiPriority w:val="0"/>
    <w:rPr>
      <w:rFonts w:ascii="宋体" w:hAnsi="宋体"/>
      <w:sz w:val="18"/>
      <w:szCs w:val="18"/>
      <w:lang w:bidi="ar-SA"/>
    </w:rPr>
  </w:style>
  <w:style w:type="character" w:customStyle="1" w:styleId="108">
    <w:name w:val="页眉 字符"/>
    <w:qFormat/>
    <w:uiPriority w:val="99"/>
    <w:rPr>
      <w:rFonts w:cs="Times New Roman"/>
      <w:sz w:val="18"/>
      <w:szCs w:val="18"/>
    </w:rPr>
  </w:style>
  <w:style w:type="character" w:customStyle="1" w:styleId="109">
    <w:name w:val="sh14"/>
    <w:qFormat/>
    <w:uiPriority w:val="0"/>
  </w:style>
  <w:style w:type="character" w:customStyle="1" w:styleId="110">
    <w:name w:val="日期 Char"/>
    <w:qFormat/>
    <w:uiPriority w:val="0"/>
    <w:rPr>
      <w:rFonts w:ascii="Times New Roman" w:hAnsi="Times New Roman" w:eastAsia="宋体" w:cs="Times New Roman"/>
      <w:kern w:val="2"/>
      <w:sz w:val="21"/>
      <w:szCs w:val="24"/>
    </w:rPr>
  </w:style>
  <w:style w:type="character" w:styleId="111">
    <w:name w:val="Placeholder Text"/>
    <w:qFormat/>
    <w:uiPriority w:val="99"/>
    <w:rPr>
      <w:color w:val="808080"/>
    </w:rPr>
  </w:style>
  <w:style w:type="character" w:customStyle="1" w:styleId="112">
    <w:name w:val="段 Char Char"/>
    <w:link w:val="113"/>
    <w:qFormat/>
    <w:uiPriority w:val="0"/>
    <w:rPr>
      <w:rFonts w:ascii="宋体"/>
      <w:sz w:val="21"/>
      <w:lang w:val="en-US" w:eastAsia="zh-CN" w:bidi="ar-SA"/>
    </w:rPr>
  </w:style>
  <w:style w:type="paragraph" w:customStyle="1" w:styleId="113">
    <w:name w:val="段"/>
    <w:link w:val="11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14">
    <w:name w:val="正文文本 Char"/>
    <w:qFormat/>
    <w:uiPriority w:val="0"/>
    <w:rPr>
      <w:rFonts w:ascii="Times New Roman" w:hAnsi="Times New Roman" w:eastAsia="宋体" w:cs="Times New Roman"/>
      <w:szCs w:val="24"/>
    </w:rPr>
  </w:style>
  <w:style w:type="character" w:customStyle="1" w:styleId="115">
    <w:name w:val="访问过的超链接1"/>
    <w:qFormat/>
    <w:uiPriority w:val="0"/>
    <w:rPr>
      <w:color w:val="800080"/>
      <w:u w:val="single"/>
    </w:rPr>
  </w:style>
  <w:style w:type="character" w:customStyle="1" w:styleId="116">
    <w:name w:val="一级条标题 Char"/>
    <w:link w:val="117"/>
    <w:qFormat/>
    <w:uiPriority w:val="0"/>
    <w:rPr>
      <w:sz w:val="21"/>
    </w:rPr>
  </w:style>
  <w:style w:type="paragraph" w:customStyle="1" w:styleId="117">
    <w:name w:val="一级条标题"/>
    <w:basedOn w:val="118"/>
    <w:next w:val="113"/>
    <w:link w:val="116"/>
    <w:qFormat/>
    <w:uiPriority w:val="0"/>
    <w:pPr>
      <w:numPr>
        <w:ilvl w:val="2"/>
      </w:numPr>
      <w:outlineLvl w:val="2"/>
    </w:pPr>
    <w:rPr>
      <w:rFonts w:ascii="Times New Roman" w:eastAsia="宋体"/>
    </w:rPr>
  </w:style>
  <w:style w:type="paragraph" w:customStyle="1" w:styleId="118">
    <w:name w:val="章标题"/>
    <w:next w:val="113"/>
    <w:qFormat/>
    <w:uiPriority w:val="0"/>
    <w:pPr>
      <w:numPr>
        <w:ilvl w:val="1"/>
        <w:numId w:val="1"/>
      </w:numPr>
      <w:spacing w:beforeLines="50" w:afterLines="50"/>
      <w:jc w:val="both"/>
      <w:outlineLvl w:val="1"/>
    </w:pPr>
    <w:rPr>
      <w:rFonts w:ascii="黑体" w:hAnsi="Times New Roman" w:eastAsia="黑体" w:cs="Times New Roman"/>
      <w:sz w:val="21"/>
      <w:lang w:val="en-US" w:eastAsia="zh-CN" w:bidi="ar-SA"/>
    </w:rPr>
  </w:style>
  <w:style w:type="character" w:customStyle="1" w:styleId="119">
    <w:name w:val="附录公式 Char Char Char"/>
    <w:qFormat/>
    <w:uiPriority w:val="0"/>
    <w:rPr>
      <w:rFonts w:ascii="宋体" w:hAnsi="Calibri" w:eastAsia="宋体" w:cs="黑体"/>
    </w:rPr>
  </w:style>
  <w:style w:type="character" w:customStyle="1" w:styleId="120">
    <w:name w:val="纯文本 Char1"/>
    <w:qFormat/>
    <w:uiPriority w:val="99"/>
    <w:rPr>
      <w:rFonts w:ascii="宋体" w:hAnsi="Courier New" w:eastAsia="宋体" w:cs="Courier New"/>
      <w:szCs w:val="21"/>
    </w:rPr>
  </w:style>
  <w:style w:type="character" w:customStyle="1" w:styleId="121">
    <w:name w:val="首示例 Char Char"/>
    <w:link w:val="122"/>
    <w:qFormat/>
    <w:uiPriority w:val="0"/>
    <w:rPr>
      <w:rFonts w:ascii="宋体" w:hAnsi="宋体"/>
      <w:kern w:val="2"/>
      <w:sz w:val="18"/>
      <w:szCs w:val="18"/>
      <w:lang w:val="en-US" w:eastAsia="zh-CN" w:bidi="ar-SA"/>
    </w:rPr>
  </w:style>
  <w:style w:type="paragraph" w:customStyle="1" w:styleId="122">
    <w:name w:val="首示例"/>
    <w:next w:val="113"/>
    <w:link w:val="121"/>
    <w:qFormat/>
    <w:uiPriority w:val="0"/>
    <w:pPr>
      <w:tabs>
        <w:tab w:val="left" w:pos="360"/>
      </w:tabs>
      <w:ind w:left="400" w:leftChars="200" w:right="210" w:hanging="200" w:hangingChars="200"/>
    </w:pPr>
    <w:rPr>
      <w:rFonts w:ascii="宋体" w:hAnsi="宋体" w:eastAsia="宋体" w:cs="Times New Roman"/>
      <w:kern w:val="2"/>
      <w:sz w:val="18"/>
      <w:szCs w:val="18"/>
      <w:lang w:val="en-US" w:eastAsia="zh-CN" w:bidi="ar-SA"/>
    </w:rPr>
  </w:style>
  <w:style w:type="character" w:customStyle="1" w:styleId="123">
    <w:name w:val="副标题 Char1"/>
    <w:qFormat/>
    <w:uiPriority w:val="11"/>
    <w:rPr>
      <w:rFonts w:ascii="Calibri" w:hAnsi="Calibri" w:eastAsia="黑体"/>
      <w:bCs/>
      <w:kern w:val="28"/>
      <w:sz w:val="28"/>
      <w:szCs w:val="32"/>
    </w:rPr>
  </w:style>
  <w:style w:type="character" w:customStyle="1" w:styleId="124">
    <w:name w:val="页眉 Char1"/>
    <w:qFormat/>
    <w:uiPriority w:val="99"/>
    <w:rPr>
      <w:rFonts w:ascii="Times New Roman" w:hAnsi="Times New Roman" w:eastAsia="宋体" w:cs="Times New Roman"/>
      <w:sz w:val="18"/>
      <w:szCs w:val="18"/>
    </w:rPr>
  </w:style>
  <w:style w:type="character" w:customStyle="1" w:styleId="125">
    <w:name w:val="附录公式 Char Char"/>
    <w:link w:val="126"/>
    <w:qFormat/>
    <w:uiPriority w:val="0"/>
    <w:rPr>
      <w:rFonts w:ascii="宋体" w:hAnsi="Calibri" w:cs="黑体"/>
      <w:kern w:val="2"/>
      <w:sz w:val="21"/>
      <w:szCs w:val="22"/>
    </w:rPr>
  </w:style>
  <w:style w:type="paragraph" w:customStyle="1" w:styleId="126">
    <w:name w:val="附录公式"/>
    <w:basedOn w:val="113"/>
    <w:next w:val="113"/>
    <w:link w:val="125"/>
    <w:qFormat/>
    <w:uiPriority w:val="0"/>
    <w:pPr>
      <w:tabs>
        <w:tab w:val="center" w:pos="4201"/>
        <w:tab w:val="right" w:leader="dot" w:pos="9298"/>
      </w:tabs>
      <w:ind w:left="400" w:leftChars="200" w:right="210" w:firstLine="420"/>
    </w:pPr>
    <w:rPr>
      <w:rFonts w:hAnsi="Calibri"/>
      <w:kern w:val="2"/>
      <w:szCs w:val="22"/>
    </w:rPr>
  </w:style>
  <w:style w:type="character" w:customStyle="1" w:styleId="127">
    <w:name w:val="标题 Char"/>
    <w:qFormat/>
    <w:uiPriority w:val="0"/>
    <w:rPr>
      <w:rFonts w:ascii="Arial" w:hAnsi="Arial" w:cs="Arial"/>
      <w:b/>
      <w:bCs/>
      <w:kern w:val="2"/>
      <w:sz w:val="32"/>
      <w:szCs w:val="32"/>
    </w:rPr>
  </w:style>
  <w:style w:type="character" w:customStyle="1" w:styleId="128">
    <w:name w:val="纯文本 Char"/>
    <w:qFormat/>
    <w:uiPriority w:val="0"/>
    <w:rPr>
      <w:rFonts w:ascii="宋体" w:hAnsi="Courier New" w:cs="宋体"/>
      <w:kern w:val="2"/>
      <w:sz w:val="21"/>
      <w:szCs w:val="22"/>
    </w:rPr>
  </w:style>
  <w:style w:type="character" w:customStyle="1" w:styleId="129">
    <w:name w:val="段 Char Char Char"/>
    <w:qFormat/>
    <w:uiPriority w:val="0"/>
    <w:rPr>
      <w:rFonts w:ascii="宋体" w:cs="黑体"/>
      <w:kern w:val="2"/>
      <w:sz w:val="21"/>
      <w:szCs w:val="22"/>
      <w:lang w:val="en-US" w:eastAsia="zh-CN" w:bidi="ar-SA"/>
    </w:rPr>
  </w:style>
  <w:style w:type="paragraph" w:customStyle="1" w:styleId="130">
    <w:name w:val="其他实施日期"/>
    <w:basedOn w:val="131"/>
    <w:qFormat/>
    <w:uiPriority w:val="0"/>
    <w:pPr>
      <w:framePr w:w="0" w:hRule="auto" w:vSpace="0" w:vAnchor="margin" w:hAnchor="text" w:xAlign="left" w:yAlign="top" w:anchorLock="0"/>
      <w:ind w:left="400" w:leftChars="200" w:right="210" w:hanging="200" w:hangingChars="200"/>
    </w:pPr>
    <w:rPr>
      <w:rFonts w:eastAsia="黑体"/>
    </w:rPr>
  </w:style>
  <w:style w:type="paragraph" w:customStyle="1" w:styleId="131">
    <w:name w:val="实施日期"/>
    <w:basedOn w:val="132"/>
    <w:qFormat/>
    <w:uiPriority w:val="0"/>
    <w:pPr>
      <w:framePr w:hSpace="0" w:xAlign="right"/>
      <w:jc w:val="right"/>
    </w:pPr>
    <w:rPr>
      <w:rFonts w:eastAsia="宋体"/>
    </w:rPr>
  </w:style>
  <w:style w:type="paragraph" w:customStyle="1" w:styleId="13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3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134">
    <w:name w:val="附录公式编号制表符"/>
    <w:basedOn w:val="1"/>
    <w:next w:val="113"/>
    <w:qFormat/>
    <w:uiPriority w:val="0"/>
    <w:pPr>
      <w:widowControl/>
      <w:tabs>
        <w:tab w:val="center" w:pos="4201"/>
        <w:tab w:val="right" w:leader="dot" w:pos="9298"/>
      </w:tabs>
      <w:autoSpaceDE w:val="0"/>
      <w:autoSpaceDN w:val="0"/>
      <w:ind w:left="400" w:leftChars="200" w:right="210" w:hanging="200" w:hangingChars="200"/>
      <w:jc w:val="left"/>
    </w:pPr>
    <w:rPr>
      <w:rFonts w:ascii="宋体"/>
      <w:kern w:val="0"/>
      <w:szCs w:val="20"/>
    </w:rPr>
  </w:style>
  <w:style w:type="paragraph" w:customStyle="1" w:styleId="135">
    <w:name w:val="三级无标题条"/>
    <w:basedOn w:val="1"/>
    <w:qFormat/>
    <w:uiPriority w:val="0"/>
    <w:pPr>
      <w:numPr>
        <w:ilvl w:val="4"/>
        <w:numId w:val="2"/>
      </w:numPr>
    </w:pPr>
  </w:style>
  <w:style w:type="paragraph" w:customStyle="1" w:styleId="136">
    <w:name w:val="xl8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 w:val="22"/>
      <w:szCs w:val="22"/>
    </w:rPr>
  </w:style>
  <w:style w:type="paragraph" w:customStyle="1" w:styleId="137">
    <w:name w:val="xl113"/>
    <w:basedOn w:val="1"/>
    <w:qFormat/>
    <w:uiPriority w:val="0"/>
    <w:pPr>
      <w:widowControl/>
      <w:pBdr>
        <w:left w:val="single" w:color="auto" w:sz="8" w:space="0"/>
        <w:right w:val="single" w:color="auto" w:sz="8" w:space="0"/>
      </w:pBdr>
      <w:spacing w:before="100" w:beforeAutospacing="1" w:after="100" w:afterAutospacing="1"/>
      <w:jc w:val="center"/>
      <w:textAlignment w:val="center"/>
    </w:pPr>
    <w:rPr>
      <w:color w:val="000000"/>
      <w:kern w:val="0"/>
      <w:sz w:val="22"/>
      <w:szCs w:val="22"/>
    </w:rPr>
  </w:style>
  <w:style w:type="paragraph" w:customStyle="1" w:styleId="138">
    <w:name w:val="列项●（二级）"/>
    <w:qFormat/>
    <w:uiPriority w:val="0"/>
    <w:pPr>
      <w:tabs>
        <w:tab w:val="left" w:pos="840"/>
      </w:tabs>
      <w:ind w:left="1264" w:leftChars="200" w:right="210" w:hanging="413" w:hangingChars="200"/>
      <w:jc w:val="both"/>
    </w:pPr>
    <w:rPr>
      <w:rFonts w:ascii="宋体" w:hAnsi="Times New Roman" w:eastAsia="宋体" w:cs="Times New Roman"/>
      <w:sz w:val="21"/>
      <w:lang w:val="en-US" w:eastAsia="zh-CN" w:bidi="ar-SA"/>
    </w:rPr>
  </w:style>
  <w:style w:type="paragraph" w:customStyle="1" w:styleId="139">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Cs w:val="21"/>
    </w:rPr>
  </w:style>
  <w:style w:type="paragraph" w:customStyle="1" w:styleId="140">
    <w:name w:val="xl77"/>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 w:val="22"/>
      <w:szCs w:val="22"/>
    </w:rPr>
  </w:style>
  <w:style w:type="paragraph" w:customStyle="1" w:styleId="141">
    <w:name w:val="列项◆（三级）"/>
    <w:basedOn w:val="1"/>
    <w:qFormat/>
    <w:uiPriority w:val="0"/>
    <w:pPr>
      <w:widowControl/>
      <w:tabs>
        <w:tab w:val="left" w:pos="1678"/>
      </w:tabs>
      <w:ind w:left="1678" w:leftChars="200" w:right="210" w:hanging="414" w:hangingChars="200"/>
      <w:jc w:val="left"/>
    </w:pPr>
    <w:rPr>
      <w:rFonts w:ascii="宋体"/>
      <w:szCs w:val="21"/>
    </w:rPr>
  </w:style>
  <w:style w:type="paragraph" w:customStyle="1" w:styleId="142">
    <w:name w:val="xl111"/>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 w:val="22"/>
      <w:szCs w:val="22"/>
    </w:rPr>
  </w:style>
  <w:style w:type="paragraph" w:customStyle="1" w:styleId="143">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44">
    <w:name w:val="xl10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145">
    <w:name w:val="示例后文字"/>
    <w:basedOn w:val="113"/>
    <w:next w:val="113"/>
    <w:qFormat/>
    <w:uiPriority w:val="0"/>
    <w:pPr>
      <w:tabs>
        <w:tab w:val="center" w:pos="4201"/>
        <w:tab w:val="right" w:leader="dot" w:pos="9298"/>
      </w:tabs>
      <w:ind w:left="400" w:leftChars="200" w:right="210" w:firstLine="360"/>
    </w:pPr>
    <w:rPr>
      <w:rFonts w:hAnsi="Calibri" w:cs="黑体"/>
      <w:kern w:val="2"/>
      <w:sz w:val="18"/>
      <w:szCs w:val="22"/>
    </w:rPr>
  </w:style>
  <w:style w:type="paragraph" w:customStyle="1" w:styleId="14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2"/>
      <w:szCs w:val="22"/>
    </w:rPr>
  </w:style>
  <w:style w:type="paragraph" w:customStyle="1" w:styleId="147">
    <w:name w:val="附录三级条标题"/>
    <w:basedOn w:val="148"/>
    <w:next w:val="113"/>
    <w:qFormat/>
    <w:uiPriority w:val="0"/>
    <w:pPr>
      <w:numPr>
        <w:ilvl w:val="4"/>
      </w:numPr>
      <w:outlineLvl w:val="4"/>
    </w:pPr>
  </w:style>
  <w:style w:type="paragraph" w:customStyle="1" w:styleId="148">
    <w:name w:val="附录二级条标题"/>
    <w:basedOn w:val="149"/>
    <w:next w:val="113"/>
    <w:qFormat/>
    <w:uiPriority w:val="0"/>
    <w:pPr>
      <w:numPr>
        <w:ilvl w:val="3"/>
      </w:numPr>
      <w:outlineLvl w:val="3"/>
    </w:pPr>
  </w:style>
  <w:style w:type="paragraph" w:customStyle="1" w:styleId="149">
    <w:name w:val="附录一级条标题"/>
    <w:basedOn w:val="150"/>
    <w:next w:val="113"/>
    <w:qFormat/>
    <w:uiPriority w:val="0"/>
    <w:pPr>
      <w:numPr>
        <w:ilvl w:val="2"/>
      </w:numPr>
      <w:autoSpaceDN w:val="0"/>
      <w:outlineLvl w:val="2"/>
    </w:pPr>
    <w:rPr>
      <w:rFonts w:ascii="Times New Roman" w:eastAsia="宋体"/>
    </w:rPr>
  </w:style>
  <w:style w:type="paragraph" w:customStyle="1" w:styleId="150">
    <w:name w:val="附录章标题"/>
    <w:next w:val="113"/>
    <w:qFormat/>
    <w:uiPriority w:val="0"/>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51">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152">
    <w:name w:val="一级无"/>
    <w:basedOn w:val="117"/>
    <w:qFormat/>
    <w:uiPriority w:val="0"/>
    <w:pPr>
      <w:numPr>
        <w:ilvl w:val="0"/>
        <w:numId w:val="0"/>
      </w:numPr>
      <w:spacing w:beforeLines="0"/>
      <w:ind w:left="400" w:leftChars="200" w:right="210" w:hanging="200" w:hangingChars="200"/>
      <w:jc w:val="left"/>
    </w:pPr>
    <w:rPr>
      <w:rFonts w:ascii="宋体"/>
      <w:szCs w:val="21"/>
    </w:rPr>
  </w:style>
  <w:style w:type="paragraph" w:customStyle="1" w:styleId="153">
    <w:name w:val="注×："/>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154">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55">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56">
    <w:name w:val="附录表标题"/>
    <w:next w:val="113"/>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15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Cs w:val="21"/>
    </w:rPr>
  </w:style>
  <w:style w:type="paragraph" w:customStyle="1" w:styleId="158">
    <w:name w:val="修订1"/>
    <w:qFormat/>
    <w:uiPriority w:val="99"/>
    <w:rPr>
      <w:rFonts w:ascii="Times New Roman" w:hAnsi="Times New Roman" w:eastAsia="宋体" w:cs="Times New Roman"/>
      <w:kern w:val="2"/>
      <w:sz w:val="21"/>
      <w:szCs w:val="24"/>
      <w:lang w:val="en-US" w:eastAsia="zh-CN" w:bidi="ar-SA"/>
    </w:rPr>
  </w:style>
  <w:style w:type="paragraph" w:customStyle="1" w:styleId="159">
    <w:name w:val="封面标准代替信息"/>
    <w:basedOn w:val="160"/>
    <w:qFormat/>
    <w:uiPriority w:val="0"/>
    <w:pPr>
      <w:spacing w:before="57"/>
    </w:pPr>
    <w:rPr>
      <w:rFonts w:ascii="宋体"/>
      <w:sz w:val="21"/>
    </w:rPr>
  </w:style>
  <w:style w:type="paragraph" w:customStyle="1" w:styleId="160">
    <w:name w:val="封面标准号2"/>
    <w:basedOn w:val="154"/>
    <w:qFormat/>
    <w:uiPriority w:val="0"/>
    <w:pPr>
      <w:framePr w:w="9138" w:h="1244" w:hRule="exact" w:wrap="around" w:vAnchor="page" w:hAnchor="margin" w:y="2908"/>
      <w:adjustRightInd w:val="0"/>
      <w:spacing w:before="357" w:line="280" w:lineRule="exact"/>
    </w:pPr>
  </w:style>
  <w:style w:type="paragraph" w:customStyle="1" w:styleId="161">
    <w:name w:val="xl122"/>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kern w:val="0"/>
      <w:sz w:val="22"/>
      <w:szCs w:val="22"/>
    </w:rPr>
  </w:style>
  <w:style w:type="paragraph" w:customStyle="1" w:styleId="162">
    <w:name w:val="目次、标准名称标题"/>
    <w:basedOn w:val="163"/>
    <w:next w:val="113"/>
    <w:qFormat/>
    <w:uiPriority w:val="0"/>
    <w:pPr>
      <w:numPr>
        <w:ilvl w:val="0"/>
        <w:numId w:val="0"/>
      </w:numPr>
      <w:tabs>
        <w:tab w:val="left" w:pos="360"/>
      </w:tabs>
      <w:spacing w:line="460" w:lineRule="exact"/>
    </w:pPr>
    <w:rPr>
      <w:rFonts w:ascii="Times New Roman" w:eastAsia="宋体"/>
    </w:rPr>
  </w:style>
  <w:style w:type="paragraph" w:customStyle="1" w:styleId="163">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4">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165">
    <w:name w:val="正文图标题"/>
    <w:next w:val="113"/>
    <w:qFormat/>
    <w:uiPriority w:val="0"/>
    <w:pPr>
      <w:numPr>
        <w:ilvl w:val="0"/>
        <w:numId w:val="5"/>
      </w:numPr>
      <w:jc w:val="center"/>
    </w:pPr>
    <w:rPr>
      <w:rFonts w:ascii="黑体" w:hAnsi="Times New Roman" w:eastAsia="黑体" w:cs="Times New Roman"/>
      <w:sz w:val="21"/>
      <w:lang w:val="en-US" w:eastAsia="zh-CN" w:bidi="ar-SA"/>
    </w:rPr>
  </w:style>
  <w:style w:type="paragraph" w:customStyle="1" w:styleId="166">
    <w:name w:val="其他发布部门"/>
    <w:basedOn w:val="167"/>
    <w:qFormat/>
    <w:uiPriority w:val="0"/>
    <w:pPr>
      <w:spacing w:line="0" w:lineRule="atLeast"/>
    </w:pPr>
    <w:rPr>
      <w:rFonts w:ascii="黑体" w:eastAsia="黑体"/>
      <w:b w:val="0"/>
    </w:rPr>
  </w:style>
  <w:style w:type="paragraph" w:customStyle="1" w:styleId="167">
    <w:name w:val="发布部门"/>
    <w:next w:val="113"/>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68">
    <w:name w:val="xl12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 w:val="22"/>
      <w:szCs w:val="22"/>
    </w:rPr>
  </w:style>
  <w:style w:type="paragraph" w:customStyle="1" w:styleId="169">
    <w:name w:val="二级条标题"/>
    <w:basedOn w:val="117"/>
    <w:next w:val="113"/>
    <w:qFormat/>
    <w:uiPriority w:val="0"/>
    <w:pPr>
      <w:numPr>
        <w:ilvl w:val="3"/>
      </w:numPr>
      <w:outlineLvl w:val="3"/>
    </w:pPr>
  </w:style>
  <w:style w:type="paragraph" w:customStyle="1" w:styleId="170">
    <w:name w:val="五级无"/>
    <w:basedOn w:val="171"/>
    <w:qFormat/>
    <w:uiPriority w:val="0"/>
    <w:pPr>
      <w:numPr>
        <w:ilvl w:val="0"/>
        <w:numId w:val="0"/>
      </w:numPr>
      <w:spacing w:beforeLines="0" w:after="50"/>
      <w:ind w:left="400" w:leftChars="200" w:right="210" w:hanging="200" w:hangingChars="200"/>
      <w:jc w:val="left"/>
    </w:pPr>
    <w:rPr>
      <w:rFonts w:ascii="宋体"/>
      <w:szCs w:val="21"/>
    </w:rPr>
  </w:style>
  <w:style w:type="paragraph" w:customStyle="1" w:styleId="171">
    <w:name w:val="五级条标题"/>
    <w:basedOn w:val="172"/>
    <w:next w:val="113"/>
    <w:qFormat/>
    <w:uiPriority w:val="0"/>
    <w:pPr>
      <w:numPr>
        <w:ilvl w:val="6"/>
      </w:numPr>
      <w:outlineLvl w:val="6"/>
    </w:pPr>
  </w:style>
  <w:style w:type="paragraph" w:customStyle="1" w:styleId="172">
    <w:name w:val="四级条标题"/>
    <w:basedOn w:val="173"/>
    <w:next w:val="113"/>
    <w:qFormat/>
    <w:uiPriority w:val="0"/>
    <w:pPr>
      <w:numPr>
        <w:ilvl w:val="5"/>
      </w:numPr>
      <w:outlineLvl w:val="5"/>
    </w:pPr>
  </w:style>
  <w:style w:type="paragraph" w:customStyle="1" w:styleId="173">
    <w:name w:val="三级条标题"/>
    <w:basedOn w:val="169"/>
    <w:next w:val="113"/>
    <w:qFormat/>
    <w:uiPriority w:val="0"/>
    <w:pPr>
      <w:numPr>
        <w:ilvl w:val="4"/>
      </w:numPr>
      <w:outlineLvl w:val="4"/>
    </w:pPr>
  </w:style>
  <w:style w:type="paragraph" w:customStyle="1" w:styleId="17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Cs w:val="21"/>
    </w:rPr>
  </w:style>
  <w:style w:type="paragraph" w:customStyle="1" w:styleId="175">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76">
    <w:name w:val="xl136"/>
    <w:basedOn w:val="1"/>
    <w:qFormat/>
    <w:uiPriority w:val="0"/>
    <w:pPr>
      <w:widowControl/>
      <w:pBdr>
        <w:bottom w:val="single" w:color="auto" w:sz="8" w:space="0"/>
        <w:right w:val="single" w:color="auto" w:sz="8" w:space="0"/>
      </w:pBdr>
      <w:spacing w:before="100" w:beforeAutospacing="1" w:after="100" w:afterAutospacing="1"/>
      <w:jc w:val="center"/>
    </w:pPr>
    <w:rPr>
      <w:color w:val="000000"/>
      <w:kern w:val="0"/>
      <w:sz w:val="22"/>
      <w:szCs w:val="22"/>
    </w:rPr>
  </w:style>
  <w:style w:type="paragraph" w:customStyle="1" w:styleId="177">
    <w:name w:val="一级无标题条"/>
    <w:basedOn w:val="1"/>
    <w:qFormat/>
    <w:uiPriority w:val="0"/>
    <w:pPr>
      <w:numPr>
        <w:ilvl w:val="2"/>
        <w:numId w:val="2"/>
      </w:numPr>
    </w:pPr>
  </w:style>
  <w:style w:type="paragraph" w:customStyle="1" w:styleId="178">
    <w:name w:val="示例内容"/>
    <w:qFormat/>
    <w:uiPriority w:val="0"/>
    <w:pPr>
      <w:ind w:left="400" w:leftChars="200" w:right="210" w:firstLine="200" w:firstLineChars="200"/>
    </w:pPr>
    <w:rPr>
      <w:rFonts w:ascii="宋体" w:hAnsi="Times New Roman" w:eastAsia="宋体" w:cs="Times New Roman"/>
      <w:sz w:val="18"/>
      <w:szCs w:val="18"/>
      <w:lang w:val="en-US" w:eastAsia="zh-CN" w:bidi="ar-SA"/>
    </w:rPr>
  </w:style>
  <w:style w:type="paragraph" w:customStyle="1" w:styleId="179">
    <w:name w:val="示例×："/>
    <w:basedOn w:val="118"/>
    <w:qFormat/>
    <w:uiPriority w:val="0"/>
    <w:pPr>
      <w:numPr>
        <w:ilvl w:val="0"/>
        <w:numId w:val="0"/>
      </w:numPr>
      <w:spacing w:beforeLines="0" w:afterLines="100"/>
      <w:ind w:left="400" w:leftChars="200" w:right="210" w:hanging="200" w:hangingChars="200"/>
      <w:outlineLvl w:val="9"/>
    </w:pPr>
    <w:rPr>
      <w:rFonts w:ascii="宋体" w:eastAsia="宋体"/>
      <w:sz w:val="18"/>
      <w:szCs w:val="18"/>
    </w:rPr>
  </w:style>
  <w:style w:type="paragraph" w:customStyle="1" w:styleId="180">
    <w:name w:val="xl142"/>
    <w:basedOn w:val="1"/>
    <w:qFormat/>
    <w:uiPriority w:val="0"/>
    <w:pPr>
      <w:widowControl/>
      <w:pBdr>
        <w:bottom w:val="single" w:color="auto" w:sz="8" w:space="0"/>
        <w:right w:val="single" w:color="auto" w:sz="8" w:space="0"/>
      </w:pBdr>
      <w:spacing w:before="100" w:beforeAutospacing="1" w:after="100" w:afterAutospacing="1"/>
      <w:jc w:val="center"/>
    </w:pPr>
    <w:rPr>
      <w:color w:val="000000"/>
      <w:kern w:val="0"/>
      <w:sz w:val="22"/>
      <w:szCs w:val="22"/>
    </w:rPr>
  </w:style>
  <w:style w:type="paragraph" w:customStyle="1" w:styleId="18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82">
    <w:name w:val="批注框文本1"/>
    <w:basedOn w:val="1"/>
    <w:qFormat/>
    <w:uiPriority w:val="0"/>
    <w:rPr>
      <w:sz w:val="18"/>
      <w:szCs w:val="18"/>
    </w:rPr>
  </w:style>
  <w:style w:type="paragraph" w:customStyle="1" w:styleId="183">
    <w:name w:val="xl120"/>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kern w:val="0"/>
      <w:sz w:val="22"/>
      <w:szCs w:val="22"/>
    </w:rPr>
  </w:style>
  <w:style w:type="paragraph" w:customStyle="1" w:styleId="184">
    <w:name w:val="注："/>
    <w:next w:val="113"/>
    <w:qFormat/>
    <w:uiPriority w:val="0"/>
    <w:pPr>
      <w:widowControl w:val="0"/>
      <w:numPr>
        <w:ilvl w:val="0"/>
        <w:numId w:val="6"/>
      </w:numPr>
      <w:autoSpaceDE w:val="0"/>
      <w:autoSpaceDN w:val="0"/>
      <w:jc w:val="both"/>
    </w:pPr>
    <w:rPr>
      <w:rFonts w:ascii="宋体" w:hAnsi="Times New Roman" w:eastAsia="宋体" w:cs="Times New Roman"/>
      <w:sz w:val="18"/>
      <w:lang w:val="en-US" w:eastAsia="zh-CN" w:bidi="ar-SA"/>
    </w:rPr>
  </w:style>
  <w:style w:type="paragraph" w:customStyle="1" w:styleId="185">
    <w:name w:val="附录表标号"/>
    <w:basedOn w:val="1"/>
    <w:next w:val="113"/>
    <w:qFormat/>
    <w:uiPriority w:val="0"/>
    <w:pPr>
      <w:widowControl/>
      <w:spacing w:line="14" w:lineRule="exact"/>
      <w:ind w:left="811" w:leftChars="200" w:right="210" w:hanging="448" w:hangingChars="200"/>
      <w:jc w:val="center"/>
      <w:outlineLvl w:val="0"/>
    </w:pPr>
    <w:rPr>
      <w:color w:val="FFFFFF"/>
    </w:rPr>
  </w:style>
  <w:style w:type="paragraph" w:customStyle="1" w:styleId="18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kern w:val="0"/>
      <w:szCs w:val="21"/>
    </w:rPr>
  </w:style>
  <w:style w:type="paragraph" w:customStyle="1" w:styleId="187">
    <w:name w:val="二级无标题条"/>
    <w:basedOn w:val="1"/>
    <w:qFormat/>
    <w:uiPriority w:val="0"/>
    <w:pPr>
      <w:numPr>
        <w:ilvl w:val="3"/>
        <w:numId w:val="2"/>
      </w:numPr>
    </w:pPr>
  </w:style>
  <w:style w:type="paragraph" w:customStyle="1" w:styleId="188">
    <w:name w:val="xl117"/>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189">
    <w:name w:val="xl13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90">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Cs w:val="21"/>
    </w:rPr>
  </w:style>
  <w:style w:type="paragraph" w:customStyle="1" w:styleId="191">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92">
    <w:name w:val="其他标准标志"/>
    <w:basedOn w:val="193"/>
    <w:qFormat/>
    <w:uiPriority w:val="0"/>
    <w:pPr>
      <w:framePr w:w="0" w:hRule="auto" w:vAnchor="margin" w:hAnchor="text" w:xAlign="left" w:yAlign="top" w:anchorLock="0"/>
      <w:ind w:left="400" w:leftChars="200" w:right="210" w:hanging="200" w:hangingChars="200"/>
    </w:pPr>
    <w:rPr>
      <w:szCs w:val="96"/>
    </w:rPr>
  </w:style>
  <w:style w:type="paragraph" w:customStyle="1" w:styleId="19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94">
    <w:name w:val="列项·"/>
    <w:qFormat/>
    <w:uiPriority w:val="0"/>
    <w:pPr>
      <w:numPr>
        <w:ilvl w:val="0"/>
        <w:numId w:val="7"/>
      </w:numPr>
      <w:ind w:left="840" w:leftChars="200" w:hanging="420" w:hangingChars="200"/>
      <w:jc w:val="both"/>
    </w:pPr>
    <w:rPr>
      <w:rFonts w:ascii="宋体" w:hAnsi="Times New Roman" w:eastAsia="宋体" w:cs="Times New Roman"/>
      <w:sz w:val="21"/>
      <w:lang w:val="en-US" w:eastAsia="zh-CN" w:bidi="ar-SA"/>
    </w:rPr>
  </w:style>
  <w:style w:type="paragraph" w:customStyle="1" w:styleId="195">
    <w:name w:val="图表脚注"/>
    <w:next w:val="113"/>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96">
    <w:name w:val="xl14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color w:val="000000"/>
      <w:kern w:val="0"/>
      <w:sz w:val="22"/>
      <w:szCs w:val="22"/>
    </w:rPr>
  </w:style>
  <w:style w:type="paragraph" w:customStyle="1" w:styleId="19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Cs w:val="21"/>
    </w:rPr>
  </w:style>
  <w:style w:type="paragraph" w:customStyle="1" w:styleId="198">
    <w:name w:val="附录五级无"/>
    <w:basedOn w:val="199"/>
    <w:qFormat/>
    <w:uiPriority w:val="0"/>
    <w:pPr>
      <w:numPr>
        <w:ilvl w:val="0"/>
        <w:numId w:val="0"/>
      </w:numPr>
      <w:tabs>
        <w:tab w:val="left" w:pos="360"/>
      </w:tabs>
      <w:spacing w:beforeLines="0"/>
      <w:ind w:left="400" w:leftChars="200" w:right="210" w:hanging="200" w:hangingChars="200"/>
      <w:jc w:val="left"/>
    </w:pPr>
    <w:rPr>
      <w:rFonts w:ascii="宋体"/>
      <w:szCs w:val="21"/>
    </w:rPr>
  </w:style>
  <w:style w:type="paragraph" w:customStyle="1" w:styleId="199">
    <w:name w:val="附录五级条标题"/>
    <w:basedOn w:val="200"/>
    <w:next w:val="113"/>
    <w:qFormat/>
    <w:uiPriority w:val="0"/>
    <w:pPr>
      <w:numPr>
        <w:ilvl w:val="6"/>
      </w:numPr>
      <w:outlineLvl w:val="6"/>
    </w:pPr>
  </w:style>
  <w:style w:type="paragraph" w:customStyle="1" w:styleId="200">
    <w:name w:val="附录四级条标题"/>
    <w:basedOn w:val="147"/>
    <w:next w:val="113"/>
    <w:qFormat/>
    <w:uiPriority w:val="0"/>
    <w:pPr>
      <w:numPr>
        <w:ilvl w:val="5"/>
      </w:numPr>
      <w:outlineLvl w:val="5"/>
    </w:pPr>
  </w:style>
  <w:style w:type="paragraph" w:customStyle="1" w:styleId="201">
    <w:name w:val="三级无"/>
    <w:basedOn w:val="173"/>
    <w:qFormat/>
    <w:uiPriority w:val="0"/>
    <w:pPr>
      <w:numPr>
        <w:ilvl w:val="0"/>
        <w:numId w:val="0"/>
      </w:numPr>
      <w:spacing w:beforeLines="0" w:after="50"/>
      <w:ind w:left="400" w:leftChars="200" w:right="210" w:hanging="200" w:hangingChars="200"/>
      <w:jc w:val="left"/>
    </w:pPr>
    <w:rPr>
      <w:rFonts w:ascii="宋体"/>
      <w:szCs w:val="21"/>
    </w:rPr>
  </w:style>
  <w:style w:type="paragraph" w:customStyle="1" w:styleId="202">
    <w:name w:val="附录二级无"/>
    <w:basedOn w:val="148"/>
    <w:qFormat/>
    <w:uiPriority w:val="0"/>
    <w:pPr>
      <w:numPr>
        <w:ilvl w:val="0"/>
        <w:numId w:val="0"/>
      </w:numPr>
      <w:spacing w:beforeLines="0"/>
      <w:ind w:left="400" w:leftChars="200" w:right="210" w:hanging="200" w:hangingChars="200"/>
      <w:jc w:val="left"/>
    </w:pPr>
    <w:rPr>
      <w:rFonts w:ascii="宋体"/>
      <w:szCs w:val="21"/>
    </w:rPr>
  </w:style>
  <w:style w:type="paragraph" w:customStyle="1" w:styleId="203">
    <w:name w:val="附录一级无"/>
    <w:basedOn w:val="149"/>
    <w:qFormat/>
    <w:uiPriority w:val="0"/>
    <w:pPr>
      <w:numPr>
        <w:ilvl w:val="0"/>
        <w:numId w:val="0"/>
      </w:numPr>
      <w:spacing w:beforeLines="0"/>
      <w:ind w:left="400" w:leftChars="200" w:right="210" w:hanging="200" w:hangingChars="200"/>
    </w:pPr>
    <w:rPr>
      <w:rFonts w:ascii="宋体"/>
      <w:szCs w:val="21"/>
    </w:rPr>
  </w:style>
  <w:style w:type="paragraph" w:customStyle="1" w:styleId="204">
    <w:name w:val="附录四级无"/>
    <w:basedOn w:val="200"/>
    <w:qFormat/>
    <w:uiPriority w:val="0"/>
    <w:pPr>
      <w:numPr>
        <w:ilvl w:val="0"/>
        <w:numId w:val="0"/>
      </w:numPr>
      <w:tabs>
        <w:tab w:val="left" w:pos="360"/>
      </w:tabs>
      <w:spacing w:beforeLines="0"/>
      <w:ind w:left="400" w:leftChars="200" w:right="210" w:hanging="200" w:hangingChars="200"/>
      <w:jc w:val="left"/>
    </w:pPr>
    <w:rPr>
      <w:rFonts w:ascii="宋体"/>
      <w:szCs w:val="21"/>
    </w:rPr>
  </w:style>
  <w:style w:type="paragraph" w:customStyle="1" w:styleId="205">
    <w:name w:val="xl74"/>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 w:val="22"/>
      <w:szCs w:val="22"/>
    </w:rPr>
  </w:style>
  <w:style w:type="paragraph" w:customStyle="1" w:styleId="206">
    <w:name w:val="xl108"/>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207">
    <w:name w:val="参考文献"/>
    <w:basedOn w:val="1"/>
    <w:next w:val="113"/>
    <w:qFormat/>
    <w:uiPriority w:val="0"/>
    <w:pPr>
      <w:keepNext/>
      <w:pageBreakBefore/>
      <w:widowControl/>
      <w:shd w:val="clear" w:color="FFFFFF" w:fill="FFFFFF"/>
      <w:spacing w:before="640" w:after="200"/>
      <w:ind w:left="400" w:leftChars="200" w:right="210" w:hanging="200" w:hangingChars="200"/>
      <w:jc w:val="center"/>
      <w:outlineLvl w:val="0"/>
    </w:pPr>
    <w:rPr>
      <w:rFonts w:ascii="黑体" w:eastAsia="黑体"/>
      <w:kern w:val="0"/>
      <w:szCs w:val="20"/>
    </w:rPr>
  </w:style>
  <w:style w:type="paragraph" w:customStyle="1" w:styleId="208">
    <w:name w:val="图的脚注"/>
    <w:next w:val="113"/>
    <w:qFormat/>
    <w:uiPriority w:val="0"/>
    <w:pPr>
      <w:widowControl w:val="0"/>
      <w:ind w:left="840" w:leftChars="200" w:right="210" w:hanging="420" w:hangingChars="200"/>
      <w:jc w:val="both"/>
    </w:pPr>
    <w:rPr>
      <w:rFonts w:ascii="宋体" w:hAnsi="Times New Roman" w:eastAsia="宋体" w:cs="Times New Roman"/>
      <w:sz w:val="18"/>
      <w:lang w:val="en-US" w:eastAsia="zh-CN" w:bidi="ar-SA"/>
    </w:rPr>
  </w:style>
  <w:style w:type="paragraph" w:customStyle="1" w:styleId="209">
    <w:name w:val="xl72"/>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210">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2"/>
      <w:szCs w:val="22"/>
    </w:rPr>
  </w:style>
  <w:style w:type="paragraph" w:customStyle="1" w:styleId="211">
    <w:name w:val="xl138"/>
    <w:basedOn w:val="1"/>
    <w:qFormat/>
    <w:uiPriority w:val="0"/>
    <w:pPr>
      <w:widowControl/>
      <w:pBdr>
        <w:bottom w:val="single" w:color="auto" w:sz="8" w:space="0"/>
        <w:right w:val="single" w:color="auto" w:sz="8" w:space="0"/>
      </w:pBdr>
      <w:spacing w:before="100" w:beforeAutospacing="1" w:after="100" w:afterAutospacing="1"/>
      <w:jc w:val="center"/>
    </w:pPr>
    <w:rPr>
      <w:color w:val="000000"/>
      <w:kern w:val="0"/>
      <w:sz w:val="22"/>
      <w:szCs w:val="22"/>
    </w:rPr>
  </w:style>
  <w:style w:type="paragraph" w:customStyle="1" w:styleId="212">
    <w:name w:val="xl141"/>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color w:val="000000"/>
      <w:kern w:val="0"/>
      <w:sz w:val="22"/>
      <w:szCs w:val="22"/>
    </w:rPr>
  </w:style>
  <w:style w:type="paragraph" w:customStyle="1" w:styleId="213">
    <w:name w:val="图表脚注说明"/>
    <w:basedOn w:val="1"/>
    <w:qFormat/>
    <w:uiPriority w:val="0"/>
    <w:pPr>
      <w:widowControl/>
      <w:ind w:left="544" w:leftChars="200" w:right="210" w:hanging="181" w:hangingChars="200"/>
      <w:jc w:val="left"/>
    </w:pPr>
    <w:rPr>
      <w:rFonts w:ascii="宋体"/>
      <w:sz w:val="18"/>
      <w:szCs w:val="18"/>
    </w:rPr>
  </w:style>
  <w:style w:type="paragraph" w:customStyle="1" w:styleId="214">
    <w:name w:val="xl119"/>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kern w:val="0"/>
      <w:sz w:val="22"/>
      <w:szCs w:val="22"/>
    </w:rPr>
  </w:style>
  <w:style w:type="paragraph" w:customStyle="1" w:styleId="215">
    <w:name w:val="标准书眉一"/>
    <w:qFormat/>
    <w:uiPriority w:val="0"/>
    <w:pPr>
      <w:jc w:val="both"/>
    </w:pPr>
    <w:rPr>
      <w:rFonts w:ascii="Times New Roman" w:hAnsi="Times New Roman" w:eastAsia="宋体" w:cs="Times New Roman"/>
      <w:lang w:val="en-US" w:eastAsia="zh-CN" w:bidi="ar-SA"/>
    </w:rPr>
  </w:style>
  <w:style w:type="paragraph" w:customStyle="1" w:styleId="216">
    <w:name w:val="xl10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217">
    <w:name w:val="xl123"/>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 w:val="22"/>
      <w:szCs w:val="22"/>
    </w:rPr>
  </w:style>
  <w:style w:type="paragraph" w:customStyle="1" w:styleId="218">
    <w:name w:val="标准"/>
    <w:basedOn w:val="1"/>
    <w:qFormat/>
    <w:uiPriority w:val="0"/>
    <w:pPr>
      <w:adjustRightInd w:val="0"/>
      <w:spacing w:line="312" w:lineRule="atLeast"/>
      <w:jc w:val="center"/>
      <w:textAlignment w:val="baseline"/>
    </w:pPr>
    <w:rPr>
      <w:kern w:val="0"/>
      <w:szCs w:val="20"/>
    </w:rPr>
  </w:style>
  <w:style w:type="paragraph" w:customStyle="1" w:styleId="21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20">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221">
    <w:name w:val="四级无标题条"/>
    <w:basedOn w:val="1"/>
    <w:qFormat/>
    <w:uiPriority w:val="0"/>
    <w:pPr>
      <w:numPr>
        <w:ilvl w:val="5"/>
        <w:numId w:val="2"/>
      </w:numPr>
    </w:pPr>
  </w:style>
  <w:style w:type="paragraph" w:customStyle="1" w:styleId="222">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Cs w:val="21"/>
    </w:rPr>
  </w:style>
  <w:style w:type="paragraph" w:customStyle="1" w:styleId="223">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224">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2"/>
      <w:szCs w:val="22"/>
    </w:rPr>
  </w:style>
  <w:style w:type="paragraph" w:customStyle="1" w:styleId="225">
    <w:name w:val="_Style 317"/>
    <w:unhideWhenUsed/>
    <w:qFormat/>
    <w:uiPriority w:val="99"/>
    <w:rPr>
      <w:rFonts w:ascii="Times New Roman" w:hAnsi="Times New Roman" w:eastAsia="宋体" w:cs="Times New Roman"/>
      <w:kern w:val="2"/>
      <w:sz w:val="21"/>
      <w:szCs w:val="24"/>
      <w:lang w:val="en-US" w:eastAsia="zh-CN" w:bidi="ar-SA"/>
    </w:rPr>
  </w:style>
  <w:style w:type="paragraph" w:customStyle="1" w:styleId="226">
    <w:name w:val="xl134"/>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7">
    <w:name w:val="封面标准名称2"/>
    <w:basedOn w:val="219"/>
    <w:qFormat/>
    <w:uiPriority w:val="0"/>
    <w:pPr>
      <w:framePr w:w="0" w:hRule="auto" w:vAnchor="margin" w:hAnchor="text" w:xAlign="left" w:yAlign="top" w:anchorLock="0"/>
      <w:spacing w:beforeLines="630"/>
      <w:ind w:left="400" w:leftChars="200" w:right="210" w:hanging="200" w:hangingChars="200"/>
    </w:pPr>
  </w:style>
  <w:style w:type="paragraph" w:customStyle="1" w:styleId="228">
    <w:name w:val="xl105"/>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229">
    <w:name w:val="附录数字编号列项（二级）"/>
    <w:qFormat/>
    <w:uiPriority w:val="0"/>
    <w:pPr>
      <w:tabs>
        <w:tab w:val="left" w:pos="840"/>
      </w:tabs>
      <w:ind w:left="839" w:leftChars="200" w:right="210" w:hanging="419" w:hangingChars="200"/>
    </w:pPr>
    <w:rPr>
      <w:rFonts w:ascii="宋体" w:hAnsi="Times New Roman" w:eastAsia="宋体" w:cs="Times New Roman"/>
      <w:sz w:val="21"/>
      <w:lang w:val="en-US" w:eastAsia="zh-CN" w:bidi="ar-SA"/>
    </w:rPr>
  </w:style>
  <w:style w:type="paragraph" w:customStyle="1" w:styleId="23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31">
    <w:name w:val="四级无"/>
    <w:basedOn w:val="172"/>
    <w:qFormat/>
    <w:uiPriority w:val="0"/>
    <w:pPr>
      <w:numPr>
        <w:ilvl w:val="0"/>
        <w:numId w:val="0"/>
      </w:numPr>
      <w:spacing w:beforeLines="0" w:after="50"/>
      <w:ind w:left="400" w:leftChars="200" w:right="210" w:hanging="200" w:hangingChars="200"/>
      <w:jc w:val="left"/>
    </w:pPr>
    <w:rPr>
      <w:rFonts w:ascii="宋体"/>
      <w:szCs w:val="21"/>
    </w:rPr>
  </w:style>
  <w:style w:type="paragraph" w:customStyle="1" w:styleId="232">
    <w:name w:val="注：（正文）"/>
    <w:basedOn w:val="184"/>
    <w:next w:val="113"/>
    <w:qFormat/>
    <w:uiPriority w:val="0"/>
    <w:pPr>
      <w:numPr>
        <w:ilvl w:val="0"/>
        <w:numId w:val="0"/>
      </w:numPr>
      <w:ind w:left="726" w:leftChars="200" w:right="210" w:hanging="363" w:hangingChars="200"/>
    </w:pPr>
    <w:rPr>
      <w:szCs w:val="18"/>
    </w:rPr>
  </w:style>
  <w:style w:type="paragraph" w:customStyle="1" w:styleId="233">
    <w:name w:val="xl73"/>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234">
    <w:name w:val="xl146"/>
    <w:basedOn w:val="1"/>
    <w:qFormat/>
    <w:uiPriority w:val="0"/>
    <w:pPr>
      <w:widowControl/>
      <w:pBdr>
        <w:bottom w:val="single" w:color="auto" w:sz="8" w:space="0"/>
        <w:right w:val="single" w:color="auto" w:sz="8" w:space="0"/>
      </w:pBdr>
      <w:spacing w:before="100" w:beforeAutospacing="1" w:after="100" w:afterAutospacing="1"/>
      <w:jc w:val="center"/>
    </w:pPr>
    <w:rPr>
      <w:color w:val="000000"/>
      <w:kern w:val="0"/>
      <w:sz w:val="22"/>
      <w:szCs w:val="22"/>
    </w:rPr>
  </w:style>
  <w:style w:type="paragraph" w:customStyle="1" w:styleId="235">
    <w:name w:val="xl93"/>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kern w:val="0"/>
      <w:sz w:val="22"/>
      <w:szCs w:val="22"/>
    </w:rPr>
  </w:style>
  <w:style w:type="paragraph" w:customStyle="1" w:styleId="23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23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2"/>
      <w:szCs w:val="22"/>
    </w:rPr>
  </w:style>
  <w:style w:type="paragraph" w:customStyle="1" w:styleId="239">
    <w:name w:val="终结线"/>
    <w:basedOn w:val="1"/>
    <w:qFormat/>
    <w:uiPriority w:val="0"/>
    <w:pPr>
      <w:widowControl/>
      <w:ind w:left="400" w:leftChars="200" w:right="210" w:hanging="200" w:hangingChars="200"/>
      <w:jc w:val="left"/>
    </w:pPr>
  </w:style>
  <w:style w:type="paragraph" w:customStyle="1" w:styleId="240">
    <w:name w:val="xl14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color w:val="000000"/>
      <w:kern w:val="0"/>
      <w:sz w:val="22"/>
      <w:szCs w:val="22"/>
    </w:rPr>
  </w:style>
  <w:style w:type="paragraph" w:customStyle="1" w:styleId="241">
    <w:name w:val="列项——（一级）"/>
    <w:qFormat/>
    <w:uiPriority w:val="0"/>
    <w:pPr>
      <w:widowControl w:val="0"/>
      <w:ind w:left="833" w:leftChars="200" w:right="210" w:hanging="408" w:hangingChars="200"/>
      <w:jc w:val="both"/>
    </w:pPr>
    <w:rPr>
      <w:rFonts w:ascii="宋体" w:hAnsi="Times New Roman" w:eastAsia="宋体" w:cs="Times New Roman"/>
      <w:sz w:val="21"/>
      <w:lang w:val="en-US" w:eastAsia="zh-CN" w:bidi="ar-SA"/>
    </w:rPr>
  </w:style>
  <w:style w:type="paragraph" w:customStyle="1" w:styleId="242">
    <w:name w:val="正文公式编号制表符"/>
    <w:basedOn w:val="113"/>
    <w:next w:val="113"/>
    <w:qFormat/>
    <w:uiPriority w:val="0"/>
    <w:pPr>
      <w:tabs>
        <w:tab w:val="center" w:pos="4201"/>
        <w:tab w:val="right" w:leader="dot" w:pos="9298"/>
      </w:tabs>
      <w:ind w:left="400" w:leftChars="200" w:right="210" w:firstLine="0" w:firstLineChars="0"/>
    </w:pPr>
    <w:rPr>
      <w:rFonts w:ascii="Times New Roman" w:cs="黑体"/>
      <w:kern w:val="2"/>
      <w:szCs w:val="22"/>
    </w:rPr>
  </w:style>
  <w:style w:type="paragraph" w:customStyle="1" w:styleId="243">
    <w:name w:val="xl110"/>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244">
    <w:name w:val="xl76"/>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245">
    <w:name w:val="xl116"/>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246">
    <w:name w:val="正文表标题"/>
    <w:next w:val="113"/>
    <w:qFormat/>
    <w:uiPriority w:val="0"/>
    <w:pPr>
      <w:numPr>
        <w:ilvl w:val="0"/>
        <w:numId w:val="8"/>
      </w:numPr>
      <w:jc w:val="center"/>
    </w:pPr>
    <w:rPr>
      <w:rFonts w:ascii="黑体" w:hAnsi="Times New Roman" w:eastAsia="黑体" w:cs="Times New Roman"/>
      <w:sz w:val="21"/>
      <w:lang w:val="en-US" w:eastAsia="zh-CN" w:bidi="ar-SA"/>
    </w:rPr>
  </w:style>
  <w:style w:type="paragraph" w:customStyle="1" w:styleId="247">
    <w:name w:val="xl8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b/>
      <w:bCs/>
      <w:kern w:val="0"/>
      <w:szCs w:val="21"/>
    </w:rPr>
  </w:style>
  <w:style w:type="paragraph" w:customStyle="1" w:styleId="248">
    <w:name w:val="xl85"/>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 w:val="22"/>
      <w:szCs w:val="22"/>
    </w:rPr>
  </w:style>
  <w:style w:type="paragraph" w:customStyle="1" w:styleId="249">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5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51">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2"/>
      <w:szCs w:val="22"/>
    </w:rPr>
  </w:style>
  <w:style w:type="paragraph" w:customStyle="1" w:styleId="252">
    <w:name w:val="编号列项（三级）"/>
    <w:qFormat/>
    <w:uiPriority w:val="0"/>
    <w:pPr>
      <w:tabs>
        <w:tab w:val="left" w:pos="0"/>
      </w:tabs>
      <w:ind w:left="1679" w:leftChars="200" w:right="210" w:hanging="420" w:hangingChars="200"/>
    </w:pPr>
    <w:rPr>
      <w:rFonts w:ascii="宋体" w:hAnsi="Times New Roman" w:eastAsia="宋体" w:cs="Times New Roman"/>
      <w:sz w:val="21"/>
      <w:lang w:val="en-US" w:eastAsia="zh-CN" w:bidi="ar-SA"/>
    </w:rPr>
  </w:style>
  <w:style w:type="paragraph" w:customStyle="1" w:styleId="253">
    <w:name w:val="xl90"/>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kern w:val="0"/>
      <w:sz w:val="22"/>
      <w:szCs w:val="22"/>
    </w:rPr>
  </w:style>
  <w:style w:type="paragraph" w:customStyle="1" w:styleId="254">
    <w:name w:val="xl13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55">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256">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2"/>
      <w:szCs w:val="22"/>
    </w:rPr>
  </w:style>
  <w:style w:type="paragraph" w:customStyle="1" w:styleId="257">
    <w:name w:val="xl70"/>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258">
    <w:name w:val="xl115"/>
    <w:basedOn w:val="1"/>
    <w:qFormat/>
    <w:uiPriority w:val="0"/>
    <w:pPr>
      <w:widowControl/>
      <w:pBdr>
        <w:right w:val="single" w:color="auto" w:sz="8" w:space="0"/>
      </w:pBdr>
      <w:spacing w:before="100" w:beforeAutospacing="1" w:after="100" w:afterAutospacing="1"/>
      <w:jc w:val="center"/>
      <w:textAlignment w:val="center"/>
    </w:pPr>
    <w:rPr>
      <w:color w:val="000000"/>
      <w:kern w:val="0"/>
      <w:sz w:val="22"/>
      <w:szCs w:val="22"/>
    </w:rPr>
  </w:style>
  <w:style w:type="paragraph" w:customStyle="1" w:styleId="259">
    <w:name w:val="附录字母编号列项（一级）"/>
    <w:qFormat/>
    <w:uiPriority w:val="0"/>
    <w:pPr>
      <w:tabs>
        <w:tab w:val="left" w:pos="839"/>
      </w:tabs>
      <w:ind w:left="839" w:leftChars="200" w:right="210" w:hanging="419" w:hangingChars="200"/>
    </w:pPr>
    <w:rPr>
      <w:rFonts w:ascii="宋体" w:hAnsi="Times New Roman" w:eastAsia="宋体" w:cs="Times New Roman"/>
      <w:sz w:val="21"/>
      <w:lang w:val="en-US" w:eastAsia="zh-CN" w:bidi="ar-SA"/>
    </w:rPr>
  </w:style>
  <w:style w:type="paragraph" w:customStyle="1" w:styleId="26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Cs w:val="21"/>
    </w:rPr>
  </w:style>
  <w:style w:type="paragraph" w:customStyle="1" w:styleId="261">
    <w:name w:val="xl96"/>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 w:val="22"/>
      <w:szCs w:val="22"/>
    </w:rPr>
  </w:style>
  <w:style w:type="paragraph" w:customStyle="1" w:styleId="262">
    <w:name w:val="xl81"/>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263">
    <w:name w:val="xl140"/>
    <w:basedOn w:val="1"/>
    <w:qFormat/>
    <w:uiPriority w:val="0"/>
    <w:pPr>
      <w:widowControl/>
      <w:pBdr>
        <w:bottom w:val="single" w:color="auto" w:sz="8" w:space="0"/>
        <w:right w:val="single" w:color="auto" w:sz="8" w:space="0"/>
      </w:pBdr>
      <w:spacing w:before="100" w:beforeAutospacing="1" w:after="100" w:afterAutospacing="1"/>
      <w:jc w:val="center"/>
    </w:pPr>
    <w:rPr>
      <w:color w:val="000000"/>
      <w:kern w:val="0"/>
      <w:sz w:val="22"/>
      <w:szCs w:val="22"/>
    </w:rPr>
  </w:style>
  <w:style w:type="paragraph" w:customStyle="1" w:styleId="264">
    <w:name w:val="二级无"/>
    <w:basedOn w:val="169"/>
    <w:qFormat/>
    <w:uiPriority w:val="0"/>
    <w:pPr>
      <w:numPr>
        <w:ilvl w:val="0"/>
        <w:numId w:val="0"/>
      </w:numPr>
      <w:spacing w:beforeLines="0" w:after="50"/>
      <w:ind w:left="400" w:leftChars="200" w:right="210" w:hanging="200" w:hangingChars="200"/>
      <w:jc w:val="left"/>
    </w:pPr>
    <w:rPr>
      <w:rFonts w:ascii="宋体"/>
      <w:szCs w:val="21"/>
    </w:rPr>
  </w:style>
  <w:style w:type="paragraph" w:customStyle="1" w:styleId="265">
    <w:name w:val="封面标准英文名称2"/>
    <w:basedOn w:val="191"/>
    <w:qFormat/>
    <w:uiPriority w:val="0"/>
    <w:pPr>
      <w:ind w:left="400" w:leftChars="200" w:right="210" w:hanging="200" w:hangingChars="200"/>
      <w:textAlignment w:val="center"/>
    </w:pPr>
    <w:rPr>
      <w:rFonts w:eastAsia="黑体"/>
      <w:szCs w:val="28"/>
    </w:rPr>
  </w:style>
  <w:style w:type="paragraph" w:customStyle="1" w:styleId="266">
    <w:name w:val="xl137"/>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color w:val="000000"/>
      <w:kern w:val="0"/>
      <w:sz w:val="22"/>
      <w:szCs w:val="22"/>
    </w:rPr>
  </w:style>
  <w:style w:type="paragraph" w:customStyle="1" w:styleId="267">
    <w:name w:val="图标脚注说明"/>
    <w:basedOn w:val="113"/>
    <w:qFormat/>
    <w:uiPriority w:val="0"/>
    <w:pPr>
      <w:tabs>
        <w:tab w:val="center" w:pos="4201"/>
        <w:tab w:val="right" w:leader="dot" w:pos="9298"/>
      </w:tabs>
      <w:ind w:left="840" w:leftChars="200" w:right="210" w:hanging="420" w:firstLineChars="0"/>
    </w:pPr>
    <w:rPr>
      <w:rFonts w:hAnsi="Calibri" w:cs="黑体"/>
      <w:kern w:val="2"/>
      <w:sz w:val="18"/>
      <w:szCs w:val="18"/>
    </w:rPr>
  </w:style>
  <w:style w:type="paragraph" w:customStyle="1" w:styleId="268">
    <w:name w:val="xl7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269">
    <w:name w:val="xl91"/>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kern w:val="0"/>
      <w:sz w:val="22"/>
      <w:szCs w:val="22"/>
    </w:rPr>
  </w:style>
  <w:style w:type="paragraph" w:customStyle="1" w:styleId="270">
    <w:name w:val="xl9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b/>
      <w:bCs/>
      <w:color w:val="000000"/>
      <w:kern w:val="0"/>
      <w:szCs w:val="21"/>
    </w:rPr>
  </w:style>
  <w:style w:type="paragraph" w:customStyle="1" w:styleId="271">
    <w:name w:val="xl109"/>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 w:val="22"/>
      <w:szCs w:val="22"/>
    </w:rPr>
  </w:style>
  <w:style w:type="paragraph" w:customStyle="1" w:styleId="272">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2"/>
      <w:szCs w:val="22"/>
    </w:rPr>
  </w:style>
  <w:style w:type="paragraph" w:customStyle="1" w:styleId="273">
    <w:name w:val="列项——"/>
    <w:qFormat/>
    <w:uiPriority w:val="0"/>
    <w:pPr>
      <w:widowControl w:val="0"/>
      <w:numPr>
        <w:ilvl w:val="0"/>
        <w:numId w:val="9"/>
      </w:numPr>
      <w:ind w:left="200" w:leftChars="200" w:hanging="200" w:hangingChars="200"/>
      <w:jc w:val="both"/>
    </w:pPr>
    <w:rPr>
      <w:rFonts w:ascii="宋体" w:hAnsi="Times New Roman" w:eastAsia="宋体" w:cs="Times New Roman"/>
      <w:sz w:val="21"/>
      <w:lang w:val="en-US" w:eastAsia="zh-CN" w:bidi="ar-SA"/>
    </w:rPr>
  </w:style>
  <w:style w:type="paragraph" w:customStyle="1" w:styleId="274">
    <w:name w:val="xl92"/>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kern w:val="0"/>
      <w:sz w:val="22"/>
      <w:szCs w:val="22"/>
    </w:rPr>
  </w:style>
  <w:style w:type="paragraph" w:customStyle="1" w:styleId="275">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276">
    <w:name w:val="列项说明"/>
    <w:basedOn w:val="1"/>
    <w:qFormat/>
    <w:uiPriority w:val="0"/>
    <w:pPr>
      <w:widowControl/>
      <w:adjustRightInd w:val="0"/>
      <w:spacing w:line="320" w:lineRule="exact"/>
      <w:ind w:left="400" w:leftChars="200" w:right="210" w:hanging="200" w:hangingChars="200"/>
      <w:jc w:val="left"/>
      <w:textAlignment w:val="baseline"/>
    </w:pPr>
    <w:rPr>
      <w:rFonts w:ascii="宋体"/>
      <w:kern w:val="0"/>
      <w:szCs w:val="20"/>
    </w:rPr>
  </w:style>
  <w:style w:type="paragraph" w:customStyle="1" w:styleId="277">
    <w:name w:val="封面一致性程度标识2"/>
    <w:basedOn w:val="220"/>
    <w:qFormat/>
    <w:uiPriority w:val="0"/>
    <w:pPr>
      <w:widowControl w:val="0"/>
      <w:ind w:left="400" w:leftChars="200" w:right="210" w:hanging="200" w:hangingChars="200"/>
      <w:textAlignment w:val="center"/>
    </w:pPr>
    <w:rPr>
      <w:szCs w:val="28"/>
    </w:rPr>
  </w:style>
  <w:style w:type="paragraph" w:customStyle="1" w:styleId="278">
    <w:name w:val="xl118"/>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kern w:val="0"/>
      <w:sz w:val="22"/>
      <w:szCs w:val="22"/>
    </w:rPr>
  </w:style>
  <w:style w:type="paragraph" w:customStyle="1" w:styleId="279">
    <w:name w:val="xl147"/>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 w:val="22"/>
      <w:szCs w:val="22"/>
    </w:rPr>
  </w:style>
  <w:style w:type="paragraph" w:customStyle="1" w:styleId="280">
    <w:name w:val="附录标识"/>
    <w:basedOn w:val="163"/>
    <w:qFormat/>
    <w:uiPriority w:val="0"/>
    <w:pPr>
      <w:numPr>
        <w:numId w:val="3"/>
      </w:numPr>
      <w:tabs>
        <w:tab w:val="left" w:pos="6405"/>
      </w:tabs>
      <w:spacing w:after="200"/>
    </w:pPr>
    <w:rPr>
      <w:rFonts w:ascii="Times New Roman" w:eastAsia="宋体"/>
      <w:sz w:val="21"/>
    </w:rPr>
  </w:style>
  <w:style w:type="paragraph" w:customStyle="1" w:styleId="281">
    <w:name w:val="xl121"/>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282">
    <w:name w:val="列出段落2"/>
    <w:basedOn w:val="1"/>
    <w:qFormat/>
    <w:uiPriority w:val="99"/>
    <w:pPr>
      <w:ind w:firstLine="420" w:firstLineChars="200"/>
    </w:pPr>
    <w:rPr>
      <w:szCs w:val="22"/>
    </w:rPr>
  </w:style>
  <w:style w:type="paragraph" w:customStyle="1" w:styleId="283">
    <w:name w:val="xl89"/>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b/>
      <w:bCs/>
      <w:kern w:val="0"/>
      <w:szCs w:val="21"/>
    </w:rPr>
  </w:style>
  <w:style w:type="paragraph" w:customStyle="1" w:styleId="284">
    <w:name w:val="附录标题"/>
    <w:basedOn w:val="113"/>
    <w:next w:val="113"/>
    <w:qFormat/>
    <w:uiPriority w:val="0"/>
    <w:pPr>
      <w:tabs>
        <w:tab w:val="center" w:pos="4201"/>
        <w:tab w:val="right" w:leader="dot" w:pos="9298"/>
      </w:tabs>
      <w:ind w:left="400" w:leftChars="200" w:right="210" w:firstLine="0" w:firstLineChars="0"/>
      <w:jc w:val="center"/>
    </w:pPr>
    <w:rPr>
      <w:rFonts w:ascii="黑体" w:hAnsi="Calibri" w:eastAsia="黑体" w:cs="黑体"/>
      <w:kern w:val="2"/>
      <w:szCs w:val="22"/>
    </w:rPr>
  </w:style>
  <w:style w:type="paragraph" w:customStyle="1" w:styleId="285">
    <w:name w:val="xl139"/>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color w:val="000000"/>
      <w:kern w:val="0"/>
      <w:sz w:val="22"/>
      <w:szCs w:val="22"/>
    </w:rPr>
  </w:style>
  <w:style w:type="paragraph" w:customStyle="1" w:styleId="286">
    <w:name w:val="xl88"/>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b/>
      <w:bCs/>
      <w:kern w:val="0"/>
      <w:szCs w:val="21"/>
    </w:rPr>
  </w:style>
  <w:style w:type="paragraph" w:customStyle="1" w:styleId="287">
    <w:name w:val="其他发布日期"/>
    <w:basedOn w:val="132"/>
    <w:qFormat/>
    <w:uiPriority w:val="0"/>
    <w:pPr>
      <w:framePr w:w="0" w:hRule="auto" w:hSpace="0" w:vSpace="0" w:vAnchor="margin" w:hAnchor="text" w:yAlign="top" w:anchorLock="0"/>
      <w:ind w:left="400" w:leftChars="200" w:right="210" w:hanging="200" w:hangingChars="200"/>
    </w:pPr>
  </w:style>
  <w:style w:type="paragraph" w:customStyle="1" w:styleId="288">
    <w:name w:val="xl9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b/>
      <w:bCs/>
      <w:color w:val="000000"/>
      <w:kern w:val="0"/>
      <w:szCs w:val="21"/>
    </w:rPr>
  </w:style>
  <w:style w:type="paragraph" w:customStyle="1" w:styleId="289">
    <w:name w:val="封面正文"/>
    <w:qFormat/>
    <w:uiPriority w:val="0"/>
    <w:pPr>
      <w:jc w:val="both"/>
    </w:pPr>
    <w:rPr>
      <w:rFonts w:ascii="Times New Roman" w:hAnsi="Times New Roman" w:eastAsia="宋体" w:cs="Times New Roman"/>
      <w:lang w:val="en-US" w:eastAsia="zh-CN" w:bidi="ar-SA"/>
    </w:rPr>
  </w:style>
  <w:style w:type="paragraph" w:customStyle="1" w:styleId="290">
    <w:name w:val="封面标准文稿编辑信息2"/>
    <w:basedOn w:val="291"/>
    <w:qFormat/>
    <w:uiPriority w:val="0"/>
    <w:pPr>
      <w:widowControl w:val="0"/>
      <w:spacing w:after="160"/>
      <w:ind w:left="400" w:leftChars="200" w:right="210" w:hanging="200" w:hangingChars="200"/>
      <w:textAlignment w:val="center"/>
    </w:pPr>
    <w:rPr>
      <w:szCs w:val="28"/>
    </w:rPr>
  </w:style>
  <w:style w:type="paragraph" w:customStyle="1" w:styleId="291">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92">
    <w:name w:val="xl80"/>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293">
    <w:name w:val="xl78"/>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294">
    <w:name w:val="附录三级无"/>
    <w:basedOn w:val="147"/>
    <w:qFormat/>
    <w:uiPriority w:val="0"/>
    <w:pPr>
      <w:numPr>
        <w:ilvl w:val="0"/>
        <w:numId w:val="0"/>
      </w:numPr>
      <w:tabs>
        <w:tab w:val="left" w:pos="360"/>
      </w:tabs>
      <w:spacing w:beforeLines="0"/>
      <w:ind w:left="400" w:leftChars="200" w:right="210" w:hanging="200" w:hangingChars="200"/>
      <w:jc w:val="left"/>
    </w:pPr>
    <w:rPr>
      <w:rFonts w:ascii="宋体"/>
      <w:szCs w:val="21"/>
    </w:rPr>
  </w:style>
  <w:style w:type="paragraph" w:customStyle="1" w:styleId="295">
    <w:name w:val="xl8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等线" w:hAnsi="等线" w:eastAsia="等线" w:cs="宋体"/>
      <w:kern w:val="0"/>
      <w:szCs w:val="21"/>
    </w:rPr>
  </w:style>
  <w:style w:type="paragraph" w:customStyle="1" w:styleId="296">
    <w:name w:val="列出段落1"/>
    <w:basedOn w:val="1"/>
    <w:qFormat/>
    <w:uiPriority w:val="34"/>
    <w:pPr>
      <w:ind w:firstLine="420" w:firstLineChars="200"/>
    </w:pPr>
  </w:style>
  <w:style w:type="paragraph" w:customStyle="1" w:styleId="297">
    <w:name w:val="附录图标题"/>
    <w:next w:val="113"/>
    <w:qFormat/>
    <w:uiPriority w:val="0"/>
    <w:pPr>
      <w:jc w:val="center"/>
    </w:pPr>
    <w:rPr>
      <w:rFonts w:ascii="黑体" w:hAnsi="Times New Roman" w:eastAsia="黑体" w:cs="Times New Roman"/>
      <w:sz w:val="21"/>
      <w:lang w:val="en-US" w:eastAsia="zh-CN" w:bidi="ar-SA"/>
    </w:rPr>
  </w:style>
  <w:style w:type="paragraph" w:customStyle="1" w:styleId="298">
    <w:name w:val="xl10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299">
    <w:name w:val="xl144"/>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color w:val="000000"/>
      <w:kern w:val="0"/>
      <w:sz w:val="22"/>
      <w:szCs w:val="22"/>
    </w:rPr>
  </w:style>
  <w:style w:type="paragraph" w:customStyle="1" w:styleId="300">
    <w:name w:val="p0"/>
    <w:basedOn w:val="1"/>
    <w:qFormat/>
    <w:uiPriority w:val="0"/>
    <w:pPr>
      <w:widowControl/>
      <w:ind w:left="400" w:leftChars="200" w:right="210" w:hanging="200" w:hangingChars="200"/>
      <w:jc w:val="left"/>
    </w:pPr>
    <w:rPr>
      <w:kern w:val="0"/>
      <w:szCs w:val="21"/>
    </w:rPr>
  </w:style>
  <w:style w:type="paragraph" w:customStyle="1" w:styleId="301">
    <w:name w:val="xl11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color w:val="000000"/>
      <w:kern w:val="0"/>
      <w:sz w:val="22"/>
      <w:szCs w:val="22"/>
    </w:rPr>
  </w:style>
  <w:style w:type="paragraph" w:customStyle="1" w:styleId="302">
    <w:name w:val="标准书眉_偶数页"/>
    <w:basedOn w:val="230"/>
    <w:next w:val="1"/>
    <w:qFormat/>
    <w:uiPriority w:val="0"/>
    <w:pPr>
      <w:jc w:val="left"/>
    </w:pPr>
  </w:style>
  <w:style w:type="paragraph" w:customStyle="1" w:styleId="303">
    <w:name w:val="示例"/>
    <w:next w:val="113"/>
    <w:qFormat/>
    <w:uiPriority w:val="0"/>
    <w:pPr>
      <w:numPr>
        <w:ilvl w:val="0"/>
        <w:numId w:val="10"/>
      </w:numPr>
      <w:ind w:firstLine="419" w:firstLineChars="233"/>
      <w:jc w:val="both"/>
    </w:pPr>
    <w:rPr>
      <w:rFonts w:ascii="宋体" w:hAnsi="Times New Roman" w:eastAsia="宋体" w:cs="Times New Roman"/>
      <w:sz w:val="18"/>
      <w:lang w:val="en-US" w:eastAsia="zh-CN" w:bidi="ar-SA"/>
    </w:rPr>
  </w:style>
  <w:style w:type="paragraph" w:customStyle="1" w:styleId="304">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2"/>
      <w:szCs w:val="22"/>
    </w:rPr>
  </w:style>
  <w:style w:type="paragraph" w:customStyle="1" w:styleId="305">
    <w:name w:val="xl125"/>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 w:val="22"/>
      <w:szCs w:val="22"/>
    </w:rPr>
  </w:style>
  <w:style w:type="paragraph" w:customStyle="1" w:styleId="306">
    <w:name w:val="五级无标题条"/>
    <w:basedOn w:val="1"/>
    <w:qFormat/>
    <w:uiPriority w:val="0"/>
    <w:pPr>
      <w:numPr>
        <w:ilvl w:val="6"/>
        <w:numId w:val="2"/>
      </w:numPr>
    </w:pPr>
  </w:style>
  <w:style w:type="paragraph" w:customStyle="1" w:styleId="307">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308">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309">
    <w:name w:val="附录图标号"/>
    <w:basedOn w:val="1"/>
    <w:qFormat/>
    <w:uiPriority w:val="0"/>
    <w:pPr>
      <w:keepNext/>
      <w:pageBreakBefore/>
      <w:widowControl/>
      <w:spacing w:line="14" w:lineRule="exact"/>
      <w:ind w:left="400" w:leftChars="200" w:right="210" w:hanging="200" w:hangingChars="200"/>
      <w:jc w:val="center"/>
      <w:outlineLvl w:val="0"/>
    </w:pPr>
    <w:rPr>
      <w:color w:val="FFFFFF"/>
    </w:rPr>
  </w:style>
  <w:style w:type="paragraph" w:customStyle="1" w:styleId="310">
    <w:name w:val="xl114"/>
    <w:basedOn w:val="1"/>
    <w:qFormat/>
    <w:uiPriority w:val="0"/>
    <w:pPr>
      <w:widowControl/>
      <w:pBdr>
        <w:right w:val="single" w:color="auto" w:sz="8" w:space="0"/>
      </w:pBdr>
      <w:spacing w:before="100" w:beforeAutospacing="1" w:after="100" w:afterAutospacing="1"/>
      <w:jc w:val="center"/>
      <w:textAlignment w:val="center"/>
    </w:pPr>
    <w:rPr>
      <w:color w:val="000000"/>
      <w:kern w:val="0"/>
      <w:szCs w:val="21"/>
    </w:rPr>
  </w:style>
  <w:style w:type="paragraph" w:styleId="311">
    <w:name w:val="List Paragraph"/>
    <w:basedOn w:val="1"/>
    <w:qFormat/>
    <w:uiPriority w:val="34"/>
    <w:pPr>
      <w:ind w:firstLine="420" w:firstLineChars="200"/>
    </w:pPr>
    <w:rPr>
      <w:szCs w:val="22"/>
    </w:rPr>
  </w:style>
  <w:style w:type="paragraph" w:customStyle="1" w:styleId="312">
    <w:name w:val="参考文献、索引标题"/>
    <w:basedOn w:val="163"/>
    <w:next w:val="1"/>
    <w:qFormat/>
    <w:uiPriority w:val="0"/>
    <w:pPr>
      <w:numPr>
        <w:ilvl w:val="0"/>
        <w:numId w:val="0"/>
      </w:numPr>
      <w:spacing w:after="200"/>
    </w:pPr>
    <w:rPr>
      <w:rFonts w:ascii="Times New Roman" w:eastAsia="宋体"/>
      <w:sz w:val="21"/>
    </w:rPr>
  </w:style>
  <w:style w:type="paragraph" w:customStyle="1" w:styleId="313">
    <w:name w:val="xl83"/>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314">
    <w:name w:val="封面标准文稿类别2"/>
    <w:basedOn w:val="249"/>
    <w:qFormat/>
    <w:uiPriority w:val="0"/>
    <w:pPr>
      <w:widowControl w:val="0"/>
      <w:spacing w:after="160" w:line="240" w:lineRule="auto"/>
      <w:ind w:left="400" w:leftChars="200" w:right="210" w:hanging="200" w:hangingChars="200"/>
      <w:textAlignment w:val="center"/>
    </w:pPr>
    <w:rPr>
      <w:szCs w:val="28"/>
    </w:rPr>
  </w:style>
  <w:style w:type="paragraph" w:customStyle="1" w:styleId="315">
    <w:name w:val="注×：（正文）"/>
    <w:qFormat/>
    <w:uiPriority w:val="0"/>
    <w:pPr>
      <w:ind w:left="811" w:leftChars="200" w:right="210" w:hanging="448" w:hangingChars="200"/>
      <w:jc w:val="both"/>
    </w:pPr>
    <w:rPr>
      <w:rFonts w:ascii="宋体" w:hAnsi="Times New Roman" w:eastAsia="宋体" w:cs="Times New Roman"/>
      <w:sz w:val="18"/>
      <w:szCs w:val="18"/>
      <w:lang w:val="en-US" w:eastAsia="zh-CN" w:bidi="ar-SA"/>
    </w:rPr>
  </w:style>
  <w:style w:type="paragraph" w:customStyle="1" w:styleId="316">
    <w:name w:val="_Style 315"/>
    <w:unhideWhenUsed/>
    <w:qFormat/>
    <w:uiPriority w:val="99"/>
    <w:rPr>
      <w:rFonts w:ascii="Times New Roman" w:hAnsi="Times New Roman" w:eastAsia="宋体" w:cs="Times New Roman"/>
      <w:kern w:val="2"/>
      <w:sz w:val="21"/>
      <w:szCs w:val="24"/>
      <w:lang w:val="en-US" w:eastAsia="zh-CN" w:bidi="ar-SA"/>
    </w:rPr>
  </w:style>
  <w:style w:type="paragraph" w:customStyle="1" w:styleId="317">
    <w:name w:val="无标题条"/>
    <w:next w:val="113"/>
    <w:qFormat/>
    <w:uiPriority w:val="0"/>
    <w:pPr>
      <w:jc w:val="both"/>
    </w:pPr>
    <w:rPr>
      <w:rFonts w:ascii="Times New Roman" w:hAnsi="Times New Roman" w:eastAsia="宋体" w:cs="Times New Roman"/>
      <w:sz w:val="21"/>
      <w:lang w:val="en-US" w:eastAsia="zh-CN" w:bidi="ar-SA"/>
    </w:rPr>
  </w:style>
  <w:style w:type="paragraph" w:customStyle="1" w:styleId="318">
    <w:name w:val="条文脚注"/>
    <w:basedOn w:val="41"/>
    <w:qFormat/>
    <w:uiPriority w:val="0"/>
    <w:pPr>
      <w:ind w:left="780" w:leftChars="200" w:hanging="360" w:hangingChars="200"/>
      <w:jc w:val="both"/>
    </w:pPr>
    <w:rPr>
      <w:rFonts w:ascii="宋体"/>
    </w:rPr>
  </w:style>
  <w:style w:type="paragraph" w:customStyle="1" w:styleId="319">
    <w:name w:val="xl106"/>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Cs w:val="21"/>
    </w:rPr>
  </w:style>
  <w:style w:type="paragraph" w:customStyle="1" w:styleId="320">
    <w:name w:val="列项说明数字编号"/>
    <w:qFormat/>
    <w:uiPriority w:val="0"/>
    <w:pPr>
      <w:ind w:left="600" w:leftChars="400" w:right="210" w:hanging="200" w:hangingChars="200"/>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4.wmf"/><Relationship Id="rId17" Type="http://schemas.openxmlformats.org/officeDocument/2006/relationships/oleObject" Target="embeddings/oleObject3.bin"/><Relationship Id="rId16" Type="http://schemas.openxmlformats.org/officeDocument/2006/relationships/image" Target="media/image3.wmf"/><Relationship Id="rId15" Type="http://schemas.openxmlformats.org/officeDocument/2006/relationships/oleObject" Target="embeddings/oleObject2.bin"/><Relationship Id="rId14" Type="http://schemas.openxmlformats.org/officeDocument/2006/relationships/image" Target="media/image2.wmf"/><Relationship Id="rId13" Type="http://schemas.openxmlformats.org/officeDocument/2006/relationships/oleObject" Target="embeddings/oleObject1.bin"/><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中国标准研究中心</Company>
  <Pages>18</Pages>
  <Words>5902</Words>
  <Characters>31794</Characters>
  <Lines>774</Lines>
  <Paragraphs>440</Paragraphs>
  <TotalTime>63</TotalTime>
  <ScaleCrop>false</ScaleCrop>
  <LinksUpToDate>false</LinksUpToDate>
  <CharactersWithSpaces>37258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2025-09-03T08:26:00Z</dcterms:created>
  <dc:creator>lqy</dc:creator>
  <cp:lastModifiedBy>时与</cp:lastModifiedBy>
  <cp:lastPrinted>2025-08-19T05:57:00Z</cp:lastPrinted>
  <dcterms:modified xsi:type="dcterms:W3CDTF">2026-07-14T13:59:07Z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514B56A7E04C47E3A6D783EF5B3DEA69_13</vt:lpwstr>
  </property>
  <property fmtid="{D5CDD505-2E9C-101B-9397-08002B2CF9AE}" pid="4" name="KSOTemplateDocerSaveRecord">
    <vt:lpwstr>eyJoZGlkIjoiMGQ3YjFjMjU2NGM3OGU2MGY4MjViMzMyNWIxZDdjOTUiLCJ1c2VySWQiOiI0MzEyMDk2MjQifQ==</vt:lpwstr>
  </property>
</Properties>
</file>