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AAF53">
      <w:pPr>
        <w:spacing w:line="240" w:lineRule="auto"/>
        <w:rPr>
          <w:rFonts w:hint="default" w:ascii="Times New Roman" w:hAnsi="Times New Roman" w:eastAsia="黑体" w:cs="Times New Roman"/>
          <w:highlight w:val="none"/>
        </w:rPr>
      </w:pPr>
      <w:r>
        <w:rPr>
          <w:rFonts w:hint="default" w:ascii="Times New Roman" w:hAnsi="Times New Roman" w:eastAsia="黑体" w:cs="Times New Roman"/>
          <w:highlight w:val="none"/>
        </w:rPr>
        <w:t>ICS  77.120.99</w:t>
      </w:r>
    </w:p>
    <w:p w14:paraId="5548742F">
      <w:pPr>
        <w:spacing w:line="240" w:lineRule="auto"/>
        <w:rPr>
          <w:rFonts w:hint="default" w:ascii="Times New Roman" w:hAnsi="Times New Roman" w:eastAsia="黑体" w:cs="Times New Roman"/>
          <w:highlight w:val="none"/>
        </w:rPr>
      </w:pPr>
      <w:r>
        <w:rPr>
          <w:rFonts w:hint="default" w:ascii="Times New Roman" w:hAnsi="Times New Roman" w:eastAsia="黑体" w:cs="Times New Roman"/>
          <w:highlight w:val="none"/>
        </w:rPr>
        <w:t>H</w:t>
      </w:r>
      <w:r>
        <w:rPr>
          <w:rFonts w:hint="default" w:ascii="Times New Roman" w:hAnsi="Times New Roman" w:eastAsia="黑体" w:cs="Times New Roman"/>
          <w:highlight w:val="none"/>
        </w:rPr>
        <mc:AlternateContent>
          <mc:Choice Requires="wps">
            <w:drawing>
              <wp:anchor distT="0" distB="0" distL="114300" distR="114300" simplePos="0" relativeHeight="251663360" behindDoc="1" locked="1" layoutInCell="0" allowOverlap="1">
                <wp:simplePos x="0" y="0"/>
                <wp:positionH relativeFrom="margin">
                  <wp:posOffset>2800985</wp:posOffset>
                </wp:positionH>
                <wp:positionV relativeFrom="margin">
                  <wp:posOffset>-6985</wp:posOffset>
                </wp:positionV>
                <wp:extent cx="2816225" cy="720090"/>
                <wp:effectExtent l="0" t="0" r="3175" b="3810"/>
                <wp:wrapNone/>
                <wp:docPr id="25" name="文本框 25"/>
                <wp:cNvGraphicFramePr/>
                <a:graphic xmlns:a="http://schemas.openxmlformats.org/drawingml/2006/main">
                  <a:graphicData uri="http://schemas.microsoft.com/office/word/2010/wordprocessingShape">
                    <wps:wsp>
                      <wps:cNvSpPr txBox="1"/>
                      <wps:spPr>
                        <a:xfrm>
                          <a:off x="0" y="0"/>
                          <a:ext cx="2816225" cy="720090"/>
                        </a:xfrm>
                        <a:prstGeom prst="rect">
                          <a:avLst/>
                        </a:prstGeom>
                        <a:noFill/>
                        <a:ln w="9525">
                          <a:noFill/>
                        </a:ln>
                        <a:effectLst/>
                      </wps:spPr>
                      <wps:txbx>
                        <w:txbxContent>
                          <w:p w14:paraId="09CE9B5C">
                            <w:pPr>
                              <w:pStyle w:val="52"/>
                              <w:ind w:firstLine="2513"/>
                            </w:pPr>
                            <w:r>
                              <w:rPr>
                                <w:rFonts w:hint="eastAsia"/>
                              </w:rPr>
                              <w:t>XBox</w:t>
                            </w:r>
                          </w:p>
                        </w:txbxContent>
                      </wps:txbx>
                      <wps:bodyPr lIns="0" tIns="0" rIns="0" bIns="0" upright="1"/>
                    </wps:wsp>
                  </a:graphicData>
                </a:graphic>
              </wp:anchor>
            </w:drawing>
          </mc:Choice>
          <mc:Fallback>
            <w:pict>
              <v:shape id="_x0000_s1026" o:spid="_x0000_s1026" o:spt="202" type="#_x0000_t202" style="position:absolute;left:0pt;margin-left:220.55pt;margin-top:-0.55pt;height:56.7pt;width:221.75pt;mso-position-horizontal-relative:margin;mso-position-vertical-relative:margin;z-index:-251653120;mso-width-relative:page;mso-height-relative:page;" filled="f" stroked="f" coordsize="21600,21600" o:allowincell="f" o:gfxdata="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nLrt9dkAAAAKAQAADwAAAAAAAAABACAAAAAiAAAAZHJzL2Rv&#10;d25yZXYueG1sUEsBAhQAFAAAAAgAh07iQHjMLEfHAQAAiwMAAA4AAAAAAAAAAQAgAAAAKAEAAGRy&#10;cy9lMm9Eb2MueG1sUEsFBgAAAAAGAAYAWQEAAGEFAAAAAA==&#10;">
                <v:fill on="f" focussize="0,0"/>
                <v:stroke on="f"/>
                <v:imagedata o:title=""/>
                <o:lock v:ext="edit" aspectratio="f"/>
                <v:textbox inset="0mm,0mm,0mm,0mm">
                  <w:txbxContent>
                    <w:p w14:paraId="09CE9B5C">
                      <w:pPr>
                        <w:pStyle w:val="52"/>
                        <w:ind w:firstLine="2513"/>
                      </w:pPr>
                      <w:r>
                        <w:rPr>
                          <w:rFonts w:hint="eastAsia"/>
                        </w:rPr>
                        <w:t>XBox</w:t>
                      </w:r>
                    </w:p>
                  </w:txbxContent>
                </v:textbox>
                <w10:anchorlock/>
              </v:shape>
            </w:pict>
          </mc:Fallback>
        </mc:AlternateContent>
      </w:r>
      <w:r>
        <w:rPr>
          <w:rFonts w:hint="default" w:ascii="Times New Roman" w:hAnsi="Times New Roman" w:eastAsia="黑体" w:cs="Times New Roman"/>
          <w:highlight w:val="none"/>
        </w:rPr>
        <w:t xml:space="preserve"> 65</w:t>
      </w:r>
    </w:p>
    <w:p w14:paraId="0D42BB4F">
      <w:pPr>
        <w:pStyle w:val="51"/>
        <w:ind w:firstLine="0"/>
        <w:jc w:val="distribute"/>
        <w:rPr>
          <w:rFonts w:hint="default" w:ascii="Times New Roman" w:hAnsi="Times New Roman" w:eastAsia="宋体" w:cs="Times New Roman"/>
          <w:highlight w:val="none"/>
        </w:rPr>
      </w:pPr>
    </w:p>
    <w:p w14:paraId="0528724A">
      <w:pPr>
        <w:pStyle w:val="51"/>
        <w:ind w:firstLine="0"/>
        <w:jc w:val="distribute"/>
        <w:rPr>
          <w:rFonts w:hint="default" w:ascii="Times New Roman" w:hAnsi="Times New Roman" w:eastAsia="隶书" w:cs="Times New Roman"/>
          <w:b/>
          <w:color w:val="auto"/>
          <w:kern w:val="2"/>
          <w:szCs w:val="52"/>
          <w:highlight w:val="none"/>
        </w:rPr>
      </w:pPr>
      <w:r>
        <w:rPr>
          <w:rFonts w:hint="default" w:ascii="Times New Roman" w:hAnsi="Times New Roman" w:eastAsia="隶书" w:cs="Times New Roman"/>
          <w:b/>
          <w:color w:val="auto"/>
          <w:kern w:val="2"/>
          <w:szCs w:val="52"/>
          <w:highlight w:val="none"/>
        </w:rPr>
        <mc:AlternateContent>
          <mc:Choice Requires="wps">
            <w:drawing>
              <wp:anchor distT="0" distB="0" distL="114300" distR="114300" simplePos="0" relativeHeight="251662336" behindDoc="1" locked="1" layoutInCell="0" allowOverlap="1">
                <wp:simplePos x="0" y="0"/>
                <wp:positionH relativeFrom="margin">
                  <wp:posOffset>-173355</wp:posOffset>
                </wp:positionH>
                <wp:positionV relativeFrom="margin">
                  <wp:posOffset>783590</wp:posOffset>
                </wp:positionV>
                <wp:extent cx="5864860" cy="417830"/>
                <wp:effectExtent l="0" t="0" r="2540" b="1270"/>
                <wp:wrapNone/>
                <wp:docPr id="24" name="文本框 24"/>
                <wp:cNvGraphicFramePr/>
                <a:graphic xmlns:a="http://schemas.openxmlformats.org/drawingml/2006/main">
                  <a:graphicData uri="http://schemas.microsoft.com/office/word/2010/wordprocessingShape">
                    <wps:wsp>
                      <wps:cNvSpPr txBox="1"/>
                      <wps:spPr>
                        <a:xfrm>
                          <a:off x="0" y="0"/>
                          <a:ext cx="5864860" cy="417830"/>
                        </a:xfrm>
                        <a:prstGeom prst="rect">
                          <a:avLst/>
                        </a:prstGeom>
                        <a:solidFill>
                          <a:srgbClr val="FFFFFF"/>
                        </a:solidFill>
                        <a:ln w="9525">
                          <a:noFill/>
                        </a:ln>
                        <a:effectLst/>
                      </wps:spPr>
                      <wps:txbx>
                        <w:txbxContent>
                          <w:p w14:paraId="19A3DB5D">
                            <w:pPr>
                              <w:pStyle w:val="51"/>
                              <w:ind w:firstLine="0"/>
                              <w:jc w:val="distribute"/>
                              <w:rPr>
                                <w:b/>
                              </w:rPr>
                            </w:pPr>
                            <w:r>
                              <w:rPr>
                                <w:rFonts w:hint="eastAsia"/>
                                <w:b/>
                              </w:rPr>
                              <w:t>中华人民共和国稀土行业标准</w:t>
                            </w:r>
                          </w:p>
                        </w:txbxContent>
                      </wps:txbx>
                      <wps:bodyPr lIns="0" tIns="0" rIns="0" bIns="0" upright="1"/>
                    </wps:wsp>
                  </a:graphicData>
                </a:graphic>
              </wp:anchor>
            </w:drawing>
          </mc:Choice>
          <mc:Fallback>
            <w:pict>
              <v:shape id="_x0000_s1026" o:spid="_x0000_s1026" o:spt="202" type="#_x0000_t202" style="position:absolute;left:0pt;margin-left:-13.65pt;margin-top:61.7pt;height:32.9pt;width:461.8pt;mso-position-horizontal-relative:margin;mso-position-vertical-relative:margin;z-index:-251654144;mso-width-relative:page;mso-height-relative:page;" fillcolor="#FFFFFF" filled="t" stroked="f" coordsize="21600,21600" o:allowincell="f" o:gfxdata="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ZyotZ2QAAAAsBAAAP&#10;AAAAAAAAAAEAIAAAACIAAABkcnMvZG93bnJldi54bWxQSwECFAAUAAAACACHTuJApyxUat4BAAC0&#10;AwAADgAAAAAAAAABACAAAAAoAQAAZHJzL2Uyb0RvYy54bWxQSwUGAAAAAAYABgBZAQAAeAUAAAAA&#10;">
                <v:fill on="t" focussize="0,0"/>
                <v:stroke on="f"/>
                <v:imagedata o:title=""/>
                <o:lock v:ext="edit" aspectratio="f"/>
                <v:textbox inset="0mm,0mm,0mm,0mm">
                  <w:txbxContent>
                    <w:p w14:paraId="19A3DB5D">
                      <w:pPr>
                        <w:pStyle w:val="51"/>
                        <w:ind w:firstLine="0"/>
                        <w:jc w:val="distribute"/>
                        <w:rPr>
                          <w:b/>
                        </w:rPr>
                      </w:pPr>
                      <w:r>
                        <w:rPr>
                          <w:rFonts w:hint="eastAsia"/>
                          <w:b/>
                        </w:rPr>
                        <w:t>中华人民共和国稀土行业标准</w:t>
                      </w:r>
                    </w:p>
                  </w:txbxContent>
                </v:textbox>
                <w10:anchorlock/>
              </v:shape>
            </w:pict>
          </mc:Fallback>
        </mc:AlternateContent>
      </w:r>
    </w:p>
    <w:p w14:paraId="60A239D3">
      <w:pPr>
        <w:ind w:left="2340" w:hanging="2340" w:hangingChars="450"/>
        <w:rPr>
          <w:rFonts w:hint="default" w:ascii="Times New Roman" w:hAnsi="Times New Roman" w:cs="Times New Roman"/>
          <w:sz w:val="52"/>
          <w:szCs w:val="52"/>
          <w:highlight w:val="none"/>
        </w:rPr>
      </w:pPr>
    </w:p>
    <w:p w14:paraId="5B125CE8">
      <w:pPr>
        <w:ind w:left="1260" w:hanging="1260" w:hangingChars="450"/>
        <w:jc w:val="righ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XB/T  XXXX-202X</w:t>
      </w:r>
    </w:p>
    <w:p w14:paraId="1A5FA45C">
      <w:pPr>
        <w:rPr>
          <w:rFonts w:hint="default" w:ascii="Times New Roman" w:hAnsi="Times New Roman" w:cs="Times New Roman"/>
          <w:highlight w:val="none"/>
        </w:rPr>
      </w:pPr>
      <w:r>
        <w:rPr>
          <w:rFonts w:hint="default" w:ascii="Times New Roman" w:hAnsi="Times New Roman" w:cs="Times New Roman"/>
          <w:highlight w:val="none"/>
        </w:rPr>
        <mc:AlternateContent>
          <mc:Choice Requires="wps">
            <w:drawing>
              <wp:anchor distT="0" distB="0" distL="114300" distR="114300" simplePos="0" relativeHeight="251664384" behindDoc="0" locked="0" layoutInCell="0" allowOverlap="1">
                <wp:simplePos x="0" y="0"/>
                <wp:positionH relativeFrom="column">
                  <wp:posOffset>-383540</wp:posOffset>
                </wp:positionH>
                <wp:positionV relativeFrom="paragraph">
                  <wp:posOffset>109220</wp:posOffset>
                </wp:positionV>
                <wp:extent cx="6149975" cy="0"/>
                <wp:effectExtent l="0" t="0" r="22225" b="19050"/>
                <wp:wrapNone/>
                <wp:docPr id="23" name="直接连接符 23"/>
                <wp:cNvGraphicFramePr/>
                <a:graphic xmlns:a="http://schemas.openxmlformats.org/drawingml/2006/main">
                  <a:graphicData uri="http://schemas.microsoft.com/office/word/2010/wordprocessingShape">
                    <wps:wsp>
                      <wps:cNvCnPr/>
                      <wps:spPr>
                        <a:xfrm flipH="1">
                          <a:off x="0" y="0"/>
                          <a:ext cx="614997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x;margin-left:-30.2pt;margin-top:8.6pt;height:0pt;width:484.25pt;z-index:251664384;mso-width-relative:page;mso-height-relative:page;" filled="f" stroked="t" coordsize="21600,21600" o:allowincell="f" o:gfxdata="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G9UWwvWAAAACQEAAA8AAAAAAAAAAQAgAAAAIgAAAGRycy9kb3ducmV2Lnht&#10;bFBLAQIUABQAAAAIAIdO4kAqrx/1+wEAAPIDAAAOAAAAAAAAAAEAIAAAACUBAABkcnMvZTJvRG9j&#10;LnhtbFBLBQYAAAAABgAGAFkBAACSBQAAAAA=&#10;">
                <v:fill on="f" focussize="0,0"/>
                <v:stroke color="#000000" joinstyle="round"/>
                <v:imagedata o:title=""/>
                <o:lock v:ext="edit" aspectratio="f"/>
              </v:line>
            </w:pict>
          </mc:Fallback>
        </mc:AlternateContent>
      </w:r>
    </w:p>
    <w:p w14:paraId="3A649E72">
      <w:pPr>
        <w:rPr>
          <w:rFonts w:hint="default" w:ascii="Times New Roman" w:hAnsi="Times New Roman" w:cs="Times New Roman"/>
          <w:highlight w:val="none"/>
        </w:rPr>
      </w:pPr>
    </w:p>
    <w:p w14:paraId="5F93CB1D">
      <w:pPr>
        <w:rPr>
          <w:rFonts w:hint="default" w:ascii="Times New Roman" w:hAnsi="Times New Roman" w:cs="Times New Roman"/>
          <w:highlight w:val="none"/>
        </w:rPr>
      </w:pPr>
    </w:p>
    <w:p w14:paraId="6982165C">
      <w:pPr>
        <w:rPr>
          <w:rFonts w:hint="default" w:ascii="Times New Roman" w:hAnsi="Times New Roman" w:cs="Times New Roman"/>
          <w:b/>
          <w:sz w:val="52"/>
          <w:szCs w:val="52"/>
          <w:highlight w:val="none"/>
        </w:rPr>
      </w:pPr>
    </w:p>
    <w:p w14:paraId="07E018B4">
      <w:pPr>
        <w:jc w:val="center"/>
        <w:rPr>
          <w:rFonts w:hint="default" w:ascii="Times New Roman" w:hAnsi="Times New Roman" w:eastAsia="黑体" w:cs="Times New Roman"/>
          <w:b/>
          <w:bCs w:val="0"/>
          <w:sz w:val="52"/>
          <w:szCs w:val="52"/>
          <w:highlight w:val="none"/>
          <w:lang w:val="en-US" w:eastAsia="zh-CN"/>
        </w:rPr>
      </w:pPr>
      <w:r>
        <w:rPr>
          <w:rFonts w:hint="default" w:ascii="Times New Roman" w:hAnsi="Times New Roman" w:eastAsia="黑体" w:cs="Times New Roman"/>
          <w:b/>
          <w:bCs w:val="0"/>
          <w:sz w:val="52"/>
          <w:szCs w:val="52"/>
          <w:highlight w:val="none"/>
          <w:lang w:val="en-US" w:eastAsia="zh-CN"/>
        </w:rPr>
        <w:t>稀土永磁表面处理绿色技术要求</w:t>
      </w:r>
    </w:p>
    <w:p w14:paraId="0345ED66">
      <w:pPr>
        <w:pStyle w:val="37"/>
        <w:rPr>
          <w:rFonts w:hint="default" w:ascii="Times New Roman" w:hAnsi="Times New Roman" w:eastAsia="黑体" w:cs="Times New Roman"/>
          <w:bCs/>
          <w:color w:val="000000"/>
          <w:highlight w:val="none"/>
        </w:rPr>
      </w:pPr>
    </w:p>
    <w:p w14:paraId="548AA5B7">
      <w:pPr>
        <w:pStyle w:val="37"/>
        <w:rPr>
          <w:rFonts w:hint="default" w:ascii="Times New Roman" w:hAnsi="Times New Roman" w:eastAsia="黑体" w:cs="Times New Roman"/>
          <w:b/>
          <w:bCs w:val="0"/>
          <w:color w:val="000000"/>
          <w:highlight w:val="none"/>
        </w:rPr>
      </w:pPr>
      <w:r>
        <w:rPr>
          <w:rFonts w:hint="default" w:ascii="Times New Roman" w:hAnsi="Times New Roman" w:eastAsia="黑体" w:cs="Times New Roman"/>
          <w:b/>
          <w:bCs w:val="0"/>
          <w:color w:val="000000"/>
          <w:highlight w:val="none"/>
        </w:rPr>
        <w:t xml:space="preserve">Technical Requirements for </w:t>
      </w:r>
      <w:r>
        <w:rPr>
          <w:rFonts w:hint="default" w:ascii="Times New Roman" w:hAnsi="Times New Roman" w:eastAsia="黑体" w:cs="Times New Roman"/>
          <w:b/>
          <w:bCs w:val="0"/>
          <w:color w:val="000000"/>
          <w:highlight w:val="none"/>
          <w:lang w:val="en-US" w:eastAsia="zh-CN"/>
        </w:rPr>
        <w:t>Green</w:t>
      </w:r>
      <w:r>
        <w:rPr>
          <w:rFonts w:hint="default" w:ascii="Times New Roman" w:hAnsi="Times New Roman" w:eastAsia="黑体" w:cs="Times New Roman"/>
          <w:b/>
          <w:bCs w:val="0"/>
          <w:color w:val="000000"/>
          <w:highlight w:val="none"/>
        </w:rPr>
        <w:t xml:space="preserve"> Surface Treatment</w:t>
      </w:r>
    </w:p>
    <w:p w14:paraId="79A45CAD">
      <w:pPr>
        <w:pStyle w:val="37"/>
        <w:rPr>
          <w:rFonts w:hint="default" w:ascii="Times New Roman" w:hAnsi="Times New Roman" w:eastAsia="黑体" w:cs="Times New Roman"/>
          <w:b/>
          <w:bCs w:val="0"/>
          <w:color w:val="000000"/>
          <w:highlight w:val="none"/>
          <w:lang w:val="en-US" w:eastAsia="zh-CN"/>
        </w:rPr>
      </w:pPr>
      <w:r>
        <w:rPr>
          <w:rFonts w:hint="default" w:ascii="Times New Roman" w:hAnsi="Times New Roman" w:eastAsia="黑体" w:cs="Times New Roman"/>
          <w:b/>
          <w:bCs w:val="0"/>
          <w:color w:val="000000"/>
          <w:highlight w:val="none"/>
        </w:rPr>
        <w:t>of Rare Earth Permanent Magnets</w:t>
      </w:r>
    </w:p>
    <w:p w14:paraId="72E38AA4">
      <w:pPr>
        <w:jc w:val="center"/>
        <w:rPr>
          <w:rFonts w:hint="default" w:ascii="Times New Roman" w:hAnsi="Times New Roman" w:cs="Times New Roman"/>
          <w:b/>
          <w:sz w:val="30"/>
          <w:szCs w:val="30"/>
          <w:highlight w:val="none"/>
        </w:rPr>
      </w:pPr>
    </w:p>
    <w:p w14:paraId="76A8BB48">
      <w:pPr>
        <w:jc w:val="center"/>
        <w:rPr>
          <w:rFonts w:hint="default" w:ascii="Times New Roman" w:hAnsi="Times New Roman" w:cs="Times New Roman"/>
          <w:bCs/>
          <w:sz w:val="30"/>
          <w:szCs w:val="30"/>
          <w:highlight w:val="none"/>
        </w:rPr>
      </w:pPr>
      <w:r>
        <w:rPr>
          <w:rFonts w:hint="default" w:ascii="Times New Roman" w:hAnsi="Times New Roman" w:cs="Times New Roman"/>
          <w:bCs/>
          <w:sz w:val="30"/>
          <w:szCs w:val="30"/>
          <w:highlight w:val="none"/>
        </w:rPr>
        <w:t>（</w:t>
      </w:r>
      <w:r>
        <w:rPr>
          <w:rFonts w:hint="eastAsia" w:ascii="Times New Roman" w:hAnsi="Times New Roman" w:cs="Times New Roman"/>
          <w:bCs/>
          <w:sz w:val="30"/>
          <w:szCs w:val="30"/>
          <w:highlight w:val="none"/>
          <w:lang w:val="en-US" w:eastAsia="zh-CN"/>
        </w:rPr>
        <w:t>预审</w:t>
      </w:r>
      <w:r>
        <w:rPr>
          <w:rFonts w:hint="default" w:ascii="Times New Roman" w:hAnsi="Times New Roman" w:cs="Times New Roman"/>
          <w:bCs/>
          <w:sz w:val="30"/>
          <w:szCs w:val="30"/>
          <w:highlight w:val="none"/>
        </w:rPr>
        <w:t>稿）</w:t>
      </w:r>
      <w:bookmarkStart w:id="49" w:name="_GoBack"/>
      <w:bookmarkEnd w:id="49"/>
    </w:p>
    <w:p w14:paraId="64C5D584">
      <w:pPr>
        <w:rPr>
          <w:rFonts w:hint="default" w:ascii="Times New Roman" w:hAnsi="Times New Roman" w:cs="Times New Roman"/>
          <w:b/>
          <w:sz w:val="30"/>
          <w:szCs w:val="30"/>
          <w:highlight w:val="none"/>
        </w:rPr>
      </w:pPr>
    </w:p>
    <w:p w14:paraId="6BCD4F44">
      <w:pPr>
        <w:rPr>
          <w:rFonts w:hint="default" w:ascii="Times New Roman" w:hAnsi="Times New Roman" w:cs="Times New Roman"/>
          <w:b/>
          <w:sz w:val="30"/>
          <w:szCs w:val="30"/>
          <w:highlight w:val="none"/>
        </w:rPr>
      </w:pPr>
    </w:p>
    <w:p w14:paraId="70E22204">
      <w:pPr>
        <w:rPr>
          <w:rFonts w:hint="default" w:ascii="Times New Roman" w:hAnsi="Times New Roman" w:cs="Times New Roman"/>
          <w:b/>
          <w:sz w:val="30"/>
          <w:szCs w:val="30"/>
          <w:highlight w:val="none"/>
        </w:rPr>
      </w:pPr>
    </w:p>
    <w:p w14:paraId="372D6AC6">
      <w:pPr>
        <w:rPr>
          <w:rFonts w:hint="default" w:ascii="Times New Roman" w:hAnsi="Times New Roman" w:eastAsia="黑体" w:cs="Times New Roman"/>
          <w:sz w:val="28"/>
          <w:szCs w:val="28"/>
          <w:highlight w:val="none"/>
          <w:u w:val="single"/>
        </w:rPr>
      </w:pPr>
      <w:r>
        <w:rPr>
          <w:rFonts w:hint="default" w:ascii="Times New Roman" w:hAnsi="Times New Roman" w:eastAsia="黑体" w:cs="Times New Roman"/>
          <w:sz w:val="28"/>
          <w:szCs w:val="28"/>
          <w:highlight w:val="none"/>
          <w:u w:val="single"/>
        </w:rPr>
        <w:t>20</w:t>
      </w:r>
      <w:r>
        <w:rPr>
          <w:rFonts w:hint="default" w:ascii="Times New Roman" w:hAnsi="Times New Roman" w:eastAsia="黑体" w:cs="Times New Roman"/>
          <w:sz w:val="28"/>
          <w:szCs w:val="28"/>
          <w:highlight w:val="none"/>
          <w:u w:val="single"/>
          <w:lang w:val="en-US" w:eastAsia="zh-CN"/>
        </w:rPr>
        <w:t>2</w:t>
      </w:r>
      <w:r>
        <w:rPr>
          <w:rFonts w:hint="default" w:ascii="Times New Roman" w:hAnsi="Times New Roman" w:eastAsia="黑体" w:cs="Times New Roman"/>
          <w:sz w:val="28"/>
          <w:szCs w:val="28"/>
          <w:highlight w:val="none"/>
          <w:u w:val="single"/>
        </w:rPr>
        <w:t>X-XX-XX发布                                202X-XX-XX实施</w:t>
      </w:r>
    </w:p>
    <w:p w14:paraId="448BE4D6">
      <w:pPr>
        <w:ind w:firstLine="694" w:firstLineChars="247"/>
        <w:jc w:val="center"/>
        <w:rPr>
          <w:rFonts w:hint="default" w:ascii="Times New Roman" w:hAnsi="Times New Roman" w:eastAsia="黑体" w:cs="Times New Roman"/>
          <w:b/>
          <w:sz w:val="28"/>
          <w:szCs w:val="28"/>
          <w:highlight w:val="none"/>
        </w:rPr>
        <w:sectPr>
          <w:headerReference r:id="rId5" w:type="default"/>
          <w:footerReference r:id="rId7" w:type="default"/>
          <w:headerReference r:id="rId6" w:type="even"/>
          <w:pgSz w:w="11906" w:h="16838"/>
          <w:pgMar w:top="851" w:right="1418" w:bottom="873" w:left="1418" w:header="851" w:footer="992" w:gutter="0"/>
          <w:pgNumType w:fmt="decimal"/>
          <w:cols w:space="720" w:num="1"/>
          <w:docGrid w:type="lines" w:linePitch="312" w:charSpace="0"/>
        </w:sectPr>
      </w:pPr>
      <w:r>
        <w:rPr>
          <w:rFonts w:hint="default" w:ascii="Times New Roman" w:hAnsi="Times New Roman" w:eastAsia="黑体" w:cs="Times New Roman"/>
          <w:b/>
          <w:sz w:val="28"/>
          <w:szCs w:val="28"/>
          <w:highlight w:val="none"/>
        </w:rPr>
        <w:t>中华人民共和国工业和信息化部    发 布</w:t>
      </w:r>
    </w:p>
    <w:p w14:paraId="37D7C72D">
      <w:pPr>
        <w:spacing w:line="240" w:lineRule="auto"/>
        <w:jc w:val="center"/>
        <w:rPr>
          <w:rFonts w:hint="default" w:ascii="Times New Roman" w:hAnsi="Times New Roman" w:eastAsia="黑体" w:cs="Times New Roman"/>
          <w:sz w:val="30"/>
          <w:szCs w:val="30"/>
          <w:highlight w:val="none"/>
        </w:rPr>
      </w:pPr>
      <w:r>
        <w:rPr>
          <w:rFonts w:hint="default" w:ascii="Times New Roman" w:hAnsi="Times New Roman" w:eastAsia="黑体" w:cs="Times New Roman"/>
          <w:sz w:val="30"/>
          <w:szCs w:val="30"/>
          <w:highlight w:val="none"/>
        </w:rPr>
        <w:t>目次</w:t>
      </w:r>
    </w:p>
    <w:p w14:paraId="5F7ECE76">
      <w:pPr>
        <w:spacing w:line="240" w:lineRule="auto"/>
        <w:jc w:val="center"/>
        <w:rPr>
          <w:rFonts w:hint="default" w:ascii="Times New Roman" w:hAnsi="Times New Roman" w:eastAsia="黑体" w:cs="Times New Roman"/>
          <w:sz w:val="30"/>
          <w:szCs w:val="30"/>
          <w:highlight w:val="none"/>
        </w:rPr>
      </w:pPr>
    </w:p>
    <w:p w14:paraId="73C10F1D">
      <w:pPr>
        <w:pStyle w:val="10"/>
        <w:keepNext w:val="0"/>
        <w:keepLines w:val="0"/>
        <w:pageBreakBefore w:val="0"/>
        <w:widowControl/>
        <w:tabs>
          <w:tab w:val="right" w:leader="dot" w:pos="9355"/>
        </w:tabs>
        <w:kinsoku/>
        <w:wordWrap/>
        <w:overflowPunct/>
        <w:topLinePunct w:val="0"/>
        <w:autoSpaceDE/>
        <w:autoSpaceDN/>
        <w:bidi w:val="0"/>
        <w:adjustRightInd/>
        <w:snapToGrid/>
        <w:spacing w:after="0" w:line="360" w:lineRule="auto"/>
        <w:textAlignment w:val="auto"/>
        <w:rPr>
          <w:rFonts w:hint="eastAsia" w:asciiTheme="minorEastAsia" w:hAnsiTheme="minorEastAsia" w:eastAsiaTheme="minorEastAsia" w:cstheme="minorEastAsia"/>
          <w:sz w:val="21"/>
          <w:szCs w:val="21"/>
        </w:rPr>
      </w:pPr>
      <w:r>
        <w:rPr>
          <w:rFonts w:hint="default" w:ascii="Times New Roman" w:hAnsi="Times New Roman" w:eastAsia="黑体" w:cs="Times New Roman"/>
          <w:sz w:val="21"/>
          <w:szCs w:val="21"/>
          <w:highlight w:val="none"/>
        </w:rPr>
        <w:fldChar w:fldCharType="begin"/>
      </w:r>
      <w:r>
        <w:rPr>
          <w:rFonts w:hint="default" w:ascii="Times New Roman" w:hAnsi="Times New Roman" w:eastAsia="黑体" w:cs="Times New Roman"/>
          <w:sz w:val="21"/>
          <w:szCs w:val="21"/>
          <w:highlight w:val="none"/>
        </w:rPr>
        <w:instrText xml:space="preserve">TOC \o "1-1" \h \u </w:instrText>
      </w:r>
      <w:r>
        <w:rPr>
          <w:rFonts w:hint="default" w:ascii="Times New Roman" w:hAnsi="Times New Roman" w:eastAsia="黑体" w:cs="Times New Roman"/>
          <w:sz w:val="21"/>
          <w:szCs w:val="21"/>
          <w:highlight w:val="none"/>
        </w:rPr>
        <w:fldChar w:fldCharType="separate"/>
      </w:r>
      <w:r>
        <w:rPr>
          <w:rFonts w:hint="eastAsia" w:asciiTheme="minorEastAsia" w:hAnsiTheme="minorEastAsia" w:eastAsiaTheme="minorEastAsia" w:cstheme="minorEastAsia"/>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HYPERLINK \l _Toc12929 </w:instrText>
      </w:r>
      <w:r>
        <w:rPr>
          <w:rFonts w:hint="eastAsia" w:asciiTheme="minorEastAsia" w:hAnsiTheme="minorEastAsia" w:eastAsiaTheme="minorEastAsia" w:cstheme="minorEastAsia"/>
          <w:sz w:val="21"/>
          <w:szCs w:val="21"/>
          <w:highlight w:val="none"/>
        </w:rPr>
        <w:fldChar w:fldCharType="separate"/>
      </w:r>
      <w:r>
        <w:rPr>
          <w:rFonts w:hint="eastAsia" w:asciiTheme="minorEastAsia" w:hAnsiTheme="minorEastAsia" w:eastAsiaTheme="minorEastAsia" w:cstheme="minorEastAsia"/>
          <w:sz w:val="21"/>
          <w:szCs w:val="21"/>
          <w:highlight w:val="none"/>
        </w:rPr>
        <w:t>前言</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_Toc12929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I</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highlight w:val="none"/>
        </w:rPr>
        <w:fldChar w:fldCharType="end"/>
      </w:r>
    </w:p>
    <w:p w14:paraId="52A623FB">
      <w:pPr>
        <w:pStyle w:val="10"/>
        <w:keepNext w:val="0"/>
        <w:keepLines w:val="0"/>
        <w:pageBreakBefore w:val="0"/>
        <w:widowControl/>
        <w:tabs>
          <w:tab w:val="right" w:leader="dot" w:pos="9355"/>
        </w:tabs>
        <w:kinsoku/>
        <w:wordWrap/>
        <w:overflowPunct/>
        <w:topLinePunct w:val="0"/>
        <w:autoSpaceDE/>
        <w:autoSpaceDN/>
        <w:bidi w:val="0"/>
        <w:adjustRightInd/>
        <w:snapToGrid/>
        <w:spacing w:after="0" w:line="36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HYPERLINK \l _Toc19245 </w:instrText>
      </w:r>
      <w:r>
        <w:rPr>
          <w:rFonts w:hint="eastAsia" w:asciiTheme="minorEastAsia" w:hAnsiTheme="minorEastAsia" w:eastAsiaTheme="minorEastAsia" w:cstheme="minorEastAsia"/>
          <w:sz w:val="21"/>
          <w:szCs w:val="21"/>
          <w:highlight w:val="none"/>
        </w:rPr>
        <w:fldChar w:fldCharType="separate"/>
      </w:r>
      <w:r>
        <w:rPr>
          <w:rFonts w:hint="eastAsia" w:asciiTheme="minorEastAsia" w:hAnsiTheme="minorEastAsia" w:eastAsiaTheme="minorEastAsia" w:cstheme="minorEastAsia"/>
          <w:sz w:val="21"/>
          <w:szCs w:val="21"/>
          <w:highlight w:val="none"/>
        </w:rPr>
        <w:t xml:space="preserve">1 </w:t>
      </w: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范围</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_Toc19245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highlight w:val="none"/>
        </w:rPr>
        <w:fldChar w:fldCharType="end"/>
      </w:r>
    </w:p>
    <w:p w14:paraId="3BB60038">
      <w:pPr>
        <w:pStyle w:val="10"/>
        <w:keepNext w:val="0"/>
        <w:keepLines w:val="0"/>
        <w:pageBreakBefore w:val="0"/>
        <w:widowControl/>
        <w:tabs>
          <w:tab w:val="right" w:leader="dot" w:pos="9355"/>
        </w:tabs>
        <w:kinsoku/>
        <w:wordWrap/>
        <w:overflowPunct/>
        <w:topLinePunct w:val="0"/>
        <w:autoSpaceDE/>
        <w:autoSpaceDN/>
        <w:bidi w:val="0"/>
        <w:adjustRightInd/>
        <w:snapToGrid/>
        <w:spacing w:after="0" w:line="36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HYPERLINK \l _Toc28437 </w:instrText>
      </w:r>
      <w:r>
        <w:rPr>
          <w:rFonts w:hint="eastAsia" w:asciiTheme="minorEastAsia" w:hAnsiTheme="minorEastAsia" w:eastAsiaTheme="minorEastAsia" w:cstheme="minorEastAsia"/>
          <w:sz w:val="21"/>
          <w:szCs w:val="21"/>
          <w:highlight w:val="none"/>
        </w:rPr>
        <w:fldChar w:fldCharType="separate"/>
      </w:r>
      <w:r>
        <w:rPr>
          <w:rFonts w:hint="eastAsia" w:asciiTheme="minorEastAsia" w:hAnsiTheme="minorEastAsia" w:eastAsiaTheme="minorEastAsia" w:cstheme="minorEastAsia"/>
          <w:sz w:val="21"/>
          <w:szCs w:val="21"/>
          <w:highlight w:val="none"/>
        </w:rPr>
        <w:t xml:space="preserve">2 </w:t>
      </w: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规范性引用文件</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_Toc28437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highlight w:val="none"/>
        </w:rPr>
        <w:fldChar w:fldCharType="end"/>
      </w:r>
    </w:p>
    <w:p w14:paraId="7AE7D8BF">
      <w:pPr>
        <w:pStyle w:val="10"/>
        <w:keepNext w:val="0"/>
        <w:keepLines w:val="0"/>
        <w:pageBreakBefore w:val="0"/>
        <w:widowControl/>
        <w:tabs>
          <w:tab w:val="right" w:leader="dot" w:pos="9355"/>
        </w:tabs>
        <w:kinsoku/>
        <w:wordWrap/>
        <w:overflowPunct/>
        <w:topLinePunct w:val="0"/>
        <w:autoSpaceDE/>
        <w:autoSpaceDN/>
        <w:bidi w:val="0"/>
        <w:adjustRightInd/>
        <w:snapToGrid/>
        <w:spacing w:after="0" w:line="36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HYPERLINK \l _Toc15685 </w:instrText>
      </w:r>
      <w:r>
        <w:rPr>
          <w:rFonts w:hint="eastAsia" w:asciiTheme="minorEastAsia" w:hAnsiTheme="minorEastAsia" w:eastAsiaTheme="minorEastAsia" w:cstheme="minorEastAsia"/>
          <w:sz w:val="21"/>
          <w:szCs w:val="21"/>
          <w:highlight w:val="none"/>
        </w:rPr>
        <w:fldChar w:fldCharType="separate"/>
      </w:r>
      <w:r>
        <w:rPr>
          <w:rFonts w:hint="eastAsia" w:asciiTheme="minorEastAsia" w:hAnsiTheme="minorEastAsia" w:eastAsiaTheme="minorEastAsia" w:cstheme="minorEastAsia"/>
          <w:sz w:val="21"/>
          <w:szCs w:val="21"/>
          <w:highlight w:val="none"/>
        </w:rPr>
        <w:t xml:space="preserve">3 </w:t>
      </w: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术语和定义</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_Toc15685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highlight w:val="none"/>
        </w:rPr>
        <w:fldChar w:fldCharType="end"/>
      </w:r>
    </w:p>
    <w:p w14:paraId="1EF6885A">
      <w:pPr>
        <w:pStyle w:val="10"/>
        <w:keepNext w:val="0"/>
        <w:keepLines w:val="0"/>
        <w:pageBreakBefore w:val="0"/>
        <w:widowControl/>
        <w:tabs>
          <w:tab w:val="right" w:leader="dot" w:pos="9355"/>
        </w:tabs>
        <w:kinsoku/>
        <w:wordWrap/>
        <w:overflowPunct/>
        <w:topLinePunct w:val="0"/>
        <w:autoSpaceDE/>
        <w:autoSpaceDN/>
        <w:bidi w:val="0"/>
        <w:adjustRightInd/>
        <w:snapToGrid/>
        <w:spacing w:after="0" w:line="36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HYPERLINK \l _Toc23019 </w:instrText>
      </w:r>
      <w:r>
        <w:rPr>
          <w:rFonts w:hint="eastAsia" w:asciiTheme="minorEastAsia" w:hAnsiTheme="minorEastAsia" w:eastAsiaTheme="minorEastAsia" w:cstheme="minorEastAsia"/>
          <w:sz w:val="21"/>
          <w:szCs w:val="21"/>
          <w:highlight w:val="none"/>
        </w:rPr>
        <w:fldChar w:fldCharType="separate"/>
      </w: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 xml:space="preserve"> </w:t>
      </w:r>
      <w:r>
        <w:rPr>
          <w:rFonts w:hint="eastAsia" w:asciiTheme="minorEastAsia" w:hAnsiTheme="minorEastAsia" w:eastAsiaTheme="minorEastAsia" w:cstheme="minorEastAsia"/>
          <w:sz w:val="21"/>
          <w:szCs w:val="21"/>
          <w:highlight w:val="none"/>
          <w:lang w:val="en-US" w:eastAsia="zh-CN"/>
        </w:rPr>
        <w:t xml:space="preserve"> 要求</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_Toc23019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4</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highlight w:val="none"/>
        </w:rPr>
        <w:fldChar w:fldCharType="end"/>
      </w:r>
    </w:p>
    <w:p w14:paraId="2DA4AA84">
      <w:pPr>
        <w:pStyle w:val="10"/>
        <w:keepNext w:val="0"/>
        <w:keepLines w:val="0"/>
        <w:pageBreakBefore w:val="0"/>
        <w:widowControl/>
        <w:tabs>
          <w:tab w:val="right" w:leader="dot" w:pos="9355"/>
        </w:tabs>
        <w:kinsoku/>
        <w:wordWrap/>
        <w:overflowPunct/>
        <w:topLinePunct w:val="0"/>
        <w:autoSpaceDE/>
        <w:autoSpaceDN/>
        <w:bidi w:val="0"/>
        <w:adjustRightInd/>
        <w:snapToGrid/>
        <w:spacing w:after="0" w:line="36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HYPERLINK \l _Toc3975 </w:instrText>
      </w:r>
      <w:r>
        <w:rPr>
          <w:rFonts w:hint="eastAsia" w:asciiTheme="minorEastAsia" w:hAnsiTheme="minorEastAsia" w:eastAsiaTheme="minorEastAsia" w:cstheme="minorEastAsia"/>
          <w:sz w:val="21"/>
          <w:szCs w:val="21"/>
          <w:highlight w:val="none"/>
        </w:rPr>
        <w:fldChar w:fldCharType="separate"/>
      </w:r>
      <w:r>
        <w:rPr>
          <w:rFonts w:hint="eastAsia" w:asciiTheme="minorEastAsia" w:hAnsiTheme="minorEastAsia" w:eastAsiaTheme="minorEastAsia" w:cstheme="minorEastAsia"/>
          <w:sz w:val="21"/>
          <w:szCs w:val="21"/>
          <w:highlight w:val="none"/>
          <w:lang w:val="en-US" w:eastAsia="zh-CN"/>
        </w:rPr>
        <w:t>5  指标核算和数据来源</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_Toc3975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9</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highlight w:val="none"/>
        </w:rPr>
        <w:fldChar w:fldCharType="end"/>
      </w:r>
    </w:p>
    <w:p w14:paraId="248D348B">
      <w:pPr>
        <w:pStyle w:val="10"/>
        <w:keepNext w:val="0"/>
        <w:keepLines w:val="0"/>
        <w:pageBreakBefore w:val="0"/>
        <w:widowControl/>
        <w:tabs>
          <w:tab w:val="right" w:leader="dot" w:pos="9355"/>
        </w:tabs>
        <w:kinsoku/>
        <w:wordWrap/>
        <w:overflowPunct/>
        <w:topLinePunct w:val="0"/>
        <w:autoSpaceDE/>
        <w:autoSpaceDN/>
        <w:bidi w:val="0"/>
        <w:adjustRightInd/>
        <w:snapToGrid/>
        <w:spacing w:after="0" w:line="360" w:lineRule="auto"/>
        <w:textAlignment w:val="auto"/>
      </w:pPr>
      <w:r>
        <w:rPr>
          <w:rFonts w:hint="eastAsia" w:asciiTheme="minorEastAsia" w:hAnsiTheme="minorEastAsia" w:eastAsiaTheme="minorEastAsia" w:cstheme="minorEastAsia"/>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HYPERLINK \l _Toc10365 </w:instrText>
      </w:r>
      <w:r>
        <w:rPr>
          <w:rFonts w:hint="eastAsia" w:asciiTheme="minorEastAsia" w:hAnsiTheme="minorEastAsia" w:eastAsiaTheme="minorEastAsia" w:cstheme="minorEastAsia"/>
          <w:sz w:val="21"/>
          <w:szCs w:val="21"/>
          <w:highlight w:val="none"/>
        </w:rPr>
        <w:fldChar w:fldCharType="separate"/>
      </w:r>
      <w:r>
        <w:rPr>
          <w:rFonts w:hint="eastAsia" w:asciiTheme="minorEastAsia" w:hAnsiTheme="minorEastAsia" w:eastAsiaTheme="minorEastAsia" w:cstheme="minorEastAsia"/>
          <w:sz w:val="21"/>
          <w:szCs w:val="21"/>
        </w:rPr>
        <w:t>附录A</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规范性附录</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水和大气污染分析方法标准</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_Toc10365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13</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highlight w:val="none"/>
        </w:rPr>
        <w:fldChar w:fldCharType="end"/>
      </w:r>
    </w:p>
    <w:p w14:paraId="2CE3D560">
      <w:pPr>
        <w:pStyle w:val="10"/>
        <w:keepNext w:val="0"/>
        <w:keepLines w:val="0"/>
        <w:pageBreakBefore w:val="0"/>
        <w:widowControl/>
        <w:tabs>
          <w:tab w:val="right" w:leader="dot" w:pos="9355"/>
        </w:tabs>
        <w:kinsoku/>
        <w:wordWrap/>
        <w:overflowPunct/>
        <w:topLinePunct w:val="0"/>
        <w:autoSpaceDE/>
        <w:autoSpaceDN/>
        <w:bidi w:val="0"/>
        <w:adjustRightInd/>
        <w:snapToGrid/>
        <w:spacing w:after="0" w:line="360" w:lineRule="auto"/>
        <w:textAlignment w:val="auto"/>
        <w:rPr>
          <w:rFonts w:hint="default" w:ascii="Times New Roman" w:hAnsi="Times New Roman" w:cs="Times New Roman"/>
          <w:sz w:val="21"/>
          <w:szCs w:val="21"/>
          <w:highlight w:val="none"/>
        </w:rPr>
      </w:pPr>
      <w:r>
        <w:rPr>
          <w:rFonts w:hint="default" w:ascii="Times New Roman" w:hAnsi="Times New Roman" w:eastAsia="黑体" w:cs="Times New Roman"/>
          <w:szCs w:val="21"/>
          <w:highlight w:val="none"/>
        </w:rPr>
        <w:fldChar w:fldCharType="end"/>
      </w:r>
    </w:p>
    <w:p w14:paraId="23847555">
      <w:pPr>
        <w:rPr>
          <w:rFonts w:hint="default" w:ascii="Times New Roman" w:hAnsi="Times New Roman" w:cs="Times New Roman"/>
          <w:sz w:val="32"/>
          <w:szCs w:val="32"/>
          <w:highlight w:val="none"/>
        </w:rPr>
      </w:pPr>
    </w:p>
    <w:p w14:paraId="3D2DF4A8">
      <w:pPr>
        <w:rPr>
          <w:rFonts w:hint="default" w:ascii="Times New Roman" w:hAnsi="Times New Roman" w:cs="Times New Roman"/>
          <w:sz w:val="32"/>
          <w:szCs w:val="32"/>
          <w:highlight w:val="none"/>
        </w:rPr>
        <w:sectPr>
          <w:headerReference r:id="rId8" w:type="default"/>
          <w:footerReference r:id="rId9" w:type="default"/>
          <w:pgSz w:w="11906" w:h="16838"/>
          <w:pgMar w:top="1417" w:right="1134" w:bottom="1417" w:left="1417" w:header="851" w:footer="992" w:gutter="0"/>
          <w:pgNumType w:fmt="decimal" w:start="1"/>
          <w:cols w:space="720" w:num="1"/>
          <w:docGrid w:type="lines" w:linePitch="312" w:charSpace="0"/>
        </w:sectPr>
      </w:pPr>
    </w:p>
    <w:p w14:paraId="5FA360C4">
      <w:pPr>
        <w:pStyle w:val="2"/>
        <w:jc w:val="center"/>
        <w:rPr>
          <w:rFonts w:hint="default" w:ascii="Times New Roman" w:hAnsi="Times New Roman" w:cs="Times New Roman"/>
          <w:sz w:val="32"/>
          <w:szCs w:val="32"/>
          <w:highlight w:val="none"/>
        </w:rPr>
      </w:pPr>
      <w:bookmarkStart w:id="0" w:name="_Toc7581"/>
      <w:bookmarkStart w:id="1" w:name="_Toc12929"/>
      <w:bookmarkStart w:id="2" w:name="_Toc531265186"/>
      <w:bookmarkStart w:id="3" w:name="_Toc12517"/>
      <w:r>
        <w:rPr>
          <w:rFonts w:hint="default" w:ascii="Times New Roman" w:hAnsi="Times New Roman" w:cs="Times New Roman"/>
          <w:sz w:val="32"/>
          <w:szCs w:val="32"/>
          <w:highlight w:val="none"/>
        </w:rPr>
        <w:t>前言</w:t>
      </w:r>
      <w:bookmarkEnd w:id="0"/>
      <w:bookmarkEnd w:id="1"/>
      <w:bookmarkEnd w:id="2"/>
      <w:bookmarkEnd w:id="3"/>
    </w:p>
    <w:p w14:paraId="3BA65D4E">
      <w:pPr>
        <w:rPr>
          <w:rFonts w:hint="default" w:ascii="Times New Roman" w:hAnsi="Times New Roman" w:cs="Times New Roman"/>
          <w:highlight w:val="none"/>
        </w:rPr>
      </w:pPr>
    </w:p>
    <w:p w14:paraId="4559C22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为贯彻《中华人民共和国生态环境法典》等法律，防治环境污染，改善生态环境质量，推动稀土永磁表面处理行业生产工艺和污染防治技术进步，制定本要求。</w:t>
      </w:r>
    </w:p>
    <w:p w14:paraId="2AB51747">
      <w:pPr>
        <w:pStyle w:val="5"/>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本文件提出了稀土永磁表面处理企业的绿色技术要求。</w:t>
      </w:r>
    </w:p>
    <w:p w14:paraId="177A6D0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稀土永磁表面处理工业企业排放恶臭污染物、环境噪声适用相应的国家污染物排放标准。</w:t>
      </w:r>
    </w:p>
    <w:p w14:paraId="0F99D18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本文件由工业和信息化部组织制定。</w:t>
      </w:r>
    </w:p>
    <w:p w14:paraId="18B1DC0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本文件为首次发布。</w:t>
      </w:r>
    </w:p>
    <w:p w14:paraId="5878A24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highlight w:val="none"/>
          <w:lang w:eastAsia="zh-CN"/>
        </w:rPr>
      </w:pPr>
      <w:r>
        <w:rPr>
          <w:rFonts w:hint="default" w:ascii="Times New Roman" w:hAnsi="Times New Roman" w:cs="Times New Roman"/>
          <w:highlight w:val="none"/>
          <w:lang w:eastAsia="zh-CN"/>
        </w:rPr>
        <w:t>本文件</w:t>
      </w:r>
      <w:r>
        <w:rPr>
          <w:rFonts w:hint="default" w:ascii="Times New Roman" w:hAnsi="Times New Roman" w:cs="Times New Roman"/>
          <w:highlight w:val="none"/>
          <w:lang w:val="en-US" w:eastAsia="zh-CN"/>
        </w:rPr>
        <w:t>主要</w:t>
      </w:r>
      <w:r>
        <w:rPr>
          <w:rFonts w:hint="default" w:ascii="Times New Roman" w:hAnsi="Times New Roman" w:cs="Times New Roman"/>
          <w:highlight w:val="none"/>
        </w:rPr>
        <w:t>起草单位：福建省金龙稀土</w:t>
      </w:r>
      <w:r>
        <w:rPr>
          <w:rFonts w:hint="default" w:ascii="Times New Roman" w:hAnsi="Times New Roman" w:cs="Times New Roman"/>
          <w:highlight w:val="none"/>
          <w:lang w:val="en-US" w:eastAsia="zh-CN"/>
        </w:rPr>
        <w:t>股份</w:t>
      </w:r>
      <w:r>
        <w:rPr>
          <w:rFonts w:hint="default" w:ascii="Times New Roman" w:hAnsi="Times New Roman" w:cs="Times New Roman"/>
          <w:highlight w:val="none"/>
        </w:rPr>
        <w:t>有限公司、</w:t>
      </w:r>
      <w:r>
        <w:rPr>
          <w:rFonts w:hint="default" w:ascii="Times New Roman" w:hAnsi="Times New Roman" w:cs="Times New Roman"/>
          <w:highlight w:val="none"/>
          <w:lang w:eastAsia="zh-CN"/>
        </w:rPr>
        <w:t>安徽大地熊新材料股份有限公司、</w:t>
      </w:r>
      <w:r>
        <w:rPr>
          <w:rFonts w:hint="default" w:ascii="Times New Roman" w:hAnsi="Times New Roman" w:cs="Times New Roman"/>
          <w:highlight w:val="none"/>
        </w:rPr>
        <w:t>北京中科三环高技术股份有限公司</w:t>
      </w:r>
      <w:r>
        <w:rPr>
          <w:rFonts w:hint="default" w:ascii="Times New Roman" w:hAnsi="Times New Roman" w:cs="Times New Roman"/>
          <w:highlight w:val="none"/>
          <w:lang w:eastAsia="zh-CN"/>
        </w:rPr>
        <w:t>、</w:t>
      </w:r>
      <w:r>
        <w:rPr>
          <w:rFonts w:hint="default" w:ascii="Times New Roman" w:hAnsi="Times New Roman" w:cs="Times New Roman"/>
          <w:highlight w:val="none"/>
        </w:rPr>
        <w:t>安泰科技股份有限公司空港新材分公司</w:t>
      </w:r>
      <w:r>
        <w:rPr>
          <w:rFonts w:hint="default" w:ascii="Times New Roman" w:hAnsi="Times New Roman" w:cs="Times New Roman"/>
          <w:highlight w:val="none"/>
          <w:lang w:eastAsia="zh-CN"/>
        </w:rPr>
        <w:t>、宁波韵升特种金属材料有限公司、宁波招宝磁业股份有限公司、内蒙古北方稀土磁性材料有限责任公司</w:t>
      </w:r>
      <w:r>
        <w:rPr>
          <w:rFonts w:hint="eastAsia" w:ascii="Times New Roman" w:hAnsi="Times New Roman" w:cs="Times New Roman"/>
          <w:highlight w:val="none"/>
          <w:lang w:eastAsia="zh-CN"/>
        </w:rPr>
        <w:t>、包头市英思特稀磁新材料股份有限公司</w:t>
      </w:r>
      <w:r>
        <w:rPr>
          <w:rFonts w:hint="default" w:ascii="Times New Roman" w:hAnsi="Times New Roman" w:cs="Times New Roman"/>
          <w:highlight w:val="none"/>
          <w:lang w:eastAsia="zh-CN"/>
        </w:rPr>
        <w:t>。</w:t>
      </w:r>
    </w:p>
    <w:p w14:paraId="4A29D96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highlight w:val="none"/>
        </w:rPr>
      </w:pPr>
      <w:r>
        <w:rPr>
          <w:rFonts w:hint="default" w:ascii="Times New Roman" w:hAnsi="Times New Roman" w:cs="Times New Roman"/>
          <w:highlight w:val="none"/>
          <w:lang w:eastAsia="zh-CN"/>
        </w:rPr>
        <w:t>本文件</w:t>
      </w:r>
      <w:r>
        <w:rPr>
          <w:rFonts w:hint="default" w:ascii="Times New Roman" w:hAnsi="Times New Roman" w:cs="Times New Roman"/>
          <w:highlight w:val="none"/>
        </w:rPr>
        <w:t>主要起草人：</w:t>
      </w:r>
      <w:r>
        <w:rPr>
          <w:rFonts w:hint="default" w:ascii="Times New Roman" w:hAnsi="Times New Roman" w:cs="Times New Roman"/>
          <w:highlight w:val="none"/>
          <w:lang w:val="en-US" w:eastAsia="zh-CN"/>
        </w:rPr>
        <w:t>潘桃仂、崔红岩、赖荣文、陈大崑、</w:t>
      </w:r>
      <w:r>
        <w:rPr>
          <w:rFonts w:hint="default" w:ascii="Times New Roman" w:hAnsi="Times New Roman" w:cs="Times New Roman"/>
          <w:highlight w:val="none"/>
          <w:lang w:eastAsia="zh-CN"/>
        </w:rPr>
        <w:t>王金凤</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冯泉妤、孟令蝶、刘晓旭、朱剑涛、程俊峰、夏宁、董改华。</w:t>
      </w:r>
    </w:p>
    <w:p w14:paraId="36C46D89">
      <w:pPr>
        <w:spacing w:line="240" w:lineRule="auto"/>
        <w:jc w:val="center"/>
        <w:rPr>
          <w:rFonts w:hint="default" w:ascii="Times New Roman" w:hAnsi="Times New Roman" w:eastAsia="黑体" w:cs="Times New Roman"/>
          <w:sz w:val="30"/>
          <w:szCs w:val="30"/>
          <w:highlight w:val="none"/>
        </w:rPr>
      </w:pPr>
    </w:p>
    <w:p w14:paraId="26BFC417">
      <w:pPr>
        <w:spacing w:line="240" w:lineRule="auto"/>
        <w:jc w:val="center"/>
        <w:rPr>
          <w:rFonts w:hint="default" w:ascii="Times New Roman" w:hAnsi="Times New Roman" w:eastAsia="黑体" w:cs="Times New Roman"/>
          <w:sz w:val="30"/>
          <w:szCs w:val="30"/>
          <w:highlight w:val="none"/>
        </w:rPr>
      </w:pPr>
    </w:p>
    <w:p w14:paraId="0A9BF752">
      <w:pPr>
        <w:spacing w:line="240" w:lineRule="auto"/>
        <w:jc w:val="left"/>
        <w:rPr>
          <w:rFonts w:hint="default" w:ascii="Times New Roman" w:hAnsi="Times New Roman" w:eastAsia="黑体" w:cs="Times New Roman"/>
          <w:sz w:val="30"/>
          <w:szCs w:val="30"/>
          <w:highlight w:val="none"/>
        </w:rPr>
      </w:pPr>
    </w:p>
    <w:p w14:paraId="12BBD2B0">
      <w:pPr>
        <w:spacing w:line="240" w:lineRule="auto"/>
        <w:jc w:val="center"/>
        <w:rPr>
          <w:rFonts w:hint="default" w:ascii="Times New Roman" w:hAnsi="Times New Roman" w:eastAsia="黑体" w:cs="Times New Roman"/>
          <w:sz w:val="30"/>
          <w:szCs w:val="30"/>
          <w:highlight w:val="none"/>
        </w:rPr>
        <w:sectPr>
          <w:headerReference r:id="rId10" w:type="default"/>
          <w:footerReference r:id="rId11" w:type="default"/>
          <w:footerReference r:id="rId12" w:type="even"/>
          <w:pgSz w:w="11906" w:h="16838"/>
          <w:pgMar w:top="1417" w:right="1134" w:bottom="1134" w:left="1417" w:header="851" w:footer="992" w:gutter="0"/>
          <w:pgNumType w:fmt="decimal" w:start="1"/>
          <w:cols w:space="0" w:num="1"/>
          <w:docGrid w:type="lines" w:linePitch="317" w:charSpace="0"/>
        </w:sectPr>
      </w:pPr>
    </w:p>
    <w:p w14:paraId="1BE23605">
      <w:pPr>
        <w:spacing w:line="240" w:lineRule="auto"/>
        <w:jc w:val="center"/>
        <w:rPr>
          <w:rFonts w:hint="default" w:ascii="Times New Roman" w:hAnsi="Times New Roman" w:eastAsia="黑体" w:cs="Times New Roman"/>
          <w:sz w:val="30"/>
          <w:szCs w:val="30"/>
          <w:highlight w:val="none"/>
        </w:rPr>
      </w:pPr>
    </w:p>
    <w:p w14:paraId="3438609E">
      <w:pPr>
        <w:jc w:val="center"/>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稀土永磁</w:t>
      </w:r>
      <w:r>
        <w:rPr>
          <w:rFonts w:hint="default" w:ascii="Times New Roman" w:hAnsi="Times New Roman" w:eastAsia="黑体" w:cs="Times New Roman"/>
          <w:bCs/>
          <w:sz w:val="32"/>
          <w:szCs w:val="32"/>
          <w:highlight w:val="none"/>
          <w:lang w:val="en-US" w:eastAsia="zh-CN"/>
        </w:rPr>
        <w:t>表面处理绿色技术</w:t>
      </w:r>
      <w:r>
        <w:rPr>
          <w:rFonts w:hint="default" w:ascii="Times New Roman" w:hAnsi="Times New Roman" w:eastAsia="黑体" w:cs="Times New Roman"/>
          <w:bCs/>
          <w:sz w:val="32"/>
          <w:szCs w:val="32"/>
          <w:highlight w:val="none"/>
        </w:rPr>
        <w:t>要求</w:t>
      </w:r>
    </w:p>
    <w:p w14:paraId="0D4F717E">
      <w:pPr>
        <w:rPr>
          <w:rFonts w:hint="default" w:ascii="Times New Roman" w:hAnsi="Times New Roman" w:eastAsia="黑体" w:cs="Times New Roman"/>
          <w:b/>
          <w:bCs/>
          <w:highlight w:val="none"/>
        </w:rPr>
      </w:pPr>
    </w:p>
    <w:p w14:paraId="260D8D09">
      <w:pPr>
        <w:pStyle w:val="2"/>
        <w:adjustRightInd w:val="0"/>
        <w:snapToGrid w:val="0"/>
        <w:spacing w:before="317" w:beforeLines="100" w:after="317" w:afterLines="100"/>
        <w:rPr>
          <w:rFonts w:hint="default" w:ascii="Times New Roman" w:hAnsi="Times New Roman" w:cs="Times New Roman"/>
          <w:highlight w:val="none"/>
        </w:rPr>
      </w:pPr>
      <w:bookmarkStart w:id="4" w:name="_Toc531265187"/>
      <w:bookmarkStart w:id="5" w:name="_Toc14631"/>
      <w:bookmarkStart w:id="6" w:name="_Toc9882"/>
      <w:bookmarkStart w:id="7" w:name="_Toc14354"/>
      <w:bookmarkStart w:id="8" w:name="_Toc14040_WPSOffice_Level1"/>
      <w:bookmarkStart w:id="9" w:name="_Toc29401_WPSOffice_Level1"/>
      <w:bookmarkStart w:id="10" w:name="_Toc381480737"/>
      <w:bookmarkStart w:id="11" w:name="_Toc19245"/>
      <w:r>
        <w:rPr>
          <w:rFonts w:hint="default" w:ascii="Times New Roman" w:hAnsi="Times New Roman" w:cs="Times New Roman"/>
          <w:highlight w:val="none"/>
        </w:rPr>
        <w:t xml:space="preserve">1 </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rPr>
        <w:t>范围</w:t>
      </w:r>
      <w:bookmarkEnd w:id="4"/>
      <w:bookmarkEnd w:id="5"/>
      <w:bookmarkEnd w:id="6"/>
      <w:bookmarkEnd w:id="7"/>
      <w:bookmarkEnd w:id="8"/>
      <w:bookmarkEnd w:id="9"/>
      <w:bookmarkEnd w:id="10"/>
      <w:bookmarkEnd w:id="11"/>
    </w:p>
    <w:p w14:paraId="29D28D21">
      <w:pPr>
        <w:pStyle w:val="5"/>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highlight w:val="none"/>
          <w:lang w:val="en-US" w:eastAsia="zh-CN"/>
        </w:rPr>
      </w:pPr>
      <w:bookmarkStart w:id="12" w:name="_Toc12888_WPSOffice_Level1"/>
      <w:bookmarkStart w:id="13" w:name="_Toc531265188"/>
      <w:bookmarkStart w:id="14" w:name="_Toc381480738"/>
      <w:bookmarkStart w:id="15" w:name="_Toc20985"/>
      <w:bookmarkStart w:id="16" w:name="_Toc20399"/>
      <w:bookmarkStart w:id="17" w:name="_Toc20169_WPSOffice_Level1"/>
      <w:bookmarkStart w:id="18" w:name="_Toc2981"/>
      <w:r>
        <w:rPr>
          <w:rFonts w:hint="default" w:ascii="Times New Roman" w:hAnsi="Times New Roman" w:cs="Times New Roman"/>
          <w:highlight w:val="none"/>
          <w:lang w:val="en-US" w:eastAsia="zh-CN"/>
        </w:rPr>
        <w:t>本文件规定了稀土永磁表面处理企业的绿色技术要求。</w:t>
      </w:r>
    </w:p>
    <w:p w14:paraId="5CFBACAE">
      <w:pPr>
        <w:pStyle w:val="5"/>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highlight w:val="none"/>
        </w:rPr>
      </w:pPr>
      <w:r>
        <w:rPr>
          <w:rFonts w:hint="default" w:ascii="Times New Roman" w:hAnsi="Times New Roman" w:cs="Times New Roman"/>
          <w:highlight w:val="none"/>
          <w:lang w:eastAsia="zh-CN"/>
        </w:rPr>
        <w:t>本文件</w:t>
      </w:r>
      <w:r>
        <w:rPr>
          <w:rFonts w:hint="default" w:ascii="Times New Roman" w:hAnsi="Times New Roman" w:cs="Times New Roman"/>
          <w:highlight w:val="none"/>
        </w:rPr>
        <w:t>适用于从事</w:t>
      </w:r>
      <w:r>
        <w:rPr>
          <w:rFonts w:hint="default" w:ascii="Times New Roman" w:hAnsi="Times New Roman" w:cs="Times New Roman"/>
          <w:highlight w:val="none"/>
          <w:lang w:val="en-US" w:eastAsia="zh-CN"/>
        </w:rPr>
        <w:t>稀土</w:t>
      </w:r>
      <w:r>
        <w:rPr>
          <w:rFonts w:hint="default" w:ascii="Times New Roman" w:hAnsi="Times New Roman" w:cs="Times New Roman"/>
          <w:highlight w:val="none"/>
        </w:rPr>
        <w:t>永磁</w:t>
      </w:r>
      <w:r>
        <w:rPr>
          <w:rFonts w:hint="default" w:ascii="Times New Roman" w:hAnsi="Times New Roman" w:cs="Times New Roman"/>
          <w:highlight w:val="none"/>
          <w:lang w:val="en-US" w:eastAsia="zh-CN"/>
        </w:rPr>
        <w:t>表面处理</w:t>
      </w:r>
      <w:r>
        <w:rPr>
          <w:rFonts w:hint="default" w:ascii="Times New Roman" w:hAnsi="Times New Roman" w:cs="Times New Roman"/>
          <w:highlight w:val="none"/>
        </w:rPr>
        <w:t>的企业或企业生产单元的</w:t>
      </w:r>
      <w:r>
        <w:rPr>
          <w:rFonts w:hint="default" w:ascii="Times New Roman" w:hAnsi="Times New Roman" w:cs="Times New Roman"/>
          <w:highlight w:val="none"/>
          <w:lang w:val="en-US" w:eastAsia="zh-CN"/>
        </w:rPr>
        <w:t>生产管理及环保管理</w:t>
      </w:r>
      <w:r>
        <w:rPr>
          <w:rFonts w:hint="default" w:ascii="Times New Roman" w:hAnsi="Times New Roman" w:cs="Times New Roman"/>
          <w:highlight w:val="none"/>
        </w:rPr>
        <w:t>。</w:t>
      </w:r>
    </w:p>
    <w:p w14:paraId="56561207">
      <w:pPr>
        <w:pStyle w:val="5"/>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highlight w:val="none"/>
        </w:rPr>
      </w:pPr>
      <w:r>
        <w:rPr>
          <w:rFonts w:hint="default" w:ascii="Times New Roman" w:hAnsi="Times New Roman" w:cs="Times New Roman"/>
          <w:highlight w:val="none"/>
          <w:lang w:val="en-US" w:eastAsia="zh-CN"/>
        </w:rPr>
        <w:t>本文件规定的表面处理包括电镀和涂装工艺。</w:t>
      </w:r>
    </w:p>
    <w:p w14:paraId="5CB94039">
      <w:pPr>
        <w:pStyle w:val="2"/>
        <w:adjustRightInd w:val="0"/>
        <w:snapToGrid w:val="0"/>
        <w:spacing w:before="317" w:beforeLines="100" w:after="317" w:afterLines="100"/>
        <w:rPr>
          <w:rFonts w:hint="default" w:ascii="Times New Roman" w:hAnsi="Times New Roman" w:cs="Times New Roman"/>
          <w:highlight w:val="none"/>
        </w:rPr>
      </w:pPr>
      <w:bookmarkStart w:id="19" w:name="_Toc28437"/>
      <w:r>
        <w:rPr>
          <w:rFonts w:hint="default" w:ascii="Times New Roman" w:hAnsi="Times New Roman" w:cs="Times New Roman"/>
          <w:highlight w:val="none"/>
        </w:rPr>
        <w:t xml:space="preserve">2 </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rPr>
        <w:t>规范性引用文件</w:t>
      </w:r>
      <w:bookmarkEnd w:id="12"/>
      <w:bookmarkEnd w:id="13"/>
      <w:bookmarkEnd w:id="14"/>
      <w:bookmarkEnd w:id="15"/>
      <w:bookmarkEnd w:id="16"/>
      <w:bookmarkEnd w:id="17"/>
      <w:bookmarkEnd w:id="18"/>
      <w:bookmarkEnd w:id="19"/>
    </w:p>
    <w:p w14:paraId="2682A2A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下列文件中的内容通过文中的规范性引用而构成本文件必不可少的条款。其中，注日期的引用文件，仅该日期对的版本适用于本文件；不注日期的引用文件，其最新版本（包括所有的修改单）适用于本文件。</w:t>
      </w:r>
    </w:p>
    <w:p w14:paraId="3E00F6C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bookmarkStart w:id="20" w:name="_Toc531265189"/>
      <w:bookmarkStart w:id="21" w:name="_Toc24038"/>
      <w:bookmarkStart w:id="22" w:name="_Toc1817"/>
      <w:bookmarkStart w:id="23" w:name="_Toc29644_WPSOffice_Level1"/>
      <w:bookmarkStart w:id="24" w:name="_Toc23079_WPSOffice_Level1"/>
      <w:bookmarkStart w:id="25" w:name="_Toc21777"/>
      <w:r>
        <w:rPr>
          <w:rFonts w:hint="default" w:ascii="Times New Roman" w:hAnsi="Times New Roman" w:cs="Times New Roman"/>
          <w:szCs w:val="21"/>
          <w:highlight w:val="none"/>
          <w:lang w:val="en-US" w:eastAsia="zh-CN"/>
        </w:rPr>
        <w:t>GB 6920</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pH 值的测定 玻璃电极法</w:t>
      </w:r>
    </w:p>
    <w:p w14:paraId="2398CE8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GB 7466</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总铬的测定 高锰酸钾氧化 - 二苯碳酰二肼分光光度法</w:t>
      </w:r>
    </w:p>
    <w:p w14:paraId="3127A77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GB 7470</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铅的测定 双硫腙分光光度法</w:t>
      </w:r>
    </w:p>
    <w:p w14:paraId="238A5DB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GB 7471</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镉的测定 双硫腙分光光度法</w:t>
      </w:r>
    </w:p>
    <w:p w14:paraId="141F639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GB 7475</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铜、锌、铅、镉的测定 原子吸收分光光度法</w:t>
      </w:r>
    </w:p>
    <w:p w14:paraId="5CE26F5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GB 7476</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六价铬的测定 二苯碳酰二肼分光光度法</w:t>
      </w:r>
    </w:p>
    <w:p w14:paraId="55F0CE8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GB 7484</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氟化物的测定 离子选择电极法</w:t>
      </w:r>
    </w:p>
    <w:p w14:paraId="2D131C3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GB 11893</w:t>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总磷的测定 钼酸铵分光光度法</w:t>
      </w:r>
    </w:p>
    <w:p w14:paraId="3848115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GB 11901</w:t>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悬浮物的测定 重量法</w:t>
      </w:r>
    </w:p>
    <w:p w14:paraId="09E36DA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GB 11910</w:t>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镍的测定 丁二酮肟分光光度法</w:t>
      </w:r>
    </w:p>
    <w:p w14:paraId="3264923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GB 11912</w:t>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镍的测定 火焰原子吸收分光光度法</w:t>
      </w:r>
    </w:p>
    <w:p w14:paraId="66E869F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GB 18484</w:t>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危险废物焚烧污染控制标准</w:t>
      </w:r>
    </w:p>
    <w:p w14:paraId="3C6C1E2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GB 18597</w:t>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危险废物贮存污染控制标准</w:t>
      </w:r>
    </w:p>
    <w:p w14:paraId="7994595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GB 18598</w:t>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危险废物填埋污染控制标准</w:t>
      </w:r>
    </w:p>
    <w:p w14:paraId="7191F00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GB 18599</w:t>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一般工业固体废物贮存和填埋污染控制标准</w:t>
      </w:r>
    </w:p>
    <w:p w14:paraId="2C46E83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GB 21900</w:t>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电镀污染物排放标准</w:t>
      </w:r>
    </w:p>
    <w:p w14:paraId="6B5CADB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GB 34330</w:t>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固体废物鉴别标准 通则</w:t>
      </w:r>
    </w:p>
    <w:p w14:paraId="713DD6E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GB/T 23588</w:t>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钕铁硼生产加工回收料</w:t>
      </w:r>
    </w:p>
    <w:p w14:paraId="23A2B36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szCs w:val="21"/>
          <w:highlight w:val="none"/>
          <w:lang w:val="en-US" w:eastAsia="zh-CN"/>
        </w:rPr>
      </w:pPr>
      <w:r>
        <w:rPr>
          <w:rFonts w:hint="default" w:ascii="Times New Roman" w:hAnsi="Times New Roman" w:cs="Times New Roman"/>
          <w:szCs w:val="21"/>
          <w:highlight w:val="none"/>
        </w:rPr>
        <w:t>GB/T 38597</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低挥发性有机化合物含量涂料产品技术要求</w:t>
      </w:r>
    </w:p>
    <w:p w14:paraId="4E30649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 484</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氰化物的测定 容量法和分光光度法</w:t>
      </w:r>
    </w:p>
    <w:p w14:paraId="6A9DC6A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 485</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铜的测定 二乙基二硫代氨基甲酸钠分光光度法</w:t>
      </w:r>
    </w:p>
    <w:p w14:paraId="0C82F23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 486</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铜的测定 2,9 - 二甲基 - 1,10 - 菲啰啉分光光度法</w:t>
      </w:r>
    </w:p>
    <w:p w14:paraId="59E6996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 487</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氟化物的测定 茜素磺酸锆目视比色法</w:t>
      </w:r>
    </w:p>
    <w:p w14:paraId="7B895D4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 488</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氟化物的测定 氟试剂分光光度法</w:t>
      </w:r>
    </w:p>
    <w:p w14:paraId="5CD18A8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 535</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氨氮的测定 纳氏试剂分光光度法</w:t>
      </w:r>
    </w:p>
    <w:p w14:paraId="17A0766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 536</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氨氮的测定 水杨酸分光光度法</w:t>
      </w:r>
    </w:p>
    <w:p w14:paraId="00F2911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 537</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氨氮的测定 蒸馏 - 中和滴定法</w:t>
      </w:r>
    </w:p>
    <w:p w14:paraId="7866A9E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 636</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总氮的测定 碱性过硫酸钾消解紫外分光光度法</w:t>
      </w:r>
    </w:p>
    <w:p w14:paraId="4329A52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 637</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石油类和动植物油类的测定 红外分光光度法</w:t>
      </w:r>
    </w:p>
    <w:p w14:paraId="3E8E87A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 659</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氰化物等的测定 真空检测管 - 电子比色法</w:t>
      </w:r>
    </w:p>
    <w:p w14:paraId="3505B3F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 665</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氨氮的测定 连续流动 - 水杨酸分光光度法</w:t>
      </w:r>
    </w:p>
    <w:p w14:paraId="1D60374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 666</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氨氮的测定 流动注射 - 水杨酸分光光度法</w:t>
      </w:r>
    </w:p>
    <w:p w14:paraId="61863C4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 667</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总氮的测定 连续流动 - 盐酸萘乙二胺分光光度法</w:t>
      </w:r>
    </w:p>
    <w:p w14:paraId="326CC32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 668</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总氮的测定 流动注射 - 盐酸萘乙二胺分光光度法</w:t>
      </w:r>
    </w:p>
    <w:p w14:paraId="04D13C1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 670</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磷酸盐和总磷的测定 连续流动 - 钼酸铵分光光度法</w:t>
      </w:r>
    </w:p>
    <w:p w14:paraId="103D34C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 671</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总磷的测定 流动注射 - 钼酸铵分光光度法</w:t>
      </w:r>
    </w:p>
    <w:p w14:paraId="6B6DD28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 700</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65 种元素的测定 电感耦合等离子体发射光谱法</w:t>
      </w:r>
    </w:p>
    <w:p w14:paraId="036C56F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 776</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32 种元素的测定 电感耦合等离子体发射光谱法</w:t>
      </w:r>
    </w:p>
    <w:p w14:paraId="63B012E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 823</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氰化物的测定 流动注射 - 分光光度法</w:t>
      </w:r>
    </w:p>
    <w:p w14:paraId="1EBDC0C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 828</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化学需氧量的测定 重铬酸盐法</w:t>
      </w:r>
    </w:p>
    <w:p w14:paraId="1461EEC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 908</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六价铬的测定 流动注射 - 二苯碳酰二肼光度法</w:t>
      </w:r>
    </w:p>
    <w:p w14:paraId="46C9BC1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w:t>
      </w:r>
      <w:r>
        <w:rPr>
          <w:rFonts w:hint="eastAsia" w:ascii="Times New Roman" w:hAnsi="Times New Roman" w:cs="Times New Roman"/>
          <w:szCs w:val="21"/>
          <w:highlight w:val="none"/>
          <w:lang w:val="en-US" w:eastAsia="zh-CN"/>
        </w:rPr>
        <w:t xml:space="preserve"> 1405</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排污单位污染物排放口监测点位设置技术规范</w:t>
      </w:r>
    </w:p>
    <w:p w14:paraId="4F13414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 2025</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危险废物收集贮存运输技术规范</w:t>
      </w:r>
    </w:p>
    <w:p w14:paraId="6D4A0F7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HJ/T 27-1999 固定污染源排气中氯化氢的测定 硫氰酸汞分光光度法</w:t>
      </w:r>
    </w:p>
    <w:p w14:paraId="7D64099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HJ/T 43-1999 固定污染源排气中氮氧化物的测定 盐酸萘乙二胺分光光度法</w:t>
      </w:r>
    </w:p>
    <w:p w14:paraId="596CF4B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HJ/T 195</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氨氮的测定 气相分子吸收光谱法</w:t>
      </w:r>
    </w:p>
    <w:p w14:paraId="0D84443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HJ/T 199</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总氮的测定 气相分子吸收光谱法</w:t>
      </w:r>
    </w:p>
    <w:p w14:paraId="2BB13E3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HJ/T 399</w:t>
      </w:r>
      <w:r>
        <w:rPr>
          <w:rFonts w:hint="eastAsia" w:ascii="Times New Roman" w:hAnsi="Times New Roman" w:cs="Times New Roman"/>
          <w:szCs w:val="21"/>
          <w:highlight w:val="none"/>
          <w:lang w:val="en-US" w:eastAsia="zh-CN"/>
        </w:rPr>
        <w:tab/>
      </w:r>
      <w:r>
        <w:rPr>
          <w:rFonts w:hint="eastAsia" w:ascii="Times New Roman" w:hAnsi="Times New Roman" w:cs="Times New Roman"/>
          <w:szCs w:val="21"/>
          <w:highlight w:val="none"/>
          <w:lang w:val="en-US" w:eastAsia="zh-CN"/>
        </w:rPr>
        <w:tab/>
      </w:r>
      <w:r>
        <w:rPr>
          <w:rFonts w:hint="default" w:ascii="Times New Roman" w:hAnsi="Times New Roman" w:cs="Times New Roman"/>
          <w:szCs w:val="21"/>
          <w:highlight w:val="none"/>
          <w:lang w:val="en-US" w:eastAsia="zh-CN"/>
        </w:rPr>
        <w:t>水质 化学需氧量的测定 快速消解分光光度法</w:t>
      </w:r>
    </w:p>
    <w:p w14:paraId="72CE67A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《生态环境监测条例》（中华人民共和国国务院令 第820号）</w:t>
      </w:r>
    </w:p>
    <w:p w14:paraId="42D1945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《国家危险废物名录》</w:t>
      </w:r>
    </w:p>
    <w:p w14:paraId="1BFB786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《危险废物转移管理办法》（生态环境部、公安部、交通运输部令 第23号）</w:t>
      </w:r>
    </w:p>
    <w:p w14:paraId="657FFE4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highlight w:val="none"/>
        </w:rPr>
      </w:pPr>
      <w:r>
        <w:rPr>
          <w:rFonts w:hint="default" w:ascii="Times New Roman" w:hAnsi="Times New Roman" w:cs="Times New Roman"/>
          <w:szCs w:val="21"/>
          <w:highlight w:val="none"/>
          <w:lang w:val="en-US" w:eastAsia="zh-CN"/>
        </w:rPr>
        <w:t>《污染源自动监控管理办法》</w:t>
      </w:r>
      <w:r>
        <w:rPr>
          <w:rFonts w:hint="eastAsia" w:ascii="Times New Roman" w:hAnsi="Times New Roman" w:cs="Times New Roman"/>
          <w:szCs w:val="21"/>
          <w:highlight w:val="none"/>
          <w:lang w:val="en-US" w:eastAsia="zh-CN"/>
        </w:rPr>
        <w:t>（2005年9月19日国家环境保护总局令 第28号）</w:t>
      </w:r>
    </w:p>
    <w:p w14:paraId="74B40BA0">
      <w:pPr>
        <w:rPr>
          <w:rFonts w:hint="default" w:ascii="Times New Roman" w:hAnsi="Times New Roman" w:cs="Times New Roman"/>
          <w:highlight w:val="none"/>
        </w:rPr>
      </w:pPr>
      <w:r>
        <w:rPr>
          <w:rFonts w:hint="default" w:ascii="Times New Roman" w:hAnsi="Times New Roman" w:cs="Times New Roman"/>
          <w:highlight w:val="none"/>
        </w:rPr>
        <w:br w:type="page"/>
      </w:r>
    </w:p>
    <w:p w14:paraId="10B2C84F">
      <w:pPr>
        <w:pStyle w:val="2"/>
        <w:adjustRightInd w:val="0"/>
        <w:snapToGrid w:val="0"/>
        <w:spacing w:before="317" w:beforeLines="100" w:after="317" w:afterLines="100"/>
        <w:rPr>
          <w:rFonts w:hint="default" w:ascii="Times New Roman" w:hAnsi="Times New Roman" w:cs="Times New Roman"/>
          <w:highlight w:val="none"/>
        </w:rPr>
      </w:pPr>
      <w:bookmarkStart w:id="26" w:name="_Toc15685"/>
      <w:r>
        <w:rPr>
          <w:rFonts w:hint="default" w:ascii="Times New Roman" w:hAnsi="Times New Roman" w:cs="Times New Roman"/>
          <w:highlight w:val="none"/>
        </w:rPr>
        <w:t xml:space="preserve">3 </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rPr>
        <w:t>术语和定义</w:t>
      </w:r>
      <w:bookmarkEnd w:id="20"/>
      <w:bookmarkEnd w:id="21"/>
      <w:bookmarkEnd w:id="22"/>
      <w:bookmarkEnd w:id="23"/>
      <w:bookmarkEnd w:id="24"/>
      <w:bookmarkEnd w:id="25"/>
      <w:bookmarkEnd w:id="26"/>
    </w:p>
    <w:p w14:paraId="0A88D3BA">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下列术语和定义适用于</w:t>
      </w:r>
      <w:r>
        <w:rPr>
          <w:rFonts w:hint="default" w:ascii="Times New Roman" w:hAnsi="Times New Roman" w:cs="Times New Roman"/>
          <w:szCs w:val="21"/>
          <w:highlight w:val="none"/>
          <w:lang w:eastAsia="zh-CN"/>
        </w:rPr>
        <w:t>本文件</w:t>
      </w:r>
      <w:r>
        <w:rPr>
          <w:rFonts w:hint="default" w:ascii="Times New Roman" w:hAnsi="Times New Roman" w:cs="Times New Roman"/>
          <w:highlight w:val="none"/>
        </w:rPr>
        <w:t>。</w:t>
      </w:r>
    </w:p>
    <w:p w14:paraId="5930A2DD">
      <w:pPr>
        <w:adjustRightInd w:val="0"/>
        <w:snapToGrid w:val="0"/>
        <w:spacing w:before="158" w:beforeLines="50" w:after="158" w:afterLines="50" w:line="240" w:lineRule="auto"/>
        <w:rPr>
          <w:rFonts w:hint="eastAsia" w:ascii="黑体" w:hAnsi="黑体" w:eastAsia="黑体" w:cs="黑体"/>
          <w:highlight w:val="none"/>
          <w:lang w:val="en-US" w:eastAsia="zh-CN"/>
        </w:rPr>
      </w:pPr>
      <w:r>
        <w:rPr>
          <w:rFonts w:hint="eastAsia" w:ascii="黑体" w:hAnsi="黑体" w:eastAsia="黑体" w:cs="黑体"/>
          <w:highlight w:val="none"/>
        </w:rPr>
        <w:t>3.</w:t>
      </w:r>
      <w:r>
        <w:rPr>
          <w:rFonts w:hint="eastAsia" w:ascii="黑体" w:hAnsi="黑体" w:eastAsia="黑体" w:cs="黑体"/>
          <w:highlight w:val="none"/>
          <w:lang w:val="en-US" w:eastAsia="zh-CN"/>
        </w:rPr>
        <w:t>1</w:t>
      </w:r>
    </w:p>
    <w:p w14:paraId="54C843E4">
      <w:pPr>
        <w:adjustRightInd w:val="0"/>
        <w:snapToGrid w:val="0"/>
        <w:ind w:firstLine="420" w:firstLineChars="200"/>
        <w:rPr>
          <w:rFonts w:hint="default" w:ascii="Times New Roman" w:hAnsi="Times New Roman" w:eastAsia="黑体" w:cs="Times New Roman"/>
          <w:highlight w:val="none"/>
          <w:lang w:val="en-US" w:eastAsia="zh-CN"/>
        </w:rPr>
      </w:pPr>
      <w:r>
        <w:rPr>
          <w:rFonts w:hint="default" w:ascii="Times New Roman" w:hAnsi="Times New Roman" w:eastAsia="黑体" w:cs="Times New Roman"/>
          <w:highlight w:val="none"/>
          <w:lang w:val="en-US" w:eastAsia="zh-CN"/>
        </w:rPr>
        <w:t>表面处理</w:t>
      </w:r>
      <w:r>
        <w:rPr>
          <w:rFonts w:hint="default" w:ascii="黑体" w:hAnsi="黑体" w:eastAsia="黑体" w:cs="黑体"/>
          <w:highlight w:val="none"/>
          <w:lang w:val="en-US" w:eastAsia="zh-CN"/>
        </w:rPr>
        <w:t xml:space="preserve"> surface treatment</w:t>
      </w:r>
    </w:p>
    <w:p w14:paraId="0ABD5F59">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通过电镀和涂装改变</w:t>
      </w:r>
      <w:r>
        <w:rPr>
          <w:rFonts w:hint="eastAsia" w:ascii="Times New Roman" w:hAnsi="Times New Roman" w:cs="Times New Roman"/>
          <w:szCs w:val="21"/>
          <w:highlight w:val="none"/>
          <w:lang w:val="en-US" w:eastAsia="zh-CN"/>
        </w:rPr>
        <w:t>稀土永磁体</w:t>
      </w:r>
      <w:r>
        <w:rPr>
          <w:rFonts w:hint="default" w:ascii="Times New Roman" w:hAnsi="Times New Roman" w:cs="Times New Roman"/>
          <w:szCs w:val="21"/>
          <w:highlight w:val="none"/>
          <w:lang w:val="en-US" w:eastAsia="zh-CN"/>
        </w:rPr>
        <w:t>表面状态，使其获得不同于</w:t>
      </w:r>
      <w:r>
        <w:rPr>
          <w:rFonts w:hint="eastAsia" w:ascii="Times New Roman" w:hAnsi="Times New Roman" w:cs="Times New Roman"/>
          <w:szCs w:val="21"/>
          <w:highlight w:val="none"/>
          <w:lang w:val="en-US" w:eastAsia="zh-CN"/>
        </w:rPr>
        <w:t>基体</w:t>
      </w:r>
      <w:r>
        <w:rPr>
          <w:rFonts w:hint="default" w:ascii="Times New Roman" w:hAnsi="Times New Roman" w:cs="Times New Roman"/>
          <w:szCs w:val="21"/>
          <w:highlight w:val="none"/>
          <w:lang w:val="en-US" w:eastAsia="zh-CN"/>
        </w:rPr>
        <w:t>的特殊性能。</w:t>
      </w:r>
    </w:p>
    <w:p w14:paraId="69AF4B4F">
      <w:pPr>
        <w:adjustRightInd w:val="0"/>
        <w:snapToGrid w:val="0"/>
        <w:spacing w:before="158" w:beforeLines="50" w:after="158" w:afterLines="50" w:line="240" w:lineRule="auto"/>
        <w:rPr>
          <w:rFonts w:hint="eastAsia" w:ascii="黑体" w:hAnsi="黑体" w:eastAsia="黑体" w:cs="黑体"/>
          <w:highlight w:val="none"/>
          <w:lang w:eastAsia="zh-CN"/>
        </w:rPr>
      </w:pPr>
      <w:r>
        <w:rPr>
          <w:rFonts w:hint="eastAsia" w:ascii="黑体" w:hAnsi="黑体" w:eastAsia="黑体" w:cs="黑体"/>
          <w:highlight w:val="none"/>
        </w:rPr>
        <w:t>3.</w:t>
      </w:r>
      <w:r>
        <w:rPr>
          <w:rFonts w:hint="eastAsia" w:ascii="黑体" w:hAnsi="黑体" w:eastAsia="黑体" w:cs="黑体"/>
          <w:highlight w:val="none"/>
          <w:lang w:val="en-US" w:eastAsia="zh-CN"/>
        </w:rPr>
        <w:t>2</w:t>
      </w:r>
    </w:p>
    <w:p w14:paraId="6D8F170E">
      <w:pPr>
        <w:adjustRightInd w:val="0"/>
        <w:snapToGrid w:val="0"/>
        <w:spacing w:before="158" w:beforeLines="50" w:after="158" w:afterLines="50" w:line="240" w:lineRule="auto"/>
        <w:ind w:firstLine="420" w:firstLineChars="200"/>
        <w:rPr>
          <w:rFonts w:hint="default" w:ascii="黑体" w:hAnsi="黑体" w:eastAsia="黑体" w:cs="黑体"/>
          <w:highlight w:val="none"/>
          <w:lang w:val="en-US" w:eastAsia="zh-CN"/>
        </w:rPr>
      </w:pPr>
      <w:r>
        <w:rPr>
          <w:rFonts w:hint="eastAsia" w:ascii="黑体" w:hAnsi="黑体" w:eastAsia="黑体" w:cs="黑体"/>
          <w:highlight w:val="none"/>
          <w:lang w:val="en-US" w:eastAsia="zh-CN"/>
        </w:rPr>
        <w:t>电镀 electroplating</w:t>
      </w:r>
    </w:p>
    <w:p w14:paraId="4BC3A5FE">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Times New Roman" w:hAnsi="Times New Roman" w:cs="Times New Roman"/>
          <w:szCs w:val="21"/>
          <w:highlight w:val="none"/>
        </w:rPr>
      </w:pPr>
      <w:r>
        <w:rPr>
          <w:rFonts w:hint="eastAsia" w:ascii="Times New Roman" w:hAnsi="Times New Roman" w:cs="Times New Roman"/>
          <w:szCs w:val="21"/>
          <w:highlight w:val="none"/>
          <w:lang w:val="en-US" w:eastAsia="zh-CN"/>
        </w:rPr>
        <w:t>为获得基体所不具有的性能或尺寸，通过电解法在基体上沉积结合力良好的金属或合金层。</w:t>
      </w:r>
    </w:p>
    <w:p w14:paraId="24550D73">
      <w:pPr>
        <w:adjustRightInd w:val="0"/>
        <w:snapToGrid w:val="0"/>
        <w:spacing w:before="158" w:beforeLines="50" w:after="158" w:afterLines="50" w:line="240" w:lineRule="auto"/>
        <w:rPr>
          <w:rFonts w:hint="eastAsia"/>
          <w:highlight w:val="yellow"/>
          <w:lang w:val="en-US" w:eastAsia="zh-CN"/>
        </w:rPr>
      </w:pPr>
      <w:r>
        <w:rPr>
          <w:rFonts w:hint="eastAsia" w:ascii="黑体" w:hAnsi="黑体" w:eastAsia="黑体" w:cs="黑体"/>
          <w:highlight w:val="none"/>
        </w:rPr>
        <w:t>3.</w:t>
      </w:r>
      <w:r>
        <w:rPr>
          <w:rFonts w:hint="eastAsia" w:ascii="黑体" w:hAnsi="黑体" w:eastAsia="黑体" w:cs="黑体"/>
          <w:highlight w:val="none"/>
          <w:lang w:val="en-US" w:eastAsia="zh-CN"/>
        </w:rPr>
        <w:t>3</w:t>
      </w:r>
    </w:p>
    <w:p w14:paraId="375A4BF5">
      <w:pPr>
        <w:adjustRightInd w:val="0"/>
        <w:snapToGrid w:val="0"/>
        <w:spacing w:before="158" w:beforeLines="50" w:after="158" w:afterLines="50" w:line="240" w:lineRule="auto"/>
        <w:ind w:firstLine="420" w:firstLineChars="200"/>
        <w:rPr>
          <w:rFonts w:hint="default" w:ascii="黑体" w:hAnsi="黑体" w:eastAsia="黑体" w:cs="黑体"/>
          <w:highlight w:val="none"/>
          <w:lang w:val="en-US" w:eastAsia="zh-CN"/>
        </w:rPr>
      </w:pPr>
      <w:r>
        <w:rPr>
          <w:rFonts w:hint="default" w:ascii="黑体" w:hAnsi="黑体" w:eastAsia="黑体" w:cs="黑体"/>
          <w:highlight w:val="none"/>
          <w:lang w:val="en-US" w:eastAsia="zh-CN"/>
        </w:rPr>
        <w:t>涂装coating</w:t>
      </w:r>
    </w:p>
    <w:p w14:paraId="67A3E8C6">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采用合适的施工方法和工艺技术，将不同种类的涂料涂覆在产品表面并使其牢固附着的涂料成膜工艺，包括化学前处理、机械（物理）前处理、喷漆（涂覆）和喷粉工艺。</w:t>
      </w:r>
    </w:p>
    <w:p w14:paraId="76DD8842">
      <w:pPr>
        <w:adjustRightInd w:val="0"/>
        <w:snapToGrid w:val="0"/>
        <w:spacing w:before="158" w:beforeLines="50" w:after="158" w:afterLines="50" w:line="240" w:lineRule="auto"/>
        <w:rPr>
          <w:rFonts w:hint="eastAsia" w:ascii="黑体" w:hAnsi="黑体" w:eastAsia="黑体" w:cs="黑体"/>
          <w:highlight w:val="none"/>
          <w:lang w:val="en-US" w:eastAsia="zh-CN"/>
        </w:rPr>
      </w:pPr>
      <w:r>
        <w:rPr>
          <w:rFonts w:hint="eastAsia" w:ascii="黑体" w:hAnsi="黑体" w:eastAsia="黑体" w:cs="黑体"/>
          <w:highlight w:val="none"/>
          <w:lang w:val="en-US" w:eastAsia="zh-CN"/>
        </w:rPr>
        <w:t>3.4</w:t>
      </w:r>
    </w:p>
    <w:p w14:paraId="692CE7F3">
      <w:pPr>
        <w:adjustRightInd w:val="0"/>
        <w:snapToGrid w:val="0"/>
        <w:spacing w:before="158" w:beforeLines="50" w:after="158" w:afterLines="50" w:line="240" w:lineRule="auto"/>
        <w:ind w:firstLine="420" w:firstLineChars="200"/>
        <w:rPr>
          <w:rFonts w:hint="eastAsia" w:ascii="黑体" w:hAnsi="黑体" w:eastAsia="黑体" w:cs="黑体"/>
          <w:highlight w:val="none"/>
          <w:lang w:val="en-US" w:eastAsia="zh-CN"/>
        </w:rPr>
      </w:pPr>
      <w:r>
        <w:rPr>
          <w:rFonts w:hint="eastAsia" w:ascii="黑体" w:hAnsi="黑体" w:eastAsia="黑体" w:cs="黑体"/>
          <w:highlight w:val="none"/>
          <w:lang w:val="en-US" w:eastAsia="zh-CN"/>
        </w:rPr>
        <w:t>直接排放</w:t>
      </w:r>
      <w:r>
        <w:rPr>
          <w:rFonts w:hint="default" w:ascii="黑体" w:hAnsi="黑体" w:eastAsia="黑体" w:cs="黑体"/>
          <w:highlight w:val="none"/>
          <w:lang w:val="en-US" w:eastAsia="zh-CN"/>
        </w:rPr>
        <w:t xml:space="preserve"> </w:t>
      </w:r>
      <w:r>
        <w:rPr>
          <w:rFonts w:hint="eastAsia" w:ascii="黑体" w:hAnsi="黑体" w:eastAsia="黑体" w:cs="黑体"/>
          <w:highlight w:val="none"/>
          <w:lang w:val="en-US" w:eastAsia="zh-CN"/>
        </w:rPr>
        <w:t>direct discharge</w:t>
      </w:r>
    </w:p>
    <w:p w14:paraId="5D078971">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排污单位直接向环境水体排放水污染物的行为。</w:t>
      </w:r>
    </w:p>
    <w:p w14:paraId="5DFB45D2">
      <w:pPr>
        <w:adjustRightInd w:val="0"/>
        <w:snapToGrid w:val="0"/>
        <w:spacing w:before="158" w:beforeLines="50" w:after="158" w:afterLines="50" w:line="240" w:lineRule="auto"/>
        <w:rPr>
          <w:rFonts w:hint="default" w:ascii="黑体" w:hAnsi="黑体" w:eastAsia="黑体" w:cs="黑体"/>
          <w:highlight w:val="none"/>
          <w:lang w:val="en-US" w:eastAsia="zh-CN"/>
        </w:rPr>
      </w:pPr>
      <w:r>
        <w:rPr>
          <w:rFonts w:hint="eastAsia" w:ascii="黑体" w:hAnsi="黑体" w:eastAsia="黑体" w:cs="黑体"/>
          <w:highlight w:val="none"/>
          <w:lang w:val="en-US" w:eastAsia="zh-CN"/>
        </w:rPr>
        <w:t>3.5</w:t>
      </w:r>
    </w:p>
    <w:p w14:paraId="212984B3">
      <w:pPr>
        <w:adjustRightInd w:val="0"/>
        <w:snapToGrid w:val="0"/>
        <w:spacing w:before="158" w:beforeLines="50" w:after="158" w:afterLines="50" w:line="240" w:lineRule="auto"/>
        <w:ind w:firstLine="420" w:firstLineChars="200"/>
        <w:rPr>
          <w:rFonts w:hint="eastAsia" w:ascii="黑体" w:hAnsi="黑体" w:eastAsia="黑体" w:cs="黑体"/>
          <w:highlight w:val="none"/>
          <w:lang w:val="en-US" w:eastAsia="zh-CN"/>
        </w:rPr>
      </w:pPr>
      <w:r>
        <w:rPr>
          <w:rFonts w:hint="eastAsia" w:ascii="黑体" w:hAnsi="黑体" w:eastAsia="黑体" w:cs="黑体"/>
          <w:highlight w:val="none"/>
          <w:lang w:val="en-US" w:eastAsia="zh-CN"/>
        </w:rPr>
        <w:t>间接排放</w:t>
      </w:r>
      <w:r>
        <w:rPr>
          <w:rFonts w:hint="default" w:ascii="黑体" w:hAnsi="黑体" w:eastAsia="黑体" w:cs="黑体"/>
          <w:highlight w:val="none"/>
          <w:lang w:val="en-US" w:eastAsia="zh-CN"/>
        </w:rPr>
        <w:t xml:space="preserve"> </w:t>
      </w:r>
      <w:r>
        <w:rPr>
          <w:rFonts w:hint="eastAsia" w:ascii="黑体" w:hAnsi="黑体" w:eastAsia="黑体" w:cs="黑体"/>
          <w:highlight w:val="none"/>
          <w:lang w:val="en-US" w:eastAsia="zh-CN"/>
        </w:rPr>
        <w:t>indirect discharge</w:t>
      </w:r>
    </w:p>
    <w:p w14:paraId="557F0855">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排污单位向污水集中处理设施排放水污染物的行为。</w:t>
      </w:r>
    </w:p>
    <w:p w14:paraId="04869981">
      <w:pPr>
        <w:adjustRightInd w:val="0"/>
        <w:snapToGrid w:val="0"/>
        <w:spacing w:before="158" w:beforeLines="50" w:after="158" w:afterLines="50" w:line="240" w:lineRule="auto"/>
        <w:rPr>
          <w:rFonts w:hint="default" w:ascii="黑体" w:hAnsi="黑体" w:eastAsia="黑体" w:cs="黑体"/>
          <w:highlight w:val="none"/>
          <w:lang w:val="en-US" w:eastAsia="zh-CN"/>
        </w:rPr>
      </w:pPr>
      <w:r>
        <w:rPr>
          <w:rFonts w:hint="default" w:ascii="黑体" w:hAnsi="黑体" w:eastAsia="黑体" w:cs="黑体"/>
          <w:highlight w:val="none"/>
          <w:lang w:val="en-US" w:eastAsia="zh-CN"/>
        </w:rPr>
        <w:t>3.</w:t>
      </w:r>
      <w:r>
        <w:rPr>
          <w:rFonts w:hint="eastAsia" w:ascii="黑体" w:hAnsi="黑体" w:eastAsia="黑体" w:cs="黑体"/>
          <w:highlight w:val="none"/>
          <w:lang w:val="en-US" w:eastAsia="zh-CN"/>
        </w:rPr>
        <w:t>6</w:t>
      </w:r>
    </w:p>
    <w:p w14:paraId="653652FE">
      <w:pPr>
        <w:adjustRightInd w:val="0"/>
        <w:snapToGrid w:val="0"/>
        <w:spacing w:before="158" w:beforeLines="50" w:after="158" w:afterLines="50" w:line="240" w:lineRule="auto"/>
        <w:ind w:firstLine="420" w:firstLineChars="200"/>
        <w:rPr>
          <w:rFonts w:hint="default" w:ascii="Times New Roman" w:hAnsi="Times New Roman" w:eastAsia="黑体" w:cs="Times New Roman"/>
          <w:highlight w:val="none"/>
          <w:lang w:val="en-US" w:eastAsia="zh-CN"/>
        </w:rPr>
      </w:pPr>
      <w:r>
        <w:rPr>
          <w:rFonts w:hint="default" w:ascii="Times New Roman" w:hAnsi="Times New Roman" w:eastAsia="黑体" w:cs="Times New Roman"/>
          <w:highlight w:val="none"/>
          <w:lang w:val="en-US" w:eastAsia="zh-CN"/>
        </w:rPr>
        <w:t xml:space="preserve">污水集中处理设施 </w:t>
      </w:r>
      <w:r>
        <w:rPr>
          <w:rFonts w:hint="default" w:ascii="黑体" w:hAnsi="黑体" w:eastAsia="黑体" w:cs="黑体"/>
          <w:highlight w:val="none"/>
          <w:lang w:val="en-US" w:eastAsia="zh-CN"/>
        </w:rPr>
        <w:t>concentrated wastewarter treatment facilities</w:t>
      </w:r>
    </w:p>
    <w:p w14:paraId="6BD2A1FD">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为两家及两家以上排污单位提供污水处理服务的污水处理设施，包括各种规模和类型的城镇污水集中处理设施、工业集聚区（经济技术开发区、高新技术产业开发区、出口加工区等各类工业园区）污水集中处理设施，以及其他由两家及两家以上排污单位共用的污水处理设施等。</w:t>
      </w:r>
    </w:p>
    <w:p w14:paraId="2EB59D1A">
      <w:pPr>
        <w:adjustRightInd w:val="0"/>
        <w:snapToGrid w:val="0"/>
        <w:spacing w:before="158" w:beforeLines="50" w:after="158" w:afterLines="50" w:line="240" w:lineRule="auto"/>
        <w:rPr>
          <w:rFonts w:hint="default" w:ascii="黑体" w:hAnsi="黑体" w:eastAsia="黑体" w:cs="黑体"/>
          <w:highlight w:val="none"/>
          <w:lang w:val="en-US" w:eastAsia="zh-CN"/>
        </w:rPr>
      </w:pPr>
      <w:r>
        <w:rPr>
          <w:rFonts w:hint="default" w:ascii="黑体" w:hAnsi="黑体" w:eastAsia="黑体" w:cs="黑体"/>
          <w:highlight w:val="none"/>
          <w:lang w:val="en-US" w:eastAsia="zh-CN"/>
        </w:rPr>
        <w:t>3.</w:t>
      </w:r>
      <w:r>
        <w:rPr>
          <w:rFonts w:hint="eastAsia" w:ascii="黑体" w:hAnsi="黑体" w:eastAsia="黑体" w:cs="黑体"/>
          <w:highlight w:val="none"/>
          <w:lang w:val="en-US" w:eastAsia="zh-CN"/>
        </w:rPr>
        <w:t>7</w:t>
      </w:r>
    </w:p>
    <w:p w14:paraId="476D7B03">
      <w:pPr>
        <w:adjustRightInd w:val="0"/>
        <w:snapToGrid w:val="0"/>
        <w:spacing w:before="158" w:beforeLines="50" w:after="158" w:afterLines="50" w:line="240" w:lineRule="auto"/>
        <w:ind w:firstLine="420" w:firstLineChars="200"/>
        <w:rPr>
          <w:rFonts w:hint="default" w:ascii="Times New Roman" w:hAnsi="Times New Roman" w:eastAsia="黑体" w:cs="Times New Roman"/>
          <w:sz w:val="20"/>
          <w:szCs w:val="22"/>
          <w:highlight w:val="none"/>
          <w:lang w:val="en-US" w:eastAsia="zh-CN"/>
        </w:rPr>
      </w:pPr>
      <w:r>
        <w:rPr>
          <w:rFonts w:hint="default" w:ascii="Times New Roman" w:hAnsi="Times New Roman" w:eastAsia="黑体" w:cs="Times New Roman"/>
          <w:highlight w:val="none"/>
          <w:lang w:val="en-US" w:eastAsia="zh-CN"/>
        </w:rPr>
        <w:t xml:space="preserve">电镀工业污水集中处理设施 </w:t>
      </w:r>
      <w:r>
        <w:rPr>
          <w:rFonts w:hint="default" w:ascii="黑体" w:hAnsi="黑体" w:eastAsia="黑体" w:cs="黑体"/>
          <w:highlight w:val="none"/>
          <w:lang w:val="en-US" w:eastAsia="zh-CN"/>
        </w:rPr>
        <w:t>concentrated wastewater treatment facilities for electroplating industry</w:t>
      </w:r>
    </w:p>
    <w:p w14:paraId="13354966">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专门为两家及两家以上电镀工业排污单位提供污水处理服务的污水集中处理设施。</w:t>
      </w:r>
    </w:p>
    <w:p w14:paraId="142EC9E4">
      <w:pPr>
        <w:adjustRightInd w:val="0"/>
        <w:snapToGrid w:val="0"/>
        <w:spacing w:before="158" w:beforeLines="50" w:after="158" w:afterLines="50" w:line="240" w:lineRule="auto"/>
        <w:rPr>
          <w:rFonts w:hint="default" w:ascii="黑体" w:hAnsi="黑体" w:eastAsia="黑体" w:cs="黑体"/>
          <w:highlight w:val="none"/>
          <w:lang w:val="en-US" w:eastAsia="zh-CN"/>
        </w:rPr>
      </w:pPr>
      <w:r>
        <w:rPr>
          <w:rFonts w:hint="default" w:ascii="黑体" w:hAnsi="黑体" w:eastAsia="黑体" w:cs="黑体"/>
          <w:highlight w:val="none"/>
          <w:lang w:val="en-US" w:eastAsia="zh-CN"/>
        </w:rPr>
        <w:t>3.</w:t>
      </w:r>
      <w:r>
        <w:rPr>
          <w:rFonts w:hint="eastAsia" w:ascii="黑体" w:hAnsi="黑体" w:eastAsia="黑体" w:cs="黑体"/>
          <w:highlight w:val="none"/>
          <w:lang w:val="en-US" w:eastAsia="zh-CN"/>
        </w:rPr>
        <w:t>8</w:t>
      </w:r>
    </w:p>
    <w:p w14:paraId="19C0CA1B">
      <w:pPr>
        <w:adjustRightInd w:val="0"/>
        <w:snapToGrid w:val="0"/>
        <w:spacing w:before="158" w:beforeLines="50" w:after="158" w:afterLines="50" w:line="240" w:lineRule="auto"/>
        <w:ind w:firstLine="420" w:firstLineChars="200"/>
        <w:rPr>
          <w:rFonts w:hint="default" w:ascii="Times New Roman" w:hAnsi="Times New Roman" w:eastAsia="黑体" w:cs="Times New Roman"/>
          <w:highlight w:val="none"/>
          <w:lang w:val="en-US" w:eastAsia="zh-CN"/>
        </w:rPr>
      </w:pPr>
      <w:r>
        <w:rPr>
          <w:rFonts w:hint="default" w:ascii="Times New Roman" w:hAnsi="Times New Roman" w:eastAsia="黑体" w:cs="Times New Roman"/>
          <w:highlight w:val="none"/>
          <w:lang w:val="en-US" w:eastAsia="zh-CN"/>
        </w:rPr>
        <w:t xml:space="preserve">排水量 </w:t>
      </w:r>
      <w:r>
        <w:rPr>
          <w:rFonts w:hint="default" w:ascii="黑体" w:hAnsi="黑体" w:eastAsia="黑体" w:cs="黑体"/>
          <w:highlight w:val="none"/>
          <w:lang w:val="en-US" w:eastAsia="zh-CN"/>
        </w:rPr>
        <w:t>effluent volume</w:t>
      </w:r>
    </w:p>
    <w:p w14:paraId="3DF7006F">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企业或生产设施向企业法定边界以外排放的废水的量，包括与生产有直接或间接关系的各种外排废水（含厂区生活污水、冷却污水、厂区锅炉排水等）。</w:t>
      </w:r>
    </w:p>
    <w:p w14:paraId="2D6D6088">
      <w:pPr>
        <w:adjustRightInd w:val="0"/>
        <w:snapToGrid w:val="0"/>
        <w:spacing w:before="158" w:beforeLines="50" w:after="158" w:afterLines="50" w:line="240" w:lineRule="auto"/>
        <w:rPr>
          <w:rFonts w:hint="default" w:ascii="黑体" w:hAnsi="黑体" w:eastAsia="黑体" w:cs="黑体"/>
          <w:highlight w:val="none"/>
          <w:lang w:val="en-US" w:eastAsia="zh-CN"/>
        </w:rPr>
      </w:pPr>
      <w:r>
        <w:rPr>
          <w:rFonts w:hint="default" w:ascii="黑体" w:hAnsi="黑体" w:eastAsia="黑体" w:cs="黑体"/>
          <w:highlight w:val="none"/>
          <w:lang w:val="en-US" w:eastAsia="zh-CN"/>
        </w:rPr>
        <w:t>3.</w:t>
      </w:r>
      <w:r>
        <w:rPr>
          <w:rFonts w:hint="eastAsia" w:ascii="黑体" w:hAnsi="黑体" w:eastAsia="黑体" w:cs="黑体"/>
          <w:highlight w:val="none"/>
          <w:lang w:val="en-US" w:eastAsia="zh-CN"/>
        </w:rPr>
        <w:t>9</w:t>
      </w:r>
    </w:p>
    <w:p w14:paraId="1B365FE2">
      <w:pPr>
        <w:adjustRightInd w:val="0"/>
        <w:snapToGrid w:val="0"/>
        <w:spacing w:before="158" w:beforeLines="50" w:after="158" w:afterLines="50" w:line="240" w:lineRule="auto"/>
        <w:ind w:firstLine="420" w:firstLineChars="200"/>
        <w:rPr>
          <w:rFonts w:hint="default" w:ascii="Times New Roman" w:hAnsi="Times New Roman" w:eastAsia="黑体" w:cs="Times New Roman"/>
          <w:highlight w:val="none"/>
          <w:lang w:val="en-US" w:eastAsia="zh-CN"/>
        </w:rPr>
      </w:pPr>
      <w:r>
        <w:rPr>
          <w:rFonts w:hint="default" w:ascii="Times New Roman" w:hAnsi="Times New Roman" w:eastAsia="黑体" w:cs="Times New Roman"/>
          <w:highlight w:val="none"/>
          <w:lang w:val="en-US" w:eastAsia="zh-CN"/>
        </w:rPr>
        <w:t>单位产品基准排水</w:t>
      </w:r>
      <w:r>
        <w:rPr>
          <w:rFonts w:hint="default" w:ascii="黑体" w:hAnsi="黑体" w:eastAsia="黑体" w:cs="黑体"/>
          <w:highlight w:val="none"/>
          <w:lang w:val="en-US" w:eastAsia="zh-CN"/>
        </w:rPr>
        <w:t>量 benchmark effluent volume per unit product</w:t>
      </w:r>
    </w:p>
    <w:p w14:paraId="24B0B5E0">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用于核定水污染物排放浓度而规定的</w:t>
      </w:r>
      <w:r>
        <w:rPr>
          <w:rFonts w:hint="eastAsia" w:ascii="Times New Roman" w:hAnsi="Times New Roman" w:cs="Times New Roman"/>
          <w:szCs w:val="21"/>
          <w:highlight w:val="none"/>
          <w:lang w:val="en-US" w:eastAsia="zh-CN"/>
        </w:rPr>
        <w:t>生成单位面积镀件镀层的废水</w:t>
      </w:r>
      <w:r>
        <w:rPr>
          <w:rFonts w:hint="default" w:ascii="Times New Roman" w:hAnsi="Times New Roman" w:cs="Times New Roman"/>
          <w:szCs w:val="21"/>
          <w:highlight w:val="none"/>
          <w:lang w:val="en-US" w:eastAsia="zh-CN"/>
        </w:rPr>
        <w:t>排水量上限值。</w:t>
      </w:r>
    </w:p>
    <w:p w14:paraId="700E665C">
      <w:pPr>
        <w:adjustRightInd w:val="0"/>
        <w:snapToGrid w:val="0"/>
        <w:spacing w:before="158" w:beforeLines="50" w:after="158" w:afterLines="50" w:line="240" w:lineRule="auto"/>
        <w:rPr>
          <w:rFonts w:hint="default" w:ascii="黑体" w:hAnsi="黑体" w:eastAsia="黑体" w:cs="黑体"/>
          <w:highlight w:val="none"/>
          <w:lang w:val="en-US" w:eastAsia="zh-CN"/>
        </w:rPr>
      </w:pPr>
      <w:r>
        <w:rPr>
          <w:rFonts w:hint="default" w:ascii="黑体" w:hAnsi="黑体" w:eastAsia="黑体" w:cs="黑体"/>
          <w:highlight w:val="none"/>
          <w:lang w:val="en-US" w:eastAsia="zh-CN"/>
        </w:rPr>
        <w:t>3.</w:t>
      </w:r>
      <w:r>
        <w:rPr>
          <w:rFonts w:hint="eastAsia" w:ascii="黑体" w:hAnsi="黑体" w:eastAsia="黑体" w:cs="黑体"/>
          <w:highlight w:val="none"/>
          <w:lang w:val="en-US" w:eastAsia="zh-CN"/>
        </w:rPr>
        <w:t>10</w:t>
      </w:r>
    </w:p>
    <w:p w14:paraId="67A1B140">
      <w:pPr>
        <w:adjustRightInd w:val="0"/>
        <w:snapToGrid w:val="0"/>
        <w:spacing w:before="158" w:beforeLines="50" w:after="158" w:afterLines="50" w:line="240" w:lineRule="auto"/>
        <w:ind w:firstLine="420" w:firstLineChars="200"/>
        <w:rPr>
          <w:rFonts w:hint="default" w:ascii="Times New Roman" w:hAnsi="Times New Roman" w:eastAsia="黑体" w:cs="Times New Roman"/>
          <w:highlight w:val="none"/>
          <w:lang w:val="en-US" w:eastAsia="zh-CN"/>
        </w:rPr>
      </w:pPr>
      <w:r>
        <w:rPr>
          <w:rFonts w:hint="eastAsia" w:ascii="Times New Roman" w:hAnsi="Times New Roman" w:eastAsia="黑体" w:cs="Times New Roman"/>
          <w:highlight w:val="none"/>
          <w:lang w:val="en-US" w:eastAsia="zh-CN"/>
        </w:rPr>
        <w:t>单层</w:t>
      </w:r>
      <w:r>
        <w:rPr>
          <w:rFonts w:hint="eastAsia" w:ascii="黑体" w:hAnsi="黑体" w:eastAsia="黑体" w:cs="黑体"/>
          <w:highlight w:val="none"/>
          <w:lang w:val="en-US" w:eastAsia="zh-CN"/>
        </w:rPr>
        <w:t>镀</w:t>
      </w:r>
      <w:r>
        <w:rPr>
          <w:rFonts w:hint="default" w:ascii="黑体" w:hAnsi="黑体" w:eastAsia="黑体" w:cs="黑体"/>
          <w:highlight w:val="none"/>
          <w:lang w:val="en-US" w:eastAsia="zh-CN"/>
        </w:rPr>
        <w:t xml:space="preserve"> single-layer plating</w:t>
      </w:r>
    </w:p>
    <w:p w14:paraId="51BE166A">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指通过一次电镀，在零件表面形成单金属镀层或合金镀层的过程。</w:t>
      </w:r>
    </w:p>
    <w:p w14:paraId="132BC15B">
      <w:pPr>
        <w:adjustRightInd w:val="0"/>
        <w:snapToGrid w:val="0"/>
        <w:spacing w:before="158" w:beforeLines="50" w:after="158" w:afterLines="50" w:line="240" w:lineRule="auto"/>
        <w:rPr>
          <w:rFonts w:hint="default" w:ascii="黑体" w:hAnsi="黑体" w:eastAsia="黑体" w:cs="黑体"/>
          <w:highlight w:val="none"/>
          <w:lang w:val="en-US" w:eastAsia="zh-CN"/>
        </w:rPr>
      </w:pPr>
      <w:r>
        <w:rPr>
          <w:rFonts w:hint="default" w:ascii="黑体" w:hAnsi="黑体" w:eastAsia="黑体" w:cs="黑体"/>
          <w:highlight w:val="none"/>
          <w:lang w:val="en-US" w:eastAsia="zh-CN"/>
        </w:rPr>
        <w:t>3.</w:t>
      </w:r>
      <w:r>
        <w:rPr>
          <w:rFonts w:hint="eastAsia" w:ascii="黑体" w:hAnsi="黑体" w:eastAsia="黑体" w:cs="黑体"/>
          <w:highlight w:val="none"/>
          <w:lang w:val="en-US" w:eastAsia="zh-CN"/>
        </w:rPr>
        <w:t>11</w:t>
      </w:r>
    </w:p>
    <w:p w14:paraId="3D61ABE0">
      <w:pPr>
        <w:adjustRightInd w:val="0"/>
        <w:snapToGrid w:val="0"/>
        <w:spacing w:before="158" w:beforeLines="50" w:after="158" w:afterLines="50" w:line="240" w:lineRule="auto"/>
        <w:ind w:firstLine="420" w:firstLineChars="200"/>
        <w:rPr>
          <w:rFonts w:hint="default" w:ascii="Times New Roman" w:hAnsi="Times New Roman" w:eastAsia="黑体" w:cs="Times New Roman"/>
          <w:highlight w:val="none"/>
          <w:lang w:val="en-US" w:eastAsia="zh-CN"/>
        </w:rPr>
      </w:pPr>
      <w:r>
        <w:rPr>
          <w:rFonts w:hint="eastAsia" w:ascii="Times New Roman" w:hAnsi="Times New Roman" w:eastAsia="黑体" w:cs="Times New Roman"/>
          <w:highlight w:val="none"/>
          <w:lang w:val="en-US" w:eastAsia="zh-CN"/>
        </w:rPr>
        <w:t>多层镀</w:t>
      </w:r>
      <w:r>
        <w:rPr>
          <w:rFonts w:hint="default" w:ascii="Times New Roman" w:hAnsi="Times New Roman" w:eastAsia="黑体" w:cs="Times New Roman"/>
          <w:highlight w:val="none"/>
          <w:lang w:val="en-US" w:eastAsia="zh-CN"/>
        </w:rPr>
        <w:t xml:space="preserve"> </w:t>
      </w:r>
      <w:r>
        <w:rPr>
          <w:rFonts w:hint="eastAsia" w:ascii="黑体" w:hAnsi="黑体" w:eastAsia="黑体" w:cs="黑体"/>
          <w:highlight w:val="none"/>
          <w:lang w:val="en-US" w:eastAsia="zh-CN"/>
        </w:rPr>
        <w:t>multilayer plating</w:t>
      </w:r>
    </w:p>
    <w:p w14:paraId="0E64ED2B">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指进行二次及以上的电镀，在零件表面形成复合镀层的过程。</w:t>
      </w:r>
    </w:p>
    <w:p w14:paraId="53710920">
      <w:pPr>
        <w:pStyle w:val="2"/>
        <w:adjustRightInd w:val="0"/>
        <w:snapToGrid w:val="0"/>
        <w:spacing w:before="317" w:beforeLines="100" w:after="317" w:afterLines="100"/>
        <w:rPr>
          <w:rFonts w:hint="default" w:ascii="Times New Roman" w:hAnsi="Times New Roman" w:cs="Times New Roman"/>
          <w:highlight w:val="none"/>
          <w:lang w:val="en-US" w:eastAsia="zh-CN"/>
        </w:rPr>
      </w:pPr>
      <w:bookmarkStart w:id="27" w:name="_Toc23019"/>
      <w:bookmarkStart w:id="28" w:name="_Toc531265191"/>
      <w:bookmarkStart w:id="29" w:name="_Toc457"/>
      <w:r>
        <w:rPr>
          <w:rFonts w:hint="eastAsia" w:ascii="黑体" w:hAnsi="黑体" w:eastAsia="黑体" w:cs="黑体"/>
          <w:highlight w:val="none"/>
          <w:lang w:val="en-US" w:eastAsia="zh-CN"/>
        </w:rPr>
        <w:t>4</w:t>
      </w:r>
      <w:r>
        <w:rPr>
          <w:rFonts w:hint="default" w:ascii="Times New Roman" w:hAnsi="Times New Roman" w:cs="Times New Roman"/>
          <w:highlight w:val="none"/>
        </w:rPr>
        <w:t xml:space="preserve"> </w:t>
      </w:r>
      <w:r>
        <w:rPr>
          <w:rFonts w:hint="default" w:ascii="Times New Roman" w:hAnsi="Times New Roman" w:cs="Times New Roman"/>
          <w:highlight w:val="none"/>
          <w:lang w:val="en-US" w:eastAsia="zh-CN"/>
        </w:rPr>
        <w:t xml:space="preserve"> 要求</w:t>
      </w:r>
      <w:bookmarkEnd w:id="27"/>
    </w:p>
    <w:p w14:paraId="08B97D6B">
      <w:pPr>
        <w:keepNext w:val="0"/>
        <w:keepLines w:val="0"/>
        <w:pageBreakBefore w:val="0"/>
        <w:widowControl w:val="0"/>
        <w:kinsoku/>
        <w:wordWrap/>
        <w:overflowPunct/>
        <w:topLinePunct w:val="0"/>
        <w:autoSpaceDE/>
        <w:autoSpaceDN/>
        <w:bidi w:val="0"/>
        <w:adjustRightInd w:val="0"/>
        <w:snapToGrid w:val="0"/>
        <w:spacing w:after="158" w:afterLines="50"/>
        <w:textAlignment w:val="auto"/>
        <w:rPr>
          <w:rFonts w:hint="default" w:ascii="Times New Roman" w:hAnsi="Times New Roman" w:eastAsia="黑体" w:cs="Times New Roman"/>
          <w:highlight w:val="none"/>
          <w:lang w:val="en-US" w:eastAsia="zh-CN"/>
        </w:rPr>
      </w:pPr>
      <w:r>
        <w:rPr>
          <w:rFonts w:hint="default" w:ascii="黑体" w:hAnsi="黑体" w:eastAsia="黑体" w:cs="黑体"/>
          <w:bCs/>
          <w:kern w:val="44"/>
          <w:sz w:val="21"/>
          <w:szCs w:val="44"/>
          <w:highlight w:val="none"/>
          <w:lang w:val="en-US" w:eastAsia="zh-CN" w:bidi="ar-SA"/>
        </w:rPr>
        <w:t>4.1</w:t>
      </w:r>
      <w:r>
        <w:rPr>
          <w:rFonts w:hint="default" w:ascii="Times New Roman" w:hAnsi="Times New Roman" w:eastAsia="黑体" w:cs="Times New Roman"/>
          <w:highlight w:val="none"/>
        </w:rPr>
        <w:t xml:space="preserve"> </w:t>
      </w:r>
      <w:r>
        <w:rPr>
          <w:rFonts w:hint="default" w:ascii="Times New Roman" w:hAnsi="Times New Roman" w:eastAsia="黑体" w:cs="Times New Roman"/>
          <w:highlight w:val="none"/>
          <w:lang w:val="en-US" w:eastAsia="zh-CN"/>
        </w:rPr>
        <w:t xml:space="preserve"> 总体要求</w:t>
      </w:r>
    </w:p>
    <w:p w14:paraId="285B673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highlight w:val="none"/>
          <w:lang w:val="en-US" w:eastAsia="zh-CN"/>
        </w:rPr>
      </w:pPr>
      <w:r>
        <w:rPr>
          <w:rFonts w:hint="default" w:ascii="黑体" w:hAnsi="黑体" w:eastAsia="黑体" w:cs="黑体"/>
          <w:bCs/>
          <w:kern w:val="44"/>
          <w:sz w:val="21"/>
          <w:szCs w:val="44"/>
          <w:highlight w:val="none"/>
          <w:lang w:val="en-US" w:eastAsia="zh-CN" w:bidi="ar-SA"/>
        </w:rPr>
        <w:t>4.1.1</w:t>
      </w:r>
      <w:r>
        <w:rPr>
          <w:rFonts w:hint="default" w:ascii="Times New Roman" w:hAnsi="Times New Roman" w:eastAsia="黑体" w:cs="Times New Roman"/>
          <w:highlight w:val="none"/>
          <w:lang w:val="en-US" w:eastAsia="zh-CN"/>
        </w:rPr>
        <w:t xml:space="preserve">  </w:t>
      </w:r>
      <w:r>
        <w:rPr>
          <w:rFonts w:hint="default" w:ascii="Times New Roman" w:hAnsi="Times New Roman" w:cs="Times New Roman"/>
          <w:szCs w:val="21"/>
          <w:highlight w:val="none"/>
          <w:lang w:val="en-US" w:eastAsia="zh-CN"/>
        </w:rPr>
        <w:t>企业禁止采用含氰化物电镀</w:t>
      </w:r>
    </w:p>
    <w:p w14:paraId="3A10075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szCs w:val="21"/>
          <w:highlight w:val="none"/>
        </w:rPr>
      </w:pPr>
      <w:r>
        <w:rPr>
          <w:rFonts w:hint="default" w:ascii="黑体" w:hAnsi="黑体" w:eastAsia="黑体" w:cs="黑体"/>
          <w:bCs/>
          <w:kern w:val="44"/>
          <w:sz w:val="21"/>
          <w:szCs w:val="44"/>
          <w:highlight w:val="none"/>
          <w:lang w:val="en-US" w:eastAsia="zh-CN" w:bidi="ar-SA"/>
        </w:rPr>
        <w:t>4.1.2</w:t>
      </w:r>
      <w:r>
        <w:rPr>
          <w:rFonts w:hint="default" w:ascii="Times New Roman" w:hAnsi="Times New Roman" w:eastAsia="黑体" w:cs="Times New Roman"/>
          <w:highlight w:val="none"/>
          <w:lang w:val="en-US" w:eastAsia="zh-CN"/>
        </w:rPr>
        <w:t xml:space="preserve">  </w:t>
      </w:r>
      <w:r>
        <w:rPr>
          <w:rFonts w:hint="eastAsia" w:ascii="Times New Roman" w:hAnsi="Times New Roman" w:cs="Times New Roman"/>
          <w:szCs w:val="21"/>
          <w:highlight w:val="none"/>
          <w:lang w:val="en-US" w:eastAsia="zh-CN"/>
        </w:rPr>
        <w:t>企业</w:t>
      </w:r>
      <w:r>
        <w:rPr>
          <w:rFonts w:hint="default" w:ascii="Times New Roman" w:hAnsi="Times New Roman" w:cs="Times New Roman"/>
          <w:szCs w:val="21"/>
          <w:highlight w:val="none"/>
        </w:rPr>
        <w:t>禁止使用PFOS类铬雾抑制剂。</w:t>
      </w:r>
    </w:p>
    <w:p w14:paraId="5ED3C56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szCs w:val="21"/>
          <w:highlight w:val="none"/>
          <w:lang w:val="en-US" w:eastAsia="zh-CN"/>
        </w:rPr>
      </w:pPr>
      <w:r>
        <w:rPr>
          <w:rFonts w:hint="default" w:ascii="黑体" w:hAnsi="黑体" w:eastAsia="黑体" w:cs="黑体"/>
          <w:bCs/>
          <w:kern w:val="44"/>
          <w:sz w:val="21"/>
          <w:szCs w:val="44"/>
          <w:highlight w:val="none"/>
          <w:lang w:val="en-US" w:eastAsia="zh-CN" w:bidi="ar-SA"/>
        </w:rPr>
        <w:t>4.1.3</w:t>
      </w:r>
      <w:r>
        <w:rPr>
          <w:rFonts w:hint="default" w:ascii="Times New Roman" w:hAnsi="Times New Roman" w:eastAsia="黑体" w:cs="Times New Roman"/>
          <w:szCs w:val="21"/>
          <w:highlight w:val="none"/>
          <w:lang w:val="en-US" w:eastAsia="zh-CN"/>
        </w:rPr>
        <w:t xml:space="preserve">  </w:t>
      </w:r>
      <w:r>
        <w:rPr>
          <w:rFonts w:hint="default" w:ascii="Times New Roman" w:hAnsi="Times New Roman" w:cs="Times New Roman"/>
          <w:szCs w:val="21"/>
          <w:highlight w:val="none"/>
          <w:lang w:val="en-US" w:eastAsia="zh-CN"/>
        </w:rPr>
        <w:t>企业应采用</w:t>
      </w:r>
      <w:r>
        <w:rPr>
          <w:rFonts w:hint="eastAsia" w:ascii="Times New Roman" w:hAnsi="Times New Roman" w:cs="Times New Roman"/>
          <w:szCs w:val="21"/>
          <w:highlight w:val="none"/>
          <w:lang w:val="en-US" w:eastAsia="zh-CN"/>
        </w:rPr>
        <w:t>无铬或</w:t>
      </w:r>
      <w:r>
        <w:rPr>
          <w:rFonts w:hint="default" w:ascii="Times New Roman" w:hAnsi="Times New Roman" w:cs="Times New Roman"/>
          <w:szCs w:val="21"/>
          <w:highlight w:val="none"/>
          <w:lang w:val="en-US" w:eastAsia="zh-CN"/>
        </w:rPr>
        <w:t>三价铬电镀及处理工艺取代六价铬电镀及处理工艺。</w:t>
      </w:r>
    </w:p>
    <w:p w14:paraId="12A2DAF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lang w:val="en-US" w:eastAsia="zh-CN"/>
        </w:rPr>
      </w:pPr>
      <w:r>
        <w:rPr>
          <w:rFonts w:hint="default" w:ascii="黑体" w:hAnsi="黑体" w:eastAsia="黑体" w:cs="黑体"/>
          <w:bCs/>
          <w:kern w:val="44"/>
          <w:sz w:val="21"/>
          <w:szCs w:val="44"/>
          <w:highlight w:val="none"/>
          <w:lang w:val="en-US" w:eastAsia="zh-CN" w:bidi="ar-SA"/>
        </w:rPr>
        <w:t>4.1.4</w:t>
      </w:r>
      <w:r>
        <w:rPr>
          <w:rFonts w:hint="default" w:ascii="Times New Roman" w:hAnsi="Times New Roman" w:eastAsia="黑体" w:cs="Times New Roman"/>
          <w:szCs w:val="21"/>
          <w:highlight w:val="none"/>
          <w:lang w:val="en-US" w:eastAsia="zh-CN"/>
        </w:rPr>
        <w:t xml:space="preserve">  </w:t>
      </w:r>
      <w:r>
        <w:rPr>
          <w:rFonts w:hint="default" w:ascii="Times New Roman" w:hAnsi="Times New Roman" w:cs="Times New Roman"/>
          <w:szCs w:val="21"/>
          <w:highlight w:val="none"/>
          <w:lang w:val="en-US" w:eastAsia="zh-CN"/>
        </w:rPr>
        <w:t>企业</w:t>
      </w:r>
      <w:r>
        <w:rPr>
          <w:rFonts w:hint="default" w:ascii="Times New Roman" w:hAnsi="Times New Roman" w:cs="Times New Roman"/>
          <w:szCs w:val="21"/>
          <w:highlight w:val="none"/>
        </w:rPr>
        <w:t>应根据自身生产实际，提高物料利用率和工件清洗效率，减少废水污染物和废水产生量。</w:t>
      </w:r>
    </w:p>
    <w:p w14:paraId="20A3510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szCs w:val="21"/>
          <w:highlight w:val="none"/>
        </w:rPr>
      </w:pPr>
      <w:r>
        <w:rPr>
          <w:rFonts w:hint="default" w:ascii="黑体" w:hAnsi="黑体" w:eastAsia="黑体" w:cs="黑体"/>
          <w:bCs/>
          <w:kern w:val="44"/>
          <w:sz w:val="21"/>
          <w:szCs w:val="44"/>
          <w:highlight w:val="none"/>
          <w:lang w:val="en-US" w:eastAsia="zh-CN" w:bidi="ar-SA"/>
        </w:rPr>
        <w:t>4.1.5</w:t>
      </w:r>
      <w:r>
        <w:rPr>
          <w:rFonts w:hint="eastAsia" w:ascii="黑体" w:hAnsi="黑体" w:eastAsia="黑体" w:cs="黑体"/>
          <w:bCs/>
          <w:kern w:val="44"/>
          <w:sz w:val="21"/>
          <w:szCs w:val="44"/>
          <w:highlight w:val="none"/>
          <w:lang w:val="en-US" w:eastAsia="zh-CN" w:bidi="ar-SA"/>
        </w:rPr>
        <w:t xml:space="preserve">  </w:t>
      </w:r>
      <w:r>
        <w:rPr>
          <w:rFonts w:hint="eastAsia"/>
          <w:szCs w:val="21"/>
          <w:highlight w:val="none"/>
          <w:lang w:val="en-US" w:eastAsia="zh-CN"/>
        </w:rPr>
        <w:t>企业</w:t>
      </w:r>
      <w:r>
        <w:rPr>
          <w:rFonts w:hint="eastAsia"/>
          <w:szCs w:val="21"/>
          <w:highlight w:val="none"/>
        </w:rPr>
        <w:t>废水</w:t>
      </w:r>
      <w:r>
        <w:rPr>
          <w:rFonts w:hint="eastAsia"/>
          <w:szCs w:val="21"/>
          <w:highlight w:val="none"/>
          <w:lang w:val="en-US" w:eastAsia="zh-CN"/>
        </w:rPr>
        <w:t>应</w:t>
      </w:r>
      <w:r>
        <w:rPr>
          <w:rFonts w:hint="eastAsia"/>
          <w:szCs w:val="21"/>
          <w:highlight w:val="none"/>
        </w:rPr>
        <w:t>分类收集、分质处理。</w:t>
      </w:r>
    </w:p>
    <w:p w14:paraId="06D0505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szCs w:val="21"/>
          <w:highlight w:val="none"/>
          <w:lang w:val="en-US" w:eastAsia="zh-CN"/>
        </w:rPr>
      </w:pPr>
      <w:r>
        <w:rPr>
          <w:rFonts w:hint="default" w:ascii="黑体" w:hAnsi="黑体" w:eastAsia="黑体" w:cs="黑体"/>
          <w:bCs/>
          <w:kern w:val="44"/>
          <w:sz w:val="21"/>
          <w:szCs w:val="44"/>
          <w:highlight w:val="none"/>
          <w:lang w:val="en-US" w:eastAsia="zh-CN" w:bidi="ar-SA"/>
        </w:rPr>
        <w:t>4.1.</w:t>
      </w:r>
      <w:r>
        <w:rPr>
          <w:rFonts w:hint="eastAsia" w:ascii="黑体" w:hAnsi="黑体" w:eastAsia="黑体" w:cs="黑体"/>
          <w:bCs/>
          <w:kern w:val="44"/>
          <w:sz w:val="21"/>
          <w:szCs w:val="44"/>
          <w:highlight w:val="none"/>
          <w:lang w:val="en-US" w:eastAsia="zh-CN" w:bidi="ar-SA"/>
        </w:rPr>
        <w:t>6</w:t>
      </w:r>
      <w:r>
        <w:rPr>
          <w:rFonts w:hint="default" w:ascii="Times New Roman" w:hAnsi="Times New Roman" w:cs="Times New Roman"/>
          <w:szCs w:val="21"/>
          <w:highlight w:val="none"/>
          <w:lang w:val="en-US" w:eastAsia="zh-CN"/>
        </w:rPr>
        <w:t xml:space="preserve">  企业应使用</w:t>
      </w:r>
      <w:r>
        <w:rPr>
          <w:rFonts w:hint="default" w:ascii="Times New Roman" w:hAnsi="Times New Roman" w:cs="Times New Roman"/>
          <w:szCs w:val="21"/>
          <w:highlight w:val="none"/>
        </w:rPr>
        <w:t>需符合GB/T 38597</w:t>
      </w:r>
      <w:r>
        <w:rPr>
          <w:rFonts w:hint="default" w:ascii="Times New Roman" w:hAnsi="Times New Roman" w:cs="Times New Roman"/>
          <w:szCs w:val="21"/>
          <w:highlight w:val="none"/>
          <w:lang w:val="en-US" w:eastAsia="zh-CN"/>
        </w:rPr>
        <w:t>要求的低挥发性有机化合物含量涂料产品，从源头上实现VOCs减排。</w:t>
      </w:r>
    </w:p>
    <w:p w14:paraId="67001A0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szCs w:val="21"/>
          <w:highlight w:val="none"/>
          <w:lang w:val="en-US" w:eastAsia="zh-CN"/>
        </w:rPr>
      </w:pPr>
      <w:r>
        <w:rPr>
          <w:rFonts w:hint="eastAsia" w:ascii="黑体" w:hAnsi="黑体" w:eastAsia="黑体" w:cs="黑体"/>
          <w:bCs/>
          <w:kern w:val="44"/>
          <w:sz w:val="21"/>
          <w:szCs w:val="44"/>
          <w:highlight w:val="none"/>
          <w:lang w:val="en-US" w:eastAsia="zh-CN" w:bidi="ar-SA"/>
        </w:rPr>
        <w:t xml:space="preserve">4.1.7 </w:t>
      </w:r>
      <w:r>
        <w:rPr>
          <w:rFonts w:hint="eastAsia"/>
          <w:szCs w:val="21"/>
          <w:highlight w:val="none"/>
          <w:lang w:val="en-US" w:eastAsia="zh-CN"/>
        </w:rPr>
        <w:t xml:space="preserve"> 企业应持续开展清洁生产，严格物料管理，加强镀液管理，节约原辅材料用量，使用低毒低害和无毒无害原料，削减生产过程中有毒有害物质的产生和污染物排放。</w:t>
      </w:r>
    </w:p>
    <w:p w14:paraId="547ABAD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szCs w:val="21"/>
          <w:highlight w:val="none"/>
          <w:lang w:val="en-US" w:eastAsia="zh-CN"/>
        </w:rPr>
      </w:pPr>
      <w:r>
        <w:rPr>
          <w:rFonts w:hint="eastAsia" w:ascii="黑体" w:hAnsi="黑体" w:eastAsia="黑体" w:cs="黑体"/>
          <w:bCs/>
          <w:kern w:val="44"/>
          <w:sz w:val="21"/>
          <w:szCs w:val="44"/>
          <w:highlight w:val="none"/>
          <w:lang w:val="en-US" w:eastAsia="zh-CN" w:bidi="ar-SA"/>
        </w:rPr>
        <w:t>4.1.8</w:t>
      </w:r>
      <w:r>
        <w:rPr>
          <w:rFonts w:hint="eastAsia"/>
          <w:szCs w:val="21"/>
          <w:highlight w:val="none"/>
          <w:lang w:val="en-US" w:eastAsia="zh-CN"/>
        </w:rPr>
        <w:t xml:space="preserve">  企业经评估达到A级指标要求的，为稀土永磁表面处理行业国际先进水平企业；企业经评估达到A级指标要求的，为稀土永磁表面处理行业国内先进水平企业。</w:t>
      </w:r>
    </w:p>
    <w:p w14:paraId="4FBD5D44">
      <w:pPr>
        <w:adjustRightInd w:val="0"/>
        <w:snapToGrid w:val="0"/>
        <w:spacing w:before="158" w:beforeLines="50" w:after="158" w:afterLines="50"/>
        <w:rPr>
          <w:rFonts w:hint="default" w:ascii="Times New Roman" w:hAnsi="Times New Roman" w:eastAsia="黑体" w:cs="Times New Roman"/>
          <w:highlight w:val="none"/>
          <w:lang w:val="en-US" w:eastAsia="zh-CN"/>
        </w:rPr>
      </w:pPr>
      <w:r>
        <w:rPr>
          <w:rFonts w:hint="default" w:ascii="黑体" w:hAnsi="黑体" w:eastAsia="黑体" w:cs="黑体"/>
          <w:bCs/>
          <w:kern w:val="44"/>
          <w:sz w:val="21"/>
          <w:szCs w:val="44"/>
          <w:highlight w:val="none"/>
          <w:lang w:val="en-US" w:eastAsia="zh-CN" w:bidi="ar-SA"/>
        </w:rPr>
        <w:t>4.2</w:t>
      </w:r>
      <w:r>
        <w:rPr>
          <w:rFonts w:hint="default" w:ascii="Times New Roman" w:hAnsi="Times New Roman" w:eastAsia="黑体" w:cs="Times New Roman"/>
          <w:highlight w:val="none"/>
        </w:rPr>
        <w:t xml:space="preserve"> </w:t>
      </w:r>
      <w:r>
        <w:rPr>
          <w:rFonts w:hint="default" w:ascii="Times New Roman" w:hAnsi="Times New Roman" w:eastAsia="黑体" w:cs="Times New Roman"/>
          <w:highlight w:val="none"/>
          <w:lang w:val="en-US" w:eastAsia="zh-CN"/>
        </w:rPr>
        <w:t xml:space="preserve"> </w:t>
      </w:r>
      <w:r>
        <w:rPr>
          <w:rFonts w:hint="eastAsia" w:ascii="Times New Roman" w:hAnsi="Times New Roman" w:eastAsia="黑体" w:cs="Times New Roman"/>
          <w:highlight w:val="none"/>
          <w:lang w:val="en-US" w:eastAsia="zh-CN"/>
        </w:rPr>
        <w:t>过程管控绿色技术</w:t>
      </w:r>
      <w:r>
        <w:rPr>
          <w:rFonts w:hint="default" w:ascii="Times New Roman" w:hAnsi="Times New Roman" w:eastAsia="黑体" w:cs="Times New Roman"/>
          <w:highlight w:val="none"/>
          <w:lang w:val="en-US" w:eastAsia="zh-CN"/>
        </w:rPr>
        <w:t>要求</w:t>
      </w:r>
    </w:p>
    <w:p w14:paraId="5952EA5E">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黑体" w:cs="Times New Roman"/>
          <w:highlight w:val="none"/>
          <w:lang w:val="en-US" w:eastAsia="zh-CN"/>
        </w:rPr>
      </w:pPr>
      <w:r>
        <w:rPr>
          <w:rFonts w:hint="default" w:ascii="黑体" w:hAnsi="黑体" w:eastAsia="黑体" w:cs="黑体"/>
          <w:bCs/>
          <w:kern w:val="44"/>
          <w:sz w:val="21"/>
          <w:szCs w:val="44"/>
          <w:highlight w:val="none"/>
          <w:lang w:val="en-US" w:eastAsia="zh-CN" w:bidi="ar-SA"/>
        </w:rPr>
        <w:t>4.</w:t>
      </w:r>
      <w:r>
        <w:rPr>
          <w:rFonts w:hint="eastAsia" w:ascii="黑体" w:hAnsi="黑体" w:eastAsia="黑体" w:cs="黑体"/>
          <w:bCs/>
          <w:kern w:val="44"/>
          <w:sz w:val="21"/>
          <w:szCs w:val="44"/>
          <w:highlight w:val="none"/>
          <w:lang w:val="en-US" w:eastAsia="zh-CN" w:bidi="ar-SA"/>
        </w:rPr>
        <w:t>2</w:t>
      </w:r>
      <w:r>
        <w:rPr>
          <w:rFonts w:hint="default" w:ascii="黑体" w:hAnsi="黑体" w:eastAsia="黑体" w:cs="黑体"/>
          <w:bCs/>
          <w:kern w:val="44"/>
          <w:sz w:val="21"/>
          <w:szCs w:val="44"/>
          <w:highlight w:val="none"/>
          <w:lang w:val="en-US" w:eastAsia="zh-CN" w:bidi="ar-SA"/>
        </w:rPr>
        <w:t>.1</w:t>
      </w:r>
      <w:r>
        <w:rPr>
          <w:rFonts w:hint="default" w:ascii="Times New Roman" w:hAnsi="Times New Roman" w:eastAsia="黑体" w:cs="Times New Roman"/>
          <w:highlight w:val="none"/>
          <w:lang w:val="en-US" w:eastAsia="zh-CN"/>
        </w:rPr>
        <w:t xml:space="preserve">  </w:t>
      </w:r>
      <w:r>
        <w:rPr>
          <w:rFonts w:hint="default" w:ascii="Times New Roman" w:hAnsi="Times New Roman" w:cs="Times New Roman" w:eastAsiaTheme="minorEastAsia"/>
          <w:highlight w:val="none"/>
          <w:lang w:val="en-US" w:eastAsia="zh-CN"/>
        </w:rPr>
        <w:t>综合电镀绿色技术要求各项指标见表1。</w:t>
      </w:r>
    </w:p>
    <w:p w14:paraId="20D07D64">
      <w:pPr>
        <w:keepNext w:val="0"/>
        <w:keepLines w:val="0"/>
        <w:pageBreakBefore w:val="0"/>
        <w:widowControl w:val="0"/>
        <w:kinsoku/>
        <w:wordWrap/>
        <w:overflowPunct/>
        <w:topLinePunct w:val="0"/>
        <w:autoSpaceDE/>
        <w:autoSpaceDN/>
        <w:bidi w:val="0"/>
        <w:adjustRightInd w:val="0"/>
        <w:snapToGrid w:val="0"/>
        <w:spacing w:before="158" w:beforeLines="50"/>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黑体" w:cs="Times New Roman"/>
          <w:highlight w:val="none"/>
          <w:lang w:val="en-US" w:eastAsia="zh-CN"/>
        </w:rPr>
        <w:t>表1  综合电镀绿色技术要求</w:t>
      </w:r>
    </w:p>
    <w:tbl>
      <w:tblPr>
        <w:tblStyle w:val="15"/>
        <w:tblW w:w="4995"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7"/>
        <w:gridCol w:w="2275"/>
        <w:gridCol w:w="2589"/>
        <w:gridCol w:w="976"/>
        <w:gridCol w:w="1542"/>
        <w:gridCol w:w="1543"/>
      </w:tblGrid>
      <w:tr w14:paraId="334982A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33" w:type="pct"/>
            <w:tcBorders>
              <w:bottom w:val="single" w:color="auto" w:sz="12" w:space="0"/>
              <w:right w:val="single" w:color="000000" w:sz="4" w:space="0"/>
            </w:tcBorders>
            <w:shd w:val="clear" w:color="auto" w:fill="auto"/>
            <w:noWrap/>
            <w:vAlign w:val="center"/>
          </w:tcPr>
          <w:p w14:paraId="6BEAAD8F">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000000"/>
                <w:sz w:val="18"/>
                <w:szCs w:val="18"/>
                <w:u w:val="none"/>
              </w:rPr>
            </w:pPr>
            <w:r>
              <w:rPr>
                <w:rFonts w:hint="default" w:ascii="Times New Roman" w:hAnsi="Times New Roman" w:cs="Times New Roman" w:eastAsiaTheme="minorEastAsia"/>
                <w:b/>
                <w:bCs/>
                <w:i w:val="0"/>
                <w:iCs w:val="0"/>
                <w:color w:val="000000"/>
                <w:kern w:val="0"/>
                <w:sz w:val="18"/>
                <w:szCs w:val="18"/>
                <w:u w:val="none"/>
                <w:lang w:val="en-US" w:eastAsia="zh-CN" w:bidi="ar"/>
              </w:rPr>
              <w:t>序号</w:t>
            </w:r>
          </w:p>
        </w:tc>
        <w:tc>
          <w:tcPr>
            <w:tcW w:w="1189" w:type="pct"/>
            <w:tcBorders>
              <w:left w:val="single" w:color="000000" w:sz="4" w:space="0"/>
              <w:bottom w:val="single" w:color="auto" w:sz="12" w:space="0"/>
              <w:right w:val="single" w:color="000000" w:sz="4" w:space="0"/>
            </w:tcBorders>
            <w:shd w:val="clear" w:color="auto" w:fill="auto"/>
            <w:noWrap/>
            <w:vAlign w:val="center"/>
          </w:tcPr>
          <w:p w14:paraId="44AAA81E">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000000"/>
                <w:sz w:val="18"/>
                <w:szCs w:val="18"/>
                <w:u w:val="none"/>
              </w:rPr>
            </w:pPr>
            <w:r>
              <w:rPr>
                <w:rFonts w:hint="default" w:ascii="Times New Roman" w:hAnsi="Times New Roman" w:cs="Times New Roman" w:eastAsiaTheme="minorEastAsia"/>
                <w:b/>
                <w:bCs/>
                <w:i w:val="0"/>
                <w:iCs w:val="0"/>
                <w:color w:val="000000"/>
                <w:kern w:val="0"/>
                <w:sz w:val="18"/>
                <w:szCs w:val="18"/>
                <w:u w:val="none"/>
                <w:lang w:val="en-US" w:eastAsia="zh-CN" w:bidi="ar"/>
              </w:rPr>
              <w:t>一级指标</w:t>
            </w:r>
          </w:p>
        </w:tc>
        <w:tc>
          <w:tcPr>
            <w:tcW w:w="1353" w:type="pct"/>
            <w:tcBorders>
              <w:left w:val="single" w:color="000000" w:sz="4" w:space="0"/>
              <w:bottom w:val="single" w:color="auto" w:sz="12" w:space="0"/>
              <w:right w:val="single" w:color="000000" w:sz="4" w:space="0"/>
            </w:tcBorders>
            <w:shd w:val="clear" w:color="auto" w:fill="auto"/>
            <w:noWrap/>
            <w:vAlign w:val="center"/>
          </w:tcPr>
          <w:p w14:paraId="2A6EC004">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000000"/>
                <w:sz w:val="18"/>
                <w:szCs w:val="18"/>
                <w:u w:val="none"/>
              </w:rPr>
            </w:pPr>
            <w:r>
              <w:rPr>
                <w:rFonts w:hint="default" w:ascii="Times New Roman" w:hAnsi="Times New Roman" w:cs="Times New Roman" w:eastAsiaTheme="minorEastAsia"/>
                <w:b/>
                <w:bCs/>
                <w:i w:val="0"/>
                <w:iCs w:val="0"/>
                <w:color w:val="000000"/>
                <w:kern w:val="0"/>
                <w:sz w:val="18"/>
                <w:szCs w:val="18"/>
                <w:u w:val="none"/>
                <w:lang w:val="en-US" w:eastAsia="zh-CN" w:bidi="ar"/>
              </w:rPr>
              <w:t>二级指标</w:t>
            </w:r>
          </w:p>
        </w:tc>
        <w:tc>
          <w:tcPr>
            <w:tcW w:w="510" w:type="pct"/>
            <w:tcBorders>
              <w:left w:val="single" w:color="000000" w:sz="4" w:space="0"/>
              <w:bottom w:val="single" w:color="auto" w:sz="12" w:space="0"/>
              <w:right w:val="single" w:color="000000" w:sz="4" w:space="0"/>
            </w:tcBorders>
            <w:shd w:val="clear" w:color="auto" w:fill="auto"/>
            <w:noWrap/>
            <w:vAlign w:val="center"/>
          </w:tcPr>
          <w:p w14:paraId="3D483754">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000000"/>
                <w:sz w:val="18"/>
                <w:szCs w:val="18"/>
                <w:u w:val="none"/>
              </w:rPr>
            </w:pPr>
            <w:r>
              <w:rPr>
                <w:rFonts w:hint="default" w:ascii="Times New Roman" w:hAnsi="Times New Roman" w:cs="Times New Roman" w:eastAsiaTheme="minorEastAsia"/>
                <w:b/>
                <w:bCs/>
                <w:i w:val="0"/>
                <w:iCs w:val="0"/>
                <w:color w:val="000000"/>
                <w:kern w:val="0"/>
                <w:sz w:val="18"/>
                <w:szCs w:val="18"/>
                <w:u w:val="none"/>
                <w:lang w:val="en-US" w:eastAsia="zh-CN" w:bidi="ar"/>
              </w:rPr>
              <w:t>单位</w:t>
            </w:r>
          </w:p>
        </w:tc>
        <w:tc>
          <w:tcPr>
            <w:tcW w:w="806" w:type="pct"/>
            <w:tcBorders>
              <w:left w:val="single" w:color="000000" w:sz="4" w:space="0"/>
              <w:bottom w:val="single" w:color="auto" w:sz="12" w:space="0"/>
              <w:right w:val="single" w:color="000000" w:sz="4" w:space="0"/>
            </w:tcBorders>
            <w:shd w:val="clear" w:color="auto" w:fill="auto"/>
            <w:noWrap/>
            <w:vAlign w:val="center"/>
          </w:tcPr>
          <w:p w14:paraId="19075400">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000000"/>
                <w:sz w:val="18"/>
                <w:szCs w:val="18"/>
                <w:u w:val="none"/>
              </w:rPr>
            </w:pPr>
            <w:r>
              <w:rPr>
                <w:rFonts w:hint="default" w:ascii="Times New Roman" w:hAnsi="Times New Roman" w:cs="Times New Roman" w:eastAsiaTheme="minorEastAsia"/>
                <w:b/>
                <w:bCs/>
                <w:i w:val="0"/>
                <w:iCs w:val="0"/>
                <w:color w:val="000000"/>
                <w:kern w:val="0"/>
                <w:sz w:val="18"/>
                <w:szCs w:val="18"/>
                <w:u w:val="none"/>
                <w:lang w:val="en-US" w:eastAsia="zh-CN" w:bidi="ar"/>
              </w:rPr>
              <w:t>A级</w:t>
            </w:r>
          </w:p>
        </w:tc>
        <w:tc>
          <w:tcPr>
            <w:tcW w:w="806" w:type="pct"/>
            <w:tcBorders>
              <w:left w:val="single" w:color="000000" w:sz="4" w:space="0"/>
              <w:bottom w:val="single" w:color="auto" w:sz="12" w:space="0"/>
            </w:tcBorders>
            <w:shd w:val="clear" w:color="auto" w:fill="auto"/>
            <w:noWrap/>
            <w:vAlign w:val="center"/>
          </w:tcPr>
          <w:p w14:paraId="533D327D">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000000"/>
                <w:sz w:val="18"/>
                <w:szCs w:val="18"/>
                <w:u w:val="none"/>
              </w:rPr>
            </w:pPr>
            <w:r>
              <w:rPr>
                <w:rFonts w:hint="default" w:ascii="Times New Roman" w:hAnsi="Times New Roman" w:cs="Times New Roman" w:eastAsiaTheme="minorEastAsia"/>
                <w:b/>
                <w:bCs/>
                <w:i w:val="0"/>
                <w:iCs w:val="0"/>
                <w:color w:val="000000"/>
                <w:kern w:val="0"/>
                <w:sz w:val="18"/>
                <w:szCs w:val="18"/>
                <w:u w:val="none"/>
                <w:lang w:val="en-US" w:eastAsia="zh-CN" w:bidi="ar"/>
              </w:rPr>
              <w:t>B级</w:t>
            </w:r>
          </w:p>
        </w:tc>
      </w:tr>
      <w:tr w14:paraId="629D9E1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33" w:type="pct"/>
            <w:tcBorders>
              <w:top w:val="single" w:color="000000" w:sz="4" w:space="0"/>
              <w:bottom w:val="single" w:color="000000" w:sz="4" w:space="0"/>
              <w:right w:val="single" w:color="000000" w:sz="4" w:space="0"/>
            </w:tcBorders>
            <w:shd w:val="clear" w:color="auto" w:fill="auto"/>
            <w:noWrap/>
            <w:vAlign w:val="center"/>
          </w:tcPr>
          <w:p w14:paraId="0BDB7E7A">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w:t>
            </w:r>
          </w:p>
        </w:tc>
        <w:tc>
          <w:tcPr>
            <w:tcW w:w="11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A50E6">
            <w:pPr>
              <w:spacing w:line="240" w:lineRule="auto"/>
              <w:jc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生产工艺及装备指标</w:t>
            </w:r>
          </w:p>
        </w:tc>
        <w:tc>
          <w:tcPr>
            <w:tcW w:w="1353" w:type="pct"/>
            <w:tcBorders>
              <w:top w:val="single" w:color="000000" w:sz="4" w:space="0"/>
              <w:left w:val="single" w:color="000000" w:sz="4" w:space="0"/>
              <w:bottom w:val="single" w:color="000000" w:sz="4" w:space="0"/>
              <w:right w:val="nil"/>
            </w:tcBorders>
            <w:shd w:val="clear" w:color="auto" w:fill="auto"/>
            <w:noWrap/>
            <w:vAlign w:val="center"/>
          </w:tcPr>
          <w:p w14:paraId="5C818F01">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电镀生产线自动化程度</w:t>
            </w:r>
            <w:r>
              <w:rPr>
                <w:rFonts w:hint="default" w:ascii="Times New Roman" w:hAnsi="Times New Roman" w:cs="Times New Roman" w:eastAsiaTheme="minorEastAsia"/>
                <w:i w:val="0"/>
                <w:iCs w:val="0"/>
                <w:color w:val="000000"/>
                <w:kern w:val="0"/>
                <w:sz w:val="18"/>
                <w:szCs w:val="18"/>
                <w:u w:val="none"/>
                <w:vertAlign w:val="superscript"/>
                <w:lang w:val="en-US" w:eastAsia="zh-CN" w:bidi="ar"/>
              </w:rPr>
              <w:t>①</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281E7">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w:t>
            </w:r>
          </w:p>
        </w:tc>
        <w:tc>
          <w:tcPr>
            <w:tcW w:w="8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B7B74">
            <w:pPr>
              <w:spacing w:line="240" w:lineRule="auto"/>
              <w:jc w:val="center"/>
              <w:rPr>
                <w:rFonts w:hint="default" w:ascii="Times New Roman" w:hAnsi="Times New Roman" w:cs="Times New Roman" w:eastAsiaTheme="minorEastAsia"/>
                <w:i w:val="0"/>
                <w:iCs w:val="0"/>
                <w:color w:val="000000"/>
                <w:sz w:val="18"/>
                <w:szCs w:val="18"/>
                <w:u w:val="none"/>
                <w:lang w:val="en-US" w:eastAsia="zh-CN"/>
              </w:rPr>
            </w:pPr>
            <w:r>
              <w:rPr>
                <w:rFonts w:hint="default" w:ascii="Times New Roman" w:hAnsi="Times New Roman" w:cs="Times New Roman" w:eastAsiaTheme="minorEastAsia"/>
                <w:i w:val="0"/>
                <w:iCs w:val="0"/>
                <w:color w:val="000000"/>
                <w:sz w:val="18"/>
                <w:szCs w:val="18"/>
                <w:u w:val="none"/>
                <w:lang w:val="en-US" w:eastAsia="zh-CN"/>
              </w:rPr>
              <w:t>100</w:t>
            </w:r>
          </w:p>
        </w:tc>
        <w:tc>
          <w:tcPr>
            <w:tcW w:w="806" w:type="pct"/>
            <w:tcBorders>
              <w:top w:val="single" w:color="000000" w:sz="4" w:space="0"/>
              <w:left w:val="single" w:color="000000" w:sz="4" w:space="0"/>
              <w:bottom w:val="single" w:color="000000" w:sz="4" w:space="0"/>
            </w:tcBorders>
            <w:shd w:val="clear" w:color="auto" w:fill="auto"/>
            <w:noWrap/>
            <w:vAlign w:val="center"/>
          </w:tcPr>
          <w:p w14:paraId="130EED99">
            <w:pPr>
              <w:spacing w:line="240" w:lineRule="auto"/>
              <w:jc w:val="center"/>
              <w:rPr>
                <w:rFonts w:hint="default" w:ascii="Times New Roman" w:hAnsi="Times New Roman" w:cs="Times New Roman" w:eastAsiaTheme="minorEastAsia"/>
                <w:i w:val="0"/>
                <w:iCs w:val="0"/>
                <w:color w:val="000000"/>
                <w:sz w:val="18"/>
                <w:szCs w:val="18"/>
                <w:u w:val="none"/>
                <w:lang w:val="en-US" w:eastAsia="zh-CN"/>
              </w:rPr>
            </w:pPr>
            <w:r>
              <w:rPr>
                <w:rFonts w:hint="eastAsia" w:ascii="Times New Roman" w:hAnsi="Times New Roman" w:cs="Times New Roman" w:eastAsiaTheme="minorEastAsia"/>
                <w:i w:val="0"/>
                <w:iCs w:val="0"/>
                <w:color w:val="000000"/>
                <w:sz w:val="18"/>
                <w:szCs w:val="18"/>
                <w:u w:val="none"/>
                <w:lang w:val="en-US" w:eastAsia="zh-CN"/>
              </w:rPr>
              <w:t>80</w:t>
            </w:r>
          </w:p>
        </w:tc>
      </w:tr>
      <w:tr w14:paraId="5EEB675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33" w:type="pct"/>
            <w:tcBorders>
              <w:top w:val="single" w:color="000000" w:sz="4" w:space="0"/>
              <w:bottom w:val="single" w:color="auto" w:sz="12" w:space="0"/>
              <w:right w:val="single" w:color="000000" w:sz="4" w:space="0"/>
            </w:tcBorders>
            <w:shd w:val="clear" w:color="auto" w:fill="auto"/>
            <w:noWrap/>
            <w:vAlign w:val="center"/>
          </w:tcPr>
          <w:p w14:paraId="06897B21">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2</w:t>
            </w:r>
          </w:p>
        </w:tc>
        <w:tc>
          <w:tcPr>
            <w:tcW w:w="1189" w:type="pct"/>
            <w:tcBorders>
              <w:top w:val="single" w:color="000000" w:sz="4" w:space="0"/>
              <w:left w:val="single" w:color="000000" w:sz="4" w:space="0"/>
              <w:bottom w:val="single" w:color="auto" w:sz="12" w:space="0"/>
              <w:right w:val="single" w:color="000000" w:sz="4" w:space="0"/>
            </w:tcBorders>
            <w:shd w:val="clear" w:color="auto" w:fill="auto"/>
            <w:noWrap/>
            <w:vAlign w:val="center"/>
          </w:tcPr>
          <w:p w14:paraId="358EE4E5">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资源消耗指标</w:t>
            </w:r>
          </w:p>
        </w:tc>
        <w:tc>
          <w:tcPr>
            <w:tcW w:w="1353" w:type="pct"/>
            <w:tcBorders>
              <w:top w:val="single" w:color="000000" w:sz="4" w:space="0"/>
              <w:left w:val="single" w:color="000000" w:sz="4" w:space="0"/>
              <w:bottom w:val="single" w:color="auto" w:sz="12" w:space="0"/>
              <w:right w:val="single" w:color="000000" w:sz="4" w:space="0"/>
            </w:tcBorders>
            <w:shd w:val="clear" w:color="auto" w:fill="auto"/>
            <w:noWrap/>
            <w:vAlign w:val="center"/>
          </w:tcPr>
          <w:p w14:paraId="2393027F">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单位产品每次清洗</w:t>
            </w:r>
            <w:r>
              <w:rPr>
                <w:rFonts w:hint="eastAsia" w:ascii="Times New Roman" w:hAnsi="Times New Roman" w:cs="Times New Roman" w:eastAsiaTheme="minorEastAsia"/>
                <w:i w:val="0"/>
                <w:iCs w:val="0"/>
                <w:color w:val="000000"/>
                <w:kern w:val="0"/>
                <w:sz w:val="18"/>
                <w:szCs w:val="18"/>
                <w:u w:val="none"/>
                <w:lang w:val="en-US" w:eastAsia="zh-CN" w:bidi="ar"/>
              </w:rPr>
              <w:t>耗水</w:t>
            </w:r>
            <w:r>
              <w:rPr>
                <w:rFonts w:hint="default" w:ascii="Times New Roman" w:hAnsi="Times New Roman" w:cs="Times New Roman" w:eastAsiaTheme="minorEastAsia"/>
                <w:i w:val="0"/>
                <w:iCs w:val="0"/>
                <w:color w:val="000000"/>
                <w:kern w:val="0"/>
                <w:sz w:val="18"/>
                <w:szCs w:val="18"/>
                <w:u w:val="none"/>
                <w:lang w:val="en-US" w:eastAsia="zh-CN" w:bidi="ar"/>
              </w:rPr>
              <w:t>量</w:t>
            </w:r>
            <w:r>
              <w:rPr>
                <w:rFonts w:hint="default" w:ascii="Times New Roman" w:hAnsi="Times New Roman" w:cs="Times New Roman" w:eastAsiaTheme="minorEastAsia"/>
                <w:i w:val="0"/>
                <w:iCs w:val="0"/>
                <w:color w:val="000000"/>
                <w:kern w:val="0"/>
                <w:sz w:val="18"/>
                <w:szCs w:val="18"/>
                <w:u w:val="none"/>
                <w:vertAlign w:val="superscript"/>
                <w:lang w:val="en-US" w:eastAsia="zh-CN" w:bidi="ar"/>
              </w:rPr>
              <w:t>②</w:t>
            </w:r>
          </w:p>
        </w:tc>
        <w:tc>
          <w:tcPr>
            <w:tcW w:w="510" w:type="pct"/>
            <w:tcBorders>
              <w:top w:val="single" w:color="000000" w:sz="4" w:space="0"/>
              <w:left w:val="single" w:color="000000" w:sz="4" w:space="0"/>
              <w:bottom w:val="single" w:color="auto" w:sz="12" w:space="0"/>
              <w:right w:val="single" w:color="000000" w:sz="4" w:space="0"/>
            </w:tcBorders>
            <w:shd w:val="clear" w:color="auto" w:fill="auto"/>
            <w:noWrap/>
            <w:vAlign w:val="center"/>
          </w:tcPr>
          <w:p w14:paraId="3E6B95E1">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L/m</w:t>
            </w:r>
            <w:r>
              <w:rPr>
                <w:rFonts w:hint="default" w:ascii="Times New Roman" w:hAnsi="Times New Roman" w:cs="Times New Roman" w:eastAsiaTheme="minorEastAsia"/>
                <w:i w:val="0"/>
                <w:iCs w:val="0"/>
                <w:color w:val="000000"/>
                <w:kern w:val="0"/>
                <w:sz w:val="18"/>
                <w:szCs w:val="18"/>
                <w:u w:val="none"/>
                <w:vertAlign w:val="superscript"/>
                <w:lang w:val="en-US" w:eastAsia="zh-CN" w:bidi="ar"/>
              </w:rPr>
              <w:t>2</w:t>
            </w:r>
          </w:p>
        </w:tc>
        <w:tc>
          <w:tcPr>
            <w:tcW w:w="806" w:type="pct"/>
            <w:tcBorders>
              <w:top w:val="single" w:color="000000" w:sz="4" w:space="0"/>
              <w:left w:val="single" w:color="000000" w:sz="4" w:space="0"/>
              <w:bottom w:val="single" w:color="auto" w:sz="12" w:space="0"/>
              <w:right w:val="single" w:color="000000" w:sz="4" w:space="0"/>
            </w:tcBorders>
            <w:shd w:val="clear" w:color="auto" w:fill="auto"/>
            <w:noWrap/>
            <w:vAlign w:val="center"/>
          </w:tcPr>
          <w:p w14:paraId="6BBEFFD8">
            <w:pPr>
              <w:spacing w:line="240" w:lineRule="auto"/>
              <w:jc w:val="center"/>
              <w:rPr>
                <w:rFonts w:hint="default" w:ascii="Times New Roman" w:hAnsi="Times New Roman" w:cs="Times New Roman" w:eastAsiaTheme="minorEastAsia"/>
                <w:i w:val="0"/>
                <w:iCs w:val="0"/>
                <w:color w:val="000000"/>
                <w:sz w:val="18"/>
                <w:szCs w:val="18"/>
                <w:u w:val="none"/>
                <w:lang w:val="en-US" w:eastAsia="zh-CN"/>
              </w:rPr>
            </w:pPr>
            <w:r>
              <w:rPr>
                <w:rFonts w:hint="default" w:ascii="Times New Roman" w:hAnsi="Times New Roman" w:cs="Times New Roman" w:eastAsiaTheme="minorEastAsia"/>
                <w:i w:val="0"/>
                <w:iCs w:val="0"/>
                <w:color w:val="000000"/>
                <w:sz w:val="18"/>
                <w:szCs w:val="18"/>
                <w:u w:val="none"/>
                <w:lang w:val="en-US" w:eastAsia="zh-CN"/>
              </w:rPr>
              <w:t>8</w:t>
            </w:r>
          </w:p>
        </w:tc>
        <w:tc>
          <w:tcPr>
            <w:tcW w:w="806" w:type="pct"/>
            <w:tcBorders>
              <w:top w:val="single" w:color="000000" w:sz="4" w:space="0"/>
              <w:left w:val="single" w:color="000000" w:sz="4" w:space="0"/>
              <w:bottom w:val="single" w:color="auto" w:sz="12" w:space="0"/>
            </w:tcBorders>
            <w:shd w:val="clear" w:color="auto" w:fill="auto"/>
            <w:noWrap/>
            <w:vAlign w:val="center"/>
          </w:tcPr>
          <w:p w14:paraId="6B171A70">
            <w:pPr>
              <w:spacing w:line="240" w:lineRule="auto"/>
              <w:jc w:val="center"/>
              <w:rPr>
                <w:rFonts w:hint="default" w:ascii="Times New Roman" w:hAnsi="Times New Roman" w:cs="Times New Roman" w:eastAsiaTheme="minorEastAsia"/>
                <w:i w:val="0"/>
                <w:iCs w:val="0"/>
                <w:color w:val="000000"/>
                <w:sz w:val="18"/>
                <w:szCs w:val="18"/>
                <w:u w:val="none"/>
                <w:lang w:val="en-US" w:eastAsia="zh-CN"/>
              </w:rPr>
            </w:pPr>
            <w:r>
              <w:rPr>
                <w:rFonts w:hint="default" w:ascii="Times New Roman" w:hAnsi="Times New Roman" w:cs="Times New Roman" w:eastAsiaTheme="minorEastAsia"/>
                <w:i w:val="0"/>
                <w:iCs w:val="0"/>
                <w:color w:val="000000"/>
                <w:sz w:val="18"/>
                <w:szCs w:val="18"/>
                <w:u w:val="none"/>
                <w:lang w:val="en-US" w:eastAsia="zh-CN"/>
              </w:rPr>
              <w:t>24</w:t>
            </w:r>
          </w:p>
        </w:tc>
      </w:tr>
      <w:tr w14:paraId="007C9F3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33" w:type="pct"/>
            <w:tcBorders>
              <w:top w:val="single" w:color="auto" w:sz="12" w:space="0"/>
              <w:bottom w:val="single" w:color="auto" w:sz="12" w:space="0"/>
              <w:right w:val="single" w:color="000000" w:sz="4" w:space="0"/>
            </w:tcBorders>
            <w:shd w:val="clear" w:color="auto" w:fill="auto"/>
            <w:noWrap/>
            <w:vAlign w:val="center"/>
          </w:tcPr>
          <w:p w14:paraId="1A9F2956">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000000"/>
                <w:kern w:val="2"/>
                <w:sz w:val="18"/>
                <w:szCs w:val="18"/>
                <w:u w:val="none"/>
                <w:lang w:val="en-US" w:eastAsia="zh-CN" w:bidi="ar-SA"/>
              </w:rPr>
            </w:pPr>
            <w:r>
              <w:rPr>
                <w:rFonts w:hint="default" w:ascii="Times New Roman" w:hAnsi="Times New Roman" w:cs="Times New Roman" w:eastAsiaTheme="minorEastAsia"/>
                <w:b/>
                <w:bCs/>
                <w:i w:val="0"/>
                <w:iCs w:val="0"/>
                <w:color w:val="000000"/>
                <w:kern w:val="0"/>
                <w:sz w:val="18"/>
                <w:szCs w:val="18"/>
                <w:u w:val="none"/>
                <w:lang w:val="en-US" w:eastAsia="zh-CN" w:bidi="ar"/>
              </w:rPr>
              <w:t>序号</w:t>
            </w:r>
          </w:p>
        </w:tc>
        <w:tc>
          <w:tcPr>
            <w:tcW w:w="1189" w:type="pct"/>
            <w:tcBorders>
              <w:top w:val="single" w:color="auto" w:sz="12" w:space="0"/>
              <w:left w:val="single" w:color="000000" w:sz="4" w:space="0"/>
              <w:bottom w:val="single" w:color="auto" w:sz="12" w:space="0"/>
              <w:right w:val="single" w:color="000000" w:sz="4" w:space="0"/>
            </w:tcBorders>
            <w:shd w:val="clear" w:color="auto" w:fill="auto"/>
            <w:noWrap/>
            <w:vAlign w:val="center"/>
          </w:tcPr>
          <w:p w14:paraId="2DD340F6">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000000"/>
                <w:kern w:val="2"/>
                <w:sz w:val="18"/>
                <w:szCs w:val="18"/>
                <w:u w:val="none"/>
                <w:lang w:val="en-US" w:eastAsia="zh-CN" w:bidi="ar-SA"/>
              </w:rPr>
            </w:pPr>
            <w:r>
              <w:rPr>
                <w:rFonts w:hint="default" w:ascii="Times New Roman" w:hAnsi="Times New Roman" w:cs="Times New Roman" w:eastAsiaTheme="minorEastAsia"/>
                <w:b/>
                <w:bCs/>
                <w:i w:val="0"/>
                <w:iCs w:val="0"/>
                <w:color w:val="000000"/>
                <w:kern w:val="0"/>
                <w:sz w:val="18"/>
                <w:szCs w:val="18"/>
                <w:u w:val="none"/>
                <w:lang w:val="en-US" w:eastAsia="zh-CN" w:bidi="ar"/>
              </w:rPr>
              <w:t>一级指标</w:t>
            </w:r>
          </w:p>
        </w:tc>
        <w:tc>
          <w:tcPr>
            <w:tcW w:w="1353" w:type="pct"/>
            <w:tcBorders>
              <w:top w:val="single" w:color="auto" w:sz="12" w:space="0"/>
              <w:left w:val="single" w:color="000000" w:sz="4" w:space="0"/>
              <w:bottom w:val="single" w:color="auto" w:sz="12" w:space="0"/>
              <w:right w:val="single" w:color="000000" w:sz="4" w:space="0"/>
            </w:tcBorders>
            <w:shd w:val="clear" w:color="auto" w:fill="auto"/>
            <w:noWrap/>
            <w:vAlign w:val="center"/>
          </w:tcPr>
          <w:p w14:paraId="38A47CB5">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000000"/>
                <w:kern w:val="2"/>
                <w:sz w:val="18"/>
                <w:szCs w:val="18"/>
                <w:u w:val="none"/>
                <w:lang w:val="en-US" w:eastAsia="zh-CN" w:bidi="ar-SA"/>
              </w:rPr>
            </w:pPr>
            <w:r>
              <w:rPr>
                <w:rFonts w:hint="default" w:ascii="Times New Roman" w:hAnsi="Times New Roman" w:cs="Times New Roman" w:eastAsiaTheme="minorEastAsia"/>
                <w:b/>
                <w:bCs/>
                <w:i w:val="0"/>
                <w:iCs w:val="0"/>
                <w:color w:val="000000"/>
                <w:kern w:val="0"/>
                <w:sz w:val="18"/>
                <w:szCs w:val="18"/>
                <w:u w:val="none"/>
                <w:lang w:val="en-US" w:eastAsia="zh-CN" w:bidi="ar"/>
              </w:rPr>
              <w:t>二级指标</w:t>
            </w:r>
          </w:p>
        </w:tc>
        <w:tc>
          <w:tcPr>
            <w:tcW w:w="510" w:type="pct"/>
            <w:tcBorders>
              <w:top w:val="single" w:color="auto" w:sz="12" w:space="0"/>
              <w:left w:val="single" w:color="000000" w:sz="4" w:space="0"/>
              <w:bottom w:val="single" w:color="auto" w:sz="12" w:space="0"/>
              <w:right w:val="single" w:color="000000" w:sz="4" w:space="0"/>
            </w:tcBorders>
            <w:shd w:val="clear" w:color="auto" w:fill="auto"/>
            <w:noWrap/>
            <w:vAlign w:val="center"/>
          </w:tcPr>
          <w:p w14:paraId="64C6A423">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000000"/>
                <w:kern w:val="2"/>
                <w:sz w:val="18"/>
                <w:szCs w:val="18"/>
                <w:u w:val="none"/>
                <w:lang w:val="en-US" w:eastAsia="zh-CN" w:bidi="ar-SA"/>
              </w:rPr>
            </w:pPr>
            <w:r>
              <w:rPr>
                <w:rFonts w:hint="default" w:ascii="Times New Roman" w:hAnsi="Times New Roman" w:cs="Times New Roman" w:eastAsiaTheme="minorEastAsia"/>
                <w:b/>
                <w:bCs/>
                <w:i w:val="0"/>
                <w:iCs w:val="0"/>
                <w:color w:val="000000"/>
                <w:kern w:val="0"/>
                <w:sz w:val="18"/>
                <w:szCs w:val="18"/>
                <w:u w:val="none"/>
                <w:lang w:val="en-US" w:eastAsia="zh-CN" w:bidi="ar"/>
              </w:rPr>
              <w:t>单位</w:t>
            </w:r>
          </w:p>
        </w:tc>
        <w:tc>
          <w:tcPr>
            <w:tcW w:w="806" w:type="pct"/>
            <w:tcBorders>
              <w:top w:val="single" w:color="auto" w:sz="12" w:space="0"/>
              <w:left w:val="single" w:color="000000" w:sz="4" w:space="0"/>
              <w:bottom w:val="single" w:color="auto" w:sz="12" w:space="0"/>
              <w:right w:val="single" w:color="000000" w:sz="4" w:space="0"/>
            </w:tcBorders>
            <w:shd w:val="clear" w:color="auto" w:fill="auto"/>
            <w:noWrap/>
            <w:vAlign w:val="center"/>
          </w:tcPr>
          <w:p w14:paraId="4A176B59">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000000"/>
                <w:kern w:val="2"/>
                <w:sz w:val="18"/>
                <w:szCs w:val="18"/>
                <w:u w:val="none"/>
                <w:lang w:val="en-US" w:eastAsia="zh-CN" w:bidi="ar-SA"/>
              </w:rPr>
            </w:pPr>
            <w:r>
              <w:rPr>
                <w:rFonts w:hint="default" w:ascii="Times New Roman" w:hAnsi="Times New Roman" w:cs="Times New Roman" w:eastAsiaTheme="minorEastAsia"/>
                <w:b/>
                <w:bCs/>
                <w:i w:val="0"/>
                <w:iCs w:val="0"/>
                <w:color w:val="000000"/>
                <w:kern w:val="0"/>
                <w:sz w:val="18"/>
                <w:szCs w:val="18"/>
                <w:u w:val="none"/>
                <w:lang w:val="en-US" w:eastAsia="zh-CN" w:bidi="ar"/>
              </w:rPr>
              <w:t>A级</w:t>
            </w:r>
          </w:p>
        </w:tc>
        <w:tc>
          <w:tcPr>
            <w:tcW w:w="806" w:type="pct"/>
            <w:tcBorders>
              <w:top w:val="single" w:color="auto" w:sz="12" w:space="0"/>
              <w:left w:val="single" w:color="000000" w:sz="4" w:space="0"/>
              <w:bottom w:val="single" w:color="auto" w:sz="12" w:space="0"/>
            </w:tcBorders>
            <w:shd w:val="clear" w:color="auto" w:fill="auto"/>
            <w:noWrap/>
            <w:vAlign w:val="center"/>
          </w:tcPr>
          <w:p w14:paraId="436BE978">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000000"/>
                <w:kern w:val="2"/>
                <w:sz w:val="18"/>
                <w:szCs w:val="18"/>
                <w:u w:val="none"/>
                <w:lang w:val="en-US" w:eastAsia="zh-CN" w:bidi="ar-SA"/>
              </w:rPr>
            </w:pPr>
            <w:r>
              <w:rPr>
                <w:rFonts w:hint="default" w:ascii="Times New Roman" w:hAnsi="Times New Roman" w:cs="Times New Roman" w:eastAsiaTheme="minorEastAsia"/>
                <w:b/>
                <w:bCs/>
                <w:i w:val="0"/>
                <w:iCs w:val="0"/>
                <w:color w:val="000000"/>
                <w:kern w:val="0"/>
                <w:sz w:val="18"/>
                <w:szCs w:val="18"/>
                <w:u w:val="none"/>
                <w:lang w:val="en-US" w:eastAsia="zh-CN" w:bidi="ar"/>
              </w:rPr>
              <w:t>B级</w:t>
            </w:r>
          </w:p>
        </w:tc>
      </w:tr>
      <w:tr w14:paraId="50EAA7D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33" w:type="pct"/>
            <w:tcBorders>
              <w:top w:val="single" w:color="auto" w:sz="12" w:space="0"/>
              <w:bottom w:val="single" w:color="000000" w:sz="4" w:space="0"/>
              <w:right w:val="single" w:color="000000" w:sz="4" w:space="0"/>
            </w:tcBorders>
            <w:shd w:val="clear" w:color="auto" w:fill="auto"/>
            <w:noWrap/>
            <w:vAlign w:val="center"/>
          </w:tcPr>
          <w:p w14:paraId="5ECCF3D2">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3</w:t>
            </w:r>
          </w:p>
        </w:tc>
        <w:tc>
          <w:tcPr>
            <w:tcW w:w="1189" w:type="pct"/>
            <w:vMerge w:val="restart"/>
            <w:tcBorders>
              <w:top w:val="single" w:color="auto" w:sz="12" w:space="0"/>
              <w:left w:val="single" w:color="000000" w:sz="4" w:space="0"/>
              <w:right w:val="single" w:color="000000" w:sz="4" w:space="0"/>
            </w:tcBorders>
            <w:shd w:val="clear" w:color="auto" w:fill="auto"/>
            <w:noWrap/>
            <w:vAlign w:val="center"/>
          </w:tcPr>
          <w:p w14:paraId="425F9D23">
            <w:pPr>
              <w:spacing w:line="240" w:lineRule="auto"/>
              <w:jc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资源利用指标</w:t>
            </w:r>
          </w:p>
        </w:tc>
        <w:tc>
          <w:tcPr>
            <w:tcW w:w="1353" w:type="pct"/>
            <w:tcBorders>
              <w:top w:val="single" w:color="auto" w:sz="12" w:space="0"/>
              <w:left w:val="single" w:color="000000" w:sz="4" w:space="0"/>
              <w:bottom w:val="single" w:color="000000" w:sz="4" w:space="0"/>
              <w:right w:val="single" w:color="000000" w:sz="4" w:space="0"/>
            </w:tcBorders>
            <w:shd w:val="clear" w:color="auto" w:fill="auto"/>
            <w:noWrap/>
            <w:vAlign w:val="center"/>
          </w:tcPr>
          <w:p w14:paraId="6DE948A0">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电镀用水重复利用率</w:t>
            </w:r>
          </w:p>
        </w:tc>
        <w:tc>
          <w:tcPr>
            <w:tcW w:w="510" w:type="pct"/>
            <w:tcBorders>
              <w:top w:val="single" w:color="auto" w:sz="12" w:space="0"/>
              <w:left w:val="single" w:color="000000" w:sz="4" w:space="0"/>
              <w:bottom w:val="single" w:color="000000" w:sz="4" w:space="0"/>
              <w:right w:val="single" w:color="000000" w:sz="4" w:space="0"/>
            </w:tcBorders>
            <w:shd w:val="clear" w:color="auto" w:fill="auto"/>
            <w:noWrap/>
            <w:vAlign w:val="center"/>
          </w:tcPr>
          <w:p w14:paraId="7FD7FAA0">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w:t>
            </w:r>
          </w:p>
        </w:tc>
        <w:tc>
          <w:tcPr>
            <w:tcW w:w="806" w:type="pct"/>
            <w:tcBorders>
              <w:top w:val="single" w:color="auto" w:sz="12" w:space="0"/>
              <w:left w:val="single" w:color="000000" w:sz="4" w:space="0"/>
              <w:bottom w:val="single" w:color="000000" w:sz="4" w:space="0"/>
              <w:right w:val="single" w:color="000000" w:sz="4" w:space="0"/>
            </w:tcBorders>
            <w:shd w:val="clear" w:color="auto" w:fill="auto"/>
            <w:noWrap/>
            <w:vAlign w:val="center"/>
          </w:tcPr>
          <w:p w14:paraId="7B734707">
            <w:pPr>
              <w:spacing w:line="240" w:lineRule="auto"/>
              <w:jc w:val="center"/>
              <w:rPr>
                <w:rFonts w:hint="default" w:ascii="Times New Roman" w:hAnsi="Times New Roman" w:cs="Times New Roman" w:eastAsiaTheme="minorEastAsia"/>
                <w:i w:val="0"/>
                <w:iCs w:val="0"/>
                <w:color w:val="000000"/>
                <w:sz w:val="18"/>
                <w:szCs w:val="18"/>
                <w:u w:val="none"/>
                <w:lang w:val="en-US" w:eastAsia="zh-CN"/>
              </w:rPr>
            </w:pPr>
            <w:r>
              <w:rPr>
                <w:rFonts w:hint="default" w:ascii="Times New Roman" w:hAnsi="Times New Roman" w:cs="Times New Roman" w:eastAsiaTheme="minorEastAsia"/>
                <w:i w:val="0"/>
                <w:iCs w:val="0"/>
                <w:color w:val="000000"/>
                <w:sz w:val="18"/>
                <w:szCs w:val="18"/>
                <w:u w:val="none"/>
                <w:lang w:val="en-US" w:eastAsia="zh-CN"/>
              </w:rPr>
              <w:t>70</w:t>
            </w:r>
          </w:p>
        </w:tc>
        <w:tc>
          <w:tcPr>
            <w:tcW w:w="806" w:type="pct"/>
            <w:tcBorders>
              <w:top w:val="single" w:color="auto" w:sz="12" w:space="0"/>
              <w:left w:val="single" w:color="000000" w:sz="4" w:space="0"/>
              <w:bottom w:val="single" w:color="000000" w:sz="4" w:space="0"/>
            </w:tcBorders>
            <w:shd w:val="clear" w:color="auto" w:fill="auto"/>
            <w:noWrap/>
            <w:vAlign w:val="center"/>
          </w:tcPr>
          <w:p w14:paraId="04AE6BDD">
            <w:pPr>
              <w:spacing w:line="240" w:lineRule="auto"/>
              <w:jc w:val="center"/>
              <w:rPr>
                <w:rFonts w:hint="default" w:ascii="Times New Roman" w:hAnsi="Times New Roman" w:cs="Times New Roman" w:eastAsiaTheme="minorEastAsia"/>
                <w:i w:val="0"/>
                <w:iCs w:val="0"/>
                <w:color w:val="000000"/>
                <w:sz w:val="18"/>
                <w:szCs w:val="18"/>
                <w:u w:val="none"/>
                <w:lang w:val="en-US" w:eastAsia="zh-CN"/>
              </w:rPr>
            </w:pPr>
            <w:r>
              <w:rPr>
                <w:rFonts w:hint="default" w:ascii="Times New Roman" w:hAnsi="Times New Roman" w:cs="Times New Roman" w:eastAsiaTheme="minorEastAsia"/>
                <w:i w:val="0"/>
                <w:iCs w:val="0"/>
                <w:color w:val="000000"/>
                <w:sz w:val="18"/>
                <w:szCs w:val="18"/>
                <w:u w:val="none"/>
                <w:lang w:val="en-US" w:eastAsia="zh-CN"/>
              </w:rPr>
              <w:t>50</w:t>
            </w:r>
          </w:p>
        </w:tc>
      </w:tr>
      <w:tr w14:paraId="5E51FE5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33" w:type="pct"/>
            <w:tcBorders>
              <w:top w:val="single" w:color="000000" w:sz="4" w:space="0"/>
              <w:bottom w:val="single" w:color="000000" w:sz="4" w:space="0"/>
              <w:right w:val="single" w:color="000000" w:sz="4" w:space="0"/>
            </w:tcBorders>
            <w:shd w:val="clear" w:color="auto" w:fill="auto"/>
            <w:noWrap/>
            <w:vAlign w:val="center"/>
          </w:tcPr>
          <w:p w14:paraId="3BEF7275">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default" w:ascii="Times New Roman" w:hAnsi="Times New Roman" w:cs="Times New Roman" w:eastAsiaTheme="minorEastAsia"/>
                <w:i w:val="0"/>
                <w:iCs w:val="0"/>
                <w:color w:val="000000"/>
                <w:kern w:val="0"/>
                <w:sz w:val="18"/>
                <w:szCs w:val="18"/>
                <w:u w:val="none"/>
                <w:lang w:val="en-US" w:eastAsia="zh-CN" w:bidi="ar"/>
              </w:rPr>
              <w:t>4</w:t>
            </w:r>
          </w:p>
        </w:tc>
        <w:tc>
          <w:tcPr>
            <w:tcW w:w="1189" w:type="pct"/>
            <w:vMerge w:val="continue"/>
            <w:tcBorders>
              <w:left w:val="single" w:color="000000" w:sz="4" w:space="0"/>
              <w:bottom w:val="single" w:color="000000" w:sz="4" w:space="0"/>
              <w:right w:val="single" w:color="000000" w:sz="4" w:space="0"/>
            </w:tcBorders>
            <w:shd w:val="clear" w:color="auto" w:fill="auto"/>
            <w:noWrap/>
            <w:vAlign w:val="center"/>
          </w:tcPr>
          <w:p w14:paraId="7B12E624">
            <w:pPr>
              <w:spacing w:line="240" w:lineRule="auto"/>
              <w:jc w:val="center"/>
              <w:rPr>
                <w:rFonts w:hint="default" w:ascii="Times New Roman" w:hAnsi="Times New Roman" w:cs="Times New Roman" w:eastAsiaTheme="minorEastAsia"/>
                <w:i w:val="0"/>
                <w:iCs w:val="0"/>
                <w:color w:val="000000"/>
                <w:kern w:val="0"/>
                <w:sz w:val="18"/>
                <w:szCs w:val="18"/>
                <w:u w:val="none"/>
                <w:lang w:val="en-US" w:eastAsia="zh-CN" w:bidi="ar"/>
              </w:rPr>
            </w:pPr>
          </w:p>
        </w:tc>
        <w:tc>
          <w:tcPr>
            <w:tcW w:w="1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83998">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default" w:ascii="Times New Roman" w:hAnsi="Times New Roman" w:cs="Times New Roman" w:eastAsiaTheme="minorEastAsia"/>
                <w:i w:val="0"/>
                <w:iCs w:val="0"/>
                <w:color w:val="000000"/>
                <w:kern w:val="0"/>
                <w:sz w:val="18"/>
                <w:szCs w:val="18"/>
                <w:u w:val="none"/>
                <w:lang w:val="en-US" w:eastAsia="zh-CN" w:bidi="ar"/>
              </w:rPr>
              <w:t>硝酸回收利用率</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80CFD">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default" w:ascii="Times New Roman" w:hAnsi="Times New Roman" w:cs="Times New Roman" w:eastAsiaTheme="minorEastAsia"/>
                <w:i w:val="0"/>
                <w:iCs w:val="0"/>
                <w:color w:val="000000"/>
                <w:kern w:val="0"/>
                <w:sz w:val="18"/>
                <w:szCs w:val="18"/>
                <w:u w:val="none"/>
                <w:lang w:val="en-US" w:eastAsia="zh-CN" w:bidi="ar"/>
              </w:rPr>
              <w:t>%</w:t>
            </w:r>
          </w:p>
        </w:tc>
        <w:tc>
          <w:tcPr>
            <w:tcW w:w="8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2998E">
            <w:pPr>
              <w:spacing w:line="240" w:lineRule="auto"/>
              <w:jc w:val="center"/>
              <w:rPr>
                <w:rFonts w:hint="default" w:ascii="Times New Roman" w:hAnsi="Times New Roman" w:cs="Times New Roman" w:eastAsiaTheme="minorEastAsia"/>
                <w:i w:val="0"/>
                <w:iCs w:val="0"/>
                <w:color w:val="000000"/>
                <w:sz w:val="18"/>
                <w:szCs w:val="18"/>
                <w:u w:val="none"/>
                <w:lang w:val="en-US" w:eastAsia="zh-CN"/>
              </w:rPr>
            </w:pPr>
            <w:r>
              <w:rPr>
                <w:rFonts w:hint="eastAsia" w:ascii="Times New Roman" w:hAnsi="Times New Roman" w:cs="Times New Roman" w:eastAsiaTheme="minorEastAsia"/>
                <w:i w:val="0"/>
                <w:iCs w:val="0"/>
                <w:color w:val="000000"/>
                <w:sz w:val="18"/>
                <w:szCs w:val="18"/>
                <w:u w:val="none"/>
                <w:lang w:val="en-US" w:eastAsia="zh-CN"/>
              </w:rPr>
              <w:t>5</w:t>
            </w:r>
            <w:r>
              <w:rPr>
                <w:rFonts w:hint="default" w:ascii="Times New Roman" w:hAnsi="Times New Roman" w:cs="Times New Roman" w:eastAsiaTheme="minorEastAsia"/>
                <w:i w:val="0"/>
                <w:iCs w:val="0"/>
                <w:color w:val="000000"/>
                <w:sz w:val="18"/>
                <w:szCs w:val="18"/>
                <w:u w:val="none"/>
                <w:lang w:val="en-US" w:eastAsia="zh-CN"/>
              </w:rPr>
              <w:t>0</w:t>
            </w:r>
          </w:p>
        </w:tc>
        <w:tc>
          <w:tcPr>
            <w:tcW w:w="806" w:type="pct"/>
            <w:tcBorders>
              <w:top w:val="single" w:color="000000" w:sz="4" w:space="0"/>
              <w:left w:val="single" w:color="000000" w:sz="4" w:space="0"/>
              <w:bottom w:val="single" w:color="000000" w:sz="4" w:space="0"/>
            </w:tcBorders>
            <w:shd w:val="clear" w:color="auto" w:fill="auto"/>
            <w:noWrap/>
            <w:vAlign w:val="center"/>
          </w:tcPr>
          <w:p w14:paraId="3F43BA82">
            <w:pPr>
              <w:spacing w:line="240" w:lineRule="auto"/>
              <w:jc w:val="center"/>
              <w:rPr>
                <w:rFonts w:hint="default" w:ascii="Times New Roman" w:hAnsi="Times New Roman" w:cs="Times New Roman" w:eastAsiaTheme="minorEastAsia"/>
                <w:i w:val="0"/>
                <w:iCs w:val="0"/>
                <w:color w:val="000000"/>
                <w:sz w:val="18"/>
                <w:szCs w:val="18"/>
                <w:u w:val="none"/>
                <w:lang w:val="en-US" w:eastAsia="zh-CN"/>
              </w:rPr>
            </w:pPr>
            <w:r>
              <w:rPr>
                <w:rFonts w:hint="eastAsia" w:ascii="Times New Roman" w:hAnsi="Times New Roman" w:cs="Times New Roman" w:eastAsiaTheme="minorEastAsia"/>
                <w:i w:val="0"/>
                <w:iCs w:val="0"/>
                <w:color w:val="000000"/>
                <w:sz w:val="18"/>
                <w:szCs w:val="18"/>
                <w:u w:val="none"/>
                <w:lang w:val="en-US" w:eastAsia="zh-CN"/>
              </w:rPr>
              <w:t>-</w:t>
            </w:r>
          </w:p>
        </w:tc>
      </w:tr>
      <w:tr w14:paraId="526B64F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1114" w:hRule="atLeast"/>
        </w:trPr>
        <w:tc>
          <w:tcPr>
            <w:tcW w:w="5000" w:type="pct"/>
            <w:gridSpan w:val="6"/>
            <w:tcBorders>
              <w:top w:val="single" w:color="000000" w:sz="4" w:space="0"/>
            </w:tcBorders>
            <w:shd w:val="clear" w:color="auto" w:fill="auto"/>
            <w:vAlign w:val="center"/>
          </w:tcPr>
          <w:p w14:paraId="1A8937BB">
            <w:pPr>
              <w:keepNext w:val="0"/>
              <w:keepLines w:val="0"/>
              <w:widowControl/>
              <w:suppressLineNumbers w:val="0"/>
              <w:spacing w:line="240" w:lineRule="auto"/>
              <w:ind w:left="178" w:leftChars="85" w:firstLine="0" w:firstLineChars="0"/>
              <w:jc w:val="left"/>
              <w:textAlignment w:val="top"/>
              <w:rPr>
                <w:rFonts w:hint="default" w:ascii="Times New Roman" w:hAnsi="Times New Roman" w:cs="Times New Roman" w:eastAsiaTheme="minorEastAsia"/>
                <w:i w:val="0"/>
                <w:iCs w:val="0"/>
                <w:color w:val="000000"/>
                <w:kern w:val="0"/>
                <w:sz w:val="18"/>
                <w:szCs w:val="18"/>
                <w:u w:val="none"/>
                <w:lang w:val="en-US" w:eastAsia="zh-CN" w:bidi="ar"/>
              </w:rPr>
            </w:pPr>
            <w:r>
              <w:rPr>
                <w:rFonts w:hint="default" w:ascii="Times New Roman" w:hAnsi="Times New Roman" w:cs="Times New Roman" w:eastAsiaTheme="minorEastAsia"/>
                <w:i w:val="0"/>
                <w:iCs w:val="0"/>
                <w:color w:val="000000"/>
                <w:kern w:val="0"/>
                <w:sz w:val="18"/>
                <w:szCs w:val="18"/>
                <w:u w:val="none"/>
                <w:lang w:val="en-US" w:eastAsia="zh-CN" w:bidi="ar"/>
              </w:rPr>
              <w:t>注</w:t>
            </w:r>
            <w:r>
              <w:rPr>
                <w:rFonts w:hint="eastAsia" w:ascii="Times New Roman" w:hAnsi="Times New Roman" w:cs="Times New Roman" w:eastAsiaTheme="minorEastAsia"/>
                <w:i w:val="0"/>
                <w:iCs w:val="0"/>
                <w:color w:val="000000"/>
                <w:kern w:val="0"/>
                <w:sz w:val="18"/>
                <w:szCs w:val="18"/>
                <w:u w:val="none"/>
                <w:lang w:val="en-US" w:eastAsia="zh-CN" w:bidi="ar"/>
              </w:rPr>
              <w:t>①</w:t>
            </w:r>
            <w:r>
              <w:rPr>
                <w:rFonts w:hint="default" w:ascii="Times New Roman" w:hAnsi="Times New Roman" w:cs="Times New Roman" w:eastAsiaTheme="minorEastAsia"/>
                <w:i w:val="0"/>
                <w:iCs w:val="0"/>
                <w:color w:val="000000"/>
                <w:kern w:val="0"/>
                <w:sz w:val="18"/>
                <w:szCs w:val="18"/>
                <w:u w:val="none"/>
                <w:lang w:val="en-US" w:eastAsia="zh-CN" w:bidi="ar"/>
              </w:rPr>
              <w:t>：</w:t>
            </w:r>
            <w:r>
              <w:rPr>
                <w:rFonts w:hint="eastAsia" w:ascii="Times New Roman" w:hAnsi="Times New Roman" w:cs="Times New Roman" w:eastAsiaTheme="minorEastAsia"/>
                <w:i w:val="0"/>
                <w:iCs w:val="0"/>
                <w:color w:val="000000"/>
                <w:kern w:val="0"/>
                <w:sz w:val="18"/>
                <w:szCs w:val="18"/>
                <w:u w:val="none"/>
                <w:lang w:val="en-US" w:eastAsia="zh-CN" w:bidi="ar"/>
              </w:rPr>
              <w:t>电镀生产线自动化指产线全自动化，</w:t>
            </w:r>
            <w:r>
              <w:rPr>
                <w:rFonts w:hint="default" w:ascii="Times New Roman" w:hAnsi="Times New Roman" w:cs="Times New Roman" w:eastAsiaTheme="minorEastAsia"/>
                <w:i w:val="0"/>
                <w:iCs w:val="0"/>
                <w:color w:val="000000"/>
                <w:kern w:val="0"/>
                <w:sz w:val="18"/>
                <w:szCs w:val="18"/>
                <w:u w:val="none"/>
                <w:lang w:val="en-US" w:eastAsia="zh-CN" w:bidi="ar"/>
              </w:rPr>
              <w:t>自动</w:t>
            </w:r>
            <w:r>
              <w:rPr>
                <w:rFonts w:hint="eastAsia" w:ascii="Times New Roman" w:hAnsi="Times New Roman" w:cs="Times New Roman" w:eastAsiaTheme="minorEastAsia"/>
                <w:i w:val="0"/>
                <w:iCs w:val="0"/>
                <w:color w:val="000000"/>
                <w:kern w:val="0"/>
                <w:sz w:val="18"/>
                <w:szCs w:val="18"/>
                <w:u w:val="none"/>
                <w:lang w:val="en-US" w:eastAsia="zh-CN" w:bidi="ar"/>
              </w:rPr>
              <w:t>化</w:t>
            </w:r>
            <w:r>
              <w:rPr>
                <w:rFonts w:hint="default" w:ascii="Times New Roman" w:hAnsi="Times New Roman" w:cs="Times New Roman" w:eastAsiaTheme="minorEastAsia"/>
                <w:i w:val="0"/>
                <w:iCs w:val="0"/>
                <w:color w:val="000000"/>
                <w:kern w:val="0"/>
                <w:sz w:val="18"/>
                <w:szCs w:val="18"/>
                <w:u w:val="none"/>
                <w:lang w:val="en-US" w:eastAsia="zh-CN" w:bidi="ar"/>
              </w:rPr>
              <w:t>生产线所占百分比以产能计算。</w:t>
            </w:r>
            <w:r>
              <w:rPr>
                <w:rFonts w:hint="default" w:ascii="Times New Roman" w:hAnsi="Times New Roman" w:cs="Times New Roman" w:eastAsiaTheme="minorEastAsia"/>
                <w:i w:val="0"/>
                <w:iCs w:val="0"/>
                <w:color w:val="000000"/>
                <w:kern w:val="0"/>
                <w:sz w:val="18"/>
                <w:szCs w:val="18"/>
                <w:u w:val="none"/>
                <w:lang w:val="en-US" w:eastAsia="zh-CN" w:bidi="ar"/>
              </w:rPr>
              <w:br w:type="textWrapping"/>
            </w:r>
            <w:r>
              <w:rPr>
                <w:rFonts w:hint="default" w:ascii="Times New Roman" w:hAnsi="Times New Roman" w:cs="Times New Roman" w:eastAsiaTheme="minorEastAsia"/>
                <w:i w:val="0"/>
                <w:iCs w:val="0"/>
                <w:color w:val="000000"/>
                <w:kern w:val="0"/>
                <w:sz w:val="18"/>
                <w:szCs w:val="18"/>
                <w:u w:val="none"/>
                <w:lang w:val="en-US" w:eastAsia="zh-CN" w:bidi="ar"/>
              </w:rPr>
              <w:t>注</w:t>
            </w:r>
            <w:r>
              <w:rPr>
                <w:rFonts w:hint="eastAsia" w:ascii="Times New Roman" w:hAnsi="Times New Roman" w:cs="Times New Roman" w:eastAsiaTheme="minorEastAsia"/>
                <w:i w:val="0"/>
                <w:iCs w:val="0"/>
                <w:color w:val="000000"/>
                <w:kern w:val="0"/>
                <w:sz w:val="18"/>
                <w:szCs w:val="18"/>
                <w:u w:val="none"/>
                <w:lang w:val="en-US" w:eastAsia="zh-CN" w:bidi="ar"/>
              </w:rPr>
              <w:t>②</w:t>
            </w:r>
            <w:r>
              <w:rPr>
                <w:rFonts w:hint="default" w:ascii="Times New Roman" w:hAnsi="Times New Roman" w:cs="Times New Roman" w:eastAsiaTheme="minorEastAsia"/>
                <w:i w:val="0"/>
                <w:iCs w:val="0"/>
                <w:color w:val="000000"/>
                <w:kern w:val="0"/>
                <w:sz w:val="18"/>
                <w:szCs w:val="18"/>
                <w:u w:val="none"/>
                <w:lang w:val="en-US" w:eastAsia="zh-CN" w:bidi="ar"/>
              </w:rPr>
              <w:t>：</w:t>
            </w:r>
            <w:r>
              <w:rPr>
                <w:rFonts w:hint="eastAsia" w:ascii="Times New Roman" w:hAnsi="Times New Roman" w:cs="Times New Roman" w:eastAsiaTheme="minorEastAsia"/>
                <w:i w:val="0"/>
                <w:iCs w:val="0"/>
                <w:color w:val="000000"/>
                <w:kern w:val="0"/>
                <w:sz w:val="18"/>
                <w:szCs w:val="18"/>
                <w:u w:val="none"/>
                <w:lang w:val="en-US" w:eastAsia="zh-CN" w:bidi="ar"/>
              </w:rPr>
              <w:t>“</w:t>
            </w:r>
            <w:r>
              <w:rPr>
                <w:rFonts w:hint="default" w:ascii="Times New Roman" w:hAnsi="Times New Roman" w:cs="Times New Roman" w:eastAsiaTheme="minorEastAsia"/>
                <w:i w:val="0"/>
                <w:iCs w:val="0"/>
                <w:color w:val="000000"/>
                <w:kern w:val="0"/>
                <w:sz w:val="18"/>
                <w:szCs w:val="18"/>
                <w:u w:val="none"/>
                <w:lang w:val="en-US" w:eastAsia="zh-CN" w:bidi="ar"/>
              </w:rPr>
              <w:t>每次清洗</w:t>
            </w:r>
            <w:r>
              <w:rPr>
                <w:rFonts w:hint="eastAsia" w:ascii="Times New Roman" w:hAnsi="Times New Roman" w:cs="Times New Roman" w:eastAsiaTheme="minorEastAsia"/>
                <w:i w:val="0"/>
                <w:iCs w:val="0"/>
                <w:color w:val="000000"/>
                <w:kern w:val="0"/>
                <w:sz w:val="18"/>
                <w:szCs w:val="18"/>
                <w:u w:val="none"/>
                <w:lang w:val="en-US" w:eastAsia="zh-CN" w:bidi="ar"/>
              </w:rPr>
              <w:t>耗水量”</w:t>
            </w:r>
            <w:r>
              <w:rPr>
                <w:rFonts w:hint="default" w:ascii="Times New Roman" w:hAnsi="Times New Roman" w:cs="Times New Roman" w:eastAsiaTheme="minorEastAsia"/>
                <w:i w:val="0"/>
                <w:iCs w:val="0"/>
                <w:color w:val="000000"/>
                <w:kern w:val="0"/>
                <w:sz w:val="18"/>
                <w:szCs w:val="18"/>
                <w:u w:val="none"/>
                <w:lang w:val="en-US" w:eastAsia="zh-CN" w:bidi="ar"/>
              </w:rPr>
              <w:t>是指按操作规程每次清洗所耗用水量，多级逆流漂洗按级数计算清洗次数。</w:t>
            </w:r>
          </w:p>
          <w:p w14:paraId="53503305">
            <w:pPr>
              <w:keepNext w:val="0"/>
              <w:keepLines w:val="0"/>
              <w:widowControl/>
              <w:suppressLineNumbers w:val="0"/>
              <w:spacing w:line="240" w:lineRule="auto"/>
              <w:ind w:left="178" w:leftChars="85" w:firstLine="0" w:firstLineChars="0"/>
              <w:jc w:val="left"/>
              <w:textAlignment w:val="top"/>
              <w:rPr>
                <w:rFonts w:hint="default" w:ascii="Times New Roman" w:hAnsi="Times New Roman" w:cs="Times New Roman" w:eastAsiaTheme="minorEastAsia"/>
                <w:i w:val="0"/>
                <w:iCs w:val="0"/>
                <w:color w:val="000000"/>
                <w:kern w:val="0"/>
                <w:sz w:val="18"/>
                <w:szCs w:val="18"/>
                <w:u w:val="none"/>
                <w:lang w:val="en-US" w:eastAsia="zh-CN" w:bidi="ar"/>
              </w:rPr>
            </w:pPr>
            <w:r>
              <w:rPr>
                <w:rFonts w:hint="eastAsia" w:ascii="Times New Roman" w:hAnsi="Times New Roman" w:cs="Times New Roman" w:eastAsiaTheme="minorEastAsia"/>
                <w:i w:val="0"/>
                <w:iCs w:val="0"/>
                <w:color w:val="000000"/>
                <w:kern w:val="0"/>
                <w:sz w:val="18"/>
                <w:szCs w:val="18"/>
                <w:u w:val="none"/>
                <w:lang w:val="en-US" w:eastAsia="zh-CN" w:bidi="ar"/>
              </w:rPr>
              <w:t>注：“-”</w:t>
            </w:r>
            <w:r>
              <w:rPr>
                <w:rFonts w:hint="eastAsia" w:ascii="Times New Roman" w:hAnsi="Times New Roman" w:cs="Times New Roman"/>
                <w:sz w:val="18"/>
                <w:szCs w:val="18"/>
                <w:highlight w:val="none"/>
                <w:vertAlign w:val="baseline"/>
                <w:lang w:val="en-US" w:eastAsia="zh-CN"/>
              </w:rPr>
              <w:t>指</w:t>
            </w:r>
            <w:r>
              <w:rPr>
                <w:rFonts w:hint="default" w:ascii="Times New Roman" w:hAnsi="Times New Roman" w:cs="Times New Roman"/>
                <w:sz w:val="18"/>
                <w:szCs w:val="18"/>
                <w:highlight w:val="none"/>
                <w:vertAlign w:val="baseline"/>
                <w:lang w:val="en-US" w:eastAsia="zh-CN"/>
              </w:rPr>
              <w:t>未</w:t>
            </w:r>
            <w:r>
              <w:rPr>
                <w:rFonts w:hint="eastAsia" w:ascii="Times New Roman" w:hAnsi="Times New Roman" w:cs="Times New Roman"/>
                <w:sz w:val="18"/>
                <w:szCs w:val="18"/>
                <w:highlight w:val="none"/>
                <w:vertAlign w:val="baseline"/>
                <w:lang w:val="en-US" w:eastAsia="zh-CN"/>
              </w:rPr>
              <w:t>开展硝酸回收</w:t>
            </w:r>
            <w:r>
              <w:rPr>
                <w:rFonts w:hint="default" w:ascii="Times New Roman" w:hAnsi="Times New Roman" w:cs="Times New Roman"/>
                <w:sz w:val="18"/>
                <w:szCs w:val="18"/>
                <w:highlight w:val="none"/>
                <w:vertAlign w:val="baseline"/>
                <w:lang w:val="en-US" w:eastAsia="zh-CN"/>
              </w:rPr>
              <w:t>。</w:t>
            </w:r>
          </w:p>
        </w:tc>
      </w:tr>
    </w:tbl>
    <w:p w14:paraId="65C443CA">
      <w:pPr>
        <w:keepNext w:val="0"/>
        <w:keepLines w:val="0"/>
        <w:pageBreakBefore w:val="0"/>
        <w:widowControl w:val="0"/>
        <w:kinsoku/>
        <w:wordWrap/>
        <w:overflowPunct/>
        <w:topLinePunct w:val="0"/>
        <w:autoSpaceDE/>
        <w:autoSpaceDN/>
        <w:bidi w:val="0"/>
        <w:adjustRightInd w:val="0"/>
        <w:snapToGrid w:val="0"/>
        <w:spacing w:before="157" w:beforeLines="50"/>
        <w:textAlignment w:val="auto"/>
        <w:rPr>
          <w:rFonts w:hint="default" w:ascii="Times New Roman" w:hAnsi="Times New Roman" w:eastAsia="黑体" w:cs="Times New Roman"/>
          <w:highlight w:val="none"/>
          <w:lang w:val="en-US" w:eastAsia="zh-CN"/>
        </w:rPr>
      </w:pPr>
      <w:r>
        <w:rPr>
          <w:rFonts w:hint="default" w:ascii="黑体" w:hAnsi="黑体" w:eastAsia="黑体" w:cs="黑体"/>
          <w:bCs/>
          <w:kern w:val="44"/>
          <w:sz w:val="21"/>
          <w:szCs w:val="44"/>
          <w:highlight w:val="none"/>
          <w:lang w:val="en-US" w:eastAsia="zh-CN" w:bidi="ar-SA"/>
        </w:rPr>
        <w:t>4.</w:t>
      </w:r>
      <w:r>
        <w:rPr>
          <w:rFonts w:hint="eastAsia" w:ascii="黑体" w:hAnsi="黑体" w:eastAsia="黑体" w:cs="黑体"/>
          <w:bCs/>
          <w:kern w:val="44"/>
          <w:sz w:val="21"/>
          <w:szCs w:val="44"/>
          <w:highlight w:val="none"/>
          <w:lang w:val="en-US" w:eastAsia="zh-CN" w:bidi="ar-SA"/>
        </w:rPr>
        <w:t>2</w:t>
      </w:r>
      <w:r>
        <w:rPr>
          <w:rFonts w:hint="default" w:ascii="黑体" w:hAnsi="黑体" w:eastAsia="黑体" w:cs="黑体"/>
          <w:bCs/>
          <w:kern w:val="44"/>
          <w:sz w:val="21"/>
          <w:szCs w:val="44"/>
          <w:highlight w:val="none"/>
          <w:lang w:val="en-US" w:eastAsia="zh-CN" w:bidi="ar-SA"/>
        </w:rPr>
        <w:t>.2</w:t>
      </w:r>
      <w:r>
        <w:rPr>
          <w:rFonts w:hint="default" w:ascii="Times New Roman" w:hAnsi="Times New Roman" w:eastAsia="黑体" w:cs="Times New Roman"/>
          <w:highlight w:val="none"/>
          <w:lang w:val="en-US" w:eastAsia="zh-CN"/>
        </w:rPr>
        <w:t xml:space="preserve">  </w:t>
      </w:r>
      <w:r>
        <w:rPr>
          <w:rFonts w:hint="default" w:ascii="Times New Roman" w:hAnsi="Times New Roman" w:cs="Times New Roman" w:eastAsiaTheme="minorEastAsia"/>
          <w:highlight w:val="none"/>
          <w:lang w:val="en-US" w:eastAsia="zh-CN"/>
        </w:rPr>
        <w:t>化学前处理绿色技术要求见表2。</w:t>
      </w:r>
    </w:p>
    <w:p w14:paraId="06F90689">
      <w:pPr>
        <w:keepNext w:val="0"/>
        <w:keepLines w:val="0"/>
        <w:pageBreakBefore w:val="0"/>
        <w:widowControl w:val="0"/>
        <w:kinsoku/>
        <w:wordWrap/>
        <w:overflowPunct/>
        <w:topLinePunct w:val="0"/>
        <w:autoSpaceDE/>
        <w:autoSpaceDN/>
        <w:bidi w:val="0"/>
        <w:adjustRightInd w:val="0"/>
        <w:snapToGrid w:val="0"/>
        <w:spacing w:before="158" w:beforeLines="50"/>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黑体" w:cs="Times New Roman"/>
          <w:highlight w:val="none"/>
          <w:lang w:val="en-US" w:eastAsia="zh-CN"/>
        </w:rPr>
        <w:t>表2  化学前处理绿色技术要求</w:t>
      </w:r>
    </w:p>
    <w:tbl>
      <w:tblPr>
        <w:tblStyle w:val="15"/>
        <w:tblW w:w="5000"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5"/>
        <w:gridCol w:w="2307"/>
        <w:gridCol w:w="2577"/>
        <w:gridCol w:w="988"/>
        <w:gridCol w:w="1547"/>
        <w:gridCol w:w="1547"/>
      </w:tblGrid>
      <w:tr w14:paraId="7DA0514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blHeader/>
        </w:trPr>
        <w:tc>
          <w:tcPr>
            <w:tcW w:w="316" w:type="pct"/>
            <w:tcBorders>
              <w:bottom w:val="single" w:color="auto" w:sz="12" w:space="0"/>
              <w:right w:val="single" w:color="000000" w:sz="4" w:space="0"/>
            </w:tcBorders>
            <w:shd w:val="clear" w:color="auto" w:fill="auto"/>
            <w:noWrap/>
            <w:vAlign w:val="center"/>
          </w:tcPr>
          <w:p w14:paraId="4C011669">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序号</w:t>
            </w:r>
          </w:p>
        </w:tc>
        <w:tc>
          <w:tcPr>
            <w:tcW w:w="1205" w:type="pct"/>
            <w:tcBorders>
              <w:left w:val="single" w:color="000000" w:sz="4" w:space="0"/>
              <w:bottom w:val="single" w:color="auto" w:sz="12" w:space="0"/>
              <w:right w:val="single" w:color="000000" w:sz="4" w:space="0"/>
            </w:tcBorders>
            <w:shd w:val="clear" w:color="auto" w:fill="auto"/>
            <w:noWrap/>
            <w:vAlign w:val="center"/>
          </w:tcPr>
          <w:p w14:paraId="47712846">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一级指标</w:t>
            </w:r>
          </w:p>
        </w:tc>
        <w:tc>
          <w:tcPr>
            <w:tcW w:w="1346" w:type="pct"/>
            <w:tcBorders>
              <w:left w:val="single" w:color="000000" w:sz="4" w:space="0"/>
              <w:bottom w:val="single" w:color="auto" w:sz="12" w:space="0"/>
              <w:right w:val="single" w:color="000000" w:sz="4" w:space="0"/>
            </w:tcBorders>
            <w:shd w:val="clear" w:color="auto" w:fill="auto"/>
            <w:noWrap/>
            <w:vAlign w:val="center"/>
          </w:tcPr>
          <w:p w14:paraId="2B617914">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二级指标</w:t>
            </w:r>
          </w:p>
        </w:tc>
        <w:tc>
          <w:tcPr>
            <w:tcW w:w="516" w:type="pct"/>
            <w:tcBorders>
              <w:left w:val="single" w:color="000000" w:sz="4" w:space="0"/>
              <w:bottom w:val="single" w:color="auto" w:sz="12" w:space="0"/>
              <w:right w:val="single" w:color="000000" w:sz="4" w:space="0"/>
            </w:tcBorders>
            <w:shd w:val="clear" w:color="auto" w:fill="auto"/>
            <w:noWrap/>
            <w:vAlign w:val="center"/>
          </w:tcPr>
          <w:p w14:paraId="6BE1B64C">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单位</w:t>
            </w:r>
          </w:p>
        </w:tc>
        <w:tc>
          <w:tcPr>
            <w:tcW w:w="808" w:type="pct"/>
            <w:tcBorders>
              <w:left w:val="single" w:color="000000" w:sz="4" w:space="0"/>
              <w:bottom w:val="single" w:color="auto" w:sz="12" w:space="0"/>
              <w:right w:val="single" w:color="000000" w:sz="4" w:space="0"/>
            </w:tcBorders>
            <w:shd w:val="clear" w:color="auto" w:fill="auto"/>
            <w:noWrap/>
            <w:vAlign w:val="center"/>
          </w:tcPr>
          <w:p w14:paraId="388BF9E1">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A级</w:t>
            </w:r>
          </w:p>
        </w:tc>
        <w:tc>
          <w:tcPr>
            <w:tcW w:w="808" w:type="pct"/>
            <w:tcBorders>
              <w:left w:val="single" w:color="000000" w:sz="4" w:space="0"/>
              <w:bottom w:val="single" w:color="auto" w:sz="12" w:space="0"/>
            </w:tcBorders>
            <w:shd w:val="clear" w:color="auto" w:fill="auto"/>
            <w:noWrap/>
            <w:vAlign w:val="center"/>
          </w:tcPr>
          <w:p w14:paraId="6DD94F57">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B级</w:t>
            </w:r>
          </w:p>
        </w:tc>
      </w:tr>
      <w:tr w14:paraId="31F4149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blHeader/>
        </w:trPr>
        <w:tc>
          <w:tcPr>
            <w:tcW w:w="316" w:type="pct"/>
            <w:tcBorders>
              <w:top w:val="single" w:color="000000" w:sz="4" w:space="0"/>
              <w:bottom w:val="single" w:color="000000" w:sz="4" w:space="0"/>
              <w:right w:val="single" w:color="000000" w:sz="4" w:space="0"/>
            </w:tcBorders>
            <w:shd w:val="clear" w:color="auto" w:fill="auto"/>
            <w:noWrap/>
            <w:vAlign w:val="center"/>
          </w:tcPr>
          <w:p w14:paraId="270F1E5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cs="Times New Roman"/>
                <w:i w:val="0"/>
                <w:iCs w:val="0"/>
                <w:color w:val="000000"/>
                <w:kern w:val="0"/>
                <w:sz w:val="18"/>
                <w:szCs w:val="18"/>
                <w:u w:val="none"/>
                <w:lang w:val="en-US" w:eastAsia="zh-CN" w:bidi="ar"/>
              </w:rPr>
              <w:t>1</w:t>
            </w:r>
          </w:p>
        </w:tc>
        <w:tc>
          <w:tcPr>
            <w:tcW w:w="1205" w:type="pct"/>
            <w:tcBorders>
              <w:top w:val="single" w:color="000000" w:sz="4" w:space="0"/>
              <w:left w:val="nil"/>
              <w:bottom w:val="single" w:color="000000" w:sz="4" w:space="0"/>
              <w:right w:val="single" w:color="000000" w:sz="4" w:space="0"/>
            </w:tcBorders>
            <w:shd w:val="clear" w:color="auto" w:fill="auto"/>
            <w:noWrap/>
            <w:vAlign w:val="center"/>
          </w:tcPr>
          <w:p w14:paraId="0709FA2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资源消耗指标</w:t>
            </w: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7514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单位面积</w:t>
            </w:r>
            <w:r>
              <w:rPr>
                <w:rFonts w:hint="eastAsia" w:ascii="Times New Roman" w:hAnsi="Times New Roman" w:cs="Times New Roman"/>
                <w:i w:val="0"/>
                <w:iCs w:val="0"/>
                <w:color w:val="000000"/>
                <w:kern w:val="0"/>
                <w:sz w:val="18"/>
                <w:szCs w:val="18"/>
                <w:u w:val="none"/>
                <w:lang w:val="en-US" w:eastAsia="zh-CN" w:bidi="ar"/>
              </w:rPr>
              <w:t>耗水</w:t>
            </w:r>
            <w:r>
              <w:rPr>
                <w:rFonts w:hint="default" w:ascii="Times New Roman" w:hAnsi="Times New Roman" w:eastAsia="宋体" w:cs="Times New Roman"/>
                <w:i w:val="0"/>
                <w:iCs w:val="0"/>
                <w:color w:val="000000"/>
                <w:kern w:val="0"/>
                <w:sz w:val="18"/>
                <w:szCs w:val="18"/>
                <w:u w:val="none"/>
                <w:lang w:val="en-US" w:eastAsia="zh-CN" w:bidi="ar"/>
              </w:rPr>
              <w:t>量</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1014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L/m</w:t>
            </w:r>
            <w:r>
              <w:rPr>
                <w:rFonts w:hint="default" w:ascii="Times New Roman" w:hAnsi="Times New Roman" w:eastAsia="宋体" w:cs="Times New Roman"/>
                <w:i w:val="0"/>
                <w:iCs w:val="0"/>
                <w:color w:val="000000"/>
                <w:kern w:val="0"/>
                <w:sz w:val="18"/>
                <w:szCs w:val="18"/>
                <w:u w:val="none"/>
                <w:vertAlign w:val="superscript"/>
                <w:lang w:val="en-US" w:eastAsia="zh-CN" w:bidi="ar"/>
              </w:rPr>
              <w:t>2</w:t>
            </w:r>
          </w:p>
        </w:tc>
        <w:tc>
          <w:tcPr>
            <w:tcW w:w="8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6A348">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10</w:t>
            </w:r>
          </w:p>
        </w:tc>
        <w:tc>
          <w:tcPr>
            <w:tcW w:w="808" w:type="pct"/>
            <w:tcBorders>
              <w:top w:val="single" w:color="000000" w:sz="4" w:space="0"/>
              <w:left w:val="single" w:color="000000" w:sz="4" w:space="0"/>
              <w:bottom w:val="single" w:color="000000" w:sz="4" w:space="0"/>
            </w:tcBorders>
            <w:shd w:val="clear" w:color="auto" w:fill="auto"/>
            <w:noWrap/>
            <w:vAlign w:val="center"/>
          </w:tcPr>
          <w:p w14:paraId="175FCD4F">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13</w:t>
            </w:r>
          </w:p>
        </w:tc>
      </w:tr>
      <w:tr w14:paraId="148EBA0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blHeader/>
        </w:trPr>
        <w:tc>
          <w:tcPr>
            <w:tcW w:w="316" w:type="pct"/>
            <w:tcBorders>
              <w:top w:val="single" w:color="000000" w:sz="4" w:space="0"/>
              <w:bottom w:val="single" w:color="000000" w:sz="4" w:space="0"/>
              <w:right w:val="single" w:color="000000" w:sz="4" w:space="0"/>
            </w:tcBorders>
            <w:shd w:val="clear" w:color="auto" w:fill="auto"/>
            <w:noWrap/>
            <w:vAlign w:val="center"/>
          </w:tcPr>
          <w:p w14:paraId="0F411E1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cs="Times New Roman"/>
                <w:i w:val="0"/>
                <w:iCs w:val="0"/>
                <w:color w:val="000000"/>
                <w:kern w:val="0"/>
                <w:sz w:val="18"/>
                <w:szCs w:val="18"/>
                <w:u w:val="none"/>
                <w:lang w:val="en-US" w:eastAsia="zh-CN" w:bidi="ar"/>
              </w:rPr>
              <w:t>4</w:t>
            </w:r>
          </w:p>
        </w:tc>
        <w:tc>
          <w:tcPr>
            <w:tcW w:w="1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0C81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污染物产生指标</w:t>
            </w: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D2D9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单位面积CODcr产生量</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80AD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g/m</w:t>
            </w:r>
            <w:r>
              <w:rPr>
                <w:rFonts w:hint="default" w:ascii="Times New Roman" w:hAnsi="Times New Roman" w:eastAsia="宋体" w:cs="Times New Roman"/>
                <w:i w:val="0"/>
                <w:iCs w:val="0"/>
                <w:color w:val="000000"/>
                <w:kern w:val="0"/>
                <w:sz w:val="18"/>
                <w:szCs w:val="18"/>
                <w:u w:val="none"/>
                <w:vertAlign w:val="superscript"/>
                <w:lang w:val="en-US" w:eastAsia="zh-CN" w:bidi="ar"/>
              </w:rPr>
              <w:t>2</w:t>
            </w:r>
          </w:p>
        </w:tc>
        <w:tc>
          <w:tcPr>
            <w:tcW w:w="8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01C63">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6.5</w:t>
            </w:r>
          </w:p>
        </w:tc>
        <w:tc>
          <w:tcPr>
            <w:tcW w:w="808" w:type="pct"/>
            <w:tcBorders>
              <w:top w:val="single" w:color="000000" w:sz="4" w:space="0"/>
              <w:left w:val="single" w:color="000000" w:sz="4" w:space="0"/>
              <w:bottom w:val="single" w:color="000000" w:sz="4" w:space="0"/>
            </w:tcBorders>
            <w:shd w:val="clear" w:color="auto" w:fill="auto"/>
            <w:noWrap/>
            <w:vAlign w:val="center"/>
          </w:tcPr>
          <w:p w14:paraId="53766660">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10</w:t>
            </w:r>
          </w:p>
        </w:tc>
      </w:tr>
      <w:tr w14:paraId="3B79D59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00" w:hRule="atLeast"/>
          <w:tblHeader/>
        </w:trPr>
        <w:tc>
          <w:tcPr>
            <w:tcW w:w="316" w:type="pct"/>
            <w:tcBorders>
              <w:top w:val="single" w:color="000000" w:sz="4" w:space="0"/>
              <w:bottom w:val="single" w:color="000000" w:sz="4" w:space="0"/>
              <w:right w:val="single" w:color="000000" w:sz="4" w:space="0"/>
            </w:tcBorders>
            <w:shd w:val="clear" w:color="auto" w:fill="auto"/>
            <w:noWrap/>
            <w:vAlign w:val="center"/>
          </w:tcPr>
          <w:p w14:paraId="4EB9039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cs="Times New Roman"/>
                <w:i w:val="0"/>
                <w:iCs w:val="0"/>
                <w:color w:val="000000"/>
                <w:kern w:val="0"/>
                <w:sz w:val="18"/>
                <w:szCs w:val="18"/>
                <w:u w:val="none"/>
                <w:lang w:val="en-US" w:eastAsia="zh-CN" w:bidi="ar"/>
              </w:rPr>
              <w:t>5</w:t>
            </w:r>
          </w:p>
        </w:tc>
        <w:tc>
          <w:tcPr>
            <w:tcW w:w="12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B48D3">
            <w:pPr>
              <w:spacing w:line="240" w:lineRule="auto"/>
              <w:jc w:val="center"/>
              <w:rPr>
                <w:rFonts w:hint="default" w:ascii="Times New Roman" w:hAnsi="Times New Roman" w:eastAsia="宋体" w:cs="Times New Roman"/>
                <w:i w:val="0"/>
                <w:iCs w:val="0"/>
                <w:color w:val="000000"/>
                <w:sz w:val="18"/>
                <w:szCs w:val="18"/>
                <w:u w:val="none"/>
              </w:rPr>
            </w:pP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5E2F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单位面积的总磷产生量</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BD69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g/m</w:t>
            </w:r>
            <w:r>
              <w:rPr>
                <w:rFonts w:hint="default" w:ascii="Times New Roman" w:hAnsi="Times New Roman" w:eastAsia="宋体" w:cs="Times New Roman"/>
                <w:i w:val="0"/>
                <w:iCs w:val="0"/>
                <w:color w:val="000000"/>
                <w:kern w:val="0"/>
                <w:sz w:val="18"/>
                <w:szCs w:val="18"/>
                <w:u w:val="none"/>
                <w:vertAlign w:val="superscript"/>
                <w:lang w:val="en-US" w:eastAsia="zh-CN" w:bidi="ar"/>
              </w:rPr>
              <w:t>2</w:t>
            </w:r>
          </w:p>
        </w:tc>
        <w:tc>
          <w:tcPr>
            <w:tcW w:w="8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235D7">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0.3</w:t>
            </w:r>
          </w:p>
        </w:tc>
        <w:tc>
          <w:tcPr>
            <w:tcW w:w="808" w:type="pct"/>
            <w:tcBorders>
              <w:top w:val="single" w:color="000000" w:sz="4" w:space="0"/>
              <w:left w:val="single" w:color="000000" w:sz="4" w:space="0"/>
              <w:bottom w:val="single" w:color="000000" w:sz="4" w:space="0"/>
            </w:tcBorders>
            <w:shd w:val="clear" w:color="auto" w:fill="auto"/>
            <w:noWrap/>
            <w:vAlign w:val="center"/>
          </w:tcPr>
          <w:p w14:paraId="3CE351BF">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0.4</w:t>
            </w:r>
          </w:p>
        </w:tc>
      </w:tr>
      <w:tr w14:paraId="5F35F51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00" w:hRule="atLeast"/>
          <w:tblHeader/>
        </w:trPr>
        <w:tc>
          <w:tcPr>
            <w:tcW w:w="316" w:type="pct"/>
            <w:tcBorders>
              <w:top w:val="single" w:color="000000" w:sz="4" w:space="0"/>
              <w:bottom w:val="single" w:color="000000" w:sz="4" w:space="0"/>
              <w:right w:val="single" w:color="000000" w:sz="4" w:space="0"/>
            </w:tcBorders>
            <w:shd w:val="clear" w:color="auto" w:fill="auto"/>
            <w:noWrap/>
            <w:vAlign w:val="center"/>
          </w:tcPr>
          <w:p w14:paraId="2D15D98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cs="Times New Roman"/>
                <w:i w:val="0"/>
                <w:iCs w:val="0"/>
                <w:color w:val="000000"/>
                <w:kern w:val="0"/>
                <w:sz w:val="18"/>
                <w:szCs w:val="18"/>
                <w:u w:val="none"/>
                <w:lang w:val="en-US" w:eastAsia="zh-CN" w:bidi="ar"/>
              </w:rPr>
              <w:t>6</w:t>
            </w:r>
          </w:p>
        </w:tc>
        <w:tc>
          <w:tcPr>
            <w:tcW w:w="12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800D4">
            <w:pPr>
              <w:spacing w:line="240" w:lineRule="auto"/>
              <w:jc w:val="center"/>
              <w:rPr>
                <w:rFonts w:hint="default" w:ascii="Times New Roman" w:hAnsi="Times New Roman" w:eastAsia="宋体" w:cs="Times New Roman"/>
                <w:i w:val="0"/>
                <w:iCs w:val="0"/>
                <w:color w:val="000000"/>
                <w:sz w:val="18"/>
                <w:szCs w:val="18"/>
                <w:u w:val="none"/>
              </w:rPr>
            </w:pP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2224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单位面积的危险废物产生量</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E005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g/m</w:t>
            </w:r>
            <w:r>
              <w:rPr>
                <w:rFonts w:hint="default" w:ascii="Times New Roman" w:hAnsi="Times New Roman" w:eastAsia="宋体" w:cs="Times New Roman"/>
                <w:i w:val="0"/>
                <w:iCs w:val="0"/>
                <w:color w:val="000000"/>
                <w:kern w:val="0"/>
                <w:sz w:val="18"/>
                <w:szCs w:val="18"/>
                <w:u w:val="none"/>
                <w:vertAlign w:val="superscript"/>
                <w:lang w:val="en-US" w:eastAsia="zh-CN" w:bidi="ar"/>
              </w:rPr>
              <w:t>2</w:t>
            </w:r>
          </w:p>
        </w:tc>
        <w:tc>
          <w:tcPr>
            <w:tcW w:w="8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EE2CD">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45</w:t>
            </w:r>
          </w:p>
        </w:tc>
        <w:tc>
          <w:tcPr>
            <w:tcW w:w="808" w:type="pct"/>
            <w:tcBorders>
              <w:top w:val="single" w:color="000000" w:sz="4" w:space="0"/>
              <w:left w:val="single" w:color="000000" w:sz="4" w:space="0"/>
              <w:bottom w:val="single" w:color="000000" w:sz="4" w:space="0"/>
            </w:tcBorders>
            <w:shd w:val="clear" w:color="auto" w:fill="auto"/>
            <w:noWrap/>
            <w:vAlign w:val="center"/>
          </w:tcPr>
          <w:p w14:paraId="24902DF1">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55</w:t>
            </w:r>
          </w:p>
        </w:tc>
      </w:tr>
      <w:tr w14:paraId="15F3A1F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54" w:hRule="atLeast"/>
          <w:tblHeader/>
        </w:trPr>
        <w:tc>
          <w:tcPr>
            <w:tcW w:w="5000" w:type="pct"/>
            <w:gridSpan w:val="6"/>
            <w:tcBorders>
              <w:top w:val="single" w:color="000000" w:sz="4" w:space="0"/>
            </w:tcBorders>
            <w:shd w:val="clear" w:color="auto" w:fill="auto"/>
            <w:vAlign w:val="center"/>
          </w:tcPr>
          <w:p w14:paraId="676FCFD4">
            <w:pPr>
              <w:keepNext w:val="0"/>
              <w:keepLines w:val="0"/>
              <w:widowControl/>
              <w:suppressLineNumbers w:val="0"/>
              <w:spacing w:line="240" w:lineRule="auto"/>
              <w:ind w:firstLineChars="10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注</w:t>
            </w:r>
            <w:r>
              <w:rPr>
                <w:rFonts w:hint="eastAsia" w:ascii="Times New Roman" w:hAnsi="Times New Roman" w:cs="Times New Roman"/>
                <w:i w:val="0"/>
                <w:iCs w:val="0"/>
                <w:color w:val="000000"/>
                <w:kern w:val="0"/>
                <w:sz w:val="18"/>
                <w:szCs w:val="18"/>
                <w:u w:val="none"/>
                <w:lang w:val="en-US" w:eastAsia="zh-CN" w:bidi="ar"/>
              </w:rPr>
              <w:t>1</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Times New Roman" w:hAnsi="Times New Roman" w:cs="Times New Roman"/>
                <w:i w:val="0"/>
                <w:iCs w:val="0"/>
                <w:color w:val="000000"/>
                <w:kern w:val="0"/>
                <w:sz w:val="18"/>
                <w:szCs w:val="18"/>
                <w:u w:val="none"/>
                <w:lang w:val="en-US" w:eastAsia="zh-CN" w:bidi="ar"/>
              </w:rPr>
              <w:t>化学前处理包括脱脂（预脱脂、主脱脂、脱脂清洗）、磷化、钝化。</w:t>
            </w:r>
          </w:p>
          <w:p w14:paraId="56379B60">
            <w:pPr>
              <w:keepNext w:val="0"/>
              <w:keepLines w:val="0"/>
              <w:widowControl/>
              <w:suppressLineNumbers w:val="0"/>
              <w:spacing w:line="240" w:lineRule="auto"/>
              <w:ind w:firstLineChars="100"/>
              <w:jc w:val="left"/>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cs="Times New Roman"/>
                <w:i w:val="0"/>
                <w:iCs w:val="0"/>
                <w:color w:val="000000"/>
                <w:kern w:val="0"/>
                <w:sz w:val="18"/>
                <w:szCs w:val="18"/>
                <w:u w:val="none"/>
                <w:lang w:val="en-US" w:eastAsia="zh-CN" w:bidi="ar"/>
              </w:rPr>
              <w:t>注2：</w:t>
            </w:r>
            <w:r>
              <w:rPr>
                <w:rFonts w:hint="default" w:ascii="Times New Roman" w:hAnsi="Times New Roman" w:eastAsia="宋体" w:cs="Times New Roman"/>
                <w:i w:val="0"/>
                <w:iCs w:val="0"/>
                <w:color w:val="000000"/>
                <w:kern w:val="0"/>
                <w:sz w:val="18"/>
                <w:szCs w:val="18"/>
                <w:u w:val="none"/>
                <w:lang w:val="en-US" w:eastAsia="zh-CN" w:bidi="ar"/>
              </w:rPr>
              <w:t>资源消耗</w:t>
            </w:r>
            <w:r>
              <w:rPr>
                <w:rFonts w:hint="eastAsia" w:ascii="Times New Roman" w:hAnsi="Times New Roman" w:cs="Times New Roman"/>
                <w:i w:val="0"/>
                <w:iCs w:val="0"/>
                <w:color w:val="000000"/>
                <w:kern w:val="0"/>
                <w:sz w:val="18"/>
                <w:szCs w:val="18"/>
                <w:u w:val="none"/>
                <w:lang w:val="en-US" w:eastAsia="zh-CN" w:bidi="ar"/>
              </w:rPr>
              <w:t>指标</w:t>
            </w:r>
            <w:r>
              <w:rPr>
                <w:rFonts w:hint="default" w:ascii="Times New Roman" w:hAnsi="Times New Roman" w:eastAsia="宋体" w:cs="Times New Roman"/>
                <w:i w:val="0"/>
                <w:iCs w:val="0"/>
                <w:color w:val="000000"/>
                <w:kern w:val="0"/>
                <w:sz w:val="18"/>
                <w:szCs w:val="18"/>
                <w:u w:val="none"/>
                <w:lang w:val="en-US" w:eastAsia="zh-CN" w:bidi="ar"/>
              </w:rPr>
              <w:t>、污染物产生指标，按照前处理</w:t>
            </w:r>
            <w:r>
              <w:rPr>
                <w:rFonts w:hint="eastAsia" w:ascii="Times New Roman" w:hAnsi="Times New Roman" w:cs="Times New Roman"/>
                <w:i w:val="0"/>
                <w:iCs w:val="0"/>
                <w:color w:val="000000"/>
                <w:kern w:val="0"/>
                <w:sz w:val="18"/>
                <w:szCs w:val="18"/>
                <w:u w:val="none"/>
                <w:lang w:val="en-US" w:eastAsia="zh-CN" w:bidi="ar"/>
              </w:rPr>
              <w:t>产品总</w:t>
            </w:r>
            <w:r>
              <w:rPr>
                <w:rFonts w:hint="default" w:ascii="Times New Roman" w:hAnsi="Times New Roman" w:eastAsia="宋体" w:cs="Times New Roman"/>
                <w:i w:val="0"/>
                <w:iCs w:val="0"/>
                <w:color w:val="000000"/>
                <w:kern w:val="0"/>
                <w:sz w:val="18"/>
                <w:szCs w:val="18"/>
                <w:u w:val="none"/>
                <w:lang w:val="en-US" w:eastAsia="zh-CN" w:bidi="ar"/>
              </w:rPr>
              <w:t>面积进行计算</w:t>
            </w:r>
            <w:r>
              <w:rPr>
                <w:rFonts w:hint="default" w:ascii="Times New Roman" w:hAnsi="Times New Roman" w:cs="Times New Roman"/>
                <w:i w:val="0"/>
                <w:iCs w:val="0"/>
                <w:color w:val="000000"/>
                <w:kern w:val="0"/>
                <w:sz w:val="18"/>
                <w:szCs w:val="18"/>
                <w:u w:val="none"/>
                <w:lang w:val="en-US" w:eastAsia="zh-CN" w:bidi="ar"/>
              </w:rPr>
              <w:t>。</w:t>
            </w:r>
          </w:p>
        </w:tc>
      </w:tr>
    </w:tbl>
    <w:p w14:paraId="45AFF4E3">
      <w:pPr>
        <w:keepNext w:val="0"/>
        <w:keepLines w:val="0"/>
        <w:pageBreakBefore w:val="0"/>
        <w:widowControl w:val="0"/>
        <w:kinsoku/>
        <w:wordWrap/>
        <w:overflowPunct/>
        <w:topLinePunct w:val="0"/>
        <w:autoSpaceDE/>
        <w:autoSpaceDN/>
        <w:bidi w:val="0"/>
        <w:adjustRightInd w:val="0"/>
        <w:snapToGrid w:val="0"/>
        <w:spacing w:before="157" w:beforeLines="50"/>
        <w:textAlignment w:val="auto"/>
        <w:rPr>
          <w:rFonts w:hint="default" w:ascii="Times New Roman" w:hAnsi="Times New Roman" w:eastAsia="黑体" w:cs="Times New Roman"/>
          <w:highlight w:val="none"/>
          <w:lang w:val="en-US" w:eastAsia="zh-CN"/>
        </w:rPr>
      </w:pPr>
      <w:r>
        <w:rPr>
          <w:rFonts w:hint="default" w:ascii="黑体" w:hAnsi="黑体" w:eastAsia="黑体" w:cs="黑体"/>
          <w:bCs/>
          <w:kern w:val="44"/>
          <w:sz w:val="21"/>
          <w:szCs w:val="44"/>
          <w:highlight w:val="none"/>
          <w:lang w:val="en-US" w:eastAsia="zh-CN" w:bidi="ar-SA"/>
        </w:rPr>
        <w:t>4.</w:t>
      </w:r>
      <w:r>
        <w:rPr>
          <w:rFonts w:hint="eastAsia" w:ascii="黑体" w:hAnsi="黑体" w:eastAsia="黑体" w:cs="黑体"/>
          <w:bCs/>
          <w:kern w:val="44"/>
          <w:sz w:val="21"/>
          <w:szCs w:val="44"/>
          <w:highlight w:val="none"/>
          <w:lang w:val="en-US" w:eastAsia="zh-CN" w:bidi="ar-SA"/>
        </w:rPr>
        <w:t>2</w:t>
      </w:r>
      <w:r>
        <w:rPr>
          <w:rFonts w:hint="default" w:ascii="黑体" w:hAnsi="黑体" w:eastAsia="黑体" w:cs="黑体"/>
          <w:bCs/>
          <w:kern w:val="44"/>
          <w:sz w:val="21"/>
          <w:szCs w:val="44"/>
          <w:highlight w:val="none"/>
          <w:lang w:val="en-US" w:eastAsia="zh-CN" w:bidi="ar-SA"/>
        </w:rPr>
        <w:t>.3</w:t>
      </w:r>
      <w:r>
        <w:rPr>
          <w:rFonts w:hint="default" w:ascii="Times New Roman" w:hAnsi="Times New Roman" w:eastAsia="黑体" w:cs="Times New Roman"/>
          <w:highlight w:val="none"/>
          <w:lang w:val="en-US" w:eastAsia="zh-CN"/>
        </w:rPr>
        <w:t xml:space="preserve">  </w:t>
      </w:r>
      <w:r>
        <w:rPr>
          <w:rFonts w:hint="default" w:ascii="Times New Roman" w:hAnsi="Times New Roman" w:cs="Times New Roman" w:eastAsiaTheme="minorEastAsia"/>
          <w:highlight w:val="none"/>
          <w:lang w:val="en-US" w:eastAsia="zh-CN"/>
        </w:rPr>
        <w:t>机械（物理）前处理绿色技术要求见表3。</w:t>
      </w:r>
    </w:p>
    <w:p w14:paraId="110C0035">
      <w:pPr>
        <w:keepNext w:val="0"/>
        <w:keepLines w:val="0"/>
        <w:pageBreakBefore w:val="0"/>
        <w:widowControl w:val="0"/>
        <w:kinsoku/>
        <w:wordWrap/>
        <w:overflowPunct/>
        <w:topLinePunct w:val="0"/>
        <w:autoSpaceDE/>
        <w:autoSpaceDN/>
        <w:bidi w:val="0"/>
        <w:adjustRightInd w:val="0"/>
        <w:snapToGrid w:val="0"/>
        <w:spacing w:before="158" w:beforeLines="50"/>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黑体" w:cs="Times New Roman"/>
          <w:highlight w:val="none"/>
          <w:lang w:val="en-US" w:eastAsia="zh-CN"/>
        </w:rPr>
        <w:t>表3  机械（物理）前处理绿色技术要求</w:t>
      </w:r>
    </w:p>
    <w:tbl>
      <w:tblPr>
        <w:tblStyle w:val="15"/>
        <w:tblW w:w="5000"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5"/>
        <w:gridCol w:w="2307"/>
        <w:gridCol w:w="2565"/>
        <w:gridCol w:w="1012"/>
        <w:gridCol w:w="1647"/>
        <w:gridCol w:w="1435"/>
      </w:tblGrid>
      <w:tr w14:paraId="6A941FE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blHeader/>
        </w:trPr>
        <w:tc>
          <w:tcPr>
            <w:tcW w:w="316" w:type="pct"/>
            <w:tcBorders>
              <w:bottom w:val="single" w:color="auto" w:sz="12" w:space="0"/>
              <w:right w:val="single" w:color="000000" w:sz="4" w:space="0"/>
            </w:tcBorders>
            <w:shd w:val="clear" w:color="auto" w:fill="auto"/>
            <w:noWrap/>
            <w:vAlign w:val="center"/>
          </w:tcPr>
          <w:p w14:paraId="6D9DBCAA">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Style w:val="73"/>
                <w:rFonts w:hint="default" w:ascii="Times New Roman" w:hAnsi="Times New Roman" w:cs="Times New Roman"/>
                <w:sz w:val="18"/>
                <w:szCs w:val="18"/>
                <w:lang w:val="en-US" w:eastAsia="zh-CN" w:bidi="ar"/>
              </w:rPr>
              <w:t>序号</w:t>
            </w:r>
          </w:p>
        </w:tc>
        <w:tc>
          <w:tcPr>
            <w:tcW w:w="1205" w:type="pct"/>
            <w:tcBorders>
              <w:left w:val="single" w:color="000000" w:sz="4" w:space="0"/>
              <w:bottom w:val="single" w:color="auto" w:sz="12" w:space="0"/>
              <w:right w:val="single" w:color="000000" w:sz="4" w:space="0"/>
            </w:tcBorders>
            <w:shd w:val="clear" w:color="auto" w:fill="auto"/>
            <w:noWrap/>
            <w:vAlign w:val="center"/>
          </w:tcPr>
          <w:p w14:paraId="6E829805">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Style w:val="73"/>
                <w:rFonts w:hint="default" w:ascii="Times New Roman" w:hAnsi="Times New Roman" w:cs="Times New Roman"/>
                <w:sz w:val="18"/>
                <w:szCs w:val="18"/>
                <w:lang w:val="en-US" w:eastAsia="zh-CN" w:bidi="ar"/>
              </w:rPr>
              <w:t>一级指标</w:t>
            </w:r>
          </w:p>
        </w:tc>
        <w:tc>
          <w:tcPr>
            <w:tcW w:w="1339" w:type="pct"/>
            <w:tcBorders>
              <w:left w:val="single" w:color="000000" w:sz="4" w:space="0"/>
              <w:bottom w:val="single" w:color="auto" w:sz="12" w:space="0"/>
              <w:right w:val="single" w:color="000000" w:sz="4" w:space="0"/>
            </w:tcBorders>
            <w:shd w:val="clear" w:color="auto" w:fill="auto"/>
            <w:noWrap/>
            <w:vAlign w:val="center"/>
          </w:tcPr>
          <w:p w14:paraId="2C272FE0">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Style w:val="73"/>
                <w:rFonts w:hint="default" w:ascii="Times New Roman" w:hAnsi="Times New Roman" w:cs="Times New Roman"/>
                <w:sz w:val="18"/>
                <w:szCs w:val="18"/>
                <w:lang w:val="en-US" w:eastAsia="zh-CN" w:bidi="ar"/>
              </w:rPr>
              <w:t>二级指标</w:t>
            </w:r>
          </w:p>
        </w:tc>
        <w:tc>
          <w:tcPr>
            <w:tcW w:w="528" w:type="pct"/>
            <w:tcBorders>
              <w:left w:val="single" w:color="000000" w:sz="4" w:space="0"/>
              <w:bottom w:val="single" w:color="auto" w:sz="12" w:space="0"/>
              <w:right w:val="single" w:color="000000" w:sz="4" w:space="0"/>
            </w:tcBorders>
            <w:shd w:val="clear" w:color="auto" w:fill="auto"/>
            <w:noWrap/>
            <w:vAlign w:val="center"/>
          </w:tcPr>
          <w:p w14:paraId="6AABC419">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Style w:val="73"/>
                <w:rFonts w:hint="default" w:ascii="Times New Roman" w:hAnsi="Times New Roman" w:cs="Times New Roman"/>
                <w:sz w:val="18"/>
                <w:szCs w:val="18"/>
                <w:lang w:val="en-US" w:eastAsia="zh-CN" w:bidi="ar"/>
              </w:rPr>
              <w:t>单位</w:t>
            </w:r>
          </w:p>
        </w:tc>
        <w:tc>
          <w:tcPr>
            <w:tcW w:w="860" w:type="pct"/>
            <w:tcBorders>
              <w:left w:val="single" w:color="000000" w:sz="4" w:space="0"/>
              <w:bottom w:val="single" w:color="auto" w:sz="12" w:space="0"/>
              <w:right w:val="single" w:color="000000" w:sz="4" w:space="0"/>
            </w:tcBorders>
            <w:shd w:val="clear" w:color="auto" w:fill="auto"/>
            <w:noWrap/>
            <w:vAlign w:val="center"/>
          </w:tcPr>
          <w:p w14:paraId="47F6187A">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A</w:t>
            </w:r>
            <w:r>
              <w:rPr>
                <w:rStyle w:val="73"/>
                <w:rFonts w:hint="default" w:ascii="Times New Roman" w:hAnsi="Times New Roman" w:cs="Times New Roman"/>
                <w:sz w:val="18"/>
                <w:szCs w:val="18"/>
                <w:lang w:val="en-US" w:eastAsia="zh-CN" w:bidi="ar"/>
              </w:rPr>
              <w:t>级</w:t>
            </w:r>
          </w:p>
        </w:tc>
        <w:tc>
          <w:tcPr>
            <w:tcW w:w="749" w:type="pct"/>
            <w:tcBorders>
              <w:left w:val="single" w:color="000000" w:sz="4" w:space="0"/>
              <w:bottom w:val="single" w:color="auto" w:sz="12" w:space="0"/>
            </w:tcBorders>
            <w:shd w:val="clear" w:color="auto" w:fill="auto"/>
            <w:noWrap/>
            <w:vAlign w:val="center"/>
          </w:tcPr>
          <w:p w14:paraId="38BBF54B">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B</w:t>
            </w:r>
            <w:r>
              <w:rPr>
                <w:rStyle w:val="73"/>
                <w:rFonts w:hint="default" w:ascii="Times New Roman" w:hAnsi="Times New Roman" w:cs="Times New Roman"/>
                <w:sz w:val="18"/>
                <w:szCs w:val="18"/>
                <w:lang w:val="en-US" w:eastAsia="zh-CN" w:bidi="ar"/>
              </w:rPr>
              <w:t>级</w:t>
            </w:r>
          </w:p>
        </w:tc>
      </w:tr>
      <w:tr w14:paraId="3B932ED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blHeader/>
        </w:trPr>
        <w:tc>
          <w:tcPr>
            <w:tcW w:w="316" w:type="pct"/>
            <w:tcBorders>
              <w:top w:val="single" w:color="000000" w:sz="4" w:space="0"/>
              <w:bottom w:val="single" w:color="000000" w:sz="4" w:space="0"/>
              <w:right w:val="single" w:color="000000" w:sz="4" w:space="0"/>
            </w:tcBorders>
            <w:shd w:val="clear" w:color="auto" w:fill="auto"/>
            <w:noWrap/>
            <w:vAlign w:val="center"/>
          </w:tcPr>
          <w:p w14:paraId="45D8637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cs="Times New Roman"/>
                <w:i w:val="0"/>
                <w:iCs w:val="0"/>
                <w:color w:val="000000"/>
                <w:kern w:val="0"/>
                <w:sz w:val="18"/>
                <w:szCs w:val="18"/>
                <w:u w:val="none"/>
                <w:lang w:val="en-US" w:eastAsia="zh-CN" w:bidi="ar"/>
              </w:rPr>
              <w:t>1</w:t>
            </w:r>
          </w:p>
        </w:tc>
        <w:tc>
          <w:tcPr>
            <w:tcW w:w="12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4F9D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污染物产生指标</w:t>
            </w:r>
          </w:p>
        </w:tc>
        <w:tc>
          <w:tcPr>
            <w:tcW w:w="1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2F4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单位面积VOCs产生量</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386D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g/m</w:t>
            </w:r>
            <w:r>
              <w:rPr>
                <w:rFonts w:hint="default" w:ascii="Times New Roman" w:hAnsi="Times New Roman" w:eastAsia="宋体" w:cs="Times New Roman"/>
                <w:i w:val="0"/>
                <w:iCs w:val="0"/>
                <w:color w:val="000000"/>
                <w:kern w:val="0"/>
                <w:sz w:val="18"/>
                <w:szCs w:val="18"/>
                <w:u w:val="none"/>
                <w:vertAlign w:val="superscript"/>
                <w:lang w:val="en-US" w:eastAsia="zh-CN" w:bidi="ar"/>
              </w:rPr>
              <w:t>2</w:t>
            </w:r>
          </w:p>
        </w:tc>
        <w:tc>
          <w:tcPr>
            <w:tcW w:w="8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46813">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20</w:t>
            </w:r>
          </w:p>
        </w:tc>
        <w:tc>
          <w:tcPr>
            <w:tcW w:w="749" w:type="pct"/>
            <w:tcBorders>
              <w:top w:val="single" w:color="000000" w:sz="4" w:space="0"/>
              <w:left w:val="single" w:color="000000" w:sz="4" w:space="0"/>
              <w:bottom w:val="single" w:color="000000" w:sz="4" w:space="0"/>
            </w:tcBorders>
            <w:shd w:val="clear" w:color="auto" w:fill="auto"/>
            <w:noWrap/>
            <w:vAlign w:val="center"/>
          </w:tcPr>
          <w:p w14:paraId="266FC177">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25</w:t>
            </w:r>
          </w:p>
        </w:tc>
      </w:tr>
      <w:tr w14:paraId="7ABCE9C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blHeader/>
        </w:trPr>
        <w:tc>
          <w:tcPr>
            <w:tcW w:w="316" w:type="pct"/>
            <w:tcBorders>
              <w:top w:val="single" w:color="000000" w:sz="4" w:space="0"/>
              <w:bottom w:val="single" w:color="000000" w:sz="4" w:space="0"/>
              <w:right w:val="single" w:color="000000" w:sz="4" w:space="0"/>
            </w:tcBorders>
            <w:shd w:val="clear" w:color="auto" w:fill="auto"/>
            <w:noWrap/>
            <w:vAlign w:val="center"/>
          </w:tcPr>
          <w:p w14:paraId="204D11F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cs="Times New Roman"/>
                <w:i w:val="0"/>
                <w:iCs w:val="0"/>
                <w:color w:val="000000"/>
                <w:kern w:val="0"/>
                <w:sz w:val="18"/>
                <w:szCs w:val="18"/>
                <w:u w:val="none"/>
                <w:lang w:val="en-US" w:eastAsia="zh-CN" w:bidi="ar"/>
              </w:rPr>
              <w:t>2</w:t>
            </w:r>
          </w:p>
        </w:tc>
        <w:tc>
          <w:tcPr>
            <w:tcW w:w="12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6394D">
            <w:pPr>
              <w:spacing w:line="240" w:lineRule="auto"/>
              <w:jc w:val="center"/>
              <w:rPr>
                <w:rFonts w:hint="default" w:ascii="Times New Roman" w:hAnsi="Times New Roman" w:eastAsia="宋体" w:cs="Times New Roman"/>
                <w:i w:val="0"/>
                <w:iCs w:val="0"/>
                <w:color w:val="000000"/>
                <w:sz w:val="18"/>
                <w:szCs w:val="18"/>
                <w:u w:val="none"/>
              </w:rPr>
            </w:pPr>
          </w:p>
        </w:tc>
        <w:tc>
          <w:tcPr>
            <w:tcW w:w="1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E6CC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单位面积的危险废物产生量</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2E09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g/m</w:t>
            </w:r>
            <w:r>
              <w:rPr>
                <w:rFonts w:hint="default" w:ascii="Times New Roman" w:hAnsi="Times New Roman" w:eastAsia="宋体" w:cs="Times New Roman"/>
                <w:i w:val="0"/>
                <w:iCs w:val="0"/>
                <w:color w:val="000000"/>
                <w:kern w:val="0"/>
                <w:sz w:val="18"/>
                <w:szCs w:val="18"/>
                <w:u w:val="none"/>
                <w:vertAlign w:val="superscript"/>
                <w:lang w:val="en-US" w:eastAsia="zh-CN" w:bidi="ar"/>
              </w:rPr>
              <w:t>2</w:t>
            </w:r>
          </w:p>
        </w:tc>
        <w:tc>
          <w:tcPr>
            <w:tcW w:w="8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2B541">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20</w:t>
            </w:r>
          </w:p>
        </w:tc>
        <w:tc>
          <w:tcPr>
            <w:tcW w:w="749" w:type="pct"/>
            <w:tcBorders>
              <w:top w:val="single" w:color="000000" w:sz="4" w:space="0"/>
              <w:left w:val="single" w:color="000000" w:sz="4" w:space="0"/>
              <w:bottom w:val="single" w:color="000000" w:sz="4" w:space="0"/>
            </w:tcBorders>
            <w:shd w:val="clear" w:color="auto" w:fill="auto"/>
            <w:noWrap/>
            <w:vAlign w:val="center"/>
          </w:tcPr>
          <w:p w14:paraId="116874D2">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25</w:t>
            </w:r>
          </w:p>
        </w:tc>
      </w:tr>
      <w:tr w14:paraId="2CC6338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785" w:hRule="atLeast"/>
          <w:tblHeader/>
        </w:trPr>
        <w:tc>
          <w:tcPr>
            <w:tcW w:w="5000" w:type="pct"/>
            <w:gridSpan w:val="6"/>
            <w:tcBorders>
              <w:top w:val="single" w:color="000000" w:sz="4" w:space="0"/>
            </w:tcBorders>
            <w:shd w:val="clear" w:color="auto" w:fill="auto"/>
            <w:vAlign w:val="center"/>
          </w:tcPr>
          <w:p w14:paraId="54D8FDE4">
            <w:pPr>
              <w:keepNext w:val="0"/>
              <w:keepLines w:val="0"/>
              <w:widowControl/>
              <w:suppressLineNumbers w:val="0"/>
              <w:spacing w:line="240" w:lineRule="auto"/>
              <w:ind w:left="178" w:leftChars="85" w:firstLine="0" w:firstLineChars="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注</w:t>
            </w:r>
            <w:r>
              <w:rPr>
                <w:rFonts w:hint="eastAsia" w:ascii="Times New Roman" w:hAnsi="Times New Roman" w:cs="Times New Roman"/>
                <w:i w:val="0"/>
                <w:iCs w:val="0"/>
                <w:color w:val="000000"/>
                <w:kern w:val="0"/>
                <w:sz w:val="18"/>
                <w:szCs w:val="18"/>
                <w:u w:val="none"/>
                <w:lang w:val="en-US" w:eastAsia="zh-CN" w:bidi="ar"/>
              </w:rPr>
              <w:t>1</w:t>
            </w:r>
            <w:r>
              <w:rPr>
                <w:rFonts w:hint="default" w:ascii="Times New Roman" w:hAnsi="Times New Roman" w:eastAsia="宋体" w:cs="Times New Roman"/>
                <w:i w:val="0"/>
                <w:iCs w:val="0"/>
                <w:color w:val="000000"/>
                <w:kern w:val="0"/>
                <w:sz w:val="18"/>
                <w:szCs w:val="18"/>
                <w:u w:val="none"/>
                <w:lang w:val="en-US" w:eastAsia="zh-CN" w:bidi="ar"/>
              </w:rPr>
              <w:t>：机械前处理一般为抛丸</w:t>
            </w:r>
            <w:r>
              <w:rPr>
                <w:rFonts w:hint="eastAsia" w:ascii="Times New Roman" w:hAnsi="Times New Roman"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olor w:val="000000"/>
                <w:kern w:val="0"/>
                <w:sz w:val="18"/>
                <w:szCs w:val="18"/>
                <w:u w:val="none"/>
                <w:lang w:val="en-US" w:eastAsia="zh-CN" w:bidi="ar"/>
              </w:rPr>
              <w:t>喷砂</w:t>
            </w:r>
            <w:r>
              <w:rPr>
                <w:rFonts w:hint="eastAsia" w:ascii="Times New Roman" w:hAnsi="Times New Roman" w:cs="Times New Roman"/>
                <w:i w:val="0"/>
                <w:iCs w:val="0"/>
                <w:color w:val="000000"/>
                <w:kern w:val="0"/>
                <w:sz w:val="18"/>
                <w:szCs w:val="18"/>
                <w:u w:val="none"/>
                <w:lang w:val="en-US" w:eastAsia="zh-CN" w:bidi="ar"/>
              </w:rPr>
              <w:t>或擦拭清洗工序</w:t>
            </w:r>
            <w:r>
              <w:rPr>
                <w:rFonts w:hint="default" w:ascii="Times New Roman" w:hAnsi="Times New Roman" w:eastAsia="宋体" w:cs="Times New Roman"/>
                <w:i w:val="0"/>
                <w:iCs w:val="0"/>
                <w:color w:val="000000"/>
                <w:kern w:val="0"/>
                <w:sz w:val="18"/>
                <w:szCs w:val="18"/>
                <w:u w:val="none"/>
                <w:lang w:val="en-US" w:eastAsia="zh-CN" w:bidi="ar"/>
              </w:rPr>
              <w:t>。</w:t>
            </w:r>
          </w:p>
          <w:p w14:paraId="7B3F507B">
            <w:pPr>
              <w:keepNext w:val="0"/>
              <w:keepLines w:val="0"/>
              <w:widowControl/>
              <w:suppressLineNumbers w:val="0"/>
              <w:spacing w:line="240" w:lineRule="auto"/>
              <w:ind w:left="178" w:leftChars="85" w:firstLine="0" w:firstLineChars="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注</w:t>
            </w:r>
            <w:r>
              <w:rPr>
                <w:rFonts w:hint="default" w:ascii="Times New Roman" w:hAnsi="Times New Roman" w:cs="Times New Roman"/>
                <w:i w:val="0"/>
                <w:iCs w:val="0"/>
                <w:color w:val="000000"/>
                <w:kern w:val="0"/>
                <w:sz w:val="18"/>
                <w:szCs w:val="18"/>
                <w:u w:val="none"/>
                <w:lang w:val="en-US" w:eastAsia="zh-CN" w:bidi="ar"/>
              </w:rPr>
              <w:t>2</w:t>
            </w:r>
            <w:r>
              <w:rPr>
                <w:rFonts w:hint="default" w:ascii="Times New Roman" w:hAnsi="Times New Roman" w:eastAsia="宋体" w:cs="Times New Roman"/>
                <w:i w:val="0"/>
                <w:iCs w:val="0"/>
                <w:color w:val="000000"/>
                <w:kern w:val="0"/>
                <w:sz w:val="18"/>
                <w:szCs w:val="18"/>
                <w:u w:val="none"/>
                <w:lang w:val="en-US" w:eastAsia="zh-CN" w:bidi="ar"/>
              </w:rPr>
              <w:t>：污染物产生指标按照前处理面积进行计算；</w:t>
            </w:r>
          </w:p>
          <w:p w14:paraId="7AE5A2D3">
            <w:pPr>
              <w:keepNext w:val="0"/>
              <w:keepLines w:val="0"/>
              <w:widowControl/>
              <w:suppressLineNumbers w:val="0"/>
              <w:spacing w:line="240" w:lineRule="auto"/>
              <w:ind w:left="178" w:leftChars="85"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注</w:t>
            </w:r>
            <w:r>
              <w:rPr>
                <w:rFonts w:hint="eastAsia" w:ascii="Times New Roman" w:hAnsi="Times New Roman" w:cs="Times New Roman"/>
                <w:i w:val="0"/>
                <w:iCs w:val="0"/>
                <w:color w:val="000000"/>
                <w:kern w:val="0"/>
                <w:sz w:val="18"/>
                <w:szCs w:val="18"/>
                <w:u w:val="none"/>
                <w:lang w:val="en-US" w:eastAsia="zh-CN" w:bidi="ar"/>
              </w:rPr>
              <w:t>3</w:t>
            </w:r>
            <w:r>
              <w:rPr>
                <w:rFonts w:hint="default" w:ascii="Times New Roman" w:hAnsi="Times New Roman" w:eastAsia="宋体" w:cs="Times New Roman"/>
                <w:i w:val="0"/>
                <w:iCs w:val="0"/>
                <w:color w:val="000000"/>
                <w:kern w:val="0"/>
                <w:sz w:val="18"/>
                <w:szCs w:val="18"/>
                <w:u w:val="none"/>
                <w:lang w:val="en-US" w:eastAsia="zh-CN" w:bidi="ar"/>
              </w:rPr>
              <w:t>：单位面积VOCs产生量是指处理设施处理进口前的含量。</w:t>
            </w:r>
          </w:p>
        </w:tc>
      </w:tr>
    </w:tbl>
    <w:p w14:paraId="6E2156DA">
      <w:pPr>
        <w:keepNext w:val="0"/>
        <w:keepLines w:val="0"/>
        <w:pageBreakBefore w:val="0"/>
        <w:widowControl w:val="0"/>
        <w:kinsoku/>
        <w:wordWrap/>
        <w:overflowPunct/>
        <w:topLinePunct w:val="0"/>
        <w:autoSpaceDE/>
        <w:autoSpaceDN/>
        <w:bidi w:val="0"/>
        <w:adjustRightInd w:val="0"/>
        <w:snapToGrid w:val="0"/>
        <w:spacing w:before="157" w:beforeLines="50"/>
        <w:textAlignment w:val="auto"/>
        <w:rPr>
          <w:rFonts w:hint="default" w:ascii="Times New Roman" w:hAnsi="Times New Roman" w:eastAsia="黑体" w:cs="Times New Roman"/>
          <w:highlight w:val="none"/>
          <w:lang w:val="en-US" w:eastAsia="zh-CN"/>
        </w:rPr>
      </w:pPr>
      <w:r>
        <w:rPr>
          <w:rFonts w:hint="default" w:ascii="黑体" w:hAnsi="黑体" w:eastAsia="黑体" w:cs="黑体"/>
          <w:bCs/>
          <w:kern w:val="44"/>
          <w:sz w:val="21"/>
          <w:szCs w:val="44"/>
          <w:highlight w:val="none"/>
          <w:lang w:val="en-US" w:eastAsia="zh-CN" w:bidi="ar-SA"/>
        </w:rPr>
        <w:t>4.</w:t>
      </w:r>
      <w:r>
        <w:rPr>
          <w:rFonts w:hint="eastAsia" w:ascii="黑体" w:hAnsi="黑体" w:eastAsia="黑体" w:cs="黑体"/>
          <w:bCs/>
          <w:kern w:val="44"/>
          <w:sz w:val="21"/>
          <w:szCs w:val="44"/>
          <w:highlight w:val="none"/>
          <w:lang w:val="en-US" w:eastAsia="zh-CN" w:bidi="ar-SA"/>
        </w:rPr>
        <w:t>2</w:t>
      </w:r>
      <w:r>
        <w:rPr>
          <w:rFonts w:hint="default" w:ascii="黑体" w:hAnsi="黑体" w:eastAsia="黑体" w:cs="黑体"/>
          <w:bCs/>
          <w:kern w:val="44"/>
          <w:sz w:val="21"/>
          <w:szCs w:val="44"/>
          <w:highlight w:val="none"/>
          <w:lang w:val="en-US" w:eastAsia="zh-CN" w:bidi="ar-SA"/>
        </w:rPr>
        <w:t>.4</w:t>
      </w:r>
      <w:r>
        <w:rPr>
          <w:rFonts w:hint="default" w:ascii="Times New Roman" w:hAnsi="Times New Roman" w:eastAsia="黑体" w:cs="Times New Roman"/>
          <w:highlight w:val="none"/>
          <w:lang w:val="en-US" w:eastAsia="zh-CN"/>
        </w:rPr>
        <w:t xml:space="preserve">  </w:t>
      </w:r>
      <w:r>
        <w:rPr>
          <w:rFonts w:hint="default" w:ascii="Times New Roman" w:hAnsi="Times New Roman" w:cs="Times New Roman" w:eastAsiaTheme="minorEastAsia"/>
          <w:highlight w:val="none"/>
          <w:lang w:val="en-US" w:eastAsia="zh-CN"/>
        </w:rPr>
        <w:t>喷漆（涂覆）绿色技术要求见表4。</w:t>
      </w:r>
    </w:p>
    <w:p w14:paraId="41A7D8C2">
      <w:pPr>
        <w:keepNext w:val="0"/>
        <w:keepLines w:val="0"/>
        <w:pageBreakBefore w:val="0"/>
        <w:widowControl w:val="0"/>
        <w:kinsoku/>
        <w:wordWrap/>
        <w:overflowPunct/>
        <w:topLinePunct w:val="0"/>
        <w:autoSpaceDE/>
        <w:autoSpaceDN/>
        <w:bidi w:val="0"/>
        <w:adjustRightInd w:val="0"/>
        <w:snapToGrid w:val="0"/>
        <w:spacing w:before="158" w:beforeLines="50"/>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黑体" w:cs="Times New Roman"/>
          <w:highlight w:val="none"/>
          <w:lang w:val="en-US" w:eastAsia="zh-CN"/>
        </w:rPr>
        <w:t>表4  喷漆（涂覆）绿色技术要求</w:t>
      </w:r>
    </w:p>
    <w:tbl>
      <w:tblPr>
        <w:tblStyle w:val="15"/>
        <w:tblW w:w="5000"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0"/>
        <w:gridCol w:w="2271"/>
        <w:gridCol w:w="1435"/>
        <w:gridCol w:w="1141"/>
        <w:gridCol w:w="1012"/>
        <w:gridCol w:w="1647"/>
        <w:gridCol w:w="1435"/>
      </w:tblGrid>
      <w:tr w14:paraId="45F38C1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PrEx>
        <w:trPr>
          <w:trHeight w:val="400" w:hRule="atLeast"/>
          <w:tblHeader/>
        </w:trPr>
        <w:tc>
          <w:tcPr>
            <w:tcW w:w="329" w:type="pct"/>
            <w:tcBorders>
              <w:bottom w:val="single" w:color="auto" w:sz="12" w:space="0"/>
              <w:right w:val="single" w:color="000000" w:sz="4" w:space="0"/>
            </w:tcBorders>
            <w:shd w:val="clear" w:color="auto" w:fill="auto"/>
            <w:noWrap/>
            <w:vAlign w:val="center"/>
          </w:tcPr>
          <w:p w14:paraId="74D5A4AA">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序号</w:t>
            </w:r>
          </w:p>
        </w:tc>
        <w:tc>
          <w:tcPr>
            <w:tcW w:w="1186" w:type="pct"/>
            <w:tcBorders>
              <w:left w:val="single" w:color="000000" w:sz="4" w:space="0"/>
              <w:bottom w:val="single" w:color="auto" w:sz="12" w:space="0"/>
              <w:right w:val="single" w:color="000000" w:sz="4" w:space="0"/>
            </w:tcBorders>
            <w:shd w:val="clear" w:color="auto" w:fill="auto"/>
            <w:noWrap/>
            <w:vAlign w:val="center"/>
          </w:tcPr>
          <w:p w14:paraId="79D5FEE2">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一级指标</w:t>
            </w:r>
          </w:p>
        </w:tc>
        <w:tc>
          <w:tcPr>
            <w:tcW w:w="1345" w:type="pct"/>
            <w:gridSpan w:val="2"/>
            <w:tcBorders>
              <w:left w:val="single" w:color="000000" w:sz="4" w:space="0"/>
              <w:bottom w:val="single" w:color="auto" w:sz="12" w:space="0"/>
              <w:right w:val="single" w:color="000000" w:sz="4" w:space="0"/>
            </w:tcBorders>
            <w:shd w:val="clear" w:color="auto" w:fill="auto"/>
            <w:noWrap/>
            <w:vAlign w:val="center"/>
          </w:tcPr>
          <w:p w14:paraId="12019048">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二级指标</w:t>
            </w:r>
          </w:p>
        </w:tc>
        <w:tc>
          <w:tcPr>
            <w:tcW w:w="528" w:type="pct"/>
            <w:tcBorders>
              <w:left w:val="single" w:color="000000" w:sz="4" w:space="0"/>
              <w:bottom w:val="single" w:color="auto" w:sz="12" w:space="0"/>
              <w:right w:val="single" w:color="000000" w:sz="4" w:space="0"/>
            </w:tcBorders>
            <w:shd w:val="clear" w:color="auto" w:fill="auto"/>
            <w:noWrap/>
            <w:vAlign w:val="center"/>
          </w:tcPr>
          <w:p w14:paraId="139F7614">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单位</w:t>
            </w:r>
          </w:p>
        </w:tc>
        <w:tc>
          <w:tcPr>
            <w:tcW w:w="860" w:type="pct"/>
            <w:tcBorders>
              <w:left w:val="single" w:color="000000" w:sz="4" w:space="0"/>
              <w:bottom w:val="single" w:color="auto" w:sz="12" w:space="0"/>
              <w:right w:val="single" w:color="000000" w:sz="4" w:space="0"/>
            </w:tcBorders>
            <w:shd w:val="clear" w:color="auto" w:fill="auto"/>
            <w:noWrap/>
            <w:vAlign w:val="center"/>
          </w:tcPr>
          <w:p w14:paraId="0057DA05">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A级</w:t>
            </w:r>
          </w:p>
        </w:tc>
        <w:tc>
          <w:tcPr>
            <w:tcW w:w="749" w:type="pct"/>
            <w:tcBorders>
              <w:left w:val="single" w:color="000000" w:sz="4" w:space="0"/>
              <w:bottom w:val="single" w:color="auto" w:sz="12" w:space="0"/>
            </w:tcBorders>
            <w:shd w:val="clear" w:color="auto" w:fill="auto"/>
            <w:noWrap/>
            <w:vAlign w:val="center"/>
          </w:tcPr>
          <w:p w14:paraId="76D43DD0">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B级</w:t>
            </w:r>
          </w:p>
        </w:tc>
      </w:tr>
      <w:tr w14:paraId="0093C47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29" w:type="pct"/>
            <w:tcBorders>
              <w:top w:val="single" w:color="auto" w:sz="12" w:space="0"/>
              <w:bottom w:val="single" w:color="000000" w:sz="4" w:space="0"/>
              <w:right w:val="single" w:color="000000" w:sz="4" w:space="0"/>
            </w:tcBorders>
            <w:shd w:val="clear" w:color="auto" w:fill="auto"/>
            <w:noWrap/>
            <w:vAlign w:val="center"/>
          </w:tcPr>
          <w:p w14:paraId="186D0A5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186" w:type="pct"/>
            <w:vMerge w:val="restart"/>
            <w:tcBorders>
              <w:top w:val="single" w:color="auto" w:sz="12" w:space="0"/>
              <w:left w:val="nil"/>
              <w:bottom w:val="nil"/>
              <w:right w:val="single" w:color="000000" w:sz="4" w:space="0"/>
            </w:tcBorders>
            <w:shd w:val="clear" w:color="auto" w:fill="auto"/>
            <w:noWrap/>
            <w:vAlign w:val="center"/>
          </w:tcPr>
          <w:p w14:paraId="7D6D17A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生产工艺及设备要求</w:t>
            </w:r>
          </w:p>
        </w:tc>
        <w:tc>
          <w:tcPr>
            <w:tcW w:w="1345" w:type="pct"/>
            <w:gridSpan w:val="2"/>
            <w:tcBorders>
              <w:top w:val="single" w:color="auto" w:sz="12" w:space="0"/>
              <w:left w:val="single" w:color="000000" w:sz="4" w:space="0"/>
              <w:bottom w:val="single" w:color="000000" w:sz="4" w:space="0"/>
              <w:right w:val="single" w:color="000000" w:sz="4" w:space="0"/>
            </w:tcBorders>
            <w:shd w:val="clear" w:color="auto" w:fill="auto"/>
            <w:noWrap/>
            <w:vAlign w:val="center"/>
          </w:tcPr>
          <w:p w14:paraId="5A7D32C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水性漆原料使用占比</w:t>
            </w:r>
          </w:p>
        </w:tc>
        <w:tc>
          <w:tcPr>
            <w:tcW w:w="528" w:type="pct"/>
            <w:tcBorders>
              <w:top w:val="single" w:color="auto" w:sz="12" w:space="0"/>
              <w:left w:val="single" w:color="000000" w:sz="4" w:space="0"/>
              <w:bottom w:val="nil"/>
              <w:right w:val="single" w:color="000000" w:sz="4" w:space="0"/>
            </w:tcBorders>
            <w:shd w:val="clear" w:color="auto" w:fill="auto"/>
            <w:noWrap/>
            <w:vAlign w:val="center"/>
          </w:tcPr>
          <w:p w14:paraId="607BC3A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cs="Times New Roman"/>
                <w:i w:val="0"/>
                <w:iCs w:val="0"/>
                <w:color w:val="000000"/>
                <w:kern w:val="0"/>
                <w:sz w:val="18"/>
                <w:szCs w:val="18"/>
                <w:u w:val="none"/>
                <w:lang w:val="en-US" w:eastAsia="zh-CN" w:bidi="ar"/>
              </w:rPr>
              <w:t>%</w:t>
            </w:r>
          </w:p>
        </w:tc>
        <w:tc>
          <w:tcPr>
            <w:tcW w:w="860" w:type="pct"/>
            <w:tcBorders>
              <w:top w:val="single" w:color="auto" w:sz="12" w:space="0"/>
              <w:left w:val="single" w:color="000000" w:sz="4" w:space="0"/>
              <w:bottom w:val="single" w:color="000000" w:sz="4" w:space="0"/>
              <w:right w:val="single" w:color="000000" w:sz="4" w:space="0"/>
            </w:tcBorders>
            <w:shd w:val="clear" w:color="auto" w:fill="auto"/>
            <w:vAlign w:val="center"/>
          </w:tcPr>
          <w:p w14:paraId="30E7112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100</w:t>
            </w:r>
          </w:p>
        </w:tc>
        <w:tc>
          <w:tcPr>
            <w:tcW w:w="749" w:type="pct"/>
            <w:tcBorders>
              <w:top w:val="single" w:color="auto" w:sz="12" w:space="0"/>
              <w:left w:val="single" w:color="000000" w:sz="4" w:space="0"/>
              <w:bottom w:val="single" w:color="000000" w:sz="4" w:space="0"/>
            </w:tcBorders>
            <w:shd w:val="clear" w:color="auto" w:fill="auto"/>
            <w:vAlign w:val="center"/>
          </w:tcPr>
          <w:p w14:paraId="6D98538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90</w:t>
            </w:r>
          </w:p>
        </w:tc>
      </w:tr>
      <w:tr w14:paraId="0A0054E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29" w:type="pct"/>
            <w:tcBorders>
              <w:top w:val="single" w:color="000000" w:sz="4" w:space="0"/>
              <w:bottom w:val="single" w:color="000000" w:sz="4" w:space="0"/>
              <w:right w:val="single" w:color="000000" w:sz="4" w:space="0"/>
            </w:tcBorders>
            <w:shd w:val="clear" w:color="auto" w:fill="auto"/>
            <w:noWrap/>
            <w:vAlign w:val="center"/>
          </w:tcPr>
          <w:p w14:paraId="43040C2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cs="Times New Roman"/>
                <w:i w:val="0"/>
                <w:iCs w:val="0"/>
                <w:color w:val="000000"/>
                <w:kern w:val="0"/>
                <w:sz w:val="18"/>
                <w:szCs w:val="18"/>
                <w:u w:val="none"/>
                <w:lang w:val="en-US" w:eastAsia="zh-CN" w:bidi="ar"/>
              </w:rPr>
              <w:t>2</w:t>
            </w:r>
          </w:p>
        </w:tc>
        <w:tc>
          <w:tcPr>
            <w:tcW w:w="1186" w:type="pct"/>
            <w:vMerge w:val="continue"/>
            <w:tcBorders>
              <w:top w:val="single" w:color="000000" w:sz="4" w:space="0"/>
              <w:left w:val="nil"/>
              <w:bottom w:val="nil"/>
              <w:right w:val="single" w:color="000000" w:sz="4" w:space="0"/>
            </w:tcBorders>
            <w:shd w:val="clear" w:color="auto" w:fill="auto"/>
            <w:noWrap/>
            <w:vAlign w:val="center"/>
          </w:tcPr>
          <w:p w14:paraId="1D83768F">
            <w:pPr>
              <w:spacing w:line="240" w:lineRule="auto"/>
              <w:jc w:val="center"/>
              <w:rPr>
                <w:rFonts w:hint="default" w:ascii="Times New Roman" w:hAnsi="Times New Roman" w:eastAsia="宋体" w:cs="Times New Roman"/>
                <w:i w:val="0"/>
                <w:iCs w:val="0"/>
                <w:color w:val="000000"/>
                <w:sz w:val="18"/>
                <w:szCs w:val="18"/>
                <w:u w:val="none"/>
              </w:rPr>
            </w:pPr>
          </w:p>
        </w:tc>
        <w:tc>
          <w:tcPr>
            <w:tcW w:w="74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4AC1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原辅材料VOCs含量</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54AB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底漆</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59BA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3FEAA">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30</w:t>
            </w:r>
          </w:p>
        </w:tc>
        <w:tc>
          <w:tcPr>
            <w:tcW w:w="749" w:type="pct"/>
            <w:tcBorders>
              <w:top w:val="single" w:color="000000" w:sz="4" w:space="0"/>
              <w:left w:val="nil"/>
              <w:bottom w:val="single" w:color="000000" w:sz="4" w:space="0"/>
            </w:tcBorders>
            <w:shd w:val="clear" w:color="auto" w:fill="auto"/>
            <w:noWrap/>
            <w:vAlign w:val="center"/>
          </w:tcPr>
          <w:p w14:paraId="12C66D07">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35</w:t>
            </w:r>
          </w:p>
        </w:tc>
      </w:tr>
      <w:tr w14:paraId="645B5A2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29" w:type="pct"/>
            <w:tcBorders>
              <w:top w:val="single" w:color="000000" w:sz="4" w:space="0"/>
              <w:bottom w:val="single" w:color="000000" w:sz="4" w:space="0"/>
              <w:right w:val="single" w:color="000000" w:sz="4" w:space="0"/>
            </w:tcBorders>
            <w:shd w:val="clear" w:color="auto" w:fill="auto"/>
            <w:noWrap/>
            <w:vAlign w:val="center"/>
          </w:tcPr>
          <w:p w14:paraId="524ABD2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cs="Times New Roman"/>
                <w:i w:val="0"/>
                <w:iCs w:val="0"/>
                <w:color w:val="000000"/>
                <w:kern w:val="0"/>
                <w:sz w:val="18"/>
                <w:szCs w:val="18"/>
                <w:u w:val="none"/>
                <w:lang w:val="en-US" w:eastAsia="zh-CN" w:bidi="ar"/>
              </w:rPr>
              <w:t>3</w:t>
            </w:r>
          </w:p>
        </w:tc>
        <w:tc>
          <w:tcPr>
            <w:tcW w:w="1186" w:type="pct"/>
            <w:vMerge w:val="continue"/>
            <w:tcBorders>
              <w:top w:val="single" w:color="000000" w:sz="4" w:space="0"/>
              <w:left w:val="nil"/>
              <w:bottom w:val="nil"/>
              <w:right w:val="single" w:color="000000" w:sz="4" w:space="0"/>
            </w:tcBorders>
            <w:shd w:val="clear" w:color="auto" w:fill="auto"/>
            <w:noWrap/>
            <w:vAlign w:val="center"/>
          </w:tcPr>
          <w:p w14:paraId="5B21C49C">
            <w:pPr>
              <w:spacing w:line="240" w:lineRule="auto"/>
              <w:jc w:val="center"/>
              <w:rPr>
                <w:rFonts w:hint="default" w:ascii="Times New Roman" w:hAnsi="Times New Roman" w:eastAsia="宋体" w:cs="Times New Roman"/>
                <w:i w:val="0"/>
                <w:iCs w:val="0"/>
                <w:color w:val="000000"/>
                <w:sz w:val="18"/>
                <w:szCs w:val="18"/>
                <w:u w:val="none"/>
              </w:rPr>
            </w:pPr>
          </w:p>
        </w:tc>
        <w:tc>
          <w:tcPr>
            <w:tcW w:w="74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781B7">
            <w:pPr>
              <w:spacing w:line="240" w:lineRule="auto"/>
              <w:jc w:val="center"/>
              <w:rPr>
                <w:rFonts w:hint="default" w:ascii="Times New Roman" w:hAnsi="Times New Roman" w:eastAsia="宋体" w:cs="Times New Roman"/>
                <w:i w:val="0"/>
                <w:iCs w:val="0"/>
                <w:color w:val="000000"/>
                <w:sz w:val="18"/>
                <w:szCs w:val="18"/>
                <w:u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068F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面漆</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6C7B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97A49">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50</w:t>
            </w:r>
          </w:p>
        </w:tc>
        <w:tc>
          <w:tcPr>
            <w:tcW w:w="749" w:type="pct"/>
            <w:tcBorders>
              <w:top w:val="single" w:color="000000" w:sz="4" w:space="0"/>
              <w:left w:val="nil"/>
              <w:bottom w:val="single" w:color="000000" w:sz="4" w:space="0"/>
            </w:tcBorders>
            <w:shd w:val="clear" w:color="auto" w:fill="auto"/>
            <w:noWrap/>
            <w:vAlign w:val="center"/>
          </w:tcPr>
          <w:p w14:paraId="12BF09DC">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60</w:t>
            </w:r>
          </w:p>
        </w:tc>
      </w:tr>
      <w:tr w14:paraId="11E5D40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29" w:type="pct"/>
            <w:tcBorders>
              <w:top w:val="single" w:color="000000" w:sz="4" w:space="0"/>
              <w:bottom w:val="single" w:color="000000" w:sz="4" w:space="0"/>
              <w:right w:val="single" w:color="000000" w:sz="4" w:space="0"/>
            </w:tcBorders>
            <w:shd w:val="clear" w:color="auto" w:fill="auto"/>
            <w:noWrap/>
            <w:vAlign w:val="center"/>
          </w:tcPr>
          <w:p w14:paraId="7A146C1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cs="Times New Roman"/>
                <w:i w:val="0"/>
                <w:iCs w:val="0"/>
                <w:color w:val="000000"/>
                <w:kern w:val="0"/>
                <w:sz w:val="18"/>
                <w:szCs w:val="18"/>
                <w:u w:val="none"/>
                <w:lang w:val="en-US" w:eastAsia="zh-CN" w:bidi="ar"/>
              </w:rPr>
              <w:t>4</w:t>
            </w:r>
          </w:p>
        </w:tc>
        <w:tc>
          <w:tcPr>
            <w:tcW w:w="1186" w:type="pct"/>
            <w:vMerge w:val="continue"/>
            <w:tcBorders>
              <w:top w:val="single" w:color="000000" w:sz="4" w:space="0"/>
              <w:left w:val="nil"/>
              <w:bottom w:val="nil"/>
              <w:right w:val="single" w:color="000000" w:sz="4" w:space="0"/>
            </w:tcBorders>
            <w:shd w:val="clear" w:color="auto" w:fill="auto"/>
            <w:noWrap/>
            <w:vAlign w:val="center"/>
          </w:tcPr>
          <w:p w14:paraId="1A4A54D0">
            <w:pPr>
              <w:spacing w:line="240" w:lineRule="auto"/>
              <w:jc w:val="center"/>
              <w:rPr>
                <w:rFonts w:hint="default" w:ascii="Times New Roman" w:hAnsi="Times New Roman" w:eastAsia="宋体" w:cs="Times New Roman"/>
                <w:i w:val="0"/>
                <w:iCs w:val="0"/>
                <w:color w:val="000000"/>
                <w:sz w:val="18"/>
                <w:szCs w:val="18"/>
                <w:u w:val="none"/>
              </w:rPr>
            </w:pPr>
          </w:p>
        </w:tc>
        <w:tc>
          <w:tcPr>
            <w:tcW w:w="74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1BEED">
            <w:pPr>
              <w:spacing w:line="240" w:lineRule="auto"/>
              <w:jc w:val="center"/>
              <w:rPr>
                <w:rFonts w:hint="default" w:ascii="Times New Roman" w:hAnsi="Times New Roman" w:eastAsia="宋体" w:cs="Times New Roman"/>
                <w:i w:val="0"/>
                <w:iCs w:val="0"/>
                <w:color w:val="000000"/>
                <w:sz w:val="18"/>
                <w:szCs w:val="18"/>
                <w:u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F541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水性漆</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DA3B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6BF8B">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5</w:t>
            </w:r>
          </w:p>
        </w:tc>
        <w:tc>
          <w:tcPr>
            <w:tcW w:w="749" w:type="pct"/>
            <w:tcBorders>
              <w:top w:val="single" w:color="000000" w:sz="4" w:space="0"/>
              <w:left w:val="nil"/>
              <w:bottom w:val="single" w:color="000000" w:sz="4" w:space="0"/>
            </w:tcBorders>
            <w:shd w:val="clear" w:color="auto" w:fill="auto"/>
            <w:noWrap/>
            <w:vAlign w:val="center"/>
          </w:tcPr>
          <w:p w14:paraId="2C884216">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20</w:t>
            </w:r>
          </w:p>
        </w:tc>
      </w:tr>
      <w:tr w14:paraId="033CC0F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29" w:type="pct"/>
            <w:tcBorders>
              <w:top w:val="single" w:color="000000" w:sz="4" w:space="0"/>
              <w:bottom w:val="single" w:color="000000" w:sz="4" w:space="0"/>
              <w:right w:val="single" w:color="000000" w:sz="4" w:space="0"/>
            </w:tcBorders>
            <w:shd w:val="clear" w:color="auto" w:fill="auto"/>
            <w:noWrap/>
            <w:vAlign w:val="center"/>
          </w:tcPr>
          <w:p w14:paraId="6C2BC07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cs="Times New Roman"/>
                <w:i w:val="0"/>
                <w:iCs w:val="0"/>
                <w:color w:val="000000"/>
                <w:kern w:val="0"/>
                <w:sz w:val="18"/>
                <w:szCs w:val="18"/>
                <w:u w:val="none"/>
                <w:lang w:val="en-US" w:eastAsia="zh-CN" w:bidi="ar"/>
              </w:rPr>
              <w:t>5</w:t>
            </w:r>
          </w:p>
        </w:tc>
        <w:tc>
          <w:tcPr>
            <w:tcW w:w="1186" w:type="pct"/>
            <w:tcBorders>
              <w:top w:val="single" w:color="000000" w:sz="4" w:space="0"/>
              <w:left w:val="nil"/>
              <w:bottom w:val="nil"/>
              <w:right w:val="single" w:color="000000" w:sz="4" w:space="0"/>
            </w:tcBorders>
            <w:shd w:val="clear" w:color="auto" w:fill="auto"/>
            <w:noWrap/>
            <w:vAlign w:val="center"/>
          </w:tcPr>
          <w:p w14:paraId="568E108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资源消耗指标</w:t>
            </w:r>
          </w:p>
        </w:tc>
        <w:tc>
          <w:tcPr>
            <w:tcW w:w="13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5F5F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单位面积</w:t>
            </w:r>
            <w:r>
              <w:rPr>
                <w:rFonts w:hint="eastAsia" w:ascii="Times New Roman" w:hAnsi="Times New Roman" w:cs="Times New Roman"/>
                <w:i w:val="0"/>
                <w:iCs w:val="0"/>
                <w:color w:val="000000"/>
                <w:kern w:val="0"/>
                <w:sz w:val="18"/>
                <w:szCs w:val="18"/>
                <w:u w:val="none"/>
                <w:lang w:val="en-US" w:eastAsia="zh-CN" w:bidi="ar"/>
              </w:rPr>
              <w:t>耗水</w:t>
            </w:r>
            <w:r>
              <w:rPr>
                <w:rFonts w:hint="default" w:ascii="Times New Roman" w:hAnsi="Times New Roman" w:eastAsia="宋体" w:cs="Times New Roman"/>
                <w:i w:val="0"/>
                <w:iCs w:val="0"/>
                <w:color w:val="000000"/>
                <w:kern w:val="0"/>
                <w:sz w:val="18"/>
                <w:szCs w:val="18"/>
                <w:u w:val="none"/>
                <w:lang w:val="en-US" w:eastAsia="zh-CN" w:bidi="ar"/>
              </w:rPr>
              <w:t>量</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194C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L/m</w:t>
            </w:r>
            <w:r>
              <w:rPr>
                <w:rFonts w:hint="default" w:ascii="Times New Roman" w:hAnsi="Times New Roman" w:eastAsia="宋体" w:cs="Times New Roman"/>
                <w:i w:val="0"/>
                <w:iCs w:val="0"/>
                <w:color w:val="000000"/>
                <w:kern w:val="0"/>
                <w:sz w:val="18"/>
                <w:szCs w:val="18"/>
                <w:u w:val="none"/>
                <w:vertAlign w:val="superscript"/>
                <w:lang w:val="en-US" w:eastAsia="zh-CN" w:bidi="ar"/>
              </w:rPr>
              <w:t>2</w:t>
            </w:r>
          </w:p>
        </w:tc>
        <w:tc>
          <w:tcPr>
            <w:tcW w:w="8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94046">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2.5</w:t>
            </w:r>
          </w:p>
        </w:tc>
        <w:tc>
          <w:tcPr>
            <w:tcW w:w="749" w:type="pct"/>
            <w:tcBorders>
              <w:top w:val="single" w:color="000000" w:sz="4" w:space="0"/>
              <w:left w:val="single" w:color="000000" w:sz="4" w:space="0"/>
              <w:bottom w:val="single" w:color="000000" w:sz="4" w:space="0"/>
            </w:tcBorders>
            <w:shd w:val="clear" w:color="auto" w:fill="auto"/>
            <w:noWrap/>
            <w:vAlign w:val="center"/>
          </w:tcPr>
          <w:p w14:paraId="66A6F41D">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3.2</w:t>
            </w:r>
          </w:p>
        </w:tc>
      </w:tr>
      <w:tr w14:paraId="4FC51AF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29" w:type="pct"/>
            <w:tcBorders>
              <w:top w:val="single" w:color="000000" w:sz="4" w:space="0"/>
              <w:bottom w:val="single" w:color="000000" w:sz="4" w:space="0"/>
              <w:right w:val="single" w:color="000000" w:sz="4" w:space="0"/>
            </w:tcBorders>
            <w:shd w:val="clear" w:color="auto" w:fill="auto"/>
            <w:noWrap/>
            <w:vAlign w:val="center"/>
          </w:tcPr>
          <w:p w14:paraId="185F8A8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cs="Times New Roman"/>
                <w:i w:val="0"/>
                <w:iCs w:val="0"/>
                <w:color w:val="000000"/>
                <w:kern w:val="0"/>
                <w:sz w:val="18"/>
                <w:szCs w:val="18"/>
                <w:u w:val="none"/>
                <w:lang w:val="en-US" w:eastAsia="zh-CN" w:bidi="ar"/>
              </w:rPr>
              <w:t>6</w:t>
            </w:r>
          </w:p>
        </w:tc>
        <w:tc>
          <w:tcPr>
            <w:tcW w:w="118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0BAF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污染物产生指标</w:t>
            </w:r>
          </w:p>
        </w:tc>
        <w:tc>
          <w:tcPr>
            <w:tcW w:w="13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3C67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单位面积VOCs产生量</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F5D6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g/m</w:t>
            </w:r>
            <w:r>
              <w:rPr>
                <w:rFonts w:hint="default" w:ascii="Times New Roman" w:hAnsi="Times New Roman" w:eastAsia="宋体" w:cs="Times New Roman"/>
                <w:i w:val="0"/>
                <w:iCs w:val="0"/>
                <w:color w:val="000000"/>
                <w:kern w:val="0"/>
                <w:sz w:val="18"/>
                <w:szCs w:val="18"/>
                <w:u w:val="none"/>
                <w:vertAlign w:val="superscript"/>
                <w:lang w:val="en-US" w:eastAsia="zh-CN" w:bidi="ar"/>
              </w:rPr>
              <w:t>2</w:t>
            </w:r>
          </w:p>
        </w:tc>
        <w:tc>
          <w:tcPr>
            <w:tcW w:w="8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2B906">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60</w:t>
            </w:r>
          </w:p>
        </w:tc>
        <w:tc>
          <w:tcPr>
            <w:tcW w:w="749" w:type="pct"/>
            <w:tcBorders>
              <w:top w:val="single" w:color="000000" w:sz="4" w:space="0"/>
              <w:left w:val="single" w:color="000000" w:sz="4" w:space="0"/>
              <w:bottom w:val="single" w:color="000000" w:sz="4" w:space="0"/>
            </w:tcBorders>
            <w:shd w:val="clear" w:color="auto" w:fill="auto"/>
            <w:noWrap/>
            <w:vAlign w:val="center"/>
          </w:tcPr>
          <w:p w14:paraId="4A3F0DE3">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80</w:t>
            </w:r>
          </w:p>
        </w:tc>
      </w:tr>
      <w:tr w14:paraId="26F1429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29" w:type="pct"/>
            <w:tcBorders>
              <w:top w:val="single" w:color="000000" w:sz="4" w:space="0"/>
              <w:bottom w:val="single" w:color="000000" w:sz="4" w:space="0"/>
              <w:right w:val="single" w:color="000000" w:sz="4" w:space="0"/>
            </w:tcBorders>
            <w:shd w:val="clear" w:color="auto" w:fill="auto"/>
            <w:noWrap/>
            <w:vAlign w:val="center"/>
          </w:tcPr>
          <w:p w14:paraId="65E467B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lang w:val="en-US"/>
              </w:rPr>
            </w:pPr>
            <w:r>
              <w:rPr>
                <w:rFonts w:hint="eastAsia" w:ascii="Times New Roman" w:hAnsi="Times New Roman" w:cs="Times New Roman"/>
                <w:i w:val="0"/>
                <w:iCs w:val="0"/>
                <w:color w:val="000000"/>
                <w:kern w:val="0"/>
                <w:sz w:val="18"/>
                <w:szCs w:val="18"/>
                <w:u w:val="none"/>
                <w:lang w:val="en-US" w:eastAsia="zh-CN" w:bidi="ar"/>
              </w:rPr>
              <w:t>7</w:t>
            </w:r>
          </w:p>
        </w:tc>
        <w:tc>
          <w:tcPr>
            <w:tcW w:w="118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949E2">
            <w:pPr>
              <w:spacing w:line="240" w:lineRule="auto"/>
              <w:jc w:val="center"/>
              <w:rPr>
                <w:rFonts w:hint="default" w:ascii="Times New Roman" w:hAnsi="Times New Roman" w:eastAsia="宋体" w:cs="Times New Roman"/>
                <w:i w:val="0"/>
                <w:iCs w:val="0"/>
                <w:color w:val="000000"/>
                <w:sz w:val="18"/>
                <w:szCs w:val="18"/>
                <w:u w:val="none"/>
              </w:rPr>
            </w:pPr>
          </w:p>
        </w:tc>
        <w:tc>
          <w:tcPr>
            <w:tcW w:w="13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D08C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单位面积CODcr产生量</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0520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g/m</w:t>
            </w:r>
            <w:r>
              <w:rPr>
                <w:rFonts w:hint="default" w:ascii="Times New Roman" w:hAnsi="Times New Roman" w:eastAsia="宋体" w:cs="Times New Roman"/>
                <w:i w:val="0"/>
                <w:iCs w:val="0"/>
                <w:color w:val="000000"/>
                <w:kern w:val="0"/>
                <w:sz w:val="18"/>
                <w:szCs w:val="18"/>
                <w:u w:val="none"/>
                <w:vertAlign w:val="superscript"/>
                <w:lang w:val="en-US" w:eastAsia="zh-CN" w:bidi="ar"/>
              </w:rPr>
              <w:t>2</w:t>
            </w:r>
          </w:p>
        </w:tc>
        <w:tc>
          <w:tcPr>
            <w:tcW w:w="8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7A04B">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2</w:t>
            </w:r>
          </w:p>
        </w:tc>
        <w:tc>
          <w:tcPr>
            <w:tcW w:w="749" w:type="pct"/>
            <w:tcBorders>
              <w:top w:val="single" w:color="000000" w:sz="4" w:space="0"/>
              <w:left w:val="single" w:color="000000" w:sz="4" w:space="0"/>
              <w:bottom w:val="single" w:color="000000" w:sz="4" w:space="0"/>
            </w:tcBorders>
            <w:shd w:val="clear" w:color="auto" w:fill="auto"/>
            <w:noWrap/>
            <w:vAlign w:val="center"/>
          </w:tcPr>
          <w:p w14:paraId="35D9D240">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2.5</w:t>
            </w:r>
          </w:p>
        </w:tc>
      </w:tr>
      <w:tr w14:paraId="7817064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29" w:type="pct"/>
            <w:tcBorders>
              <w:top w:val="single" w:color="000000" w:sz="4" w:space="0"/>
              <w:bottom w:val="single" w:color="000000" w:sz="4" w:space="0"/>
              <w:right w:val="single" w:color="000000" w:sz="4" w:space="0"/>
            </w:tcBorders>
            <w:shd w:val="clear" w:color="auto" w:fill="auto"/>
            <w:noWrap/>
            <w:vAlign w:val="center"/>
          </w:tcPr>
          <w:p w14:paraId="54FEA94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lang w:val="en-US"/>
              </w:rPr>
            </w:pPr>
            <w:r>
              <w:rPr>
                <w:rFonts w:hint="eastAsia" w:ascii="Times New Roman" w:hAnsi="Times New Roman" w:cs="Times New Roman"/>
                <w:i w:val="0"/>
                <w:iCs w:val="0"/>
                <w:color w:val="000000"/>
                <w:kern w:val="0"/>
                <w:sz w:val="18"/>
                <w:szCs w:val="18"/>
                <w:u w:val="none"/>
                <w:lang w:val="en-US" w:eastAsia="zh-CN" w:bidi="ar"/>
              </w:rPr>
              <w:t>8</w:t>
            </w:r>
          </w:p>
        </w:tc>
        <w:tc>
          <w:tcPr>
            <w:tcW w:w="118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12EF1">
            <w:pPr>
              <w:spacing w:line="240" w:lineRule="auto"/>
              <w:jc w:val="center"/>
              <w:rPr>
                <w:rFonts w:hint="default" w:ascii="Times New Roman" w:hAnsi="Times New Roman" w:eastAsia="宋体" w:cs="Times New Roman"/>
                <w:i w:val="0"/>
                <w:iCs w:val="0"/>
                <w:color w:val="000000"/>
                <w:sz w:val="18"/>
                <w:szCs w:val="18"/>
                <w:u w:val="none"/>
              </w:rPr>
            </w:pPr>
          </w:p>
        </w:tc>
        <w:tc>
          <w:tcPr>
            <w:tcW w:w="13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7267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单位面积的危险废物产生量</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9B11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g/m</w:t>
            </w:r>
            <w:r>
              <w:rPr>
                <w:rFonts w:hint="default" w:ascii="Times New Roman" w:hAnsi="Times New Roman" w:eastAsia="宋体" w:cs="Times New Roman"/>
                <w:i w:val="0"/>
                <w:iCs w:val="0"/>
                <w:color w:val="000000"/>
                <w:kern w:val="0"/>
                <w:sz w:val="18"/>
                <w:szCs w:val="18"/>
                <w:u w:val="none"/>
                <w:vertAlign w:val="superscript"/>
                <w:lang w:val="en-US" w:eastAsia="zh-CN" w:bidi="ar"/>
              </w:rPr>
              <w:t>2</w:t>
            </w:r>
          </w:p>
        </w:tc>
        <w:tc>
          <w:tcPr>
            <w:tcW w:w="8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81AC6">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90</w:t>
            </w:r>
          </w:p>
        </w:tc>
        <w:tc>
          <w:tcPr>
            <w:tcW w:w="749" w:type="pct"/>
            <w:tcBorders>
              <w:top w:val="single" w:color="000000" w:sz="4" w:space="0"/>
              <w:left w:val="single" w:color="000000" w:sz="4" w:space="0"/>
              <w:bottom w:val="single" w:color="000000" w:sz="4" w:space="0"/>
            </w:tcBorders>
            <w:shd w:val="clear" w:color="auto" w:fill="auto"/>
            <w:noWrap/>
            <w:vAlign w:val="center"/>
          </w:tcPr>
          <w:p w14:paraId="62C49D16">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110</w:t>
            </w:r>
          </w:p>
        </w:tc>
      </w:tr>
      <w:tr w14:paraId="6B2FED8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38" w:hRule="atLeast"/>
        </w:trPr>
        <w:tc>
          <w:tcPr>
            <w:tcW w:w="5000" w:type="pct"/>
            <w:gridSpan w:val="7"/>
            <w:tcBorders>
              <w:top w:val="single" w:color="000000" w:sz="4" w:space="0"/>
            </w:tcBorders>
            <w:shd w:val="clear" w:color="auto" w:fill="auto"/>
            <w:vAlign w:val="center"/>
          </w:tcPr>
          <w:p w14:paraId="31A2214B">
            <w:pPr>
              <w:keepNext w:val="0"/>
              <w:keepLines w:val="0"/>
              <w:widowControl/>
              <w:suppressLineNumbers w:val="0"/>
              <w:spacing w:line="240" w:lineRule="auto"/>
              <w:ind w:left="178" w:leftChars="85" w:firstLine="0" w:firstLineChars="0"/>
              <w:jc w:val="both"/>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注1：单位面积的污染物产生量按照实际喷涂面积计算。</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注2：VOCs处理设施是作为工艺设备之一，单位面积VOCs产生量是指处理设施处理后出口的含量。</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注3：底漆、面漆VOCs含量指的是涂料包装物的VOCs重量百分比。</w:t>
            </w:r>
          </w:p>
        </w:tc>
      </w:tr>
    </w:tbl>
    <w:p w14:paraId="60A5EE9E">
      <w:pPr>
        <w:keepNext w:val="0"/>
        <w:keepLines w:val="0"/>
        <w:pageBreakBefore w:val="0"/>
        <w:widowControl w:val="0"/>
        <w:kinsoku/>
        <w:wordWrap/>
        <w:overflowPunct/>
        <w:topLinePunct w:val="0"/>
        <w:autoSpaceDE/>
        <w:autoSpaceDN/>
        <w:bidi w:val="0"/>
        <w:adjustRightInd w:val="0"/>
        <w:snapToGrid w:val="0"/>
        <w:spacing w:before="157" w:beforeLines="50"/>
        <w:textAlignment w:val="auto"/>
        <w:rPr>
          <w:rFonts w:hint="default" w:ascii="Times New Roman" w:hAnsi="Times New Roman" w:eastAsia="黑体" w:cs="Times New Roman"/>
          <w:highlight w:val="none"/>
          <w:lang w:val="en-US" w:eastAsia="zh-CN"/>
        </w:rPr>
      </w:pPr>
      <w:r>
        <w:rPr>
          <w:rFonts w:hint="default" w:ascii="黑体" w:hAnsi="黑体" w:eastAsia="黑体" w:cs="黑体"/>
          <w:bCs/>
          <w:kern w:val="44"/>
          <w:sz w:val="21"/>
          <w:szCs w:val="44"/>
          <w:highlight w:val="none"/>
          <w:lang w:val="en-US" w:eastAsia="zh-CN" w:bidi="ar-SA"/>
        </w:rPr>
        <w:t>4.</w:t>
      </w:r>
      <w:r>
        <w:rPr>
          <w:rFonts w:hint="eastAsia" w:ascii="黑体" w:hAnsi="黑体" w:eastAsia="黑体" w:cs="黑体"/>
          <w:bCs/>
          <w:kern w:val="44"/>
          <w:sz w:val="21"/>
          <w:szCs w:val="44"/>
          <w:highlight w:val="none"/>
          <w:lang w:val="en-US" w:eastAsia="zh-CN" w:bidi="ar-SA"/>
        </w:rPr>
        <w:t>2</w:t>
      </w:r>
      <w:r>
        <w:rPr>
          <w:rFonts w:hint="default" w:ascii="黑体" w:hAnsi="黑体" w:eastAsia="黑体" w:cs="黑体"/>
          <w:bCs/>
          <w:kern w:val="44"/>
          <w:sz w:val="21"/>
          <w:szCs w:val="44"/>
          <w:highlight w:val="none"/>
          <w:lang w:val="en-US" w:eastAsia="zh-CN" w:bidi="ar-SA"/>
        </w:rPr>
        <w:t>.5</w:t>
      </w:r>
      <w:r>
        <w:rPr>
          <w:rFonts w:hint="default" w:ascii="Times New Roman" w:hAnsi="Times New Roman" w:eastAsia="黑体" w:cs="Times New Roman"/>
          <w:highlight w:val="none"/>
          <w:lang w:val="en-US" w:eastAsia="zh-CN"/>
        </w:rPr>
        <w:t xml:space="preserve">  </w:t>
      </w:r>
      <w:r>
        <w:rPr>
          <w:rFonts w:hint="default" w:ascii="Times New Roman" w:hAnsi="Times New Roman" w:cs="Times New Roman" w:eastAsiaTheme="minorEastAsia"/>
          <w:highlight w:val="none"/>
          <w:lang w:val="en-US" w:eastAsia="zh-CN"/>
        </w:rPr>
        <w:t>喷粉绿色技术要求见表5。</w:t>
      </w:r>
    </w:p>
    <w:p w14:paraId="7E6187EF">
      <w:pPr>
        <w:keepNext w:val="0"/>
        <w:keepLines w:val="0"/>
        <w:pageBreakBefore w:val="0"/>
        <w:widowControl w:val="0"/>
        <w:kinsoku/>
        <w:wordWrap/>
        <w:overflowPunct/>
        <w:topLinePunct w:val="0"/>
        <w:autoSpaceDE/>
        <w:autoSpaceDN/>
        <w:bidi w:val="0"/>
        <w:adjustRightInd w:val="0"/>
        <w:snapToGrid w:val="0"/>
        <w:spacing w:before="158" w:beforeLines="50"/>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黑体" w:cs="Times New Roman"/>
          <w:highlight w:val="none"/>
          <w:lang w:val="en-US" w:eastAsia="zh-CN"/>
        </w:rPr>
        <w:t>表5  喷粉绿色技术要求</w:t>
      </w:r>
    </w:p>
    <w:tbl>
      <w:tblPr>
        <w:tblStyle w:val="15"/>
        <w:tblW w:w="4995"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8"/>
        <w:gridCol w:w="1836"/>
        <w:gridCol w:w="1836"/>
        <w:gridCol w:w="797"/>
        <w:gridCol w:w="2130"/>
        <w:gridCol w:w="2384"/>
      </w:tblGrid>
      <w:tr w14:paraId="2FEE0DD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blHeader/>
        </w:trPr>
        <w:tc>
          <w:tcPr>
            <w:tcW w:w="302" w:type="pct"/>
            <w:tcBorders>
              <w:bottom w:val="single" w:color="auto" w:sz="12" w:space="0"/>
              <w:right w:val="single" w:color="000000" w:sz="4" w:space="0"/>
            </w:tcBorders>
            <w:shd w:val="clear" w:color="auto" w:fill="auto"/>
            <w:noWrap/>
            <w:vAlign w:val="center"/>
          </w:tcPr>
          <w:p w14:paraId="2F1B6E08">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序号</w:t>
            </w:r>
          </w:p>
        </w:tc>
        <w:tc>
          <w:tcPr>
            <w:tcW w:w="959" w:type="pct"/>
            <w:tcBorders>
              <w:left w:val="single" w:color="000000" w:sz="4" w:space="0"/>
              <w:bottom w:val="single" w:color="auto" w:sz="12" w:space="0"/>
              <w:right w:val="single" w:color="000000" w:sz="4" w:space="0"/>
            </w:tcBorders>
            <w:shd w:val="clear" w:color="auto" w:fill="auto"/>
            <w:noWrap/>
            <w:vAlign w:val="center"/>
          </w:tcPr>
          <w:p w14:paraId="293594C1">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一级指标</w:t>
            </w:r>
          </w:p>
        </w:tc>
        <w:tc>
          <w:tcPr>
            <w:tcW w:w="959" w:type="pct"/>
            <w:tcBorders>
              <w:left w:val="single" w:color="000000" w:sz="4" w:space="0"/>
              <w:bottom w:val="single" w:color="auto" w:sz="12" w:space="0"/>
              <w:right w:val="single" w:color="000000" w:sz="4" w:space="0"/>
            </w:tcBorders>
            <w:shd w:val="clear" w:color="auto" w:fill="auto"/>
            <w:noWrap/>
            <w:vAlign w:val="center"/>
          </w:tcPr>
          <w:p w14:paraId="2B2E8FB3">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二级指标</w:t>
            </w:r>
          </w:p>
        </w:tc>
        <w:tc>
          <w:tcPr>
            <w:tcW w:w="418" w:type="pct"/>
            <w:tcBorders>
              <w:left w:val="single" w:color="000000" w:sz="4" w:space="0"/>
              <w:bottom w:val="single" w:color="auto" w:sz="12" w:space="0"/>
              <w:right w:val="single" w:color="000000" w:sz="4" w:space="0"/>
            </w:tcBorders>
            <w:shd w:val="clear" w:color="auto" w:fill="auto"/>
            <w:noWrap/>
            <w:vAlign w:val="center"/>
          </w:tcPr>
          <w:p w14:paraId="71F3DB06">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单位</w:t>
            </w:r>
          </w:p>
        </w:tc>
        <w:tc>
          <w:tcPr>
            <w:tcW w:w="1115" w:type="pct"/>
            <w:tcBorders>
              <w:left w:val="single" w:color="000000" w:sz="4" w:space="0"/>
              <w:bottom w:val="single" w:color="auto" w:sz="12" w:space="0"/>
              <w:right w:val="single" w:color="000000" w:sz="4" w:space="0"/>
            </w:tcBorders>
            <w:shd w:val="clear" w:color="auto" w:fill="auto"/>
            <w:noWrap/>
            <w:vAlign w:val="center"/>
          </w:tcPr>
          <w:p w14:paraId="1F13A045">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A级</w:t>
            </w:r>
          </w:p>
        </w:tc>
        <w:tc>
          <w:tcPr>
            <w:tcW w:w="1244" w:type="pct"/>
            <w:tcBorders>
              <w:left w:val="single" w:color="000000" w:sz="4" w:space="0"/>
              <w:bottom w:val="single" w:color="auto" w:sz="12" w:space="0"/>
            </w:tcBorders>
            <w:shd w:val="clear" w:color="auto" w:fill="auto"/>
            <w:noWrap/>
            <w:vAlign w:val="center"/>
          </w:tcPr>
          <w:p w14:paraId="6D744914">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B级</w:t>
            </w:r>
          </w:p>
        </w:tc>
      </w:tr>
      <w:tr w14:paraId="1ECCC31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blHeader/>
        </w:trPr>
        <w:tc>
          <w:tcPr>
            <w:tcW w:w="302" w:type="pct"/>
            <w:tcBorders>
              <w:top w:val="single" w:color="000000" w:sz="4" w:space="0"/>
              <w:bottom w:val="single" w:color="000000" w:sz="4" w:space="0"/>
              <w:right w:val="single" w:color="000000" w:sz="4" w:space="0"/>
            </w:tcBorders>
            <w:shd w:val="clear" w:color="auto" w:fill="auto"/>
            <w:noWrap/>
            <w:vAlign w:val="center"/>
          </w:tcPr>
          <w:p w14:paraId="58F593F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cs="Times New Roman"/>
                <w:i w:val="0"/>
                <w:iCs w:val="0"/>
                <w:color w:val="000000"/>
                <w:kern w:val="0"/>
                <w:sz w:val="18"/>
                <w:szCs w:val="18"/>
                <w:u w:val="none"/>
                <w:lang w:val="en-US" w:eastAsia="zh-CN" w:bidi="ar"/>
              </w:rPr>
              <w:t>1</w:t>
            </w:r>
          </w:p>
        </w:tc>
        <w:tc>
          <w:tcPr>
            <w:tcW w:w="959" w:type="pct"/>
            <w:tcBorders>
              <w:top w:val="single" w:color="000000" w:sz="4" w:space="0"/>
              <w:left w:val="nil"/>
              <w:bottom w:val="nil"/>
              <w:right w:val="single" w:color="000000" w:sz="4" w:space="0"/>
            </w:tcBorders>
            <w:shd w:val="clear" w:color="auto" w:fill="auto"/>
            <w:noWrap/>
            <w:vAlign w:val="center"/>
          </w:tcPr>
          <w:p w14:paraId="3DC4411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资源和能源消耗指标</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3F4F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粉回收利用率</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6C8D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1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95AD7">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90</w:t>
            </w:r>
          </w:p>
        </w:tc>
        <w:tc>
          <w:tcPr>
            <w:tcW w:w="1244" w:type="pct"/>
            <w:tcBorders>
              <w:top w:val="single" w:color="000000" w:sz="4" w:space="0"/>
              <w:left w:val="single" w:color="000000" w:sz="4" w:space="0"/>
              <w:bottom w:val="single" w:color="000000" w:sz="4" w:space="0"/>
            </w:tcBorders>
            <w:shd w:val="clear" w:color="auto" w:fill="auto"/>
            <w:noWrap/>
            <w:vAlign w:val="center"/>
          </w:tcPr>
          <w:p w14:paraId="11EC6035">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85</w:t>
            </w:r>
          </w:p>
        </w:tc>
      </w:tr>
      <w:tr w14:paraId="6945CF9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blHeader/>
        </w:trPr>
        <w:tc>
          <w:tcPr>
            <w:tcW w:w="302" w:type="pct"/>
            <w:tcBorders>
              <w:top w:val="single" w:color="000000" w:sz="4" w:space="0"/>
              <w:bottom w:val="single" w:color="000000" w:sz="4" w:space="0"/>
              <w:right w:val="single" w:color="000000" w:sz="4" w:space="0"/>
            </w:tcBorders>
            <w:shd w:val="clear" w:color="auto" w:fill="auto"/>
            <w:noWrap/>
            <w:vAlign w:val="center"/>
          </w:tcPr>
          <w:p w14:paraId="0A1C397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cs="Times New Roman"/>
                <w:i w:val="0"/>
                <w:iCs w:val="0"/>
                <w:color w:val="000000"/>
                <w:kern w:val="0"/>
                <w:sz w:val="18"/>
                <w:szCs w:val="18"/>
                <w:u w:val="none"/>
                <w:lang w:val="en-US" w:eastAsia="zh-CN" w:bidi="ar"/>
              </w:rPr>
              <w:t>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BCDA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污染物产生指标</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387A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单位面积粉尘产生量</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5F1A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g/m</w:t>
            </w:r>
            <w:r>
              <w:rPr>
                <w:rFonts w:hint="default" w:ascii="Times New Roman" w:hAnsi="Times New Roman" w:eastAsia="宋体" w:cs="Times New Roman"/>
                <w:i w:val="0"/>
                <w:iCs w:val="0"/>
                <w:color w:val="000000"/>
                <w:kern w:val="0"/>
                <w:sz w:val="18"/>
                <w:szCs w:val="18"/>
                <w:u w:val="none"/>
                <w:vertAlign w:val="superscript"/>
                <w:lang w:val="en-US" w:eastAsia="zh-CN" w:bidi="ar"/>
              </w:rPr>
              <w:t>2</w:t>
            </w:r>
          </w:p>
        </w:tc>
        <w:tc>
          <w:tcPr>
            <w:tcW w:w="11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62202">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35</w:t>
            </w:r>
          </w:p>
        </w:tc>
        <w:tc>
          <w:tcPr>
            <w:tcW w:w="1244" w:type="pct"/>
            <w:tcBorders>
              <w:top w:val="single" w:color="000000" w:sz="4" w:space="0"/>
              <w:left w:val="single" w:color="000000" w:sz="4" w:space="0"/>
              <w:bottom w:val="single" w:color="000000" w:sz="4" w:space="0"/>
            </w:tcBorders>
            <w:shd w:val="clear" w:color="auto" w:fill="auto"/>
            <w:noWrap/>
            <w:vAlign w:val="center"/>
          </w:tcPr>
          <w:p w14:paraId="4EA3C4E2">
            <w:pPr>
              <w:spacing w:line="240" w:lineRule="auto"/>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40</w:t>
            </w:r>
          </w:p>
        </w:tc>
      </w:tr>
      <w:tr w14:paraId="7FEA2F2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15" w:hRule="atLeast"/>
          <w:tblHeader/>
        </w:trPr>
        <w:tc>
          <w:tcPr>
            <w:tcW w:w="5000" w:type="pct"/>
            <w:gridSpan w:val="6"/>
            <w:tcBorders>
              <w:top w:val="single" w:color="000000" w:sz="4" w:space="0"/>
            </w:tcBorders>
            <w:shd w:val="clear" w:color="auto" w:fill="auto"/>
            <w:vAlign w:val="center"/>
          </w:tcPr>
          <w:p w14:paraId="6CFF759C">
            <w:pPr>
              <w:keepNext w:val="0"/>
              <w:keepLines w:val="0"/>
              <w:widowControl/>
              <w:suppressLineNumbers w:val="0"/>
              <w:spacing w:line="240" w:lineRule="auto"/>
              <w:ind w:left="178" w:leftChars="85"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注：单位面积的污染物产生量按照实际</w:t>
            </w:r>
            <w:r>
              <w:rPr>
                <w:rFonts w:hint="eastAsia" w:ascii="Times New Roman" w:hAnsi="Times New Roman" w:cs="Times New Roman"/>
                <w:i w:val="0"/>
                <w:iCs w:val="0"/>
                <w:color w:val="000000"/>
                <w:kern w:val="0"/>
                <w:sz w:val="18"/>
                <w:szCs w:val="18"/>
                <w:u w:val="none"/>
                <w:lang w:val="en-US" w:eastAsia="zh-CN" w:bidi="ar"/>
              </w:rPr>
              <w:t>喷粉</w:t>
            </w:r>
            <w:r>
              <w:rPr>
                <w:rFonts w:hint="default" w:ascii="Times New Roman" w:hAnsi="Times New Roman" w:eastAsia="宋体" w:cs="Times New Roman"/>
                <w:i w:val="0"/>
                <w:iCs w:val="0"/>
                <w:color w:val="000000"/>
                <w:kern w:val="0"/>
                <w:sz w:val="18"/>
                <w:szCs w:val="18"/>
                <w:u w:val="none"/>
                <w:lang w:val="en-US" w:eastAsia="zh-CN" w:bidi="ar"/>
              </w:rPr>
              <w:t>面积计算。</w:t>
            </w:r>
          </w:p>
        </w:tc>
      </w:tr>
      <w:bookmarkEnd w:id="28"/>
      <w:bookmarkEnd w:id="29"/>
    </w:tbl>
    <w:p w14:paraId="66881318">
      <w:pPr>
        <w:adjustRightInd w:val="0"/>
        <w:snapToGrid w:val="0"/>
        <w:spacing w:before="158" w:beforeLines="50" w:after="158" w:afterLines="50"/>
        <w:rPr>
          <w:rFonts w:hint="default" w:ascii="Times New Roman" w:hAnsi="Times New Roman" w:eastAsia="黑体" w:cs="Times New Roman"/>
          <w:highlight w:val="none"/>
          <w:lang w:val="en-US" w:eastAsia="zh-CN"/>
        </w:rPr>
      </w:pPr>
      <w:bookmarkStart w:id="30" w:name="_Toc17504"/>
      <w:bookmarkStart w:id="31" w:name="_Toc381480747"/>
      <w:bookmarkStart w:id="32" w:name="_Toc531265198"/>
      <w:bookmarkStart w:id="33" w:name="_Toc1879"/>
      <w:bookmarkStart w:id="34" w:name="_Toc12538_WPSOffice_Level1"/>
      <w:bookmarkStart w:id="35" w:name="_Toc16947_WPSOffice_Level1"/>
      <w:r>
        <w:rPr>
          <w:rFonts w:hint="default" w:ascii="黑体" w:hAnsi="黑体" w:eastAsia="黑体" w:cs="黑体"/>
          <w:bCs/>
          <w:kern w:val="44"/>
          <w:sz w:val="21"/>
          <w:szCs w:val="44"/>
          <w:highlight w:val="none"/>
          <w:lang w:val="en-US" w:eastAsia="zh-CN" w:bidi="ar-SA"/>
        </w:rPr>
        <w:t>4.3</w:t>
      </w:r>
      <w:r>
        <w:rPr>
          <w:rFonts w:hint="default" w:ascii="Times New Roman" w:hAnsi="Times New Roman" w:eastAsia="黑体" w:cs="Times New Roman"/>
          <w:highlight w:val="none"/>
          <w:lang w:val="en-US" w:eastAsia="zh-CN"/>
        </w:rPr>
        <w:t xml:space="preserve"> </w:t>
      </w:r>
      <w:bookmarkEnd w:id="30"/>
      <w:bookmarkEnd w:id="31"/>
      <w:bookmarkEnd w:id="32"/>
      <w:bookmarkEnd w:id="33"/>
      <w:bookmarkEnd w:id="34"/>
      <w:bookmarkEnd w:id="35"/>
      <w:r>
        <w:rPr>
          <w:rFonts w:hint="default" w:ascii="Times New Roman" w:hAnsi="Times New Roman" w:eastAsia="黑体" w:cs="Times New Roman"/>
          <w:highlight w:val="none"/>
          <w:lang w:val="en-US" w:eastAsia="zh-CN"/>
        </w:rPr>
        <w:t xml:space="preserve"> 排放控制要求</w:t>
      </w:r>
    </w:p>
    <w:p w14:paraId="4E50BF90">
      <w:pPr>
        <w:adjustRightInd w:val="0"/>
        <w:snapToGrid w:val="0"/>
        <w:spacing w:before="158" w:beforeLines="50" w:after="158" w:afterLines="50"/>
        <w:rPr>
          <w:rFonts w:hint="default" w:ascii="Times New Roman" w:hAnsi="Times New Roman" w:eastAsia="黑体" w:cs="Times New Roman"/>
          <w:highlight w:val="none"/>
          <w:lang w:val="en-US" w:eastAsia="zh-CN"/>
        </w:rPr>
      </w:pPr>
      <w:bookmarkStart w:id="36" w:name="_Toc3986_WPSOffice_Level2"/>
      <w:bookmarkStart w:id="37" w:name="_Toc788"/>
      <w:bookmarkStart w:id="38" w:name="_Toc24444_WPSOffice_Level2"/>
      <w:r>
        <w:rPr>
          <w:rFonts w:hint="default" w:ascii="黑体" w:hAnsi="黑体" w:eastAsia="黑体" w:cs="黑体"/>
          <w:bCs/>
          <w:kern w:val="44"/>
          <w:sz w:val="21"/>
          <w:szCs w:val="44"/>
          <w:highlight w:val="none"/>
          <w:lang w:val="en-US" w:eastAsia="zh-CN" w:bidi="ar-SA"/>
        </w:rPr>
        <w:t>4.3.1</w:t>
      </w:r>
      <w:r>
        <w:rPr>
          <w:rFonts w:hint="default" w:ascii="Times New Roman" w:hAnsi="Times New Roman" w:eastAsia="黑体" w:cs="Times New Roman"/>
          <w:highlight w:val="none"/>
          <w:lang w:val="en-US" w:eastAsia="zh-CN"/>
        </w:rPr>
        <w:t xml:space="preserve">  水污染物排放控制要求</w:t>
      </w:r>
    </w:p>
    <w:p w14:paraId="79EDC77C">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Cs w:val="21"/>
          <w:highlight w:val="none"/>
          <w:lang w:val="en-US" w:eastAsia="zh-CN"/>
        </w:rPr>
      </w:pPr>
      <w:r>
        <w:rPr>
          <w:rFonts w:hint="default" w:ascii="黑体" w:hAnsi="黑体" w:eastAsia="黑体" w:cs="黑体"/>
          <w:bCs/>
          <w:kern w:val="44"/>
          <w:sz w:val="21"/>
          <w:szCs w:val="44"/>
          <w:highlight w:val="none"/>
          <w:lang w:val="en-US" w:eastAsia="zh-CN" w:bidi="ar-SA"/>
        </w:rPr>
        <w:t>4.3.1.1</w:t>
      </w:r>
      <w:r>
        <w:rPr>
          <w:rFonts w:hint="default" w:ascii="Times New Roman" w:hAnsi="Times New Roman" w:eastAsia="黑体" w:cs="Times New Roman"/>
          <w:szCs w:val="21"/>
          <w:highlight w:val="none"/>
          <w:lang w:val="en-US" w:eastAsia="zh-CN"/>
        </w:rPr>
        <w:t xml:space="preserve">  </w:t>
      </w:r>
      <w:r>
        <w:rPr>
          <w:rFonts w:hint="eastAsia" w:ascii="Times New Roman" w:hAnsi="Times New Roman" w:cs="Times New Roman"/>
          <w:szCs w:val="21"/>
          <w:highlight w:val="none"/>
          <w:lang w:val="en-US" w:eastAsia="zh-CN"/>
        </w:rPr>
        <w:t>水污染排放浓度限值及单位产品基准排水量见表6。</w:t>
      </w:r>
    </w:p>
    <w:p w14:paraId="4B192D73">
      <w:pPr>
        <w:keepNext w:val="0"/>
        <w:keepLines w:val="0"/>
        <w:pageBreakBefore w:val="0"/>
        <w:widowControl w:val="0"/>
        <w:kinsoku/>
        <w:wordWrap/>
        <w:overflowPunct/>
        <w:topLinePunct w:val="0"/>
        <w:autoSpaceDE/>
        <w:autoSpaceDN/>
        <w:bidi w:val="0"/>
        <w:adjustRightInd w:val="0"/>
        <w:snapToGrid w:val="0"/>
        <w:spacing w:before="158" w:beforeLines="50"/>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黑体" w:cs="Times New Roman"/>
          <w:highlight w:val="none"/>
          <w:lang w:val="en-US" w:eastAsia="zh-CN"/>
        </w:rPr>
        <w:t>表</w:t>
      </w:r>
      <w:r>
        <w:rPr>
          <w:rFonts w:hint="eastAsia" w:ascii="Times New Roman" w:hAnsi="Times New Roman" w:eastAsia="黑体" w:cs="Times New Roman"/>
          <w:highlight w:val="none"/>
          <w:lang w:val="en-US" w:eastAsia="zh-CN"/>
        </w:rPr>
        <w:t>6</w:t>
      </w:r>
      <w:r>
        <w:rPr>
          <w:rFonts w:hint="default" w:ascii="Times New Roman" w:hAnsi="Times New Roman" w:eastAsia="黑体" w:cs="Times New Roman"/>
          <w:highlight w:val="none"/>
          <w:lang w:val="en-US" w:eastAsia="zh-CN"/>
        </w:rPr>
        <w:t xml:space="preserve">  水污染物排放</w:t>
      </w:r>
      <w:r>
        <w:rPr>
          <w:rFonts w:hint="eastAsia" w:ascii="Times New Roman" w:hAnsi="Times New Roman" w:eastAsia="黑体" w:cs="Times New Roman"/>
          <w:highlight w:val="none"/>
          <w:lang w:val="en-US" w:eastAsia="zh-CN"/>
        </w:rPr>
        <w:t>浓度</w:t>
      </w:r>
      <w:r>
        <w:rPr>
          <w:rFonts w:hint="default" w:ascii="Times New Roman" w:hAnsi="Times New Roman" w:eastAsia="黑体" w:cs="Times New Roman"/>
          <w:highlight w:val="none"/>
          <w:lang w:val="en-US" w:eastAsia="zh-CN"/>
        </w:rPr>
        <w:t xml:space="preserve">限值及单位产品基准排水量  </w:t>
      </w:r>
      <w:r>
        <w:rPr>
          <w:rFonts w:hint="default" w:ascii="Times New Roman" w:hAnsi="Times New Roman" w:cs="Times New Roman" w:eastAsiaTheme="majorEastAsia"/>
          <w:highlight w:val="none"/>
          <w:lang w:val="en-US" w:eastAsia="zh-CN"/>
        </w:rPr>
        <w:t>单位：mg/L（pH值除外）</w:t>
      </w:r>
    </w:p>
    <w:tbl>
      <w:tblPr>
        <w:tblStyle w:val="16"/>
        <w:tblW w:w="4994"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31"/>
        <w:gridCol w:w="1444"/>
        <w:gridCol w:w="1004"/>
        <w:gridCol w:w="1646"/>
        <w:gridCol w:w="1650"/>
        <w:gridCol w:w="1658"/>
        <w:gridCol w:w="1627"/>
      </w:tblGrid>
      <w:tr w14:paraId="5F86FE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tblHeader/>
        </w:trPr>
        <w:tc>
          <w:tcPr>
            <w:tcW w:w="278" w:type="pct"/>
            <w:vMerge w:val="restart"/>
            <w:vAlign w:val="center"/>
          </w:tcPr>
          <w:p w14:paraId="41DA65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序号</w:t>
            </w:r>
          </w:p>
        </w:tc>
        <w:tc>
          <w:tcPr>
            <w:tcW w:w="1280" w:type="pct"/>
            <w:gridSpan w:val="2"/>
            <w:vMerge w:val="restart"/>
            <w:vAlign w:val="center"/>
          </w:tcPr>
          <w:p w14:paraId="2CAD6D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污染物项目</w:t>
            </w:r>
          </w:p>
        </w:tc>
        <w:tc>
          <w:tcPr>
            <w:tcW w:w="2591" w:type="pct"/>
            <w:gridSpan w:val="3"/>
            <w:tcBorders>
              <w:bottom w:val="single" w:color="auto" w:sz="12" w:space="0"/>
            </w:tcBorders>
            <w:vAlign w:val="center"/>
          </w:tcPr>
          <w:p w14:paraId="70E675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排放限值</w:t>
            </w:r>
          </w:p>
        </w:tc>
        <w:tc>
          <w:tcPr>
            <w:tcW w:w="849" w:type="pct"/>
            <w:vMerge w:val="restart"/>
            <w:vAlign w:val="center"/>
          </w:tcPr>
          <w:p w14:paraId="247690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污染物排放</w:t>
            </w:r>
          </w:p>
          <w:p w14:paraId="4DDEA4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监控位置</w:t>
            </w:r>
          </w:p>
        </w:tc>
      </w:tr>
      <w:tr w14:paraId="1763A6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8" w:hRule="atLeast"/>
          <w:tblHeader/>
        </w:trPr>
        <w:tc>
          <w:tcPr>
            <w:tcW w:w="278" w:type="pct"/>
            <w:vMerge w:val="continue"/>
            <w:vAlign w:val="center"/>
          </w:tcPr>
          <w:p w14:paraId="679DDD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1280" w:type="pct"/>
            <w:gridSpan w:val="2"/>
            <w:vMerge w:val="continue"/>
            <w:vAlign w:val="center"/>
          </w:tcPr>
          <w:p w14:paraId="42790E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861" w:type="pct"/>
            <w:vMerge w:val="restart"/>
            <w:vAlign w:val="center"/>
          </w:tcPr>
          <w:p w14:paraId="4F06CC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直接排放</w:t>
            </w:r>
          </w:p>
        </w:tc>
        <w:tc>
          <w:tcPr>
            <w:tcW w:w="1729" w:type="pct"/>
            <w:gridSpan w:val="2"/>
            <w:tcBorders>
              <w:bottom w:val="single" w:color="auto" w:sz="12" w:space="0"/>
            </w:tcBorders>
            <w:vAlign w:val="center"/>
          </w:tcPr>
          <w:p w14:paraId="3E3C1E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间接排放</w:t>
            </w:r>
          </w:p>
        </w:tc>
        <w:tc>
          <w:tcPr>
            <w:tcW w:w="849" w:type="pct"/>
            <w:vMerge w:val="continue"/>
            <w:vAlign w:val="center"/>
          </w:tcPr>
          <w:p w14:paraId="2F1404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r>
      <w:tr w14:paraId="313CF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278" w:type="pct"/>
            <w:vMerge w:val="continue"/>
            <w:tcBorders>
              <w:bottom w:val="single" w:color="auto" w:sz="12" w:space="0"/>
            </w:tcBorders>
            <w:vAlign w:val="center"/>
          </w:tcPr>
          <w:p w14:paraId="1D3D1B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p>
        </w:tc>
        <w:tc>
          <w:tcPr>
            <w:tcW w:w="1280" w:type="pct"/>
            <w:gridSpan w:val="2"/>
            <w:vMerge w:val="continue"/>
            <w:tcBorders>
              <w:bottom w:val="single" w:color="auto" w:sz="12" w:space="0"/>
            </w:tcBorders>
            <w:vAlign w:val="center"/>
          </w:tcPr>
          <w:p w14:paraId="5D5A2B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p>
        </w:tc>
        <w:tc>
          <w:tcPr>
            <w:tcW w:w="861" w:type="pct"/>
            <w:vMerge w:val="continue"/>
            <w:tcBorders>
              <w:bottom w:val="single" w:color="auto" w:sz="12" w:space="0"/>
            </w:tcBorders>
            <w:vAlign w:val="center"/>
          </w:tcPr>
          <w:p w14:paraId="726E54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p>
        </w:tc>
        <w:tc>
          <w:tcPr>
            <w:tcW w:w="863" w:type="pct"/>
            <w:tcBorders>
              <w:bottom w:val="single" w:color="auto" w:sz="12" w:space="0"/>
            </w:tcBorders>
            <w:vAlign w:val="center"/>
          </w:tcPr>
          <w:p w14:paraId="7BA108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A级</w:t>
            </w:r>
          </w:p>
        </w:tc>
        <w:tc>
          <w:tcPr>
            <w:tcW w:w="866" w:type="pct"/>
            <w:tcBorders>
              <w:bottom w:val="single" w:color="auto" w:sz="12" w:space="0"/>
            </w:tcBorders>
            <w:vAlign w:val="center"/>
          </w:tcPr>
          <w:p w14:paraId="0B925D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B级</w:t>
            </w:r>
          </w:p>
        </w:tc>
        <w:tc>
          <w:tcPr>
            <w:tcW w:w="849" w:type="pct"/>
            <w:vMerge w:val="continue"/>
            <w:tcBorders>
              <w:bottom w:val="single" w:color="auto" w:sz="12" w:space="0"/>
            </w:tcBorders>
            <w:vAlign w:val="center"/>
          </w:tcPr>
          <w:p w14:paraId="53AD3F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p>
        </w:tc>
      </w:tr>
      <w:tr w14:paraId="53EDAE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tcBorders>
              <w:top w:val="single" w:color="auto" w:sz="12" w:space="0"/>
            </w:tcBorders>
            <w:vAlign w:val="center"/>
          </w:tcPr>
          <w:p w14:paraId="6FD68F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1</w:t>
            </w:r>
          </w:p>
        </w:tc>
        <w:tc>
          <w:tcPr>
            <w:tcW w:w="1280" w:type="pct"/>
            <w:gridSpan w:val="2"/>
            <w:tcBorders>
              <w:top w:val="single" w:color="auto" w:sz="12" w:space="0"/>
            </w:tcBorders>
            <w:vAlign w:val="center"/>
          </w:tcPr>
          <w:p w14:paraId="3A1015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总铬</w:t>
            </w:r>
          </w:p>
        </w:tc>
        <w:tc>
          <w:tcPr>
            <w:tcW w:w="861" w:type="pct"/>
            <w:tcBorders>
              <w:top w:val="single" w:color="auto" w:sz="12" w:space="0"/>
            </w:tcBorders>
            <w:vAlign w:val="center"/>
          </w:tcPr>
          <w:p w14:paraId="025AA2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0.5</w:t>
            </w:r>
          </w:p>
        </w:tc>
        <w:tc>
          <w:tcPr>
            <w:tcW w:w="863" w:type="pct"/>
            <w:tcBorders>
              <w:top w:val="single" w:color="auto" w:sz="12" w:space="0"/>
            </w:tcBorders>
            <w:shd w:val="clear" w:color="auto" w:fill="auto"/>
            <w:vAlign w:val="center"/>
          </w:tcPr>
          <w:p w14:paraId="3A5599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0.5</w:t>
            </w:r>
          </w:p>
        </w:tc>
        <w:tc>
          <w:tcPr>
            <w:tcW w:w="866" w:type="pct"/>
            <w:tcBorders>
              <w:top w:val="single" w:color="auto" w:sz="12" w:space="0"/>
            </w:tcBorders>
            <w:shd w:val="clear" w:color="auto" w:fill="auto"/>
            <w:vAlign w:val="center"/>
          </w:tcPr>
          <w:p w14:paraId="28C69D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1.0</w:t>
            </w:r>
          </w:p>
        </w:tc>
        <w:tc>
          <w:tcPr>
            <w:tcW w:w="849" w:type="pct"/>
            <w:vMerge w:val="restart"/>
            <w:tcBorders>
              <w:top w:val="single" w:color="auto" w:sz="12" w:space="0"/>
            </w:tcBorders>
            <w:vAlign w:val="center"/>
          </w:tcPr>
          <w:p w14:paraId="7560AB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车间或生产设施废水排放口</w:t>
            </w:r>
          </w:p>
        </w:tc>
      </w:tr>
      <w:tr w14:paraId="74B1E6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Align w:val="center"/>
          </w:tcPr>
          <w:p w14:paraId="47DD28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2</w:t>
            </w:r>
          </w:p>
        </w:tc>
        <w:tc>
          <w:tcPr>
            <w:tcW w:w="1280" w:type="pct"/>
            <w:gridSpan w:val="2"/>
            <w:shd w:val="clear" w:color="auto" w:fill="auto"/>
            <w:vAlign w:val="center"/>
          </w:tcPr>
          <w:p w14:paraId="6B49E3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总镍</w:t>
            </w:r>
          </w:p>
        </w:tc>
        <w:tc>
          <w:tcPr>
            <w:tcW w:w="861" w:type="pct"/>
            <w:shd w:val="clear" w:color="auto" w:fill="auto"/>
            <w:vAlign w:val="center"/>
          </w:tcPr>
          <w:p w14:paraId="1CF6AB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0.1</w:t>
            </w:r>
          </w:p>
        </w:tc>
        <w:tc>
          <w:tcPr>
            <w:tcW w:w="863" w:type="pct"/>
            <w:shd w:val="clear" w:color="auto" w:fill="auto"/>
            <w:vAlign w:val="center"/>
          </w:tcPr>
          <w:p w14:paraId="78043B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0.3</w:t>
            </w:r>
          </w:p>
        </w:tc>
        <w:tc>
          <w:tcPr>
            <w:tcW w:w="866" w:type="pct"/>
            <w:shd w:val="clear" w:color="auto" w:fill="auto"/>
            <w:vAlign w:val="center"/>
          </w:tcPr>
          <w:p w14:paraId="22B1BC3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0.5</w:t>
            </w:r>
          </w:p>
        </w:tc>
        <w:tc>
          <w:tcPr>
            <w:tcW w:w="849" w:type="pct"/>
            <w:vMerge w:val="continue"/>
            <w:vAlign w:val="center"/>
          </w:tcPr>
          <w:p w14:paraId="3AEAF4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rPr>
            </w:pPr>
          </w:p>
        </w:tc>
      </w:tr>
      <w:tr w14:paraId="7758F2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shd w:val="clear" w:color="auto" w:fill="auto"/>
            <w:vAlign w:val="center"/>
          </w:tcPr>
          <w:p w14:paraId="3A6A92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3</w:t>
            </w:r>
          </w:p>
        </w:tc>
        <w:tc>
          <w:tcPr>
            <w:tcW w:w="1280" w:type="pct"/>
            <w:gridSpan w:val="2"/>
            <w:shd w:val="clear" w:color="auto" w:fill="auto"/>
            <w:vAlign w:val="center"/>
          </w:tcPr>
          <w:p w14:paraId="7DECE4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总镉</w:t>
            </w:r>
          </w:p>
        </w:tc>
        <w:tc>
          <w:tcPr>
            <w:tcW w:w="861" w:type="pct"/>
            <w:shd w:val="clear" w:color="auto" w:fill="auto"/>
            <w:vAlign w:val="center"/>
          </w:tcPr>
          <w:p w14:paraId="295939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w:t>
            </w:r>
          </w:p>
        </w:tc>
        <w:tc>
          <w:tcPr>
            <w:tcW w:w="863" w:type="pct"/>
            <w:shd w:val="clear" w:color="auto" w:fill="auto"/>
            <w:vAlign w:val="center"/>
          </w:tcPr>
          <w:p w14:paraId="66F1AB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w:t>
            </w:r>
          </w:p>
        </w:tc>
        <w:tc>
          <w:tcPr>
            <w:tcW w:w="866" w:type="pct"/>
            <w:shd w:val="clear" w:color="auto" w:fill="auto"/>
            <w:vAlign w:val="center"/>
          </w:tcPr>
          <w:p w14:paraId="73F5D9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0.05</w:t>
            </w:r>
          </w:p>
        </w:tc>
        <w:tc>
          <w:tcPr>
            <w:tcW w:w="849" w:type="pct"/>
            <w:vMerge w:val="continue"/>
            <w:vAlign w:val="center"/>
          </w:tcPr>
          <w:p w14:paraId="7565FE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rPr>
            </w:pPr>
          </w:p>
        </w:tc>
      </w:tr>
      <w:tr w14:paraId="6AF9A0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Align w:val="center"/>
          </w:tcPr>
          <w:p w14:paraId="4E98C7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4</w:t>
            </w:r>
          </w:p>
        </w:tc>
        <w:tc>
          <w:tcPr>
            <w:tcW w:w="1280" w:type="pct"/>
            <w:gridSpan w:val="2"/>
            <w:shd w:val="clear" w:color="auto" w:fill="auto"/>
            <w:vAlign w:val="center"/>
          </w:tcPr>
          <w:p w14:paraId="795A53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总铅</w:t>
            </w:r>
          </w:p>
        </w:tc>
        <w:tc>
          <w:tcPr>
            <w:tcW w:w="861" w:type="pct"/>
            <w:shd w:val="clear" w:color="auto" w:fill="auto"/>
            <w:vAlign w:val="center"/>
          </w:tcPr>
          <w:p w14:paraId="73C854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w:t>
            </w:r>
          </w:p>
        </w:tc>
        <w:tc>
          <w:tcPr>
            <w:tcW w:w="863" w:type="pct"/>
            <w:shd w:val="clear" w:color="auto" w:fill="auto"/>
            <w:vAlign w:val="center"/>
          </w:tcPr>
          <w:p w14:paraId="345623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w:t>
            </w:r>
          </w:p>
        </w:tc>
        <w:tc>
          <w:tcPr>
            <w:tcW w:w="866" w:type="pct"/>
            <w:shd w:val="clear" w:color="auto" w:fill="auto"/>
            <w:vAlign w:val="center"/>
          </w:tcPr>
          <w:p w14:paraId="5EDE6F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0.2</w:t>
            </w:r>
          </w:p>
        </w:tc>
        <w:tc>
          <w:tcPr>
            <w:tcW w:w="849" w:type="pct"/>
            <w:vMerge w:val="continue"/>
            <w:vAlign w:val="center"/>
          </w:tcPr>
          <w:p w14:paraId="2C7AA8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rPr>
            </w:pPr>
          </w:p>
        </w:tc>
      </w:tr>
      <w:tr w14:paraId="07D2F3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Align w:val="center"/>
          </w:tcPr>
          <w:p w14:paraId="52AC58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5</w:t>
            </w:r>
          </w:p>
        </w:tc>
        <w:tc>
          <w:tcPr>
            <w:tcW w:w="1280" w:type="pct"/>
            <w:gridSpan w:val="2"/>
            <w:shd w:val="clear" w:color="auto" w:fill="auto"/>
            <w:vAlign w:val="center"/>
          </w:tcPr>
          <w:p w14:paraId="08AF06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总汞</w:t>
            </w:r>
          </w:p>
        </w:tc>
        <w:tc>
          <w:tcPr>
            <w:tcW w:w="861" w:type="pct"/>
            <w:shd w:val="clear" w:color="auto" w:fill="auto"/>
            <w:vAlign w:val="center"/>
          </w:tcPr>
          <w:p w14:paraId="452C1D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w:t>
            </w:r>
          </w:p>
        </w:tc>
        <w:tc>
          <w:tcPr>
            <w:tcW w:w="863" w:type="pct"/>
            <w:shd w:val="clear" w:color="auto" w:fill="auto"/>
            <w:vAlign w:val="center"/>
          </w:tcPr>
          <w:p w14:paraId="20EDA5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w:t>
            </w:r>
          </w:p>
        </w:tc>
        <w:tc>
          <w:tcPr>
            <w:tcW w:w="866" w:type="pct"/>
            <w:shd w:val="clear" w:color="auto" w:fill="auto"/>
            <w:vAlign w:val="center"/>
          </w:tcPr>
          <w:p w14:paraId="71FACD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eastAsia" w:ascii="Times New Roman" w:hAnsi="Times New Roman" w:cs="Times New Roman"/>
                <w:kern w:val="2"/>
                <w:sz w:val="18"/>
                <w:szCs w:val="18"/>
                <w:highlight w:val="none"/>
                <w:vertAlign w:val="baseline"/>
                <w:lang w:val="en-US" w:eastAsia="zh-CN" w:bidi="ar-SA"/>
              </w:rPr>
              <w:t>0.005</w:t>
            </w:r>
          </w:p>
        </w:tc>
        <w:tc>
          <w:tcPr>
            <w:tcW w:w="849" w:type="pct"/>
            <w:vMerge w:val="continue"/>
            <w:vAlign w:val="center"/>
          </w:tcPr>
          <w:p w14:paraId="4A27D4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rPr>
            </w:pPr>
          </w:p>
        </w:tc>
      </w:tr>
      <w:tr w14:paraId="39F92E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trPr>
        <w:tc>
          <w:tcPr>
            <w:tcW w:w="278" w:type="pct"/>
            <w:vAlign w:val="center"/>
          </w:tcPr>
          <w:p w14:paraId="036B27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6</w:t>
            </w:r>
          </w:p>
        </w:tc>
        <w:tc>
          <w:tcPr>
            <w:tcW w:w="1280" w:type="pct"/>
            <w:gridSpan w:val="2"/>
            <w:shd w:val="clear" w:color="auto" w:fill="auto"/>
            <w:vAlign w:val="center"/>
          </w:tcPr>
          <w:p w14:paraId="286173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总银</w:t>
            </w:r>
          </w:p>
        </w:tc>
        <w:tc>
          <w:tcPr>
            <w:tcW w:w="861" w:type="pct"/>
            <w:shd w:val="clear" w:color="auto" w:fill="auto"/>
            <w:vAlign w:val="center"/>
          </w:tcPr>
          <w:p w14:paraId="611C0B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w:t>
            </w:r>
          </w:p>
        </w:tc>
        <w:tc>
          <w:tcPr>
            <w:tcW w:w="863" w:type="pct"/>
            <w:shd w:val="clear" w:color="auto" w:fill="auto"/>
            <w:vAlign w:val="center"/>
          </w:tcPr>
          <w:p w14:paraId="66F062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w:t>
            </w:r>
          </w:p>
        </w:tc>
        <w:tc>
          <w:tcPr>
            <w:tcW w:w="866" w:type="pct"/>
            <w:shd w:val="clear" w:color="auto" w:fill="auto"/>
            <w:vAlign w:val="center"/>
          </w:tcPr>
          <w:p w14:paraId="0A7A64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0.3</w:t>
            </w:r>
          </w:p>
        </w:tc>
        <w:tc>
          <w:tcPr>
            <w:tcW w:w="849" w:type="pct"/>
            <w:vMerge w:val="continue"/>
            <w:vAlign w:val="center"/>
          </w:tcPr>
          <w:p w14:paraId="112C26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rPr>
            </w:pPr>
          </w:p>
        </w:tc>
      </w:tr>
      <w:tr w14:paraId="55C102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Align w:val="center"/>
          </w:tcPr>
          <w:p w14:paraId="39CEF5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7</w:t>
            </w:r>
          </w:p>
        </w:tc>
        <w:tc>
          <w:tcPr>
            <w:tcW w:w="1280" w:type="pct"/>
            <w:gridSpan w:val="2"/>
            <w:vAlign w:val="center"/>
          </w:tcPr>
          <w:p w14:paraId="7C4877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总铜</w:t>
            </w:r>
          </w:p>
        </w:tc>
        <w:tc>
          <w:tcPr>
            <w:tcW w:w="861" w:type="pct"/>
            <w:vAlign w:val="center"/>
          </w:tcPr>
          <w:p w14:paraId="294A34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0.3</w:t>
            </w:r>
          </w:p>
        </w:tc>
        <w:tc>
          <w:tcPr>
            <w:tcW w:w="863" w:type="pct"/>
            <w:shd w:val="clear" w:color="auto" w:fill="auto"/>
            <w:vAlign w:val="center"/>
          </w:tcPr>
          <w:p w14:paraId="44A217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0.5</w:t>
            </w:r>
          </w:p>
        </w:tc>
        <w:tc>
          <w:tcPr>
            <w:tcW w:w="866" w:type="pct"/>
            <w:shd w:val="clear" w:color="auto" w:fill="auto"/>
            <w:vAlign w:val="center"/>
          </w:tcPr>
          <w:p w14:paraId="7D2FD2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0.5</w:t>
            </w:r>
          </w:p>
        </w:tc>
        <w:tc>
          <w:tcPr>
            <w:tcW w:w="849" w:type="pct"/>
            <w:vMerge w:val="restart"/>
            <w:vAlign w:val="center"/>
          </w:tcPr>
          <w:p w14:paraId="3E1270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企业废水</w:t>
            </w:r>
          </w:p>
          <w:p w14:paraId="4FCECB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总排放口</w:t>
            </w:r>
          </w:p>
        </w:tc>
      </w:tr>
      <w:tr w14:paraId="2E85A5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Align w:val="center"/>
          </w:tcPr>
          <w:p w14:paraId="3376EF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8</w:t>
            </w:r>
          </w:p>
        </w:tc>
        <w:tc>
          <w:tcPr>
            <w:tcW w:w="1280" w:type="pct"/>
            <w:gridSpan w:val="2"/>
            <w:vAlign w:val="center"/>
          </w:tcPr>
          <w:p w14:paraId="04596D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总锌</w:t>
            </w:r>
          </w:p>
        </w:tc>
        <w:tc>
          <w:tcPr>
            <w:tcW w:w="861" w:type="pct"/>
            <w:vAlign w:val="center"/>
          </w:tcPr>
          <w:p w14:paraId="4F6A30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1.0</w:t>
            </w:r>
          </w:p>
        </w:tc>
        <w:tc>
          <w:tcPr>
            <w:tcW w:w="863" w:type="pct"/>
            <w:shd w:val="clear" w:color="auto" w:fill="auto"/>
            <w:vAlign w:val="center"/>
          </w:tcPr>
          <w:p w14:paraId="2B43F01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1.5</w:t>
            </w:r>
          </w:p>
        </w:tc>
        <w:tc>
          <w:tcPr>
            <w:tcW w:w="866" w:type="pct"/>
            <w:shd w:val="clear" w:color="auto" w:fill="auto"/>
            <w:vAlign w:val="center"/>
          </w:tcPr>
          <w:p w14:paraId="3F4577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1.5</w:t>
            </w:r>
          </w:p>
        </w:tc>
        <w:tc>
          <w:tcPr>
            <w:tcW w:w="849" w:type="pct"/>
            <w:vMerge w:val="continue"/>
            <w:vAlign w:val="center"/>
          </w:tcPr>
          <w:p w14:paraId="0E09A4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rPr>
            </w:pPr>
          </w:p>
        </w:tc>
      </w:tr>
      <w:tr w14:paraId="1483B1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Align w:val="center"/>
          </w:tcPr>
          <w:p w14:paraId="59AD2F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9</w:t>
            </w:r>
          </w:p>
        </w:tc>
        <w:tc>
          <w:tcPr>
            <w:tcW w:w="1280" w:type="pct"/>
            <w:gridSpan w:val="2"/>
            <w:vAlign w:val="center"/>
          </w:tcPr>
          <w:p w14:paraId="681808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总铁</w:t>
            </w:r>
          </w:p>
        </w:tc>
        <w:tc>
          <w:tcPr>
            <w:tcW w:w="861" w:type="pct"/>
            <w:vAlign w:val="center"/>
          </w:tcPr>
          <w:p w14:paraId="6E4ABC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2.0</w:t>
            </w:r>
          </w:p>
        </w:tc>
        <w:tc>
          <w:tcPr>
            <w:tcW w:w="863" w:type="pct"/>
            <w:shd w:val="clear" w:color="auto" w:fill="auto"/>
            <w:vAlign w:val="center"/>
          </w:tcPr>
          <w:p w14:paraId="3E4A13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3.0</w:t>
            </w:r>
          </w:p>
        </w:tc>
        <w:tc>
          <w:tcPr>
            <w:tcW w:w="866" w:type="pct"/>
            <w:shd w:val="clear" w:color="auto" w:fill="auto"/>
            <w:vAlign w:val="center"/>
          </w:tcPr>
          <w:p w14:paraId="54D76F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3.0</w:t>
            </w:r>
          </w:p>
        </w:tc>
        <w:tc>
          <w:tcPr>
            <w:tcW w:w="849" w:type="pct"/>
            <w:vMerge w:val="continue"/>
            <w:vAlign w:val="center"/>
          </w:tcPr>
          <w:p w14:paraId="2BE688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rPr>
            </w:pPr>
          </w:p>
        </w:tc>
      </w:tr>
      <w:tr w14:paraId="2CC3A7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Align w:val="center"/>
          </w:tcPr>
          <w:p w14:paraId="1A15AA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10</w:t>
            </w:r>
          </w:p>
        </w:tc>
        <w:tc>
          <w:tcPr>
            <w:tcW w:w="1280" w:type="pct"/>
            <w:gridSpan w:val="2"/>
            <w:vAlign w:val="center"/>
          </w:tcPr>
          <w:p w14:paraId="3DCCD4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总铝</w:t>
            </w:r>
          </w:p>
        </w:tc>
        <w:tc>
          <w:tcPr>
            <w:tcW w:w="861" w:type="pct"/>
            <w:vAlign w:val="center"/>
          </w:tcPr>
          <w:p w14:paraId="6A9A49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2.0</w:t>
            </w:r>
          </w:p>
        </w:tc>
        <w:tc>
          <w:tcPr>
            <w:tcW w:w="863" w:type="pct"/>
            <w:shd w:val="clear" w:color="auto" w:fill="auto"/>
            <w:vAlign w:val="center"/>
          </w:tcPr>
          <w:p w14:paraId="690A17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3.0</w:t>
            </w:r>
          </w:p>
        </w:tc>
        <w:tc>
          <w:tcPr>
            <w:tcW w:w="866" w:type="pct"/>
            <w:shd w:val="clear" w:color="auto" w:fill="auto"/>
            <w:vAlign w:val="center"/>
          </w:tcPr>
          <w:p w14:paraId="53B7EC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3.0</w:t>
            </w:r>
          </w:p>
        </w:tc>
        <w:tc>
          <w:tcPr>
            <w:tcW w:w="849" w:type="pct"/>
            <w:vMerge w:val="continue"/>
            <w:vAlign w:val="center"/>
          </w:tcPr>
          <w:p w14:paraId="23E392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rPr>
            </w:pPr>
          </w:p>
        </w:tc>
      </w:tr>
      <w:tr w14:paraId="5A8EE0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Align w:val="center"/>
          </w:tcPr>
          <w:p w14:paraId="796CC03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11</w:t>
            </w:r>
          </w:p>
        </w:tc>
        <w:tc>
          <w:tcPr>
            <w:tcW w:w="1280" w:type="pct"/>
            <w:gridSpan w:val="2"/>
            <w:vAlign w:val="center"/>
          </w:tcPr>
          <w:p w14:paraId="598849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pH值</w:t>
            </w:r>
          </w:p>
        </w:tc>
        <w:tc>
          <w:tcPr>
            <w:tcW w:w="861" w:type="pct"/>
            <w:vAlign w:val="center"/>
          </w:tcPr>
          <w:p w14:paraId="4FEC1A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6~9</w:t>
            </w:r>
          </w:p>
        </w:tc>
        <w:tc>
          <w:tcPr>
            <w:tcW w:w="863" w:type="pct"/>
            <w:shd w:val="clear" w:color="auto" w:fill="auto"/>
            <w:vAlign w:val="center"/>
          </w:tcPr>
          <w:p w14:paraId="0DD980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6~9</w:t>
            </w:r>
          </w:p>
        </w:tc>
        <w:tc>
          <w:tcPr>
            <w:tcW w:w="866" w:type="pct"/>
            <w:shd w:val="clear" w:color="auto" w:fill="auto"/>
            <w:vAlign w:val="center"/>
          </w:tcPr>
          <w:p w14:paraId="50718C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6~9</w:t>
            </w:r>
          </w:p>
        </w:tc>
        <w:tc>
          <w:tcPr>
            <w:tcW w:w="849" w:type="pct"/>
            <w:vMerge w:val="continue"/>
            <w:vAlign w:val="center"/>
          </w:tcPr>
          <w:p w14:paraId="260954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rPr>
            </w:pPr>
          </w:p>
        </w:tc>
      </w:tr>
      <w:tr w14:paraId="0BDD38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Align w:val="center"/>
          </w:tcPr>
          <w:p w14:paraId="59E4E1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12</w:t>
            </w:r>
          </w:p>
        </w:tc>
        <w:tc>
          <w:tcPr>
            <w:tcW w:w="1280" w:type="pct"/>
            <w:gridSpan w:val="2"/>
            <w:vAlign w:val="center"/>
          </w:tcPr>
          <w:p w14:paraId="7EF352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悬浮物</w:t>
            </w:r>
          </w:p>
        </w:tc>
        <w:tc>
          <w:tcPr>
            <w:tcW w:w="861" w:type="pct"/>
            <w:vAlign w:val="center"/>
          </w:tcPr>
          <w:p w14:paraId="3E591A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30</w:t>
            </w:r>
          </w:p>
        </w:tc>
        <w:tc>
          <w:tcPr>
            <w:tcW w:w="863" w:type="pct"/>
            <w:shd w:val="clear" w:color="auto" w:fill="auto"/>
            <w:vAlign w:val="center"/>
          </w:tcPr>
          <w:p w14:paraId="3E20A3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50</w:t>
            </w:r>
          </w:p>
        </w:tc>
        <w:tc>
          <w:tcPr>
            <w:tcW w:w="866" w:type="pct"/>
            <w:vAlign w:val="center"/>
          </w:tcPr>
          <w:p w14:paraId="396BEC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200</w:t>
            </w:r>
          </w:p>
        </w:tc>
        <w:tc>
          <w:tcPr>
            <w:tcW w:w="849" w:type="pct"/>
            <w:vMerge w:val="continue"/>
            <w:vAlign w:val="center"/>
          </w:tcPr>
          <w:p w14:paraId="25637B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rPr>
            </w:pPr>
          </w:p>
        </w:tc>
      </w:tr>
      <w:tr w14:paraId="1A4484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Align w:val="center"/>
          </w:tcPr>
          <w:p w14:paraId="3CA8B4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13</w:t>
            </w:r>
          </w:p>
        </w:tc>
        <w:tc>
          <w:tcPr>
            <w:tcW w:w="1280" w:type="pct"/>
            <w:gridSpan w:val="2"/>
            <w:vAlign w:val="center"/>
          </w:tcPr>
          <w:p w14:paraId="72AB06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化学需氧量（COD</w:t>
            </w:r>
            <w:r>
              <w:rPr>
                <w:rFonts w:hint="default" w:ascii="Times New Roman" w:hAnsi="Times New Roman" w:cs="Times New Roman"/>
                <w:sz w:val="18"/>
                <w:szCs w:val="18"/>
                <w:highlight w:val="none"/>
                <w:vertAlign w:val="subscript"/>
                <w:lang w:val="en-US" w:eastAsia="zh-CN"/>
              </w:rPr>
              <w:t>Cr</w:t>
            </w:r>
            <w:r>
              <w:rPr>
                <w:rFonts w:hint="default" w:ascii="Times New Roman" w:hAnsi="Times New Roman" w:cs="Times New Roman"/>
                <w:sz w:val="18"/>
                <w:szCs w:val="18"/>
                <w:highlight w:val="none"/>
                <w:vertAlign w:val="baseline"/>
                <w:lang w:val="en-US" w:eastAsia="zh-CN"/>
              </w:rPr>
              <w:t>）</w:t>
            </w:r>
          </w:p>
        </w:tc>
        <w:tc>
          <w:tcPr>
            <w:tcW w:w="861" w:type="pct"/>
            <w:vAlign w:val="center"/>
          </w:tcPr>
          <w:p w14:paraId="4813C2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50</w:t>
            </w:r>
          </w:p>
        </w:tc>
        <w:tc>
          <w:tcPr>
            <w:tcW w:w="863" w:type="pct"/>
            <w:shd w:val="clear" w:color="auto" w:fill="auto"/>
            <w:vAlign w:val="center"/>
          </w:tcPr>
          <w:p w14:paraId="42A2C6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300</w:t>
            </w:r>
          </w:p>
        </w:tc>
        <w:tc>
          <w:tcPr>
            <w:tcW w:w="866" w:type="pct"/>
            <w:vAlign w:val="center"/>
          </w:tcPr>
          <w:p w14:paraId="0F73AB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500</w:t>
            </w:r>
          </w:p>
        </w:tc>
        <w:tc>
          <w:tcPr>
            <w:tcW w:w="849" w:type="pct"/>
            <w:vMerge w:val="continue"/>
            <w:vAlign w:val="center"/>
          </w:tcPr>
          <w:p w14:paraId="0D24BC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rPr>
            </w:pPr>
          </w:p>
        </w:tc>
      </w:tr>
      <w:tr w14:paraId="28B5B0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Align w:val="center"/>
          </w:tcPr>
          <w:p w14:paraId="4E6904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14</w:t>
            </w:r>
          </w:p>
        </w:tc>
        <w:tc>
          <w:tcPr>
            <w:tcW w:w="1280" w:type="pct"/>
            <w:gridSpan w:val="2"/>
            <w:shd w:val="clear" w:color="auto" w:fill="auto"/>
            <w:vAlign w:val="center"/>
          </w:tcPr>
          <w:p w14:paraId="0C6B8B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氨氮</w:t>
            </w:r>
          </w:p>
        </w:tc>
        <w:tc>
          <w:tcPr>
            <w:tcW w:w="861" w:type="pct"/>
            <w:shd w:val="clear" w:color="auto" w:fill="auto"/>
            <w:vAlign w:val="center"/>
          </w:tcPr>
          <w:p w14:paraId="47A1E0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8</w:t>
            </w:r>
          </w:p>
        </w:tc>
        <w:tc>
          <w:tcPr>
            <w:tcW w:w="863" w:type="pct"/>
            <w:shd w:val="clear" w:color="auto" w:fill="auto"/>
            <w:vAlign w:val="center"/>
          </w:tcPr>
          <w:p w14:paraId="7EAF1D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35</w:t>
            </w:r>
          </w:p>
        </w:tc>
        <w:tc>
          <w:tcPr>
            <w:tcW w:w="866" w:type="pct"/>
            <w:shd w:val="clear" w:color="auto" w:fill="auto"/>
            <w:vAlign w:val="center"/>
          </w:tcPr>
          <w:p w14:paraId="47116C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45</w:t>
            </w:r>
          </w:p>
        </w:tc>
        <w:tc>
          <w:tcPr>
            <w:tcW w:w="849" w:type="pct"/>
            <w:vMerge w:val="continue"/>
            <w:vAlign w:val="center"/>
          </w:tcPr>
          <w:p w14:paraId="602F1A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rPr>
            </w:pPr>
          </w:p>
        </w:tc>
      </w:tr>
      <w:tr w14:paraId="60EBEE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Align w:val="center"/>
          </w:tcPr>
          <w:p w14:paraId="6B1CFE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15</w:t>
            </w:r>
          </w:p>
        </w:tc>
        <w:tc>
          <w:tcPr>
            <w:tcW w:w="1280" w:type="pct"/>
            <w:gridSpan w:val="2"/>
            <w:shd w:val="clear" w:color="auto" w:fill="auto"/>
            <w:vAlign w:val="center"/>
          </w:tcPr>
          <w:p w14:paraId="009000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总氮</w:t>
            </w:r>
          </w:p>
        </w:tc>
        <w:tc>
          <w:tcPr>
            <w:tcW w:w="861" w:type="pct"/>
            <w:shd w:val="clear" w:color="auto" w:fill="auto"/>
            <w:vAlign w:val="center"/>
          </w:tcPr>
          <w:p w14:paraId="1F069B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15</w:t>
            </w:r>
          </w:p>
        </w:tc>
        <w:tc>
          <w:tcPr>
            <w:tcW w:w="863" w:type="pct"/>
            <w:shd w:val="clear" w:color="auto" w:fill="auto"/>
            <w:vAlign w:val="center"/>
          </w:tcPr>
          <w:p w14:paraId="4302F8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50</w:t>
            </w:r>
          </w:p>
        </w:tc>
        <w:tc>
          <w:tcPr>
            <w:tcW w:w="866" w:type="pct"/>
            <w:shd w:val="clear" w:color="auto" w:fill="auto"/>
            <w:vAlign w:val="center"/>
          </w:tcPr>
          <w:p w14:paraId="63A6E75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70</w:t>
            </w:r>
          </w:p>
        </w:tc>
        <w:tc>
          <w:tcPr>
            <w:tcW w:w="849" w:type="pct"/>
            <w:vMerge w:val="continue"/>
            <w:vAlign w:val="center"/>
          </w:tcPr>
          <w:p w14:paraId="4ACA15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rPr>
            </w:pPr>
          </w:p>
        </w:tc>
      </w:tr>
      <w:tr w14:paraId="50133F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Align w:val="center"/>
          </w:tcPr>
          <w:p w14:paraId="4D8383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16</w:t>
            </w:r>
          </w:p>
        </w:tc>
        <w:tc>
          <w:tcPr>
            <w:tcW w:w="1280" w:type="pct"/>
            <w:gridSpan w:val="2"/>
            <w:vAlign w:val="center"/>
          </w:tcPr>
          <w:p w14:paraId="305EF7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总磷</w:t>
            </w:r>
          </w:p>
        </w:tc>
        <w:tc>
          <w:tcPr>
            <w:tcW w:w="861" w:type="pct"/>
            <w:vAlign w:val="center"/>
          </w:tcPr>
          <w:p w14:paraId="22916C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0.5</w:t>
            </w:r>
          </w:p>
        </w:tc>
        <w:tc>
          <w:tcPr>
            <w:tcW w:w="863" w:type="pct"/>
            <w:shd w:val="clear" w:color="auto" w:fill="auto"/>
            <w:vAlign w:val="center"/>
          </w:tcPr>
          <w:p w14:paraId="14E0E15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1.0</w:t>
            </w:r>
          </w:p>
        </w:tc>
        <w:tc>
          <w:tcPr>
            <w:tcW w:w="866" w:type="pct"/>
            <w:vAlign w:val="center"/>
          </w:tcPr>
          <w:p w14:paraId="000DA2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8</w:t>
            </w:r>
          </w:p>
        </w:tc>
        <w:tc>
          <w:tcPr>
            <w:tcW w:w="849" w:type="pct"/>
            <w:vMerge w:val="continue"/>
            <w:vAlign w:val="center"/>
          </w:tcPr>
          <w:p w14:paraId="0E3AD1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rPr>
            </w:pPr>
          </w:p>
        </w:tc>
      </w:tr>
      <w:tr w14:paraId="0B01B1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Align w:val="center"/>
          </w:tcPr>
          <w:p w14:paraId="18BF49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17</w:t>
            </w:r>
          </w:p>
        </w:tc>
        <w:tc>
          <w:tcPr>
            <w:tcW w:w="1280" w:type="pct"/>
            <w:gridSpan w:val="2"/>
            <w:vAlign w:val="center"/>
          </w:tcPr>
          <w:p w14:paraId="734B53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石油类</w:t>
            </w:r>
          </w:p>
        </w:tc>
        <w:tc>
          <w:tcPr>
            <w:tcW w:w="861" w:type="pct"/>
            <w:vAlign w:val="center"/>
          </w:tcPr>
          <w:p w14:paraId="2569D5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2.0</w:t>
            </w:r>
          </w:p>
        </w:tc>
        <w:tc>
          <w:tcPr>
            <w:tcW w:w="863" w:type="pct"/>
            <w:shd w:val="clear" w:color="auto" w:fill="auto"/>
            <w:vAlign w:val="center"/>
          </w:tcPr>
          <w:p w14:paraId="0EA6A0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5.0</w:t>
            </w:r>
          </w:p>
        </w:tc>
        <w:tc>
          <w:tcPr>
            <w:tcW w:w="866" w:type="pct"/>
            <w:vAlign w:val="center"/>
          </w:tcPr>
          <w:p w14:paraId="60526E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15</w:t>
            </w:r>
          </w:p>
        </w:tc>
        <w:tc>
          <w:tcPr>
            <w:tcW w:w="849" w:type="pct"/>
            <w:vMerge w:val="continue"/>
            <w:vAlign w:val="center"/>
          </w:tcPr>
          <w:p w14:paraId="2B8A57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rPr>
            </w:pPr>
          </w:p>
        </w:tc>
      </w:tr>
      <w:tr w14:paraId="32A27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Align w:val="center"/>
          </w:tcPr>
          <w:p w14:paraId="337647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18</w:t>
            </w:r>
          </w:p>
        </w:tc>
        <w:tc>
          <w:tcPr>
            <w:tcW w:w="1280" w:type="pct"/>
            <w:gridSpan w:val="2"/>
            <w:vAlign w:val="center"/>
          </w:tcPr>
          <w:p w14:paraId="77E163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氟化物</w:t>
            </w:r>
          </w:p>
        </w:tc>
        <w:tc>
          <w:tcPr>
            <w:tcW w:w="861" w:type="pct"/>
            <w:vAlign w:val="center"/>
          </w:tcPr>
          <w:p w14:paraId="407315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10</w:t>
            </w:r>
          </w:p>
        </w:tc>
        <w:tc>
          <w:tcPr>
            <w:tcW w:w="863" w:type="pct"/>
            <w:shd w:val="clear" w:color="auto" w:fill="auto"/>
            <w:vAlign w:val="center"/>
          </w:tcPr>
          <w:p w14:paraId="798C40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10</w:t>
            </w:r>
          </w:p>
        </w:tc>
        <w:tc>
          <w:tcPr>
            <w:tcW w:w="866" w:type="pct"/>
            <w:vAlign w:val="center"/>
          </w:tcPr>
          <w:p w14:paraId="359BF4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20</w:t>
            </w:r>
          </w:p>
        </w:tc>
        <w:tc>
          <w:tcPr>
            <w:tcW w:w="849" w:type="pct"/>
            <w:vMerge w:val="continue"/>
            <w:vAlign w:val="center"/>
          </w:tcPr>
          <w:p w14:paraId="44A99F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rPr>
            </w:pPr>
          </w:p>
        </w:tc>
      </w:tr>
      <w:tr w14:paraId="3DBCF9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3" w:type="pct"/>
            <w:gridSpan w:val="2"/>
            <w:vMerge w:val="restart"/>
            <w:shd w:val="clear" w:color="auto" w:fill="auto"/>
            <w:vAlign w:val="center"/>
          </w:tcPr>
          <w:p w14:paraId="1E02F0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单位产品（镀件镀层）基准排水量/（L/㎡）</w:t>
            </w:r>
          </w:p>
        </w:tc>
        <w:tc>
          <w:tcPr>
            <w:tcW w:w="525" w:type="pct"/>
            <w:shd w:val="clear" w:color="auto" w:fill="auto"/>
            <w:vAlign w:val="center"/>
          </w:tcPr>
          <w:p w14:paraId="26A404B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多层镀</w:t>
            </w:r>
          </w:p>
        </w:tc>
        <w:tc>
          <w:tcPr>
            <w:tcW w:w="861" w:type="pct"/>
            <w:shd w:val="clear" w:color="auto" w:fill="auto"/>
            <w:vAlign w:val="center"/>
          </w:tcPr>
          <w:p w14:paraId="496DDD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250</w:t>
            </w:r>
          </w:p>
        </w:tc>
        <w:tc>
          <w:tcPr>
            <w:tcW w:w="863" w:type="pct"/>
            <w:shd w:val="clear" w:color="auto" w:fill="auto"/>
            <w:vAlign w:val="center"/>
          </w:tcPr>
          <w:p w14:paraId="460DFA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350</w:t>
            </w:r>
          </w:p>
        </w:tc>
        <w:tc>
          <w:tcPr>
            <w:tcW w:w="866" w:type="pct"/>
            <w:shd w:val="clear" w:color="auto" w:fill="auto"/>
            <w:vAlign w:val="center"/>
          </w:tcPr>
          <w:p w14:paraId="62D8FE5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500</w:t>
            </w:r>
          </w:p>
        </w:tc>
        <w:tc>
          <w:tcPr>
            <w:tcW w:w="849" w:type="pct"/>
            <w:vMerge w:val="restart"/>
            <w:shd w:val="clear" w:color="auto" w:fill="auto"/>
            <w:vAlign w:val="center"/>
          </w:tcPr>
          <w:p w14:paraId="2A4CCF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排水量计量位置与污染物排放监控位置一致</w:t>
            </w:r>
          </w:p>
        </w:tc>
      </w:tr>
      <w:tr w14:paraId="2E6445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3" w:type="pct"/>
            <w:gridSpan w:val="2"/>
            <w:vMerge w:val="continue"/>
            <w:shd w:val="clear" w:color="auto" w:fill="auto"/>
            <w:vAlign w:val="center"/>
          </w:tcPr>
          <w:p w14:paraId="2DAEE9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525" w:type="pct"/>
            <w:shd w:val="clear" w:color="auto" w:fill="auto"/>
            <w:vAlign w:val="center"/>
          </w:tcPr>
          <w:p w14:paraId="42C5AC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单层镀</w:t>
            </w:r>
          </w:p>
        </w:tc>
        <w:tc>
          <w:tcPr>
            <w:tcW w:w="861" w:type="pct"/>
            <w:shd w:val="clear" w:color="auto" w:fill="auto"/>
            <w:vAlign w:val="center"/>
          </w:tcPr>
          <w:p w14:paraId="5C92D5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100</w:t>
            </w:r>
          </w:p>
        </w:tc>
        <w:tc>
          <w:tcPr>
            <w:tcW w:w="863" w:type="pct"/>
            <w:shd w:val="clear" w:color="auto" w:fill="auto"/>
            <w:vAlign w:val="center"/>
          </w:tcPr>
          <w:p w14:paraId="41FB29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150</w:t>
            </w:r>
          </w:p>
        </w:tc>
        <w:tc>
          <w:tcPr>
            <w:tcW w:w="866" w:type="pct"/>
            <w:shd w:val="clear" w:color="auto" w:fill="auto"/>
            <w:vAlign w:val="center"/>
          </w:tcPr>
          <w:p w14:paraId="454F2B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200</w:t>
            </w:r>
          </w:p>
        </w:tc>
        <w:tc>
          <w:tcPr>
            <w:tcW w:w="849" w:type="pct"/>
            <w:vMerge w:val="continue"/>
            <w:shd w:val="clear" w:color="auto" w:fill="auto"/>
            <w:vAlign w:val="center"/>
          </w:tcPr>
          <w:p w14:paraId="715F5AD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r>
      <w:tr w14:paraId="40A0A7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59" w:hRule="atLeast"/>
        </w:trPr>
        <w:tc>
          <w:tcPr>
            <w:tcW w:w="5000" w:type="pct"/>
            <w:gridSpan w:val="7"/>
            <w:vAlign w:val="top"/>
          </w:tcPr>
          <w:p w14:paraId="1CAFF85A">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注：当企业废水排向城镇污水集中处理设施时，执行本表规定的间接排放限值。</w:t>
            </w:r>
          </w:p>
          <w:p w14:paraId="30E76DC9">
            <w:pPr>
              <w:keepNext w:val="0"/>
              <w:keepLines w:val="0"/>
              <w:pageBreakBefore w:val="0"/>
              <w:widowControl w:val="0"/>
              <w:kinsoku/>
              <w:wordWrap/>
              <w:overflowPunct/>
              <w:topLinePunct w:val="0"/>
              <w:autoSpaceDE/>
              <w:autoSpaceDN/>
              <w:bidi w:val="0"/>
              <w:adjustRightInd w:val="0"/>
              <w:snapToGrid w:val="0"/>
              <w:spacing w:line="360" w:lineRule="auto"/>
              <w:ind w:firstLine="360" w:firstLineChars="200"/>
              <w:jc w:val="both"/>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当企业废水排向电镀工业污水集中处理设施时，第7-1</w:t>
            </w:r>
            <w:r>
              <w:rPr>
                <w:rFonts w:hint="eastAsia" w:ascii="Times New Roman" w:hAnsi="Times New Roman" w:cs="Times New Roman"/>
                <w:sz w:val="18"/>
                <w:szCs w:val="18"/>
                <w:highlight w:val="none"/>
                <w:vertAlign w:val="baseline"/>
                <w:lang w:val="en-US" w:eastAsia="zh-CN"/>
              </w:rPr>
              <w:t>8</w:t>
            </w:r>
            <w:r>
              <w:rPr>
                <w:rFonts w:hint="default" w:ascii="Times New Roman" w:hAnsi="Times New Roman" w:cs="Times New Roman"/>
                <w:sz w:val="18"/>
                <w:szCs w:val="18"/>
                <w:highlight w:val="none"/>
                <w:vertAlign w:val="baseline"/>
                <w:lang w:val="en-US" w:eastAsia="zh-CN"/>
              </w:rPr>
              <w:t>项指标可协商确定间接排放限值，未协商的执行本表规定的间接排放限值。如果企业含总铬</w:t>
            </w:r>
            <w:r>
              <w:rPr>
                <w:rFonts w:hint="eastAsia" w:ascii="Times New Roman" w:hAnsi="Times New Roman" w:cs="Times New Roman"/>
                <w:sz w:val="18"/>
                <w:szCs w:val="18"/>
                <w:highlight w:val="none"/>
                <w:vertAlign w:val="baseline"/>
                <w:lang w:val="en-US" w:eastAsia="zh-CN"/>
              </w:rPr>
              <w:t>、</w:t>
            </w:r>
            <w:r>
              <w:rPr>
                <w:rFonts w:hint="default" w:ascii="Times New Roman" w:hAnsi="Times New Roman" w:cs="Times New Roman"/>
                <w:sz w:val="18"/>
                <w:szCs w:val="18"/>
                <w:highlight w:val="none"/>
                <w:vertAlign w:val="baseline"/>
                <w:lang w:val="en-US" w:eastAsia="zh-CN"/>
              </w:rPr>
              <w:t>总镍、总镉、总铅、总汞中任一种污染物的污水，实行分类收集、专管专送和分质集中预处理，且在企业出口端和电镀工业污水集中处理设施入口端均对水质及水量进行监测，则第1-6项指标可协商确定间接排放限值，未协商的执行本表规定的间接排放限值；电镀工业污水集中处理设施的分质集中预处理单元出口执行本表规定的排放限值。</w:t>
            </w:r>
          </w:p>
          <w:p w14:paraId="297E4E3B">
            <w:pPr>
              <w:keepNext w:val="0"/>
              <w:keepLines w:val="0"/>
              <w:pageBreakBefore w:val="0"/>
              <w:widowControl w:val="0"/>
              <w:kinsoku/>
              <w:wordWrap/>
              <w:overflowPunct/>
              <w:topLinePunct w:val="0"/>
              <w:autoSpaceDE/>
              <w:autoSpaceDN/>
              <w:bidi w:val="0"/>
              <w:adjustRightInd w:val="0"/>
              <w:snapToGrid w:val="0"/>
              <w:spacing w:line="360" w:lineRule="auto"/>
              <w:ind w:firstLine="360" w:firstLineChars="200"/>
              <w:jc w:val="both"/>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当企业废水排向其他污水集中处理设施时，第11-17项指标可协商确定间接排放限值，未协商的指标以及第1-10项、第18项指标执行本表规定的间接排放限值。</w:t>
            </w:r>
          </w:p>
          <w:p w14:paraId="0C33CCEC">
            <w:pPr>
              <w:keepNext w:val="0"/>
              <w:keepLines w:val="0"/>
              <w:pageBreakBefore w:val="0"/>
              <w:widowControl w:val="0"/>
              <w:kinsoku/>
              <w:wordWrap/>
              <w:overflowPunct/>
              <w:topLinePunct w:val="0"/>
              <w:autoSpaceDE/>
              <w:autoSpaceDN/>
              <w:bidi w:val="0"/>
              <w:adjustRightInd w:val="0"/>
              <w:snapToGrid w:val="0"/>
              <w:spacing w:line="360" w:lineRule="auto"/>
              <w:ind w:firstLine="360" w:firstLineChars="200"/>
              <w:jc w:val="both"/>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“-”指标应为未检出。</w:t>
            </w:r>
          </w:p>
        </w:tc>
      </w:tr>
    </w:tbl>
    <w:p w14:paraId="2E043DAB">
      <w:pPr>
        <w:rPr>
          <w:rFonts w:hint="default" w:ascii="Times New Roman" w:hAnsi="Times New Roman" w:cs="Times New Roman"/>
          <w:highlight w:val="none"/>
          <w:lang w:val="en-US" w:eastAsia="zh-CN"/>
        </w:rPr>
      </w:pPr>
      <w:r>
        <w:rPr>
          <w:rFonts w:hint="default" w:ascii="黑体" w:hAnsi="黑体" w:eastAsia="黑体" w:cs="黑体"/>
          <w:bCs/>
          <w:kern w:val="44"/>
          <w:sz w:val="21"/>
          <w:szCs w:val="44"/>
          <w:highlight w:val="none"/>
          <w:lang w:val="en-US" w:eastAsia="zh-CN" w:bidi="ar-SA"/>
        </w:rPr>
        <w:t>4.3.1.2</w:t>
      </w:r>
      <w:r>
        <w:rPr>
          <w:rFonts w:hint="default" w:ascii="Times New Roman" w:hAnsi="Times New Roman" w:cs="Times New Roman"/>
          <w:highlight w:val="none"/>
          <w:lang w:val="en-US" w:eastAsia="zh-CN"/>
        </w:rPr>
        <w:t xml:space="preserve">  水污染物排放限值适用于单位产品实际排水量不高于单位产品基准排水量的情况。若单位产品实际排水量超过单位产品基准排水量，须按</w:t>
      </w:r>
      <w:r>
        <w:rPr>
          <w:rFonts w:hint="eastAsia" w:ascii="Times New Roman" w:hAnsi="Times New Roman" w:cs="Times New Roman"/>
          <w:highlight w:val="none"/>
          <w:lang w:val="en-US" w:eastAsia="zh-CN"/>
        </w:rPr>
        <w:t>下列</w:t>
      </w:r>
      <w:r>
        <w:rPr>
          <w:rFonts w:hint="default" w:ascii="Times New Roman" w:hAnsi="Times New Roman" w:cs="Times New Roman"/>
          <w:highlight w:val="none"/>
          <w:lang w:val="en-US" w:eastAsia="zh-CN"/>
        </w:rPr>
        <w:t>公式将实测水污染物浓度换算为水污染物基准排水量排放浓度，并以水污染物基准排水量排放浓度作为判定排放是否达标的依据。产品产量和排水量统计周期为一个工作日。</w:t>
      </w:r>
    </w:p>
    <w:p w14:paraId="4675EFB1">
      <w:pPr>
        <w:jc w:val="both"/>
        <w:rPr>
          <w:rFonts w:hint="default" w:ascii="Times New Roman" w:hAnsi="Times New Roman" w:cs="Times New Roman"/>
          <w:i w:val="0"/>
          <w:highlight w:val="none"/>
          <w:lang w:val="en-US"/>
        </w:rPr>
      </w:pPr>
      <m:oMathPara>
        <m:oMath>
          <m:sSub>
            <m:sSubPr>
              <m:ctrlPr>
                <w:rPr>
                  <w:rFonts w:hint="default" w:ascii="Cambria Math" w:hAnsi="Cambria Math" w:cs="Times New Roman"/>
                  <w:i/>
                  <w:highlight w:val="none"/>
                  <w:lang w:val="en-US"/>
                </w:rPr>
              </m:ctrlPr>
            </m:sSubPr>
            <m:e>
              <m:r>
                <m:rPr>
                  <m:nor/>
                </m:rPr>
                <w:rPr>
                  <w:rFonts w:hint="default" w:ascii="Times New Roman" w:hAnsi="Times New Roman" w:cs="Times New Roman"/>
                  <w:i/>
                  <w:highlight w:val="none"/>
                  <w:lang w:val="en-US"/>
                </w:rPr>
                <m:t>ρ</m:t>
              </m:r>
              <m:ctrlPr>
                <w:rPr>
                  <w:rFonts w:hint="default" w:ascii="Cambria Math" w:hAnsi="Cambria Math" w:cs="Times New Roman"/>
                  <w:i/>
                  <w:highlight w:val="none"/>
                  <w:lang w:val="en-US"/>
                </w:rPr>
              </m:ctrlPr>
            </m:e>
            <m:sub>
              <m:r>
                <m:rPr>
                  <m:nor/>
                  <m:sty m:val="p"/>
                </m:rPr>
                <w:rPr>
                  <w:rFonts w:hint="default" w:ascii="Times New Roman" w:hAnsi="Times New Roman" w:cs="Times New Roman"/>
                  <w:b w:val="0"/>
                  <w:i w:val="0"/>
                  <w:highlight w:val="none"/>
                  <w:lang w:val="en-US" w:eastAsia="zh-CN"/>
                </w:rPr>
                <m:t>基</m:t>
              </m:r>
              <m:ctrlPr>
                <w:rPr>
                  <w:rFonts w:hint="default" w:ascii="Cambria Math" w:hAnsi="Cambria Math" w:cs="Times New Roman"/>
                  <w:i/>
                  <w:highlight w:val="none"/>
                  <w:lang w:val="en-US"/>
                </w:rPr>
              </m:ctrlPr>
            </m:sub>
          </m:sSub>
          <m:r>
            <m:rPr>
              <m:nor/>
              <m:sty m:val="p"/>
            </m:rPr>
            <w:rPr>
              <w:rFonts w:hint="default" w:ascii="Times New Roman" w:hAnsi="Times New Roman" w:cs="Times New Roman"/>
              <w:b w:val="0"/>
              <w:i w:val="0"/>
              <w:highlight w:val="none"/>
              <w:lang w:val="en-US" w:eastAsia="zh-CN"/>
            </w:rPr>
            <m:t>=</m:t>
          </m:r>
          <m:f>
            <m:fPr>
              <m:ctrlPr>
                <w:rPr>
                  <w:rFonts w:hint="default" w:ascii="Cambria Math" w:hAnsi="Cambria Math" w:cs="Times New Roman"/>
                  <w:i/>
                  <w:highlight w:val="none"/>
                  <w:lang w:val="en-US" w:eastAsia="zh-CN"/>
                </w:rPr>
              </m:ctrlPr>
            </m:fPr>
            <m:num>
              <m:sSub>
                <m:sSubPr>
                  <m:ctrlPr>
                    <w:rPr>
                      <w:rFonts w:hint="default" w:ascii="Cambria Math" w:hAnsi="Cambria Math" w:cs="Times New Roman"/>
                      <w:i/>
                      <w:highlight w:val="none"/>
                      <w:lang w:val="en-US" w:eastAsia="zh-CN"/>
                    </w:rPr>
                  </m:ctrlPr>
                </m:sSubPr>
                <m:e>
                  <m:r>
                    <m:rPr>
                      <m:nor/>
                    </m:rPr>
                    <w:rPr>
                      <w:rFonts w:hint="default" w:ascii="Times New Roman" w:hAnsi="Times New Roman" w:cs="Times New Roman"/>
                      <w:i/>
                      <w:highlight w:val="none"/>
                      <w:lang w:val="en-US" w:eastAsia="zh-CN"/>
                    </w:rPr>
                    <m:t>Q</m:t>
                  </m:r>
                  <m:ctrlPr>
                    <w:rPr>
                      <w:rFonts w:hint="default" w:ascii="Cambria Math" w:hAnsi="Cambria Math" w:cs="Times New Roman"/>
                      <w:i/>
                      <w:highlight w:val="none"/>
                      <w:lang w:val="en-US" w:eastAsia="zh-CN"/>
                    </w:rPr>
                  </m:ctrlPr>
                </m:e>
                <m:sub>
                  <m:r>
                    <m:rPr>
                      <m:nor/>
                      <m:sty m:val="p"/>
                    </m:rPr>
                    <w:rPr>
                      <w:rFonts w:hint="default" w:ascii="Times New Roman" w:hAnsi="Times New Roman" w:cs="Times New Roman"/>
                      <w:b w:val="0"/>
                      <w:i w:val="0"/>
                      <w:highlight w:val="none"/>
                      <w:lang w:val="en-US" w:eastAsia="zh-CN"/>
                    </w:rPr>
                    <m:t>总</m:t>
                  </m:r>
                  <m:ctrlPr>
                    <w:rPr>
                      <w:rFonts w:hint="default" w:ascii="Cambria Math" w:hAnsi="Cambria Math" w:cs="Times New Roman"/>
                      <w:i/>
                      <w:highlight w:val="none"/>
                      <w:lang w:val="en-US" w:eastAsia="zh-CN"/>
                    </w:rPr>
                  </m:ctrlPr>
                </m:sub>
              </m:sSub>
              <m:ctrlPr>
                <w:rPr>
                  <w:rFonts w:hint="default" w:ascii="Cambria Math" w:hAnsi="Cambria Math" w:cs="Times New Roman"/>
                  <w:i/>
                  <w:highlight w:val="none"/>
                  <w:lang w:val="en-US" w:eastAsia="zh-CN"/>
                </w:rPr>
              </m:ctrlPr>
            </m:num>
            <m:den>
              <m:nary>
                <m:naryPr>
                  <m:chr m:val="∑"/>
                  <m:limLoc m:val="undOvr"/>
                  <m:subHide m:val="1"/>
                  <m:supHide m:val="1"/>
                  <m:ctrlPr>
                    <w:rPr>
                      <w:rFonts w:hint="default" w:ascii="Cambria Math" w:hAnsi="Cambria Math" w:cs="Times New Roman"/>
                      <w:i/>
                      <w:highlight w:val="none"/>
                      <w:lang w:val="en-US" w:eastAsia="zh-CN"/>
                    </w:rPr>
                  </m:ctrlPr>
                </m:naryPr>
                <m:sub>
                  <m:ctrlPr>
                    <w:rPr>
                      <w:rFonts w:hint="default" w:ascii="Cambria Math" w:hAnsi="Cambria Math" w:cs="Times New Roman"/>
                      <w:i/>
                      <w:highlight w:val="none"/>
                      <w:lang w:val="en-US" w:eastAsia="zh-CN"/>
                    </w:rPr>
                  </m:ctrlPr>
                </m:sub>
                <m:sup>
                  <m:ctrlPr>
                    <w:rPr>
                      <w:rFonts w:hint="default" w:ascii="Cambria Math" w:hAnsi="Cambria Math" w:cs="Times New Roman"/>
                      <w:i/>
                      <w:highlight w:val="none"/>
                      <w:lang w:val="en-US" w:eastAsia="zh-CN"/>
                    </w:rPr>
                  </m:ctrlPr>
                </m:sup>
                <m:e>
                  <m:sSub>
                    <m:sSubPr>
                      <m:ctrlPr>
                        <w:rPr>
                          <w:rFonts w:hint="default" w:ascii="Cambria Math" w:hAnsi="Cambria Math" w:cs="Times New Roman"/>
                          <w:i/>
                          <w:highlight w:val="none"/>
                          <w:lang w:val="en-US" w:eastAsia="zh-CN"/>
                        </w:rPr>
                      </m:ctrlPr>
                    </m:sSubPr>
                    <m:e>
                      <m:r>
                        <m:rPr>
                          <m:nor/>
                        </m:rPr>
                        <w:rPr>
                          <w:rFonts w:hint="default" w:ascii="Times New Roman" w:hAnsi="Times New Roman" w:cs="Times New Roman"/>
                          <w:i/>
                          <w:highlight w:val="none"/>
                          <w:lang w:val="en-US" w:eastAsia="zh-CN"/>
                        </w:rPr>
                        <m:t>Y</m:t>
                      </m:r>
                      <m:ctrlPr>
                        <w:rPr>
                          <w:rFonts w:hint="default" w:ascii="Cambria Math" w:hAnsi="Cambria Math" w:cs="Times New Roman"/>
                          <w:i/>
                          <w:highlight w:val="none"/>
                          <w:lang w:val="en-US" w:eastAsia="zh-CN"/>
                        </w:rPr>
                      </m:ctrlPr>
                    </m:e>
                    <m:sub>
                      <m:r>
                        <m:rPr>
                          <m:nor/>
                        </m:rPr>
                        <w:rPr>
                          <w:rFonts w:hint="default" w:ascii="Times New Roman" w:hAnsi="Times New Roman" w:cs="Times New Roman"/>
                          <w:i/>
                          <w:highlight w:val="none"/>
                          <w:lang w:val="en-US" w:eastAsia="zh-CN"/>
                        </w:rPr>
                        <m:t>i</m:t>
                      </m:r>
                      <m:ctrlPr>
                        <w:rPr>
                          <w:rFonts w:hint="default" w:ascii="Cambria Math" w:hAnsi="Cambria Math" w:cs="Times New Roman"/>
                          <w:i/>
                          <w:highlight w:val="none"/>
                          <w:lang w:val="en-US" w:eastAsia="zh-CN"/>
                        </w:rPr>
                      </m:ctrlPr>
                    </m:sub>
                  </m:sSub>
                  <m:r>
                    <m:rPr>
                      <m:nor/>
                      <m:sty m:val="p"/>
                    </m:rPr>
                    <w:rPr>
                      <w:rFonts w:hint="default" w:ascii="Times New Roman" w:hAnsi="Times New Roman" w:cs="Times New Roman"/>
                      <w:b w:val="0"/>
                      <w:i w:val="0"/>
                      <w:highlight w:val="none"/>
                      <w:lang w:val="en-US"/>
                    </w:rPr>
                    <m:t>∙</m:t>
                  </m:r>
                  <m:sSub>
                    <m:sSubPr>
                      <m:ctrlPr>
                        <w:rPr>
                          <w:rFonts w:hint="default" w:ascii="Cambria Math" w:hAnsi="Cambria Math" w:cs="Times New Roman"/>
                          <w:i/>
                          <w:highlight w:val="none"/>
                          <w:lang w:val="en-US" w:eastAsia="zh-CN"/>
                        </w:rPr>
                      </m:ctrlPr>
                    </m:sSubPr>
                    <m:e>
                      <m:r>
                        <m:rPr>
                          <m:nor/>
                        </m:rPr>
                        <w:rPr>
                          <w:rFonts w:hint="default" w:ascii="Times New Roman" w:hAnsi="Times New Roman" w:cs="Times New Roman"/>
                          <w:i/>
                          <w:highlight w:val="none"/>
                          <w:lang w:val="en-US" w:eastAsia="zh-CN"/>
                        </w:rPr>
                        <m:t>Q</m:t>
                      </m:r>
                      <m:ctrlPr>
                        <w:rPr>
                          <w:rFonts w:hint="default" w:ascii="Cambria Math" w:hAnsi="Cambria Math" w:cs="Times New Roman"/>
                          <w:i/>
                          <w:highlight w:val="none"/>
                          <w:lang w:val="en-US" w:eastAsia="zh-CN"/>
                        </w:rPr>
                      </m:ctrlPr>
                    </m:e>
                    <m:sub>
                      <m:r>
                        <m:rPr>
                          <m:nor/>
                        </m:rPr>
                        <w:rPr>
                          <w:rFonts w:hint="default" w:ascii="Times New Roman" w:hAnsi="Times New Roman" w:cs="Times New Roman"/>
                          <w:i/>
                          <w:highlight w:val="none"/>
                          <w:lang w:val="en-US" w:eastAsia="zh-CN"/>
                        </w:rPr>
                        <m:t>i</m:t>
                      </m:r>
                      <m:r>
                        <m:rPr>
                          <m:nor/>
                          <m:sty m:val="p"/>
                        </m:rPr>
                        <w:rPr>
                          <w:rFonts w:hint="default" w:ascii="Times New Roman" w:hAnsi="Times New Roman" w:cs="Times New Roman"/>
                          <w:b w:val="0"/>
                          <w:i w:val="0"/>
                          <w:highlight w:val="none"/>
                          <w:lang w:val="en-US" w:eastAsia="zh-CN"/>
                        </w:rPr>
                        <m:t>基</m:t>
                      </m:r>
                      <m:ctrlPr>
                        <w:rPr>
                          <w:rFonts w:hint="default" w:ascii="Cambria Math" w:hAnsi="Cambria Math" w:cs="Times New Roman"/>
                          <w:i/>
                          <w:highlight w:val="none"/>
                          <w:lang w:val="en-US" w:eastAsia="zh-CN"/>
                        </w:rPr>
                      </m:ctrlPr>
                    </m:sub>
                  </m:sSub>
                  <m:ctrlPr>
                    <w:rPr>
                      <w:rFonts w:hint="default" w:ascii="Cambria Math" w:hAnsi="Cambria Math" w:cs="Times New Roman"/>
                      <w:i/>
                      <w:highlight w:val="none"/>
                      <w:lang w:val="en-US" w:eastAsia="zh-CN"/>
                    </w:rPr>
                  </m:ctrlPr>
                </m:e>
              </m:nary>
              <m:ctrlPr>
                <w:rPr>
                  <w:rFonts w:hint="default" w:ascii="Cambria Math" w:hAnsi="Cambria Math" w:cs="Times New Roman"/>
                  <w:i/>
                  <w:highlight w:val="none"/>
                  <w:lang w:val="en-US" w:eastAsia="zh-CN"/>
                </w:rPr>
              </m:ctrlPr>
            </m:den>
          </m:f>
          <m:r>
            <m:rPr>
              <m:nor/>
              <m:sty m:val="p"/>
            </m:rPr>
            <w:rPr>
              <w:rFonts w:hint="default" w:ascii="Times New Roman" w:hAnsi="Times New Roman" w:cs="Times New Roman"/>
              <w:b w:val="0"/>
              <w:i w:val="0"/>
              <w:highlight w:val="none"/>
              <w:lang w:val="en-US" w:eastAsia="zh-CN"/>
            </w:rPr>
            <m:t>∙</m:t>
          </m:r>
          <m:sSub>
            <m:sSubPr>
              <m:ctrlPr>
                <w:rPr>
                  <w:rFonts w:hint="default" w:ascii="Cambria Math" w:hAnsi="Cambria Math" w:cs="Times New Roman"/>
                  <w:i/>
                  <w:highlight w:val="none"/>
                  <w:lang w:val="en-US"/>
                </w:rPr>
              </m:ctrlPr>
            </m:sSubPr>
            <m:e>
              <m:r>
                <m:rPr>
                  <m:nor/>
                </m:rPr>
                <w:rPr>
                  <w:rFonts w:hint="default" w:ascii="Times New Roman" w:hAnsi="Times New Roman" w:cs="Times New Roman"/>
                  <w:i/>
                  <w:highlight w:val="none"/>
                  <w:lang w:val="en-US"/>
                </w:rPr>
                <m:t>ρ</m:t>
              </m:r>
              <m:ctrlPr>
                <w:rPr>
                  <w:rFonts w:hint="default" w:ascii="Cambria Math" w:hAnsi="Cambria Math" w:cs="Times New Roman"/>
                  <w:i/>
                  <w:highlight w:val="none"/>
                  <w:lang w:val="en-US"/>
                </w:rPr>
              </m:ctrlPr>
            </m:e>
            <m:sub>
              <m:r>
                <m:rPr>
                  <m:nor/>
                  <m:sty m:val="p"/>
                </m:rPr>
                <w:rPr>
                  <w:rFonts w:hint="default" w:ascii="Times New Roman" w:hAnsi="Times New Roman" w:cs="Times New Roman"/>
                  <w:b w:val="0"/>
                  <w:i w:val="0"/>
                  <w:highlight w:val="none"/>
                  <w:lang w:val="en-US" w:eastAsia="zh-CN"/>
                </w:rPr>
                <m:t>实</m:t>
              </m:r>
              <m:ctrlPr>
                <w:rPr>
                  <w:rFonts w:hint="default" w:ascii="Cambria Math" w:hAnsi="Cambria Math" w:cs="Times New Roman"/>
                  <w:i/>
                  <w:highlight w:val="none"/>
                  <w:lang w:val="en-US"/>
                </w:rPr>
              </m:ctrlPr>
            </m:sub>
          </m:sSub>
        </m:oMath>
      </m:oMathPara>
    </w:p>
    <w:p w14:paraId="6437997E">
      <w:pPr>
        <w:ind w:firstLine="420" w:firstLineChars="200"/>
        <w:jc w:val="both"/>
        <w:rPr>
          <w:rFonts w:hint="default" w:ascii="Times New Roman" w:hAnsi="Times New Roman" w:cs="Times New Roman"/>
          <w:i w:val="0"/>
          <w:highlight w:val="none"/>
          <w:lang w:val="en-US" w:eastAsia="zh-CN"/>
        </w:rPr>
      </w:pPr>
      <w:r>
        <w:rPr>
          <w:rFonts w:hint="default" w:ascii="Times New Roman" w:hAnsi="Times New Roman" w:cs="Times New Roman"/>
          <w:i w:val="0"/>
          <w:highlight w:val="none"/>
          <w:lang w:val="en-US" w:eastAsia="zh-CN"/>
        </w:rPr>
        <w:t>式中：</w:t>
      </w:r>
    </w:p>
    <w:p w14:paraId="445929B4">
      <w:pPr>
        <w:ind w:firstLine="420" w:firstLineChars="200"/>
        <w:jc w:val="both"/>
        <w:rPr>
          <w:rFonts w:hint="default" w:ascii="Times New Roman" w:hAnsi="Times New Roman" w:cs="Times New Roman"/>
          <w:i w:val="0"/>
          <w:highlight w:val="none"/>
          <w:lang w:val="en-US" w:eastAsia="zh-CN"/>
        </w:rPr>
      </w:pPr>
      <m:oMath>
        <m:sSub>
          <m:sSubPr>
            <m:ctrlPr>
              <w:rPr>
                <w:rFonts w:hint="default" w:ascii="Cambria Math" w:hAnsi="Cambria Math" w:cs="Times New Roman"/>
                <w:i/>
                <w:highlight w:val="none"/>
                <w:lang w:val="en-US"/>
              </w:rPr>
            </m:ctrlPr>
          </m:sSubPr>
          <m:e>
            <m:r>
              <m:rPr>
                <m:nor/>
              </m:rPr>
              <w:rPr>
                <w:rFonts w:hint="default" w:ascii="Times New Roman" w:hAnsi="Times New Roman" w:cs="Times New Roman"/>
                <w:i/>
                <w:highlight w:val="none"/>
                <w:lang w:val="en-US"/>
              </w:rPr>
              <m:t>ρ</m:t>
            </m:r>
            <m:ctrlPr>
              <w:rPr>
                <w:rFonts w:hint="default" w:ascii="Cambria Math" w:hAnsi="Cambria Math" w:cs="Times New Roman"/>
                <w:i/>
                <w:highlight w:val="none"/>
                <w:lang w:val="en-US"/>
              </w:rPr>
            </m:ctrlPr>
          </m:e>
          <m:sub>
            <m:r>
              <m:rPr>
                <m:nor/>
                <m:sty m:val="p"/>
              </m:rPr>
              <w:rPr>
                <w:rFonts w:hint="default" w:ascii="Times New Roman" w:hAnsi="Times New Roman" w:cs="Times New Roman"/>
                <w:b w:val="0"/>
                <w:i w:val="0"/>
                <w:highlight w:val="none"/>
                <w:lang w:val="en-US" w:eastAsia="zh-CN"/>
              </w:rPr>
              <m:t>基</m:t>
            </m:r>
            <m:ctrlPr>
              <w:rPr>
                <w:rFonts w:hint="default" w:ascii="Cambria Math" w:hAnsi="Cambria Math" w:cs="Times New Roman"/>
                <w:i/>
                <w:highlight w:val="none"/>
                <w:lang w:val="en-US"/>
              </w:rPr>
            </m:ctrlPr>
          </m:sub>
        </m:sSub>
      </m:oMath>
      <w:r>
        <w:rPr>
          <w:rFonts w:hint="default" w:ascii="Times New Roman" w:hAnsi="Times New Roman" w:cs="Times New Roman"/>
          <w:i w:val="0"/>
          <w:highlight w:val="none"/>
          <w:lang w:val="en-US" w:eastAsia="zh-CN"/>
        </w:rPr>
        <w:t>——水污染物基准水量排放浓度，mg/L；</w:t>
      </w:r>
    </w:p>
    <w:p w14:paraId="2A006618">
      <w:pPr>
        <w:ind w:left="420" w:leftChars="200" w:firstLine="0" w:firstLineChars="0"/>
        <w:jc w:val="both"/>
        <w:rPr>
          <w:rFonts w:hint="default" w:ascii="Times New Roman" w:hAnsi="Times New Roman" w:cs="Times New Roman"/>
          <w:i w:val="0"/>
          <w:highlight w:val="none"/>
          <w:lang w:val="en-US" w:eastAsia="zh-CN"/>
        </w:rPr>
      </w:pPr>
      <m:oMath>
        <m:sSub>
          <m:sSubPr>
            <m:ctrlPr>
              <w:rPr>
                <w:rFonts w:hint="default" w:ascii="Cambria Math" w:hAnsi="Cambria Math" w:cs="Times New Roman"/>
                <w:i/>
                <w:highlight w:val="none"/>
                <w:lang w:val="en-US"/>
              </w:rPr>
            </m:ctrlPr>
          </m:sSubPr>
          <m:e>
            <m:r>
              <m:rPr>
                <m:nor/>
              </m:rPr>
              <w:rPr>
                <w:rFonts w:hint="default" w:ascii="Times New Roman" w:hAnsi="Times New Roman" w:cs="Times New Roman"/>
                <w:i/>
                <w:highlight w:val="none"/>
                <w:lang w:val="en-US" w:eastAsia="zh-CN"/>
              </w:rPr>
              <m:t>Q</m:t>
            </m:r>
            <m:ctrlPr>
              <w:rPr>
                <w:rFonts w:hint="default" w:ascii="Cambria Math" w:hAnsi="Cambria Math" w:cs="Times New Roman"/>
                <w:i/>
                <w:highlight w:val="none"/>
                <w:lang w:val="en-US"/>
              </w:rPr>
            </m:ctrlPr>
          </m:e>
          <m:sub>
            <m:r>
              <m:rPr>
                <m:nor/>
                <m:sty m:val="p"/>
              </m:rPr>
              <w:rPr>
                <w:rFonts w:hint="default" w:ascii="Times New Roman" w:hAnsi="Times New Roman" w:cs="Times New Roman"/>
                <w:b w:val="0"/>
                <w:i w:val="0"/>
                <w:highlight w:val="none"/>
                <w:lang w:val="en-US" w:eastAsia="zh-CN"/>
              </w:rPr>
              <m:t>总</m:t>
            </m:r>
            <m:ctrlPr>
              <w:rPr>
                <w:rFonts w:hint="default" w:ascii="Cambria Math" w:hAnsi="Cambria Math" w:cs="Times New Roman"/>
                <w:i/>
                <w:highlight w:val="none"/>
                <w:lang w:val="en-US"/>
              </w:rPr>
            </m:ctrlPr>
          </m:sub>
        </m:sSub>
      </m:oMath>
      <w:r>
        <w:rPr>
          <w:rFonts w:hint="default" w:ascii="Times New Roman" w:hAnsi="Times New Roman" w:cs="Times New Roman"/>
          <w:i w:val="0"/>
          <w:highlight w:val="none"/>
          <w:lang w:val="en-US" w:eastAsia="zh-CN"/>
        </w:rPr>
        <w:t>——实测排水总量，m</w:t>
      </w:r>
      <w:r>
        <w:rPr>
          <w:rFonts w:hint="default" w:ascii="Times New Roman" w:hAnsi="Times New Roman" w:cs="Times New Roman"/>
          <w:i w:val="0"/>
          <w:highlight w:val="none"/>
          <w:vertAlign w:val="superscript"/>
          <w:lang w:val="en-US" w:eastAsia="zh-CN"/>
        </w:rPr>
        <w:t>3</w:t>
      </w:r>
      <w:r>
        <w:rPr>
          <w:rFonts w:hint="default" w:ascii="Times New Roman" w:hAnsi="Times New Roman" w:cs="Times New Roman"/>
          <w:i w:val="0"/>
          <w:highlight w:val="none"/>
          <w:lang w:val="en-US" w:eastAsia="zh-CN"/>
        </w:rPr>
        <w:t>；</w:t>
      </w:r>
    </w:p>
    <w:p w14:paraId="2A18CE50">
      <w:pPr>
        <w:ind w:left="420" w:leftChars="200" w:firstLine="0" w:firstLineChars="0"/>
        <w:jc w:val="both"/>
        <w:rPr>
          <w:rFonts w:hint="default" w:ascii="Times New Roman" w:hAnsi="Times New Roman" w:cs="Times New Roman"/>
          <w:i w:val="0"/>
          <w:highlight w:val="none"/>
          <w:lang w:val="en-US" w:eastAsia="zh-CN"/>
        </w:rPr>
      </w:pPr>
      <m:oMath>
        <m:sSub>
          <m:sSubPr>
            <m:ctrlPr>
              <w:rPr>
                <w:rFonts w:hint="default" w:ascii="Cambria Math" w:hAnsi="Cambria Math" w:cs="Times New Roman"/>
                <w:i/>
                <w:highlight w:val="none"/>
                <w:lang w:val="en-US"/>
              </w:rPr>
            </m:ctrlPr>
          </m:sSubPr>
          <m:e>
            <m:r>
              <m:rPr>
                <m:nor/>
              </m:rPr>
              <w:rPr>
                <w:rFonts w:hint="default" w:ascii="Times New Roman" w:hAnsi="Times New Roman" w:cs="Times New Roman"/>
                <w:i/>
                <w:highlight w:val="none"/>
                <w:lang w:val="en-US" w:eastAsia="zh-CN"/>
              </w:rPr>
              <m:t>Y</m:t>
            </m:r>
            <m:ctrlPr>
              <w:rPr>
                <w:rFonts w:hint="default" w:ascii="Cambria Math" w:hAnsi="Cambria Math" w:cs="Times New Roman"/>
                <w:i/>
                <w:highlight w:val="none"/>
                <w:lang w:val="en-US"/>
              </w:rPr>
            </m:ctrlPr>
          </m:e>
          <m:sub>
            <m:r>
              <m:rPr>
                <m:nor/>
              </m:rPr>
              <w:rPr>
                <w:rFonts w:hint="default" w:ascii="Times New Roman" w:hAnsi="Times New Roman" w:cs="Times New Roman"/>
                <w:i/>
                <w:highlight w:val="none"/>
                <w:lang w:val="en-US" w:eastAsia="zh-CN"/>
              </w:rPr>
              <m:t>i</m:t>
            </m:r>
            <m:ctrlPr>
              <w:rPr>
                <w:rFonts w:hint="default" w:ascii="Cambria Math" w:hAnsi="Cambria Math" w:cs="Times New Roman"/>
                <w:i/>
                <w:highlight w:val="none"/>
                <w:lang w:val="en-US"/>
              </w:rPr>
            </m:ctrlPr>
          </m:sub>
        </m:sSub>
      </m:oMath>
      <w:r>
        <w:rPr>
          <w:rFonts w:hint="default" w:ascii="Times New Roman" w:hAnsi="Times New Roman" w:cs="Times New Roman"/>
          <w:i w:val="0"/>
          <w:highlight w:val="none"/>
          <w:lang w:val="en-US" w:eastAsia="zh-CN"/>
        </w:rPr>
        <w:t xml:space="preserve"> ——第i种镀件镀层的产量，㎡；</w:t>
      </w:r>
    </w:p>
    <w:p w14:paraId="5CD303C3">
      <w:pPr>
        <w:ind w:left="420" w:leftChars="200" w:firstLine="0" w:firstLineChars="0"/>
        <w:jc w:val="both"/>
        <w:rPr>
          <w:rFonts w:hint="default" w:ascii="Times New Roman" w:hAnsi="Times New Roman" w:cs="Times New Roman"/>
          <w:i w:val="0"/>
          <w:highlight w:val="none"/>
          <w:lang w:val="en-US" w:eastAsia="zh-CN"/>
        </w:rPr>
      </w:pPr>
      <m:oMath>
        <m:sSub>
          <m:sSubPr>
            <m:ctrlPr>
              <w:rPr>
                <w:rFonts w:hint="default" w:ascii="Cambria Math" w:hAnsi="Cambria Math" w:cs="Times New Roman"/>
                <w:i/>
                <w:highlight w:val="none"/>
                <w:lang w:val="en-US"/>
              </w:rPr>
            </m:ctrlPr>
          </m:sSubPr>
          <m:e>
            <m:r>
              <m:rPr>
                <m:nor/>
              </m:rPr>
              <w:rPr>
                <w:rFonts w:hint="default" w:ascii="Times New Roman" w:hAnsi="Times New Roman" w:cs="Times New Roman"/>
                <w:i/>
                <w:highlight w:val="none"/>
                <w:lang w:val="en-US" w:eastAsia="zh-CN"/>
              </w:rPr>
              <m:t>Q</m:t>
            </m:r>
            <m:ctrlPr>
              <w:rPr>
                <w:rFonts w:hint="default" w:ascii="Cambria Math" w:hAnsi="Cambria Math" w:cs="Times New Roman"/>
                <w:i/>
                <w:highlight w:val="none"/>
                <w:lang w:val="en-US"/>
              </w:rPr>
            </m:ctrlPr>
          </m:e>
          <m:sub>
            <m:r>
              <m:rPr>
                <m:nor/>
              </m:rPr>
              <w:rPr>
                <w:rFonts w:hint="default" w:ascii="Times New Roman" w:hAnsi="Times New Roman" w:cs="Times New Roman"/>
                <w:i/>
                <w:highlight w:val="none"/>
                <w:lang w:val="en-US" w:eastAsia="zh-CN"/>
              </w:rPr>
              <m:t>i</m:t>
            </m:r>
            <m:r>
              <m:rPr>
                <m:nor/>
                <m:sty m:val="p"/>
              </m:rPr>
              <w:rPr>
                <w:rFonts w:hint="default" w:ascii="Times New Roman" w:hAnsi="Times New Roman" w:cs="Times New Roman"/>
                <w:b w:val="0"/>
                <w:i w:val="0"/>
                <w:highlight w:val="none"/>
                <w:lang w:val="en-US" w:eastAsia="zh-CN"/>
              </w:rPr>
              <m:t>基</m:t>
            </m:r>
            <m:ctrlPr>
              <w:rPr>
                <w:rFonts w:hint="default" w:ascii="Cambria Math" w:hAnsi="Cambria Math" w:cs="Times New Roman"/>
                <w:i/>
                <w:highlight w:val="none"/>
                <w:lang w:val="en-US"/>
              </w:rPr>
            </m:ctrlPr>
          </m:sub>
        </m:sSub>
      </m:oMath>
      <w:r>
        <w:rPr>
          <w:rFonts w:hint="default" w:ascii="Times New Roman" w:hAnsi="Times New Roman" w:cs="Times New Roman"/>
          <w:i w:val="0"/>
          <w:highlight w:val="none"/>
          <w:lang w:val="en-US" w:eastAsia="zh-CN"/>
        </w:rPr>
        <w:t>——第i种镀件的单位产品基准排水量，</w:t>
      </w:r>
      <w:r>
        <w:rPr>
          <w:rFonts w:hint="default" w:ascii="Times New Roman" w:hAnsi="Times New Roman" w:cs="Times New Roman"/>
          <w:sz w:val="18"/>
          <w:szCs w:val="18"/>
          <w:highlight w:val="none"/>
          <w:vertAlign w:val="baseline"/>
          <w:lang w:val="en-US" w:eastAsia="zh-CN"/>
        </w:rPr>
        <w:t>m</w:t>
      </w:r>
      <w:r>
        <w:rPr>
          <w:rFonts w:hint="default" w:ascii="Times New Roman" w:hAnsi="Times New Roman" w:cs="Times New Roman"/>
          <w:sz w:val="18"/>
          <w:szCs w:val="18"/>
          <w:highlight w:val="none"/>
          <w:vertAlign w:val="superscript"/>
          <w:lang w:val="en-US" w:eastAsia="zh-CN"/>
        </w:rPr>
        <w:t>3</w:t>
      </w:r>
      <w:r>
        <w:rPr>
          <w:rFonts w:hint="default" w:ascii="Times New Roman" w:hAnsi="Times New Roman" w:cs="Times New Roman"/>
          <w:sz w:val="18"/>
          <w:szCs w:val="18"/>
          <w:highlight w:val="none"/>
          <w:vertAlign w:val="baseline"/>
          <w:lang w:val="en-US" w:eastAsia="zh-CN"/>
        </w:rPr>
        <w:t>/㎡</w:t>
      </w:r>
      <w:r>
        <w:rPr>
          <w:rFonts w:hint="default" w:ascii="Times New Roman" w:hAnsi="Times New Roman" w:cs="Times New Roman"/>
          <w:i w:val="0"/>
          <w:highlight w:val="none"/>
          <w:lang w:val="en-US" w:eastAsia="zh-CN"/>
        </w:rPr>
        <w:t>；</w:t>
      </w:r>
    </w:p>
    <w:p w14:paraId="1B2A0BCF">
      <w:pPr>
        <w:ind w:left="420" w:leftChars="200" w:firstLine="0" w:firstLineChars="0"/>
        <w:jc w:val="both"/>
        <w:rPr>
          <w:rFonts w:hint="default" w:ascii="Times New Roman" w:hAnsi="Times New Roman" w:cs="Times New Roman"/>
          <w:i w:val="0"/>
          <w:highlight w:val="none"/>
          <w:lang w:val="en-US" w:eastAsia="zh-CN"/>
        </w:rPr>
      </w:pPr>
      <m:oMath>
        <m:sSub>
          <m:sSubPr>
            <m:ctrlPr>
              <w:rPr>
                <w:rFonts w:hint="default" w:ascii="Cambria Math" w:hAnsi="Cambria Math" w:cs="Times New Roman"/>
                <w:i/>
                <w:highlight w:val="none"/>
                <w:lang w:val="en-US"/>
              </w:rPr>
            </m:ctrlPr>
          </m:sSubPr>
          <m:e>
            <m:r>
              <m:rPr>
                <m:nor/>
              </m:rPr>
              <w:rPr>
                <w:rFonts w:hint="default" w:ascii="Times New Roman" w:hAnsi="Times New Roman" w:cs="Times New Roman"/>
                <w:i/>
                <w:highlight w:val="none"/>
                <w:lang w:val="en-US"/>
              </w:rPr>
              <m:t>ρ</m:t>
            </m:r>
            <m:ctrlPr>
              <w:rPr>
                <w:rFonts w:hint="default" w:ascii="Cambria Math" w:hAnsi="Cambria Math" w:cs="Times New Roman"/>
                <w:i/>
                <w:highlight w:val="none"/>
                <w:lang w:val="en-US"/>
              </w:rPr>
            </m:ctrlPr>
          </m:e>
          <m:sub>
            <m:r>
              <m:rPr>
                <m:nor/>
                <m:sty m:val="p"/>
              </m:rPr>
              <w:rPr>
                <w:rFonts w:hint="default" w:ascii="Times New Roman" w:hAnsi="Times New Roman" w:cs="Times New Roman"/>
                <w:b w:val="0"/>
                <w:i w:val="0"/>
                <w:highlight w:val="none"/>
                <w:lang w:val="en-US" w:eastAsia="zh-CN"/>
              </w:rPr>
              <m:t>实</m:t>
            </m:r>
            <m:ctrlPr>
              <w:rPr>
                <w:rFonts w:hint="default" w:ascii="Cambria Math" w:hAnsi="Cambria Math" w:cs="Times New Roman"/>
                <w:i/>
                <w:highlight w:val="none"/>
                <w:lang w:val="en-US"/>
              </w:rPr>
            </m:ctrlPr>
          </m:sub>
        </m:sSub>
      </m:oMath>
      <w:r>
        <w:rPr>
          <w:rFonts w:hint="default" w:ascii="Times New Roman" w:hAnsi="Times New Roman" w:cs="Times New Roman"/>
          <w:i w:val="0"/>
          <w:highlight w:val="none"/>
          <w:lang w:val="en-US" w:eastAsia="zh-CN"/>
        </w:rPr>
        <w:t>——实测水污染物排放浓度，mg/L；</w:t>
      </w:r>
    </w:p>
    <w:p w14:paraId="7BEBA3A4">
      <w:pPr>
        <w:ind w:firstLine="420" w:firstLineChars="200"/>
        <w:rPr>
          <w:rFonts w:hint="default" w:ascii="Times New Roman" w:hAnsi="Times New Roman" w:eastAsia="宋体" w:cs="Times New Roman"/>
          <w:highlight w:val="none"/>
          <w:lang w:val="en-US" w:eastAsia="zh-CN"/>
        </w:rPr>
      </w:pPr>
      <w:r>
        <w:rPr>
          <w:rFonts w:hint="default" w:ascii="Times New Roman" w:hAnsi="Times New Roman" w:cs="Times New Roman"/>
          <w:highlight w:val="none"/>
          <w:lang w:val="en-US" w:eastAsia="zh-CN"/>
        </w:rPr>
        <w:t>若</w:t>
      </w:r>
      <m:oMath>
        <m:sSub>
          <m:sSubPr>
            <m:ctrlPr>
              <w:rPr>
                <w:rFonts w:hint="default" w:ascii="Cambria Math" w:hAnsi="Cambria Math" w:cs="Times New Roman"/>
                <w:i/>
                <w:highlight w:val="none"/>
                <w:lang w:val="en-US"/>
              </w:rPr>
            </m:ctrlPr>
          </m:sSubPr>
          <m:e>
            <m:r>
              <m:rPr>
                <m:nor/>
              </m:rPr>
              <w:rPr>
                <w:rFonts w:hint="default" w:ascii="Times New Roman" w:hAnsi="Times New Roman" w:cs="Times New Roman"/>
                <w:i/>
                <w:highlight w:val="none"/>
                <w:lang w:val="en-US" w:eastAsia="zh-CN"/>
              </w:rPr>
              <m:t>Q</m:t>
            </m:r>
            <m:ctrlPr>
              <w:rPr>
                <w:rFonts w:hint="default" w:ascii="Cambria Math" w:hAnsi="Cambria Math" w:cs="Times New Roman"/>
                <w:i/>
                <w:highlight w:val="none"/>
                <w:lang w:val="en-US"/>
              </w:rPr>
            </m:ctrlPr>
          </m:e>
          <m:sub>
            <m:r>
              <m:rPr>
                <m:nor/>
                <m:sty m:val="p"/>
              </m:rPr>
              <w:rPr>
                <w:rFonts w:hint="default" w:ascii="Times New Roman" w:hAnsi="Times New Roman" w:cs="Times New Roman"/>
                <w:b w:val="0"/>
                <w:i w:val="0"/>
                <w:highlight w:val="none"/>
                <w:lang w:val="en-US" w:eastAsia="zh-CN"/>
              </w:rPr>
              <m:t>总</m:t>
            </m:r>
            <m:ctrlPr>
              <w:rPr>
                <w:rFonts w:hint="default" w:ascii="Cambria Math" w:hAnsi="Cambria Math" w:cs="Times New Roman"/>
                <w:i/>
                <w:highlight w:val="none"/>
                <w:lang w:val="en-US"/>
              </w:rPr>
            </m:ctrlPr>
          </m:sub>
        </m:sSub>
      </m:oMath>
      <w:r>
        <w:rPr>
          <w:rFonts w:hint="default" w:ascii="Times New Roman" w:hAnsi="Times New Roman" w:cs="Times New Roman"/>
          <w:i w:val="0"/>
          <w:highlight w:val="none"/>
          <w:lang w:val="en-US" w:eastAsia="zh-CN"/>
        </w:rPr>
        <w:t>与</w:t>
      </w:r>
      <m:oMath>
        <m:nary>
          <m:naryPr>
            <m:chr m:val="∑"/>
            <m:limLoc m:val="undOvr"/>
            <m:subHide m:val="1"/>
            <m:supHide m:val="1"/>
            <m:ctrlPr>
              <w:rPr>
                <w:rFonts w:hint="default" w:ascii="Cambria Math" w:hAnsi="Cambria Math" w:cs="Times New Roman"/>
                <w:i/>
                <w:highlight w:val="none"/>
                <w:lang w:val="en-US" w:eastAsia="zh-CN"/>
              </w:rPr>
            </m:ctrlPr>
          </m:naryPr>
          <m:sub>
            <m:ctrlPr>
              <w:rPr>
                <w:rFonts w:hint="default" w:ascii="Cambria Math" w:hAnsi="Cambria Math" w:cs="Times New Roman"/>
                <w:i/>
                <w:highlight w:val="none"/>
                <w:lang w:val="en-US" w:eastAsia="zh-CN"/>
              </w:rPr>
            </m:ctrlPr>
          </m:sub>
          <m:sup>
            <m:ctrlPr>
              <w:rPr>
                <w:rFonts w:hint="default" w:ascii="Cambria Math" w:hAnsi="Cambria Math" w:cs="Times New Roman"/>
                <w:i/>
                <w:highlight w:val="none"/>
                <w:lang w:val="en-US" w:eastAsia="zh-CN"/>
              </w:rPr>
            </m:ctrlPr>
          </m:sup>
          <m:e>
            <m:sSub>
              <m:sSubPr>
                <m:ctrlPr>
                  <w:rPr>
                    <w:rFonts w:hint="default" w:ascii="Cambria Math" w:hAnsi="Cambria Math" w:cs="Times New Roman"/>
                    <w:i/>
                    <w:highlight w:val="none"/>
                    <w:lang w:val="en-US" w:eastAsia="zh-CN"/>
                  </w:rPr>
                </m:ctrlPr>
              </m:sSubPr>
              <m:e>
                <m:r>
                  <m:rPr>
                    <m:nor/>
                  </m:rPr>
                  <w:rPr>
                    <w:rFonts w:hint="default" w:ascii="Times New Roman" w:hAnsi="Times New Roman" w:cs="Times New Roman"/>
                    <w:i/>
                    <w:highlight w:val="none"/>
                    <w:lang w:val="en-US" w:eastAsia="zh-CN"/>
                  </w:rPr>
                  <m:t>Y</m:t>
                </m:r>
                <m:ctrlPr>
                  <w:rPr>
                    <w:rFonts w:hint="default" w:ascii="Cambria Math" w:hAnsi="Cambria Math" w:cs="Times New Roman"/>
                    <w:i/>
                    <w:highlight w:val="none"/>
                    <w:lang w:val="en-US" w:eastAsia="zh-CN"/>
                  </w:rPr>
                </m:ctrlPr>
              </m:e>
              <m:sub>
                <m:r>
                  <m:rPr>
                    <m:nor/>
                  </m:rPr>
                  <w:rPr>
                    <w:rFonts w:hint="default" w:ascii="Times New Roman" w:hAnsi="Times New Roman" w:cs="Times New Roman"/>
                    <w:i/>
                    <w:highlight w:val="none"/>
                    <w:lang w:val="en-US" w:eastAsia="zh-CN"/>
                  </w:rPr>
                  <m:t>i</m:t>
                </m:r>
                <m:ctrlPr>
                  <w:rPr>
                    <w:rFonts w:hint="default" w:ascii="Cambria Math" w:hAnsi="Cambria Math" w:cs="Times New Roman"/>
                    <w:i/>
                    <w:highlight w:val="none"/>
                    <w:lang w:val="en-US" w:eastAsia="zh-CN"/>
                  </w:rPr>
                </m:ctrlPr>
              </m:sub>
            </m:sSub>
            <m:r>
              <m:rPr>
                <m:nor/>
                <m:sty m:val="p"/>
              </m:rPr>
              <w:rPr>
                <w:rFonts w:hint="default" w:ascii="Times New Roman" w:hAnsi="Times New Roman" w:cs="Times New Roman"/>
                <w:b w:val="0"/>
                <w:i w:val="0"/>
                <w:highlight w:val="none"/>
                <w:lang w:val="en-US"/>
              </w:rPr>
              <m:t>∙</m:t>
            </m:r>
            <m:sSub>
              <m:sSubPr>
                <m:ctrlPr>
                  <w:rPr>
                    <w:rFonts w:hint="default" w:ascii="Cambria Math" w:hAnsi="Cambria Math" w:cs="Times New Roman"/>
                    <w:i/>
                    <w:highlight w:val="none"/>
                    <w:lang w:val="en-US" w:eastAsia="zh-CN"/>
                  </w:rPr>
                </m:ctrlPr>
              </m:sSubPr>
              <m:e>
                <m:r>
                  <m:rPr>
                    <m:nor/>
                  </m:rPr>
                  <w:rPr>
                    <w:rFonts w:hint="default" w:ascii="Times New Roman" w:hAnsi="Times New Roman" w:cs="Times New Roman"/>
                    <w:i/>
                    <w:highlight w:val="none"/>
                    <w:lang w:val="en-US" w:eastAsia="zh-CN"/>
                  </w:rPr>
                  <m:t>Q</m:t>
                </m:r>
                <m:ctrlPr>
                  <w:rPr>
                    <w:rFonts w:hint="default" w:ascii="Cambria Math" w:hAnsi="Cambria Math" w:cs="Times New Roman"/>
                    <w:i/>
                    <w:highlight w:val="none"/>
                    <w:lang w:val="en-US" w:eastAsia="zh-CN"/>
                  </w:rPr>
                </m:ctrlPr>
              </m:e>
              <m:sub>
                <m:r>
                  <m:rPr>
                    <m:nor/>
                  </m:rPr>
                  <w:rPr>
                    <w:rFonts w:hint="default" w:ascii="Times New Roman" w:hAnsi="Times New Roman" w:cs="Times New Roman"/>
                    <w:i/>
                    <w:highlight w:val="none"/>
                    <w:lang w:val="en-US" w:eastAsia="zh-CN"/>
                  </w:rPr>
                  <m:t>i</m:t>
                </m:r>
                <m:r>
                  <m:rPr>
                    <m:nor/>
                    <m:sty m:val="p"/>
                  </m:rPr>
                  <w:rPr>
                    <w:rFonts w:hint="default" w:ascii="Times New Roman" w:hAnsi="Times New Roman" w:cs="Times New Roman"/>
                    <w:b w:val="0"/>
                    <w:i w:val="0"/>
                    <w:highlight w:val="none"/>
                    <w:lang w:val="en-US" w:eastAsia="zh-CN"/>
                  </w:rPr>
                  <m:t>基</m:t>
                </m:r>
                <m:ctrlPr>
                  <w:rPr>
                    <w:rFonts w:hint="default" w:ascii="Cambria Math" w:hAnsi="Cambria Math" w:cs="Times New Roman"/>
                    <w:i/>
                    <w:highlight w:val="none"/>
                    <w:lang w:val="en-US" w:eastAsia="zh-CN"/>
                  </w:rPr>
                </m:ctrlPr>
              </m:sub>
            </m:sSub>
            <m:ctrlPr>
              <w:rPr>
                <w:rFonts w:hint="default" w:ascii="Cambria Math" w:hAnsi="Cambria Math" w:cs="Times New Roman"/>
                <w:i/>
                <w:highlight w:val="none"/>
                <w:lang w:val="en-US" w:eastAsia="zh-CN"/>
              </w:rPr>
            </m:ctrlPr>
          </m:e>
        </m:nary>
      </m:oMath>
      <w:r>
        <w:rPr>
          <w:rFonts w:hint="default" w:ascii="Times New Roman" w:hAnsi="Times New Roman" w:cs="Times New Roman"/>
          <w:i w:val="0"/>
          <w:highlight w:val="none"/>
          <w:lang w:val="en-US" w:eastAsia="zh-CN"/>
        </w:rPr>
        <w:t>的比值小于1，则以水污染物实测浓度作为判定排放是否达标的依据。</w:t>
      </w:r>
    </w:p>
    <w:p w14:paraId="137A318F">
      <w:pPr>
        <w:adjustRightInd w:val="0"/>
        <w:snapToGrid w:val="0"/>
        <w:spacing w:before="158" w:beforeLines="50" w:after="158" w:afterLines="50"/>
        <w:rPr>
          <w:rFonts w:hint="default" w:ascii="Times New Roman" w:hAnsi="Times New Roman" w:eastAsia="黑体" w:cs="Times New Roman"/>
          <w:highlight w:val="none"/>
          <w:lang w:val="en-US" w:eastAsia="zh-CN"/>
        </w:rPr>
      </w:pPr>
      <w:r>
        <w:rPr>
          <w:rFonts w:hint="default" w:ascii="黑体" w:hAnsi="黑体" w:eastAsia="黑体" w:cs="黑体"/>
          <w:bCs/>
          <w:kern w:val="44"/>
          <w:sz w:val="21"/>
          <w:szCs w:val="44"/>
          <w:highlight w:val="none"/>
          <w:lang w:val="en-US" w:eastAsia="zh-CN" w:bidi="ar-SA"/>
        </w:rPr>
        <w:t>4.3.2</w:t>
      </w:r>
      <w:r>
        <w:rPr>
          <w:rFonts w:hint="default" w:ascii="Times New Roman" w:hAnsi="Times New Roman" w:eastAsia="黑体" w:cs="Times New Roman"/>
          <w:highlight w:val="none"/>
          <w:lang w:val="en-US" w:eastAsia="zh-CN"/>
        </w:rPr>
        <w:t xml:space="preserve">  大气污染物排放控制要求</w:t>
      </w:r>
    </w:p>
    <w:p w14:paraId="60D9758B">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黑体" w:cs="Times New Roman"/>
          <w:highlight w:val="none"/>
          <w:lang w:val="en-US" w:eastAsia="zh-CN"/>
        </w:rPr>
      </w:pPr>
      <w:r>
        <w:rPr>
          <w:rFonts w:hint="default" w:ascii="黑体" w:hAnsi="黑体" w:eastAsia="黑体" w:cs="黑体"/>
          <w:bCs/>
          <w:kern w:val="44"/>
          <w:sz w:val="21"/>
          <w:szCs w:val="44"/>
          <w:highlight w:val="none"/>
          <w:lang w:val="en-US" w:eastAsia="zh-CN" w:bidi="ar-SA"/>
        </w:rPr>
        <w:t>4.3.2.1</w:t>
      </w:r>
      <w:r>
        <w:rPr>
          <w:rFonts w:hint="default" w:ascii="Times New Roman" w:hAnsi="Times New Roman" w:eastAsia="黑体" w:cs="Times New Roman"/>
          <w:szCs w:val="21"/>
          <w:highlight w:val="none"/>
          <w:lang w:val="en-US" w:eastAsia="zh-CN"/>
        </w:rPr>
        <w:t xml:space="preserve">  </w:t>
      </w:r>
      <w:r>
        <w:rPr>
          <w:rFonts w:hint="eastAsia" w:ascii="Times New Roman" w:hAnsi="Times New Roman" w:cs="Times New Roman"/>
          <w:szCs w:val="21"/>
          <w:highlight w:val="none"/>
          <w:lang w:val="en-US" w:eastAsia="zh-CN"/>
        </w:rPr>
        <w:t>大气污染排放浓度限值见表7。</w:t>
      </w:r>
    </w:p>
    <w:p w14:paraId="7F8D389B">
      <w:pPr>
        <w:keepNext w:val="0"/>
        <w:keepLines w:val="0"/>
        <w:pageBreakBefore w:val="0"/>
        <w:widowControl w:val="0"/>
        <w:kinsoku/>
        <w:wordWrap/>
        <w:overflowPunct/>
        <w:topLinePunct w:val="0"/>
        <w:autoSpaceDE/>
        <w:autoSpaceDN/>
        <w:bidi w:val="0"/>
        <w:adjustRightInd w:val="0"/>
        <w:snapToGrid w:val="0"/>
        <w:spacing w:before="158" w:beforeLines="50"/>
        <w:jc w:val="center"/>
        <w:textAlignment w:val="auto"/>
        <w:rPr>
          <w:rFonts w:hint="default" w:ascii="Times New Roman" w:hAnsi="Times New Roman" w:eastAsia="黑体" w:cs="Times New Roman"/>
          <w:highlight w:val="none"/>
          <w:lang w:val="en-US" w:eastAsia="zh-CN"/>
        </w:rPr>
      </w:pPr>
      <w:r>
        <w:rPr>
          <w:rFonts w:hint="default" w:ascii="Times New Roman" w:hAnsi="Times New Roman" w:eastAsia="黑体" w:cs="Times New Roman"/>
          <w:highlight w:val="none"/>
          <w:lang w:val="en-US" w:eastAsia="zh-CN"/>
        </w:rPr>
        <w:t>表</w:t>
      </w:r>
      <w:r>
        <w:rPr>
          <w:rFonts w:hint="eastAsia" w:ascii="Times New Roman" w:hAnsi="Times New Roman" w:eastAsia="黑体" w:cs="Times New Roman"/>
          <w:highlight w:val="none"/>
          <w:lang w:val="en-US" w:eastAsia="zh-CN"/>
        </w:rPr>
        <w:t>7</w:t>
      </w:r>
      <w:r>
        <w:rPr>
          <w:rFonts w:hint="default" w:ascii="Times New Roman" w:hAnsi="Times New Roman" w:eastAsia="黑体" w:cs="Times New Roman"/>
          <w:highlight w:val="none"/>
          <w:lang w:val="en-US" w:eastAsia="zh-CN"/>
        </w:rPr>
        <w:t xml:space="preserve">  大气污染物排放浓度限值  </w:t>
      </w:r>
      <w:r>
        <w:rPr>
          <w:rFonts w:hint="default" w:ascii="Times New Roman" w:hAnsi="Times New Roman" w:cs="Times New Roman" w:eastAsiaTheme="majorEastAsia"/>
          <w:highlight w:val="none"/>
          <w:lang w:val="en-US" w:eastAsia="zh-CN"/>
        </w:rPr>
        <w:t>单位：mg/m³</w:t>
      </w:r>
    </w:p>
    <w:tbl>
      <w:tblPr>
        <w:tblStyle w:val="16"/>
        <w:tblW w:w="4994"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2326"/>
        <w:gridCol w:w="1691"/>
        <w:gridCol w:w="1588"/>
        <w:gridCol w:w="3301"/>
      </w:tblGrid>
      <w:tr w14:paraId="310ACF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342" w:type="pct"/>
            <w:tcBorders>
              <w:bottom w:val="single" w:color="auto" w:sz="12" w:space="0"/>
            </w:tcBorders>
            <w:vAlign w:val="center"/>
          </w:tcPr>
          <w:p w14:paraId="10A2A2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序号</w:t>
            </w:r>
          </w:p>
        </w:tc>
        <w:tc>
          <w:tcPr>
            <w:tcW w:w="1216" w:type="pct"/>
            <w:tcBorders>
              <w:bottom w:val="single" w:color="auto" w:sz="12" w:space="0"/>
            </w:tcBorders>
            <w:vAlign w:val="center"/>
          </w:tcPr>
          <w:p w14:paraId="64AFBD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污染物项目</w:t>
            </w:r>
          </w:p>
        </w:tc>
        <w:tc>
          <w:tcPr>
            <w:tcW w:w="884" w:type="pct"/>
            <w:tcBorders>
              <w:bottom w:val="single" w:color="auto" w:sz="12" w:space="0"/>
            </w:tcBorders>
            <w:shd w:val="clear" w:color="auto" w:fill="auto"/>
            <w:vAlign w:val="center"/>
          </w:tcPr>
          <w:p w14:paraId="7F576B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A级排放限值</w:t>
            </w:r>
          </w:p>
        </w:tc>
        <w:tc>
          <w:tcPr>
            <w:tcW w:w="830" w:type="pct"/>
            <w:tcBorders>
              <w:bottom w:val="single" w:color="auto" w:sz="12" w:space="0"/>
            </w:tcBorders>
            <w:vAlign w:val="center"/>
          </w:tcPr>
          <w:p w14:paraId="3B3088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B级排放限值</w:t>
            </w:r>
          </w:p>
        </w:tc>
        <w:tc>
          <w:tcPr>
            <w:tcW w:w="1726" w:type="pct"/>
            <w:tcBorders>
              <w:bottom w:val="single" w:color="auto" w:sz="12" w:space="0"/>
            </w:tcBorders>
            <w:vAlign w:val="center"/>
          </w:tcPr>
          <w:p w14:paraId="030955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污染物排放监控位置</w:t>
            </w:r>
          </w:p>
        </w:tc>
      </w:tr>
      <w:tr w14:paraId="350D23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2" w:type="pct"/>
            <w:tcBorders>
              <w:top w:val="single" w:color="auto" w:sz="12" w:space="0"/>
            </w:tcBorders>
            <w:vAlign w:val="center"/>
          </w:tcPr>
          <w:p w14:paraId="375956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1</w:t>
            </w:r>
          </w:p>
        </w:tc>
        <w:tc>
          <w:tcPr>
            <w:tcW w:w="1216" w:type="pct"/>
            <w:tcBorders>
              <w:top w:val="single" w:color="auto" w:sz="12" w:space="0"/>
            </w:tcBorders>
            <w:shd w:val="clear" w:color="auto" w:fill="auto"/>
            <w:vAlign w:val="center"/>
          </w:tcPr>
          <w:p w14:paraId="3170D3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氯化氢</w:t>
            </w:r>
          </w:p>
        </w:tc>
        <w:tc>
          <w:tcPr>
            <w:tcW w:w="884" w:type="pct"/>
            <w:tcBorders>
              <w:top w:val="single" w:color="auto" w:sz="12" w:space="0"/>
            </w:tcBorders>
            <w:shd w:val="clear" w:color="auto" w:fill="auto"/>
            <w:vAlign w:val="center"/>
          </w:tcPr>
          <w:p w14:paraId="2B81D9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eastAsia" w:ascii="Times New Roman" w:hAnsi="Times New Roman" w:cs="Times New Roman"/>
                <w:kern w:val="2"/>
                <w:sz w:val="18"/>
                <w:szCs w:val="18"/>
                <w:highlight w:val="none"/>
                <w:vertAlign w:val="baseline"/>
                <w:lang w:val="en-US" w:eastAsia="zh-CN" w:bidi="ar-SA"/>
              </w:rPr>
              <w:t>15</w:t>
            </w:r>
          </w:p>
        </w:tc>
        <w:tc>
          <w:tcPr>
            <w:tcW w:w="830" w:type="pct"/>
            <w:tcBorders>
              <w:top w:val="single" w:color="auto" w:sz="12" w:space="0"/>
            </w:tcBorders>
            <w:shd w:val="clear" w:color="auto" w:fill="auto"/>
            <w:vAlign w:val="center"/>
          </w:tcPr>
          <w:p w14:paraId="606A25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30</w:t>
            </w:r>
          </w:p>
        </w:tc>
        <w:tc>
          <w:tcPr>
            <w:tcW w:w="1726" w:type="pct"/>
            <w:vMerge w:val="restart"/>
            <w:tcBorders>
              <w:top w:val="single" w:color="auto" w:sz="12" w:space="0"/>
            </w:tcBorders>
            <w:vAlign w:val="center"/>
          </w:tcPr>
          <w:p w14:paraId="25F4BE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sz w:val="18"/>
                <w:szCs w:val="18"/>
                <w:highlight w:val="none"/>
                <w:vertAlign w:val="baseline"/>
                <w:lang w:val="en-US" w:eastAsia="zh-CN"/>
              </w:rPr>
              <w:t>车间或生产设施废气排放口/排气筒</w:t>
            </w:r>
          </w:p>
        </w:tc>
      </w:tr>
      <w:tr w14:paraId="24E7E9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2" w:type="pct"/>
            <w:vAlign w:val="center"/>
          </w:tcPr>
          <w:p w14:paraId="0FDC83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2</w:t>
            </w:r>
          </w:p>
        </w:tc>
        <w:tc>
          <w:tcPr>
            <w:tcW w:w="1216" w:type="pct"/>
            <w:shd w:val="clear" w:color="auto" w:fill="auto"/>
            <w:vAlign w:val="center"/>
          </w:tcPr>
          <w:p w14:paraId="112F38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硫酸雾</w:t>
            </w:r>
          </w:p>
        </w:tc>
        <w:tc>
          <w:tcPr>
            <w:tcW w:w="884" w:type="pct"/>
            <w:shd w:val="clear" w:color="auto" w:fill="auto"/>
            <w:vAlign w:val="center"/>
          </w:tcPr>
          <w:p w14:paraId="7002E3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15</w:t>
            </w:r>
          </w:p>
        </w:tc>
        <w:tc>
          <w:tcPr>
            <w:tcW w:w="830" w:type="pct"/>
            <w:shd w:val="clear" w:color="auto" w:fill="auto"/>
            <w:vAlign w:val="center"/>
          </w:tcPr>
          <w:p w14:paraId="08F571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30</w:t>
            </w:r>
          </w:p>
        </w:tc>
        <w:tc>
          <w:tcPr>
            <w:tcW w:w="1726" w:type="pct"/>
            <w:vMerge w:val="continue"/>
            <w:vAlign w:val="center"/>
          </w:tcPr>
          <w:p w14:paraId="4F7D5F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rPr>
            </w:pPr>
          </w:p>
        </w:tc>
      </w:tr>
      <w:tr w14:paraId="44A33D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2" w:type="pct"/>
            <w:vAlign w:val="center"/>
          </w:tcPr>
          <w:p w14:paraId="1078A2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3</w:t>
            </w:r>
          </w:p>
        </w:tc>
        <w:tc>
          <w:tcPr>
            <w:tcW w:w="1216" w:type="pct"/>
            <w:shd w:val="clear" w:color="auto" w:fill="auto"/>
            <w:vAlign w:val="center"/>
          </w:tcPr>
          <w:p w14:paraId="1DE629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氮氧化物</w:t>
            </w:r>
          </w:p>
        </w:tc>
        <w:tc>
          <w:tcPr>
            <w:tcW w:w="884" w:type="pct"/>
            <w:shd w:val="clear" w:color="auto" w:fill="auto"/>
            <w:vAlign w:val="center"/>
          </w:tcPr>
          <w:p w14:paraId="3F8C7D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eastAsia" w:ascii="Times New Roman" w:hAnsi="Times New Roman" w:cs="Times New Roman"/>
                <w:kern w:val="2"/>
                <w:sz w:val="18"/>
                <w:szCs w:val="18"/>
                <w:highlight w:val="none"/>
                <w:vertAlign w:val="baseline"/>
                <w:lang w:val="en-US" w:eastAsia="zh-CN" w:bidi="ar-SA"/>
              </w:rPr>
              <w:t>50</w:t>
            </w:r>
          </w:p>
        </w:tc>
        <w:tc>
          <w:tcPr>
            <w:tcW w:w="830" w:type="pct"/>
            <w:shd w:val="clear" w:color="auto" w:fill="auto"/>
            <w:vAlign w:val="center"/>
          </w:tcPr>
          <w:p w14:paraId="5CB43FD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eastAsia" w:ascii="Times New Roman" w:hAnsi="Times New Roman" w:cs="Times New Roman"/>
                <w:sz w:val="18"/>
                <w:szCs w:val="18"/>
                <w:highlight w:val="none"/>
                <w:vertAlign w:val="baseline"/>
                <w:lang w:val="en-US" w:eastAsia="zh-CN"/>
              </w:rPr>
              <w:t>100</w:t>
            </w:r>
          </w:p>
        </w:tc>
        <w:tc>
          <w:tcPr>
            <w:tcW w:w="1726" w:type="pct"/>
            <w:vMerge w:val="continue"/>
            <w:vAlign w:val="center"/>
          </w:tcPr>
          <w:p w14:paraId="49B620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rPr>
            </w:pPr>
          </w:p>
        </w:tc>
      </w:tr>
      <w:tr w14:paraId="4C9659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2" w:type="pct"/>
            <w:vAlign w:val="center"/>
          </w:tcPr>
          <w:p w14:paraId="41F1CC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4</w:t>
            </w:r>
          </w:p>
        </w:tc>
        <w:tc>
          <w:tcPr>
            <w:tcW w:w="1216" w:type="pct"/>
            <w:shd w:val="clear" w:color="auto" w:fill="auto"/>
            <w:vAlign w:val="center"/>
          </w:tcPr>
          <w:p w14:paraId="01E193D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颗粒物</w:t>
            </w:r>
          </w:p>
        </w:tc>
        <w:tc>
          <w:tcPr>
            <w:tcW w:w="884" w:type="pct"/>
            <w:shd w:val="clear" w:color="auto" w:fill="auto"/>
            <w:vAlign w:val="center"/>
          </w:tcPr>
          <w:p w14:paraId="33851E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eastAsia" w:ascii="Times New Roman" w:hAnsi="Times New Roman" w:cs="Times New Roman"/>
                <w:kern w:val="2"/>
                <w:sz w:val="18"/>
                <w:szCs w:val="18"/>
                <w:highlight w:val="none"/>
                <w:vertAlign w:val="baseline"/>
                <w:lang w:val="en-US" w:eastAsia="zh-CN" w:bidi="ar-SA"/>
              </w:rPr>
              <w:t>30</w:t>
            </w:r>
          </w:p>
        </w:tc>
        <w:tc>
          <w:tcPr>
            <w:tcW w:w="830" w:type="pct"/>
            <w:shd w:val="clear" w:color="auto" w:fill="auto"/>
            <w:vAlign w:val="center"/>
          </w:tcPr>
          <w:p w14:paraId="6988C4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eastAsia" w:ascii="Times New Roman" w:hAnsi="Times New Roman" w:cs="Times New Roman"/>
                <w:kern w:val="2"/>
                <w:sz w:val="18"/>
                <w:szCs w:val="18"/>
                <w:highlight w:val="none"/>
                <w:vertAlign w:val="baseline"/>
                <w:lang w:val="en-US" w:eastAsia="zh-CN" w:bidi="ar-SA"/>
              </w:rPr>
              <w:t>80</w:t>
            </w:r>
          </w:p>
        </w:tc>
        <w:tc>
          <w:tcPr>
            <w:tcW w:w="1726" w:type="pct"/>
            <w:vMerge w:val="continue"/>
            <w:vAlign w:val="center"/>
          </w:tcPr>
          <w:p w14:paraId="23C634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rPr>
            </w:pPr>
          </w:p>
        </w:tc>
      </w:tr>
      <w:tr w14:paraId="0FD24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trPr>
        <w:tc>
          <w:tcPr>
            <w:tcW w:w="342" w:type="pct"/>
            <w:shd w:val="clear" w:color="auto" w:fill="auto"/>
            <w:vAlign w:val="center"/>
          </w:tcPr>
          <w:p w14:paraId="58EBC19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5</w:t>
            </w:r>
          </w:p>
        </w:tc>
        <w:tc>
          <w:tcPr>
            <w:tcW w:w="1216" w:type="pct"/>
            <w:shd w:val="clear" w:color="auto" w:fill="auto"/>
            <w:vAlign w:val="center"/>
          </w:tcPr>
          <w:p w14:paraId="0BC3B3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非甲烷总烃</w:t>
            </w:r>
          </w:p>
        </w:tc>
        <w:tc>
          <w:tcPr>
            <w:tcW w:w="884" w:type="pct"/>
            <w:shd w:val="clear" w:color="auto" w:fill="auto"/>
            <w:vAlign w:val="center"/>
          </w:tcPr>
          <w:p w14:paraId="42C97B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eastAsia" w:ascii="Times New Roman" w:hAnsi="Times New Roman" w:cs="Times New Roman"/>
                <w:kern w:val="2"/>
                <w:sz w:val="18"/>
                <w:szCs w:val="18"/>
                <w:highlight w:val="none"/>
                <w:vertAlign w:val="baseline"/>
                <w:lang w:val="en-US" w:eastAsia="zh-CN" w:bidi="ar-SA"/>
              </w:rPr>
              <w:t>10</w:t>
            </w:r>
          </w:p>
        </w:tc>
        <w:tc>
          <w:tcPr>
            <w:tcW w:w="830" w:type="pct"/>
            <w:shd w:val="clear" w:color="auto" w:fill="auto"/>
            <w:vAlign w:val="center"/>
          </w:tcPr>
          <w:p w14:paraId="687C94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eastAsia" w:ascii="Times New Roman" w:hAnsi="Times New Roman" w:cs="Times New Roman"/>
                <w:kern w:val="2"/>
                <w:sz w:val="18"/>
                <w:szCs w:val="18"/>
                <w:highlight w:val="none"/>
                <w:vertAlign w:val="baseline"/>
                <w:lang w:val="en-US" w:eastAsia="zh-CN" w:bidi="ar-SA"/>
              </w:rPr>
              <w:t>30</w:t>
            </w:r>
          </w:p>
        </w:tc>
        <w:tc>
          <w:tcPr>
            <w:tcW w:w="1726" w:type="pct"/>
            <w:vMerge w:val="continue"/>
            <w:vAlign w:val="center"/>
          </w:tcPr>
          <w:p w14:paraId="4C4B2D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rPr>
            </w:pPr>
          </w:p>
        </w:tc>
      </w:tr>
    </w:tbl>
    <w:p w14:paraId="39BEAB48">
      <w:pPr>
        <w:adjustRightInd w:val="0"/>
        <w:snapToGrid w:val="0"/>
        <w:spacing w:before="158" w:beforeLines="50" w:after="158" w:afterLines="50"/>
        <w:rPr>
          <w:rFonts w:hint="default" w:ascii="Times New Roman" w:hAnsi="Times New Roman" w:cs="Times New Roman"/>
          <w:szCs w:val="21"/>
          <w:highlight w:val="none"/>
          <w:lang w:val="en-US" w:eastAsia="zh-CN"/>
        </w:rPr>
      </w:pPr>
      <w:r>
        <w:rPr>
          <w:rFonts w:hint="default" w:ascii="黑体" w:hAnsi="黑体" w:eastAsia="黑体" w:cs="黑体"/>
          <w:bCs/>
          <w:kern w:val="44"/>
          <w:sz w:val="21"/>
          <w:szCs w:val="44"/>
          <w:highlight w:val="none"/>
          <w:lang w:val="en-US" w:eastAsia="zh-CN" w:bidi="ar-SA"/>
        </w:rPr>
        <w:t>4.3.2.1</w:t>
      </w:r>
      <w:r>
        <w:rPr>
          <w:rFonts w:hint="default" w:ascii="Times New Roman" w:hAnsi="Times New Roman" w:cs="Times New Roman"/>
          <w:szCs w:val="21"/>
          <w:highlight w:val="none"/>
          <w:lang w:val="en-US" w:eastAsia="zh-CN"/>
        </w:rPr>
        <w:t xml:space="preserve">  产生大气污染物的生产工艺装置必须设立局部气体收集系统和集中净化处理装置，净化后的气体由排气筒排放。排气筒高度不低于15 m，且排气筒高度应高出半径200 m范围内最高建筑物5 m及以上；不能达到该要求高度的排气筒，应按排放限值的50%执行。</w:t>
      </w:r>
    </w:p>
    <w:p w14:paraId="69823F69">
      <w:pPr>
        <w:adjustRightInd w:val="0"/>
        <w:snapToGrid w:val="0"/>
        <w:spacing w:before="158" w:beforeLines="50" w:after="158" w:afterLines="50"/>
        <w:rPr>
          <w:rFonts w:hint="default" w:ascii="Times New Roman" w:hAnsi="Times New Roman" w:eastAsia="黑体" w:cs="Times New Roman"/>
          <w:highlight w:val="none"/>
          <w:lang w:val="en-US" w:eastAsia="zh-CN"/>
        </w:rPr>
      </w:pPr>
      <w:r>
        <w:rPr>
          <w:rFonts w:hint="default" w:ascii="黑体" w:hAnsi="黑体" w:eastAsia="黑体" w:cs="黑体"/>
          <w:bCs/>
          <w:kern w:val="44"/>
          <w:sz w:val="21"/>
          <w:szCs w:val="44"/>
          <w:highlight w:val="none"/>
          <w:lang w:val="en-US" w:eastAsia="zh-CN" w:bidi="ar-SA"/>
        </w:rPr>
        <w:t>4.3.3</w:t>
      </w:r>
      <w:r>
        <w:rPr>
          <w:rFonts w:hint="default" w:ascii="Times New Roman" w:hAnsi="Times New Roman" w:eastAsia="黑体" w:cs="Times New Roman"/>
          <w:highlight w:val="none"/>
          <w:lang w:val="en-US" w:eastAsia="zh-CN"/>
        </w:rPr>
        <w:t xml:space="preserve">  固体废物处理要求</w:t>
      </w:r>
    </w:p>
    <w:p w14:paraId="5AFECEE5">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Cs w:val="21"/>
          <w:highlight w:val="none"/>
        </w:rPr>
      </w:pPr>
      <w:r>
        <w:rPr>
          <w:rFonts w:hint="default" w:ascii="黑体" w:hAnsi="黑体" w:eastAsia="黑体" w:cs="黑体"/>
          <w:bCs/>
          <w:kern w:val="44"/>
          <w:sz w:val="21"/>
          <w:szCs w:val="44"/>
          <w:highlight w:val="none"/>
          <w:lang w:val="en-US" w:eastAsia="zh-CN" w:bidi="ar-SA"/>
        </w:rPr>
        <w:t>4.3.3.1</w:t>
      </w:r>
      <w:r>
        <w:rPr>
          <w:rFonts w:hint="default" w:ascii="Times New Roman" w:hAnsi="Times New Roman" w:cs="Times New Roman"/>
          <w:szCs w:val="21"/>
          <w:highlight w:val="none"/>
        </w:rPr>
        <w:t xml:space="preserve"> </w:t>
      </w:r>
      <w:r>
        <w:rPr>
          <w:rFonts w:hint="default" w:ascii="Times New Roman" w:hAnsi="Times New Roman" w:cs="Times New Roman"/>
          <w:szCs w:val="21"/>
          <w:highlight w:val="none"/>
          <w:lang w:val="en-US" w:eastAsia="zh-CN"/>
        </w:rPr>
        <w:t xml:space="preserve"> </w:t>
      </w:r>
      <w:r>
        <w:rPr>
          <w:rFonts w:hint="default" w:ascii="Times New Roman" w:hAnsi="Times New Roman" w:cs="Times New Roman"/>
          <w:szCs w:val="21"/>
          <w:highlight w:val="none"/>
        </w:rPr>
        <w:t>企业应对产生的固体废物按照其废物属性进行合理贮存、利用和处置。</w:t>
      </w:r>
    </w:p>
    <w:p w14:paraId="3B400451">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Cs w:val="21"/>
          <w:highlight w:val="none"/>
          <w:lang w:eastAsia="zh-CN"/>
        </w:rPr>
      </w:pPr>
      <w:r>
        <w:rPr>
          <w:rFonts w:hint="default" w:ascii="黑体" w:hAnsi="黑体" w:eastAsia="黑体" w:cs="黑体"/>
          <w:bCs/>
          <w:kern w:val="44"/>
          <w:sz w:val="21"/>
          <w:szCs w:val="44"/>
          <w:highlight w:val="none"/>
          <w:lang w:val="en-US" w:eastAsia="zh-CN" w:bidi="ar-SA"/>
        </w:rPr>
        <w:t>4.3.3.2</w:t>
      </w:r>
      <w:r>
        <w:rPr>
          <w:rFonts w:hint="default" w:ascii="Times New Roman" w:hAnsi="Times New Roman" w:cs="Times New Roman"/>
          <w:szCs w:val="21"/>
          <w:highlight w:val="none"/>
        </w:rPr>
        <w:t xml:space="preserve"> </w:t>
      </w:r>
      <w:r>
        <w:rPr>
          <w:rFonts w:hint="default" w:ascii="Times New Roman" w:hAnsi="Times New Roman" w:cs="Times New Roman"/>
          <w:szCs w:val="21"/>
          <w:highlight w:val="none"/>
          <w:lang w:val="en-US" w:eastAsia="zh-CN"/>
        </w:rPr>
        <w:t xml:space="preserve"> </w:t>
      </w:r>
      <w:r>
        <w:rPr>
          <w:rFonts w:hint="default" w:ascii="Times New Roman" w:hAnsi="Times New Roman" w:cs="Times New Roman"/>
          <w:szCs w:val="21"/>
          <w:highlight w:val="none"/>
        </w:rPr>
        <w:t>根据</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rPr>
        <w:t>国家危险废物名录</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rPr>
        <w:t>或者危险废物鉴别标准和技术规范鉴别属于危险废物的，应严格按照危险废物管理，其贮存、利用和处置应符合GB18484、GB18597、GB18598、HJ2025和《危险废物转移管理办法》等文件的要求</w:t>
      </w:r>
      <w:r>
        <w:rPr>
          <w:rFonts w:hint="default" w:ascii="Times New Roman" w:hAnsi="Times New Roman" w:cs="Times New Roman"/>
          <w:szCs w:val="21"/>
          <w:highlight w:val="none"/>
          <w:lang w:eastAsia="zh-CN"/>
        </w:rPr>
        <w:t>。</w:t>
      </w:r>
    </w:p>
    <w:p w14:paraId="32B5DFCC">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Cs w:val="21"/>
          <w:highlight w:val="none"/>
          <w:lang w:val="en-US" w:eastAsia="zh-CN"/>
        </w:rPr>
      </w:pPr>
      <w:r>
        <w:rPr>
          <w:rFonts w:hint="default" w:ascii="黑体" w:hAnsi="黑体" w:eastAsia="黑体" w:cs="黑体"/>
          <w:bCs/>
          <w:kern w:val="44"/>
          <w:sz w:val="21"/>
          <w:szCs w:val="44"/>
          <w:highlight w:val="none"/>
          <w:lang w:val="en-US" w:eastAsia="zh-CN" w:bidi="ar-SA"/>
        </w:rPr>
        <w:t>4.3.3.3</w:t>
      </w:r>
      <w:r>
        <w:rPr>
          <w:rFonts w:hint="default" w:ascii="Times New Roman" w:hAnsi="Times New Roman" w:cs="Times New Roman"/>
          <w:szCs w:val="21"/>
          <w:highlight w:val="none"/>
        </w:rPr>
        <w:t xml:space="preserve"> </w:t>
      </w:r>
      <w:r>
        <w:rPr>
          <w:rFonts w:hint="default" w:ascii="Times New Roman" w:hAnsi="Times New Roman" w:cs="Times New Roman"/>
          <w:szCs w:val="21"/>
          <w:highlight w:val="none"/>
          <w:lang w:val="en-US" w:eastAsia="zh-CN"/>
        </w:rPr>
        <w:t xml:space="preserve"> 满足GB/T 23588相关要求且按GB 34330要求进行鉴定属于副产品的，不作为固体废物进行管理。一旦企业生产工艺等发生重大变化，副产品不满足GB/T 23588标准或不满足GB34330要求时，需重新按照固体废物进行管理。</w:t>
      </w:r>
    </w:p>
    <w:p w14:paraId="6F812B1D">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Cs w:val="21"/>
          <w:highlight w:val="none"/>
          <w:lang w:val="en-US" w:eastAsia="zh-CN"/>
        </w:rPr>
      </w:pPr>
      <w:r>
        <w:rPr>
          <w:rFonts w:hint="default" w:ascii="黑体" w:hAnsi="黑体" w:eastAsia="黑体" w:cs="黑体"/>
          <w:bCs/>
          <w:kern w:val="44"/>
          <w:sz w:val="21"/>
          <w:szCs w:val="44"/>
          <w:highlight w:val="none"/>
          <w:lang w:val="en-US" w:eastAsia="zh-CN" w:bidi="ar-SA"/>
        </w:rPr>
        <w:t>4.3.3.4</w:t>
      </w:r>
      <w:r>
        <w:rPr>
          <w:rFonts w:hint="default" w:ascii="Times New Roman" w:hAnsi="Times New Roman" w:cs="Times New Roman"/>
          <w:szCs w:val="21"/>
          <w:highlight w:val="none"/>
          <w:lang w:val="en-US" w:eastAsia="zh-CN"/>
        </w:rPr>
        <w:t xml:space="preserve">  </w:t>
      </w:r>
      <w:r>
        <w:rPr>
          <w:rFonts w:hint="default" w:ascii="Times New Roman" w:hAnsi="Times New Roman" w:cs="Times New Roman"/>
          <w:szCs w:val="21"/>
          <w:highlight w:val="none"/>
        </w:rPr>
        <w:t>一般固体废物的贮存和处置应满足GB</w:t>
      </w:r>
      <w:r>
        <w:rPr>
          <w:rFonts w:hint="default" w:ascii="Times New Roman" w:hAnsi="Times New Roman" w:cs="Times New Roman"/>
          <w:szCs w:val="21"/>
          <w:highlight w:val="none"/>
          <w:lang w:val="en-US" w:eastAsia="zh-CN"/>
        </w:rPr>
        <w:t xml:space="preserve"> </w:t>
      </w:r>
      <w:r>
        <w:rPr>
          <w:rFonts w:hint="default" w:ascii="Times New Roman" w:hAnsi="Times New Roman" w:cs="Times New Roman"/>
          <w:szCs w:val="21"/>
          <w:highlight w:val="none"/>
        </w:rPr>
        <w:t>18599相关要求。</w:t>
      </w:r>
    </w:p>
    <w:p w14:paraId="30B4A0CF">
      <w:pPr>
        <w:adjustRightInd w:val="0"/>
        <w:snapToGrid w:val="0"/>
        <w:spacing w:before="158" w:beforeLines="50" w:after="158" w:afterLines="50" w:line="240" w:lineRule="auto"/>
        <w:rPr>
          <w:rFonts w:hint="default" w:ascii="Times New Roman" w:hAnsi="Times New Roman" w:eastAsia="黑体" w:cs="Times New Roman"/>
          <w:highlight w:val="none"/>
          <w:lang w:val="en-US" w:eastAsia="zh-CN"/>
        </w:rPr>
      </w:pPr>
      <w:r>
        <w:rPr>
          <w:rFonts w:hint="default" w:ascii="黑体" w:hAnsi="黑体" w:eastAsia="黑体" w:cs="黑体"/>
          <w:bCs/>
          <w:kern w:val="44"/>
          <w:sz w:val="21"/>
          <w:szCs w:val="44"/>
          <w:highlight w:val="none"/>
          <w:lang w:val="en-US" w:eastAsia="zh-CN" w:bidi="ar-SA"/>
        </w:rPr>
        <w:t>4.4</w:t>
      </w:r>
      <w:r>
        <w:rPr>
          <w:rFonts w:hint="default" w:ascii="Times New Roman" w:hAnsi="Times New Roman" w:eastAsia="黑体" w:cs="Times New Roman"/>
          <w:highlight w:val="none"/>
        </w:rPr>
        <w:t xml:space="preserve"> </w:t>
      </w:r>
      <w:r>
        <w:rPr>
          <w:rFonts w:hint="default" w:ascii="Times New Roman" w:hAnsi="Times New Roman" w:eastAsia="黑体" w:cs="Times New Roman"/>
          <w:highlight w:val="none"/>
          <w:lang w:val="en-US" w:eastAsia="zh-CN"/>
        </w:rPr>
        <w:t xml:space="preserve"> 监测要求</w:t>
      </w:r>
    </w:p>
    <w:bookmarkEnd w:id="36"/>
    <w:bookmarkEnd w:id="37"/>
    <w:bookmarkEnd w:id="38"/>
    <w:p w14:paraId="6BF74FA2">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Cs w:val="21"/>
          <w:highlight w:val="none"/>
          <w:lang w:val="en-US" w:eastAsia="zh-CN"/>
        </w:rPr>
      </w:pPr>
      <w:r>
        <w:rPr>
          <w:rFonts w:hint="default" w:ascii="黑体" w:hAnsi="黑体" w:eastAsia="黑体" w:cs="黑体"/>
          <w:bCs/>
          <w:kern w:val="44"/>
          <w:sz w:val="21"/>
          <w:szCs w:val="44"/>
          <w:highlight w:val="none"/>
          <w:lang w:val="en-US" w:eastAsia="zh-CN" w:bidi="ar-SA"/>
        </w:rPr>
        <w:t>4.4.1</w:t>
      </w:r>
      <w:r>
        <w:rPr>
          <w:rFonts w:hint="default" w:ascii="Times New Roman" w:hAnsi="Times New Roman" w:cs="Times New Roman"/>
          <w:szCs w:val="21"/>
          <w:highlight w:val="none"/>
          <w:lang w:val="en-US" w:eastAsia="zh-CN"/>
        </w:rPr>
        <w:t xml:space="preserve">  </w:t>
      </w:r>
      <w:r>
        <w:rPr>
          <w:rFonts w:hint="default" w:ascii="Times New Roman" w:hAnsi="Times New Roman" w:cs="Times New Roman"/>
          <w:highlight w:val="none"/>
          <w:lang w:val="en-US" w:eastAsia="zh-CN"/>
        </w:rPr>
        <w:t>企业应按照有关法律和《生态环境监测条例》等规定，建立企业环境监测制度，制定监测方案，对污染物排放状况及其对周边环境的影响按要求开展自行监测，保存原始监测记录。</w:t>
      </w:r>
    </w:p>
    <w:p w14:paraId="41256C15">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Cs w:val="21"/>
          <w:highlight w:val="none"/>
          <w:lang w:val="en-US" w:eastAsia="zh-CN"/>
        </w:rPr>
      </w:pPr>
      <w:r>
        <w:rPr>
          <w:rFonts w:hint="default" w:ascii="黑体" w:hAnsi="黑体" w:eastAsia="黑体" w:cs="黑体"/>
          <w:bCs/>
          <w:kern w:val="44"/>
          <w:sz w:val="21"/>
          <w:szCs w:val="44"/>
          <w:highlight w:val="none"/>
          <w:lang w:val="en-US" w:eastAsia="zh-CN" w:bidi="ar-SA"/>
        </w:rPr>
        <w:t>4.4.2</w:t>
      </w:r>
      <w:r>
        <w:rPr>
          <w:rFonts w:hint="default" w:ascii="Times New Roman" w:hAnsi="Times New Roman" w:cs="Times New Roman"/>
          <w:szCs w:val="21"/>
          <w:highlight w:val="none"/>
          <w:lang w:val="en-US" w:eastAsia="zh-CN"/>
        </w:rPr>
        <w:t xml:space="preserve">  </w:t>
      </w:r>
      <w:r>
        <w:rPr>
          <w:rFonts w:hint="default" w:ascii="Times New Roman" w:hAnsi="Times New Roman" w:cs="Times New Roman"/>
          <w:highlight w:val="none"/>
          <w:lang w:val="en-US" w:eastAsia="zh-CN"/>
        </w:rPr>
        <w:t>新建企业和现有企业安装污染物排放自动监控设备的要求，按有关法律和《污染源自动监控管理办法》的规定执行。重点排污单位应当安装重点自动监测设备，与生态环境主管部门的监控设备联网，并保障监测设备正常运行。</w:t>
      </w:r>
    </w:p>
    <w:p w14:paraId="701DACB5">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Cs w:val="21"/>
          <w:highlight w:val="none"/>
          <w:lang w:val="en-US" w:eastAsia="zh-CN"/>
        </w:rPr>
      </w:pPr>
      <w:r>
        <w:rPr>
          <w:rFonts w:hint="default" w:ascii="黑体" w:hAnsi="黑体" w:eastAsia="黑体" w:cs="黑体"/>
          <w:bCs/>
          <w:kern w:val="44"/>
          <w:sz w:val="21"/>
          <w:szCs w:val="44"/>
          <w:highlight w:val="none"/>
          <w:lang w:val="en-US" w:eastAsia="zh-CN" w:bidi="ar-SA"/>
        </w:rPr>
        <w:t>4.4.3</w:t>
      </w:r>
      <w:r>
        <w:rPr>
          <w:rFonts w:hint="default" w:ascii="Times New Roman" w:hAnsi="Times New Roman" w:cs="Times New Roman"/>
          <w:szCs w:val="21"/>
          <w:highlight w:val="none"/>
          <w:lang w:val="en-US" w:eastAsia="zh-CN"/>
        </w:rPr>
        <w:t xml:space="preserve">  污染物的监测采样点的设置与采样方法按HJ</w:t>
      </w:r>
      <w:r>
        <w:rPr>
          <w:rFonts w:hint="eastAsia" w:ascii="Times New Roman" w:hAnsi="Times New Roman" w:cs="Times New Roman"/>
          <w:szCs w:val="21"/>
          <w:highlight w:val="none"/>
          <w:lang w:val="en-US" w:eastAsia="zh-CN"/>
        </w:rPr>
        <w:t xml:space="preserve"> 1405</w:t>
      </w:r>
      <w:r>
        <w:rPr>
          <w:rFonts w:hint="default" w:ascii="Times New Roman" w:hAnsi="Times New Roman" w:cs="Times New Roman"/>
          <w:szCs w:val="21"/>
          <w:highlight w:val="none"/>
          <w:lang w:val="en-US" w:eastAsia="zh-CN"/>
        </w:rPr>
        <w:t>的规定执行。企业应按照环境监测管理规定和技术规范的要求，设计、建设、维护永久性采样口（排污口）、采样测试平台。</w:t>
      </w:r>
    </w:p>
    <w:p w14:paraId="2E278F9D">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Cs w:val="21"/>
          <w:highlight w:val="none"/>
          <w:lang w:val="en-US" w:eastAsia="zh-CN"/>
        </w:rPr>
      </w:pPr>
      <w:r>
        <w:rPr>
          <w:rFonts w:hint="default" w:ascii="黑体" w:hAnsi="黑体" w:eastAsia="黑体" w:cs="黑体"/>
          <w:bCs/>
          <w:kern w:val="44"/>
          <w:sz w:val="21"/>
          <w:szCs w:val="44"/>
          <w:highlight w:val="none"/>
          <w:lang w:val="en-US" w:eastAsia="zh-CN" w:bidi="ar-SA"/>
        </w:rPr>
        <w:t>4.4.4</w:t>
      </w:r>
      <w:r>
        <w:rPr>
          <w:rFonts w:hint="default" w:ascii="Times New Roman" w:hAnsi="Times New Roman" w:cs="Times New Roman"/>
          <w:szCs w:val="21"/>
          <w:highlight w:val="none"/>
          <w:lang w:val="en-US" w:eastAsia="zh-CN"/>
        </w:rPr>
        <w:t xml:space="preserve">  企业产品产量的核定，应以法定报表为依据。</w:t>
      </w:r>
    </w:p>
    <w:p w14:paraId="0E5862C5">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szCs w:val="21"/>
          <w:highlight w:val="none"/>
          <w:lang w:val="en-US" w:eastAsia="zh-CN"/>
        </w:rPr>
      </w:pPr>
      <w:r>
        <w:rPr>
          <w:rFonts w:hint="default" w:ascii="黑体" w:hAnsi="黑体" w:eastAsia="黑体" w:cs="黑体"/>
          <w:bCs/>
          <w:kern w:val="44"/>
          <w:sz w:val="21"/>
          <w:szCs w:val="44"/>
          <w:highlight w:val="none"/>
          <w:lang w:val="en-US" w:eastAsia="zh-CN" w:bidi="ar-SA"/>
        </w:rPr>
        <w:t>4.4.5</w:t>
      </w:r>
      <w:r>
        <w:rPr>
          <w:rFonts w:hint="default" w:ascii="Times New Roman" w:hAnsi="Times New Roman" w:cs="Times New Roman"/>
          <w:szCs w:val="21"/>
          <w:highlight w:val="none"/>
          <w:lang w:val="en-US" w:eastAsia="zh-CN"/>
        </w:rPr>
        <w:t xml:space="preserve">  对企业排放水污染物</w:t>
      </w:r>
      <w:r>
        <w:rPr>
          <w:rFonts w:hint="eastAsia" w:ascii="Times New Roman" w:hAnsi="Times New Roman" w:cs="Times New Roman"/>
          <w:szCs w:val="21"/>
          <w:highlight w:val="none"/>
          <w:lang w:val="en-US" w:eastAsia="zh-CN"/>
        </w:rPr>
        <w:t>和大气污染物</w:t>
      </w:r>
      <w:r>
        <w:rPr>
          <w:rFonts w:hint="default" w:ascii="Times New Roman" w:hAnsi="Times New Roman" w:cs="Times New Roman"/>
          <w:szCs w:val="21"/>
          <w:highlight w:val="none"/>
          <w:lang w:val="en-US" w:eastAsia="zh-CN"/>
        </w:rPr>
        <w:t>浓度的测定采用</w:t>
      </w:r>
      <w:r>
        <w:rPr>
          <w:rFonts w:hint="eastAsia" w:ascii="Times New Roman" w:hAnsi="Times New Roman" w:cs="Times New Roman"/>
          <w:szCs w:val="21"/>
          <w:highlight w:val="none"/>
          <w:lang w:val="en-US" w:eastAsia="zh-CN"/>
        </w:rPr>
        <w:t>附录A</w:t>
      </w:r>
      <w:r>
        <w:rPr>
          <w:rFonts w:hint="default" w:ascii="Times New Roman" w:hAnsi="Times New Roman" w:cs="Times New Roman"/>
          <w:szCs w:val="21"/>
          <w:highlight w:val="none"/>
          <w:lang w:val="en-US" w:eastAsia="zh-CN"/>
        </w:rPr>
        <w:t>所列的方法标准。</w:t>
      </w:r>
    </w:p>
    <w:p w14:paraId="5577B0CF">
      <w:pPr>
        <w:pStyle w:val="2"/>
        <w:adjustRightInd w:val="0"/>
        <w:snapToGrid w:val="0"/>
        <w:spacing w:before="317" w:beforeLines="100" w:after="317" w:afterLines="100"/>
        <w:rPr>
          <w:rFonts w:hint="default" w:ascii="黑体" w:hAnsi="黑体" w:eastAsia="黑体" w:cs="黑体"/>
          <w:highlight w:val="none"/>
          <w:lang w:val="en-US" w:eastAsia="zh-CN"/>
        </w:rPr>
      </w:pPr>
      <w:bookmarkStart w:id="39" w:name="_Toc3975"/>
      <w:r>
        <w:rPr>
          <w:rFonts w:hint="default" w:ascii="黑体" w:hAnsi="黑体" w:eastAsia="黑体" w:cs="黑体"/>
          <w:highlight w:val="none"/>
          <w:lang w:val="en-US" w:eastAsia="zh-CN"/>
        </w:rPr>
        <w:t>5  指标核算和数据来源</w:t>
      </w:r>
      <w:bookmarkEnd w:id="39"/>
    </w:p>
    <w:p w14:paraId="6124B53C">
      <w:pPr>
        <w:adjustRightInd w:val="0"/>
        <w:snapToGrid w:val="0"/>
        <w:spacing w:before="158" w:beforeLines="50" w:after="158" w:afterLines="50"/>
        <w:rPr>
          <w:rFonts w:hint="default" w:ascii="Times New Roman" w:hAnsi="Times New Roman" w:eastAsia="黑体" w:cs="Times New Roman"/>
          <w:highlight w:val="none"/>
          <w:lang w:val="en-US" w:eastAsia="zh-CN"/>
        </w:rPr>
      </w:pPr>
      <w:r>
        <w:rPr>
          <w:rFonts w:hint="default" w:ascii="黑体" w:hAnsi="黑体" w:eastAsia="黑体" w:cs="黑体"/>
          <w:bCs/>
          <w:kern w:val="44"/>
          <w:sz w:val="21"/>
          <w:szCs w:val="44"/>
          <w:highlight w:val="none"/>
          <w:lang w:val="en-US" w:eastAsia="zh-CN" w:bidi="ar-SA"/>
        </w:rPr>
        <w:t>5.1</w:t>
      </w:r>
      <w:r>
        <w:rPr>
          <w:rFonts w:hint="default" w:ascii="Times New Roman" w:hAnsi="Times New Roman" w:eastAsia="黑体" w:cs="Times New Roman"/>
          <w:highlight w:val="none"/>
          <w:lang w:val="en-US" w:eastAsia="zh-CN"/>
        </w:rPr>
        <w:t xml:space="preserve">  指标解释</w:t>
      </w:r>
    </w:p>
    <w:p w14:paraId="6D461F85">
      <w:pPr>
        <w:adjustRightInd w:val="0"/>
        <w:snapToGrid w:val="0"/>
        <w:spacing w:before="158" w:beforeLines="50" w:after="158" w:afterLines="50"/>
        <w:rPr>
          <w:rFonts w:hint="default" w:ascii="Times New Roman" w:hAnsi="Times New Roman" w:eastAsia="黑体" w:cs="Times New Roman"/>
          <w:highlight w:val="none"/>
          <w:lang w:val="en-US" w:eastAsia="zh-CN"/>
        </w:rPr>
      </w:pPr>
      <w:r>
        <w:rPr>
          <w:rFonts w:hint="default" w:ascii="黑体" w:hAnsi="黑体" w:eastAsia="黑体" w:cs="黑体"/>
          <w:bCs/>
          <w:kern w:val="44"/>
          <w:sz w:val="21"/>
          <w:szCs w:val="44"/>
          <w:highlight w:val="none"/>
          <w:lang w:val="en-US" w:eastAsia="zh-CN" w:bidi="ar-SA"/>
        </w:rPr>
        <w:t>5.1.1</w:t>
      </w:r>
      <w:r>
        <w:rPr>
          <w:rFonts w:hint="default" w:ascii="Times New Roman" w:hAnsi="Times New Roman" w:eastAsia="黑体" w:cs="Times New Roman"/>
          <w:highlight w:val="none"/>
          <w:lang w:val="en-US" w:eastAsia="zh-CN"/>
        </w:rPr>
        <w:t xml:space="preserve">  单位产品每次清洗</w:t>
      </w:r>
      <w:r>
        <w:rPr>
          <w:rFonts w:hint="eastAsia" w:ascii="Times New Roman" w:hAnsi="Times New Roman" w:eastAsia="黑体" w:cs="Times New Roman"/>
          <w:highlight w:val="none"/>
          <w:lang w:val="en-US" w:eastAsia="zh-CN"/>
        </w:rPr>
        <w:t>耗水</w:t>
      </w:r>
      <w:r>
        <w:rPr>
          <w:rFonts w:hint="default" w:ascii="Times New Roman" w:hAnsi="Times New Roman" w:eastAsia="黑体" w:cs="Times New Roman"/>
          <w:highlight w:val="none"/>
          <w:lang w:val="en-US" w:eastAsia="zh-CN"/>
        </w:rPr>
        <w:t>量</w:t>
      </w:r>
    </w:p>
    <w:p w14:paraId="60CE3C7B">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企业在一定计量时间内生产单位产品需要从各种水源所取得的水量。电镀生产</w:t>
      </w:r>
      <w:r>
        <w:rPr>
          <w:rFonts w:hint="eastAsia" w:ascii="Times New Roman" w:hAnsi="Times New Roman" w:cs="Times New Roman"/>
          <w:highlight w:val="none"/>
          <w:lang w:val="en-US" w:eastAsia="zh-CN"/>
        </w:rPr>
        <w:t>耗水</w:t>
      </w:r>
      <w:r>
        <w:rPr>
          <w:rFonts w:hint="default" w:ascii="Times New Roman" w:hAnsi="Times New Roman" w:cs="Times New Roman"/>
          <w:highlight w:val="none"/>
          <w:lang w:val="en-US" w:eastAsia="zh-CN"/>
        </w:rPr>
        <w:t>量，包括取自城镇供水工程、地下水，以及企业从市场购得的其他水或水的产品（如蒸汽、热水、地热水等），不包括循环用水和企业外供给市场的水的产品（如蒸汽、热水、地热水等）而取用的水量。</w:t>
      </w:r>
    </w:p>
    <w:p w14:paraId="5168207C">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单位产品每清洗一次</w:t>
      </w:r>
      <w:r>
        <w:rPr>
          <w:rFonts w:hint="eastAsia" w:ascii="Times New Roman" w:hAnsi="Times New Roman" w:cs="Times New Roman"/>
          <w:highlight w:val="none"/>
          <w:lang w:val="en-US" w:eastAsia="zh-CN"/>
        </w:rPr>
        <w:t>耗水量</w:t>
      </w:r>
      <w:r>
        <w:rPr>
          <w:rFonts w:hint="default" w:ascii="Times New Roman" w:hAnsi="Times New Roman" w:cs="Times New Roman"/>
          <w:highlight w:val="none"/>
          <w:lang w:val="en-US" w:eastAsia="zh-CN"/>
        </w:rPr>
        <w:t>是指单位面积（包括进入镀液而无镀层的面积）镀件在电镀生产全过程中每次清洗用水量。</w:t>
      </w:r>
    </w:p>
    <w:p w14:paraId="28601530">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空调用水和冷却用水不包括在</w:t>
      </w:r>
      <w:r>
        <w:rPr>
          <w:rFonts w:hint="eastAsia" w:ascii="Times New Roman" w:hAnsi="Times New Roman" w:cs="Times New Roman"/>
          <w:highlight w:val="none"/>
          <w:lang w:val="en-US" w:eastAsia="zh-CN"/>
        </w:rPr>
        <w:t>耗水</w:t>
      </w:r>
      <w:r>
        <w:rPr>
          <w:rFonts w:hint="default" w:ascii="Times New Roman" w:hAnsi="Times New Roman" w:cs="Times New Roman"/>
          <w:highlight w:val="none"/>
          <w:lang w:val="en-US" w:eastAsia="zh-CN"/>
        </w:rPr>
        <w:t>量指标之内，但是应有循环利用的措施；冷却用水如用作电镀清洗水等用途则计入</w:t>
      </w:r>
      <w:r>
        <w:rPr>
          <w:rFonts w:hint="eastAsia" w:ascii="Times New Roman" w:hAnsi="Times New Roman" w:cs="Times New Roman"/>
          <w:highlight w:val="none"/>
          <w:lang w:val="en-US" w:eastAsia="zh-CN"/>
        </w:rPr>
        <w:t>耗水</w:t>
      </w:r>
      <w:r>
        <w:rPr>
          <w:rFonts w:hint="default" w:ascii="Times New Roman" w:hAnsi="Times New Roman" w:cs="Times New Roman"/>
          <w:highlight w:val="none"/>
          <w:lang w:val="en-US" w:eastAsia="zh-CN"/>
        </w:rPr>
        <w:t>量。</w:t>
      </w:r>
    </w:p>
    <w:p w14:paraId="13D6301E">
      <w:pPr>
        <w:adjustRightInd w:val="0"/>
        <w:snapToGrid w:val="0"/>
        <w:spacing w:before="158" w:beforeLines="50" w:after="158" w:afterLines="50"/>
        <w:rPr>
          <w:rFonts w:hint="default" w:ascii="Times New Roman" w:hAnsi="Times New Roman" w:eastAsia="黑体" w:cs="Times New Roman"/>
          <w:highlight w:val="none"/>
          <w:lang w:val="en-US" w:eastAsia="zh-CN"/>
        </w:rPr>
      </w:pPr>
      <w:r>
        <w:rPr>
          <w:rFonts w:hint="default" w:ascii="黑体" w:hAnsi="黑体" w:eastAsia="黑体" w:cs="黑体"/>
          <w:bCs/>
          <w:kern w:val="44"/>
          <w:sz w:val="21"/>
          <w:szCs w:val="44"/>
          <w:highlight w:val="none"/>
          <w:lang w:val="en-US" w:eastAsia="zh-CN" w:bidi="ar-SA"/>
        </w:rPr>
        <w:t>5.1.2</w:t>
      </w:r>
      <w:r>
        <w:rPr>
          <w:rFonts w:hint="default" w:ascii="Times New Roman" w:hAnsi="Times New Roman" w:eastAsia="黑体" w:cs="Times New Roman"/>
          <w:highlight w:val="none"/>
          <w:lang w:val="en-US" w:eastAsia="zh-CN"/>
        </w:rPr>
        <w:t xml:space="preserve">  </w:t>
      </w:r>
      <w:r>
        <w:rPr>
          <w:rFonts w:hint="eastAsia" w:ascii="Times New Roman" w:hAnsi="Times New Roman" w:eastAsia="黑体" w:cs="Times New Roman"/>
          <w:highlight w:val="none"/>
          <w:lang w:val="en-US" w:eastAsia="zh-CN"/>
        </w:rPr>
        <w:t>电镀用水</w:t>
      </w:r>
      <w:r>
        <w:rPr>
          <w:rFonts w:hint="default" w:ascii="Times New Roman" w:hAnsi="Times New Roman" w:eastAsia="黑体" w:cs="Times New Roman"/>
          <w:highlight w:val="none"/>
          <w:lang w:val="en-US" w:eastAsia="zh-CN"/>
        </w:rPr>
        <w:t>重复利用率</w:t>
      </w:r>
    </w:p>
    <w:p w14:paraId="5E345B5E">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水的重复利用率，指电镀生产线用水的重复利用率，不包括空调用水。</w:t>
      </w:r>
    </w:p>
    <w:p w14:paraId="195E53A7">
      <w:pPr>
        <w:jc w:val="both"/>
        <w:rPr>
          <w:rFonts w:hint="default" w:ascii="Times New Roman" w:hAnsi="Times New Roman" w:eastAsia="宋体" w:cs="Times New Roman"/>
          <w:i w:val="0"/>
          <w:highlight w:val="none"/>
          <w:lang w:val="en-US" w:eastAsia="zh-CN"/>
        </w:rPr>
      </w:pPr>
      <m:oMathPara>
        <m:oMath>
          <m:r>
            <m:rPr>
              <m:nor/>
            </m:rPr>
            <w:rPr>
              <w:rFonts w:hint="default" w:ascii="Times New Roman" w:hAnsi="Times New Roman" w:cs="Times New Roman"/>
              <w:i/>
              <w:highlight w:val="none"/>
              <w:lang w:val="en-US" w:eastAsia="zh-CN"/>
            </w:rPr>
            <m:t>R</m:t>
          </m:r>
          <m:r>
            <m:rPr>
              <m:nor/>
              <m:sty m:val="p"/>
            </m:rPr>
            <w:rPr>
              <w:rFonts w:hint="default" w:ascii="Times New Roman" w:hAnsi="Times New Roman" w:cs="Times New Roman"/>
              <w:b w:val="0"/>
              <w:i w:val="0"/>
              <w:highlight w:val="none"/>
              <w:lang w:val="en-US" w:eastAsia="zh-CN"/>
            </w:rPr>
            <m:t>=</m:t>
          </m:r>
          <m:f>
            <m:fPr>
              <m:ctrlPr>
                <w:rPr>
                  <w:rFonts w:hint="default" w:ascii="Cambria Math" w:hAnsi="Cambria Math" w:cs="Times New Roman"/>
                  <w:i/>
                  <w:highlight w:val="none"/>
                  <w:lang w:val="en-US" w:eastAsia="zh-CN"/>
                </w:rPr>
              </m:ctrlPr>
            </m:fPr>
            <m:num>
              <m:sSub>
                <m:sSubPr>
                  <m:ctrlPr>
                    <w:rPr>
                      <w:rFonts w:hint="default" w:ascii="Cambria Math" w:hAnsi="Cambria Math" w:cs="Times New Roman"/>
                      <w:i/>
                      <w:highlight w:val="none"/>
                      <w:lang w:val="en-US" w:eastAsia="zh-CN"/>
                    </w:rPr>
                  </m:ctrlPr>
                </m:sSubPr>
                <m:e>
                  <m:r>
                    <m:rPr>
                      <m:nor/>
                    </m:rPr>
                    <w:rPr>
                      <w:rFonts w:hint="default" w:ascii="Times New Roman" w:hAnsi="Times New Roman" w:cs="Times New Roman"/>
                      <w:i/>
                      <w:highlight w:val="none"/>
                      <w:lang w:val="en-US" w:eastAsia="zh-CN"/>
                    </w:rPr>
                    <m:t>V</m:t>
                  </m:r>
                  <m:ctrlPr>
                    <w:rPr>
                      <w:rFonts w:hint="default" w:ascii="Cambria Math" w:hAnsi="Cambria Math" w:cs="Times New Roman"/>
                      <w:i/>
                      <w:highlight w:val="none"/>
                      <w:lang w:val="en-US" w:eastAsia="zh-CN"/>
                    </w:rPr>
                  </m:ctrlPr>
                </m:e>
                <m:sub>
                  <m:r>
                    <m:rPr>
                      <m:nor/>
                    </m:rPr>
                    <w:rPr>
                      <w:rFonts w:hint="default" w:ascii="Times New Roman" w:hAnsi="Times New Roman" w:cs="Times New Roman"/>
                      <w:i/>
                      <w:highlight w:val="none"/>
                      <w:lang w:val="en-US" w:eastAsia="zh-CN"/>
                    </w:rPr>
                    <m:t>r</m:t>
                  </m:r>
                  <m:ctrlPr>
                    <w:rPr>
                      <w:rFonts w:hint="default" w:ascii="Cambria Math" w:hAnsi="Cambria Math" w:cs="Times New Roman"/>
                      <w:i/>
                      <w:highlight w:val="none"/>
                      <w:lang w:val="en-US" w:eastAsia="zh-CN"/>
                    </w:rPr>
                  </m:ctrlPr>
                </m:sub>
              </m:sSub>
              <m:ctrlPr>
                <w:rPr>
                  <w:rFonts w:hint="default" w:ascii="Cambria Math" w:hAnsi="Cambria Math" w:cs="Times New Roman"/>
                  <w:i/>
                  <w:highlight w:val="none"/>
                  <w:lang w:val="en-US" w:eastAsia="zh-CN"/>
                </w:rPr>
              </m:ctrlPr>
            </m:num>
            <m:den>
              <m:sSub>
                <m:sSubPr>
                  <m:ctrlPr>
                    <w:rPr>
                      <w:rFonts w:hint="default" w:ascii="Cambria Math" w:hAnsi="Cambria Math" w:cs="Times New Roman"/>
                      <w:i/>
                      <w:highlight w:val="none"/>
                      <w:lang w:val="en-US" w:eastAsia="zh-CN"/>
                    </w:rPr>
                  </m:ctrlPr>
                </m:sSubPr>
                <m:e>
                  <m:r>
                    <m:rPr>
                      <m:nor/>
                    </m:rPr>
                    <w:rPr>
                      <w:rFonts w:hint="default" w:ascii="Times New Roman" w:hAnsi="Times New Roman" w:cs="Times New Roman"/>
                      <w:i/>
                      <w:highlight w:val="none"/>
                      <w:lang w:val="en-US" w:eastAsia="zh-CN"/>
                    </w:rPr>
                    <m:t>V</m:t>
                  </m:r>
                  <m:ctrlPr>
                    <w:rPr>
                      <w:rFonts w:hint="default" w:ascii="Cambria Math" w:hAnsi="Cambria Math" w:cs="Times New Roman"/>
                      <w:i/>
                      <w:highlight w:val="none"/>
                      <w:lang w:val="en-US" w:eastAsia="zh-CN"/>
                    </w:rPr>
                  </m:ctrlPr>
                </m:e>
                <m:sub>
                  <m:r>
                    <m:rPr>
                      <m:nor/>
                    </m:rPr>
                    <w:rPr>
                      <w:rFonts w:hint="default" w:ascii="Times New Roman" w:hAnsi="Times New Roman" w:cs="Times New Roman"/>
                      <w:i/>
                      <w:highlight w:val="none"/>
                      <w:lang w:val="en-US" w:eastAsia="zh-CN"/>
                    </w:rPr>
                    <m:t>i</m:t>
                  </m:r>
                  <m:ctrlPr>
                    <w:rPr>
                      <w:rFonts w:hint="default" w:ascii="Cambria Math" w:hAnsi="Cambria Math" w:cs="Times New Roman"/>
                      <w:i/>
                      <w:highlight w:val="none"/>
                      <w:lang w:val="en-US" w:eastAsia="zh-CN"/>
                    </w:rPr>
                  </m:ctrlPr>
                </m:sub>
              </m:sSub>
              <m:r>
                <m:rPr>
                  <m:nor/>
                  <m:sty m:val="p"/>
                </m:rPr>
                <w:rPr>
                  <w:rFonts w:hint="default" w:ascii="Times New Roman" w:hAnsi="Times New Roman" w:cs="Times New Roman"/>
                  <w:b w:val="0"/>
                  <w:i w:val="0"/>
                  <w:highlight w:val="none"/>
                  <w:lang w:val="en-US"/>
                </w:rPr>
                <m:t>+</m:t>
              </m:r>
              <m:sSub>
                <m:sSubPr>
                  <m:ctrlPr>
                    <w:rPr>
                      <w:rFonts w:hint="default" w:ascii="Cambria Math" w:hAnsi="Cambria Math" w:cs="Times New Roman"/>
                      <w:i/>
                      <w:highlight w:val="none"/>
                      <w:lang w:val="en-US" w:eastAsia="zh-CN"/>
                    </w:rPr>
                  </m:ctrlPr>
                </m:sSubPr>
                <m:e>
                  <m:r>
                    <m:rPr>
                      <m:nor/>
                    </m:rPr>
                    <w:rPr>
                      <w:rFonts w:hint="default" w:ascii="Times New Roman" w:hAnsi="Times New Roman" w:cs="Times New Roman"/>
                      <w:i/>
                      <w:highlight w:val="none"/>
                      <w:lang w:val="en-US" w:eastAsia="zh-CN"/>
                    </w:rPr>
                    <m:t>V</m:t>
                  </m:r>
                  <m:ctrlPr>
                    <w:rPr>
                      <w:rFonts w:hint="default" w:ascii="Cambria Math" w:hAnsi="Cambria Math" w:cs="Times New Roman"/>
                      <w:i/>
                      <w:highlight w:val="none"/>
                      <w:lang w:val="en-US" w:eastAsia="zh-CN"/>
                    </w:rPr>
                  </m:ctrlPr>
                </m:e>
                <m:sub>
                  <m:r>
                    <m:rPr>
                      <m:nor/>
                    </m:rPr>
                    <w:rPr>
                      <w:rFonts w:hint="default" w:ascii="Times New Roman" w:hAnsi="Times New Roman" w:cs="Times New Roman"/>
                      <w:i/>
                      <w:highlight w:val="none"/>
                      <w:lang w:val="en-US" w:eastAsia="zh-CN"/>
                    </w:rPr>
                    <m:t>r</m:t>
                  </m:r>
                  <m:ctrlPr>
                    <w:rPr>
                      <w:rFonts w:hint="default" w:ascii="Cambria Math" w:hAnsi="Cambria Math" w:cs="Times New Roman"/>
                      <w:i/>
                      <w:highlight w:val="none"/>
                      <w:lang w:val="en-US" w:eastAsia="zh-CN"/>
                    </w:rPr>
                  </m:ctrlPr>
                </m:sub>
              </m:sSub>
              <m:ctrlPr>
                <w:rPr>
                  <w:rFonts w:hint="default" w:ascii="Cambria Math" w:hAnsi="Cambria Math" w:cs="Times New Roman"/>
                  <w:i/>
                  <w:highlight w:val="none"/>
                  <w:lang w:val="en-US" w:eastAsia="zh-CN"/>
                </w:rPr>
              </m:ctrlPr>
            </m:den>
          </m:f>
          <m:r>
            <m:rPr>
              <m:nor/>
              <m:sty m:val="p"/>
            </m:rPr>
            <w:rPr>
              <w:rFonts w:hint="default" w:ascii="Times New Roman" w:hAnsi="Times New Roman" w:cs="Times New Roman"/>
              <w:b w:val="0"/>
              <w:i w:val="0"/>
              <w:highlight w:val="none"/>
              <w:lang w:val="en-US"/>
            </w:rPr>
            <m:t>×</m:t>
          </m:r>
          <m:r>
            <m:rPr>
              <m:nor/>
              <m:sty m:val="p"/>
            </m:rPr>
            <w:rPr>
              <w:rFonts w:hint="default" w:ascii="Times New Roman" w:hAnsi="Times New Roman" w:cs="Times New Roman"/>
              <w:b w:val="0"/>
              <w:i w:val="0"/>
              <w:highlight w:val="none"/>
              <w:lang w:val="en-US" w:eastAsia="zh-CN"/>
            </w:rPr>
            <m:t>100%</m:t>
          </m:r>
        </m:oMath>
      </m:oMathPara>
    </w:p>
    <w:p w14:paraId="72E4C84A">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式中：</w:t>
      </w:r>
    </w:p>
    <w:p w14:paraId="784E86B6">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R——水的重复利用率，%</w:t>
      </w:r>
      <w:r>
        <w:rPr>
          <w:rFonts w:hint="eastAsia" w:ascii="Times New Roman" w:hAnsi="Times New Roman" w:cs="Times New Roman"/>
          <w:highlight w:val="none"/>
          <w:lang w:val="en-US" w:eastAsia="zh-CN"/>
        </w:rPr>
        <w:t>；</w:t>
      </w:r>
    </w:p>
    <w:p w14:paraId="687BA156">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m:oMath>
        <m:sSub>
          <m:sSubPr>
            <m:ctrlPr>
              <w:rPr>
                <w:rFonts w:hint="default" w:ascii="Cambria Math" w:hAnsi="Cambria Math" w:cs="Times New Roman"/>
                <w:highlight w:val="none"/>
                <w:lang w:val="en-US" w:eastAsia="zh-CN"/>
              </w:rPr>
            </m:ctrlPr>
          </m:sSubPr>
          <m:e>
            <m:r>
              <m:rPr>
                <m:nor/>
                <m:sty m:val="p"/>
              </m:rPr>
              <w:rPr>
                <w:rFonts w:hint="default" w:ascii="Times New Roman" w:hAnsi="Times New Roman" w:cs="Times New Roman"/>
                <w:b w:val="0"/>
                <w:i w:val="0"/>
                <w:highlight w:val="none"/>
                <w:lang w:val="en-US" w:eastAsia="zh-CN"/>
              </w:rPr>
              <m:t>V</m:t>
            </m:r>
            <m:ctrlPr>
              <w:rPr>
                <w:rFonts w:hint="default" w:ascii="Cambria Math" w:hAnsi="Cambria Math" w:cs="Times New Roman"/>
                <w:highlight w:val="none"/>
                <w:lang w:val="en-US" w:eastAsia="zh-CN"/>
              </w:rPr>
            </m:ctrlPr>
          </m:e>
          <m:sub>
            <m:r>
              <m:rPr>
                <m:nor/>
                <m:sty m:val="p"/>
              </m:rPr>
              <w:rPr>
                <w:rFonts w:hint="default" w:ascii="Times New Roman" w:hAnsi="Times New Roman" w:cs="Times New Roman"/>
                <w:b w:val="0"/>
                <w:i w:val="0"/>
                <w:highlight w:val="none"/>
                <w:lang w:val="en-US" w:eastAsia="zh-CN"/>
              </w:rPr>
              <m:t>r</m:t>
            </m:r>
            <m:ctrlPr>
              <w:rPr>
                <w:rFonts w:hint="default" w:ascii="Cambria Math" w:hAnsi="Cambria Math" w:cs="Times New Roman"/>
                <w:highlight w:val="none"/>
                <w:lang w:val="en-US" w:eastAsia="zh-CN"/>
              </w:rPr>
            </m:ctrlPr>
          </m:sub>
        </m:sSub>
      </m:oMath>
      <w:r>
        <w:rPr>
          <w:rFonts w:hint="default" w:ascii="Times New Roman" w:hAnsi="Times New Roman" w:cs="Times New Roman"/>
          <w:highlight w:val="none"/>
          <w:lang w:val="en-US" w:eastAsia="zh-CN"/>
        </w:rPr>
        <w:t>——在一定计量时间内</w:t>
      </w:r>
      <w:r>
        <w:rPr>
          <w:rFonts w:hint="eastAsia" w:ascii="Times New Roman" w:hAnsi="Times New Roman" w:cs="Times New Roman"/>
          <w:highlight w:val="none"/>
          <w:lang w:val="en-US" w:eastAsia="zh-CN"/>
        </w:rPr>
        <w:t>，</w:t>
      </w:r>
      <w:r>
        <w:rPr>
          <w:rFonts w:hint="default" w:ascii="Times New Roman" w:hAnsi="Times New Roman" w:cs="Times New Roman"/>
          <w:highlight w:val="none"/>
          <w:lang w:val="en-US" w:eastAsia="zh-CN"/>
        </w:rPr>
        <w:t>重复利用水量（包括循环用水量和串联使用水量），m³</w:t>
      </w:r>
      <w:r>
        <w:rPr>
          <w:rFonts w:hint="eastAsia" w:ascii="Times New Roman" w:hAnsi="Times New Roman" w:cs="Times New Roman"/>
          <w:highlight w:val="none"/>
          <w:lang w:val="en-US" w:eastAsia="zh-CN"/>
        </w:rPr>
        <w:t>；</w:t>
      </w:r>
    </w:p>
    <w:p w14:paraId="1E066827">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m:oMath>
        <m:sSub>
          <m:sSubPr>
            <m:ctrlPr>
              <w:rPr>
                <w:rFonts w:hint="default" w:ascii="Cambria Math" w:hAnsi="Cambria Math" w:cs="Times New Roman"/>
                <w:highlight w:val="none"/>
                <w:lang w:val="en-US" w:eastAsia="zh-CN"/>
              </w:rPr>
            </m:ctrlPr>
          </m:sSubPr>
          <m:e>
            <m:r>
              <m:rPr>
                <m:nor/>
                <m:sty m:val="p"/>
              </m:rPr>
              <w:rPr>
                <w:rFonts w:hint="default" w:ascii="Times New Roman" w:hAnsi="Times New Roman" w:cs="Times New Roman"/>
                <w:b w:val="0"/>
                <w:i w:val="0"/>
                <w:highlight w:val="none"/>
                <w:lang w:val="en-US" w:eastAsia="zh-CN"/>
              </w:rPr>
              <m:t>V</m:t>
            </m:r>
            <m:ctrlPr>
              <w:rPr>
                <w:rFonts w:hint="default" w:ascii="Cambria Math" w:hAnsi="Cambria Math" w:cs="Times New Roman"/>
                <w:highlight w:val="none"/>
                <w:lang w:val="en-US" w:eastAsia="zh-CN"/>
              </w:rPr>
            </m:ctrlPr>
          </m:e>
          <m:sub>
            <m:r>
              <m:rPr>
                <m:nor/>
                <m:sty m:val="p"/>
              </m:rPr>
              <w:rPr>
                <w:rFonts w:hint="default" w:ascii="Times New Roman" w:hAnsi="Times New Roman" w:cs="Times New Roman"/>
                <w:b w:val="0"/>
                <w:i w:val="0"/>
                <w:highlight w:val="none"/>
                <w:lang w:val="en-US" w:eastAsia="zh-CN"/>
              </w:rPr>
              <m:t>i</m:t>
            </m:r>
            <m:ctrlPr>
              <w:rPr>
                <w:rFonts w:hint="default" w:ascii="Cambria Math" w:hAnsi="Cambria Math" w:cs="Times New Roman"/>
                <w:highlight w:val="none"/>
                <w:lang w:val="en-US" w:eastAsia="zh-CN"/>
              </w:rPr>
            </m:ctrlPr>
          </m:sub>
        </m:sSub>
      </m:oMath>
      <w:r>
        <w:rPr>
          <w:rFonts w:hint="default" w:ascii="Times New Roman" w:hAnsi="Times New Roman" w:cs="Times New Roman"/>
          <w:highlight w:val="none"/>
          <w:lang w:val="en-US" w:eastAsia="zh-CN"/>
        </w:rPr>
        <w:t>——在一定计量时间内</w:t>
      </w:r>
      <w:r>
        <w:rPr>
          <w:rFonts w:hint="eastAsia" w:ascii="Times New Roman" w:hAnsi="Times New Roman" w:cs="Times New Roman"/>
          <w:highlight w:val="none"/>
          <w:lang w:val="en-US" w:eastAsia="zh-CN"/>
        </w:rPr>
        <w:t>，</w:t>
      </w:r>
      <w:r>
        <w:rPr>
          <w:rFonts w:hint="default" w:ascii="Times New Roman" w:hAnsi="Times New Roman" w:cs="Times New Roman"/>
          <w:highlight w:val="none"/>
          <w:lang w:val="en-US" w:eastAsia="zh-CN"/>
        </w:rPr>
        <w:t>产品生产</w:t>
      </w:r>
      <w:r>
        <w:rPr>
          <w:rFonts w:hint="eastAsia" w:ascii="Times New Roman" w:hAnsi="Times New Roman" w:cs="Times New Roman"/>
          <w:highlight w:val="none"/>
          <w:lang w:val="en-US" w:eastAsia="zh-CN"/>
        </w:rPr>
        <w:t>耗水</w:t>
      </w:r>
      <w:r>
        <w:rPr>
          <w:rFonts w:hint="default" w:ascii="Times New Roman" w:hAnsi="Times New Roman" w:cs="Times New Roman"/>
          <w:highlight w:val="none"/>
          <w:lang w:val="en-US" w:eastAsia="zh-CN"/>
        </w:rPr>
        <w:t>量，m³</w:t>
      </w:r>
      <w:r>
        <w:rPr>
          <w:rFonts w:hint="eastAsia" w:ascii="Times New Roman" w:hAnsi="Times New Roman" w:cs="Times New Roman"/>
          <w:highlight w:val="none"/>
          <w:lang w:val="en-US" w:eastAsia="zh-CN"/>
        </w:rPr>
        <w:t>。</w:t>
      </w:r>
    </w:p>
    <w:p w14:paraId="63CC92B5">
      <w:pPr>
        <w:adjustRightInd w:val="0"/>
        <w:snapToGrid w:val="0"/>
        <w:spacing w:before="158" w:beforeLines="50" w:after="158" w:afterLines="50"/>
        <w:rPr>
          <w:rFonts w:hint="default" w:ascii="Times New Roman" w:hAnsi="Times New Roman" w:eastAsia="黑体" w:cs="Times New Roman"/>
          <w:highlight w:val="none"/>
          <w:lang w:val="en-US" w:eastAsia="zh-CN"/>
        </w:rPr>
      </w:pPr>
      <w:r>
        <w:rPr>
          <w:rFonts w:hint="default" w:ascii="黑体" w:hAnsi="黑体" w:eastAsia="黑体" w:cs="黑体"/>
          <w:bCs/>
          <w:kern w:val="44"/>
          <w:sz w:val="21"/>
          <w:szCs w:val="44"/>
          <w:highlight w:val="none"/>
          <w:lang w:val="en-US" w:eastAsia="zh-CN" w:bidi="ar-SA"/>
        </w:rPr>
        <w:t>5.1.3</w:t>
      </w:r>
      <w:r>
        <w:rPr>
          <w:rFonts w:hint="default" w:ascii="Times New Roman" w:hAnsi="Times New Roman" w:eastAsia="黑体" w:cs="Times New Roman"/>
          <w:highlight w:val="none"/>
          <w:lang w:val="en-US" w:eastAsia="zh-CN"/>
        </w:rPr>
        <w:t xml:space="preserve">  硝酸回收利用率</w:t>
      </w:r>
    </w:p>
    <w:p w14:paraId="01FAF5B7">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硝酸回收利用率，指电镀生产线过程中硝酸的回收利用率。</w:t>
      </w:r>
    </w:p>
    <w:p w14:paraId="61A8FAF9">
      <w:pPr>
        <w:jc w:val="both"/>
        <w:rPr>
          <w:rFonts w:hint="default" w:ascii="Times New Roman" w:hAnsi="Times New Roman" w:eastAsia="宋体" w:cs="Times New Roman"/>
          <w:i w:val="0"/>
          <w:highlight w:val="none"/>
          <w:lang w:val="en-US" w:eastAsia="zh-CN"/>
        </w:rPr>
      </w:pPr>
      <m:oMathPara>
        <m:oMath>
          <m:r>
            <m:rPr>
              <m:nor/>
            </m:rPr>
            <w:rPr>
              <w:rFonts w:hint="default" w:ascii="Times New Roman" w:hAnsi="Times New Roman" w:cs="Times New Roman"/>
              <w:i/>
              <w:highlight w:val="none"/>
              <w:lang w:val="en-US" w:eastAsia="zh-CN"/>
            </w:rPr>
            <m:t>R</m:t>
          </m:r>
          <m:r>
            <m:rPr>
              <m:nor/>
              <m:sty m:val="p"/>
            </m:rPr>
            <w:rPr>
              <w:rFonts w:hint="default" w:ascii="Times New Roman" w:hAnsi="Times New Roman" w:cs="Times New Roman"/>
              <w:b w:val="0"/>
              <w:i w:val="0"/>
              <w:highlight w:val="none"/>
              <w:lang w:val="en-US" w:eastAsia="zh-CN"/>
            </w:rPr>
            <m:t>=</m:t>
          </m:r>
          <m:f>
            <m:fPr>
              <m:ctrlPr>
                <w:rPr>
                  <w:rFonts w:hint="default" w:ascii="Cambria Math" w:hAnsi="Cambria Math" w:cs="Times New Roman"/>
                  <w:i/>
                  <w:highlight w:val="none"/>
                  <w:lang w:val="en-US" w:eastAsia="zh-CN"/>
                </w:rPr>
              </m:ctrlPr>
            </m:fPr>
            <m:num>
              <m:sSub>
                <m:sSubPr>
                  <m:ctrlPr>
                    <w:rPr>
                      <w:rFonts w:hint="default" w:ascii="Cambria Math" w:hAnsi="Cambria Math" w:cs="Times New Roman"/>
                      <w:i/>
                      <w:highlight w:val="none"/>
                      <w:lang w:val="en-US" w:eastAsia="zh-CN"/>
                    </w:rPr>
                  </m:ctrlPr>
                </m:sSubPr>
                <m:e>
                  <m:r>
                    <m:rPr/>
                    <w:rPr>
                      <w:rFonts w:hint="default" w:ascii="Cambria Math" w:hAnsi="Cambria Math" w:cs="Times New Roman"/>
                      <w:highlight w:val="none"/>
                      <w:lang w:val="en-US" w:eastAsia="zh-CN"/>
                    </w:rPr>
                    <m:t>M</m:t>
                  </m:r>
                  <m:ctrlPr>
                    <w:rPr>
                      <w:rFonts w:hint="default" w:ascii="Cambria Math" w:hAnsi="Cambria Math" w:cs="Times New Roman"/>
                      <w:i/>
                      <w:highlight w:val="none"/>
                      <w:lang w:val="en-US" w:eastAsia="zh-CN"/>
                    </w:rPr>
                  </m:ctrlPr>
                </m:e>
                <m:sub>
                  <m:r>
                    <m:rPr>
                      <m:nor/>
                    </m:rPr>
                    <w:rPr>
                      <w:rFonts w:hint="default" w:ascii="Times New Roman" w:hAnsi="Times New Roman" w:cs="Times New Roman"/>
                      <w:i/>
                      <w:highlight w:val="none"/>
                      <w:lang w:val="en-US" w:eastAsia="zh-CN"/>
                    </w:rPr>
                    <m:t>r</m:t>
                  </m:r>
                  <m:ctrlPr>
                    <w:rPr>
                      <w:rFonts w:hint="default" w:ascii="Cambria Math" w:hAnsi="Cambria Math" w:cs="Times New Roman"/>
                      <w:i/>
                      <w:highlight w:val="none"/>
                      <w:lang w:val="en-US" w:eastAsia="zh-CN"/>
                    </w:rPr>
                  </m:ctrlPr>
                </m:sub>
              </m:sSub>
              <m:ctrlPr>
                <w:rPr>
                  <w:rFonts w:hint="default" w:ascii="Cambria Math" w:hAnsi="Cambria Math" w:cs="Times New Roman"/>
                  <w:i/>
                  <w:highlight w:val="none"/>
                  <w:lang w:val="en-US" w:eastAsia="zh-CN"/>
                </w:rPr>
              </m:ctrlPr>
            </m:num>
            <m:den>
              <m:sSub>
                <m:sSubPr>
                  <m:ctrlPr>
                    <w:rPr>
                      <w:rFonts w:hint="default" w:ascii="Cambria Math" w:hAnsi="Cambria Math" w:cs="Times New Roman"/>
                      <w:i/>
                      <w:highlight w:val="none"/>
                      <w:lang w:val="en-US" w:eastAsia="zh-CN"/>
                    </w:rPr>
                  </m:ctrlPr>
                </m:sSubPr>
                <m:e>
                  <m:r>
                    <m:rPr/>
                    <w:rPr>
                      <w:rFonts w:hint="default" w:ascii="Cambria Math" w:hAnsi="Cambria Math" w:cs="Times New Roman"/>
                      <w:highlight w:val="none"/>
                      <w:lang w:val="en-US" w:eastAsia="zh-CN"/>
                    </w:rPr>
                    <m:t>M</m:t>
                  </m:r>
                  <m:ctrlPr>
                    <w:rPr>
                      <w:rFonts w:hint="default" w:ascii="Cambria Math" w:hAnsi="Cambria Math" w:cs="Times New Roman"/>
                      <w:i/>
                      <w:highlight w:val="none"/>
                      <w:lang w:val="en-US" w:eastAsia="zh-CN"/>
                    </w:rPr>
                  </m:ctrlPr>
                </m:e>
                <m:sub>
                  <m:r>
                    <m:rPr>
                      <m:nor/>
                    </m:rPr>
                    <w:rPr>
                      <w:rFonts w:hint="default" w:ascii="Times New Roman" w:hAnsi="Times New Roman" w:cs="Times New Roman"/>
                      <w:i/>
                      <w:highlight w:val="none"/>
                      <w:lang w:val="en-US" w:eastAsia="zh-CN"/>
                    </w:rPr>
                    <m:t>i</m:t>
                  </m:r>
                  <m:ctrlPr>
                    <w:rPr>
                      <w:rFonts w:hint="default" w:ascii="Cambria Math" w:hAnsi="Cambria Math" w:cs="Times New Roman"/>
                      <w:i/>
                      <w:highlight w:val="none"/>
                      <w:lang w:val="en-US" w:eastAsia="zh-CN"/>
                    </w:rPr>
                  </m:ctrlPr>
                </m:sub>
              </m:sSub>
              <m:ctrlPr>
                <w:rPr>
                  <w:rFonts w:hint="default" w:ascii="Cambria Math" w:hAnsi="Cambria Math" w:cs="Times New Roman"/>
                  <w:i/>
                  <w:highlight w:val="none"/>
                  <w:lang w:val="en-US" w:eastAsia="zh-CN"/>
                </w:rPr>
              </m:ctrlPr>
            </m:den>
          </m:f>
          <m:r>
            <m:rPr>
              <m:nor/>
              <m:sty m:val="p"/>
            </m:rPr>
            <w:rPr>
              <w:rFonts w:hint="default" w:ascii="Times New Roman" w:hAnsi="Times New Roman" w:cs="Times New Roman"/>
              <w:b w:val="0"/>
              <w:i w:val="0"/>
              <w:highlight w:val="none"/>
              <w:lang w:val="en-US"/>
            </w:rPr>
            <m:t>×</m:t>
          </m:r>
          <m:r>
            <m:rPr>
              <m:nor/>
              <m:sty m:val="p"/>
            </m:rPr>
            <w:rPr>
              <w:rFonts w:hint="default" w:ascii="Times New Roman" w:hAnsi="Times New Roman" w:cs="Times New Roman"/>
              <w:b w:val="0"/>
              <w:i w:val="0"/>
              <w:highlight w:val="none"/>
              <w:lang w:val="en-US" w:eastAsia="zh-CN"/>
            </w:rPr>
            <m:t>100%</m:t>
          </m:r>
        </m:oMath>
      </m:oMathPara>
    </w:p>
    <w:p w14:paraId="5739FBAA">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式中：</w:t>
      </w:r>
    </w:p>
    <w:p w14:paraId="159FBC6D">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R——</w:t>
      </w:r>
      <w:r>
        <w:rPr>
          <w:rFonts w:hint="eastAsia" w:ascii="Times New Roman" w:hAnsi="Times New Roman" w:cs="Times New Roman"/>
          <w:highlight w:val="none"/>
          <w:lang w:val="en-US" w:eastAsia="zh-CN"/>
        </w:rPr>
        <w:t>硝酸回收</w:t>
      </w:r>
      <w:r>
        <w:rPr>
          <w:rFonts w:hint="default" w:ascii="Times New Roman" w:hAnsi="Times New Roman" w:cs="Times New Roman"/>
          <w:highlight w:val="none"/>
          <w:lang w:val="en-US" w:eastAsia="zh-CN"/>
        </w:rPr>
        <w:t>利用率，%</w:t>
      </w:r>
      <w:r>
        <w:rPr>
          <w:rFonts w:hint="eastAsia" w:ascii="Times New Roman" w:hAnsi="Times New Roman" w:cs="Times New Roman"/>
          <w:highlight w:val="none"/>
          <w:lang w:val="en-US" w:eastAsia="zh-CN"/>
        </w:rPr>
        <w:t>；</w:t>
      </w:r>
    </w:p>
    <w:p w14:paraId="287B1513">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m:oMath>
        <m:sSub>
          <m:sSubPr>
            <m:ctrlPr>
              <w:rPr>
                <w:rFonts w:hint="default" w:ascii="Cambria Math" w:hAnsi="Cambria Math" w:cs="Times New Roman"/>
                <w:highlight w:val="none"/>
                <w:lang w:val="en-US" w:eastAsia="zh-CN"/>
              </w:rPr>
            </m:ctrlPr>
          </m:sSubPr>
          <m:e>
            <m:r>
              <m:rPr>
                <m:nor/>
                <m:sty m:val="p"/>
              </m:rPr>
              <w:rPr>
                <w:rFonts w:hint="default" w:ascii="Times New Roman" w:hAnsi="Times New Roman" w:cs="Times New Roman"/>
                <w:b w:val="0"/>
                <w:i w:val="0"/>
                <w:highlight w:val="none"/>
                <w:lang w:val="en-US" w:eastAsia="zh-CN"/>
              </w:rPr>
              <m:t>M</m:t>
            </m:r>
            <m:ctrlPr>
              <w:rPr>
                <w:rFonts w:hint="default" w:ascii="Cambria Math" w:hAnsi="Cambria Math" w:cs="Times New Roman"/>
                <w:highlight w:val="none"/>
                <w:lang w:val="en-US" w:eastAsia="zh-CN"/>
              </w:rPr>
            </m:ctrlPr>
          </m:e>
          <m:sub>
            <m:r>
              <m:rPr>
                <m:nor/>
                <m:sty m:val="p"/>
              </m:rPr>
              <w:rPr>
                <w:rFonts w:hint="default" w:ascii="Times New Roman" w:hAnsi="Times New Roman" w:cs="Times New Roman"/>
                <w:b w:val="0"/>
                <w:i w:val="0"/>
                <w:highlight w:val="none"/>
                <w:lang w:val="en-US" w:eastAsia="zh-CN"/>
              </w:rPr>
              <m:t>r</m:t>
            </m:r>
            <m:ctrlPr>
              <w:rPr>
                <w:rFonts w:hint="default" w:ascii="Cambria Math" w:hAnsi="Cambria Math" w:cs="Times New Roman"/>
                <w:highlight w:val="none"/>
                <w:lang w:val="en-US" w:eastAsia="zh-CN"/>
              </w:rPr>
            </m:ctrlPr>
          </m:sub>
        </m:sSub>
      </m:oMath>
      <w:r>
        <w:rPr>
          <w:rFonts w:hint="default" w:ascii="Times New Roman" w:hAnsi="Times New Roman" w:cs="Times New Roman"/>
          <w:highlight w:val="none"/>
          <w:lang w:val="en-US" w:eastAsia="zh-CN"/>
        </w:rPr>
        <w:t>——在一定计量时间内</w:t>
      </w:r>
      <w:r>
        <w:rPr>
          <w:rFonts w:hint="eastAsia" w:ascii="Times New Roman" w:hAnsi="Times New Roman" w:cs="Times New Roman"/>
          <w:highlight w:val="none"/>
          <w:lang w:val="en-US" w:eastAsia="zh-CN"/>
        </w:rPr>
        <w:t>，回收利用的硝酸用量</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t；</w:t>
      </w:r>
    </w:p>
    <w:p w14:paraId="3507EE09">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m:oMath>
        <m:sSub>
          <m:sSubPr>
            <m:ctrlPr>
              <w:rPr>
                <w:rFonts w:hint="default" w:ascii="Cambria Math" w:hAnsi="Cambria Math" w:cs="Times New Roman"/>
                <w:highlight w:val="none"/>
                <w:lang w:val="en-US" w:eastAsia="zh-CN"/>
              </w:rPr>
            </m:ctrlPr>
          </m:sSubPr>
          <m:e>
            <m:r>
              <m:rPr>
                <m:nor/>
                <m:sty m:val="p"/>
              </m:rPr>
              <w:rPr>
                <w:rFonts w:hint="default" w:ascii="Times New Roman" w:hAnsi="Times New Roman" w:cs="Times New Roman"/>
                <w:b w:val="0"/>
                <w:i w:val="0"/>
                <w:highlight w:val="none"/>
                <w:lang w:val="en-US" w:eastAsia="zh-CN"/>
              </w:rPr>
              <m:t>M</m:t>
            </m:r>
            <m:ctrlPr>
              <w:rPr>
                <w:rFonts w:hint="default" w:ascii="Cambria Math" w:hAnsi="Cambria Math" w:cs="Times New Roman"/>
                <w:highlight w:val="none"/>
                <w:lang w:val="en-US" w:eastAsia="zh-CN"/>
              </w:rPr>
            </m:ctrlPr>
          </m:e>
          <m:sub>
            <m:r>
              <m:rPr>
                <m:nor/>
                <m:sty m:val="p"/>
              </m:rPr>
              <w:rPr>
                <w:rFonts w:hint="default" w:ascii="Times New Roman" w:hAnsi="Times New Roman" w:cs="Times New Roman"/>
                <w:b w:val="0"/>
                <w:i w:val="0"/>
                <w:highlight w:val="none"/>
                <w:lang w:val="en-US" w:eastAsia="zh-CN"/>
              </w:rPr>
              <m:t>i</m:t>
            </m:r>
            <m:ctrlPr>
              <w:rPr>
                <w:rFonts w:hint="default" w:ascii="Cambria Math" w:hAnsi="Cambria Math" w:cs="Times New Roman"/>
                <w:highlight w:val="none"/>
                <w:lang w:val="en-US" w:eastAsia="zh-CN"/>
              </w:rPr>
            </m:ctrlPr>
          </m:sub>
        </m:sSub>
      </m:oMath>
      <w:r>
        <w:rPr>
          <w:rFonts w:hint="default" w:ascii="Times New Roman" w:hAnsi="Times New Roman" w:cs="Times New Roman"/>
          <w:highlight w:val="none"/>
          <w:lang w:val="en-US" w:eastAsia="zh-CN"/>
        </w:rPr>
        <w:t>——在一定计量时间内</w:t>
      </w:r>
      <w:r>
        <w:rPr>
          <w:rFonts w:hint="eastAsia" w:ascii="Times New Roman" w:hAnsi="Times New Roman" w:cs="Times New Roman"/>
          <w:highlight w:val="none"/>
          <w:lang w:val="en-US" w:eastAsia="zh-CN"/>
        </w:rPr>
        <w:t>，</w:t>
      </w:r>
      <w:r>
        <w:rPr>
          <w:rFonts w:hint="default" w:ascii="Times New Roman" w:hAnsi="Times New Roman" w:cs="Times New Roman"/>
          <w:highlight w:val="none"/>
          <w:lang w:val="en-US" w:eastAsia="zh-CN"/>
        </w:rPr>
        <w:t>产品生产</w:t>
      </w:r>
      <w:r>
        <w:rPr>
          <w:rFonts w:hint="eastAsia" w:ascii="Times New Roman" w:hAnsi="Times New Roman" w:cs="Times New Roman"/>
          <w:highlight w:val="none"/>
          <w:lang w:val="en-US" w:eastAsia="zh-CN"/>
        </w:rPr>
        <w:t>的硝酸用</w:t>
      </w:r>
      <w:r>
        <w:rPr>
          <w:rFonts w:hint="default" w:ascii="Times New Roman" w:hAnsi="Times New Roman" w:cs="Times New Roman"/>
          <w:highlight w:val="none"/>
          <w:lang w:val="en-US" w:eastAsia="zh-CN"/>
        </w:rPr>
        <w:t>量，</w:t>
      </w:r>
      <w:r>
        <w:rPr>
          <w:rFonts w:hint="eastAsia" w:ascii="Times New Roman" w:hAnsi="Times New Roman" w:cs="Times New Roman"/>
          <w:highlight w:val="none"/>
          <w:lang w:val="en-US" w:eastAsia="zh-CN"/>
        </w:rPr>
        <w:t>t。</w:t>
      </w:r>
    </w:p>
    <w:p w14:paraId="07E84B57">
      <w:pPr>
        <w:adjustRightInd w:val="0"/>
        <w:snapToGrid w:val="0"/>
        <w:spacing w:before="158" w:beforeLines="50" w:after="158" w:afterLines="50"/>
        <w:rPr>
          <w:rFonts w:hint="default" w:ascii="Times New Roman" w:hAnsi="Times New Roman" w:eastAsia="黑体" w:cs="Times New Roman"/>
          <w:highlight w:val="none"/>
          <w:lang w:val="en-US" w:eastAsia="zh-CN"/>
        </w:rPr>
      </w:pPr>
      <w:r>
        <w:rPr>
          <w:rFonts w:hint="default" w:ascii="黑体" w:hAnsi="黑体" w:eastAsia="黑体" w:cs="黑体"/>
          <w:bCs/>
          <w:kern w:val="44"/>
          <w:sz w:val="21"/>
          <w:szCs w:val="44"/>
          <w:highlight w:val="none"/>
          <w:lang w:val="en-US" w:eastAsia="zh-CN" w:bidi="ar-SA"/>
        </w:rPr>
        <w:t>5.1.4</w:t>
      </w:r>
      <w:r>
        <w:rPr>
          <w:rFonts w:hint="default" w:ascii="Times New Roman" w:hAnsi="Times New Roman" w:eastAsia="黑体" w:cs="Times New Roman"/>
          <w:highlight w:val="none"/>
          <w:lang w:val="en-US" w:eastAsia="zh-CN"/>
        </w:rPr>
        <w:t xml:space="preserve">  单位面积</w:t>
      </w:r>
      <w:r>
        <w:rPr>
          <w:rFonts w:hint="eastAsia" w:ascii="Times New Roman" w:hAnsi="Times New Roman" w:eastAsia="黑体" w:cs="Times New Roman"/>
          <w:highlight w:val="none"/>
          <w:lang w:val="en-US" w:eastAsia="zh-CN"/>
        </w:rPr>
        <w:t>耗水</w:t>
      </w:r>
      <w:r>
        <w:rPr>
          <w:rFonts w:hint="default" w:ascii="Times New Roman" w:hAnsi="Times New Roman" w:eastAsia="黑体" w:cs="Times New Roman"/>
          <w:highlight w:val="none"/>
          <w:lang w:val="en-US" w:eastAsia="zh-CN"/>
        </w:rPr>
        <w:t>量</w:t>
      </w:r>
    </w:p>
    <w:p w14:paraId="1F875EEA">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耗水</w:t>
      </w:r>
      <w:r>
        <w:rPr>
          <w:rFonts w:hint="default" w:ascii="Times New Roman" w:hAnsi="Times New Roman" w:cs="Times New Roman"/>
          <w:highlight w:val="none"/>
          <w:lang w:val="en-US" w:eastAsia="zh-CN"/>
        </w:rPr>
        <w:t>量指企业在一定计量时间内生产单位面积</w:t>
      </w:r>
      <w:r>
        <w:rPr>
          <w:rFonts w:hint="eastAsia" w:ascii="Times New Roman" w:hAnsi="Times New Roman" w:cs="Times New Roman"/>
          <w:highlight w:val="none"/>
          <w:lang w:val="en-US" w:eastAsia="zh-CN"/>
        </w:rPr>
        <w:t>产品</w:t>
      </w:r>
      <w:r>
        <w:rPr>
          <w:rFonts w:hint="default" w:ascii="Times New Roman" w:hAnsi="Times New Roman" w:cs="Times New Roman"/>
          <w:highlight w:val="none"/>
          <w:lang w:val="en-US" w:eastAsia="zh-CN"/>
        </w:rPr>
        <w:t>需要从各种水源所取得的水量。工业生产</w:t>
      </w:r>
      <w:r>
        <w:rPr>
          <w:rFonts w:hint="eastAsia" w:ascii="Times New Roman" w:hAnsi="Times New Roman" w:cs="Times New Roman"/>
          <w:highlight w:val="none"/>
          <w:lang w:val="en-US" w:eastAsia="zh-CN"/>
        </w:rPr>
        <w:t>耗水</w:t>
      </w:r>
      <w:r>
        <w:rPr>
          <w:rFonts w:hint="default" w:ascii="Times New Roman" w:hAnsi="Times New Roman" w:cs="Times New Roman"/>
          <w:highlight w:val="none"/>
          <w:lang w:val="en-US" w:eastAsia="zh-CN"/>
        </w:rPr>
        <w:t>量，包括取自地表水（以净水厂供水计量）、地下水、城镇供水工程，以及企业从市场购得的其它水或水的产品（如蒸汽、热水、地热水等），不包括企业为外供给市场的水的产品（如蒸汽、热水、地热水等）而取用的水量。如果生产工序使用纯水，则以实际使用的纯水量作为</w:t>
      </w:r>
      <w:r>
        <w:rPr>
          <w:rFonts w:hint="eastAsia" w:ascii="Times New Roman" w:hAnsi="Times New Roman" w:cs="Times New Roman"/>
          <w:highlight w:val="none"/>
          <w:lang w:val="en-US" w:eastAsia="zh-CN"/>
        </w:rPr>
        <w:t>耗水</w:t>
      </w:r>
      <w:r>
        <w:rPr>
          <w:rFonts w:hint="default" w:ascii="Times New Roman" w:hAnsi="Times New Roman" w:cs="Times New Roman"/>
          <w:highlight w:val="none"/>
          <w:lang w:val="en-US" w:eastAsia="zh-CN"/>
        </w:rPr>
        <w:t>量。调节气候水耗指在一年12月中，每月耗水与最低月份的耗水的差值属于调节气候的数据，不计入水耗。</w:t>
      </w:r>
    </w:p>
    <w:p w14:paraId="0EA9B151">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单位面积</w:t>
      </w:r>
      <w:r>
        <w:rPr>
          <w:rFonts w:hint="eastAsia" w:ascii="Times New Roman" w:hAnsi="Times New Roman" w:cs="Times New Roman"/>
          <w:highlight w:val="none"/>
          <w:lang w:val="en-US" w:eastAsia="zh-CN"/>
        </w:rPr>
        <w:t>耗水</w:t>
      </w:r>
      <w:r>
        <w:rPr>
          <w:rFonts w:hint="default" w:ascii="Times New Roman" w:hAnsi="Times New Roman" w:cs="Times New Roman"/>
          <w:highlight w:val="none"/>
          <w:lang w:val="en-US" w:eastAsia="zh-CN"/>
        </w:rPr>
        <w:t>量指企业生产</w:t>
      </w:r>
      <w:r>
        <w:rPr>
          <w:rFonts w:hint="eastAsia" w:ascii="Times New Roman" w:hAnsi="Times New Roman" w:cs="Times New Roman"/>
          <w:highlight w:val="none"/>
          <w:lang w:val="en-US" w:eastAsia="zh-CN"/>
        </w:rPr>
        <w:t>每平方米</w:t>
      </w:r>
      <w:r>
        <w:rPr>
          <w:rFonts w:hint="eastAsia" w:ascii="Times New Roman" w:hAnsi="Times New Roman" w:cs="Times New Roman"/>
          <w:highlight w:val="none"/>
          <w:vertAlign w:val="baseline"/>
          <w:lang w:val="en-US" w:eastAsia="zh-CN"/>
        </w:rPr>
        <w:t>涂装</w:t>
      </w:r>
      <w:r>
        <w:rPr>
          <w:rFonts w:hint="default" w:ascii="Times New Roman" w:hAnsi="Times New Roman" w:cs="Times New Roman"/>
          <w:highlight w:val="none"/>
          <w:lang w:val="en-US" w:eastAsia="zh-CN"/>
        </w:rPr>
        <w:t>面积</w:t>
      </w:r>
      <w:r>
        <w:rPr>
          <w:rFonts w:hint="eastAsia" w:ascii="Times New Roman" w:hAnsi="Times New Roman" w:cs="Times New Roman"/>
          <w:highlight w:val="none"/>
          <w:lang w:val="en-US" w:eastAsia="zh-CN"/>
        </w:rPr>
        <w:t>产品</w:t>
      </w:r>
      <w:r>
        <w:rPr>
          <w:rFonts w:hint="default" w:ascii="Times New Roman" w:hAnsi="Times New Roman" w:cs="Times New Roman"/>
          <w:highlight w:val="none"/>
          <w:lang w:val="en-US" w:eastAsia="zh-CN"/>
        </w:rPr>
        <w:t>需要从各种水源所取得的水量。</w:t>
      </w:r>
    </w:p>
    <w:p w14:paraId="77B87072">
      <w:pPr>
        <w:jc w:val="both"/>
        <w:rPr>
          <w:rFonts w:hint="default" w:ascii="Times New Roman" w:hAnsi="Times New Roman" w:cs="Times New Roman"/>
          <w:i w:val="0"/>
          <w:highlight w:val="none"/>
          <w:lang w:val="en-US"/>
        </w:rPr>
      </w:pPr>
      <m:oMathPara>
        <m:oMath>
          <m:sSub>
            <m:sSubPr>
              <m:ctrlPr>
                <w:rPr>
                  <w:rFonts w:hint="default" w:ascii="Cambria Math" w:hAnsi="Cambria Math" w:cs="Times New Roman"/>
                  <w:i/>
                  <w:highlight w:val="none"/>
                  <w:lang w:val="en-US" w:eastAsia="zh-CN"/>
                </w:rPr>
              </m:ctrlPr>
            </m:sSubPr>
            <m:e>
              <m:r>
                <m:rPr>
                  <m:nor/>
                </m:rPr>
                <w:rPr>
                  <w:rFonts w:hint="default" w:ascii="Times New Roman" w:hAnsi="Times New Roman" w:cs="Times New Roman"/>
                  <w:i/>
                  <w:highlight w:val="none"/>
                  <w:lang w:val="en-US" w:eastAsia="zh-CN"/>
                </w:rPr>
                <m:t>V</m:t>
              </m:r>
              <m:ctrlPr>
                <w:rPr>
                  <w:rFonts w:hint="default" w:ascii="Cambria Math" w:hAnsi="Cambria Math" w:cs="Times New Roman"/>
                  <w:i/>
                  <w:highlight w:val="none"/>
                  <w:lang w:val="en-US" w:eastAsia="zh-CN"/>
                </w:rPr>
              </m:ctrlPr>
            </m:e>
            <m:sub>
              <m:r>
                <m:rPr>
                  <m:nor/>
                </m:rPr>
                <w:rPr>
                  <w:rFonts w:hint="default" w:ascii="Times New Roman" w:hAnsi="Times New Roman" w:cs="Times New Roman"/>
                  <w:i/>
                  <w:highlight w:val="none"/>
                  <w:lang w:val="en-US" w:eastAsia="zh-CN"/>
                </w:rPr>
                <m:t>ui</m:t>
              </m:r>
              <m:ctrlPr>
                <w:rPr>
                  <w:rFonts w:hint="default" w:ascii="Cambria Math" w:hAnsi="Cambria Math" w:cs="Times New Roman"/>
                  <w:i/>
                  <w:highlight w:val="none"/>
                  <w:lang w:val="en-US" w:eastAsia="zh-CN"/>
                </w:rPr>
              </m:ctrlPr>
            </m:sub>
          </m:sSub>
          <m:r>
            <m:rPr>
              <m:nor/>
              <m:sty m:val="p"/>
            </m:rPr>
            <w:rPr>
              <w:rFonts w:hint="default" w:ascii="Times New Roman" w:hAnsi="Times New Roman" w:cs="Times New Roman"/>
              <w:b w:val="0"/>
              <w:i w:val="0"/>
              <w:highlight w:val="none"/>
              <w:lang w:val="en-US" w:eastAsia="zh-CN"/>
            </w:rPr>
            <m:t>=</m:t>
          </m:r>
          <m:f>
            <m:fPr>
              <m:ctrlPr>
                <w:rPr>
                  <w:rFonts w:hint="default" w:ascii="Cambria Math" w:hAnsi="Cambria Math" w:cs="Times New Roman"/>
                  <w:i/>
                  <w:highlight w:val="none"/>
                  <w:lang w:val="en-US" w:eastAsia="zh-CN"/>
                </w:rPr>
              </m:ctrlPr>
            </m:fPr>
            <m:num>
              <m:sSub>
                <m:sSubPr>
                  <m:ctrlPr>
                    <w:rPr>
                      <w:rFonts w:hint="default" w:ascii="Cambria Math" w:hAnsi="Cambria Math" w:cs="Times New Roman"/>
                      <w:i/>
                      <w:highlight w:val="none"/>
                      <w:lang w:val="en-US" w:eastAsia="zh-CN"/>
                    </w:rPr>
                  </m:ctrlPr>
                </m:sSubPr>
                <m:e>
                  <m:r>
                    <m:rPr>
                      <m:nor/>
                    </m:rPr>
                    <w:rPr>
                      <w:rFonts w:hint="default" w:ascii="Times New Roman" w:hAnsi="Times New Roman" w:cs="Times New Roman"/>
                      <w:i/>
                      <w:highlight w:val="none"/>
                      <w:lang w:val="en-US" w:eastAsia="zh-CN"/>
                    </w:rPr>
                    <m:t>V</m:t>
                  </m:r>
                  <m:ctrlPr>
                    <w:rPr>
                      <w:rFonts w:hint="default" w:ascii="Cambria Math" w:hAnsi="Cambria Math" w:cs="Times New Roman"/>
                      <w:i/>
                      <w:highlight w:val="none"/>
                      <w:lang w:val="en-US" w:eastAsia="zh-CN"/>
                    </w:rPr>
                  </m:ctrlPr>
                </m:e>
                <m:sub>
                  <m:r>
                    <m:rPr>
                      <m:nor/>
                    </m:rPr>
                    <w:rPr>
                      <w:rFonts w:hint="default" w:ascii="Times New Roman" w:hAnsi="Times New Roman" w:cs="Times New Roman"/>
                      <w:i/>
                      <w:highlight w:val="none"/>
                      <w:lang w:val="en-US" w:eastAsia="zh-CN"/>
                    </w:rPr>
                    <m:t>i</m:t>
                  </m:r>
                  <m:ctrlPr>
                    <w:rPr>
                      <w:rFonts w:hint="default" w:ascii="Cambria Math" w:hAnsi="Cambria Math" w:cs="Times New Roman"/>
                      <w:i/>
                      <w:highlight w:val="none"/>
                      <w:lang w:val="en-US" w:eastAsia="zh-CN"/>
                    </w:rPr>
                  </m:ctrlPr>
                </m:sub>
              </m:sSub>
              <m:ctrlPr>
                <w:rPr>
                  <w:rFonts w:hint="default" w:ascii="Cambria Math" w:hAnsi="Cambria Math" w:cs="Times New Roman"/>
                  <w:i/>
                  <w:highlight w:val="none"/>
                  <w:lang w:val="en-US" w:eastAsia="zh-CN"/>
                </w:rPr>
              </m:ctrlPr>
            </m:num>
            <m:den>
              <m:r>
                <m:rPr>
                  <m:nor/>
                </m:rPr>
                <w:rPr>
                  <w:rFonts w:hint="default" w:ascii="Times New Roman" w:hAnsi="Times New Roman" w:cs="Times New Roman"/>
                  <w:i/>
                  <w:highlight w:val="none"/>
                  <w:lang w:val="en-US" w:eastAsia="zh-CN"/>
                </w:rPr>
                <m:t>Q</m:t>
              </m:r>
              <m:ctrlPr>
                <w:rPr>
                  <w:rFonts w:hint="default" w:ascii="Cambria Math" w:hAnsi="Cambria Math" w:cs="Times New Roman"/>
                  <w:i/>
                  <w:highlight w:val="none"/>
                  <w:lang w:val="en-US" w:eastAsia="zh-CN"/>
                </w:rPr>
              </m:ctrlPr>
            </m:den>
          </m:f>
          <m:r>
            <m:rPr>
              <m:nor/>
              <m:sty m:val="p"/>
            </m:rPr>
            <w:rPr>
              <w:rFonts w:hint="default" w:ascii="Times New Roman" w:hAnsi="Times New Roman" w:cs="Times New Roman"/>
              <w:b w:val="0"/>
              <w:i w:val="0"/>
              <w:highlight w:val="none"/>
              <w:lang w:val="en-US" w:eastAsia="zh-CN"/>
            </w:rPr>
            <m:t>×1000</m:t>
          </m:r>
        </m:oMath>
      </m:oMathPara>
    </w:p>
    <w:p w14:paraId="3379A3B7">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式中：</w:t>
      </w:r>
    </w:p>
    <w:p w14:paraId="1B99BD75">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m:oMath>
        <m:sSub>
          <m:sSubPr>
            <m:ctrlPr>
              <w:rPr>
                <w:rFonts w:hint="default" w:ascii="Cambria Math" w:hAnsi="Cambria Math" w:cs="Times New Roman"/>
                <w:i/>
                <w:kern w:val="2"/>
                <w:sz w:val="21"/>
                <w:szCs w:val="24"/>
                <w:highlight w:val="none"/>
                <w:lang w:val="en-US" w:eastAsia="zh-CN" w:bidi="ar-SA"/>
              </w:rPr>
            </m:ctrlPr>
          </m:sSubPr>
          <m:e>
            <m:r>
              <m:rPr>
                <m:nor/>
              </m:rPr>
              <w:rPr>
                <w:rFonts w:hint="default" w:ascii="Times New Roman" w:hAnsi="Times New Roman" w:cs="Times New Roman"/>
                <w:i/>
                <w:kern w:val="2"/>
                <w:sz w:val="21"/>
                <w:szCs w:val="24"/>
                <w:highlight w:val="none"/>
                <w:lang w:val="en-US" w:eastAsia="zh-CN" w:bidi="ar-SA"/>
              </w:rPr>
              <m:t>V</m:t>
            </m:r>
            <m:ctrlPr>
              <w:rPr>
                <w:rFonts w:hint="default" w:ascii="Cambria Math" w:hAnsi="Cambria Math" w:cs="Times New Roman"/>
                <w:i/>
                <w:kern w:val="2"/>
                <w:sz w:val="21"/>
                <w:szCs w:val="24"/>
                <w:highlight w:val="none"/>
                <w:lang w:val="en-US" w:eastAsia="zh-CN" w:bidi="ar-SA"/>
              </w:rPr>
            </m:ctrlPr>
          </m:e>
          <m:sub>
            <m:r>
              <m:rPr>
                <m:nor/>
              </m:rPr>
              <w:rPr>
                <w:rFonts w:hint="default" w:ascii="Times New Roman" w:hAnsi="Times New Roman" w:cs="Times New Roman"/>
                <w:i/>
                <w:kern w:val="2"/>
                <w:sz w:val="21"/>
                <w:szCs w:val="24"/>
                <w:highlight w:val="none"/>
                <w:lang w:val="en-US" w:eastAsia="zh-CN" w:bidi="ar-SA"/>
              </w:rPr>
              <m:t>ui</m:t>
            </m:r>
            <m:ctrlPr>
              <w:rPr>
                <w:rFonts w:hint="default" w:ascii="Cambria Math" w:hAnsi="Cambria Math" w:cs="Times New Roman"/>
                <w:i/>
                <w:kern w:val="2"/>
                <w:sz w:val="21"/>
                <w:szCs w:val="24"/>
                <w:highlight w:val="none"/>
                <w:lang w:val="en-US" w:eastAsia="zh-CN" w:bidi="ar-SA"/>
              </w:rPr>
            </m:ctrlPr>
          </m:sub>
        </m:sSub>
      </m:oMath>
      <w:r>
        <w:rPr>
          <w:rFonts w:hint="default" w:ascii="Times New Roman" w:hAnsi="Times New Roman" w:cs="Times New Roman"/>
          <w:highlight w:val="none"/>
          <w:lang w:val="en-US" w:eastAsia="zh-CN"/>
        </w:rPr>
        <w:t>——</w:t>
      </w:r>
      <w:r>
        <w:rPr>
          <w:rFonts w:hint="eastAsia" w:ascii="Times New Roman" w:hAnsi="Times New Roman" w:cs="Times New Roman"/>
          <w:highlight w:val="none"/>
          <w:vertAlign w:val="baseline"/>
          <w:lang w:val="en-US" w:eastAsia="zh-CN"/>
        </w:rPr>
        <w:t>涂装</w:t>
      </w:r>
      <w:r>
        <w:rPr>
          <w:rFonts w:hint="eastAsia" w:ascii="Times New Roman" w:hAnsi="Times New Roman" w:cs="Times New Roman"/>
          <w:highlight w:val="none"/>
          <w:lang w:val="en-US" w:eastAsia="zh-CN"/>
        </w:rPr>
        <w:t>1 m</w:t>
      </w:r>
      <w:r>
        <w:rPr>
          <w:rFonts w:hint="eastAsia" w:ascii="Times New Roman" w:hAnsi="Times New Roman" w:cs="Times New Roman"/>
          <w:highlight w:val="none"/>
          <w:vertAlign w:val="superscript"/>
          <w:lang w:val="en-US" w:eastAsia="zh-CN"/>
        </w:rPr>
        <w:t>2</w:t>
      </w:r>
      <w:r>
        <w:rPr>
          <w:rFonts w:hint="eastAsia" w:ascii="Times New Roman" w:hAnsi="Times New Roman" w:cs="Times New Roman"/>
          <w:highlight w:val="none"/>
          <w:vertAlign w:val="baseline"/>
          <w:lang w:val="en-US" w:eastAsia="zh-CN"/>
        </w:rPr>
        <w:t>产品的</w:t>
      </w:r>
      <w:r>
        <w:rPr>
          <w:rFonts w:hint="eastAsia" w:ascii="Times New Roman" w:hAnsi="Times New Roman" w:cs="Times New Roman"/>
          <w:highlight w:val="none"/>
          <w:lang w:val="en-US" w:eastAsia="zh-CN"/>
        </w:rPr>
        <w:t>耗水</w:t>
      </w:r>
      <w:r>
        <w:rPr>
          <w:rFonts w:hint="default" w:ascii="Times New Roman" w:hAnsi="Times New Roman" w:cs="Times New Roman"/>
          <w:highlight w:val="none"/>
          <w:lang w:val="en-US" w:eastAsia="zh-CN"/>
        </w:rPr>
        <w:t>量，L/m</w:t>
      </w:r>
      <w:r>
        <w:rPr>
          <w:rFonts w:hint="default" w:ascii="Times New Roman" w:hAnsi="Times New Roman" w:cs="Times New Roman"/>
          <w:highlight w:val="none"/>
          <w:vertAlign w:val="superscript"/>
          <w:lang w:val="en-US" w:eastAsia="zh-CN"/>
        </w:rPr>
        <w:t>2</w:t>
      </w:r>
      <w:r>
        <w:rPr>
          <w:rFonts w:hint="default" w:ascii="Times New Roman" w:hAnsi="Times New Roman" w:cs="Times New Roman"/>
          <w:highlight w:val="none"/>
          <w:lang w:val="en-US" w:eastAsia="zh-CN"/>
        </w:rPr>
        <w:t>；</w:t>
      </w:r>
    </w:p>
    <w:p w14:paraId="76896871">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m:oMath>
        <m:sSub>
          <m:sSubPr>
            <m:ctrlPr>
              <w:rPr>
                <w:rFonts w:hint="default" w:ascii="Cambria Math" w:hAnsi="Cambria Math" w:cs="Times New Roman"/>
                <w:highlight w:val="none"/>
                <w:lang w:val="en-US" w:eastAsia="zh-CN"/>
              </w:rPr>
            </m:ctrlPr>
          </m:sSubPr>
          <m:e>
            <m:r>
              <m:rPr>
                <m:nor/>
                <m:sty m:val="p"/>
              </m:rPr>
              <w:rPr>
                <w:rFonts w:hint="default" w:ascii="Times New Roman" w:hAnsi="Times New Roman" w:cs="Times New Roman"/>
                <w:b w:val="0"/>
                <w:i w:val="0"/>
                <w:highlight w:val="none"/>
                <w:lang w:val="en-US" w:eastAsia="zh-CN"/>
              </w:rPr>
              <m:t>V</m:t>
            </m:r>
            <m:ctrlPr>
              <w:rPr>
                <w:rFonts w:hint="default" w:ascii="Cambria Math" w:hAnsi="Cambria Math" w:cs="Times New Roman"/>
                <w:highlight w:val="none"/>
                <w:lang w:val="en-US" w:eastAsia="zh-CN"/>
              </w:rPr>
            </m:ctrlPr>
          </m:e>
          <m:sub>
            <m:r>
              <m:rPr>
                <m:nor/>
                <m:sty m:val="p"/>
              </m:rPr>
              <w:rPr>
                <w:rFonts w:hint="default" w:ascii="Times New Roman" w:hAnsi="Times New Roman" w:cs="Times New Roman"/>
                <w:b w:val="0"/>
                <w:i w:val="0"/>
                <w:highlight w:val="none"/>
                <w:lang w:val="en-US" w:eastAsia="zh-CN"/>
              </w:rPr>
              <m:t>i</m:t>
            </m:r>
            <m:ctrlPr>
              <w:rPr>
                <w:rFonts w:hint="default" w:ascii="Cambria Math" w:hAnsi="Cambria Math" w:cs="Times New Roman"/>
                <w:highlight w:val="none"/>
                <w:lang w:val="en-US" w:eastAsia="zh-CN"/>
              </w:rPr>
            </m:ctrlPr>
          </m:sub>
        </m:sSub>
      </m:oMath>
      <w:r>
        <w:rPr>
          <w:rFonts w:hint="default" w:ascii="Times New Roman" w:hAnsi="Times New Roman" w:cs="Times New Roman"/>
          <w:highlight w:val="none"/>
          <w:lang w:val="en-US" w:eastAsia="zh-CN"/>
        </w:rPr>
        <w:t>——在一定计量时间内</w:t>
      </w:r>
      <w:r>
        <w:rPr>
          <w:rFonts w:hint="eastAsia" w:ascii="Times New Roman" w:hAnsi="Times New Roman" w:cs="Times New Roman"/>
          <w:highlight w:val="none"/>
          <w:lang w:val="en-US" w:eastAsia="zh-CN"/>
        </w:rPr>
        <w:t>，</w:t>
      </w:r>
      <w:r>
        <w:rPr>
          <w:rFonts w:hint="default" w:ascii="Times New Roman" w:hAnsi="Times New Roman" w:cs="Times New Roman"/>
          <w:highlight w:val="none"/>
          <w:lang w:val="en-US" w:eastAsia="zh-CN"/>
        </w:rPr>
        <w:t>涂装生产的</w:t>
      </w:r>
      <w:r>
        <w:rPr>
          <w:rFonts w:hint="eastAsia" w:ascii="Times New Roman" w:hAnsi="Times New Roman" w:cs="Times New Roman"/>
          <w:highlight w:val="none"/>
          <w:lang w:val="en-US" w:eastAsia="zh-CN"/>
        </w:rPr>
        <w:t>耗水</w:t>
      </w:r>
      <w:r>
        <w:rPr>
          <w:rFonts w:hint="default" w:ascii="Times New Roman" w:hAnsi="Times New Roman" w:cs="Times New Roman"/>
          <w:highlight w:val="none"/>
          <w:lang w:val="en-US" w:eastAsia="zh-CN"/>
        </w:rPr>
        <w:t>量，t；</w:t>
      </w:r>
    </w:p>
    <w:p w14:paraId="4996C919">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vertAlign w:val="baseline"/>
          <w:lang w:val="en-US" w:eastAsia="zh-CN"/>
        </w:rPr>
      </w:pPr>
      <m:oMath>
        <m:r>
          <m:rPr>
            <m:nor/>
            <m:sty m:val="p"/>
          </m:rPr>
          <w:rPr>
            <w:rFonts w:hint="default" w:ascii="Times New Roman" w:hAnsi="Times New Roman" w:cs="Times New Roman"/>
            <w:b w:val="0"/>
            <w:i w:val="0"/>
            <w:highlight w:val="none"/>
            <w:lang w:val="en-US" w:eastAsia="zh-CN"/>
          </w:rPr>
          <m:t>Q</m:t>
        </m:r>
      </m:oMath>
      <w:r>
        <w:rPr>
          <w:rFonts w:hint="default" w:ascii="Times New Roman" w:hAnsi="Times New Roman" w:cs="Times New Roman"/>
          <w:highlight w:val="none"/>
          <w:lang w:val="en-US" w:eastAsia="zh-CN"/>
        </w:rPr>
        <w:t>——在一定计量时间内</w:t>
      </w:r>
      <w:r>
        <w:rPr>
          <w:rFonts w:hint="eastAsia" w:ascii="Times New Roman" w:hAnsi="Times New Roman" w:cs="Times New Roman"/>
          <w:highlight w:val="none"/>
          <w:lang w:val="en-US" w:eastAsia="zh-CN"/>
        </w:rPr>
        <w:t>，</w:t>
      </w:r>
      <w:r>
        <w:rPr>
          <w:rFonts w:hint="default" w:ascii="Times New Roman" w:hAnsi="Times New Roman" w:cs="Times New Roman"/>
          <w:highlight w:val="none"/>
          <w:lang w:val="en-US" w:eastAsia="zh-CN"/>
        </w:rPr>
        <w:t>涂装面积总和，m</w:t>
      </w:r>
      <w:r>
        <w:rPr>
          <w:rFonts w:hint="default" w:ascii="Times New Roman" w:hAnsi="Times New Roman" w:cs="Times New Roman"/>
          <w:highlight w:val="none"/>
          <w:vertAlign w:val="superscript"/>
          <w:lang w:val="en-US" w:eastAsia="zh-CN"/>
        </w:rPr>
        <w:t>2</w:t>
      </w:r>
      <w:r>
        <w:rPr>
          <w:rFonts w:hint="default" w:ascii="Times New Roman" w:hAnsi="Times New Roman" w:cs="Times New Roman"/>
          <w:highlight w:val="none"/>
          <w:vertAlign w:val="baseline"/>
          <w:lang w:val="en-US" w:eastAsia="zh-CN"/>
        </w:rPr>
        <w:t>。</w:t>
      </w:r>
    </w:p>
    <w:p w14:paraId="3FCD7F9E">
      <w:pPr>
        <w:adjustRightInd w:val="0"/>
        <w:snapToGrid w:val="0"/>
        <w:spacing w:before="158" w:beforeLines="50" w:after="158" w:afterLines="50"/>
        <w:rPr>
          <w:rFonts w:hint="default" w:ascii="Times New Roman" w:hAnsi="Times New Roman" w:eastAsia="黑体" w:cs="Times New Roman"/>
          <w:highlight w:val="none"/>
          <w:lang w:val="en-US" w:eastAsia="zh-CN"/>
        </w:rPr>
      </w:pPr>
      <w:r>
        <w:rPr>
          <w:rFonts w:hint="default" w:ascii="黑体" w:hAnsi="黑体" w:eastAsia="黑体" w:cs="黑体"/>
          <w:bCs/>
          <w:kern w:val="44"/>
          <w:sz w:val="21"/>
          <w:szCs w:val="44"/>
          <w:highlight w:val="none"/>
          <w:lang w:val="en-US" w:eastAsia="zh-CN" w:bidi="ar-SA"/>
        </w:rPr>
        <w:t>5.1.5</w:t>
      </w:r>
      <w:r>
        <w:rPr>
          <w:rFonts w:hint="default" w:ascii="Times New Roman" w:hAnsi="Times New Roman" w:eastAsia="黑体" w:cs="Times New Roman"/>
          <w:highlight w:val="none"/>
          <w:lang w:val="en-US" w:eastAsia="zh-CN"/>
        </w:rPr>
        <w:t xml:space="preserve">  单位面积CODcr产生量</w:t>
      </w:r>
    </w:p>
    <w:p w14:paraId="6D756BB7">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企业涂装每平方产品产生的废水中CODcr的量。</w:t>
      </w:r>
    </w:p>
    <w:p w14:paraId="355B6FCE">
      <w:pPr>
        <w:jc w:val="both"/>
        <w:rPr>
          <w:rFonts w:hint="default" w:ascii="Times New Roman" w:hAnsi="Times New Roman" w:cs="Times New Roman"/>
          <w:i w:val="0"/>
          <w:highlight w:val="none"/>
          <w:lang w:val="en-US"/>
        </w:rPr>
      </w:pPr>
      <m:oMathPara>
        <m:oMath>
          <m:sSub>
            <m:sSubPr>
              <m:ctrlPr>
                <w:rPr>
                  <w:rFonts w:hint="default" w:ascii="Cambria Math" w:hAnsi="Cambria Math" w:cs="Times New Roman"/>
                  <w:i/>
                  <w:highlight w:val="none"/>
                  <w:lang w:val="en-US" w:eastAsia="zh-CN"/>
                </w:rPr>
              </m:ctrlPr>
            </m:sSubPr>
            <m:e>
              <m:r>
                <m:rPr>
                  <m:nor/>
                </m:rPr>
                <w:rPr>
                  <w:rFonts w:hint="default" w:ascii="Times New Roman" w:hAnsi="Times New Roman" w:cs="Times New Roman"/>
                  <w:i/>
                  <w:highlight w:val="none"/>
                  <w:lang w:val="en-US" w:eastAsia="zh-CN"/>
                </w:rPr>
                <m:t>COD</m:t>
              </m:r>
              <m:ctrlPr>
                <w:rPr>
                  <w:rFonts w:hint="default" w:ascii="Cambria Math" w:hAnsi="Cambria Math" w:cs="Times New Roman"/>
                  <w:i/>
                  <w:highlight w:val="none"/>
                  <w:lang w:val="en-US" w:eastAsia="zh-CN"/>
                </w:rPr>
              </m:ctrlPr>
            </m:e>
            <m:sub>
              <m:r>
                <m:rPr/>
                <w:rPr>
                  <w:rFonts w:hint="default" w:ascii="Cambria Math" w:hAnsi="Cambria Math" w:cs="Times New Roman"/>
                  <w:highlight w:val="none"/>
                  <w:lang w:val="en-US" w:eastAsia="zh-CN"/>
                </w:rPr>
                <m:t>cr</m:t>
              </m:r>
              <m:ctrlPr>
                <w:rPr>
                  <w:rFonts w:hint="default" w:ascii="Cambria Math" w:hAnsi="Cambria Math" w:cs="Times New Roman"/>
                  <w:i/>
                  <w:highlight w:val="none"/>
                  <w:lang w:val="en-US" w:eastAsia="zh-CN"/>
                </w:rPr>
              </m:ctrlPr>
            </m:sub>
          </m:sSub>
          <m:r>
            <m:rPr>
              <m:nor/>
              <m:sty m:val="p"/>
            </m:rPr>
            <w:rPr>
              <w:rFonts w:hint="default" w:ascii="Times New Roman" w:hAnsi="Times New Roman" w:cs="Times New Roman"/>
              <w:b w:val="0"/>
              <w:i w:val="0"/>
              <w:highlight w:val="none"/>
              <w:lang w:val="en-US" w:eastAsia="zh-CN"/>
            </w:rPr>
            <m:t>=</m:t>
          </m:r>
          <m:f>
            <m:fPr>
              <m:ctrlPr>
                <w:rPr>
                  <w:rFonts w:hint="default" w:ascii="Cambria Math" w:hAnsi="Cambria Math" w:cs="Times New Roman"/>
                  <w:i/>
                  <w:highlight w:val="none"/>
                  <w:lang w:val="en-US" w:eastAsia="zh-CN"/>
                </w:rPr>
              </m:ctrlPr>
            </m:fPr>
            <m:num>
              <m:sSub>
                <m:sSubPr>
                  <m:ctrlPr>
                    <w:rPr>
                      <w:rFonts w:hint="default" w:ascii="Cambria Math" w:hAnsi="Cambria Math" w:cs="Times New Roman"/>
                      <w:i/>
                      <w:highlight w:val="none"/>
                      <w:lang w:val="en-US" w:eastAsia="zh-CN"/>
                    </w:rPr>
                  </m:ctrlPr>
                </m:sSubPr>
                <m:e>
                  <m:r>
                    <m:rPr>
                      <m:nor/>
                    </m:rPr>
                    <w:rPr>
                      <w:rFonts w:hint="default" w:ascii="Times New Roman" w:hAnsi="Times New Roman" w:cs="Times New Roman"/>
                      <w:i/>
                      <w:highlight w:val="none"/>
                      <w:lang w:val="en-US" w:eastAsia="zh-CN"/>
                    </w:rPr>
                    <m:t>C</m:t>
                  </m:r>
                  <m:ctrlPr>
                    <w:rPr>
                      <w:rFonts w:hint="default" w:ascii="Cambria Math" w:hAnsi="Cambria Math" w:cs="Times New Roman"/>
                      <w:i/>
                      <w:highlight w:val="none"/>
                      <w:lang w:val="en-US" w:eastAsia="zh-CN"/>
                    </w:rPr>
                  </m:ctrlPr>
                </m:e>
                <m:sub>
                  <m:r>
                    <m:rPr>
                      <m:nor/>
                    </m:rPr>
                    <w:rPr>
                      <w:rFonts w:hint="default" w:ascii="Times New Roman" w:hAnsi="Times New Roman" w:cs="Times New Roman"/>
                      <w:i/>
                      <w:highlight w:val="none"/>
                      <w:lang w:val="en-US" w:eastAsia="zh-CN"/>
                    </w:rPr>
                    <m:t>i</m:t>
                  </m:r>
                  <m:ctrlPr>
                    <w:rPr>
                      <w:rFonts w:hint="default" w:ascii="Cambria Math" w:hAnsi="Cambria Math" w:cs="Times New Roman"/>
                      <w:i/>
                      <w:highlight w:val="none"/>
                      <w:lang w:val="en-US" w:eastAsia="zh-CN"/>
                    </w:rPr>
                  </m:ctrlPr>
                </m:sub>
              </m:sSub>
              <m:r>
                <m:rPr/>
                <w:rPr>
                  <w:rFonts w:ascii="Cambria Math" w:hAnsi="Cambria Math" w:cs="Times New Roman"/>
                  <w:highlight w:val="none"/>
                  <w:lang w:val="en-US"/>
                </w:rPr>
                <m:t>×</m:t>
              </m:r>
              <m:sSub>
                <m:sSubPr>
                  <m:ctrlPr>
                    <w:rPr>
                      <w:rFonts w:hint="default" w:ascii="Cambria Math" w:hAnsi="Cambria Math" w:cs="Times New Roman"/>
                      <w:i/>
                      <w:highlight w:val="none"/>
                      <w:lang w:val="en-US" w:eastAsia="zh-CN"/>
                    </w:rPr>
                  </m:ctrlPr>
                </m:sSubPr>
                <m:e>
                  <m:r>
                    <m:rPr>
                      <m:nor/>
                    </m:rPr>
                    <w:rPr>
                      <w:rFonts w:hint="default" w:ascii="Times New Roman" w:hAnsi="Times New Roman" w:cs="Times New Roman"/>
                      <w:i/>
                      <w:highlight w:val="none"/>
                      <w:lang w:val="en-US" w:eastAsia="zh-CN"/>
                    </w:rPr>
                    <m:t>V</m:t>
                  </m:r>
                  <m:ctrlPr>
                    <w:rPr>
                      <w:rFonts w:hint="default" w:ascii="Cambria Math" w:hAnsi="Cambria Math" w:cs="Times New Roman"/>
                      <w:i/>
                      <w:highlight w:val="none"/>
                      <w:lang w:val="en-US" w:eastAsia="zh-CN"/>
                    </w:rPr>
                  </m:ctrlPr>
                </m:e>
                <m:sub>
                  <m:r>
                    <m:rPr>
                      <m:nor/>
                    </m:rPr>
                    <w:rPr>
                      <w:rFonts w:hint="default" w:ascii="Times New Roman" w:hAnsi="Times New Roman" w:cs="Times New Roman"/>
                      <w:i/>
                      <w:highlight w:val="none"/>
                      <w:lang w:val="en-US" w:eastAsia="zh-CN"/>
                    </w:rPr>
                    <m:t>c</m:t>
                  </m:r>
                  <m:ctrlPr>
                    <w:rPr>
                      <w:rFonts w:hint="default" w:ascii="Cambria Math" w:hAnsi="Cambria Math" w:cs="Times New Roman"/>
                      <w:i/>
                      <w:highlight w:val="none"/>
                      <w:lang w:val="en-US" w:eastAsia="zh-CN"/>
                    </w:rPr>
                  </m:ctrlPr>
                </m:sub>
              </m:sSub>
              <m:ctrlPr>
                <w:rPr>
                  <w:rFonts w:hint="default" w:ascii="Cambria Math" w:hAnsi="Cambria Math" w:cs="Times New Roman"/>
                  <w:i/>
                  <w:highlight w:val="none"/>
                  <w:lang w:val="en-US" w:eastAsia="zh-CN"/>
                </w:rPr>
              </m:ctrlPr>
            </m:num>
            <m:den>
              <m:r>
                <m:rPr>
                  <m:nor/>
                </m:rPr>
                <w:rPr>
                  <w:rFonts w:hint="default" w:ascii="Times New Roman" w:hAnsi="Times New Roman" w:cs="Times New Roman"/>
                  <w:i/>
                  <w:highlight w:val="none"/>
                  <w:lang w:val="en-US" w:eastAsia="zh-CN"/>
                </w:rPr>
                <m:t>Q</m:t>
              </m:r>
              <m:ctrlPr>
                <w:rPr>
                  <w:rFonts w:hint="default" w:ascii="Cambria Math" w:hAnsi="Cambria Math" w:cs="Times New Roman"/>
                  <w:i/>
                  <w:highlight w:val="none"/>
                  <w:lang w:val="en-US" w:eastAsia="zh-CN"/>
                </w:rPr>
              </m:ctrlPr>
            </m:den>
          </m:f>
          <m:r>
            <m:rPr>
              <m:nor/>
              <m:sty m:val="p"/>
            </m:rPr>
            <w:rPr>
              <w:rFonts w:hint="default" w:ascii="Times New Roman" w:hAnsi="Times New Roman" w:cs="Times New Roman"/>
              <w:b w:val="0"/>
              <w:i w:val="0"/>
              <w:highlight w:val="none"/>
              <w:lang w:val="en-US" w:eastAsia="zh-CN"/>
            </w:rPr>
            <m:t>×1000</m:t>
          </m:r>
        </m:oMath>
      </m:oMathPara>
    </w:p>
    <w:p w14:paraId="68661E15">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式中：</w:t>
      </w:r>
    </w:p>
    <w:p w14:paraId="1248F3A6">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m:oMath>
        <m:sSub>
          <m:sSubPr>
            <m:ctrlPr>
              <w:rPr>
                <w:rFonts w:hint="default" w:ascii="Cambria Math" w:hAnsi="Cambria Math" w:cs="Times New Roman"/>
                <w:i/>
                <w:kern w:val="2"/>
                <w:sz w:val="21"/>
                <w:szCs w:val="24"/>
                <w:highlight w:val="none"/>
                <w:lang w:val="en-US" w:eastAsia="zh-CN" w:bidi="ar-SA"/>
              </w:rPr>
            </m:ctrlPr>
          </m:sSubPr>
          <m:e>
            <m:r>
              <m:rPr>
                <m:nor/>
              </m:rPr>
              <w:rPr>
                <w:rFonts w:hint="default" w:ascii="Times New Roman" w:hAnsi="Times New Roman" w:cs="Times New Roman"/>
                <w:i/>
                <w:kern w:val="2"/>
                <w:sz w:val="21"/>
                <w:szCs w:val="24"/>
                <w:highlight w:val="none"/>
                <w:lang w:val="en-US" w:eastAsia="zh-CN" w:bidi="ar-SA"/>
              </w:rPr>
              <m:t>COD</m:t>
            </m:r>
            <m:ctrlPr>
              <w:rPr>
                <w:rFonts w:hint="default" w:ascii="Cambria Math" w:hAnsi="Cambria Math" w:cs="Times New Roman"/>
                <w:i/>
                <w:kern w:val="2"/>
                <w:sz w:val="21"/>
                <w:szCs w:val="24"/>
                <w:highlight w:val="none"/>
                <w:lang w:val="en-US" w:eastAsia="zh-CN" w:bidi="ar-SA"/>
              </w:rPr>
            </m:ctrlPr>
          </m:e>
          <m:sub>
            <m:r>
              <m:rPr/>
              <w:rPr>
                <w:rFonts w:hint="default" w:ascii="Cambria Math" w:hAnsi="Cambria Math" w:cs="Times New Roman"/>
                <w:kern w:val="2"/>
                <w:sz w:val="21"/>
                <w:szCs w:val="24"/>
                <w:highlight w:val="none"/>
                <w:lang w:val="en-US" w:eastAsia="zh-CN" w:bidi="ar-SA"/>
              </w:rPr>
              <m:t>cr</m:t>
            </m:r>
            <m:ctrlPr>
              <w:rPr>
                <w:rFonts w:hint="default" w:ascii="Cambria Math" w:hAnsi="Cambria Math" w:cs="Times New Roman"/>
                <w:i/>
                <w:kern w:val="2"/>
                <w:sz w:val="21"/>
                <w:szCs w:val="24"/>
                <w:highlight w:val="none"/>
                <w:lang w:val="en-US" w:eastAsia="zh-CN" w:bidi="ar-SA"/>
              </w:rPr>
            </m:ctrlPr>
          </m:sub>
        </m:sSub>
      </m:oMath>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涂装1 m</w:t>
      </w:r>
      <w:r>
        <w:rPr>
          <w:rFonts w:hint="eastAsia" w:ascii="Times New Roman" w:hAnsi="Times New Roman" w:cs="Times New Roman"/>
          <w:highlight w:val="none"/>
          <w:vertAlign w:val="superscript"/>
          <w:lang w:val="en-US" w:eastAsia="zh-CN"/>
        </w:rPr>
        <w:t>2</w:t>
      </w:r>
      <w:r>
        <w:rPr>
          <w:rFonts w:hint="eastAsia" w:ascii="Times New Roman" w:hAnsi="Times New Roman" w:cs="Times New Roman"/>
          <w:highlight w:val="none"/>
          <w:vertAlign w:val="baseline"/>
          <w:lang w:val="en-US" w:eastAsia="zh-CN"/>
        </w:rPr>
        <w:t>产品</w:t>
      </w:r>
      <w:r>
        <w:rPr>
          <w:rFonts w:hint="eastAsia" w:ascii="Times New Roman" w:hAnsi="Times New Roman" w:cs="Times New Roman"/>
          <w:highlight w:val="none"/>
          <w:lang w:val="en-US" w:eastAsia="zh-CN"/>
        </w:rPr>
        <w:t>的CODcr产生量</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g</w:t>
      </w:r>
      <w:r>
        <w:rPr>
          <w:rFonts w:hint="default" w:ascii="Times New Roman" w:hAnsi="Times New Roman" w:cs="Times New Roman"/>
          <w:highlight w:val="none"/>
          <w:lang w:val="en-US" w:eastAsia="zh-CN"/>
        </w:rPr>
        <w:t>/m</w:t>
      </w:r>
      <w:r>
        <w:rPr>
          <w:rFonts w:hint="default" w:ascii="Times New Roman" w:hAnsi="Times New Roman" w:cs="Times New Roman"/>
          <w:highlight w:val="none"/>
          <w:vertAlign w:val="superscript"/>
          <w:lang w:val="en-US" w:eastAsia="zh-CN"/>
        </w:rPr>
        <w:t>2</w:t>
      </w:r>
      <w:r>
        <w:rPr>
          <w:rFonts w:hint="default" w:ascii="Times New Roman" w:hAnsi="Times New Roman" w:cs="Times New Roman"/>
          <w:highlight w:val="none"/>
          <w:lang w:val="en-US" w:eastAsia="zh-CN"/>
        </w:rPr>
        <w:t>；</w:t>
      </w:r>
    </w:p>
    <w:p w14:paraId="262B6370">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m:oMath>
        <m:sSub>
          <m:sSubPr>
            <m:ctrlPr>
              <w:rPr>
                <w:rFonts w:hint="default" w:ascii="Cambria Math" w:hAnsi="Cambria Math" w:cs="Times New Roman"/>
                <w:highlight w:val="none"/>
                <w:lang w:val="en-US" w:eastAsia="zh-CN"/>
              </w:rPr>
            </m:ctrlPr>
          </m:sSubPr>
          <m:e>
            <m:r>
              <m:rPr>
                <m:sty m:val="p"/>
              </m:rPr>
              <w:rPr>
                <w:rFonts w:hint="default" w:ascii="Cambria Math" w:hAnsi="Cambria Math" w:cs="Times New Roman"/>
                <w:highlight w:val="none"/>
                <w:lang w:val="en-US" w:eastAsia="zh-CN"/>
              </w:rPr>
              <m:t>C</m:t>
            </m:r>
            <m:ctrlPr>
              <w:rPr>
                <w:rFonts w:hint="default" w:ascii="Cambria Math" w:hAnsi="Cambria Math" w:cs="Times New Roman"/>
                <w:highlight w:val="none"/>
                <w:lang w:val="en-US" w:eastAsia="zh-CN"/>
              </w:rPr>
            </m:ctrlPr>
          </m:e>
          <m:sub>
            <m:r>
              <m:rPr>
                <m:nor/>
                <m:sty m:val="p"/>
              </m:rPr>
              <w:rPr>
                <w:rFonts w:hint="default" w:ascii="Times New Roman" w:hAnsi="Times New Roman" w:cs="Times New Roman"/>
                <w:b w:val="0"/>
                <w:i w:val="0"/>
                <w:highlight w:val="none"/>
                <w:lang w:val="en-US" w:eastAsia="zh-CN"/>
              </w:rPr>
              <m:t>i</m:t>
            </m:r>
            <m:ctrlPr>
              <w:rPr>
                <w:rFonts w:hint="default" w:ascii="Cambria Math" w:hAnsi="Cambria Math" w:cs="Times New Roman"/>
                <w:highlight w:val="none"/>
                <w:lang w:val="en-US" w:eastAsia="zh-CN"/>
              </w:rPr>
            </m:ctrlPr>
          </m:sub>
        </m:sSub>
      </m:oMath>
      <w:r>
        <w:rPr>
          <w:rFonts w:hint="default" w:ascii="Times New Roman" w:hAnsi="Times New Roman" w:cs="Times New Roman"/>
          <w:highlight w:val="none"/>
          <w:lang w:val="en-US" w:eastAsia="zh-CN"/>
        </w:rPr>
        <w:t>——在一定计量时间内</w:t>
      </w:r>
      <w:r>
        <w:rPr>
          <w:rFonts w:hint="eastAsia" w:ascii="Times New Roman" w:hAnsi="Times New Roman" w:cs="Times New Roman"/>
          <w:highlight w:val="none"/>
          <w:lang w:val="en-US" w:eastAsia="zh-CN"/>
        </w:rPr>
        <w:t>，各生产环节CODcr产生浓度实测加权值</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mg/L</w:t>
      </w:r>
      <w:r>
        <w:rPr>
          <w:rFonts w:hint="default" w:ascii="Times New Roman" w:hAnsi="Times New Roman" w:cs="Times New Roman"/>
          <w:highlight w:val="none"/>
          <w:lang w:val="en-US" w:eastAsia="zh-CN"/>
        </w:rPr>
        <w:t>；</w:t>
      </w:r>
    </w:p>
    <w:p w14:paraId="4E7726FA">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m:oMath>
        <m:sSub>
          <m:sSubPr>
            <m:ctrlPr>
              <w:rPr>
                <w:rFonts w:hint="default" w:ascii="Cambria Math" w:hAnsi="Cambria Math" w:cs="Times New Roman"/>
                <w:highlight w:val="none"/>
                <w:lang w:val="en-US" w:eastAsia="zh-CN"/>
              </w:rPr>
            </m:ctrlPr>
          </m:sSubPr>
          <m:e>
            <m:r>
              <m:rPr>
                <m:sty m:val="p"/>
              </m:rPr>
              <w:rPr>
                <w:rFonts w:hint="default" w:ascii="Cambria Math" w:hAnsi="Cambria Math" w:cs="Times New Roman"/>
                <w:highlight w:val="none"/>
                <w:lang w:val="en-US" w:eastAsia="zh-CN"/>
              </w:rPr>
              <m:t>V</m:t>
            </m:r>
            <m:ctrlPr>
              <w:rPr>
                <w:rFonts w:hint="default" w:ascii="Cambria Math" w:hAnsi="Cambria Math" w:cs="Times New Roman"/>
                <w:highlight w:val="none"/>
                <w:lang w:val="en-US" w:eastAsia="zh-CN"/>
              </w:rPr>
            </m:ctrlPr>
          </m:e>
          <m:sub>
            <m:r>
              <m:rPr>
                <m:sty m:val="p"/>
              </m:rPr>
              <w:rPr>
                <w:rFonts w:hint="default" w:ascii="Cambria Math" w:hAnsi="Cambria Math" w:cs="Times New Roman"/>
                <w:highlight w:val="none"/>
                <w:lang w:val="en-US" w:eastAsia="zh-CN"/>
              </w:rPr>
              <m:t>c</m:t>
            </m:r>
            <m:ctrlPr>
              <w:rPr>
                <w:rFonts w:hint="default" w:ascii="Cambria Math" w:hAnsi="Cambria Math" w:cs="Times New Roman"/>
                <w:highlight w:val="none"/>
                <w:lang w:val="en-US" w:eastAsia="zh-CN"/>
              </w:rPr>
            </m:ctrlPr>
          </m:sub>
        </m:sSub>
      </m:oMath>
      <w:r>
        <w:rPr>
          <w:rFonts w:hint="default" w:ascii="Times New Roman" w:hAnsi="Times New Roman" w:cs="Times New Roman"/>
          <w:highlight w:val="none"/>
          <w:lang w:val="en-US" w:eastAsia="zh-CN"/>
        </w:rPr>
        <w:t>——在一定计量时间内</w:t>
      </w:r>
      <w:r>
        <w:rPr>
          <w:rFonts w:hint="eastAsia" w:ascii="Times New Roman" w:hAnsi="Times New Roman" w:cs="Times New Roman"/>
          <w:highlight w:val="none"/>
          <w:lang w:val="en-US" w:eastAsia="zh-CN"/>
        </w:rPr>
        <w:t>，企业生产废水产生量（纯水制备产生的浓水不计入废水产生量）</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mg/L</w:t>
      </w:r>
      <w:r>
        <w:rPr>
          <w:rFonts w:hint="default" w:ascii="Times New Roman" w:hAnsi="Times New Roman" w:cs="Times New Roman"/>
          <w:highlight w:val="none"/>
          <w:lang w:val="en-US" w:eastAsia="zh-CN"/>
        </w:rPr>
        <w:t>；</w:t>
      </w:r>
    </w:p>
    <w:p w14:paraId="27490E7B">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vertAlign w:val="baseline"/>
          <w:lang w:val="en-US" w:eastAsia="zh-CN"/>
        </w:rPr>
      </w:pPr>
      <m:oMath>
        <m:r>
          <m:rPr>
            <m:nor/>
            <m:sty m:val="p"/>
          </m:rPr>
          <w:rPr>
            <w:rFonts w:hint="default" w:ascii="Times New Roman" w:hAnsi="Times New Roman" w:cs="Times New Roman"/>
            <w:b w:val="0"/>
            <w:i w:val="0"/>
            <w:highlight w:val="none"/>
            <w:lang w:val="en-US" w:eastAsia="zh-CN"/>
          </w:rPr>
          <m:t>Q</m:t>
        </m:r>
      </m:oMath>
      <w:r>
        <w:rPr>
          <w:rFonts w:hint="default" w:ascii="Times New Roman" w:hAnsi="Times New Roman" w:cs="Times New Roman"/>
          <w:highlight w:val="none"/>
          <w:lang w:val="en-US" w:eastAsia="zh-CN"/>
        </w:rPr>
        <w:t>——在一定计量时间内</w:t>
      </w:r>
      <w:r>
        <w:rPr>
          <w:rFonts w:hint="eastAsia" w:ascii="Times New Roman" w:hAnsi="Times New Roman" w:cs="Times New Roman"/>
          <w:highlight w:val="none"/>
          <w:lang w:val="en-US" w:eastAsia="zh-CN"/>
        </w:rPr>
        <w:t>，涂装</w:t>
      </w:r>
      <w:r>
        <w:rPr>
          <w:rFonts w:hint="default" w:ascii="Times New Roman" w:hAnsi="Times New Roman" w:cs="Times New Roman"/>
          <w:highlight w:val="none"/>
          <w:lang w:val="en-US" w:eastAsia="zh-CN"/>
        </w:rPr>
        <w:t>面积总和，m</w:t>
      </w:r>
      <w:r>
        <w:rPr>
          <w:rFonts w:hint="default" w:ascii="Times New Roman" w:hAnsi="Times New Roman" w:cs="Times New Roman"/>
          <w:highlight w:val="none"/>
          <w:vertAlign w:val="superscript"/>
          <w:lang w:val="en-US" w:eastAsia="zh-CN"/>
        </w:rPr>
        <w:t>2</w:t>
      </w:r>
      <w:r>
        <w:rPr>
          <w:rFonts w:hint="default" w:ascii="Times New Roman" w:hAnsi="Times New Roman" w:cs="Times New Roman"/>
          <w:highlight w:val="none"/>
          <w:vertAlign w:val="baseline"/>
          <w:lang w:val="en-US" w:eastAsia="zh-CN"/>
        </w:rPr>
        <w:t>。</w:t>
      </w:r>
    </w:p>
    <w:p w14:paraId="22E4124F">
      <w:pPr>
        <w:adjustRightInd w:val="0"/>
        <w:snapToGrid w:val="0"/>
        <w:spacing w:before="158" w:beforeLines="50" w:after="158" w:afterLines="50"/>
        <w:rPr>
          <w:rFonts w:hint="default" w:ascii="Times New Roman" w:hAnsi="Times New Roman" w:eastAsia="黑体" w:cs="Times New Roman"/>
          <w:highlight w:val="none"/>
          <w:lang w:val="en-US" w:eastAsia="zh-CN"/>
        </w:rPr>
      </w:pPr>
      <w:r>
        <w:rPr>
          <w:rFonts w:hint="default" w:ascii="黑体" w:hAnsi="黑体" w:eastAsia="黑体" w:cs="黑体"/>
          <w:bCs/>
          <w:kern w:val="44"/>
          <w:sz w:val="21"/>
          <w:szCs w:val="44"/>
          <w:highlight w:val="none"/>
          <w:lang w:val="en-US" w:eastAsia="zh-CN" w:bidi="ar-SA"/>
        </w:rPr>
        <w:t>5.1.</w:t>
      </w:r>
      <w:r>
        <w:rPr>
          <w:rFonts w:hint="eastAsia" w:ascii="黑体" w:hAnsi="黑体" w:eastAsia="黑体" w:cs="黑体"/>
          <w:bCs/>
          <w:kern w:val="44"/>
          <w:sz w:val="21"/>
          <w:szCs w:val="44"/>
          <w:highlight w:val="none"/>
          <w:lang w:val="en-US" w:eastAsia="zh-CN" w:bidi="ar-SA"/>
        </w:rPr>
        <w:t>6</w:t>
      </w:r>
      <w:r>
        <w:rPr>
          <w:rFonts w:hint="default" w:ascii="Times New Roman" w:hAnsi="Times New Roman" w:eastAsia="黑体" w:cs="Times New Roman"/>
          <w:highlight w:val="none"/>
          <w:lang w:val="en-US" w:eastAsia="zh-CN"/>
        </w:rPr>
        <w:t xml:space="preserve">  单位面积的</w:t>
      </w:r>
      <w:r>
        <w:rPr>
          <w:rFonts w:hint="eastAsia" w:ascii="Times New Roman" w:hAnsi="Times New Roman" w:eastAsia="黑体" w:cs="Times New Roman"/>
          <w:highlight w:val="none"/>
          <w:lang w:val="en-US" w:eastAsia="zh-CN"/>
        </w:rPr>
        <w:t>总磷</w:t>
      </w:r>
      <w:r>
        <w:rPr>
          <w:rFonts w:hint="default" w:ascii="Times New Roman" w:hAnsi="Times New Roman" w:eastAsia="黑体" w:cs="Times New Roman"/>
          <w:highlight w:val="none"/>
          <w:lang w:val="en-US" w:eastAsia="zh-CN"/>
        </w:rPr>
        <w:t>产生量</w:t>
      </w:r>
    </w:p>
    <w:p w14:paraId="1CA4FE07">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Times New Roman" w:hAnsi="Times New Roman" w:cs="Times New Roman"/>
          <w:highlight w:val="none"/>
          <w:vertAlign w:val="baseline"/>
          <w:lang w:val="en-US" w:eastAsia="zh-CN"/>
        </w:rPr>
      </w:pPr>
      <w:r>
        <w:rPr>
          <w:rFonts w:hint="eastAsia" w:ascii="Times New Roman" w:hAnsi="Times New Roman" w:cs="Times New Roman"/>
          <w:highlight w:val="none"/>
          <w:lang w:val="en-US" w:eastAsia="zh-CN"/>
        </w:rPr>
        <w:t>企业涂装每平方米</w:t>
      </w:r>
      <w:r>
        <w:rPr>
          <w:rFonts w:hint="eastAsia" w:ascii="Times New Roman" w:hAnsi="Times New Roman" w:cs="Times New Roman"/>
          <w:highlight w:val="none"/>
          <w:vertAlign w:val="baseline"/>
          <w:lang w:val="en-US" w:eastAsia="zh-CN"/>
        </w:rPr>
        <w:t>产品所产生的总磷产生量：</w:t>
      </w:r>
    </w:p>
    <w:p w14:paraId="0680F6A5">
      <w:pPr>
        <w:jc w:val="both"/>
        <w:rPr>
          <w:rFonts w:hint="default" w:ascii="Times New Roman" w:hAnsi="Times New Roman" w:cs="Times New Roman"/>
          <w:i w:val="0"/>
          <w:highlight w:val="none"/>
          <w:lang w:val="en-US"/>
        </w:rPr>
      </w:pPr>
      <m:oMathPara>
        <m:oMath>
          <m:r>
            <m:rPr>
              <m:nor/>
            </m:rPr>
            <w:rPr>
              <w:rFonts w:hint="default" w:ascii="Times New Roman" w:hAnsi="Times New Roman" w:cs="Times New Roman"/>
              <w:b w:val="0"/>
              <w:i/>
              <w:iCs/>
              <w:highlight w:val="none"/>
              <w:lang w:val="en-US" w:eastAsia="zh-CN"/>
            </w:rPr>
            <m:t>TP</m:t>
          </m:r>
          <m:r>
            <m:rPr>
              <m:nor/>
              <m:sty m:val="p"/>
            </m:rPr>
            <w:rPr>
              <w:rFonts w:hint="default" w:ascii="Times New Roman" w:hAnsi="Times New Roman" w:cs="Times New Roman"/>
              <w:b w:val="0"/>
              <w:i w:val="0"/>
              <w:highlight w:val="none"/>
              <w:lang w:val="en-US" w:eastAsia="zh-CN"/>
            </w:rPr>
            <m:t>=</m:t>
          </m:r>
          <m:f>
            <m:fPr>
              <m:ctrlPr>
                <w:rPr>
                  <w:rFonts w:hint="default" w:ascii="Cambria Math" w:hAnsi="Cambria Math" w:cs="Times New Roman"/>
                  <w:i/>
                  <w:highlight w:val="none"/>
                  <w:lang w:val="en-US" w:eastAsia="zh-CN"/>
                </w:rPr>
              </m:ctrlPr>
            </m:fPr>
            <m:num>
              <m:sSub>
                <m:sSubPr>
                  <m:ctrlPr>
                    <w:rPr>
                      <w:rFonts w:hint="default" w:ascii="Cambria Math" w:hAnsi="Cambria Math" w:cs="Times New Roman"/>
                      <w:i/>
                      <w:highlight w:val="none"/>
                      <w:lang w:val="en-US" w:eastAsia="zh-CN"/>
                    </w:rPr>
                  </m:ctrlPr>
                </m:sSubPr>
                <m:e>
                  <m:r>
                    <m:rPr/>
                    <w:rPr>
                      <w:rFonts w:hint="default" w:ascii="Cambria Math" w:hAnsi="Cambria Math" w:cs="Times New Roman"/>
                      <w:highlight w:val="none"/>
                      <w:lang w:val="en-US" w:eastAsia="zh-CN"/>
                    </w:rPr>
                    <m:t>M</m:t>
                  </m:r>
                  <m:ctrlPr>
                    <w:rPr>
                      <w:rFonts w:hint="default" w:ascii="Cambria Math" w:hAnsi="Cambria Math" w:cs="Times New Roman"/>
                      <w:i/>
                      <w:highlight w:val="none"/>
                      <w:lang w:val="en-US" w:eastAsia="zh-CN"/>
                    </w:rPr>
                  </m:ctrlPr>
                </m:e>
                <m:sub>
                  <m:r>
                    <m:rPr/>
                    <w:rPr>
                      <w:rFonts w:hint="default" w:ascii="Cambria Math" w:hAnsi="Cambria Math" w:cs="Times New Roman"/>
                      <w:highlight w:val="none"/>
                      <w:lang w:val="en-US" w:eastAsia="zh-CN"/>
                    </w:rPr>
                    <m:t>TP</m:t>
                  </m:r>
                  <m:ctrlPr>
                    <w:rPr>
                      <w:rFonts w:hint="default" w:ascii="Cambria Math" w:hAnsi="Cambria Math" w:cs="Times New Roman"/>
                      <w:i/>
                      <w:highlight w:val="none"/>
                      <w:lang w:val="en-US" w:eastAsia="zh-CN"/>
                    </w:rPr>
                  </m:ctrlPr>
                </m:sub>
              </m:sSub>
              <m:ctrlPr>
                <w:rPr>
                  <w:rFonts w:hint="default" w:ascii="Cambria Math" w:hAnsi="Cambria Math" w:cs="Times New Roman"/>
                  <w:i/>
                  <w:highlight w:val="none"/>
                  <w:lang w:val="en-US" w:eastAsia="zh-CN"/>
                </w:rPr>
              </m:ctrlPr>
            </m:num>
            <m:den>
              <m:r>
                <m:rPr>
                  <m:nor/>
                </m:rPr>
                <w:rPr>
                  <w:rFonts w:hint="default" w:ascii="Times New Roman" w:hAnsi="Times New Roman" w:cs="Times New Roman"/>
                  <w:i/>
                  <w:highlight w:val="none"/>
                  <w:lang w:val="en-US" w:eastAsia="zh-CN"/>
                </w:rPr>
                <m:t>Q</m:t>
              </m:r>
              <m:ctrlPr>
                <w:rPr>
                  <w:rFonts w:hint="default" w:ascii="Cambria Math" w:hAnsi="Cambria Math" w:cs="Times New Roman"/>
                  <w:i/>
                  <w:highlight w:val="none"/>
                  <w:lang w:val="en-US" w:eastAsia="zh-CN"/>
                </w:rPr>
              </m:ctrlPr>
            </m:den>
          </m:f>
          <m:r>
            <m:rPr>
              <m:nor/>
              <m:sty m:val="p"/>
            </m:rPr>
            <w:rPr>
              <w:rFonts w:hint="default" w:ascii="Times New Roman" w:hAnsi="Times New Roman" w:cs="Times New Roman"/>
              <w:b w:val="0"/>
              <w:i w:val="0"/>
              <w:highlight w:val="none"/>
              <w:lang w:val="en-US" w:eastAsia="zh-CN"/>
            </w:rPr>
            <m:t>×1000</m:t>
          </m:r>
        </m:oMath>
      </m:oMathPara>
    </w:p>
    <w:p w14:paraId="5D2D6B8F">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式中：</w:t>
      </w:r>
    </w:p>
    <w:p w14:paraId="6856C60D">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TP</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涂装1m</w:t>
      </w:r>
      <w:r>
        <w:rPr>
          <w:rFonts w:hint="eastAsia" w:ascii="Times New Roman" w:hAnsi="Times New Roman" w:cs="Times New Roman"/>
          <w:highlight w:val="none"/>
          <w:vertAlign w:val="superscript"/>
          <w:lang w:val="en-US" w:eastAsia="zh-CN"/>
        </w:rPr>
        <w:t>2</w:t>
      </w:r>
      <w:r>
        <w:rPr>
          <w:rFonts w:hint="eastAsia" w:ascii="Times New Roman" w:hAnsi="Times New Roman" w:cs="Times New Roman"/>
          <w:highlight w:val="none"/>
          <w:lang w:val="en-US" w:eastAsia="zh-CN"/>
        </w:rPr>
        <w:t>产品的总磷产生量</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g</w:t>
      </w:r>
      <w:r>
        <w:rPr>
          <w:rFonts w:hint="default" w:ascii="Times New Roman" w:hAnsi="Times New Roman" w:cs="Times New Roman"/>
          <w:highlight w:val="none"/>
          <w:lang w:val="en-US" w:eastAsia="zh-CN"/>
        </w:rPr>
        <w:t>/m</w:t>
      </w:r>
      <w:r>
        <w:rPr>
          <w:rFonts w:hint="default" w:ascii="Times New Roman" w:hAnsi="Times New Roman" w:cs="Times New Roman"/>
          <w:highlight w:val="none"/>
          <w:vertAlign w:val="superscript"/>
          <w:lang w:val="en-US" w:eastAsia="zh-CN"/>
        </w:rPr>
        <w:t>2</w:t>
      </w:r>
      <w:r>
        <w:rPr>
          <w:rFonts w:hint="default" w:ascii="Times New Roman" w:hAnsi="Times New Roman" w:cs="Times New Roman"/>
          <w:highlight w:val="none"/>
          <w:lang w:val="en-US" w:eastAsia="zh-CN"/>
        </w:rPr>
        <w:t>；</w:t>
      </w:r>
    </w:p>
    <w:p w14:paraId="39022609">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m:oMath>
        <m:sSub>
          <m:sSubPr>
            <m:ctrlPr>
              <w:rPr>
                <w:rFonts w:hint="default" w:ascii="Cambria Math" w:hAnsi="Cambria Math" w:cs="Times New Roman"/>
                <w:highlight w:val="none"/>
                <w:lang w:val="en-US" w:eastAsia="zh-CN"/>
              </w:rPr>
            </m:ctrlPr>
          </m:sSubPr>
          <m:e>
            <m:r>
              <m:rPr>
                <m:nor/>
                <m:sty m:val="p"/>
              </m:rPr>
              <w:rPr>
                <w:rFonts w:hint="default" w:ascii="Times New Roman" w:hAnsi="Times New Roman" w:cs="Times New Roman"/>
                <w:b w:val="0"/>
                <w:i w:val="0"/>
                <w:highlight w:val="none"/>
                <w:lang w:val="en-US" w:eastAsia="zh-CN"/>
              </w:rPr>
              <m:t>M</m:t>
            </m:r>
            <m:ctrlPr>
              <w:rPr>
                <w:rFonts w:hint="default" w:ascii="Cambria Math" w:hAnsi="Cambria Math" w:cs="Times New Roman"/>
                <w:highlight w:val="none"/>
                <w:lang w:val="en-US" w:eastAsia="zh-CN"/>
              </w:rPr>
            </m:ctrlPr>
          </m:e>
          <m:sub>
            <m:r>
              <m:rPr>
                <m:sty m:val="p"/>
              </m:rPr>
              <w:rPr>
                <w:rFonts w:hint="default" w:ascii="Cambria Math" w:hAnsi="Cambria Math" w:cs="Times New Roman"/>
                <w:highlight w:val="none"/>
                <w:lang w:val="en-US" w:eastAsia="zh-CN"/>
              </w:rPr>
              <m:t>TP</m:t>
            </m:r>
            <m:ctrlPr>
              <w:rPr>
                <w:rFonts w:hint="default" w:ascii="Cambria Math" w:hAnsi="Cambria Math" w:cs="Times New Roman"/>
                <w:highlight w:val="none"/>
                <w:lang w:val="en-US" w:eastAsia="zh-CN"/>
              </w:rPr>
            </m:ctrlPr>
          </m:sub>
        </m:sSub>
      </m:oMath>
      <w:r>
        <w:rPr>
          <w:rFonts w:hint="default" w:ascii="Times New Roman" w:hAnsi="Times New Roman" w:cs="Times New Roman"/>
          <w:highlight w:val="none"/>
          <w:lang w:val="en-US" w:eastAsia="zh-CN"/>
        </w:rPr>
        <w:t>——在一定计量时间内</w:t>
      </w:r>
      <w:r>
        <w:rPr>
          <w:rFonts w:hint="eastAsia" w:ascii="Times New Roman" w:hAnsi="Times New Roman" w:cs="Times New Roman"/>
          <w:highlight w:val="none"/>
          <w:lang w:val="en-US" w:eastAsia="zh-CN"/>
        </w:rPr>
        <w:t>，涂装产生</w:t>
      </w:r>
      <w:r>
        <w:rPr>
          <w:rFonts w:hint="default" w:ascii="Times New Roman" w:hAnsi="Times New Roman" w:cs="Times New Roman"/>
          <w:highlight w:val="none"/>
          <w:lang w:val="en-US" w:eastAsia="zh-CN"/>
        </w:rPr>
        <w:t>的</w:t>
      </w:r>
      <w:r>
        <w:rPr>
          <w:rFonts w:hint="eastAsia" w:ascii="Times New Roman" w:hAnsi="Times New Roman" w:cs="Times New Roman"/>
          <w:highlight w:val="none"/>
          <w:lang w:val="en-US" w:eastAsia="zh-CN"/>
        </w:rPr>
        <w:t>总磷量</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kg</w:t>
      </w:r>
      <w:r>
        <w:rPr>
          <w:rFonts w:hint="default" w:ascii="Times New Roman" w:hAnsi="Times New Roman" w:cs="Times New Roman"/>
          <w:highlight w:val="none"/>
          <w:lang w:val="en-US" w:eastAsia="zh-CN"/>
        </w:rPr>
        <w:t>；</w:t>
      </w:r>
    </w:p>
    <w:p w14:paraId="663AB827">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vertAlign w:val="baseline"/>
          <w:lang w:val="en-US" w:eastAsia="zh-CN"/>
        </w:rPr>
      </w:pPr>
      <m:oMath>
        <m:r>
          <m:rPr>
            <m:nor/>
            <m:sty m:val="p"/>
          </m:rPr>
          <w:rPr>
            <w:rFonts w:hint="default" w:ascii="Times New Roman" w:hAnsi="Times New Roman" w:cs="Times New Roman"/>
            <w:b w:val="0"/>
            <w:i w:val="0"/>
            <w:highlight w:val="none"/>
            <w:lang w:val="en-US" w:eastAsia="zh-CN"/>
          </w:rPr>
          <m:t>Q</m:t>
        </m:r>
      </m:oMath>
      <w:r>
        <w:rPr>
          <w:rFonts w:hint="default" w:ascii="Times New Roman" w:hAnsi="Times New Roman" w:cs="Times New Roman"/>
          <w:highlight w:val="none"/>
          <w:lang w:val="en-US" w:eastAsia="zh-CN"/>
        </w:rPr>
        <w:t>——在一定计量时间内</w:t>
      </w:r>
      <w:r>
        <w:rPr>
          <w:rFonts w:hint="eastAsia" w:ascii="Times New Roman" w:hAnsi="Times New Roman" w:cs="Times New Roman"/>
          <w:highlight w:val="none"/>
          <w:lang w:val="en-US" w:eastAsia="zh-CN"/>
        </w:rPr>
        <w:t>，涂装</w:t>
      </w:r>
      <w:r>
        <w:rPr>
          <w:rFonts w:hint="default" w:ascii="Times New Roman" w:hAnsi="Times New Roman" w:cs="Times New Roman"/>
          <w:highlight w:val="none"/>
          <w:lang w:val="en-US" w:eastAsia="zh-CN"/>
        </w:rPr>
        <w:t>面积总和，m</w:t>
      </w:r>
      <w:r>
        <w:rPr>
          <w:rFonts w:hint="default" w:ascii="Times New Roman" w:hAnsi="Times New Roman" w:cs="Times New Roman"/>
          <w:highlight w:val="none"/>
          <w:vertAlign w:val="superscript"/>
          <w:lang w:val="en-US" w:eastAsia="zh-CN"/>
        </w:rPr>
        <w:t>2</w:t>
      </w:r>
      <w:r>
        <w:rPr>
          <w:rFonts w:hint="default" w:ascii="Times New Roman" w:hAnsi="Times New Roman" w:cs="Times New Roman"/>
          <w:highlight w:val="none"/>
          <w:vertAlign w:val="baseline"/>
          <w:lang w:val="en-US" w:eastAsia="zh-CN"/>
        </w:rPr>
        <w:t>。</w:t>
      </w:r>
    </w:p>
    <w:p w14:paraId="06786E56">
      <w:pPr>
        <w:adjustRightInd w:val="0"/>
        <w:snapToGrid w:val="0"/>
        <w:spacing w:before="158" w:beforeLines="50" w:after="158" w:afterLines="50"/>
        <w:rPr>
          <w:rFonts w:hint="default" w:ascii="Times New Roman" w:hAnsi="Times New Roman" w:eastAsia="黑体" w:cs="Times New Roman"/>
          <w:highlight w:val="none"/>
          <w:lang w:val="en-US" w:eastAsia="zh-CN"/>
        </w:rPr>
      </w:pPr>
      <w:r>
        <w:rPr>
          <w:rFonts w:hint="default" w:ascii="黑体" w:hAnsi="黑体" w:eastAsia="黑体" w:cs="黑体"/>
          <w:bCs/>
          <w:kern w:val="44"/>
          <w:sz w:val="21"/>
          <w:szCs w:val="44"/>
          <w:highlight w:val="none"/>
          <w:lang w:val="en-US" w:eastAsia="zh-CN" w:bidi="ar-SA"/>
        </w:rPr>
        <w:t>5.1.</w:t>
      </w:r>
      <w:r>
        <w:rPr>
          <w:rFonts w:hint="eastAsia" w:ascii="黑体" w:hAnsi="黑体" w:eastAsia="黑体" w:cs="黑体"/>
          <w:bCs/>
          <w:kern w:val="44"/>
          <w:sz w:val="21"/>
          <w:szCs w:val="44"/>
          <w:highlight w:val="none"/>
          <w:lang w:val="en-US" w:eastAsia="zh-CN" w:bidi="ar-SA"/>
        </w:rPr>
        <w:t>7</w:t>
      </w:r>
      <w:r>
        <w:rPr>
          <w:rFonts w:hint="default" w:ascii="黑体" w:hAnsi="黑体" w:eastAsia="黑体" w:cs="黑体"/>
          <w:bCs/>
          <w:kern w:val="44"/>
          <w:sz w:val="21"/>
          <w:szCs w:val="44"/>
          <w:highlight w:val="none"/>
          <w:lang w:val="en-US" w:eastAsia="zh-CN" w:bidi="ar-SA"/>
        </w:rPr>
        <w:t xml:space="preserve"> </w:t>
      </w:r>
      <w:r>
        <w:rPr>
          <w:rFonts w:hint="default" w:ascii="Times New Roman" w:hAnsi="Times New Roman" w:eastAsia="黑体" w:cs="Times New Roman"/>
          <w:highlight w:val="none"/>
          <w:lang w:val="en-US" w:eastAsia="zh-CN"/>
        </w:rPr>
        <w:t xml:space="preserve"> 单位面积的</w:t>
      </w:r>
      <w:r>
        <w:rPr>
          <w:rFonts w:hint="eastAsia" w:ascii="Times New Roman" w:hAnsi="Times New Roman" w:eastAsia="黑体" w:cs="Times New Roman"/>
          <w:highlight w:val="none"/>
          <w:lang w:val="en-US" w:eastAsia="zh-CN"/>
        </w:rPr>
        <w:t>危险废物</w:t>
      </w:r>
      <w:r>
        <w:rPr>
          <w:rFonts w:hint="default" w:ascii="Times New Roman" w:hAnsi="Times New Roman" w:eastAsia="黑体" w:cs="Times New Roman"/>
          <w:highlight w:val="none"/>
          <w:lang w:val="en-US" w:eastAsia="zh-CN"/>
        </w:rPr>
        <w:t>产生量</w:t>
      </w:r>
    </w:p>
    <w:p w14:paraId="5C57C2AF">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Times New Roman" w:hAnsi="Times New Roman" w:cs="Times New Roman"/>
          <w:highlight w:val="none"/>
          <w:vertAlign w:val="baseline"/>
          <w:lang w:val="en-US" w:eastAsia="zh-CN"/>
        </w:rPr>
      </w:pPr>
      <w:r>
        <w:rPr>
          <w:rFonts w:hint="eastAsia" w:ascii="Times New Roman" w:hAnsi="Times New Roman" w:cs="Times New Roman"/>
          <w:highlight w:val="none"/>
          <w:lang w:val="en-US" w:eastAsia="zh-CN"/>
        </w:rPr>
        <w:t>企业涂装每平方米</w:t>
      </w:r>
      <w:r>
        <w:rPr>
          <w:rFonts w:hint="eastAsia" w:ascii="Times New Roman" w:hAnsi="Times New Roman" w:cs="Times New Roman"/>
          <w:highlight w:val="none"/>
          <w:vertAlign w:val="baseline"/>
          <w:lang w:val="en-US" w:eastAsia="zh-CN"/>
        </w:rPr>
        <w:t>产品所产生的危险废物量：</w:t>
      </w:r>
    </w:p>
    <w:p w14:paraId="54FCCD26">
      <w:pPr>
        <w:jc w:val="both"/>
        <w:rPr>
          <w:rFonts w:hint="default" w:ascii="Times New Roman" w:hAnsi="Times New Roman" w:cs="Times New Roman"/>
          <w:i w:val="0"/>
          <w:highlight w:val="none"/>
          <w:lang w:val="en-US"/>
        </w:rPr>
      </w:pPr>
      <m:oMathPara>
        <m:oMath>
          <m:sSub>
            <m:sSubPr>
              <m:ctrlPr>
                <w:rPr>
                  <w:rFonts w:hint="default" w:ascii="Cambria Math" w:hAnsi="Cambria Math" w:cs="Times New Roman"/>
                  <w:i/>
                  <w:highlight w:val="none"/>
                  <w:lang w:val="en-US" w:eastAsia="zh-CN"/>
                </w:rPr>
              </m:ctrlPr>
            </m:sSubPr>
            <m:e>
              <m:r>
                <m:rPr>
                  <m:nor/>
                </m:rPr>
                <w:rPr>
                  <w:rFonts w:hint="default" w:ascii="Times New Roman" w:hAnsi="Times New Roman" w:cs="Times New Roman"/>
                  <w:i/>
                  <w:highlight w:val="none"/>
                  <w:lang w:val="en-US" w:eastAsia="zh-CN"/>
                </w:rPr>
                <m:t>M</m:t>
              </m:r>
              <m:ctrlPr>
                <w:rPr>
                  <w:rFonts w:hint="default" w:ascii="Cambria Math" w:hAnsi="Cambria Math" w:cs="Times New Roman"/>
                  <w:i/>
                  <w:highlight w:val="none"/>
                  <w:lang w:val="en-US" w:eastAsia="zh-CN"/>
                </w:rPr>
              </m:ctrlPr>
            </m:e>
            <m:sub>
              <m:r>
                <m:rPr/>
                <w:rPr>
                  <w:rFonts w:hint="default" w:ascii="Cambria Math" w:hAnsi="Cambria Math" w:cs="Times New Roman"/>
                  <w:highlight w:val="none"/>
                  <w:lang w:val="en-US" w:eastAsia="zh-CN"/>
                </w:rPr>
                <m:t>ui</m:t>
              </m:r>
              <m:ctrlPr>
                <w:rPr>
                  <w:rFonts w:hint="default" w:ascii="Cambria Math" w:hAnsi="Cambria Math" w:cs="Times New Roman"/>
                  <w:i/>
                  <w:highlight w:val="none"/>
                  <w:lang w:val="en-US" w:eastAsia="zh-CN"/>
                </w:rPr>
              </m:ctrlPr>
            </m:sub>
          </m:sSub>
          <m:r>
            <m:rPr>
              <m:nor/>
              <m:sty m:val="p"/>
            </m:rPr>
            <w:rPr>
              <w:rFonts w:hint="default" w:ascii="Times New Roman" w:hAnsi="Times New Roman" w:cs="Times New Roman"/>
              <w:b w:val="0"/>
              <w:i w:val="0"/>
              <w:highlight w:val="none"/>
              <w:lang w:val="en-US" w:eastAsia="zh-CN"/>
            </w:rPr>
            <m:t>=</m:t>
          </m:r>
          <m:f>
            <m:fPr>
              <m:ctrlPr>
                <w:rPr>
                  <w:rFonts w:hint="default" w:ascii="Cambria Math" w:hAnsi="Cambria Math" w:cs="Times New Roman"/>
                  <w:i/>
                  <w:highlight w:val="none"/>
                  <w:lang w:val="en-US" w:eastAsia="zh-CN"/>
                </w:rPr>
              </m:ctrlPr>
            </m:fPr>
            <m:num>
              <m:sSub>
                <m:sSubPr>
                  <m:ctrlPr>
                    <w:rPr>
                      <w:rFonts w:hint="default" w:ascii="Cambria Math" w:hAnsi="Cambria Math" w:cs="Times New Roman"/>
                      <w:i/>
                      <w:highlight w:val="none"/>
                      <w:lang w:val="en-US" w:eastAsia="zh-CN"/>
                    </w:rPr>
                  </m:ctrlPr>
                </m:sSubPr>
                <m:e>
                  <m:r>
                    <m:rPr/>
                    <w:rPr>
                      <w:rFonts w:hint="default" w:ascii="Cambria Math" w:hAnsi="Cambria Math" w:cs="Times New Roman"/>
                      <w:highlight w:val="none"/>
                      <w:lang w:val="en-US" w:eastAsia="zh-CN"/>
                    </w:rPr>
                    <m:t>M</m:t>
                  </m:r>
                  <m:ctrlPr>
                    <w:rPr>
                      <w:rFonts w:hint="default" w:ascii="Cambria Math" w:hAnsi="Cambria Math" w:cs="Times New Roman"/>
                      <w:i/>
                      <w:highlight w:val="none"/>
                      <w:lang w:val="en-US" w:eastAsia="zh-CN"/>
                    </w:rPr>
                  </m:ctrlPr>
                </m:e>
                <m:sub>
                  <m:r>
                    <m:rPr>
                      <m:nor/>
                    </m:rPr>
                    <w:rPr>
                      <w:rFonts w:hint="default" w:ascii="Times New Roman" w:hAnsi="Times New Roman" w:cs="Times New Roman"/>
                      <w:i/>
                      <w:highlight w:val="none"/>
                      <w:lang w:val="en-US" w:eastAsia="zh-CN"/>
                    </w:rPr>
                    <m:t>i</m:t>
                  </m:r>
                  <m:ctrlPr>
                    <w:rPr>
                      <w:rFonts w:hint="default" w:ascii="Cambria Math" w:hAnsi="Cambria Math" w:cs="Times New Roman"/>
                      <w:i/>
                      <w:highlight w:val="none"/>
                      <w:lang w:val="en-US" w:eastAsia="zh-CN"/>
                    </w:rPr>
                  </m:ctrlPr>
                </m:sub>
              </m:sSub>
              <m:ctrlPr>
                <w:rPr>
                  <w:rFonts w:hint="default" w:ascii="Cambria Math" w:hAnsi="Cambria Math" w:cs="Times New Roman"/>
                  <w:i/>
                  <w:highlight w:val="none"/>
                  <w:lang w:val="en-US" w:eastAsia="zh-CN"/>
                </w:rPr>
              </m:ctrlPr>
            </m:num>
            <m:den>
              <m:r>
                <m:rPr>
                  <m:nor/>
                </m:rPr>
                <w:rPr>
                  <w:rFonts w:hint="default" w:ascii="Times New Roman" w:hAnsi="Times New Roman" w:cs="Times New Roman"/>
                  <w:i/>
                  <w:highlight w:val="none"/>
                  <w:lang w:val="en-US" w:eastAsia="zh-CN"/>
                </w:rPr>
                <m:t>Q</m:t>
              </m:r>
              <m:ctrlPr>
                <w:rPr>
                  <w:rFonts w:hint="default" w:ascii="Cambria Math" w:hAnsi="Cambria Math" w:cs="Times New Roman"/>
                  <w:i/>
                  <w:highlight w:val="none"/>
                  <w:lang w:val="en-US" w:eastAsia="zh-CN"/>
                </w:rPr>
              </m:ctrlPr>
            </m:den>
          </m:f>
          <m:r>
            <m:rPr>
              <m:nor/>
              <m:sty m:val="p"/>
            </m:rPr>
            <w:rPr>
              <w:rFonts w:hint="default" w:ascii="Times New Roman" w:hAnsi="Times New Roman" w:cs="Times New Roman"/>
              <w:b w:val="0"/>
              <w:i w:val="0"/>
              <w:highlight w:val="none"/>
              <w:lang w:val="en-US" w:eastAsia="zh-CN"/>
            </w:rPr>
            <m:t>×1000</m:t>
          </m:r>
        </m:oMath>
      </m:oMathPara>
    </w:p>
    <w:p w14:paraId="069561E7">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式中：</w:t>
      </w:r>
    </w:p>
    <w:p w14:paraId="407B529A">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m:oMath>
        <m:sSub>
          <m:sSubPr>
            <m:ctrlPr>
              <w:rPr>
                <w:rFonts w:hint="default" w:ascii="Cambria Math" w:hAnsi="Cambria Math" w:cs="Times New Roman"/>
                <w:i/>
                <w:kern w:val="2"/>
                <w:sz w:val="21"/>
                <w:szCs w:val="24"/>
                <w:highlight w:val="none"/>
                <w:lang w:val="en-US" w:eastAsia="zh-CN" w:bidi="ar-SA"/>
              </w:rPr>
            </m:ctrlPr>
          </m:sSubPr>
          <m:e>
            <m:r>
              <m:rPr/>
              <w:rPr>
                <w:rFonts w:hint="default" w:ascii="Cambria Math" w:hAnsi="Cambria Math" w:cs="Times New Roman"/>
                <w:kern w:val="2"/>
                <w:sz w:val="21"/>
                <w:szCs w:val="24"/>
                <w:highlight w:val="none"/>
                <w:lang w:val="en-US" w:eastAsia="zh-CN" w:bidi="ar-SA"/>
              </w:rPr>
              <m:t>M</m:t>
            </m:r>
            <m:ctrlPr>
              <w:rPr>
                <w:rFonts w:hint="default" w:ascii="Cambria Math" w:hAnsi="Cambria Math" w:cs="Times New Roman"/>
                <w:i/>
                <w:kern w:val="2"/>
                <w:sz w:val="21"/>
                <w:szCs w:val="24"/>
                <w:highlight w:val="none"/>
                <w:lang w:val="en-US" w:eastAsia="zh-CN" w:bidi="ar-SA"/>
              </w:rPr>
            </m:ctrlPr>
          </m:e>
          <m:sub>
            <m:r>
              <m:rPr>
                <m:nor/>
              </m:rPr>
              <w:rPr>
                <w:rFonts w:hint="default" w:ascii="Times New Roman" w:hAnsi="Times New Roman" w:cs="Times New Roman"/>
                <w:i/>
                <w:kern w:val="2"/>
                <w:sz w:val="21"/>
                <w:szCs w:val="24"/>
                <w:highlight w:val="none"/>
                <w:lang w:val="en-US" w:eastAsia="zh-CN" w:bidi="ar-SA"/>
              </w:rPr>
              <m:t>ui</m:t>
            </m:r>
            <m:ctrlPr>
              <w:rPr>
                <w:rFonts w:hint="default" w:ascii="Cambria Math" w:hAnsi="Cambria Math" w:cs="Times New Roman"/>
                <w:i/>
                <w:kern w:val="2"/>
                <w:sz w:val="21"/>
                <w:szCs w:val="24"/>
                <w:highlight w:val="none"/>
                <w:lang w:val="en-US" w:eastAsia="zh-CN" w:bidi="ar-SA"/>
              </w:rPr>
            </m:ctrlPr>
          </m:sub>
        </m:sSub>
      </m:oMath>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涂装1m</w:t>
      </w:r>
      <w:r>
        <w:rPr>
          <w:rFonts w:hint="eastAsia" w:ascii="Times New Roman" w:hAnsi="Times New Roman" w:cs="Times New Roman"/>
          <w:highlight w:val="none"/>
          <w:vertAlign w:val="superscript"/>
          <w:lang w:val="en-US" w:eastAsia="zh-CN"/>
        </w:rPr>
        <w:t>2</w:t>
      </w:r>
      <w:r>
        <w:rPr>
          <w:rFonts w:hint="eastAsia" w:ascii="Times New Roman" w:hAnsi="Times New Roman" w:cs="Times New Roman"/>
          <w:highlight w:val="none"/>
          <w:vertAlign w:val="baseline"/>
          <w:lang w:val="en-US" w:eastAsia="zh-CN"/>
        </w:rPr>
        <w:t>产品</w:t>
      </w:r>
      <w:r>
        <w:rPr>
          <w:rFonts w:hint="eastAsia" w:ascii="Times New Roman" w:hAnsi="Times New Roman" w:cs="Times New Roman"/>
          <w:highlight w:val="none"/>
          <w:lang w:val="en-US" w:eastAsia="zh-CN"/>
        </w:rPr>
        <w:t>的危险废物产生量</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g</w:t>
      </w:r>
      <w:r>
        <w:rPr>
          <w:rFonts w:hint="default" w:ascii="Times New Roman" w:hAnsi="Times New Roman" w:cs="Times New Roman"/>
          <w:highlight w:val="none"/>
          <w:lang w:val="en-US" w:eastAsia="zh-CN"/>
        </w:rPr>
        <w:t>/m</w:t>
      </w:r>
      <w:r>
        <w:rPr>
          <w:rFonts w:hint="default" w:ascii="Times New Roman" w:hAnsi="Times New Roman" w:cs="Times New Roman"/>
          <w:highlight w:val="none"/>
          <w:vertAlign w:val="superscript"/>
          <w:lang w:val="en-US" w:eastAsia="zh-CN"/>
        </w:rPr>
        <w:t>2</w:t>
      </w:r>
      <w:r>
        <w:rPr>
          <w:rFonts w:hint="default" w:ascii="Times New Roman" w:hAnsi="Times New Roman" w:cs="Times New Roman"/>
          <w:highlight w:val="none"/>
          <w:lang w:val="en-US" w:eastAsia="zh-CN"/>
        </w:rPr>
        <w:t>；</w:t>
      </w:r>
    </w:p>
    <w:p w14:paraId="0AC7E76A">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m:oMath>
        <m:sSub>
          <m:sSubPr>
            <m:ctrlPr>
              <w:rPr>
                <w:rFonts w:hint="default" w:ascii="Cambria Math" w:hAnsi="Cambria Math" w:cs="Times New Roman"/>
                <w:highlight w:val="none"/>
                <w:lang w:val="en-US" w:eastAsia="zh-CN"/>
              </w:rPr>
            </m:ctrlPr>
          </m:sSubPr>
          <m:e>
            <m:r>
              <m:rPr>
                <m:sty m:val="p"/>
              </m:rPr>
              <w:rPr>
                <w:rFonts w:hint="default" w:ascii="Cambria Math" w:hAnsi="Cambria Math" w:cs="Times New Roman"/>
                <w:highlight w:val="none"/>
                <w:lang w:val="en-US" w:eastAsia="zh-CN"/>
              </w:rPr>
              <m:t>M</m:t>
            </m:r>
            <m:ctrlPr>
              <w:rPr>
                <w:rFonts w:hint="default" w:ascii="Cambria Math" w:hAnsi="Cambria Math" w:cs="Times New Roman"/>
                <w:highlight w:val="none"/>
                <w:lang w:val="en-US" w:eastAsia="zh-CN"/>
              </w:rPr>
            </m:ctrlPr>
          </m:e>
          <m:sub>
            <m:r>
              <m:rPr>
                <m:nor/>
                <m:sty m:val="p"/>
              </m:rPr>
              <w:rPr>
                <w:rFonts w:hint="default" w:ascii="Times New Roman" w:hAnsi="Times New Roman" w:cs="Times New Roman"/>
                <w:b w:val="0"/>
                <w:i w:val="0"/>
                <w:highlight w:val="none"/>
                <w:lang w:val="en-US" w:eastAsia="zh-CN"/>
              </w:rPr>
              <m:t>i</m:t>
            </m:r>
            <m:ctrlPr>
              <w:rPr>
                <w:rFonts w:hint="default" w:ascii="Cambria Math" w:hAnsi="Cambria Math" w:cs="Times New Roman"/>
                <w:highlight w:val="none"/>
                <w:lang w:val="en-US" w:eastAsia="zh-CN"/>
              </w:rPr>
            </m:ctrlPr>
          </m:sub>
        </m:sSub>
      </m:oMath>
      <w:r>
        <w:rPr>
          <w:rFonts w:hint="default" w:ascii="Times New Roman" w:hAnsi="Times New Roman" w:cs="Times New Roman"/>
          <w:highlight w:val="none"/>
          <w:lang w:val="en-US" w:eastAsia="zh-CN"/>
        </w:rPr>
        <w:t>——在一定计量时间内</w:t>
      </w:r>
      <w:r>
        <w:rPr>
          <w:rFonts w:hint="eastAsia" w:ascii="Times New Roman" w:hAnsi="Times New Roman" w:cs="Times New Roman"/>
          <w:highlight w:val="none"/>
          <w:lang w:val="en-US" w:eastAsia="zh-CN"/>
        </w:rPr>
        <w:t>，涂装产生的危险废物产生量</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kg</w:t>
      </w:r>
      <w:r>
        <w:rPr>
          <w:rFonts w:hint="default" w:ascii="Times New Roman" w:hAnsi="Times New Roman" w:cs="Times New Roman"/>
          <w:highlight w:val="none"/>
          <w:lang w:val="en-US" w:eastAsia="zh-CN"/>
        </w:rPr>
        <w:t>；</w:t>
      </w:r>
    </w:p>
    <w:p w14:paraId="6878F908">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vertAlign w:val="baseline"/>
          <w:lang w:val="en-US" w:eastAsia="zh-CN"/>
        </w:rPr>
      </w:pPr>
      <m:oMath>
        <m:r>
          <m:rPr>
            <m:nor/>
            <m:sty m:val="p"/>
          </m:rPr>
          <w:rPr>
            <w:rFonts w:hint="default" w:ascii="Times New Roman" w:hAnsi="Times New Roman" w:cs="Times New Roman"/>
            <w:b w:val="0"/>
            <w:i w:val="0"/>
            <w:highlight w:val="none"/>
            <w:lang w:val="en-US" w:eastAsia="zh-CN"/>
          </w:rPr>
          <m:t>Q</m:t>
        </m:r>
      </m:oMath>
      <w:r>
        <w:rPr>
          <w:rFonts w:hint="default" w:ascii="Times New Roman" w:hAnsi="Times New Roman" w:cs="Times New Roman"/>
          <w:highlight w:val="none"/>
          <w:lang w:val="en-US" w:eastAsia="zh-CN"/>
        </w:rPr>
        <w:t>——在一定计量时间内</w:t>
      </w:r>
      <w:r>
        <w:rPr>
          <w:rFonts w:hint="eastAsia" w:ascii="Times New Roman" w:hAnsi="Times New Roman" w:cs="Times New Roman"/>
          <w:highlight w:val="none"/>
          <w:lang w:val="en-US" w:eastAsia="zh-CN"/>
        </w:rPr>
        <w:t>，涂装</w:t>
      </w:r>
      <w:r>
        <w:rPr>
          <w:rFonts w:hint="default" w:ascii="Times New Roman" w:hAnsi="Times New Roman" w:cs="Times New Roman"/>
          <w:highlight w:val="none"/>
          <w:lang w:val="en-US" w:eastAsia="zh-CN"/>
        </w:rPr>
        <w:t>面积总和，m</w:t>
      </w:r>
      <w:r>
        <w:rPr>
          <w:rFonts w:hint="default" w:ascii="Times New Roman" w:hAnsi="Times New Roman" w:cs="Times New Roman"/>
          <w:highlight w:val="none"/>
          <w:vertAlign w:val="superscript"/>
          <w:lang w:val="en-US" w:eastAsia="zh-CN"/>
        </w:rPr>
        <w:t>2</w:t>
      </w:r>
      <w:r>
        <w:rPr>
          <w:rFonts w:hint="default" w:ascii="Times New Roman" w:hAnsi="Times New Roman" w:cs="Times New Roman"/>
          <w:highlight w:val="none"/>
          <w:vertAlign w:val="baseline"/>
          <w:lang w:val="en-US" w:eastAsia="zh-CN"/>
        </w:rPr>
        <w:t>。</w:t>
      </w:r>
    </w:p>
    <w:p w14:paraId="55905E1D">
      <w:pPr>
        <w:adjustRightInd w:val="0"/>
        <w:snapToGrid w:val="0"/>
        <w:spacing w:before="158" w:beforeLines="50" w:after="158" w:afterLines="50"/>
        <w:rPr>
          <w:rFonts w:hint="default" w:ascii="Times New Roman" w:hAnsi="Times New Roman" w:eastAsia="黑体" w:cs="Times New Roman"/>
          <w:highlight w:val="none"/>
          <w:lang w:val="en-US" w:eastAsia="zh-CN"/>
        </w:rPr>
      </w:pPr>
      <w:r>
        <w:rPr>
          <w:rFonts w:hint="default" w:ascii="黑体" w:hAnsi="黑体" w:eastAsia="黑体" w:cs="黑体"/>
          <w:bCs/>
          <w:kern w:val="44"/>
          <w:sz w:val="21"/>
          <w:szCs w:val="44"/>
          <w:highlight w:val="none"/>
          <w:lang w:val="en-US" w:eastAsia="zh-CN" w:bidi="ar-SA"/>
        </w:rPr>
        <w:t>5.1.</w:t>
      </w:r>
      <w:r>
        <w:rPr>
          <w:rFonts w:hint="eastAsia" w:ascii="黑体" w:hAnsi="黑体" w:eastAsia="黑体" w:cs="黑体"/>
          <w:bCs/>
          <w:kern w:val="44"/>
          <w:sz w:val="21"/>
          <w:szCs w:val="44"/>
          <w:highlight w:val="none"/>
          <w:lang w:val="en-US" w:eastAsia="zh-CN" w:bidi="ar-SA"/>
        </w:rPr>
        <w:t>8</w:t>
      </w:r>
      <w:r>
        <w:rPr>
          <w:rFonts w:hint="default" w:ascii="Times New Roman" w:hAnsi="Times New Roman" w:eastAsia="黑体" w:cs="Times New Roman"/>
          <w:highlight w:val="none"/>
          <w:lang w:val="en-US" w:eastAsia="zh-CN"/>
        </w:rPr>
        <w:t xml:space="preserve">  单位面积</w:t>
      </w:r>
      <w:r>
        <w:rPr>
          <w:rFonts w:hint="eastAsia" w:ascii="Times New Roman" w:hAnsi="Times New Roman" w:eastAsia="黑体" w:cs="Times New Roman"/>
          <w:highlight w:val="none"/>
          <w:lang w:val="en-US" w:eastAsia="zh-CN"/>
        </w:rPr>
        <w:t>VOCs</w:t>
      </w:r>
      <w:r>
        <w:rPr>
          <w:rFonts w:hint="default" w:ascii="Times New Roman" w:hAnsi="Times New Roman" w:eastAsia="黑体" w:cs="Times New Roman"/>
          <w:highlight w:val="none"/>
          <w:lang w:val="en-US" w:eastAsia="zh-CN"/>
        </w:rPr>
        <w:t>产生量</w:t>
      </w:r>
    </w:p>
    <w:p w14:paraId="3C52BE2E">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Times New Roman" w:hAnsi="Times New Roman" w:cs="Times New Roman"/>
          <w:highlight w:val="none"/>
          <w:vertAlign w:val="baseline"/>
          <w:lang w:val="en-US" w:eastAsia="zh-CN"/>
        </w:rPr>
      </w:pPr>
      <w:r>
        <w:rPr>
          <w:rFonts w:hint="eastAsia" w:ascii="Times New Roman" w:hAnsi="Times New Roman" w:cs="Times New Roman"/>
          <w:highlight w:val="none"/>
          <w:lang w:val="en-US" w:eastAsia="zh-CN"/>
        </w:rPr>
        <w:t>企业涂装每平方米</w:t>
      </w:r>
      <w:r>
        <w:rPr>
          <w:rFonts w:hint="eastAsia" w:ascii="Times New Roman" w:hAnsi="Times New Roman" w:cs="Times New Roman"/>
          <w:highlight w:val="none"/>
          <w:vertAlign w:val="baseline"/>
          <w:lang w:val="en-US" w:eastAsia="zh-CN"/>
        </w:rPr>
        <w:t>产品所产生的危险废物量：</w:t>
      </w:r>
    </w:p>
    <w:p w14:paraId="558D81E2">
      <w:pPr>
        <w:jc w:val="both"/>
        <w:rPr>
          <w:rFonts w:hint="default" w:ascii="Times New Roman" w:hAnsi="Times New Roman" w:cs="Times New Roman"/>
          <w:i w:val="0"/>
          <w:highlight w:val="none"/>
          <w:lang w:val="en-US"/>
        </w:rPr>
      </w:pPr>
      <m:oMathPara>
        <m:oMath>
          <m:r>
            <m:rPr>
              <m:nor/>
            </m:rPr>
            <w:rPr>
              <w:rFonts w:hint="default" w:ascii="Times New Roman" w:hAnsi="Times New Roman" w:cs="Times New Roman"/>
              <w:b w:val="0"/>
              <w:i/>
              <w:iCs/>
              <w:highlight w:val="none"/>
              <w:lang w:val="en-US" w:eastAsia="zh-CN"/>
            </w:rPr>
            <m:t>VOCs</m:t>
          </m:r>
          <m:r>
            <m:rPr>
              <m:nor/>
              <m:sty m:val="p"/>
            </m:rPr>
            <w:rPr>
              <w:rFonts w:hint="default" w:ascii="Times New Roman" w:hAnsi="Times New Roman" w:cs="Times New Roman"/>
              <w:b w:val="0"/>
              <w:i w:val="0"/>
              <w:highlight w:val="none"/>
              <w:lang w:val="en-US" w:eastAsia="zh-CN"/>
            </w:rPr>
            <m:t>=</m:t>
          </m:r>
          <m:f>
            <m:fPr>
              <m:ctrlPr>
                <w:rPr>
                  <w:rFonts w:hint="default" w:ascii="Cambria Math" w:hAnsi="Cambria Math" w:cs="Times New Roman"/>
                  <w:i/>
                  <w:highlight w:val="none"/>
                  <w:lang w:val="en-US" w:eastAsia="zh-CN"/>
                </w:rPr>
              </m:ctrlPr>
            </m:fPr>
            <m:num>
              <m:sSub>
                <m:sSubPr>
                  <m:ctrlPr>
                    <w:rPr>
                      <w:rFonts w:hint="default" w:ascii="Cambria Math" w:hAnsi="Cambria Math" w:cs="Times New Roman"/>
                      <w:i/>
                      <w:highlight w:val="none"/>
                      <w:lang w:val="en-US" w:eastAsia="zh-CN"/>
                    </w:rPr>
                  </m:ctrlPr>
                </m:sSubPr>
                <m:e>
                  <m:r>
                    <m:rPr/>
                    <w:rPr>
                      <w:rFonts w:hint="default" w:ascii="Cambria Math" w:hAnsi="Cambria Math" w:cs="Times New Roman"/>
                      <w:highlight w:val="none"/>
                      <w:lang w:val="en-US" w:eastAsia="zh-CN"/>
                    </w:rPr>
                    <m:t>M</m:t>
                  </m:r>
                  <m:ctrlPr>
                    <w:rPr>
                      <w:rFonts w:hint="default" w:ascii="Cambria Math" w:hAnsi="Cambria Math" w:cs="Times New Roman"/>
                      <w:i/>
                      <w:highlight w:val="none"/>
                      <w:lang w:val="en-US" w:eastAsia="zh-CN"/>
                    </w:rPr>
                  </m:ctrlPr>
                </m:e>
                <m:sub>
                  <m:r>
                    <m:rPr/>
                    <w:rPr>
                      <w:rFonts w:hint="default" w:ascii="Cambria Math" w:hAnsi="Cambria Math" w:cs="Times New Roman"/>
                      <w:highlight w:val="none"/>
                      <w:lang w:val="en-US" w:eastAsia="zh-CN"/>
                    </w:rPr>
                    <m:t>VOCs</m:t>
                  </m:r>
                  <m:ctrlPr>
                    <w:rPr>
                      <w:rFonts w:hint="default" w:ascii="Cambria Math" w:hAnsi="Cambria Math" w:cs="Times New Roman"/>
                      <w:i/>
                      <w:highlight w:val="none"/>
                      <w:lang w:val="en-US" w:eastAsia="zh-CN"/>
                    </w:rPr>
                  </m:ctrlPr>
                </m:sub>
              </m:sSub>
              <m:ctrlPr>
                <w:rPr>
                  <w:rFonts w:hint="default" w:ascii="Cambria Math" w:hAnsi="Cambria Math" w:cs="Times New Roman"/>
                  <w:i/>
                  <w:highlight w:val="none"/>
                  <w:lang w:val="en-US" w:eastAsia="zh-CN"/>
                </w:rPr>
              </m:ctrlPr>
            </m:num>
            <m:den>
              <m:r>
                <m:rPr>
                  <m:nor/>
                </m:rPr>
                <w:rPr>
                  <w:rFonts w:hint="default" w:ascii="Times New Roman" w:hAnsi="Times New Roman" w:cs="Times New Roman"/>
                  <w:i/>
                  <w:highlight w:val="none"/>
                  <w:lang w:val="en-US" w:eastAsia="zh-CN"/>
                </w:rPr>
                <m:t>Q</m:t>
              </m:r>
              <m:ctrlPr>
                <w:rPr>
                  <w:rFonts w:hint="default" w:ascii="Cambria Math" w:hAnsi="Cambria Math" w:cs="Times New Roman"/>
                  <w:i/>
                  <w:highlight w:val="none"/>
                  <w:lang w:val="en-US" w:eastAsia="zh-CN"/>
                </w:rPr>
              </m:ctrlPr>
            </m:den>
          </m:f>
          <m:r>
            <m:rPr>
              <m:nor/>
              <m:sty m:val="p"/>
            </m:rPr>
            <w:rPr>
              <w:rFonts w:hint="default" w:ascii="Times New Roman" w:hAnsi="Times New Roman" w:cs="Times New Roman"/>
              <w:b w:val="0"/>
              <w:i w:val="0"/>
              <w:highlight w:val="none"/>
              <w:lang w:val="en-US" w:eastAsia="zh-CN"/>
            </w:rPr>
            <m:t>×1000</m:t>
          </m:r>
        </m:oMath>
      </m:oMathPara>
    </w:p>
    <w:p w14:paraId="7A10E9A7">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式中：</w:t>
      </w:r>
    </w:p>
    <w:p w14:paraId="5883D081">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VOCs</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涂装1m</w:t>
      </w:r>
      <w:r>
        <w:rPr>
          <w:rFonts w:hint="eastAsia" w:ascii="Times New Roman" w:hAnsi="Times New Roman" w:cs="Times New Roman"/>
          <w:highlight w:val="none"/>
          <w:vertAlign w:val="superscript"/>
          <w:lang w:val="en-US" w:eastAsia="zh-CN"/>
        </w:rPr>
        <w:t>2</w:t>
      </w:r>
      <w:r>
        <w:rPr>
          <w:rFonts w:hint="eastAsia" w:ascii="Times New Roman" w:hAnsi="Times New Roman" w:cs="Times New Roman"/>
          <w:highlight w:val="none"/>
          <w:lang w:val="en-US" w:eastAsia="zh-CN"/>
        </w:rPr>
        <w:t>产品的VOCs产生量</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g</w:t>
      </w:r>
      <w:r>
        <w:rPr>
          <w:rFonts w:hint="default" w:ascii="Times New Roman" w:hAnsi="Times New Roman" w:cs="Times New Roman"/>
          <w:highlight w:val="none"/>
          <w:lang w:val="en-US" w:eastAsia="zh-CN"/>
        </w:rPr>
        <w:t>/m</w:t>
      </w:r>
      <w:r>
        <w:rPr>
          <w:rFonts w:hint="default" w:ascii="Times New Roman" w:hAnsi="Times New Roman" w:cs="Times New Roman"/>
          <w:highlight w:val="none"/>
          <w:vertAlign w:val="superscript"/>
          <w:lang w:val="en-US" w:eastAsia="zh-CN"/>
        </w:rPr>
        <w:t>2</w:t>
      </w:r>
      <w:r>
        <w:rPr>
          <w:rFonts w:hint="default" w:ascii="Times New Roman" w:hAnsi="Times New Roman" w:cs="Times New Roman"/>
          <w:highlight w:val="none"/>
          <w:lang w:val="en-US" w:eastAsia="zh-CN"/>
        </w:rPr>
        <w:t>；</w:t>
      </w:r>
    </w:p>
    <w:p w14:paraId="28D1DD0A">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m:oMath>
        <m:sSub>
          <m:sSubPr>
            <m:ctrlPr>
              <w:rPr>
                <w:rFonts w:hint="default" w:ascii="Cambria Math" w:hAnsi="Cambria Math" w:cs="Times New Roman"/>
                <w:highlight w:val="none"/>
                <w:lang w:val="en-US" w:eastAsia="zh-CN"/>
              </w:rPr>
            </m:ctrlPr>
          </m:sSubPr>
          <m:e>
            <m:r>
              <m:rPr>
                <m:nor/>
                <m:sty m:val="p"/>
              </m:rPr>
              <w:rPr>
                <w:rFonts w:hint="default" w:ascii="Times New Roman" w:hAnsi="Times New Roman" w:cs="Times New Roman"/>
                <w:b w:val="0"/>
                <w:i w:val="0"/>
                <w:highlight w:val="none"/>
                <w:lang w:val="en-US" w:eastAsia="zh-CN"/>
              </w:rPr>
              <m:t>M</m:t>
            </m:r>
            <m:ctrlPr>
              <w:rPr>
                <w:rFonts w:hint="default" w:ascii="Cambria Math" w:hAnsi="Cambria Math" w:cs="Times New Roman"/>
                <w:highlight w:val="none"/>
                <w:lang w:val="en-US" w:eastAsia="zh-CN"/>
              </w:rPr>
            </m:ctrlPr>
          </m:e>
          <m:sub>
            <m:r>
              <m:rPr>
                <m:sty m:val="p"/>
              </m:rPr>
              <w:rPr>
                <w:rFonts w:hint="default" w:ascii="Cambria Math" w:hAnsi="Cambria Math" w:cs="Times New Roman"/>
                <w:highlight w:val="none"/>
                <w:lang w:val="en-US" w:eastAsia="zh-CN"/>
              </w:rPr>
              <m:t>VOCs</m:t>
            </m:r>
            <m:ctrlPr>
              <w:rPr>
                <w:rFonts w:hint="default" w:ascii="Cambria Math" w:hAnsi="Cambria Math" w:cs="Times New Roman"/>
                <w:highlight w:val="none"/>
                <w:lang w:val="en-US" w:eastAsia="zh-CN"/>
              </w:rPr>
            </m:ctrlPr>
          </m:sub>
        </m:sSub>
      </m:oMath>
      <w:r>
        <w:rPr>
          <w:rFonts w:hint="default" w:ascii="Times New Roman" w:hAnsi="Times New Roman" w:cs="Times New Roman"/>
          <w:highlight w:val="none"/>
          <w:lang w:val="en-US" w:eastAsia="zh-CN"/>
        </w:rPr>
        <w:t>——在一定计量时间内</w:t>
      </w:r>
      <w:r>
        <w:rPr>
          <w:rFonts w:hint="eastAsia" w:ascii="Times New Roman" w:hAnsi="Times New Roman" w:cs="Times New Roman"/>
          <w:highlight w:val="none"/>
          <w:lang w:val="en-US" w:eastAsia="zh-CN"/>
        </w:rPr>
        <w:t>，涂装产生</w:t>
      </w:r>
      <w:r>
        <w:rPr>
          <w:rFonts w:hint="default" w:ascii="Times New Roman" w:hAnsi="Times New Roman" w:cs="Times New Roman"/>
          <w:highlight w:val="none"/>
          <w:lang w:val="en-US" w:eastAsia="zh-CN"/>
        </w:rPr>
        <w:t>的</w:t>
      </w:r>
      <w:r>
        <w:rPr>
          <w:rFonts w:hint="eastAsia" w:ascii="Times New Roman" w:hAnsi="Times New Roman" w:cs="Times New Roman"/>
          <w:highlight w:val="none"/>
          <w:lang w:val="en-US" w:eastAsia="zh-CN"/>
        </w:rPr>
        <w:t>总的</w:t>
      </w:r>
      <w:r>
        <w:rPr>
          <w:rFonts w:hint="default" w:ascii="Times New Roman" w:hAnsi="Times New Roman" w:cs="Times New Roman"/>
          <w:highlight w:val="none"/>
          <w:lang w:val="en-US" w:eastAsia="zh-CN"/>
        </w:rPr>
        <w:t>VOCs量，</w:t>
      </w:r>
      <w:r>
        <w:rPr>
          <w:rFonts w:hint="eastAsia" w:ascii="Times New Roman" w:hAnsi="Times New Roman" w:cs="Times New Roman"/>
          <w:highlight w:val="none"/>
          <w:lang w:val="en-US" w:eastAsia="zh-CN"/>
        </w:rPr>
        <w:t>kg</w:t>
      </w:r>
      <w:r>
        <w:rPr>
          <w:rFonts w:hint="default" w:ascii="Times New Roman" w:hAnsi="Times New Roman" w:cs="Times New Roman"/>
          <w:highlight w:val="none"/>
          <w:lang w:val="en-US" w:eastAsia="zh-CN"/>
        </w:rPr>
        <w:t>；</w:t>
      </w:r>
    </w:p>
    <w:p w14:paraId="7BF316A3">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vertAlign w:val="baseline"/>
          <w:lang w:val="en-US" w:eastAsia="zh-CN"/>
        </w:rPr>
      </w:pPr>
      <m:oMath>
        <m:r>
          <m:rPr>
            <m:nor/>
            <m:sty m:val="p"/>
          </m:rPr>
          <w:rPr>
            <w:rFonts w:hint="default" w:ascii="Times New Roman" w:hAnsi="Times New Roman" w:cs="Times New Roman"/>
            <w:b w:val="0"/>
            <w:i w:val="0"/>
            <w:highlight w:val="none"/>
            <w:lang w:val="en-US" w:eastAsia="zh-CN"/>
          </w:rPr>
          <m:t>Q</m:t>
        </m:r>
      </m:oMath>
      <w:r>
        <w:rPr>
          <w:rFonts w:hint="default" w:ascii="Times New Roman" w:hAnsi="Times New Roman" w:cs="Times New Roman"/>
          <w:highlight w:val="none"/>
          <w:lang w:val="en-US" w:eastAsia="zh-CN"/>
        </w:rPr>
        <w:t>——在一定计量时间内</w:t>
      </w:r>
      <w:r>
        <w:rPr>
          <w:rFonts w:hint="eastAsia" w:ascii="Times New Roman" w:hAnsi="Times New Roman" w:cs="Times New Roman"/>
          <w:highlight w:val="none"/>
          <w:lang w:val="en-US" w:eastAsia="zh-CN"/>
        </w:rPr>
        <w:t>，涂装</w:t>
      </w:r>
      <w:r>
        <w:rPr>
          <w:rFonts w:hint="default" w:ascii="Times New Roman" w:hAnsi="Times New Roman" w:cs="Times New Roman"/>
          <w:highlight w:val="none"/>
          <w:lang w:val="en-US" w:eastAsia="zh-CN"/>
        </w:rPr>
        <w:t>面积总和，m</w:t>
      </w:r>
      <w:r>
        <w:rPr>
          <w:rFonts w:hint="default" w:ascii="Times New Roman" w:hAnsi="Times New Roman" w:cs="Times New Roman"/>
          <w:highlight w:val="none"/>
          <w:vertAlign w:val="superscript"/>
          <w:lang w:val="en-US" w:eastAsia="zh-CN"/>
        </w:rPr>
        <w:t>2</w:t>
      </w:r>
      <w:r>
        <w:rPr>
          <w:rFonts w:hint="default" w:ascii="Times New Roman" w:hAnsi="Times New Roman" w:cs="Times New Roman"/>
          <w:highlight w:val="none"/>
          <w:vertAlign w:val="baseline"/>
          <w:lang w:val="en-US" w:eastAsia="zh-CN"/>
        </w:rPr>
        <w:t>。</w:t>
      </w:r>
    </w:p>
    <w:p w14:paraId="722D3895">
      <w:pPr>
        <w:adjustRightInd w:val="0"/>
        <w:snapToGrid w:val="0"/>
        <w:spacing w:before="158" w:beforeLines="50" w:after="158" w:afterLines="50"/>
        <w:rPr>
          <w:rFonts w:hint="default" w:ascii="Times New Roman" w:hAnsi="Times New Roman" w:eastAsia="黑体" w:cs="Times New Roman"/>
          <w:highlight w:val="none"/>
          <w:lang w:val="en-US" w:eastAsia="zh-CN"/>
        </w:rPr>
      </w:pPr>
      <w:r>
        <w:rPr>
          <w:rFonts w:hint="default" w:ascii="黑体" w:hAnsi="黑体" w:eastAsia="黑体" w:cs="黑体"/>
          <w:bCs/>
          <w:kern w:val="44"/>
          <w:sz w:val="21"/>
          <w:szCs w:val="44"/>
          <w:highlight w:val="none"/>
          <w:lang w:val="en-US" w:eastAsia="zh-CN" w:bidi="ar-SA"/>
        </w:rPr>
        <w:t>5.</w:t>
      </w:r>
      <w:r>
        <w:rPr>
          <w:rFonts w:hint="eastAsia" w:ascii="黑体" w:hAnsi="黑体" w:eastAsia="黑体" w:cs="黑体"/>
          <w:bCs/>
          <w:kern w:val="44"/>
          <w:sz w:val="21"/>
          <w:szCs w:val="44"/>
          <w:highlight w:val="none"/>
          <w:lang w:val="en-US" w:eastAsia="zh-CN" w:bidi="ar-SA"/>
        </w:rPr>
        <w:t>2</w:t>
      </w:r>
      <w:r>
        <w:rPr>
          <w:rFonts w:hint="default" w:ascii="黑体" w:hAnsi="黑体" w:eastAsia="黑体" w:cs="黑体"/>
          <w:bCs/>
          <w:kern w:val="44"/>
          <w:sz w:val="21"/>
          <w:szCs w:val="44"/>
          <w:highlight w:val="none"/>
          <w:lang w:val="en-US" w:eastAsia="zh-CN" w:bidi="ar-SA"/>
        </w:rPr>
        <w:t xml:space="preserve"> </w:t>
      </w:r>
      <w:r>
        <w:rPr>
          <w:rFonts w:hint="default" w:ascii="Times New Roman" w:hAnsi="Times New Roman" w:eastAsia="黑体" w:cs="Times New Roman"/>
          <w:highlight w:val="none"/>
          <w:lang w:val="en-US" w:eastAsia="zh-CN"/>
        </w:rPr>
        <w:t xml:space="preserve"> </w:t>
      </w:r>
      <w:r>
        <w:rPr>
          <w:rFonts w:hint="eastAsia" w:ascii="Times New Roman" w:hAnsi="Times New Roman" w:eastAsia="黑体" w:cs="Times New Roman"/>
          <w:highlight w:val="none"/>
          <w:lang w:val="en-US" w:eastAsia="zh-CN"/>
        </w:rPr>
        <w:t>数据来源</w:t>
      </w:r>
    </w:p>
    <w:p w14:paraId="1552A1E4">
      <w:pPr>
        <w:keepNext w:val="0"/>
        <w:keepLines w:val="0"/>
        <w:pageBreakBefore w:val="0"/>
        <w:widowControl w:val="0"/>
        <w:kinsoku/>
        <w:wordWrap/>
        <w:overflowPunct/>
        <w:topLinePunct w:val="0"/>
        <w:autoSpaceDE/>
        <w:autoSpaceDN/>
        <w:bidi w:val="0"/>
        <w:adjustRightInd w:val="0"/>
        <w:snapToGrid w:val="0"/>
        <w:textAlignment w:val="auto"/>
        <w:rPr>
          <w:rFonts w:hint="eastAsia" w:ascii="黑体" w:hAnsi="黑体" w:eastAsia="黑体" w:cs="黑体"/>
          <w:highlight w:val="none"/>
          <w:vertAlign w:val="baseline"/>
          <w:lang w:val="en-US" w:eastAsia="zh-CN"/>
        </w:rPr>
      </w:pPr>
      <w:r>
        <w:rPr>
          <w:rFonts w:hint="eastAsia" w:ascii="黑体" w:hAnsi="黑体" w:eastAsia="黑体" w:cs="黑体"/>
          <w:bCs/>
          <w:kern w:val="44"/>
          <w:sz w:val="21"/>
          <w:szCs w:val="44"/>
          <w:highlight w:val="none"/>
          <w:lang w:val="en-US" w:eastAsia="zh-CN" w:bidi="ar-SA"/>
        </w:rPr>
        <w:t xml:space="preserve">5.2.1 </w:t>
      </w:r>
      <w:r>
        <w:rPr>
          <w:rFonts w:hint="eastAsia" w:ascii="黑体" w:hAnsi="黑体" w:eastAsia="黑体" w:cs="黑体"/>
          <w:highlight w:val="none"/>
          <w:vertAlign w:val="baseline"/>
          <w:lang w:val="en-US" w:eastAsia="zh-CN"/>
        </w:rPr>
        <w:t xml:space="preserve"> 统计</w:t>
      </w:r>
    </w:p>
    <w:p w14:paraId="567F09D7">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企业的原辅材料和新鲜水的消耗量、产品产量、能耗及各种资源和综合利用量等，以统计年报或考核周期报表为准。</w:t>
      </w:r>
    </w:p>
    <w:p w14:paraId="7B13A7D3">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所有数据均为正常生产时采集为准。</w:t>
      </w:r>
    </w:p>
    <w:p w14:paraId="1B9B3FFD">
      <w:pPr>
        <w:keepNext w:val="0"/>
        <w:keepLines w:val="0"/>
        <w:pageBreakBefore w:val="0"/>
        <w:widowControl w:val="0"/>
        <w:kinsoku/>
        <w:wordWrap/>
        <w:overflowPunct/>
        <w:topLinePunct w:val="0"/>
        <w:autoSpaceDE/>
        <w:autoSpaceDN/>
        <w:bidi w:val="0"/>
        <w:adjustRightInd w:val="0"/>
        <w:snapToGrid w:val="0"/>
        <w:textAlignment w:val="auto"/>
        <w:rPr>
          <w:rFonts w:hint="eastAsia" w:ascii="黑体" w:hAnsi="黑体" w:eastAsia="黑体" w:cs="黑体"/>
          <w:highlight w:val="none"/>
          <w:vertAlign w:val="baseline"/>
          <w:lang w:val="en-US" w:eastAsia="zh-CN"/>
        </w:rPr>
      </w:pPr>
      <w:r>
        <w:rPr>
          <w:rFonts w:hint="eastAsia" w:ascii="黑体" w:hAnsi="黑体" w:eastAsia="黑体" w:cs="黑体"/>
          <w:bCs/>
          <w:kern w:val="44"/>
          <w:sz w:val="21"/>
          <w:szCs w:val="44"/>
          <w:highlight w:val="none"/>
          <w:lang w:val="en-US" w:eastAsia="zh-CN" w:bidi="ar-SA"/>
        </w:rPr>
        <w:t xml:space="preserve">5.2.2 </w:t>
      </w:r>
      <w:r>
        <w:rPr>
          <w:rFonts w:hint="eastAsia" w:ascii="黑体" w:hAnsi="黑体" w:eastAsia="黑体" w:cs="黑体"/>
          <w:highlight w:val="none"/>
          <w:vertAlign w:val="baseline"/>
          <w:lang w:val="en-US" w:eastAsia="zh-CN"/>
        </w:rPr>
        <w:t xml:space="preserve"> 实测</w:t>
      </w:r>
    </w:p>
    <w:p w14:paraId="23F00598">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如果数据统计严重短缺，也可以在考核周期内用实测方法取得，考核周期一般不少于一个月。</w:t>
      </w:r>
    </w:p>
    <w:p w14:paraId="3A9080FA">
      <w:pPr>
        <w:rPr>
          <w:rFonts w:hint="default" w:ascii="Times New Roman" w:hAnsi="Times New Roman" w:cs="Times New Roman"/>
          <w:lang w:val="en-US" w:eastAsia="zh-CN"/>
        </w:rPr>
      </w:pPr>
      <w:r>
        <w:rPr>
          <w:rFonts w:hint="default" w:ascii="Times New Roman" w:hAnsi="Times New Roman" w:cs="Times New Roman"/>
          <w:lang w:val="en-US" w:eastAsia="zh-CN"/>
        </w:rPr>
        <w:br w:type="page"/>
      </w:r>
    </w:p>
    <w:p w14:paraId="56A8FF6D">
      <w:pPr>
        <w:pStyle w:val="2"/>
        <w:adjustRightInd w:val="0"/>
        <w:snapToGrid w:val="0"/>
        <w:spacing w:line="360" w:lineRule="auto"/>
        <w:jc w:val="center"/>
        <w:rPr>
          <w:rFonts w:hint="default" w:ascii="Times New Roman" w:hAnsi="Times New Roman" w:cs="Times New Roman"/>
        </w:rPr>
      </w:pPr>
      <w:bookmarkStart w:id="40" w:name="_Toc56167481"/>
      <w:bookmarkStart w:id="41" w:name="_Toc531265229"/>
      <w:bookmarkStart w:id="42" w:name="_Toc29457"/>
      <w:bookmarkStart w:id="43" w:name="_Toc11457"/>
      <w:bookmarkStart w:id="44" w:name="_Toc12147"/>
      <w:bookmarkStart w:id="45" w:name="_Toc10365"/>
      <w:r>
        <w:rPr>
          <w:rFonts w:hint="default" w:ascii="Times New Roman" w:hAnsi="Times New Roman" w:cs="Times New Roman"/>
        </w:rPr>
        <w:t>附</w:t>
      </w:r>
      <w:r>
        <w:rPr>
          <w:rFonts w:hint="default" w:ascii="Times New Roman" w:hAnsi="Times New Roman" w:cs="Times New Roman"/>
          <w:lang w:val="en-US" w:eastAsia="zh-CN"/>
        </w:rPr>
        <w:t xml:space="preserve"> </w:t>
      </w:r>
      <w:r>
        <w:rPr>
          <w:rFonts w:hint="default" w:ascii="Times New Roman" w:hAnsi="Times New Roman" w:cs="Times New Roman"/>
        </w:rPr>
        <w:t>录 A</w:t>
      </w:r>
      <w:bookmarkEnd w:id="40"/>
      <w:bookmarkEnd w:id="41"/>
      <w:bookmarkEnd w:id="42"/>
      <w:bookmarkEnd w:id="43"/>
      <w:bookmarkEnd w:id="44"/>
      <w:bookmarkEnd w:id="45"/>
      <w:bookmarkStart w:id="46" w:name="_Toc531265230"/>
      <w:bookmarkStart w:id="47" w:name="_Toc28592"/>
      <w:bookmarkStart w:id="48" w:name="_Toc5528"/>
    </w:p>
    <w:p w14:paraId="36817910">
      <w:pPr>
        <w:adjustRightInd w:val="0"/>
        <w:snapToGrid w:val="0"/>
        <w:jc w:val="center"/>
        <w:rPr>
          <w:rFonts w:hint="default" w:ascii="Times New Roman" w:hAnsi="Times New Roman" w:eastAsia="黑体" w:cs="Times New Roman"/>
          <w:lang w:eastAsia="zh-CN"/>
        </w:rPr>
      </w:pPr>
      <w:r>
        <w:rPr>
          <w:rFonts w:hint="default" w:ascii="Times New Roman" w:hAnsi="Times New Roman" w:eastAsia="黑体" w:cs="Times New Roman"/>
          <w:lang w:eastAsia="zh-CN"/>
        </w:rPr>
        <w:t>（</w:t>
      </w:r>
      <w:r>
        <w:rPr>
          <w:rFonts w:hint="default" w:ascii="Times New Roman" w:hAnsi="Times New Roman" w:eastAsia="黑体" w:cs="Times New Roman"/>
          <w:lang w:val="en-US" w:eastAsia="zh-CN"/>
        </w:rPr>
        <w:t>规范性</w:t>
      </w:r>
      <w:r>
        <w:rPr>
          <w:rFonts w:hint="default" w:ascii="Times New Roman" w:hAnsi="Times New Roman" w:eastAsia="黑体" w:cs="Times New Roman"/>
          <w:lang w:eastAsia="zh-CN"/>
        </w:rPr>
        <w:t>）</w:t>
      </w:r>
    </w:p>
    <w:bookmarkEnd w:id="46"/>
    <w:bookmarkEnd w:id="47"/>
    <w:bookmarkEnd w:id="48"/>
    <w:p w14:paraId="0942F6BA">
      <w:pPr>
        <w:adjustRightInd w:val="0"/>
        <w:snapToGrid w:val="0"/>
        <w:jc w:val="center"/>
        <w:rPr>
          <w:rFonts w:hint="eastAsia" w:ascii="Times New Roman" w:hAnsi="Times New Roman" w:eastAsia="黑体" w:cs="Times New Roman"/>
          <w:lang w:val="en-US" w:eastAsia="zh-CN"/>
        </w:rPr>
      </w:pPr>
      <w:r>
        <w:rPr>
          <w:rFonts w:hint="eastAsia" w:ascii="Times New Roman" w:hAnsi="Times New Roman" w:eastAsia="黑体" w:cs="Times New Roman"/>
          <w:lang w:val="en-US" w:eastAsia="zh-CN"/>
        </w:rPr>
        <w:t>水和大气污染分析方法标准</w:t>
      </w:r>
    </w:p>
    <w:p w14:paraId="012AA5DD">
      <w:pPr>
        <w:adjustRightInd w:val="0"/>
        <w:snapToGrid w:val="0"/>
        <w:jc w:val="center"/>
        <w:rPr>
          <w:rFonts w:hint="default" w:ascii="Times New Roman" w:hAnsi="Times New Roman" w:eastAsia="黑体" w:cs="Times New Roman"/>
          <w:lang w:val="en-US" w:eastAsia="zh-CN"/>
        </w:rPr>
      </w:pPr>
    </w:p>
    <w:p w14:paraId="4A3BC1D6">
      <w:pPr>
        <w:keepNext w:val="0"/>
        <w:keepLines w:val="0"/>
        <w:pageBreakBefore w:val="0"/>
        <w:widowControl w:val="0"/>
        <w:kinsoku/>
        <w:wordWrap/>
        <w:overflowPunct/>
        <w:topLinePunct w:val="0"/>
        <w:autoSpaceDE/>
        <w:autoSpaceDN/>
        <w:bidi w:val="0"/>
        <w:adjustRightInd w:val="0"/>
        <w:snapToGrid w:val="0"/>
        <w:spacing w:before="158" w:beforeLines="50"/>
        <w:jc w:val="center"/>
        <w:textAlignment w:val="auto"/>
        <w:rPr>
          <w:rFonts w:hint="default" w:ascii="Times New Roman" w:hAnsi="Times New Roman" w:cs="Times New Roman"/>
          <w:szCs w:val="21"/>
          <w:highlight w:val="none"/>
          <w:lang w:val="en-US" w:eastAsia="zh-CN"/>
        </w:rPr>
      </w:pPr>
      <w:r>
        <w:rPr>
          <w:rFonts w:hint="default" w:ascii="Times New Roman" w:hAnsi="Times New Roman" w:eastAsia="黑体" w:cs="Times New Roman"/>
          <w:highlight w:val="none"/>
          <w:lang w:val="en-US" w:eastAsia="zh-CN"/>
        </w:rPr>
        <w:t>表</w:t>
      </w:r>
      <w:r>
        <w:rPr>
          <w:rFonts w:hint="eastAsia" w:ascii="Times New Roman" w:hAnsi="Times New Roman" w:eastAsia="黑体" w:cs="Times New Roman"/>
          <w:highlight w:val="none"/>
          <w:lang w:val="en-US" w:eastAsia="zh-CN"/>
        </w:rPr>
        <w:t>A.1</w:t>
      </w:r>
      <w:r>
        <w:rPr>
          <w:rFonts w:hint="default" w:ascii="Times New Roman" w:hAnsi="Times New Roman" w:eastAsia="黑体" w:cs="Times New Roman"/>
          <w:highlight w:val="none"/>
          <w:lang w:val="en-US" w:eastAsia="zh-CN"/>
        </w:rPr>
        <w:t xml:space="preserve">  水污染分析方法标准</w:t>
      </w:r>
    </w:p>
    <w:tbl>
      <w:tblPr>
        <w:tblStyle w:val="16"/>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462"/>
        <w:gridCol w:w="5731"/>
        <w:gridCol w:w="1596"/>
      </w:tblGrid>
      <w:tr w14:paraId="615380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406" w:type="pct"/>
            <w:tcBorders>
              <w:bottom w:val="single" w:color="auto" w:sz="12" w:space="0"/>
            </w:tcBorders>
            <w:vAlign w:val="center"/>
          </w:tcPr>
          <w:p w14:paraId="2C15C2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sz w:val="18"/>
                <w:szCs w:val="18"/>
                <w:highlight w:val="none"/>
                <w:vertAlign w:val="baseline"/>
                <w:lang w:val="en-US" w:eastAsia="zh-CN"/>
              </w:rPr>
            </w:pPr>
            <w:r>
              <w:rPr>
                <w:rFonts w:hint="default" w:ascii="Times New Roman" w:hAnsi="Times New Roman" w:cs="Times New Roman"/>
                <w:b/>
                <w:bCs/>
                <w:sz w:val="18"/>
                <w:szCs w:val="18"/>
                <w:highlight w:val="none"/>
                <w:vertAlign w:val="baseline"/>
                <w:lang w:val="en-US" w:eastAsia="zh-CN"/>
              </w:rPr>
              <w:t>序号</w:t>
            </w:r>
          </w:p>
        </w:tc>
        <w:tc>
          <w:tcPr>
            <w:tcW w:w="764" w:type="pct"/>
            <w:tcBorders>
              <w:bottom w:val="single" w:color="auto" w:sz="12" w:space="0"/>
            </w:tcBorders>
            <w:vAlign w:val="center"/>
          </w:tcPr>
          <w:p w14:paraId="0010918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sz w:val="18"/>
                <w:szCs w:val="18"/>
                <w:highlight w:val="none"/>
                <w:vertAlign w:val="baseline"/>
                <w:lang w:val="en-US" w:eastAsia="zh-CN"/>
              </w:rPr>
            </w:pPr>
            <w:r>
              <w:rPr>
                <w:rFonts w:hint="default" w:ascii="Times New Roman" w:hAnsi="Times New Roman" w:cs="Times New Roman"/>
                <w:b/>
                <w:bCs/>
                <w:sz w:val="18"/>
                <w:szCs w:val="18"/>
                <w:highlight w:val="none"/>
                <w:vertAlign w:val="baseline"/>
                <w:lang w:val="en-US" w:eastAsia="zh-CN"/>
              </w:rPr>
              <w:t>污染物项目</w:t>
            </w:r>
          </w:p>
        </w:tc>
        <w:tc>
          <w:tcPr>
            <w:tcW w:w="2995" w:type="pct"/>
            <w:tcBorders>
              <w:bottom w:val="single" w:color="auto" w:sz="12" w:space="0"/>
            </w:tcBorders>
            <w:shd w:val="clear" w:color="auto" w:fill="auto"/>
            <w:vAlign w:val="center"/>
          </w:tcPr>
          <w:p w14:paraId="6766D1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kern w:val="2"/>
                <w:sz w:val="18"/>
                <w:szCs w:val="18"/>
                <w:highlight w:val="none"/>
                <w:vertAlign w:val="baseline"/>
                <w:lang w:val="en-US" w:eastAsia="zh-CN" w:bidi="ar-SA"/>
              </w:rPr>
            </w:pPr>
            <w:r>
              <w:rPr>
                <w:rFonts w:hint="default" w:ascii="Times New Roman" w:hAnsi="Times New Roman" w:cs="Times New Roman"/>
                <w:b/>
                <w:bCs/>
                <w:sz w:val="18"/>
                <w:szCs w:val="18"/>
                <w:highlight w:val="none"/>
                <w:vertAlign w:val="baseline"/>
                <w:lang w:val="en-US" w:eastAsia="zh-CN"/>
              </w:rPr>
              <w:t>方法标准名称</w:t>
            </w:r>
          </w:p>
        </w:tc>
        <w:tc>
          <w:tcPr>
            <w:tcW w:w="834" w:type="pct"/>
            <w:tcBorders>
              <w:bottom w:val="single" w:color="auto" w:sz="12" w:space="0"/>
            </w:tcBorders>
            <w:vAlign w:val="center"/>
          </w:tcPr>
          <w:p w14:paraId="621B9A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sz w:val="18"/>
                <w:szCs w:val="18"/>
                <w:highlight w:val="none"/>
                <w:vertAlign w:val="baseline"/>
                <w:lang w:val="en-US" w:eastAsia="zh-CN"/>
              </w:rPr>
            </w:pPr>
            <w:r>
              <w:rPr>
                <w:rFonts w:hint="default" w:ascii="Times New Roman" w:hAnsi="Times New Roman" w:cs="Times New Roman"/>
                <w:b/>
                <w:bCs/>
                <w:sz w:val="18"/>
                <w:szCs w:val="18"/>
                <w:highlight w:val="none"/>
                <w:vertAlign w:val="baseline"/>
                <w:lang w:val="en-US" w:eastAsia="zh-CN"/>
              </w:rPr>
              <w:t>方法标准编号</w:t>
            </w:r>
          </w:p>
        </w:tc>
      </w:tr>
      <w:tr w14:paraId="04055E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tcBorders>
              <w:top w:val="single" w:color="auto" w:sz="12" w:space="0"/>
            </w:tcBorders>
            <w:vAlign w:val="center"/>
          </w:tcPr>
          <w:p w14:paraId="2908EA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1</w:t>
            </w:r>
          </w:p>
        </w:tc>
        <w:tc>
          <w:tcPr>
            <w:tcW w:w="764" w:type="pct"/>
            <w:tcBorders>
              <w:top w:val="single" w:color="auto" w:sz="12" w:space="0"/>
            </w:tcBorders>
            <w:vAlign w:val="center"/>
          </w:tcPr>
          <w:p w14:paraId="216983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pH值</w:t>
            </w:r>
          </w:p>
        </w:tc>
        <w:tc>
          <w:tcPr>
            <w:tcW w:w="2995" w:type="pct"/>
            <w:tcBorders>
              <w:top w:val="single" w:color="auto" w:sz="12" w:space="0"/>
            </w:tcBorders>
            <w:shd w:val="clear" w:color="auto" w:fill="auto"/>
            <w:vAlign w:val="center"/>
          </w:tcPr>
          <w:p w14:paraId="334C5CB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pH值的测定  玻璃电极法</w:t>
            </w:r>
          </w:p>
        </w:tc>
        <w:tc>
          <w:tcPr>
            <w:tcW w:w="834" w:type="pct"/>
            <w:tcBorders>
              <w:top w:val="single" w:color="auto" w:sz="12" w:space="0"/>
            </w:tcBorders>
            <w:shd w:val="clear" w:color="auto" w:fill="auto"/>
            <w:vAlign w:val="center"/>
          </w:tcPr>
          <w:p w14:paraId="061BD13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GB 6920</w:t>
            </w:r>
          </w:p>
        </w:tc>
      </w:tr>
      <w:tr w14:paraId="13F901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76F5ED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2</w:t>
            </w:r>
          </w:p>
        </w:tc>
        <w:tc>
          <w:tcPr>
            <w:tcW w:w="764" w:type="pct"/>
            <w:vAlign w:val="center"/>
          </w:tcPr>
          <w:p w14:paraId="2E0E4B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悬浮物（SS）</w:t>
            </w:r>
          </w:p>
        </w:tc>
        <w:tc>
          <w:tcPr>
            <w:tcW w:w="2995" w:type="pct"/>
            <w:shd w:val="clear" w:color="auto" w:fill="auto"/>
            <w:vAlign w:val="center"/>
          </w:tcPr>
          <w:p w14:paraId="6D6BB164">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悬浮物的测定  重量法</w:t>
            </w:r>
          </w:p>
        </w:tc>
        <w:tc>
          <w:tcPr>
            <w:tcW w:w="834" w:type="pct"/>
            <w:shd w:val="clear" w:color="auto" w:fill="auto"/>
            <w:vAlign w:val="center"/>
          </w:tcPr>
          <w:p w14:paraId="670466C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GB 11901</w:t>
            </w:r>
          </w:p>
        </w:tc>
      </w:tr>
      <w:tr w14:paraId="09F37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425792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3</w:t>
            </w:r>
          </w:p>
        </w:tc>
        <w:tc>
          <w:tcPr>
            <w:tcW w:w="764" w:type="pct"/>
            <w:vAlign w:val="center"/>
          </w:tcPr>
          <w:p w14:paraId="3085FF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石油类</w:t>
            </w:r>
          </w:p>
        </w:tc>
        <w:tc>
          <w:tcPr>
            <w:tcW w:w="2995" w:type="pct"/>
            <w:shd w:val="clear" w:color="auto" w:fill="auto"/>
            <w:vAlign w:val="center"/>
          </w:tcPr>
          <w:p w14:paraId="496B71B9">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石油类和动植物油类的测定  红外分光光度法</w:t>
            </w:r>
          </w:p>
        </w:tc>
        <w:tc>
          <w:tcPr>
            <w:tcW w:w="834" w:type="pct"/>
            <w:shd w:val="clear" w:color="auto" w:fill="auto"/>
            <w:vAlign w:val="center"/>
          </w:tcPr>
          <w:p w14:paraId="1AEC72FC">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637</w:t>
            </w:r>
          </w:p>
        </w:tc>
      </w:tr>
      <w:tr w14:paraId="0FF33B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789BC6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4</w:t>
            </w:r>
          </w:p>
        </w:tc>
        <w:tc>
          <w:tcPr>
            <w:tcW w:w="764" w:type="pct"/>
            <w:vMerge w:val="restart"/>
            <w:shd w:val="clear" w:color="auto" w:fill="auto"/>
            <w:vAlign w:val="center"/>
          </w:tcPr>
          <w:p w14:paraId="27ED6F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化学需氧量（CODcr）</w:t>
            </w:r>
          </w:p>
        </w:tc>
        <w:tc>
          <w:tcPr>
            <w:tcW w:w="2995" w:type="pct"/>
            <w:shd w:val="clear" w:color="auto" w:fill="auto"/>
            <w:vAlign w:val="center"/>
          </w:tcPr>
          <w:p w14:paraId="49ABDDE1">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化学需氧量的测定  快速消解分光光度法</w:t>
            </w:r>
          </w:p>
        </w:tc>
        <w:tc>
          <w:tcPr>
            <w:tcW w:w="834" w:type="pct"/>
            <w:shd w:val="clear" w:color="auto" w:fill="auto"/>
            <w:vAlign w:val="center"/>
          </w:tcPr>
          <w:p w14:paraId="3C79676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HJ/T 399</w:t>
            </w:r>
          </w:p>
        </w:tc>
      </w:tr>
      <w:tr w14:paraId="703A3A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56DE3B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5</w:t>
            </w:r>
          </w:p>
        </w:tc>
        <w:tc>
          <w:tcPr>
            <w:tcW w:w="764" w:type="pct"/>
            <w:vMerge w:val="continue"/>
            <w:shd w:val="clear" w:color="auto" w:fill="auto"/>
            <w:vAlign w:val="center"/>
          </w:tcPr>
          <w:p w14:paraId="70D9AC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p>
        </w:tc>
        <w:tc>
          <w:tcPr>
            <w:tcW w:w="2995" w:type="pct"/>
            <w:shd w:val="clear" w:color="auto" w:fill="auto"/>
            <w:vAlign w:val="center"/>
          </w:tcPr>
          <w:p w14:paraId="1B01020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化学需氧量的测定  重铬酸盐法</w:t>
            </w:r>
          </w:p>
        </w:tc>
        <w:tc>
          <w:tcPr>
            <w:tcW w:w="834" w:type="pct"/>
            <w:shd w:val="clear" w:color="auto" w:fill="auto"/>
            <w:vAlign w:val="center"/>
          </w:tcPr>
          <w:p w14:paraId="5873208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828</w:t>
            </w:r>
          </w:p>
        </w:tc>
      </w:tr>
      <w:tr w14:paraId="73531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751C56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6</w:t>
            </w:r>
          </w:p>
        </w:tc>
        <w:tc>
          <w:tcPr>
            <w:tcW w:w="764" w:type="pct"/>
            <w:vMerge w:val="restart"/>
            <w:vAlign w:val="center"/>
          </w:tcPr>
          <w:p w14:paraId="1BCCFE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氨氮</w:t>
            </w:r>
          </w:p>
        </w:tc>
        <w:tc>
          <w:tcPr>
            <w:tcW w:w="2995" w:type="pct"/>
            <w:shd w:val="clear" w:color="auto" w:fill="auto"/>
            <w:vAlign w:val="center"/>
          </w:tcPr>
          <w:p w14:paraId="10BBDB96">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氨氮的测定  气相分子吸收光谱法</w:t>
            </w:r>
          </w:p>
        </w:tc>
        <w:tc>
          <w:tcPr>
            <w:tcW w:w="834" w:type="pct"/>
            <w:shd w:val="clear" w:color="auto" w:fill="auto"/>
            <w:vAlign w:val="center"/>
          </w:tcPr>
          <w:p w14:paraId="24AA298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HJ/T 195</w:t>
            </w:r>
          </w:p>
        </w:tc>
      </w:tr>
      <w:tr w14:paraId="71550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01B1DF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7</w:t>
            </w:r>
          </w:p>
        </w:tc>
        <w:tc>
          <w:tcPr>
            <w:tcW w:w="764" w:type="pct"/>
            <w:vMerge w:val="continue"/>
            <w:vAlign w:val="center"/>
          </w:tcPr>
          <w:p w14:paraId="7D4EB0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5" w:type="pct"/>
            <w:shd w:val="clear" w:color="auto" w:fill="auto"/>
            <w:vAlign w:val="center"/>
          </w:tcPr>
          <w:p w14:paraId="27030E19">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氨氮的测定  纳氏试剂分光光度法</w:t>
            </w:r>
          </w:p>
        </w:tc>
        <w:tc>
          <w:tcPr>
            <w:tcW w:w="834" w:type="pct"/>
            <w:shd w:val="clear" w:color="auto" w:fill="auto"/>
            <w:vAlign w:val="center"/>
          </w:tcPr>
          <w:p w14:paraId="01636DD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535</w:t>
            </w:r>
          </w:p>
        </w:tc>
      </w:tr>
      <w:tr w14:paraId="171EFD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694251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8</w:t>
            </w:r>
          </w:p>
        </w:tc>
        <w:tc>
          <w:tcPr>
            <w:tcW w:w="764" w:type="pct"/>
            <w:vMerge w:val="continue"/>
            <w:vAlign w:val="center"/>
          </w:tcPr>
          <w:p w14:paraId="72F9CF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5" w:type="pct"/>
            <w:shd w:val="clear" w:color="auto" w:fill="auto"/>
            <w:vAlign w:val="center"/>
          </w:tcPr>
          <w:p w14:paraId="1FC83549">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氨氮的测定  水杨酸分光光度法</w:t>
            </w:r>
          </w:p>
        </w:tc>
        <w:tc>
          <w:tcPr>
            <w:tcW w:w="834" w:type="pct"/>
            <w:shd w:val="clear" w:color="auto" w:fill="auto"/>
            <w:vAlign w:val="center"/>
          </w:tcPr>
          <w:p w14:paraId="3B295EE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536</w:t>
            </w:r>
          </w:p>
        </w:tc>
      </w:tr>
      <w:tr w14:paraId="4C7640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6F46A6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9</w:t>
            </w:r>
          </w:p>
        </w:tc>
        <w:tc>
          <w:tcPr>
            <w:tcW w:w="764" w:type="pct"/>
            <w:vMerge w:val="continue"/>
            <w:vAlign w:val="center"/>
          </w:tcPr>
          <w:p w14:paraId="56CDF2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5" w:type="pct"/>
            <w:shd w:val="clear" w:color="auto" w:fill="auto"/>
            <w:vAlign w:val="center"/>
          </w:tcPr>
          <w:p w14:paraId="5A13DDC8">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氨氮的测定  蒸馏-中和滴定法</w:t>
            </w:r>
          </w:p>
        </w:tc>
        <w:tc>
          <w:tcPr>
            <w:tcW w:w="834" w:type="pct"/>
            <w:shd w:val="clear" w:color="auto" w:fill="auto"/>
            <w:vAlign w:val="center"/>
          </w:tcPr>
          <w:p w14:paraId="4581872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537</w:t>
            </w:r>
          </w:p>
        </w:tc>
      </w:tr>
      <w:tr w14:paraId="2846B9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6FD46D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10</w:t>
            </w:r>
          </w:p>
        </w:tc>
        <w:tc>
          <w:tcPr>
            <w:tcW w:w="764" w:type="pct"/>
            <w:vMerge w:val="continue"/>
            <w:vAlign w:val="center"/>
          </w:tcPr>
          <w:p w14:paraId="7E61EF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5" w:type="pct"/>
            <w:shd w:val="clear" w:color="auto" w:fill="auto"/>
            <w:vAlign w:val="center"/>
          </w:tcPr>
          <w:p w14:paraId="03AFF9B6">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氨氮的测定  连续流动-水杨酸分光光度法</w:t>
            </w:r>
          </w:p>
        </w:tc>
        <w:tc>
          <w:tcPr>
            <w:tcW w:w="834" w:type="pct"/>
            <w:shd w:val="clear" w:color="auto" w:fill="auto"/>
            <w:vAlign w:val="center"/>
          </w:tcPr>
          <w:p w14:paraId="300218CF">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665</w:t>
            </w:r>
          </w:p>
        </w:tc>
      </w:tr>
      <w:tr w14:paraId="2D495D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6EE0DF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11</w:t>
            </w:r>
          </w:p>
        </w:tc>
        <w:tc>
          <w:tcPr>
            <w:tcW w:w="764" w:type="pct"/>
            <w:vMerge w:val="continue"/>
            <w:vAlign w:val="center"/>
          </w:tcPr>
          <w:p w14:paraId="2DCB3C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5" w:type="pct"/>
            <w:shd w:val="clear" w:color="auto" w:fill="auto"/>
            <w:vAlign w:val="center"/>
          </w:tcPr>
          <w:p w14:paraId="52A1A335">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氨氮的测定  流动注射-水杨酸分光光度法</w:t>
            </w:r>
          </w:p>
        </w:tc>
        <w:tc>
          <w:tcPr>
            <w:tcW w:w="834" w:type="pct"/>
            <w:shd w:val="clear" w:color="auto" w:fill="auto"/>
            <w:vAlign w:val="center"/>
          </w:tcPr>
          <w:p w14:paraId="67B7C92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666</w:t>
            </w:r>
          </w:p>
        </w:tc>
      </w:tr>
      <w:tr w14:paraId="5F5E38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682BEF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12</w:t>
            </w:r>
          </w:p>
        </w:tc>
        <w:tc>
          <w:tcPr>
            <w:tcW w:w="764" w:type="pct"/>
            <w:vMerge w:val="restart"/>
            <w:vAlign w:val="center"/>
          </w:tcPr>
          <w:p w14:paraId="20A7FC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总氮</w:t>
            </w:r>
          </w:p>
        </w:tc>
        <w:tc>
          <w:tcPr>
            <w:tcW w:w="2995" w:type="pct"/>
            <w:shd w:val="clear" w:color="auto" w:fill="auto"/>
            <w:vAlign w:val="center"/>
          </w:tcPr>
          <w:p w14:paraId="7CE4FA84">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总氮的测定  气相分子吸收光谱法</w:t>
            </w:r>
          </w:p>
        </w:tc>
        <w:tc>
          <w:tcPr>
            <w:tcW w:w="834" w:type="pct"/>
            <w:shd w:val="clear" w:color="auto" w:fill="auto"/>
            <w:vAlign w:val="center"/>
          </w:tcPr>
          <w:p w14:paraId="56C1B3E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HJ/T 199</w:t>
            </w:r>
          </w:p>
        </w:tc>
      </w:tr>
      <w:tr w14:paraId="797E6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54DB6D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13</w:t>
            </w:r>
          </w:p>
        </w:tc>
        <w:tc>
          <w:tcPr>
            <w:tcW w:w="764" w:type="pct"/>
            <w:vMerge w:val="continue"/>
            <w:vAlign w:val="center"/>
          </w:tcPr>
          <w:p w14:paraId="320F3C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5" w:type="pct"/>
            <w:shd w:val="clear" w:color="auto" w:fill="auto"/>
            <w:vAlign w:val="center"/>
          </w:tcPr>
          <w:p w14:paraId="480B1D69">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总氮的测定  碱性过硫酸钾消解紫外分光光度法</w:t>
            </w:r>
          </w:p>
        </w:tc>
        <w:tc>
          <w:tcPr>
            <w:tcW w:w="834" w:type="pct"/>
            <w:shd w:val="clear" w:color="auto" w:fill="auto"/>
            <w:vAlign w:val="center"/>
          </w:tcPr>
          <w:p w14:paraId="398A44AC">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636</w:t>
            </w:r>
          </w:p>
        </w:tc>
      </w:tr>
      <w:tr w14:paraId="757A46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0D432E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14</w:t>
            </w:r>
          </w:p>
        </w:tc>
        <w:tc>
          <w:tcPr>
            <w:tcW w:w="764" w:type="pct"/>
            <w:vMerge w:val="continue"/>
            <w:vAlign w:val="center"/>
          </w:tcPr>
          <w:p w14:paraId="60DEDC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5" w:type="pct"/>
            <w:shd w:val="clear" w:color="auto" w:fill="auto"/>
            <w:vAlign w:val="center"/>
          </w:tcPr>
          <w:p w14:paraId="1BDFDBA9">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总氮的测定  连续流动-盐酸萘乙二胺分光光度法</w:t>
            </w:r>
          </w:p>
        </w:tc>
        <w:tc>
          <w:tcPr>
            <w:tcW w:w="834" w:type="pct"/>
            <w:shd w:val="clear" w:color="auto" w:fill="auto"/>
            <w:vAlign w:val="center"/>
          </w:tcPr>
          <w:p w14:paraId="5E9B900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667</w:t>
            </w:r>
          </w:p>
        </w:tc>
      </w:tr>
      <w:tr w14:paraId="461C8A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0B4ECA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15</w:t>
            </w:r>
          </w:p>
        </w:tc>
        <w:tc>
          <w:tcPr>
            <w:tcW w:w="764" w:type="pct"/>
            <w:vMerge w:val="continue"/>
            <w:vAlign w:val="center"/>
          </w:tcPr>
          <w:p w14:paraId="56D3F6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5" w:type="pct"/>
            <w:shd w:val="clear" w:color="auto" w:fill="auto"/>
            <w:vAlign w:val="center"/>
          </w:tcPr>
          <w:p w14:paraId="60892F0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总氮的测定  流动注射-盐酸萘乙二胺分光光度法</w:t>
            </w:r>
          </w:p>
        </w:tc>
        <w:tc>
          <w:tcPr>
            <w:tcW w:w="834" w:type="pct"/>
            <w:shd w:val="clear" w:color="auto" w:fill="auto"/>
            <w:vAlign w:val="center"/>
          </w:tcPr>
          <w:p w14:paraId="3733A66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668</w:t>
            </w:r>
          </w:p>
        </w:tc>
      </w:tr>
      <w:tr w14:paraId="43CC48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4F16B6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16</w:t>
            </w:r>
          </w:p>
        </w:tc>
        <w:tc>
          <w:tcPr>
            <w:tcW w:w="764" w:type="pct"/>
            <w:vMerge w:val="restart"/>
            <w:vAlign w:val="center"/>
          </w:tcPr>
          <w:p w14:paraId="521913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总磷</w:t>
            </w:r>
          </w:p>
        </w:tc>
        <w:tc>
          <w:tcPr>
            <w:tcW w:w="2995" w:type="pct"/>
            <w:shd w:val="clear" w:color="auto" w:fill="auto"/>
            <w:vAlign w:val="center"/>
          </w:tcPr>
          <w:p w14:paraId="1C3EBF21">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总磷的测定  钼酸铵分光光度法</w:t>
            </w:r>
          </w:p>
        </w:tc>
        <w:tc>
          <w:tcPr>
            <w:tcW w:w="834" w:type="pct"/>
            <w:shd w:val="clear" w:color="auto" w:fill="auto"/>
            <w:vAlign w:val="center"/>
          </w:tcPr>
          <w:p w14:paraId="775840A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GB 11893</w:t>
            </w:r>
          </w:p>
        </w:tc>
      </w:tr>
      <w:tr w14:paraId="2B937E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7DD4B58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17</w:t>
            </w:r>
          </w:p>
        </w:tc>
        <w:tc>
          <w:tcPr>
            <w:tcW w:w="764" w:type="pct"/>
            <w:vMerge w:val="continue"/>
            <w:vAlign w:val="center"/>
          </w:tcPr>
          <w:p w14:paraId="687CB7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5" w:type="pct"/>
            <w:shd w:val="clear" w:color="auto" w:fill="auto"/>
            <w:vAlign w:val="center"/>
          </w:tcPr>
          <w:p w14:paraId="5E16E424">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磷酸盐和总磷的测定  连续流动-钼酸铵分光光度法</w:t>
            </w:r>
          </w:p>
        </w:tc>
        <w:tc>
          <w:tcPr>
            <w:tcW w:w="834" w:type="pct"/>
            <w:shd w:val="clear" w:color="auto" w:fill="auto"/>
            <w:vAlign w:val="center"/>
          </w:tcPr>
          <w:p w14:paraId="01FDBBA7">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670</w:t>
            </w:r>
          </w:p>
        </w:tc>
      </w:tr>
      <w:tr w14:paraId="4CEBE7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2CEFD1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18</w:t>
            </w:r>
          </w:p>
        </w:tc>
        <w:tc>
          <w:tcPr>
            <w:tcW w:w="764" w:type="pct"/>
            <w:vMerge w:val="continue"/>
            <w:vAlign w:val="center"/>
          </w:tcPr>
          <w:p w14:paraId="0AF234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5" w:type="pct"/>
            <w:shd w:val="clear" w:color="auto" w:fill="auto"/>
            <w:vAlign w:val="center"/>
          </w:tcPr>
          <w:p w14:paraId="2D3F4A8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总磷的测定  流动注射-钼酸铵分光光度法</w:t>
            </w:r>
          </w:p>
        </w:tc>
        <w:tc>
          <w:tcPr>
            <w:tcW w:w="834" w:type="pct"/>
            <w:shd w:val="clear" w:color="auto" w:fill="auto"/>
            <w:vAlign w:val="center"/>
          </w:tcPr>
          <w:p w14:paraId="2B3F066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671</w:t>
            </w:r>
          </w:p>
        </w:tc>
      </w:tr>
      <w:tr w14:paraId="5570D8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07AA0C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19</w:t>
            </w:r>
          </w:p>
        </w:tc>
        <w:tc>
          <w:tcPr>
            <w:tcW w:w="764" w:type="pct"/>
            <w:vMerge w:val="restart"/>
            <w:vAlign w:val="center"/>
          </w:tcPr>
          <w:p w14:paraId="510905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总氰化物</w:t>
            </w:r>
          </w:p>
        </w:tc>
        <w:tc>
          <w:tcPr>
            <w:tcW w:w="2995" w:type="pct"/>
            <w:shd w:val="clear" w:color="auto" w:fill="auto"/>
            <w:vAlign w:val="center"/>
          </w:tcPr>
          <w:p w14:paraId="72AA7801">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氰化物的测定  容量法和分光光度法</w:t>
            </w:r>
          </w:p>
        </w:tc>
        <w:tc>
          <w:tcPr>
            <w:tcW w:w="834" w:type="pct"/>
            <w:shd w:val="clear" w:color="auto" w:fill="auto"/>
            <w:vAlign w:val="center"/>
          </w:tcPr>
          <w:p w14:paraId="539254E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484</w:t>
            </w:r>
          </w:p>
        </w:tc>
      </w:tr>
      <w:tr w14:paraId="18E57C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17E9F1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20</w:t>
            </w:r>
          </w:p>
        </w:tc>
        <w:tc>
          <w:tcPr>
            <w:tcW w:w="764" w:type="pct"/>
            <w:vMerge w:val="continue"/>
            <w:vAlign w:val="center"/>
          </w:tcPr>
          <w:p w14:paraId="099096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5" w:type="pct"/>
            <w:shd w:val="clear" w:color="auto" w:fill="auto"/>
            <w:vAlign w:val="center"/>
          </w:tcPr>
          <w:p w14:paraId="0B7379B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氰化物等的测定  真空检测管-电子比色法</w:t>
            </w:r>
          </w:p>
        </w:tc>
        <w:tc>
          <w:tcPr>
            <w:tcW w:w="834" w:type="pct"/>
            <w:shd w:val="clear" w:color="auto" w:fill="auto"/>
            <w:vAlign w:val="center"/>
          </w:tcPr>
          <w:p w14:paraId="55024CC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659</w:t>
            </w:r>
          </w:p>
        </w:tc>
      </w:tr>
      <w:tr w14:paraId="765BED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77F4E6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21</w:t>
            </w:r>
          </w:p>
        </w:tc>
        <w:tc>
          <w:tcPr>
            <w:tcW w:w="764" w:type="pct"/>
            <w:vMerge w:val="continue"/>
            <w:vAlign w:val="center"/>
          </w:tcPr>
          <w:p w14:paraId="59B8F9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5" w:type="pct"/>
            <w:shd w:val="clear" w:color="auto" w:fill="auto"/>
            <w:vAlign w:val="center"/>
          </w:tcPr>
          <w:p w14:paraId="6AAD17C8">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氰化物的测定  流动注射-分光光度法</w:t>
            </w:r>
          </w:p>
        </w:tc>
        <w:tc>
          <w:tcPr>
            <w:tcW w:w="834" w:type="pct"/>
            <w:shd w:val="clear" w:color="auto" w:fill="auto"/>
            <w:vAlign w:val="center"/>
          </w:tcPr>
          <w:p w14:paraId="1E4EA39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823</w:t>
            </w:r>
          </w:p>
        </w:tc>
      </w:tr>
      <w:tr w14:paraId="188EC8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47B510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22</w:t>
            </w:r>
          </w:p>
        </w:tc>
        <w:tc>
          <w:tcPr>
            <w:tcW w:w="764" w:type="pct"/>
            <w:vMerge w:val="restart"/>
            <w:vAlign w:val="center"/>
          </w:tcPr>
          <w:p w14:paraId="04C387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kern w:val="2"/>
                <w:sz w:val="18"/>
                <w:szCs w:val="18"/>
                <w:highlight w:val="none"/>
                <w:vertAlign w:val="baseline"/>
                <w:lang w:val="en-US" w:eastAsia="zh-CN" w:bidi="ar-SA"/>
              </w:rPr>
              <w:t>氟化物</w:t>
            </w:r>
          </w:p>
        </w:tc>
        <w:tc>
          <w:tcPr>
            <w:tcW w:w="2995" w:type="pct"/>
            <w:shd w:val="clear" w:color="auto" w:fill="auto"/>
            <w:vAlign w:val="center"/>
          </w:tcPr>
          <w:p w14:paraId="2D375F25">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氟化物的测定  离子选择电极法</w:t>
            </w:r>
          </w:p>
        </w:tc>
        <w:tc>
          <w:tcPr>
            <w:tcW w:w="834" w:type="pct"/>
            <w:shd w:val="clear" w:color="auto" w:fill="auto"/>
            <w:vAlign w:val="center"/>
          </w:tcPr>
          <w:p w14:paraId="22483DC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GB 7484</w:t>
            </w:r>
          </w:p>
        </w:tc>
      </w:tr>
      <w:tr w14:paraId="13847D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2A58D6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23</w:t>
            </w:r>
          </w:p>
        </w:tc>
        <w:tc>
          <w:tcPr>
            <w:tcW w:w="764" w:type="pct"/>
            <w:vMerge w:val="continue"/>
            <w:vAlign w:val="center"/>
          </w:tcPr>
          <w:p w14:paraId="220A0E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5" w:type="pct"/>
            <w:shd w:val="clear" w:color="auto" w:fill="auto"/>
            <w:vAlign w:val="center"/>
          </w:tcPr>
          <w:p w14:paraId="2569E974">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氟化物的测定  茜素磺酸锆目视比色法</w:t>
            </w:r>
          </w:p>
        </w:tc>
        <w:tc>
          <w:tcPr>
            <w:tcW w:w="834" w:type="pct"/>
            <w:shd w:val="clear" w:color="auto" w:fill="auto"/>
            <w:vAlign w:val="center"/>
          </w:tcPr>
          <w:p w14:paraId="3F7077D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487</w:t>
            </w:r>
          </w:p>
        </w:tc>
      </w:tr>
      <w:tr w14:paraId="2350D9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2DF74F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24</w:t>
            </w:r>
          </w:p>
        </w:tc>
        <w:tc>
          <w:tcPr>
            <w:tcW w:w="764" w:type="pct"/>
            <w:vMerge w:val="continue"/>
            <w:vAlign w:val="center"/>
          </w:tcPr>
          <w:p w14:paraId="619331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5" w:type="pct"/>
            <w:shd w:val="clear" w:color="auto" w:fill="auto"/>
            <w:vAlign w:val="center"/>
          </w:tcPr>
          <w:p w14:paraId="69F4FF51">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氟化物的测定  氟试剂分光光度法</w:t>
            </w:r>
          </w:p>
        </w:tc>
        <w:tc>
          <w:tcPr>
            <w:tcW w:w="834" w:type="pct"/>
            <w:shd w:val="clear" w:color="auto" w:fill="auto"/>
            <w:vAlign w:val="center"/>
          </w:tcPr>
          <w:p w14:paraId="0F47493F">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488</w:t>
            </w:r>
          </w:p>
        </w:tc>
      </w:tr>
      <w:tr w14:paraId="69E913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395E57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25</w:t>
            </w:r>
          </w:p>
        </w:tc>
        <w:tc>
          <w:tcPr>
            <w:tcW w:w="764" w:type="pct"/>
            <w:vMerge w:val="restart"/>
            <w:vAlign w:val="center"/>
          </w:tcPr>
          <w:p w14:paraId="0FA841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总铜</w:t>
            </w:r>
          </w:p>
        </w:tc>
        <w:tc>
          <w:tcPr>
            <w:tcW w:w="2995" w:type="pct"/>
            <w:shd w:val="clear" w:color="auto" w:fill="auto"/>
            <w:vAlign w:val="center"/>
          </w:tcPr>
          <w:p w14:paraId="58A9EEAC">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铜、锌、铅、镉的测定  原子吸收分光光度计</w:t>
            </w:r>
          </w:p>
        </w:tc>
        <w:tc>
          <w:tcPr>
            <w:tcW w:w="834" w:type="pct"/>
            <w:shd w:val="clear" w:color="auto" w:fill="auto"/>
            <w:vAlign w:val="center"/>
          </w:tcPr>
          <w:p w14:paraId="41A048F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GB 7475</w:t>
            </w:r>
          </w:p>
        </w:tc>
      </w:tr>
      <w:tr w14:paraId="447DF4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354F86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26</w:t>
            </w:r>
          </w:p>
        </w:tc>
        <w:tc>
          <w:tcPr>
            <w:tcW w:w="764" w:type="pct"/>
            <w:vMerge w:val="continue"/>
            <w:vAlign w:val="center"/>
          </w:tcPr>
          <w:p w14:paraId="60F7FB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5" w:type="pct"/>
            <w:shd w:val="clear" w:color="auto" w:fill="auto"/>
            <w:vAlign w:val="center"/>
          </w:tcPr>
          <w:p w14:paraId="11722ED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铜的测定  二乙基二硫代氨基甲酸钠分光光度法</w:t>
            </w:r>
          </w:p>
        </w:tc>
        <w:tc>
          <w:tcPr>
            <w:tcW w:w="834" w:type="pct"/>
            <w:shd w:val="clear" w:color="auto" w:fill="auto"/>
            <w:vAlign w:val="center"/>
          </w:tcPr>
          <w:p w14:paraId="316B30E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485</w:t>
            </w:r>
          </w:p>
        </w:tc>
      </w:tr>
      <w:tr w14:paraId="2B3D4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7313C7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27</w:t>
            </w:r>
          </w:p>
        </w:tc>
        <w:tc>
          <w:tcPr>
            <w:tcW w:w="764" w:type="pct"/>
            <w:vMerge w:val="continue"/>
            <w:vAlign w:val="center"/>
          </w:tcPr>
          <w:p w14:paraId="6FA814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5" w:type="pct"/>
            <w:shd w:val="clear" w:color="auto" w:fill="auto"/>
            <w:vAlign w:val="center"/>
          </w:tcPr>
          <w:p w14:paraId="15BA1B9F">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铜的测定  2,9-二甲基-1,10-菲啰啉分光光度法</w:t>
            </w:r>
          </w:p>
        </w:tc>
        <w:tc>
          <w:tcPr>
            <w:tcW w:w="834" w:type="pct"/>
            <w:shd w:val="clear" w:color="auto" w:fill="auto"/>
            <w:vAlign w:val="center"/>
          </w:tcPr>
          <w:p w14:paraId="239B721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486</w:t>
            </w:r>
          </w:p>
        </w:tc>
      </w:tr>
      <w:tr w14:paraId="1A8277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10DD8B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28</w:t>
            </w:r>
          </w:p>
        </w:tc>
        <w:tc>
          <w:tcPr>
            <w:tcW w:w="764" w:type="pct"/>
            <w:vMerge w:val="continue"/>
            <w:vAlign w:val="center"/>
          </w:tcPr>
          <w:p w14:paraId="6ECE22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5" w:type="pct"/>
            <w:shd w:val="clear" w:color="auto" w:fill="auto"/>
            <w:vAlign w:val="center"/>
          </w:tcPr>
          <w:p w14:paraId="0E4E12AB">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65种元素的测定  电感耦合等离子体发射光谱法</w:t>
            </w:r>
          </w:p>
        </w:tc>
        <w:tc>
          <w:tcPr>
            <w:tcW w:w="834" w:type="pct"/>
            <w:shd w:val="clear" w:color="auto" w:fill="auto"/>
            <w:vAlign w:val="center"/>
          </w:tcPr>
          <w:p w14:paraId="2951569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700</w:t>
            </w:r>
          </w:p>
        </w:tc>
      </w:tr>
      <w:tr w14:paraId="2100D8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0CB080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29</w:t>
            </w:r>
          </w:p>
        </w:tc>
        <w:tc>
          <w:tcPr>
            <w:tcW w:w="764" w:type="pct"/>
            <w:vMerge w:val="continue"/>
            <w:vAlign w:val="center"/>
          </w:tcPr>
          <w:p w14:paraId="7B5BE6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5" w:type="pct"/>
            <w:shd w:val="clear" w:color="auto" w:fill="auto"/>
            <w:vAlign w:val="center"/>
          </w:tcPr>
          <w:p w14:paraId="4FB35BBC">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32种元素的测定  电感耦合等离子个体发射光谱法</w:t>
            </w:r>
          </w:p>
        </w:tc>
        <w:tc>
          <w:tcPr>
            <w:tcW w:w="834" w:type="pct"/>
            <w:shd w:val="clear" w:color="auto" w:fill="auto"/>
            <w:vAlign w:val="center"/>
          </w:tcPr>
          <w:p w14:paraId="42A4F10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776</w:t>
            </w:r>
          </w:p>
        </w:tc>
      </w:tr>
      <w:tr w14:paraId="289098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515401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30</w:t>
            </w:r>
          </w:p>
        </w:tc>
        <w:tc>
          <w:tcPr>
            <w:tcW w:w="764" w:type="pct"/>
            <w:vMerge w:val="restart"/>
            <w:vAlign w:val="center"/>
          </w:tcPr>
          <w:p w14:paraId="6ADE4C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总锌</w:t>
            </w:r>
          </w:p>
        </w:tc>
        <w:tc>
          <w:tcPr>
            <w:tcW w:w="2995" w:type="pct"/>
            <w:shd w:val="clear" w:color="auto" w:fill="auto"/>
            <w:vAlign w:val="center"/>
          </w:tcPr>
          <w:p w14:paraId="54F5C945">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铜、锌、铅、镉的测定  原子吸收分光光度法</w:t>
            </w:r>
          </w:p>
        </w:tc>
        <w:tc>
          <w:tcPr>
            <w:tcW w:w="834" w:type="pct"/>
            <w:shd w:val="clear" w:color="auto" w:fill="auto"/>
            <w:vAlign w:val="center"/>
          </w:tcPr>
          <w:p w14:paraId="0138A18E">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GB 7475</w:t>
            </w:r>
          </w:p>
        </w:tc>
      </w:tr>
      <w:tr w14:paraId="4B3B07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172881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31</w:t>
            </w:r>
          </w:p>
        </w:tc>
        <w:tc>
          <w:tcPr>
            <w:tcW w:w="764" w:type="pct"/>
            <w:vMerge w:val="continue"/>
            <w:vAlign w:val="center"/>
          </w:tcPr>
          <w:p w14:paraId="180E39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5" w:type="pct"/>
            <w:shd w:val="clear" w:color="auto" w:fill="auto"/>
            <w:vAlign w:val="center"/>
          </w:tcPr>
          <w:p w14:paraId="23ED480D">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65钟元素的测定  电感耦合等离子体发射光谱法</w:t>
            </w:r>
          </w:p>
        </w:tc>
        <w:tc>
          <w:tcPr>
            <w:tcW w:w="834" w:type="pct"/>
            <w:shd w:val="clear" w:color="auto" w:fill="auto"/>
            <w:vAlign w:val="center"/>
          </w:tcPr>
          <w:p w14:paraId="2AA1E48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700</w:t>
            </w:r>
          </w:p>
        </w:tc>
      </w:tr>
    </w:tbl>
    <w:p w14:paraId="20BD8A64">
      <w:pPr>
        <w:keepNext w:val="0"/>
        <w:keepLines w:val="0"/>
        <w:pageBreakBefore w:val="0"/>
        <w:widowControl w:val="0"/>
        <w:kinsoku/>
        <w:wordWrap/>
        <w:overflowPunct/>
        <w:topLinePunct w:val="0"/>
        <w:autoSpaceDE/>
        <w:autoSpaceDN/>
        <w:bidi w:val="0"/>
        <w:adjustRightInd w:val="0"/>
        <w:snapToGrid w:val="0"/>
        <w:spacing w:before="158" w:beforeLines="50"/>
        <w:jc w:val="center"/>
        <w:textAlignment w:val="auto"/>
        <w:rPr>
          <w:rFonts w:hint="default" w:ascii="Times New Roman" w:hAnsi="Times New Roman" w:cs="Times New Roman"/>
          <w:szCs w:val="21"/>
          <w:highlight w:val="none"/>
          <w:lang w:val="en-US" w:eastAsia="zh-CN"/>
        </w:rPr>
      </w:pPr>
      <w:r>
        <w:rPr>
          <w:rFonts w:hint="eastAsia" w:ascii="Times New Roman" w:hAnsi="Times New Roman" w:eastAsia="黑体" w:cs="Times New Roman"/>
          <w:highlight w:val="none"/>
          <w:lang w:val="en-US" w:eastAsia="zh-CN"/>
        </w:rPr>
        <w:t>续</w:t>
      </w:r>
      <w:r>
        <w:rPr>
          <w:rFonts w:hint="default" w:ascii="Times New Roman" w:hAnsi="Times New Roman" w:eastAsia="黑体" w:cs="Times New Roman"/>
          <w:highlight w:val="none"/>
          <w:lang w:val="en-US" w:eastAsia="zh-CN"/>
        </w:rPr>
        <w:t>表</w:t>
      </w:r>
      <w:r>
        <w:rPr>
          <w:rFonts w:hint="eastAsia" w:ascii="Times New Roman" w:hAnsi="Times New Roman" w:eastAsia="黑体" w:cs="Times New Roman"/>
          <w:highlight w:val="none"/>
          <w:lang w:val="en-US" w:eastAsia="zh-CN"/>
        </w:rPr>
        <w:t>A.1</w:t>
      </w:r>
      <w:r>
        <w:rPr>
          <w:rFonts w:hint="default" w:ascii="Times New Roman" w:hAnsi="Times New Roman" w:eastAsia="黑体" w:cs="Times New Roman"/>
          <w:highlight w:val="none"/>
          <w:lang w:val="en-US" w:eastAsia="zh-CN"/>
        </w:rPr>
        <w:t xml:space="preserve">  水污染分析方法标准</w:t>
      </w:r>
    </w:p>
    <w:tbl>
      <w:tblPr>
        <w:tblStyle w:val="16"/>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77"/>
        <w:gridCol w:w="1461"/>
        <w:gridCol w:w="5726"/>
        <w:gridCol w:w="1599"/>
      </w:tblGrid>
      <w:tr w14:paraId="303BF9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shd w:val="clear" w:color="auto" w:fill="auto"/>
            <w:vAlign w:val="center"/>
          </w:tcPr>
          <w:p w14:paraId="36F831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kern w:val="2"/>
                <w:sz w:val="18"/>
                <w:szCs w:val="18"/>
                <w:highlight w:val="none"/>
                <w:vertAlign w:val="baseline"/>
                <w:lang w:val="en-US" w:eastAsia="zh-CN" w:bidi="ar-SA"/>
              </w:rPr>
            </w:pPr>
            <w:r>
              <w:rPr>
                <w:rFonts w:hint="default" w:ascii="Times New Roman" w:hAnsi="Times New Roman" w:cs="Times New Roman"/>
                <w:b/>
                <w:bCs/>
                <w:sz w:val="18"/>
                <w:szCs w:val="18"/>
                <w:highlight w:val="none"/>
                <w:vertAlign w:val="baseline"/>
                <w:lang w:val="en-US" w:eastAsia="zh-CN"/>
              </w:rPr>
              <w:t>序号</w:t>
            </w:r>
          </w:p>
        </w:tc>
        <w:tc>
          <w:tcPr>
            <w:tcW w:w="764" w:type="pct"/>
            <w:shd w:val="clear" w:color="auto" w:fill="auto"/>
            <w:vAlign w:val="center"/>
          </w:tcPr>
          <w:p w14:paraId="04E69F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kern w:val="2"/>
                <w:sz w:val="18"/>
                <w:szCs w:val="18"/>
                <w:highlight w:val="none"/>
                <w:vertAlign w:val="baseline"/>
                <w:lang w:val="en-US" w:eastAsia="zh-CN" w:bidi="ar-SA"/>
              </w:rPr>
            </w:pPr>
            <w:r>
              <w:rPr>
                <w:rFonts w:hint="default" w:ascii="Times New Roman" w:hAnsi="Times New Roman" w:cs="Times New Roman"/>
                <w:b/>
                <w:bCs/>
                <w:sz w:val="18"/>
                <w:szCs w:val="18"/>
                <w:highlight w:val="none"/>
                <w:vertAlign w:val="baseline"/>
                <w:lang w:val="en-US" w:eastAsia="zh-CN"/>
              </w:rPr>
              <w:t>污染物项目</w:t>
            </w:r>
          </w:p>
        </w:tc>
        <w:tc>
          <w:tcPr>
            <w:tcW w:w="2994" w:type="pct"/>
            <w:shd w:val="clear" w:color="auto" w:fill="auto"/>
            <w:vAlign w:val="center"/>
          </w:tcPr>
          <w:p w14:paraId="750340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kern w:val="2"/>
                <w:sz w:val="18"/>
                <w:szCs w:val="18"/>
                <w:highlight w:val="none"/>
                <w:vertAlign w:val="baseline"/>
                <w:lang w:val="en-US" w:eastAsia="zh-CN" w:bidi="ar-SA"/>
              </w:rPr>
            </w:pPr>
            <w:r>
              <w:rPr>
                <w:rFonts w:hint="default" w:ascii="Times New Roman" w:hAnsi="Times New Roman" w:cs="Times New Roman"/>
                <w:b/>
                <w:bCs/>
                <w:sz w:val="18"/>
                <w:szCs w:val="18"/>
                <w:highlight w:val="none"/>
                <w:vertAlign w:val="baseline"/>
                <w:lang w:val="en-US" w:eastAsia="zh-CN"/>
              </w:rPr>
              <w:t>方法标准名称</w:t>
            </w:r>
          </w:p>
        </w:tc>
        <w:tc>
          <w:tcPr>
            <w:tcW w:w="834" w:type="pct"/>
            <w:shd w:val="clear" w:color="auto" w:fill="auto"/>
            <w:vAlign w:val="center"/>
          </w:tcPr>
          <w:p w14:paraId="212429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kern w:val="2"/>
                <w:sz w:val="18"/>
                <w:szCs w:val="18"/>
                <w:highlight w:val="none"/>
                <w:vertAlign w:val="baseline"/>
                <w:lang w:val="en-US" w:eastAsia="zh-CN" w:bidi="ar-SA"/>
              </w:rPr>
            </w:pPr>
            <w:r>
              <w:rPr>
                <w:rFonts w:hint="default" w:ascii="Times New Roman" w:hAnsi="Times New Roman" w:cs="Times New Roman"/>
                <w:b/>
                <w:bCs/>
                <w:sz w:val="18"/>
                <w:szCs w:val="18"/>
                <w:highlight w:val="none"/>
                <w:vertAlign w:val="baseline"/>
                <w:lang w:val="en-US" w:eastAsia="zh-CN"/>
              </w:rPr>
              <w:t>方法标准编号</w:t>
            </w:r>
          </w:p>
        </w:tc>
      </w:tr>
      <w:tr w14:paraId="1F1F8F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shd w:val="clear" w:color="auto" w:fill="auto"/>
            <w:vAlign w:val="center"/>
          </w:tcPr>
          <w:p w14:paraId="2CC08B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eastAsia" w:ascii="Times New Roman" w:hAnsi="Times New Roman" w:cs="Times New Roman"/>
                <w:kern w:val="2"/>
                <w:sz w:val="18"/>
                <w:szCs w:val="18"/>
                <w:highlight w:val="none"/>
                <w:vertAlign w:val="baseline"/>
                <w:lang w:val="en-US" w:eastAsia="zh-CN" w:bidi="ar-SA"/>
              </w:rPr>
              <w:t>32</w:t>
            </w:r>
          </w:p>
        </w:tc>
        <w:tc>
          <w:tcPr>
            <w:tcW w:w="764" w:type="pct"/>
            <w:shd w:val="clear" w:color="auto" w:fill="auto"/>
            <w:vAlign w:val="center"/>
          </w:tcPr>
          <w:p w14:paraId="2910F6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kern w:val="2"/>
                <w:sz w:val="18"/>
                <w:szCs w:val="18"/>
                <w:highlight w:val="none"/>
                <w:vertAlign w:val="baseline"/>
                <w:lang w:val="en-US" w:eastAsia="zh-CN" w:bidi="ar-SA"/>
              </w:rPr>
            </w:pPr>
            <w:r>
              <w:rPr>
                <w:rFonts w:hint="eastAsia" w:ascii="Times New Roman" w:hAnsi="Times New Roman" w:cs="Times New Roman"/>
                <w:sz w:val="18"/>
                <w:szCs w:val="18"/>
                <w:highlight w:val="none"/>
                <w:vertAlign w:val="baseline"/>
                <w:lang w:val="en-US" w:eastAsia="zh-CN"/>
              </w:rPr>
              <w:t>总锌</w:t>
            </w:r>
          </w:p>
        </w:tc>
        <w:tc>
          <w:tcPr>
            <w:tcW w:w="2994" w:type="pct"/>
            <w:shd w:val="clear" w:color="auto" w:fill="auto"/>
            <w:vAlign w:val="center"/>
          </w:tcPr>
          <w:p w14:paraId="5DA440AC">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32种元素的测定  电感耦合等离子个体发射光谱法</w:t>
            </w:r>
          </w:p>
        </w:tc>
        <w:tc>
          <w:tcPr>
            <w:tcW w:w="834" w:type="pct"/>
            <w:shd w:val="clear" w:color="auto" w:fill="auto"/>
            <w:vAlign w:val="center"/>
          </w:tcPr>
          <w:p w14:paraId="60D4999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776</w:t>
            </w:r>
          </w:p>
        </w:tc>
      </w:tr>
      <w:tr w14:paraId="1491EC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120C22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33</w:t>
            </w:r>
          </w:p>
        </w:tc>
        <w:tc>
          <w:tcPr>
            <w:tcW w:w="764" w:type="pct"/>
            <w:vMerge w:val="restart"/>
            <w:vAlign w:val="center"/>
          </w:tcPr>
          <w:p w14:paraId="21745F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总铅</w:t>
            </w:r>
          </w:p>
        </w:tc>
        <w:tc>
          <w:tcPr>
            <w:tcW w:w="2994" w:type="pct"/>
            <w:shd w:val="clear" w:color="auto" w:fill="auto"/>
            <w:vAlign w:val="center"/>
          </w:tcPr>
          <w:p w14:paraId="5AFC63A1">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铅的测定  双硫腺分光光度法</w:t>
            </w:r>
          </w:p>
        </w:tc>
        <w:tc>
          <w:tcPr>
            <w:tcW w:w="834" w:type="pct"/>
            <w:shd w:val="clear" w:color="auto" w:fill="auto"/>
            <w:vAlign w:val="center"/>
          </w:tcPr>
          <w:p w14:paraId="75C3521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GB 7470</w:t>
            </w:r>
          </w:p>
        </w:tc>
      </w:tr>
      <w:tr w14:paraId="17A24C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343766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34</w:t>
            </w:r>
          </w:p>
        </w:tc>
        <w:tc>
          <w:tcPr>
            <w:tcW w:w="764" w:type="pct"/>
            <w:vMerge w:val="continue"/>
            <w:vAlign w:val="center"/>
          </w:tcPr>
          <w:p w14:paraId="7EF78D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4" w:type="pct"/>
            <w:shd w:val="clear" w:color="auto" w:fill="auto"/>
            <w:vAlign w:val="center"/>
          </w:tcPr>
          <w:p w14:paraId="0339BB2F">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铜、锌、铅、镉的测定  原子吸收分光光度法</w:t>
            </w:r>
          </w:p>
        </w:tc>
        <w:tc>
          <w:tcPr>
            <w:tcW w:w="834" w:type="pct"/>
            <w:shd w:val="clear" w:color="auto" w:fill="auto"/>
            <w:vAlign w:val="center"/>
          </w:tcPr>
          <w:p w14:paraId="00E39B2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GB 7475</w:t>
            </w:r>
          </w:p>
        </w:tc>
      </w:tr>
      <w:tr w14:paraId="05B50F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57A4E8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35</w:t>
            </w:r>
          </w:p>
        </w:tc>
        <w:tc>
          <w:tcPr>
            <w:tcW w:w="764" w:type="pct"/>
            <w:vMerge w:val="continue"/>
            <w:vAlign w:val="center"/>
          </w:tcPr>
          <w:p w14:paraId="7ECEC0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4" w:type="pct"/>
            <w:shd w:val="clear" w:color="auto" w:fill="auto"/>
            <w:vAlign w:val="center"/>
          </w:tcPr>
          <w:p w14:paraId="15E7D1F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65种元素的测定  电感耦合等离子体质谱法</w:t>
            </w:r>
          </w:p>
        </w:tc>
        <w:tc>
          <w:tcPr>
            <w:tcW w:w="834" w:type="pct"/>
            <w:shd w:val="clear" w:color="auto" w:fill="auto"/>
            <w:vAlign w:val="center"/>
          </w:tcPr>
          <w:p w14:paraId="272232F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700</w:t>
            </w:r>
          </w:p>
        </w:tc>
      </w:tr>
      <w:tr w14:paraId="44E818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63ABB5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36</w:t>
            </w:r>
          </w:p>
        </w:tc>
        <w:tc>
          <w:tcPr>
            <w:tcW w:w="764" w:type="pct"/>
            <w:vMerge w:val="continue"/>
            <w:vAlign w:val="center"/>
          </w:tcPr>
          <w:p w14:paraId="14A5D7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4" w:type="pct"/>
            <w:shd w:val="clear" w:color="auto" w:fill="auto"/>
            <w:vAlign w:val="center"/>
          </w:tcPr>
          <w:p w14:paraId="43E1BDD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32种元素的测定  电感耦合等离子体发射光谱法</w:t>
            </w:r>
          </w:p>
        </w:tc>
        <w:tc>
          <w:tcPr>
            <w:tcW w:w="834" w:type="pct"/>
            <w:shd w:val="clear" w:color="auto" w:fill="auto"/>
            <w:vAlign w:val="center"/>
          </w:tcPr>
          <w:p w14:paraId="663A878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776</w:t>
            </w:r>
          </w:p>
        </w:tc>
      </w:tr>
      <w:tr w14:paraId="04954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3199CCD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37</w:t>
            </w:r>
          </w:p>
        </w:tc>
        <w:tc>
          <w:tcPr>
            <w:tcW w:w="764" w:type="pct"/>
            <w:vMerge w:val="restart"/>
            <w:vAlign w:val="center"/>
          </w:tcPr>
          <w:p w14:paraId="772EBB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总镉</w:t>
            </w:r>
          </w:p>
        </w:tc>
        <w:tc>
          <w:tcPr>
            <w:tcW w:w="2994" w:type="pct"/>
            <w:shd w:val="clear" w:color="auto" w:fill="auto"/>
            <w:vAlign w:val="center"/>
          </w:tcPr>
          <w:p w14:paraId="3CCFB93B">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镉的测定  双硫腺分光光度法</w:t>
            </w:r>
          </w:p>
        </w:tc>
        <w:tc>
          <w:tcPr>
            <w:tcW w:w="834" w:type="pct"/>
            <w:shd w:val="clear" w:color="auto" w:fill="auto"/>
            <w:vAlign w:val="center"/>
          </w:tcPr>
          <w:p w14:paraId="2DABDAD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GB 7471</w:t>
            </w:r>
          </w:p>
        </w:tc>
      </w:tr>
      <w:tr w14:paraId="5849FB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2E7062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38</w:t>
            </w:r>
          </w:p>
        </w:tc>
        <w:tc>
          <w:tcPr>
            <w:tcW w:w="764" w:type="pct"/>
            <w:vMerge w:val="continue"/>
            <w:vAlign w:val="center"/>
          </w:tcPr>
          <w:p w14:paraId="42D10F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4" w:type="pct"/>
            <w:shd w:val="clear" w:color="auto" w:fill="auto"/>
            <w:vAlign w:val="center"/>
          </w:tcPr>
          <w:p w14:paraId="64B607BF">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铜、锌、铅、镉的测定  原子吸收分光光度法</w:t>
            </w:r>
          </w:p>
        </w:tc>
        <w:tc>
          <w:tcPr>
            <w:tcW w:w="834" w:type="pct"/>
            <w:shd w:val="clear" w:color="auto" w:fill="auto"/>
            <w:vAlign w:val="center"/>
          </w:tcPr>
          <w:p w14:paraId="79D0498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GB 7475</w:t>
            </w:r>
          </w:p>
        </w:tc>
      </w:tr>
      <w:tr w14:paraId="7D1F45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5DFE0E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39</w:t>
            </w:r>
          </w:p>
        </w:tc>
        <w:tc>
          <w:tcPr>
            <w:tcW w:w="764" w:type="pct"/>
            <w:vMerge w:val="continue"/>
            <w:vAlign w:val="center"/>
          </w:tcPr>
          <w:p w14:paraId="2B9C9C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4" w:type="pct"/>
            <w:shd w:val="clear" w:color="auto" w:fill="auto"/>
            <w:vAlign w:val="center"/>
          </w:tcPr>
          <w:p w14:paraId="1FBF5BF8">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65种元素的测定  电感耦合等离子体质谱法</w:t>
            </w:r>
          </w:p>
        </w:tc>
        <w:tc>
          <w:tcPr>
            <w:tcW w:w="834" w:type="pct"/>
            <w:shd w:val="clear" w:color="auto" w:fill="auto"/>
            <w:vAlign w:val="center"/>
          </w:tcPr>
          <w:p w14:paraId="40DA3B0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700</w:t>
            </w:r>
          </w:p>
        </w:tc>
      </w:tr>
      <w:tr w14:paraId="0742E6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48AA86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40</w:t>
            </w:r>
          </w:p>
        </w:tc>
        <w:tc>
          <w:tcPr>
            <w:tcW w:w="764" w:type="pct"/>
            <w:vMerge w:val="continue"/>
            <w:vAlign w:val="center"/>
          </w:tcPr>
          <w:p w14:paraId="7024C6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4" w:type="pct"/>
            <w:shd w:val="clear" w:color="auto" w:fill="auto"/>
            <w:vAlign w:val="center"/>
          </w:tcPr>
          <w:p w14:paraId="52F1C2EC">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32种元素的测定  电感耦合等离子体发射光谱法</w:t>
            </w:r>
          </w:p>
        </w:tc>
        <w:tc>
          <w:tcPr>
            <w:tcW w:w="834" w:type="pct"/>
            <w:shd w:val="clear" w:color="auto" w:fill="auto"/>
            <w:vAlign w:val="center"/>
          </w:tcPr>
          <w:p w14:paraId="4E0D858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776</w:t>
            </w:r>
          </w:p>
        </w:tc>
      </w:tr>
      <w:tr w14:paraId="078AFF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323B76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41</w:t>
            </w:r>
          </w:p>
        </w:tc>
        <w:tc>
          <w:tcPr>
            <w:tcW w:w="764" w:type="pct"/>
            <w:vMerge w:val="restart"/>
            <w:vAlign w:val="center"/>
          </w:tcPr>
          <w:p w14:paraId="022C4C5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总铬</w:t>
            </w:r>
          </w:p>
        </w:tc>
        <w:tc>
          <w:tcPr>
            <w:tcW w:w="2994" w:type="pct"/>
            <w:shd w:val="clear" w:color="auto" w:fill="auto"/>
            <w:vAlign w:val="center"/>
          </w:tcPr>
          <w:p w14:paraId="06268D0F">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总铬的测定  高锰酸钾氧化-二苯碳酰二肼分光光度法</w:t>
            </w:r>
          </w:p>
        </w:tc>
        <w:tc>
          <w:tcPr>
            <w:tcW w:w="834" w:type="pct"/>
            <w:shd w:val="clear" w:color="auto" w:fill="auto"/>
            <w:vAlign w:val="center"/>
          </w:tcPr>
          <w:p w14:paraId="48D08282">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GB 7466</w:t>
            </w:r>
          </w:p>
        </w:tc>
      </w:tr>
      <w:tr w14:paraId="14B729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177252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42</w:t>
            </w:r>
          </w:p>
        </w:tc>
        <w:tc>
          <w:tcPr>
            <w:tcW w:w="764" w:type="pct"/>
            <w:vMerge w:val="continue"/>
            <w:vAlign w:val="center"/>
          </w:tcPr>
          <w:p w14:paraId="7C631C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4" w:type="pct"/>
            <w:shd w:val="clear" w:color="auto" w:fill="auto"/>
            <w:vAlign w:val="center"/>
          </w:tcPr>
          <w:p w14:paraId="1869008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65种元素的测定  电感耦合等离子体质谱法</w:t>
            </w:r>
          </w:p>
        </w:tc>
        <w:tc>
          <w:tcPr>
            <w:tcW w:w="834" w:type="pct"/>
            <w:shd w:val="clear" w:color="auto" w:fill="auto"/>
            <w:vAlign w:val="center"/>
          </w:tcPr>
          <w:p w14:paraId="0823DE9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700</w:t>
            </w:r>
          </w:p>
        </w:tc>
      </w:tr>
      <w:tr w14:paraId="52B693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5B3B58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43</w:t>
            </w:r>
          </w:p>
        </w:tc>
        <w:tc>
          <w:tcPr>
            <w:tcW w:w="764" w:type="pct"/>
            <w:vMerge w:val="continue"/>
            <w:vAlign w:val="center"/>
          </w:tcPr>
          <w:p w14:paraId="5A5666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4" w:type="pct"/>
            <w:shd w:val="clear" w:color="auto" w:fill="auto"/>
            <w:vAlign w:val="center"/>
          </w:tcPr>
          <w:p w14:paraId="4ED7AB0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32种元素的测定  电感耦合等离子体发射光谱法</w:t>
            </w:r>
          </w:p>
        </w:tc>
        <w:tc>
          <w:tcPr>
            <w:tcW w:w="834" w:type="pct"/>
            <w:shd w:val="clear" w:color="auto" w:fill="auto"/>
            <w:vAlign w:val="center"/>
          </w:tcPr>
          <w:p w14:paraId="08878D1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776</w:t>
            </w:r>
          </w:p>
        </w:tc>
      </w:tr>
      <w:tr w14:paraId="14602D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1A8CAD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44</w:t>
            </w:r>
          </w:p>
        </w:tc>
        <w:tc>
          <w:tcPr>
            <w:tcW w:w="764" w:type="pct"/>
            <w:vMerge w:val="restart"/>
            <w:vAlign w:val="center"/>
          </w:tcPr>
          <w:p w14:paraId="3B76E7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六价铬</w:t>
            </w:r>
          </w:p>
        </w:tc>
        <w:tc>
          <w:tcPr>
            <w:tcW w:w="2994" w:type="pct"/>
            <w:shd w:val="clear" w:color="auto" w:fill="auto"/>
            <w:vAlign w:val="center"/>
          </w:tcPr>
          <w:p w14:paraId="2B70C765">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六价铬的测定  二苯碳酰二肼分光光度法</w:t>
            </w:r>
          </w:p>
        </w:tc>
        <w:tc>
          <w:tcPr>
            <w:tcW w:w="834" w:type="pct"/>
            <w:shd w:val="clear" w:color="auto" w:fill="auto"/>
            <w:vAlign w:val="center"/>
          </w:tcPr>
          <w:p w14:paraId="38D5010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GB 7476</w:t>
            </w:r>
          </w:p>
        </w:tc>
      </w:tr>
      <w:tr w14:paraId="5E3E5A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6C3829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45</w:t>
            </w:r>
          </w:p>
        </w:tc>
        <w:tc>
          <w:tcPr>
            <w:tcW w:w="764" w:type="pct"/>
            <w:vMerge w:val="continue"/>
            <w:vAlign w:val="center"/>
          </w:tcPr>
          <w:p w14:paraId="25118D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4" w:type="pct"/>
            <w:shd w:val="clear" w:color="auto" w:fill="auto"/>
            <w:vAlign w:val="center"/>
          </w:tcPr>
          <w:p w14:paraId="2998563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六价铬的测定  流动注射-二苯碳酰二肼光度法</w:t>
            </w:r>
          </w:p>
        </w:tc>
        <w:tc>
          <w:tcPr>
            <w:tcW w:w="834" w:type="pct"/>
            <w:shd w:val="clear" w:color="auto" w:fill="auto"/>
            <w:vAlign w:val="center"/>
          </w:tcPr>
          <w:p w14:paraId="31FE15C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908</w:t>
            </w:r>
          </w:p>
        </w:tc>
      </w:tr>
      <w:tr w14:paraId="67EB55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3D644A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46</w:t>
            </w:r>
          </w:p>
        </w:tc>
        <w:tc>
          <w:tcPr>
            <w:tcW w:w="764" w:type="pct"/>
            <w:vMerge w:val="restart"/>
            <w:vAlign w:val="center"/>
          </w:tcPr>
          <w:p w14:paraId="76439F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总镍</w:t>
            </w:r>
          </w:p>
        </w:tc>
        <w:tc>
          <w:tcPr>
            <w:tcW w:w="2994" w:type="pct"/>
            <w:shd w:val="clear" w:color="auto" w:fill="auto"/>
            <w:vAlign w:val="center"/>
          </w:tcPr>
          <w:p w14:paraId="314E562C">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镍的测定  丁二酮肟分光光度法</w:t>
            </w:r>
          </w:p>
        </w:tc>
        <w:tc>
          <w:tcPr>
            <w:tcW w:w="834" w:type="pct"/>
            <w:shd w:val="clear" w:color="auto" w:fill="auto"/>
            <w:vAlign w:val="center"/>
          </w:tcPr>
          <w:p w14:paraId="2D1F10B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GB 11910</w:t>
            </w:r>
          </w:p>
        </w:tc>
      </w:tr>
      <w:tr w14:paraId="7BC008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57F704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47</w:t>
            </w:r>
          </w:p>
        </w:tc>
        <w:tc>
          <w:tcPr>
            <w:tcW w:w="764" w:type="pct"/>
            <w:vMerge w:val="continue"/>
            <w:vAlign w:val="center"/>
          </w:tcPr>
          <w:p w14:paraId="0149A3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4" w:type="pct"/>
            <w:shd w:val="clear" w:color="auto" w:fill="auto"/>
            <w:vAlign w:val="center"/>
          </w:tcPr>
          <w:p w14:paraId="6F0A13C4">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镍的测定  火焰原子吸收分光光度法</w:t>
            </w:r>
          </w:p>
        </w:tc>
        <w:tc>
          <w:tcPr>
            <w:tcW w:w="834" w:type="pct"/>
            <w:shd w:val="clear" w:color="auto" w:fill="auto"/>
            <w:vAlign w:val="center"/>
          </w:tcPr>
          <w:p w14:paraId="5798B51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GB 11912</w:t>
            </w:r>
          </w:p>
        </w:tc>
      </w:tr>
      <w:tr w14:paraId="13E9B7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1EA611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48</w:t>
            </w:r>
          </w:p>
        </w:tc>
        <w:tc>
          <w:tcPr>
            <w:tcW w:w="764" w:type="pct"/>
            <w:vMerge w:val="continue"/>
            <w:vAlign w:val="center"/>
          </w:tcPr>
          <w:p w14:paraId="4FEE1D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4" w:type="pct"/>
            <w:shd w:val="clear" w:color="auto" w:fill="auto"/>
            <w:vAlign w:val="center"/>
          </w:tcPr>
          <w:p w14:paraId="5F4CBE0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65种元素的测定  电感耦合等离子体质谱法</w:t>
            </w:r>
          </w:p>
        </w:tc>
        <w:tc>
          <w:tcPr>
            <w:tcW w:w="834" w:type="pct"/>
            <w:shd w:val="clear" w:color="auto" w:fill="auto"/>
            <w:vAlign w:val="center"/>
          </w:tcPr>
          <w:p w14:paraId="2E98795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700</w:t>
            </w:r>
          </w:p>
        </w:tc>
      </w:tr>
      <w:tr w14:paraId="30BCAD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Align w:val="center"/>
          </w:tcPr>
          <w:p w14:paraId="3F455A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49</w:t>
            </w:r>
          </w:p>
        </w:tc>
        <w:tc>
          <w:tcPr>
            <w:tcW w:w="764" w:type="pct"/>
            <w:vMerge w:val="continue"/>
            <w:vAlign w:val="center"/>
          </w:tcPr>
          <w:p w14:paraId="5BA6C0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p>
        </w:tc>
        <w:tc>
          <w:tcPr>
            <w:tcW w:w="2994" w:type="pct"/>
            <w:shd w:val="clear" w:color="auto" w:fill="auto"/>
            <w:vAlign w:val="center"/>
          </w:tcPr>
          <w:p w14:paraId="55583A4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水质  32种元素的测定  电感耦合等离子体发射光谱法</w:t>
            </w:r>
          </w:p>
        </w:tc>
        <w:tc>
          <w:tcPr>
            <w:tcW w:w="834" w:type="pct"/>
            <w:shd w:val="clear" w:color="auto" w:fill="auto"/>
            <w:vAlign w:val="center"/>
          </w:tcPr>
          <w:p w14:paraId="6A7B0F2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 776</w:t>
            </w:r>
          </w:p>
        </w:tc>
      </w:tr>
      <w:tr w14:paraId="5BC5D0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000" w:type="pct"/>
            <w:gridSpan w:val="4"/>
            <w:vAlign w:val="center"/>
          </w:tcPr>
          <w:p w14:paraId="4D007E1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注：除表</w:t>
            </w:r>
            <w:r>
              <w:rPr>
                <w:rFonts w:hint="eastAsia" w:ascii="Times New Roman" w:hAnsi="Times New Roman" w:cs="Times New Roman"/>
                <w:kern w:val="2"/>
                <w:sz w:val="18"/>
                <w:szCs w:val="18"/>
                <w:highlight w:val="none"/>
                <w:vertAlign w:val="baseline"/>
                <w:lang w:val="en-US" w:eastAsia="zh-CN" w:bidi="ar-SA"/>
              </w:rPr>
              <w:t>A.1</w:t>
            </w:r>
            <w:r>
              <w:rPr>
                <w:rFonts w:hint="default" w:ascii="Times New Roman" w:hAnsi="Times New Roman" w:cs="Times New Roman"/>
                <w:kern w:val="2"/>
                <w:sz w:val="18"/>
                <w:szCs w:val="18"/>
                <w:highlight w:val="none"/>
                <w:vertAlign w:val="baseline"/>
                <w:lang w:val="en-US" w:eastAsia="zh-CN" w:bidi="ar-SA"/>
              </w:rPr>
              <w:t>所列的方法标准外，本文件实施后发布的其他污染物监测方法标准，如明确适用于本行业，也可采用该监测方法标准。</w:t>
            </w:r>
          </w:p>
        </w:tc>
      </w:tr>
    </w:tbl>
    <w:p w14:paraId="1BFBABD9">
      <w:pPr>
        <w:keepNext w:val="0"/>
        <w:keepLines w:val="0"/>
        <w:pageBreakBefore w:val="0"/>
        <w:widowControl w:val="0"/>
        <w:kinsoku/>
        <w:wordWrap/>
        <w:overflowPunct/>
        <w:topLinePunct w:val="0"/>
        <w:autoSpaceDE/>
        <w:autoSpaceDN/>
        <w:bidi w:val="0"/>
        <w:adjustRightInd w:val="0"/>
        <w:snapToGrid w:val="0"/>
        <w:spacing w:before="158" w:beforeLines="50"/>
        <w:jc w:val="center"/>
        <w:textAlignment w:val="auto"/>
        <w:rPr>
          <w:rFonts w:hint="default" w:ascii="Times New Roman" w:hAnsi="Times New Roman" w:cs="Times New Roman"/>
          <w:szCs w:val="21"/>
          <w:highlight w:val="none"/>
          <w:lang w:val="en-US" w:eastAsia="zh-CN"/>
        </w:rPr>
      </w:pPr>
      <w:r>
        <w:rPr>
          <w:rFonts w:hint="default" w:ascii="Times New Roman" w:hAnsi="Times New Roman" w:eastAsia="黑体" w:cs="Times New Roman"/>
          <w:highlight w:val="none"/>
          <w:lang w:val="en-US" w:eastAsia="zh-CN"/>
        </w:rPr>
        <w:t>表</w:t>
      </w:r>
      <w:r>
        <w:rPr>
          <w:rFonts w:hint="eastAsia" w:ascii="Times New Roman" w:hAnsi="Times New Roman" w:eastAsia="黑体" w:cs="Times New Roman"/>
          <w:highlight w:val="none"/>
          <w:lang w:val="en-US" w:eastAsia="zh-CN"/>
        </w:rPr>
        <w:t>A.2</w:t>
      </w:r>
      <w:r>
        <w:rPr>
          <w:rFonts w:hint="default" w:ascii="Times New Roman" w:hAnsi="Times New Roman" w:eastAsia="黑体" w:cs="Times New Roman"/>
          <w:highlight w:val="none"/>
          <w:lang w:val="en-US" w:eastAsia="zh-CN"/>
        </w:rPr>
        <w:t xml:space="preserve">  大气污染分析方法标准</w:t>
      </w:r>
    </w:p>
    <w:tbl>
      <w:tblPr>
        <w:tblStyle w:val="16"/>
        <w:tblW w:w="4995"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1314"/>
        <w:gridCol w:w="6012"/>
        <w:gridCol w:w="1557"/>
      </w:tblGrid>
      <w:tr w14:paraId="7760CD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355" w:type="pct"/>
            <w:tcBorders>
              <w:bottom w:val="single" w:color="auto" w:sz="12" w:space="0"/>
            </w:tcBorders>
            <w:vAlign w:val="center"/>
          </w:tcPr>
          <w:p w14:paraId="31DB05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序号</w:t>
            </w:r>
          </w:p>
        </w:tc>
        <w:tc>
          <w:tcPr>
            <w:tcW w:w="687" w:type="pct"/>
            <w:tcBorders>
              <w:bottom w:val="single" w:color="auto" w:sz="12" w:space="0"/>
            </w:tcBorders>
            <w:vAlign w:val="center"/>
          </w:tcPr>
          <w:p w14:paraId="7963B8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污染物项目</w:t>
            </w:r>
          </w:p>
        </w:tc>
        <w:tc>
          <w:tcPr>
            <w:tcW w:w="3144" w:type="pct"/>
            <w:tcBorders>
              <w:bottom w:val="single" w:color="auto" w:sz="12" w:space="0"/>
            </w:tcBorders>
            <w:shd w:val="clear" w:color="auto" w:fill="auto"/>
            <w:vAlign w:val="center"/>
          </w:tcPr>
          <w:p w14:paraId="571FDE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sz w:val="18"/>
                <w:szCs w:val="18"/>
                <w:highlight w:val="none"/>
                <w:vertAlign w:val="baseline"/>
                <w:lang w:val="en-US" w:eastAsia="zh-CN"/>
              </w:rPr>
              <w:t>方法标准名称</w:t>
            </w:r>
          </w:p>
        </w:tc>
        <w:tc>
          <w:tcPr>
            <w:tcW w:w="813" w:type="pct"/>
            <w:tcBorders>
              <w:bottom w:val="single" w:color="auto" w:sz="12" w:space="0"/>
            </w:tcBorders>
            <w:vAlign w:val="center"/>
          </w:tcPr>
          <w:p w14:paraId="666EFA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方法标准编号</w:t>
            </w:r>
          </w:p>
        </w:tc>
      </w:tr>
      <w:tr w14:paraId="56CBC4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5" w:type="pct"/>
            <w:tcBorders>
              <w:top w:val="single" w:color="auto" w:sz="12" w:space="0"/>
            </w:tcBorders>
            <w:vAlign w:val="center"/>
          </w:tcPr>
          <w:p w14:paraId="3F890E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1</w:t>
            </w:r>
          </w:p>
        </w:tc>
        <w:tc>
          <w:tcPr>
            <w:tcW w:w="687" w:type="pct"/>
            <w:tcBorders>
              <w:top w:val="single" w:color="auto" w:sz="12" w:space="0"/>
            </w:tcBorders>
            <w:vAlign w:val="center"/>
          </w:tcPr>
          <w:p w14:paraId="27A414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氯化氢</w:t>
            </w:r>
          </w:p>
        </w:tc>
        <w:tc>
          <w:tcPr>
            <w:tcW w:w="3144" w:type="pct"/>
            <w:tcBorders>
              <w:top w:val="single" w:color="auto" w:sz="12" w:space="0"/>
            </w:tcBorders>
            <w:shd w:val="clear" w:color="auto" w:fill="auto"/>
            <w:vAlign w:val="center"/>
          </w:tcPr>
          <w:p w14:paraId="7F7EFC8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固定污染源排气中氯化氢的测定  硫氰酸汞分光光度法</w:t>
            </w:r>
          </w:p>
        </w:tc>
        <w:tc>
          <w:tcPr>
            <w:tcW w:w="813" w:type="pct"/>
            <w:tcBorders>
              <w:top w:val="single" w:color="auto" w:sz="12" w:space="0"/>
            </w:tcBorders>
            <w:shd w:val="clear" w:color="auto" w:fill="auto"/>
            <w:vAlign w:val="center"/>
          </w:tcPr>
          <w:p w14:paraId="6ED3EF5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HJ/T 27-1999</w:t>
            </w:r>
          </w:p>
        </w:tc>
      </w:tr>
      <w:tr w14:paraId="0242E0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5" w:type="pct"/>
            <w:vAlign w:val="center"/>
          </w:tcPr>
          <w:p w14:paraId="2228DC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2</w:t>
            </w:r>
          </w:p>
        </w:tc>
        <w:tc>
          <w:tcPr>
            <w:tcW w:w="687" w:type="pct"/>
            <w:vMerge w:val="restart"/>
            <w:vAlign w:val="center"/>
          </w:tcPr>
          <w:p w14:paraId="6958B7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硫酸雾</w:t>
            </w:r>
          </w:p>
        </w:tc>
        <w:tc>
          <w:tcPr>
            <w:tcW w:w="3144" w:type="pct"/>
            <w:shd w:val="clear" w:color="auto" w:fill="auto"/>
            <w:vAlign w:val="center"/>
          </w:tcPr>
          <w:p w14:paraId="33F10370">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废气中硫酸雾的测定  铬酸钡风光光度法</w:t>
            </w:r>
          </w:p>
        </w:tc>
        <w:tc>
          <w:tcPr>
            <w:tcW w:w="813" w:type="pct"/>
            <w:shd w:val="clear" w:color="auto" w:fill="auto"/>
            <w:vAlign w:val="center"/>
          </w:tcPr>
          <w:p w14:paraId="5B14E21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GB 21900-2008</w:t>
            </w:r>
          </w:p>
        </w:tc>
      </w:tr>
      <w:tr w14:paraId="39E6A2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5" w:type="pct"/>
            <w:vAlign w:val="center"/>
          </w:tcPr>
          <w:p w14:paraId="7C2EA2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3</w:t>
            </w:r>
          </w:p>
        </w:tc>
        <w:tc>
          <w:tcPr>
            <w:tcW w:w="687" w:type="pct"/>
            <w:vMerge w:val="continue"/>
            <w:shd w:val="clear" w:color="auto" w:fill="auto"/>
            <w:vAlign w:val="center"/>
          </w:tcPr>
          <w:p w14:paraId="541C658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p>
        </w:tc>
        <w:tc>
          <w:tcPr>
            <w:tcW w:w="3144" w:type="pct"/>
            <w:shd w:val="clear" w:color="auto" w:fill="auto"/>
            <w:vAlign w:val="center"/>
          </w:tcPr>
          <w:p w14:paraId="1D818275">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废气中硫酸雾的测定  离子色谱法</w:t>
            </w:r>
          </w:p>
        </w:tc>
        <w:tc>
          <w:tcPr>
            <w:tcW w:w="813" w:type="pct"/>
            <w:shd w:val="clear" w:color="auto" w:fill="auto"/>
            <w:vAlign w:val="center"/>
          </w:tcPr>
          <w:p w14:paraId="68846D62">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GB 21900-2008</w:t>
            </w:r>
          </w:p>
        </w:tc>
      </w:tr>
      <w:tr w14:paraId="136910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5" w:type="pct"/>
            <w:vAlign w:val="center"/>
          </w:tcPr>
          <w:p w14:paraId="58C5A0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4</w:t>
            </w:r>
          </w:p>
        </w:tc>
        <w:tc>
          <w:tcPr>
            <w:tcW w:w="687" w:type="pct"/>
            <w:vMerge w:val="restart"/>
            <w:shd w:val="clear" w:color="auto" w:fill="auto"/>
            <w:vAlign w:val="center"/>
          </w:tcPr>
          <w:p w14:paraId="065610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氮氧化物</w:t>
            </w:r>
          </w:p>
        </w:tc>
        <w:tc>
          <w:tcPr>
            <w:tcW w:w="3144" w:type="pct"/>
            <w:shd w:val="clear" w:color="auto" w:fill="auto"/>
            <w:vAlign w:val="center"/>
          </w:tcPr>
          <w:p w14:paraId="215B453C">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固定污染源排气中氮氧化物的测定  盐酸萘乙二胺分光光度法</w:t>
            </w:r>
          </w:p>
        </w:tc>
        <w:tc>
          <w:tcPr>
            <w:tcW w:w="813" w:type="pct"/>
            <w:shd w:val="clear" w:color="auto" w:fill="auto"/>
            <w:vAlign w:val="center"/>
          </w:tcPr>
          <w:p w14:paraId="38A48324">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HJ/T 43-1999</w:t>
            </w:r>
          </w:p>
        </w:tc>
      </w:tr>
      <w:tr w14:paraId="1D10B3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5" w:type="pct"/>
            <w:vAlign w:val="center"/>
          </w:tcPr>
          <w:p w14:paraId="30AB6A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18"/>
                <w:szCs w:val="18"/>
                <w:highlight w:val="none"/>
                <w:vertAlign w:val="baseline"/>
                <w:lang w:val="en-US" w:eastAsia="zh-CN"/>
              </w:rPr>
            </w:pPr>
            <w:r>
              <w:rPr>
                <w:rFonts w:hint="eastAsia" w:ascii="Times New Roman" w:hAnsi="Times New Roman" w:cs="Times New Roman"/>
                <w:sz w:val="18"/>
                <w:szCs w:val="18"/>
                <w:highlight w:val="none"/>
                <w:vertAlign w:val="baseline"/>
                <w:lang w:val="en-US" w:eastAsia="zh-CN"/>
              </w:rPr>
              <w:t>5</w:t>
            </w:r>
          </w:p>
        </w:tc>
        <w:tc>
          <w:tcPr>
            <w:tcW w:w="687" w:type="pct"/>
            <w:vMerge w:val="continue"/>
            <w:shd w:val="clear" w:color="auto" w:fill="auto"/>
            <w:vAlign w:val="center"/>
          </w:tcPr>
          <w:p w14:paraId="192C72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18"/>
                <w:szCs w:val="18"/>
                <w:highlight w:val="none"/>
                <w:vertAlign w:val="baseline"/>
                <w:lang w:val="en-US" w:eastAsia="zh-CN" w:bidi="ar-SA"/>
              </w:rPr>
            </w:pPr>
          </w:p>
        </w:tc>
        <w:tc>
          <w:tcPr>
            <w:tcW w:w="3144" w:type="pct"/>
            <w:shd w:val="clear" w:color="auto" w:fill="auto"/>
            <w:vAlign w:val="center"/>
          </w:tcPr>
          <w:p w14:paraId="67BC50D0">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固定污染源排气中氮氧化物的测定  紫外分光光度法</w:t>
            </w:r>
          </w:p>
        </w:tc>
        <w:tc>
          <w:tcPr>
            <w:tcW w:w="813" w:type="pct"/>
            <w:shd w:val="clear" w:color="auto" w:fill="auto"/>
            <w:vAlign w:val="center"/>
          </w:tcPr>
          <w:p w14:paraId="31320AFD">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HJ/T 43-1999</w:t>
            </w:r>
          </w:p>
        </w:tc>
      </w:tr>
      <w:tr w14:paraId="50785E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5000" w:type="pct"/>
            <w:gridSpan w:val="4"/>
            <w:vAlign w:val="center"/>
          </w:tcPr>
          <w:p w14:paraId="7BC5ED92">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kern w:val="2"/>
                <w:sz w:val="18"/>
                <w:szCs w:val="18"/>
                <w:highlight w:val="none"/>
                <w:vertAlign w:val="baseline"/>
                <w:lang w:val="en-US" w:eastAsia="zh-CN" w:bidi="ar-SA"/>
              </w:rPr>
            </w:pPr>
            <w:r>
              <w:rPr>
                <w:rFonts w:hint="default" w:ascii="Times New Roman" w:hAnsi="Times New Roman" w:cs="Times New Roman"/>
                <w:kern w:val="2"/>
                <w:sz w:val="18"/>
                <w:szCs w:val="18"/>
                <w:highlight w:val="none"/>
                <w:vertAlign w:val="baseline"/>
                <w:lang w:val="en-US" w:eastAsia="zh-CN" w:bidi="ar-SA"/>
              </w:rPr>
              <w:t>注：除表</w:t>
            </w:r>
            <w:r>
              <w:rPr>
                <w:rFonts w:hint="eastAsia" w:ascii="Times New Roman" w:hAnsi="Times New Roman" w:cs="Times New Roman"/>
                <w:kern w:val="2"/>
                <w:sz w:val="18"/>
                <w:szCs w:val="18"/>
                <w:highlight w:val="none"/>
                <w:vertAlign w:val="baseline"/>
                <w:lang w:val="en-US" w:eastAsia="zh-CN" w:bidi="ar-SA"/>
              </w:rPr>
              <w:t>A.2</w:t>
            </w:r>
            <w:r>
              <w:rPr>
                <w:rFonts w:hint="default" w:ascii="Times New Roman" w:hAnsi="Times New Roman" w:cs="Times New Roman"/>
                <w:kern w:val="2"/>
                <w:sz w:val="18"/>
                <w:szCs w:val="18"/>
                <w:highlight w:val="none"/>
                <w:vertAlign w:val="baseline"/>
                <w:lang w:val="en-US" w:eastAsia="zh-CN" w:bidi="ar-SA"/>
              </w:rPr>
              <w:t>所列的方法标准外，本文件实施后发布的其他污染物监测方法标准，如明确适用于本行业，也可采用该监测方法标准。</w:t>
            </w:r>
          </w:p>
        </w:tc>
      </w:tr>
    </w:tbl>
    <w:p w14:paraId="2FE074AE">
      <w:pPr>
        <w:rPr>
          <w:rFonts w:hint="default" w:ascii="Times New Roman" w:hAnsi="Times New Roman" w:cs="Times New Roman" w:eastAsiaTheme="minorEastAsia"/>
          <w:lang w:val="en-US" w:eastAsia="zh-CN"/>
        </w:rPr>
      </w:pPr>
    </w:p>
    <w:sectPr>
      <w:headerReference r:id="rId15" w:type="first"/>
      <w:footerReference r:id="rId18" w:type="first"/>
      <w:headerReference r:id="rId13" w:type="default"/>
      <w:footerReference r:id="rId16" w:type="default"/>
      <w:headerReference r:id="rId14" w:type="even"/>
      <w:footerReference r:id="rId17" w:type="even"/>
      <w:pgSz w:w="11906" w:h="16838"/>
      <w:pgMar w:top="1417" w:right="1134" w:bottom="1134" w:left="1417" w:header="851" w:footer="992" w:gutter="0"/>
      <w:pgNumType w:fmt="decimal" w:start="1"/>
      <w:cols w:space="720" w:num="1"/>
      <w:titlePg/>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EUAlbertina">
    <w:altName w:val="宋体"/>
    <w:panose1 w:val="00000000000000000000"/>
    <w:charset w:val="86"/>
    <w:family w:val="roman"/>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C6E68">
    <w:pPr>
      <w:pStyle w:val="45"/>
      <w:jc w:val="center"/>
      <w:rPr>
        <w:rStyle w:val="19"/>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5099A">
    <w:pPr>
      <w:pStyle w:val="45"/>
      <w:jc w:val="center"/>
      <w:rPr>
        <w:rStyle w:val="19"/>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F8131">
    <w:pPr>
      <w:pStyle w:val="45"/>
      <w:jc w:val="center"/>
      <w:rPr>
        <w:rStyle w:val="19"/>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3B32A">
    <w:pPr>
      <w:pStyle w:val="8"/>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12065"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B0397C">
                          <w:pPr>
                            <w:pStyle w:val="8"/>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EGwwyAgAAZQ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zrGijQNPUyk1JUerdDu&#10;2p7nzhQn0HSmmxRv+aZGKVvmwz1zGA2Uj8cT7rCU0iCl6S1KKuO+/us8xqNj8FLSYNRyqvGyKJEf&#10;NDoJwDAYbjB2g6EP6tZgdtEc1JJMXHBBDmbpjPqCF7WKOeBimiNTTsNg3oZu3PEiuVitUhBmz7Kw&#10;1Q+WR+goj7erQ4CcSeUoSqcEuhM3mL7Up/6lxPH+c5+inv4O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8QbDDICAABlBAAADgAAAAAAAAABACAAAAAfAQAAZHJzL2Uyb0RvYy54bWxQSwUG&#10;AAAAAAYABgBZAQAAwwUAAAAA&#10;">
              <v:fill on="f" focussize="0,0"/>
              <v:stroke on="f" weight="0.5pt"/>
              <v:imagedata o:title=""/>
              <o:lock v:ext="edit" aspectratio="f"/>
              <v:textbox inset="0mm,0mm,0mm,0mm" style="mso-fit-shape-to-text:t;">
                <w:txbxContent>
                  <w:p w14:paraId="5BB0397C">
                    <w:pPr>
                      <w:pStyle w:val="8"/>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8947">
    <w:pPr>
      <w:pStyle w:val="8"/>
      <w:ind w:right="360"/>
      <w:jc w:val="center"/>
      <w:rPr>
        <w:rFonts w:hint="eastAsia" w:eastAsia="宋体"/>
        <w:lang w:val="en-US" w:eastAsia="zh-CN"/>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296BAF">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9296BAF">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9422714"/>
      <w:docPartObj>
        <w:docPartGallery w:val="autotext"/>
      </w:docPartObj>
    </w:sdtPr>
    <w:sdtContent>
      <w:p w14:paraId="5459673D">
        <w:pPr>
          <w:pStyle w:val="8"/>
          <w:jc w:val="center"/>
        </w:pPr>
        <w:r>
          <w:fldChar w:fldCharType="begin"/>
        </w:r>
        <w:r>
          <w:instrText xml:space="preserve">PAGE   \* MERGEFORMAT</w:instrText>
        </w:r>
        <w:r>
          <w:fldChar w:fldCharType="separate"/>
        </w:r>
        <w:r>
          <w:rPr>
            <w:lang w:val="zh-CN"/>
          </w:rPr>
          <w:t>2</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BB582">
    <w:pPr>
      <w:pStyle w:val="8"/>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E7C8E0">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5E7C8E0">
                    <w:pPr>
                      <w:pStyle w:val="8"/>
                    </w:pPr>
                    <w:r>
                      <w:fldChar w:fldCharType="begin"/>
                    </w:r>
                    <w:r>
                      <w:instrText xml:space="preserve"> PAGE  \* MERGEFORMAT </w:instrText>
                    </w:r>
                    <w:r>
                      <w:fldChar w:fldCharType="separate"/>
                    </w:r>
                    <w:r>
                      <w:t>1</w:t>
                    </w:r>
                    <w:r>
                      <w:fldChar w:fldCharType="end"/>
                    </w:r>
                  </w:p>
                </w:txbxContent>
              </v:textbox>
            </v:shape>
          </w:pict>
        </mc:Fallback>
      </mc:AlternateContent>
    </w:r>
  </w:p>
  <w:p w14:paraId="23A17EE4">
    <w:pPr>
      <w:pStyle w:val="8"/>
      <w:ind w:right="2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42F8D">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6518A">
    <w:pPr>
      <w:pStyle w:val="9"/>
      <w:pBdr>
        <w:bottom w:val="none" w:color="auto" w:sz="0" w:space="1"/>
      </w:pBdr>
      <w:jc w:val="left"/>
      <w:rPr>
        <w:rFonts w:ascii="Times New Roman" w:hAnsi="Times New Roman"/>
      </w:rPr>
    </w:pPr>
    <w:r>
      <w:rPr>
        <w:rFonts w:ascii="Times New Roman" w:hAnsi="Times New Roman"/>
      </w:rPr>
      <w:t>XB/T XXXX-202X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91D8D">
    <w:pPr>
      <w:pStyle w:val="4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ED606">
    <w:pPr>
      <w:pStyle w:val="43"/>
      <w:wordWrap w:val="0"/>
      <w:rPr>
        <w:sz w:val="18"/>
        <w:szCs w:val="18"/>
      </w:rPr>
    </w:pPr>
    <w:r>
      <w:rPr>
        <w:sz w:val="18"/>
        <w:szCs w:val="18"/>
      </w:rPr>
      <w:t>XB/T XXXX-202X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24E71">
    <w:pPr>
      <w:pStyle w:val="9"/>
      <w:pBdr>
        <w:bottom w:val="none" w:color="auto" w:sz="0" w:space="1"/>
      </w:pBdr>
      <w:jc w:val="left"/>
      <w:rPr>
        <w:rFonts w:ascii="Times New Roman" w:hAnsi="Times New Roman"/>
      </w:rPr>
    </w:pPr>
    <w:r>
      <w:rPr>
        <w:rFonts w:ascii="Times New Roman" w:hAnsi="Times New Roman"/>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14935" cy="244475"/>
              <wp:effectExtent l="0" t="0" r="12065" b="0"/>
              <wp:wrapNone/>
              <wp:docPr id="9" name="文本框 9"/>
              <wp:cNvGraphicFramePr/>
              <a:graphic xmlns:a="http://schemas.openxmlformats.org/drawingml/2006/main">
                <a:graphicData uri="http://schemas.microsoft.com/office/word/2010/wordprocessingShape">
                  <wps:wsp>
                    <wps:cNvSpPr txBox="1"/>
                    <wps:spPr>
                      <a:xfrm>
                        <a:off x="0" y="0"/>
                        <a:ext cx="114935" cy="244475"/>
                      </a:xfrm>
                      <a:prstGeom prst="rect">
                        <a:avLst/>
                      </a:prstGeom>
                      <a:noFill/>
                      <a:ln w="6350">
                        <a:noFill/>
                      </a:ln>
                      <a:effectLst/>
                    </wps:spPr>
                    <wps:txbx>
                      <w:txbxContent>
                        <w:p w14:paraId="708CCFE5">
                          <w:pPr>
                            <w:pStyle w:val="9"/>
                            <w:jc w:val="both"/>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9.25pt;width:9.05pt;mso-position-horizontal:outside;mso-position-horizontal-relative:margin;mso-wrap-style:none;z-index:251660288;mso-width-relative:page;mso-height-relative:page;" filled="f" stroked="f" coordsize="21600,21600" o:gfxdata="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4j9QD0QAAAAMBAAAPAAAAAAAAAAEAIAAAACIAAABkcnMvZG93bnJldi54bWxQ&#10;SwECFAAUAAAACACHTuJAWaeDVTcCAABhBAAADgAAAAAAAAABACAAAAAgAQAAZHJzL2Uyb0RvYy54&#10;bWxQSwUGAAAAAAYABgBZAQAAyQUAAAAA&#10;">
              <v:fill on="f" focussize="0,0"/>
              <v:stroke on="f" weight="0.5pt"/>
              <v:imagedata o:title=""/>
              <o:lock v:ext="edit" aspectratio="f"/>
              <v:textbox inset="0mm,0mm,0mm,0mm" style="mso-fit-shape-to-text:t;">
                <w:txbxContent>
                  <w:p w14:paraId="708CCFE5">
                    <w:pPr>
                      <w:pStyle w:val="9"/>
                      <w:jc w:val="both"/>
                    </w:pPr>
                  </w:p>
                </w:txbxContent>
              </v:textbox>
            </v:shape>
          </w:pict>
        </mc:Fallback>
      </mc:AlternateContent>
    </w:r>
    <w:r>
      <w:rPr>
        <w:rFonts w:ascii="Times New Roman" w:hAnsi="Times New Roma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14935" cy="244475"/>
              <wp:effectExtent l="0" t="0" r="12065" b="0"/>
              <wp:wrapNone/>
              <wp:docPr id="10" name="文本框 10"/>
              <wp:cNvGraphicFramePr/>
              <a:graphic xmlns:a="http://schemas.openxmlformats.org/drawingml/2006/main">
                <a:graphicData uri="http://schemas.microsoft.com/office/word/2010/wordprocessingShape">
                  <wps:wsp>
                    <wps:cNvSpPr txBox="1"/>
                    <wps:spPr>
                      <a:xfrm>
                        <a:off x="0" y="0"/>
                        <a:ext cx="114935" cy="244475"/>
                      </a:xfrm>
                      <a:prstGeom prst="rect">
                        <a:avLst/>
                      </a:prstGeom>
                      <a:noFill/>
                      <a:ln w="6350">
                        <a:noFill/>
                      </a:ln>
                      <a:effectLst/>
                    </wps:spPr>
                    <wps:txbx>
                      <w:txbxContent>
                        <w:p w14:paraId="34D0CBC2">
                          <w:pPr>
                            <w:pStyle w:val="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9.25pt;width:9.05pt;mso-position-horizontal:outside;mso-position-horizontal-relative:margin;mso-wrap-style:none;z-index:251659264;mso-width-relative:page;mso-height-relative:page;" filled="f" stroked="f" coordsize="21600,21600" o:gfxdata="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4j9QD0QAAAAMBAAAPAAAAAAAAAAEAIAAAACIAAABkcnMvZG93bnJldi54bWxQ&#10;SwECFAAUAAAACACHTuJA8poMNDcCAABjBAAADgAAAAAAAAABACAAAAAgAQAAZHJzL2Uyb0RvYy54&#10;bWxQSwUGAAAAAAYABgBZAQAAyQUAAAAA&#10;">
              <v:fill on="f" focussize="0,0"/>
              <v:stroke on="f" weight="0.5pt"/>
              <v:imagedata o:title=""/>
              <o:lock v:ext="edit" aspectratio="f"/>
              <v:textbox inset="0mm,0mm,0mm,0mm" style="mso-fit-shape-to-text:t;">
                <w:txbxContent>
                  <w:p w14:paraId="34D0CBC2">
                    <w:pPr>
                      <w:pStyle w:val="9"/>
                    </w:pPr>
                  </w:p>
                </w:txbxContent>
              </v:textbox>
            </v:shape>
          </w:pict>
        </mc:Fallback>
      </mc:AlternateContent>
    </w:r>
    <w:r>
      <w:rPr>
        <w:rFonts w:ascii="Times New Roman" w:hAnsi="Times New Roman" w:eastAsia="黑体"/>
      </w:rPr>
      <w:t>XB/T XXXX-202X</w:t>
    </w:r>
  </w:p>
  <w:p w14:paraId="2C22C7A5">
    <w:pPr>
      <w:pStyle w:val="4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BBA13">
    <w:pPr>
      <w:pStyle w:val="9"/>
      <w:pBdr>
        <w:bottom w:val="none" w:color="auto" w:sz="0" w:space="1"/>
      </w:pBdr>
      <w:jc w:val="left"/>
      <w:rPr>
        <w:rFonts w:ascii="Times New Roman" w:hAnsi="Times New Roman"/>
      </w:rPr>
    </w:pPr>
    <w:r>
      <w:rPr>
        <w:rFonts w:ascii="Times New Roman" w:hAnsi="Times New Roman"/>
      </w:rPr>
      <w:t>XB/T XXXX-202X</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2EF8F">
    <w:pPr>
      <w:pStyle w:val="9"/>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773F3A"/>
    <w:multiLevelType w:val="multilevel"/>
    <w:tmpl w:val="4A773F3A"/>
    <w:lvl w:ilvl="0" w:tentative="0">
      <w:start w:val="7"/>
      <w:numFmt w:val="decimal"/>
      <w:lvlText w:val="%1"/>
      <w:lvlJc w:val="left"/>
      <w:pPr>
        <w:tabs>
          <w:tab w:val="left" w:pos="420"/>
        </w:tabs>
        <w:ind w:left="420" w:hanging="420"/>
      </w:pPr>
      <w:rPr>
        <w:rFonts w:hint="default" w:hAnsi="Times New Roman"/>
      </w:rPr>
    </w:lvl>
    <w:lvl w:ilvl="1" w:tentative="0">
      <w:start w:val="1"/>
      <w:numFmt w:val="lowerLetter"/>
      <w:pStyle w:val="3"/>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0"/>
  <w:bordersDoNotSurroundFooter w:val="0"/>
  <w:attachedTemplate r:id="rId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A6748E"/>
    <w:rsid w:val="00000231"/>
    <w:rsid w:val="00001382"/>
    <w:rsid w:val="000017D7"/>
    <w:rsid w:val="00004751"/>
    <w:rsid w:val="000149A9"/>
    <w:rsid w:val="00015BDA"/>
    <w:rsid w:val="00026130"/>
    <w:rsid w:val="00027502"/>
    <w:rsid w:val="00031F1F"/>
    <w:rsid w:val="0003447C"/>
    <w:rsid w:val="0003663F"/>
    <w:rsid w:val="0003741E"/>
    <w:rsid w:val="00040192"/>
    <w:rsid w:val="000407E2"/>
    <w:rsid w:val="00045C82"/>
    <w:rsid w:val="00047DD0"/>
    <w:rsid w:val="00056CFC"/>
    <w:rsid w:val="00061358"/>
    <w:rsid w:val="000628C2"/>
    <w:rsid w:val="00067D5E"/>
    <w:rsid w:val="00070C36"/>
    <w:rsid w:val="000718A7"/>
    <w:rsid w:val="00074A45"/>
    <w:rsid w:val="0007774E"/>
    <w:rsid w:val="0008276C"/>
    <w:rsid w:val="000855AE"/>
    <w:rsid w:val="00085C72"/>
    <w:rsid w:val="0008749A"/>
    <w:rsid w:val="0009003C"/>
    <w:rsid w:val="00090F99"/>
    <w:rsid w:val="00093529"/>
    <w:rsid w:val="0009466B"/>
    <w:rsid w:val="00094F66"/>
    <w:rsid w:val="0009517E"/>
    <w:rsid w:val="00095EB4"/>
    <w:rsid w:val="000A1F95"/>
    <w:rsid w:val="000A389D"/>
    <w:rsid w:val="000B09F7"/>
    <w:rsid w:val="000B625A"/>
    <w:rsid w:val="000C0906"/>
    <w:rsid w:val="000C0F42"/>
    <w:rsid w:val="000C1064"/>
    <w:rsid w:val="000C17B6"/>
    <w:rsid w:val="000C3662"/>
    <w:rsid w:val="000C3AB9"/>
    <w:rsid w:val="000C404A"/>
    <w:rsid w:val="000C6F89"/>
    <w:rsid w:val="000C77FB"/>
    <w:rsid w:val="000D0079"/>
    <w:rsid w:val="000D0C17"/>
    <w:rsid w:val="000D1B16"/>
    <w:rsid w:val="000E45CA"/>
    <w:rsid w:val="000F0F79"/>
    <w:rsid w:val="000F21E4"/>
    <w:rsid w:val="000F26A9"/>
    <w:rsid w:val="000F6E43"/>
    <w:rsid w:val="00105429"/>
    <w:rsid w:val="00106461"/>
    <w:rsid w:val="00110910"/>
    <w:rsid w:val="00110E82"/>
    <w:rsid w:val="001113D9"/>
    <w:rsid w:val="00112AD0"/>
    <w:rsid w:val="00113C36"/>
    <w:rsid w:val="001170AE"/>
    <w:rsid w:val="0012151A"/>
    <w:rsid w:val="0012369F"/>
    <w:rsid w:val="0012559D"/>
    <w:rsid w:val="001302A5"/>
    <w:rsid w:val="00136ABC"/>
    <w:rsid w:val="00147113"/>
    <w:rsid w:val="00150E0E"/>
    <w:rsid w:val="00157EDD"/>
    <w:rsid w:val="001601DA"/>
    <w:rsid w:val="001666E6"/>
    <w:rsid w:val="00171015"/>
    <w:rsid w:val="0017503B"/>
    <w:rsid w:val="00177A4A"/>
    <w:rsid w:val="00177AFB"/>
    <w:rsid w:val="00183E7F"/>
    <w:rsid w:val="0018777A"/>
    <w:rsid w:val="00190CCB"/>
    <w:rsid w:val="00193248"/>
    <w:rsid w:val="001940B1"/>
    <w:rsid w:val="001A2041"/>
    <w:rsid w:val="001A2210"/>
    <w:rsid w:val="001A37F0"/>
    <w:rsid w:val="001A6B40"/>
    <w:rsid w:val="001A7590"/>
    <w:rsid w:val="001B141D"/>
    <w:rsid w:val="001B3AB3"/>
    <w:rsid w:val="001C0894"/>
    <w:rsid w:val="001C1005"/>
    <w:rsid w:val="001C19B3"/>
    <w:rsid w:val="001C2ED5"/>
    <w:rsid w:val="001C35FF"/>
    <w:rsid w:val="001C50B2"/>
    <w:rsid w:val="001C6588"/>
    <w:rsid w:val="001C7823"/>
    <w:rsid w:val="001E11AA"/>
    <w:rsid w:val="001E1E12"/>
    <w:rsid w:val="001E20A7"/>
    <w:rsid w:val="001E24D7"/>
    <w:rsid w:val="001E290D"/>
    <w:rsid w:val="001E5C89"/>
    <w:rsid w:val="001E5F5C"/>
    <w:rsid w:val="001F09DE"/>
    <w:rsid w:val="001F2F5E"/>
    <w:rsid w:val="001F6FFE"/>
    <w:rsid w:val="00200145"/>
    <w:rsid w:val="00212BCB"/>
    <w:rsid w:val="00214ADA"/>
    <w:rsid w:val="00217E25"/>
    <w:rsid w:val="00223758"/>
    <w:rsid w:val="00224731"/>
    <w:rsid w:val="0022686B"/>
    <w:rsid w:val="002326AF"/>
    <w:rsid w:val="00232A6B"/>
    <w:rsid w:val="00236056"/>
    <w:rsid w:val="00245D58"/>
    <w:rsid w:val="00246049"/>
    <w:rsid w:val="00251E0A"/>
    <w:rsid w:val="00253041"/>
    <w:rsid w:val="002550A2"/>
    <w:rsid w:val="00256014"/>
    <w:rsid w:val="00266357"/>
    <w:rsid w:val="0027220C"/>
    <w:rsid w:val="00273779"/>
    <w:rsid w:val="00273A9E"/>
    <w:rsid w:val="00273B38"/>
    <w:rsid w:val="00273E67"/>
    <w:rsid w:val="0028045D"/>
    <w:rsid w:val="00280938"/>
    <w:rsid w:val="00283631"/>
    <w:rsid w:val="00283E82"/>
    <w:rsid w:val="00285351"/>
    <w:rsid w:val="00292DB8"/>
    <w:rsid w:val="002A0679"/>
    <w:rsid w:val="002A3717"/>
    <w:rsid w:val="002A37C8"/>
    <w:rsid w:val="002A5048"/>
    <w:rsid w:val="002A576C"/>
    <w:rsid w:val="002A6C75"/>
    <w:rsid w:val="002A7C0B"/>
    <w:rsid w:val="002B15A7"/>
    <w:rsid w:val="002B4A8D"/>
    <w:rsid w:val="002C0B5F"/>
    <w:rsid w:val="002C2130"/>
    <w:rsid w:val="002C77E6"/>
    <w:rsid w:val="002D04BD"/>
    <w:rsid w:val="002D47E5"/>
    <w:rsid w:val="002D49A9"/>
    <w:rsid w:val="002E0E66"/>
    <w:rsid w:val="002E1EF9"/>
    <w:rsid w:val="002E5127"/>
    <w:rsid w:val="002E7E85"/>
    <w:rsid w:val="002F1B42"/>
    <w:rsid w:val="002F2184"/>
    <w:rsid w:val="002F40E6"/>
    <w:rsid w:val="002F5BA6"/>
    <w:rsid w:val="002F5CD3"/>
    <w:rsid w:val="0030115A"/>
    <w:rsid w:val="0030387B"/>
    <w:rsid w:val="003074A7"/>
    <w:rsid w:val="00307A02"/>
    <w:rsid w:val="00321666"/>
    <w:rsid w:val="0032427D"/>
    <w:rsid w:val="0033017D"/>
    <w:rsid w:val="00331C81"/>
    <w:rsid w:val="003325D2"/>
    <w:rsid w:val="003376B0"/>
    <w:rsid w:val="00340504"/>
    <w:rsid w:val="003443E2"/>
    <w:rsid w:val="00350C94"/>
    <w:rsid w:val="00353738"/>
    <w:rsid w:val="00353879"/>
    <w:rsid w:val="003564BD"/>
    <w:rsid w:val="00365A0E"/>
    <w:rsid w:val="00374897"/>
    <w:rsid w:val="00375C99"/>
    <w:rsid w:val="00383493"/>
    <w:rsid w:val="003845B2"/>
    <w:rsid w:val="00386EB5"/>
    <w:rsid w:val="0039042A"/>
    <w:rsid w:val="00392C32"/>
    <w:rsid w:val="00397011"/>
    <w:rsid w:val="003A0BEA"/>
    <w:rsid w:val="003A3B12"/>
    <w:rsid w:val="003A3C0D"/>
    <w:rsid w:val="003A64A9"/>
    <w:rsid w:val="003A6F35"/>
    <w:rsid w:val="003B0364"/>
    <w:rsid w:val="003B07F6"/>
    <w:rsid w:val="003B34C4"/>
    <w:rsid w:val="003B4AE6"/>
    <w:rsid w:val="003B5F28"/>
    <w:rsid w:val="003B7068"/>
    <w:rsid w:val="003C2079"/>
    <w:rsid w:val="003C2F60"/>
    <w:rsid w:val="003C5B14"/>
    <w:rsid w:val="003D2E14"/>
    <w:rsid w:val="003D5BA3"/>
    <w:rsid w:val="003E3BC1"/>
    <w:rsid w:val="003F008C"/>
    <w:rsid w:val="003F0170"/>
    <w:rsid w:val="003F1159"/>
    <w:rsid w:val="003F57E0"/>
    <w:rsid w:val="003F79A9"/>
    <w:rsid w:val="004049CE"/>
    <w:rsid w:val="004053E8"/>
    <w:rsid w:val="00405810"/>
    <w:rsid w:val="00406A0A"/>
    <w:rsid w:val="004075AC"/>
    <w:rsid w:val="00416C94"/>
    <w:rsid w:val="004218EA"/>
    <w:rsid w:val="00426E71"/>
    <w:rsid w:val="00427464"/>
    <w:rsid w:val="0043040F"/>
    <w:rsid w:val="0043130F"/>
    <w:rsid w:val="0043586A"/>
    <w:rsid w:val="00435B45"/>
    <w:rsid w:val="0043659E"/>
    <w:rsid w:val="00445A7C"/>
    <w:rsid w:val="00446BD0"/>
    <w:rsid w:val="00450B80"/>
    <w:rsid w:val="004543E0"/>
    <w:rsid w:val="00457DEF"/>
    <w:rsid w:val="0046060F"/>
    <w:rsid w:val="00461BA1"/>
    <w:rsid w:val="00461CD1"/>
    <w:rsid w:val="00462E81"/>
    <w:rsid w:val="00482B75"/>
    <w:rsid w:val="00483B2C"/>
    <w:rsid w:val="004853B8"/>
    <w:rsid w:val="004A14BB"/>
    <w:rsid w:val="004A4D54"/>
    <w:rsid w:val="004A6237"/>
    <w:rsid w:val="004C087A"/>
    <w:rsid w:val="004C18F0"/>
    <w:rsid w:val="004C332E"/>
    <w:rsid w:val="004C356F"/>
    <w:rsid w:val="004C4298"/>
    <w:rsid w:val="004C454C"/>
    <w:rsid w:val="004D05DF"/>
    <w:rsid w:val="004D3F16"/>
    <w:rsid w:val="004E1C0B"/>
    <w:rsid w:val="004E5BA2"/>
    <w:rsid w:val="004F1C0F"/>
    <w:rsid w:val="004F5BAE"/>
    <w:rsid w:val="005009EF"/>
    <w:rsid w:val="00504BBB"/>
    <w:rsid w:val="00504BCC"/>
    <w:rsid w:val="00520A10"/>
    <w:rsid w:val="005234CF"/>
    <w:rsid w:val="00533124"/>
    <w:rsid w:val="0053349C"/>
    <w:rsid w:val="005341DC"/>
    <w:rsid w:val="00534AAB"/>
    <w:rsid w:val="00534DEE"/>
    <w:rsid w:val="00541BBB"/>
    <w:rsid w:val="00543788"/>
    <w:rsid w:val="00546E67"/>
    <w:rsid w:val="00554A5B"/>
    <w:rsid w:val="005616E3"/>
    <w:rsid w:val="005679FA"/>
    <w:rsid w:val="00581BB5"/>
    <w:rsid w:val="00591B65"/>
    <w:rsid w:val="00594AAE"/>
    <w:rsid w:val="00595ABB"/>
    <w:rsid w:val="00596126"/>
    <w:rsid w:val="005A0870"/>
    <w:rsid w:val="005A2428"/>
    <w:rsid w:val="005A268B"/>
    <w:rsid w:val="005A39D9"/>
    <w:rsid w:val="005A3A5A"/>
    <w:rsid w:val="005A6378"/>
    <w:rsid w:val="005A648B"/>
    <w:rsid w:val="005A7D97"/>
    <w:rsid w:val="005B2079"/>
    <w:rsid w:val="005B213E"/>
    <w:rsid w:val="005B21EC"/>
    <w:rsid w:val="005B35BC"/>
    <w:rsid w:val="005B3A7E"/>
    <w:rsid w:val="005B5C8C"/>
    <w:rsid w:val="005B6CBD"/>
    <w:rsid w:val="005D1B34"/>
    <w:rsid w:val="005D3A6C"/>
    <w:rsid w:val="005D3C27"/>
    <w:rsid w:val="005D42AB"/>
    <w:rsid w:val="005D46A9"/>
    <w:rsid w:val="005D6940"/>
    <w:rsid w:val="005E21C4"/>
    <w:rsid w:val="005E445B"/>
    <w:rsid w:val="005E4D05"/>
    <w:rsid w:val="005F037B"/>
    <w:rsid w:val="005F1881"/>
    <w:rsid w:val="005F315A"/>
    <w:rsid w:val="005F3C49"/>
    <w:rsid w:val="005F62FA"/>
    <w:rsid w:val="005F670F"/>
    <w:rsid w:val="00601F5A"/>
    <w:rsid w:val="00603D96"/>
    <w:rsid w:val="00606B44"/>
    <w:rsid w:val="00606E05"/>
    <w:rsid w:val="0061198B"/>
    <w:rsid w:val="00617B9C"/>
    <w:rsid w:val="00626BF8"/>
    <w:rsid w:val="00627C89"/>
    <w:rsid w:val="006305AF"/>
    <w:rsid w:val="00632CB0"/>
    <w:rsid w:val="00633C07"/>
    <w:rsid w:val="00640C1E"/>
    <w:rsid w:val="0064507E"/>
    <w:rsid w:val="0064542A"/>
    <w:rsid w:val="0065648A"/>
    <w:rsid w:val="00656509"/>
    <w:rsid w:val="006623C6"/>
    <w:rsid w:val="00664343"/>
    <w:rsid w:val="0066554E"/>
    <w:rsid w:val="00665870"/>
    <w:rsid w:val="00666F2D"/>
    <w:rsid w:val="00670D48"/>
    <w:rsid w:val="00672179"/>
    <w:rsid w:val="00675838"/>
    <w:rsid w:val="006770B8"/>
    <w:rsid w:val="006836D2"/>
    <w:rsid w:val="00685DDA"/>
    <w:rsid w:val="006906B4"/>
    <w:rsid w:val="0069096C"/>
    <w:rsid w:val="00692B4B"/>
    <w:rsid w:val="0069479F"/>
    <w:rsid w:val="00694C43"/>
    <w:rsid w:val="006A0884"/>
    <w:rsid w:val="006A0E21"/>
    <w:rsid w:val="006A29CF"/>
    <w:rsid w:val="006A2B1C"/>
    <w:rsid w:val="006A5AAA"/>
    <w:rsid w:val="006A6232"/>
    <w:rsid w:val="006A6CF1"/>
    <w:rsid w:val="006C3AA3"/>
    <w:rsid w:val="006C5BEA"/>
    <w:rsid w:val="006C6941"/>
    <w:rsid w:val="006D4760"/>
    <w:rsid w:val="006D51EF"/>
    <w:rsid w:val="006D586F"/>
    <w:rsid w:val="006D58C4"/>
    <w:rsid w:val="006E7087"/>
    <w:rsid w:val="006F1208"/>
    <w:rsid w:val="006F46B6"/>
    <w:rsid w:val="006F54B3"/>
    <w:rsid w:val="006F5529"/>
    <w:rsid w:val="00702A9C"/>
    <w:rsid w:val="00724343"/>
    <w:rsid w:val="00726B34"/>
    <w:rsid w:val="0074141A"/>
    <w:rsid w:val="007437B8"/>
    <w:rsid w:val="007448AA"/>
    <w:rsid w:val="0075090D"/>
    <w:rsid w:val="007616FA"/>
    <w:rsid w:val="00762ABC"/>
    <w:rsid w:val="00764A72"/>
    <w:rsid w:val="007663CF"/>
    <w:rsid w:val="00770408"/>
    <w:rsid w:val="007704D5"/>
    <w:rsid w:val="00771A12"/>
    <w:rsid w:val="0077230E"/>
    <w:rsid w:val="00773916"/>
    <w:rsid w:val="00775A1F"/>
    <w:rsid w:val="007821D0"/>
    <w:rsid w:val="0078363C"/>
    <w:rsid w:val="007933B8"/>
    <w:rsid w:val="007A5872"/>
    <w:rsid w:val="007A7D9D"/>
    <w:rsid w:val="007B1A73"/>
    <w:rsid w:val="007B1D58"/>
    <w:rsid w:val="007B565C"/>
    <w:rsid w:val="007B7AEA"/>
    <w:rsid w:val="007C1F76"/>
    <w:rsid w:val="007D0D98"/>
    <w:rsid w:val="007D678B"/>
    <w:rsid w:val="007F02CD"/>
    <w:rsid w:val="007F0AF6"/>
    <w:rsid w:val="007F1259"/>
    <w:rsid w:val="007F313D"/>
    <w:rsid w:val="007F4A52"/>
    <w:rsid w:val="007F5FD7"/>
    <w:rsid w:val="007F7F7F"/>
    <w:rsid w:val="00801128"/>
    <w:rsid w:val="00803CF6"/>
    <w:rsid w:val="00805CC6"/>
    <w:rsid w:val="008100C7"/>
    <w:rsid w:val="00815840"/>
    <w:rsid w:val="0082221D"/>
    <w:rsid w:val="00822B46"/>
    <w:rsid w:val="00823521"/>
    <w:rsid w:val="008259BC"/>
    <w:rsid w:val="00830C6A"/>
    <w:rsid w:val="008325F1"/>
    <w:rsid w:val="00832A2F"/>
    <w:rsid w:val="008351C6"/>
    <w:rsid w:val="008411B6"/>
    <w:rsid w:val="008447A5"/>
    <w:rsid w:val="00846B82"/>
    <w:rsid w:val="00851E65"/>
    <w:rsid w:val="00853B3E"/>
    <w:rsid w:val="008610CB"/>
    <w:rsid w:val="00872C33"/>
    <w:rsid w:val="00873682"/>
    <w:rsid w:val="008744AF"/>
    <w:rsid w:val="00881564"/>
    <w:rsid w:val="00881C9B"/>
    <w:rsid w:val="00885298"/>
    <w:rsid w:val="00890AC0"/>
    <w:rsid w:val="008950AF"/>
    <w:rsid w:val="00895179"/>
    <w:rsid w:val="008959FC"/>
    <w:rsid w:val="008A2675"/>
    <w:rsid w:val="008A6695"/>
    <w:rsid w:val="008A7296"/>
    <w:rsid w:val="008B256D"/>
    <w:rsid w:val="008B410D"/>
    <w:rsid w:val="008E3776"/>
    <w:rsid w:val="008E5BC9"/>
    <w:rsid w:val="008E6913"/>
    <w:rsid w:val="008F0844"/>
    <w:rsid w:val="008F0B7A"/>
    <w:rsid w:val="008F5012"/>
    <w:rsid w:val="00901D13"/>
    <w:rsid w:val="00901FCD"/>
    <w:rsid w:val="00905F79"/>
    <w:rsid w:val="00910255"/>
    <w:rsid w:val="009106DE"/>
    <w:rsid w:val="009161FD"/>
    <w:rsid w:val="00916B42"/>
    <w:rsid w:val="0092134E"/>
    <w:rsid w:val="00922DD3"/>
    <w:rsid w:val="00924554"/>
    <w:rsid w:val="00924C5D"/>
    <w:rsid w:val="009250C4"/>
    <w:rsid w:val="00933E0F"/>
    <w:rsid w:val="00943634"/>
    <w:rsid w:val="00944BC4"/>
    <w:rsid w:val="00945711"/>
    <w:rsid w:val="00947033"/>
    <w:rsid w:val="0095084F"/>
    <w:rsid w:val="009515B0"/>
    <w:rsid w:val="00953A36"/>
    <w:rsid w:val="00953A43"/>
    <w:rsid w:val="009540E2"/>
    <w:rsid w:val="0095593A"/>
    <w:rsid w:val="00963914"/>
    <w:rsid w:val="00972AC1"/>
    <w:rsid w:val="0097693F"/>
    <w:rsid w:val="00984073"/>
    <w:rsid w:val="00984886"/>
    <w:rsid w:val="00986122"/>
    <w:rsid w:val="0098748E"/>
    <w:rsid w:val="00991ECA"/>
    <w:rsid w:val="0099558A"/>
    <w:rsid w:val="00995F3E"/>
    <w:rsid w:val="00997605"/>
    <w:rsid w:val="009A13BE"/>
    <w:rsid w:val="009B7A06"/>
    <w:rsid w:val="009C6871"/>
    <w:rsid w:val="009C6E28"/>
    <w:rsid w:val="009C6F09"/>
    <w:rsid w:val="009C71E0"/>
    <w:rsid w:val="009D19D1"/>
    <w:rsid w:val="009D31AF"/>
    <w:rsid w:val="009D4E99"/>
    <w:rsid w:val="009D744B"/>
    <w:rsid w:val="009D783A"/>
    <w:rsid w:val="009E7A57"/>
    <w:rsid w:val="009F1115"/>
    <w:rsid w:val="009F4E3D"/>
    <w:rsid w:val="00A042C6"/>
    <w:rsid w:val="00A06272"/>
    <w:rsid w:val="00A10993"/>
    <w:rsid w:val="00A11EE6"/>
    <w:rsid w:val="00A12DD6"/>
    <w:rsid w:val="00A22370"/>
    <w:rsid w:val="00A22474"/>
    <w:rsid w:val="00A26C67"/>
    <w:rsid w:val="00A34DF5"/>
    <w:rsid w:val="00A375B1"/>
    <w:rsid w:val="00A44DFB"/>
    <w:rsid w:val="00A465C8"/>
    <w:rsid w:val="00A478D9"/>
    <w:rsid w:val="00A5098E"/>
    <w:rsid w:val="00A523ED"/>
    <w:rsid w:val="00A569B1"/>
    <w:rsid w:val="00A63AB4"/>
    <w:rsid w:val="00A64A50"/>
    <w:rsid w:val="00A65258"/>
    <w:rsid w:val="00A6793E"/>
    <w:rsid w:val="00A71525"/>
    <w:rsid w:val="00A742EA"/>
    <w:rsid w:val="00A77003"/>
    <w:rsid w:val="00A81807"/>
    <w:rsid w:val="00A81AA2"/>
    <w:rsid w:val="00A83BBA"/>
    <w:rsid w:val="00A87091"/>
    <w:rsid w:val="00A953E6"/>
    <w:rsid w:val="00A97390"/>
    <w:rsid w:val="00AA3DBF"/>
    <w:rsid w:val="00AB0E30"/>
    <w:rsid w:val="00AB637B"/>
    <w:rsid w:val="00AC01D1"/>
    <w:rsid w:val="00AC2BC3"/>
    <w:rsid w:val="00AC589B"/>
    <w:rsid w:val="00AC5924"/>
    <w:rsid w:val="00AC6B88"/>
    <w:rsid w:val="00AD542A"/>
    <w:rsid w:val="00AD558A"/>
    <w:rsid w:val="00AD5D6C"/>
    <w:rsid w:val="00AE4756"/>
    <w:rsid w:val="00AE5BFF"/>
    <w:rsid w:val="00AF01A6"/>
    <w:rsid w:val="00AF0E9F"/>
    <w:rsid w:val="00AF438F"/>
    <w:rsid w:val="00AF487C"/>
    <w:rsid w:val="00AF7301"/>
    <w:rsid w:val="00B0106E"/>
    <w:rsid w:val="00B02008"/>
    <w:rsid w:val="00B0624C"/>
    <w:rsid w:val="00B14F36"/>
    <w:rsid w:val="00B1788B"/>
    <w:rsid w:val="00B1795A"/>
    <w:rsid w:val="00B24BCD"/>
    <w:rsid w:val="00B24F83"/>
    <w:rsid w:val="00B34972"/>
    <w:rsid w:val="00B34E02"/>
    <w:rsid w:val="00B42271"/>
    <w:rsid w:val="00B43C70"/>
    <w:rsid w:val="00B468CC"/>
    <w:rsid w:val="00B47A40"/>
    <w:rsid w:val="00B505E0"/>
    <w:rsid w:val="00B5251A"/>
    <w:rsid w:val="00B55DE1"/>
    <w:rsid w:val="00B55F89"/>
    <w:rsid w:val="00B55FE0"/>
    <w:rsid w:val="00B57C74"/>
    <w:rsid w:val="00B627D0"/>
    <w:rsid w:val="00B638E3"/>
    <w:rsid w:val="00B63D3E"/>
    <w:rsid w:val="00B6574D"/>
    <w:rsid w:val="00B66347"/>
    <w:rsid w:val="00B66EE4"/>
    <w:rsid w:val="00B6775B"/>
    <w:rsid w:val="00B73B72"/>
    <w:rsid w:val="00B82E05"/>
    <w:rsid w:val="00B83083"/>
    <w:rsid w:val="00B83F68"/>
    <w:rsid w:val="00B873B3"/>
    <w:rsid w:val="00BB02F5"/>
    <w:rsid w:val="00BB1B82"/>
    <w:rsid w:val="00BB2346"/>
    <w:rsid w:val="00BB50D5"/>
    <w:rsid w:val="00BB6894"/>
    <w:rsid w:val="00BC3DF4"/>
    <w:rsid w:val="00BC4C88"/>
    <w:rsid w:val="00BD28F1"/>
    <w:rsid w:val="00BD5C59"/>
    <w:rsid w:val="00BE1125"/>
    <w:rsid w:val="00BE1545"/>
    <w:rsid w:val="00BE4253"/>
    <w:rsid w:val="00BE61AA"/>
    <w:rsid w:val="00BE64AB"/>
    <w:rsid w:val="00C02F33"/>
    <w:rsid w:val="00C04A17"/>
    <w:rsid w:val="00C11C1B"/>
    <w:rsid w:val="00C12B65"/>
    <w:rsid w:val="00C1758C"/>
    <w:rsid w:val="00C17FEA"/>
    <w:rsid w:val="00C25A48"/>
    <w:rsid w:val="00C26641"/>
    <w:rsid w:val="00C3265D"/>
    <w:rsid w:val="00C414E5"/>
    <w:rsid w:val="00C44757"/>
    <w:rsid w:val="00C46DF0"/>
    <w:rsid w:val="00C5109D"/>
    <w:rsid w:val="00C52098"/>
    <w:rsid w:val="00C54CF2"/>
    <w:rsid w:val="00C57646"/>
    <w:rsid w:val="00C6047B"/>
    <w:rsid w:val="00C60AA3"/>
    <w:rsid w:val="00C61D3D"/>
    <w:rsid w:val="00C647DA"/>
    <w:rsid w:val="00C64831"/>
    <w:rsid w:val="00C65C94"/>
    <w:rsid w:val="00C71A7D"/>
    <w:rsid w:val="00C725C0"/>
    <w:rsid w:val="00C75036"/>
    <w:rsid w:val="00C75283"/>
    <w:rsid w:val="00C771E2"/>
    <w:rsid w:val="00C90D1B"/>
    <w:rsid w:val="00CA04E6"/>
    <w:rsid w:val="00CA6BC6"/>
    <w:rsid w:val="00CB6567"/>
    <w:rsid w:val="00CC149A"/>
    <w:rsid w:val="00CC1E7C"/>
    <w:rsid w:val="00CC301E"/>
    <w:rsid w:val="00CC3C2F"/>
    <w:rsid w:val="00CC44B1"/>
    <w:rsid w:val="00CC4F85"/>
    <w:rsid w:val="00CC7CB5"/>
    <w:rsid w:val="00CD48AC"/>
    <w:rsid w:val="00CD635D"/>
    <w:rsid w:val="00CE0257"/>
    <w:rsid w:val="00CE2CCA"/>
    <w:rsid w:val="00CE6A99"/>
    <w:rsid w:val="00CF0333"/>
    <w:rsid w:val="00CF20E2"/>
    <w:rsid w:val="00CF23C4"/>
    <w:rsid w:val="00D023EC"/>
    <w:rsid w:val="00D02D85"/>
    <w:rsid w:val="00D04B65"/>
    <w:rsid w:val="00D136DB"/>
    <w:rsid w:val="00D14AEB"/>
    <w:rsid w:val="00D15155"/>
    <w:rsid w:val="00D206B6"/>
    <w:rsid w:val="00D24901"/>
    <w:rsid w:val="00D26696"/>
    <w:rsid w:val="00D27B8C"/>
    <w:rsid w:val="00D307C0"/>
    <w:rsid w:val="00D30CD5"/>
    <w:rsid w:val="00D3223F"/>
    <w:rsid w:val="00D37118"/>
    <w:rsid w:val="00D50F34"/>
    <w:rsid w:val="00D51CD4"/>
    <w:rsid w:val="00D54FC6"/>
    <w:rsid w:val="00D55A54"/>
    <w:rsid w:val="00D623FA"/>
    <w:rsid w:val="00D66034"/>
    <w:rsid w:val="00D71139"/>
    <w:rsid w:val="00D770C3"/>
    <w:rsid w:val="00D850F7"/>
    <w:rsid w:val="00D90AAA"/>
    <w:rsid w:val="00D90E1F"/>
    <w:rsid w:val="00D924B4"/>
    <w:rsid w:val="00D96F69"/>
    <w:rsid w:val="00D97F95"/>
    <w:rsid w:val="00DA0CCB"/>
    <w:rsid w:val="00DA0CD1"/>
    <w:rsid w:val="00DA2E1B"/>
    <w:rsid w:val="00DA4C10"/>
    <w:rsid w:val="00DA77AE"/>
    <w:rsid w:val="00DB74C3"/>
    <w:rsid w:val="00DC0C1B"/>
    <w:rsid w:val="00DC2CDE"/>
    <w:rsid w:val="00DD33F7"/>
    <w:rsid w:val="00DD36FD"/>
    <w:rsid w:val="00DD5125"/>
    <w:rsid w:val="00DE597F"/>
    <w:rsid w:val="00E02D9A"/>
    <w:rsid w:val="00E105BA"/>
    <w:rsid w:val="00E143D7"/>
    <w:rsid w:val="00E14E2D"/>
    <w:rsid w:val="00E2350A"/>
    <w:rsid w:val="00E24AEA"/>
    <w:rsid w:val="00E255FE"/>
    <w:rsid w:val="00E25A36"/>
    <w:rsid w:val="00E30419"/>
    <w:rsid w:val="00E3318A"/>
    <w:rsid w:val="00E35E94"/>
    <w:rsid w:val="00E36299"/>
    <w:rsid w:val="00E36E84"/>
    <w:rsid w:val="00E42A68"/>
    <w:rsid w:val="00E4595B"/>
    <w:rsid w:val="00E5324A"/>
    <w:rsid w:val="00E56BCB"/>
    <w:rsid w:val="00E578A4"/>
    <w:rsid w:val="00E578C3"/>
    <w:rsid w:val="00E63811"/>
    <w:rsid w:val="00E67F3A"/>
    <w:rsid w:val="00E715E2"/>
    <w:rsid w:val="00E74616"/>
    <w:rsid w:val="00E76CDA"/>
    <w:rsid w:val="00E77975"/>
    <w:rsid w:val="00E8090F"/>
    <w:rsid w:val="00E928B5"/>
    <w:rsid w:val="00E92DCB"/>
    <w:rsid w:val="00E96014"/>
    <w:rsid w:val="00EB0AEB"/>
    <w:rsid w:val="00EB1BA0"/>
    <w:rsid w:val="00EB22BC"/>
    <w:rsid w:val="00EB2C3D"/>
    <w:rsid w:val="00EC0225"/>
    <w:rsid w:val="00EC7571"/>
    <w:rsid w:val="00EC7932"/>
    <w:rsid w:val="00ED2784"/>
    <w:rsid w:val="00EE05A5"/>
    <w:rsid w:val="00EE3B64"/>
    <w:rsid w:val="00EE43D9"/>
    <w:rsid w:val="00EE6BD2"/>
    <w:rsid w:val="00EF0D21"/>
    <w:rsid w:val="00EF4E18"/>
    <w:rsid w:val="00EF7C50"/>
    <w:rsid w:val="00EF7C9D"/>
    <w:rsid w:val="00F10E04"/>
    <w:rsid w:val="00F114B6"/>
    <w:rsid w:val="00F129B0"/>
    <w:rsid w:val="00F12F19"/>
    <w:rsid w:val="00F2092A"/>
    <w:rsid w:val="00F2110E"/>
    <w:rsid w:val="00F22312"/>
    <w:rsid w:val="00F240A5"/>
    <w:rsid w:val="00F33CCD"/>
    <w:rsid w:val="00F352AC"/>
    <w:rsid w:val="00F35A9D"/>
    <w:rsid w:val="00F3732A"/>
    <w:rsid w:val="00F3776D"/>
    <w:rsid w:val="00F40025"/>
    <w:rsid w:val="00F40E1D"/>
    <w:rsid w:val="00F53050"/>
    <w:rsid w:val="00F5566F"/>
    <w:rsid w:val="00F65030"/>
    <w:rsid w:val="00F66F31"/>
    <w:rsid w:val="00F703DC"/>
    <w:rsid w:val="00F706FB"/>
    <w:rsid w:val="00F72A69"/>
    <w:rsid w:val="00F72AA3"/>
    <w:rsid w:val="00F73F63"/>
    <w:rsid w:val="00F81E7B"/>
    <w:rsid w:val="00F82210"/>
    <w:rsid w:val="00F836ED"/>
    <w:rsid w:val="00F90BCF"/>
    <w:rsid w:val="00FA0EE5"/>
    <w:rsid w:val="00FA3E3A"/>
    <w:rsid w:val="00FA7EAA"/>
    <w:rsid w:val="00FB0238"/>
    <w:rsid w:val="00FB2690"/>
    <w:rsid w:val="00FB5C61"/>
    <w:rsid w:val="00FB75B5"/>
    <w:rsid w:val="00FC0A80"/>
    <w:rsid w:val="00FC1917"/>
    <w:rsid w:val="00FC5B99"/>
    <w:rsid w:val="00FC7C67"/>
    <w:rsid w:val="00FD0451"/>
    <w:rsid w:val="00FD6DE1"/>
    <w:rsid w:val="00FD73DD"/>
    <w:rsid w:val="00FE0822"/>
    <w:rsid w:val="00FE44FE"/>
    <w:rsid w:val="00FE453C"/>
    <w:rsid w:val="00FE45B5"/>
    <w:rsid w:val="00FE73E1"/>
    <w:rsid w:val="00FF3611"/>
    <w:rsid w:val="00FF3AA4"/>
    <w:rsid w:val="00FF3F3F"/>
    <w:rsid w:val="00FF43B0"/>
    <w:rsid w:val="00FF6E5A"/>
    <w:rsid w:val="00FF7C17"/>
    <w:rsid w:val="010073E9"/>
    <w:rsid w:val="01376E0A"/>
    <w:rsid w:val="018207C5"/>
    <w:rsid w:val="018856AF"/>
    <w:rsid w:val="018C1643"/>
    <w:rsid w:val="018C33F1"/>
    <w:rsid w:val="018D49B6"/>
    <w:rsid w:val="01AA53FC"/>
    <w:rsid w:val="01BC0957"/>
    <w:rsid w:val="01EF2F30"/>
    <w:rsid w:val="01FF0969"/>
    <w:rsid w:val="021138F7"/>
    <w:rsid w:val="023604CD"/>
    <w:rsid w:val="02397CB2"/>
    <w:rsid w:val="025F20F0"/>
    <w:rsid w:val="026309D8"/>
    <w:rsid w:val="026370DF"/>
    <w:rsid w:val="02894707"/>
    <w:rsid w:val="02910A6D"/>
    <w:rsid w:val="029F2C5A"/>
    <w:rsid w:val="02B96468"/>
    <w:rsid w:val="02BC3862"/>
    <w:rsid w:val="02BD49BF"/>
    <w:rsid w:val="02CE3403"/>
    <w:rsid w:val="02E67403"/>
    <w:rsid w:val="02EB0DDA"/>
    <w:rsid w:val="02FC0103"/>
    <w:rsid w:val="032E29EC"/>
    <w:rsid w:val="035241C7"/>
    <w:rsid w:val="03552A08"/>
    <w:rsid w:val="036B5251"/>
    <w:rsid w:val="037D4B66"/>
    <w:rsid w:val="03E424F8"/>
    <w:rsid w:val="03EC38CA"/>
    <w:rsid w:val="042652DF"/>
    <w:rsid w:val="042D13E6"/>
    <w:rsid w:val="045E5439"/>
    <w:rsid w:val="04CB5FDF"/>
    <w:rsid w:val="051261E1"/>
    <w:rsid w:val="051F7A75"/>
    <w:rsid w:val="052D4EEB"/>
    <w:rsid w:val="05326FA0"/>
    <w:rsid w:val="053F69CD"/>
    <w:rsid w:val="054F6C10"/>
    <w:rsid w:val="059E275E"/>
    <w:rsid w:val="05B75D33"/>
    <w:rsid w:val="05C70041"/>
    <w:rsid w:val="05DD246D"/>
    <w:rsid w:val="05EF4241"/>
    <w:rsid w:val="05F11A75"/>
    <w:rsid w:val="05F46270"/>
    <w:rsid w:val="05FC7B07"/>
    <w:rsid w:val="06093262"/>
    <w:rsid w:val="060C2D53"/>
    <w:rsid w:val="060D1346"/>
    <w:rsid w:val="06257970"/>
    <w:rsid w:val="062E2BE5"/>
    <w:rsid w:val="06466042"/>
    <w:rsid w:val="065331DA"/>
    <w:rsid w:val="06672D9E"/>
    <w:rsid w:val="06872F1A"/>
    <w:rsid w:val="069E11EB"/>
    <w:rsid w:val="069F41B1"/>
    <w:rsid w:val="06AA143F"/>
    <w:rsid w:val="06BF7DC5"/>
    <w:rsid w:val="06D53145"/>
    <w:rsid w:val="06E53CE5"/>
    <w:rsid w:val="07141314"/>
    <w:rsid w:val="07247144"/>
    <w:rsid w:val="07375BAD"/>
    <w:rsid w:val="073E491E"/>
    <w:rsid w:val="073E7A70"/>
    <w:rsid w:val="077A1F3E"/>
    <w:rsid w:val="078D3A1F"/>
    <w:rsid w:val="079F3753"/>
    <w:rsid w:val="07AB1812"/>
    <w:rsid w:val="07B74F40"/>
    <w:rsid w:val="07C1191B"/>
    <w:rsid w:val="07C45C06"/>
    <w:rsid w:val="084762C4"/>
    <w:rsid w:val="08676FDA"/>
    <w:rsid w:val="086E53D8"/>
    <w:rsid w:val="08836F2C"/>
    <w:rsid w:val="08B62511"/>
    <w:rsid w:val="08CE2541"/>
    <w:rsid w:val="08E41D65"/>
    <w:rsid w:val="08E864F8"/>
    <w:rsid w:val="090E6DE2"/>
    <w:rsid w:val="09181A0E"/>
    <w:rsid w:val="09293C25"/>
    <w:rsid w:val="093F51ED"/>
    <w:rsid w:val="09642C78"/>
    <w:rsid w:val="09734E97"/>
    <w:rsid w:val="098D603B"/>
    <w:rsid w:val="09910A8B"/>
    <w:rsid w:val="09A6701A"/>
    <w:rsid w:val="09C3197A"/>
    <w:rsid w:val="09C95CF4"/>
    <w:rsid w:val="09D3707F"/>
    <w:rsid w:val="09D771D4"/>
    <w:rsid w:val="09DC591A"/>
    <w:rsid w:val="09FA140E"/>
    <w:rsid w:val="0A2D217F"/>
    <w:rsid w:val="0A4B37F8"/>
    <w:rsid w:val="0A595E3B"/>
    <w:rsid w:val="0A8C7CD5"/>
    <w:rsid w:val="0A984BB5"/>
    <w:rsid w:val="0A9A10E9"/>
    <w:rsid w:val="0A9B46A5"/>
    <w:rsid w:val="0ABD286D"/>
    <w:rsid w:val="0ADB3B66"/>
    <w:rsid w:val="0ADB77DD"/>
    <w:rsid w:val="0AFD7E69"/>
    <w:rsid w:val="0B1A1A6E"/>
    <w:rsid w:val="0B3667FA"/>
    <w:rsid w:val="0B3C1A54"/>
    <w:rsid w:val="0B8E57A5"/>
    <w:rsid w:val="0BA5318B"/>
    <w:rsid w:val="0BE04A65"/>
    <w:rsid w:val="0C171CB6"/>
    <w:rsid w:val="0C2F554A"/>
    <w:rsid w:val="0C30706F"/>
    <w:rsid w:val="0C37664F"/>
    <w:rsid w:val="0C3A7F4A"/>
    <w:rsid w:val="0C50326D"/>
    <w:rsid w:val="0C514DDC"/>
    <w:rsid w:val="0C526FE5"/>
    <w:rsid w:val="0C6C673C"/>
    <w:rsid w:val="0C9D1F01"/>
    <w:rsid w:val="0CB513D5"/>
    <w:rsid w:val="0CDC6AE1"/>
    <w:rsid w:val="0CE253A3"/>
    <w:rsid w:val="0CE473B7"/>
    <w:rsid w:val="0CE74123"/>
    <w:rsid w:val="0CEA0E58"/>
    <w:rsid w:val="0D065FC8"/>
    <w:rsid w:val="0D280DA5"/>
    <w:rsid w:val="0D3F7AEF"/>
    <w:rsid w:val="0D6214AA"/>
    <w:rsid w:val="0D764EB3"/>
    <w:rsid w:val="0D8B6C53"/>
    <w:rsid w:val="0D9D0734"/>
    <w:rsid w:val="0DA15ACD"/>
    <w:rsid w:val="0DB5782C"/>
    <w:rsid w:val="0DC444A6"/>
    <w:rsid w:val="0DD04A36"/>
    <w:rsid w:val="0DD24882"/>
    <w:rsid w:val="0DDC125D"/>
    <w:rsid w:val="0DEB14A0"/>
    <w:rsid w:val="0E124C7E"/>
    <w:rsid w:val="0E1F1149"/>
    <w:rsid w:val="0E2A3A86"/>
    <w:rsid w:val="0E466309"/>
    <w:rsid w:val="0E6A2D0C"/>
    <w:rsid w:val="0E7B5A54"/>
    <w:rsid w:val="0E8A05DE"/>
    <w:rsid w:val="0E9658AF"/>
    <w:rsid w:val="0ED30327"/>
    <w:rsid w:val="0ED60F56"/>
    <w:rsid w:val="0EEA6919"/>
    <w:rsid w:val="0EF45F8B"/>
    <w:rsid w:val="0F0528B4"/>
    <w:rsid w:val="0F1A028E"/>
    <w:rsid w:val="0F543075"/>
    <w:rsid w:val="0F5F0397"/>
    <w:rsid w:val="0FCC70AF"/>
    <w:rsid w:val="0FD0094D"/>
    <w:rsid w:val="0FD46404"/>
    <w:rsid w:val="0FDA030E"/>
    <w:rsid w:val="104558DB"/>
    <w:rsid w:val="105F0EF9"/>
    <w:rsid w:val="107F2DC5"/>
    <w:rsid w:val="10961B97"/>
    <w:rsid w:val="109951E3"/>
    <w:rsid w:val="109C7AD3"/>
    <w:rsid w:val="10B1077E"/>
    <w:rsid w:val="10B244F7"/>
    <w:rsid w:val="10B34BA9"/>
    <w:rsid w:val="1113541C"/>
    <w:rsid w:val="11146F5F"/>
    <w:rsid w:val="11252F1A"/>
    <w:rsid w:val="11382C4E"/>
    <w:rsid w:val="11512899"/>
    <w:rsid w:val="11851DF7"/>
    <w:rsid w:val="11C8448F"/>
    <w:rsid w:val="11D916BE"/>
    <w:rsid w:val="11E608FC"/>
    <w:rsid w:val="1209283C"/>
    <w:rsid w:val="121E4683"/>
    <w:rsid w:val="12555A81"/>
    <w:rsid w:val="126B0108"/>
    <w:rsid w:val="12BE417E"/>
    <w:rsid w:val="12C329EB"/>
    <w:rsid w:val="12C549B5"/>
    <w:rsid w:val="12CD73C6"/>
    <w:rsid w:val="12D1335A"/>
    <w:rsid w:val="12D135BD"/>
    <w:rsid w:val="12EA441C"/>
    <w:rsid w:val="12FB0D7C"/>
    <w:rsid w:val="132643C5"/>
    <w:rsid w:val="133D454B"/>
    <w:rsid w:val="13431E42"/>
    <w:rsid w:val="137262F1"/>
    <w:rsid w:val="138F28CD"/>
    <w:rsid w:val="13C62793"/>
    <w:rsid w:val="13C75EE4"/>
    <w:rsid w:val="13D054CD"/>
    <w:rsid w:val="13D92055"/>
    <w:rsid w:val="13FB22A7"/>
    <w:rsid w:val="13FD3CDB"/>
    <w:rsid w:val="1424184E"/>
    <w:rsid w:val="14373691"/>
    <w:rsid w:val="14423DE3"/>
    <w:rsid w:val="1455586C"/>
    <w:rsid w:val="145C6C53"/>
    <w:rsid w:val="146F5911"/>
    <w:rsid w:val="147321EF"/>
    <w:rsid w:val="148241EF"/>
    <w:rsid w:val="148516C1"/>
    <w:rsid w:val="14995DF1"/>
    <w:rsid w:val="149D4E30"/>
    <w:rsid w:val="14EA24B1"/>
    <w:rsid w:val="14EE0B0A"/>
    <w:rsid w:val="14F2357B"/>
    <w:rsid w:val="14F932A7"/>
    <w:rsid w:val="152B2749"/>
    <w:rsid w:val="15316332"/>
    <w:rsid w:val="15477DC5"/>
    <w:rsid w:val="154C316C"/>
    <w:rsid w:val="155F2ACA"/>
    <w:rsid w:val="158E3427"/>
    <w:rsid w:val="158F4E06"/>
    <w:rsid w:val="159D34F2"/>
    <w:rsid w:val="159F6FD7"/>
    <w:rsid w:val="15A84FF5"/>
    <w:rsid w:val="15AE749F"/>
    <w:rsid w:val="15D70664"/>
    <w:rsid w:val="15E05662"/>
    <w:rsid w:val="15F15AC1"/>
    <w:rsid w:val="1678400D"/>
    <w:rsid w:val="167C0DF1"/>
    <w:rsid w:val="167E206D"/>
    <w:rsid w:val="1680360B"/>
    <w:rsid w:val="16AF1F12"/>
    <w:rsid w:val="16D10353"/>
    <w:rsid w:val="16F97E00"/>
    <w:rsid w:val="17312619"/>
    <w:rsid w:val="176060D4"/>
    <w:rsid w:val="1776379B"/>
    <w:rsid w:val="17A86360"/>
    <w:rsid w:val="17C0399D"/>
    <w:rsid w:val="17C743C5"/>
    <w:rsid w:val="17C84C12"/>
    <w:rsid w:val="17D35ED6"/>
    <w:rsid w:val="17E21B65"/>
    <w:rsid w:val="18057C3B"/>
    <w:rsid w:val="185F0FC1"/>
    <w:rsid w:val="187327BD"/>
    <w:rsid w:val="18C82EB8"/>
    <w:rsid w:val="190865BD"/>
    <w:rsid w:val="191244EC"/>
    <w:rsid w:val="19307A1C"/>
    <w:rsid w:val="1931657F"/>
    <w:rsid w:val="19410E12"/>
    <w:rsid w:val="19662F12"/>
    <w:rsid w:val="196F43D6"/>
    <w:rsid w:val="198310E9"/>
    <w:rsid w:val="198A5EC7"/>
    <w:rsid w:val="19AF7825"/>
    <w:rsid w:val="19BD63E6"/>
    <w:rsid w:val="19BF7498"/>
    <w:rsid w:val="1A2A5748"/>
    <w:rsid w:val="1A2D1177"/>
    <w:rsid w:val="1A333BE9"/>
    <w:rsid w:val="1A3F504D"/>
    <w:rsid w:val="1A541AB1"/>
    <w:rsid w:val="1A587EBD"/>
    <w:rsid w:val="1A7C4072"/>
    <w:rsid w:val="1A7E4BFF"/>
    <w:rsid w:val="1A9A04D5"/>
    <w:rsid w:val="1A9A68F5"/>
    <w:rsid w:val="1AA11F34"/>
    <w:rsid w:val="1AB332F4"/>
    <w:rsid w:val="1B035B65"/>
    <w:rsid w:val="1B0D0CA7"/>
    <w:rsid w:val="1B140288"/>
    <w:rsid w:val="1B222279"/>
    <w:rsid w:val="1B612DA1"/>
    <w:rsid w:val="1B684130"/>
    <w:rsid w:val="1B6F1962"/>
    <w:rsid w:val="1B8B42C2"/>
    <w:rsid w:val="1BB824B6"/>
    <w:rsid w:val="1BE3794F"/>
    <w:rsid w:val="1BF306EA"/>
    <w:rsid w:val="1C142509"/>
    <w:rsid w:val="1C204A0A"/>
    <w:rsid w:val="1C627BCD"/>
    <w:rsid w:val="1C67088B"/>
    <w:rsid w:val="1CA473E9"/>
    <w:rsid w:val="1CAB7398"/>
    <w:rsid w:val="1CCE7826"/>
    <w:rsid w:val="1CE70237"/>
    <w:rsid w:val="1D0B2C34"/>
    <w:rsid w:val="1D2142A9"/>
    <w:rsid w:val="1D5B0349"/>
    <w:rsid w:val="1D646B79"/>
    <w:rsid w:val="1D83510A"/>
    <w:rsid w:val="1D8A14F0"/>
    <w:rsid w:val="1DA57C19"/>
    <w:rsid w:val="1DB96EC4"/>
    <w:rsid w:val="1DEC54EC"/>
    <w:rsid w:val="1DF20628"/>
    <w:rsid w:val="1E14059F"/>
    <w:rsid w:val="1E6F1C79"/>
    <w:rsid w:val="1E726A7F"/>
    <w:rsid w:val="1E984D2C"/>
    <w:rsid w:val="1EA0654E"/>
    <w:rsid w:val="1ED63AA6"/>
    <w:rsid w:val="1EEE7042"/>
    <w:rsid w:val="1F09511E"/>
    <w:rsid w:val="1F18000E"/>
    <w:rsid w:val="1F2760B0"/>
    <w:rsid w:val="1F475ADA"/>
    <w:rsid w:val="1F5556C9"/>
    <w:rsid w:val="1F6115C2"/>
    <w:rsid w:val="1F9279CD"/>
    <w:rsid w:val="1F941997"/>
    <w:rsid w:val="1FBC1BC4"/>
    <w:rsid w:val="1FC6212B"/>
    <w:rsid w:val="201E11C5"/>
    <w:rsid w:val="20264B81"/>
    <w:rsid w:val="20531852"/>
    <w:rsid w:val="20546E99"/>
    <w:rsid w:val="20616645"/>
    <w:rsid w:val="207672EF"/>
    <w:rsid w:val="20AA620D"/>
    <w:rsid w:val="20B1352E"/>
    <w:rsid w:val="20DA2975"/>
    <w:rsid w:val="20E13B3C"/>
    <w:rsid w:val="20EE50D7"/>
    <w:rsid w:val="210437B9"/>
    <w:rsid w:val="21127E38"/>
    <w:rsid w:val="2115797A"/>
    <w:rsid w:val="21240AF9"/>
    <w:rsid w:val="21283337"/>
    <w:rsid w:val="212A1E87"/>
    <w:rsid w:val="213424C5"/>
    <w:rsid w:val="215F709E"/>
    <w:rsid w:val="2177331E"/>
    <w:rsid w:val="219F1202"/>
    <w:rsid w:val="21BE2CFB"/>
    <w:rsid w:val="21D05779"/>
    <w:rsid w:val="21E169EA"/>
    <w:rsid w:val="21F5333B"/>
    <w:rsid w:val="22196ACF"/>
    <w:rsid w:val="22237002"/>
    <w:rsid w:val="222C5B8B"/>
    <w:rsid w:val="22351B31"/>
    <w:rsid w:val="22B03475"/>
    <w:rsid w:val="22B61C24"/>
    <w:rsid w:val="22E000D5"/>
    <w:rsid w:val="22EE5862"/>
    <w:rsid w:val="22FF7A6F"/>
    <w:rsid w:val="231177A3"/>
    <w:rsid w:val="23125A98"/>
    <w:rsid w:val="23333275"/>
    <w:rsid w:val="233E667B"/>
    <w:rsid w:val="23737B15"/>
    <w:rsid w:val="2384789C"/>
    <w:rsid w:val="23983773"/>
    <w:rsid w:val="23A67EEB"/>
    <w:rsid w:val="23F52C20"/>
    <w:rsid w:val="23FD364E"/>
    <w:rsid w:val="240253A0"/>
    <w:rsid w:val="240D3AC6"/>
    <w:rsid w:val="24241EED"/>
    <w:rsid w:val="24443260"/>
    <w:rsid w:val="2482643C"/>
    <w:rsid w:val="24886E7D"/>
    <w:rsid w:val="24A37BD7"/>
    <w:rsid w:val="24E101A2"/>
    <w:rsid w:val="24E24F53"/>
    <w:rsid w:val="25137802"/>
    <w:rsid w:val="251B2B2D"/>
    <w:rsid w:val="256035E4"/>
    <w:rsid w:val="25635479"/>
    <w:rsid w:val="25706A02"/>
    <w:rsid w:val="257A6194"/>
    <w:rsid w:val="257D53C0"/>
    <w:rsid w:val="2580437A"/>
    <w:rsid w:val="259C375B"/>
    <w:rsid w:val="259E0645"/>
    <w:rsid w:val="25B06DFF"/>
    <w:rsid w:val="25B14925"/>
    <w:rsid w:val="25D62066"/>
    <w:rsid w:val="263712CE"/>
    <w:rsid w:val="266A7BA8"/>
    <w:rsid w:val="26832765"/>
    <w:rsid w:val="269E59E3"/>
    <w:rsid w:val="26A06E73"/>
    <w:rsid w:val="26A10E3D"/>
    <w:rsid w:val="26B04243"/>
    <w:rsid w:val="26DA25CB"/>
    <w:rsid w:val="26DF4DEB"/>
    <w:rsid w:val="26E36D60"/>
    <w:rsid w:val="27111A08"/>
    <w:rsid w:val="27270955"/>
    <w:rsid w:val="273332C4"/>
    <w:rsid w:val="275E3750"/>
    <w:rsid w:val="27621707"/>
    <w:rsid w:val="276C1415"/>
    <w:rsid w:val="279C2835"/>
    <w:rsid w:val="27B8643F"/>
    <w:rsid w:val="27BF157B"/>
    <w:rsid w:val="27DD40F7"/>
    <w:rsid w:val="27F2659C"/>
    <w:rsid w:val="28043D0B"/>
    <w:rsid w:val="282A62B4"/>
    <w:rsid w:val="2840555B"/>
    <w:rsid w:val="28553C8E"/>
    <w:rsid w:val="28575C58"/>
    <w:rsid w:val="2873244C"/>
    <w:rsid w:val="28D948BF"/>
    <w:rsid w:val="28ED2352"/>
    <w:rsid w:val="28ED622B"/>
    <w:rsid w:val="290C6A42"/>
    <w:rsid w:val="29235B3A"/>
    <w:rsid w:val="296323DA"/>
    <w:rsid w:val="296C128F"/>
    <w:rsid w:val="296F3041"/>
    <w:rsid w:val="297E7214"/>
    <w:rsid w:val="29885E35"/>
    <w:rsid w:val="29A7676B"/>
    <w:rsid w:val="29E10344"/>
    <w:rsid w:val="29E928DF"/>
    <w:rsid w:val="2A355B25"/>
    <w:rsid w:val="2A5644EE"/>
    <w:rsid w:val="2A6D1762"/>
    <w:rsid w:val="2A714EFD"/>
    <w:rsid w:val="2A756869"/>
    <w:rsid w:val="2AB1519A"/>
    <w:rsid w:val="2AB202E0"/>
    <w:rsid w:val="2ABA1E46"/>
    <w:rsid w:val="2AC232FA"/>
    <w:rsid w:val="2ADF65A1"/>
    <w:rsid w:val="2AE05406"/>
    <w:rsid w:val="2AF11CF6"/>
    <w:rsid w:val="2B116592"/>
    <w:rsid w:val="2B177920"/>
    <w:rsid w:val="2B330E68"/>
    <w:rsid w:val="2B4D50F0"/>
    <w:rsid w:val="2B5D643F"/>
    <w:rsid w:val="2B9F031B"/>
    <w:rsid w:val="2BAE0E64"/>
    <w:rsid w:val="2BBB02AC"/>
    <w:rsid w:val="2BD650E5"/>
    <w:rsid w:val="2C11436F"/>
    <w:rsid w:val="2C201C6A"/>
    <w:rsid w:val="2C302A48"/>
    <w:rsid w:val="2C5113C3"/>
    <w:rsid w:val="2C6D4D4A"/>
    <w:rsid w:val="2C6E531E"/>
    <w:rsid w:val="2C884632"/>
    <w:rsid w:val="2C8E3173"/>
    <w:rsid w:val="2C9D58FB"/>
    <w:rsid w:val="2C9E0609"/>
    <w:rsid w:val="2CB510E7"/>
    <w:rsid w:val="2CD045F1"/>
    <w:rsid w:val="2CD5539D"/>
    <w:rsid w:val="2CD90022"/>
    <w:rsid w:val="2CDA0E5A"/>
    <w:rsid w:val="2CDC0FA6"/>
    <w:rsid w:val="2CEB15C1"/>
    <w:rsid w:val="2CF33A75"/>
    <w:rsid w:val="2CF77A09"/>
    <w:rsid w:val="2CF855C6"/>
    <w:rsid w:val="2D0B4074"/>
    <w:rsid w:val="2D0B6272"/>
    <w:rsid w:val="2D103FE4"/>
    <w:rsid w:val="2D183C15"/>
    <w:rsid w:val="2D2F0F51"/>
    <w:rsid w:val="2D376058"/>
    <w:rsid w:val="2D382DF5"/>
    <w:rsid w:val="2D393B7E"/>
    <w:rsid w:val="2D830F4B"/>
    <w:rsid w:val="2D98715B"/>
    <w:rsid w:val="2DB256DE"/>
    <w:rsid w:val="2DBE22D5"/>
    <w:rsid w:val="2DC07BFE"/>
    <w:rsid w:val="2DC707D6"/>
    <w:rsid w:val="2DC71067"/>
    <w:rsid w:val="2DE0224B"/>
    <w:rsid w:val="2DE62634"/>
    <w:rsid w:val="2DE654E7"/>
    <w:rsid w:val="2E132621"/>
    <w:rsid w:val="2E3B4CA7"/>
    <w:rsid w:val="2E43123A"/>
    <w:rsid w:val="2E4722CA"/>
    <w:rsid w:val="2E7510C8"/>
    <w:rsid w:val="2E7555D3"/>
    <w:rsid w:val="2E76670C"/>
    <w:rsid w:val="2E7679D5"/>
    <w:rsid w:val="2EC032E3"/>
    <w:rsid w:val="2EDA1D17"/>
    <w:rsid w:val="2EDC5239"/>
    <w:rsid w:val="2EEE550E"/>
    <w:rsid w:val="2F171E02"/>
    <w:rsid w:val="2F3D7961"/>
    <w:rsid w:val="2F406212"/>
    <w:rsid w:val="2F82274A"/>
    <w:rsid w:val="2F8530AA"/>
    <w:rsid w:val="2FAB0A48"/>
    <w:rsid w:val="2FB1304E"/>
    <w:rsid w:val="2FB76D4A"/>
    <w:rsid w:val="2FBF4562"/>
    <w:rsid w:val="2FD71948"/>
    <w:rsid w:val="2FEC3129"/>
    <w:rsid w:val="30071D11"/>
    <w:rsid w:val="301C26FD"/>
    <w:rsid w:val="302C79CA"/>
    <w:rsid w:val="305B3490"/>
    <w:rsid w:val="3088782E"/>
    <w:rsid w:val="30901D07"/>
    <w:rsid w:val="30B130B6"/>
    <w:rsid w:val="30BD7A41"/>
    <w:rsid w:val="30D71E7D"/>
    <w:rsid w:val="30E43E01"/>
    <w:rsid w:val="30F604A4"/>
    <w:rsid w:val="30F878AC"/>
    <w:rsid w:val="311A3CC6"/>
    <w:rsid w:val="31912AA3"/>
    <w:rsid w:val="31CA113F"/>
    <w:rsid w:val="31F51F83"/>
    <w:rsid w:val="3220355E"/>
    <w:rsid w:val="32222E32"/>
    <w:rsid w:val="32252170"/>
    <w:rsid w:val="323811F3"/>
    <w:rsid w:val="324234D5"/>
    <w:rsid w:val="32674841"/>
    <w:rsid w:val="327211D6"/>
    <w:rsid w:val="32921478"/>
    <w:rsid w:val="32CE4D68"/>
    <w:rsid w:val="32D21377"/>
    <w:rsid w:val="32EC6C98"/>
    <w:rsid w:val="33383015"/>
    <w:rsid w:val="33394B99"/>
    <w:rsid w:val="33465B2C"/>
    <w:rsid w:val="334D0383"/>
    <w:rsid w:val="3350577D"/>
    <w:rsid w:val="336416C1"/>
    <w:rsid w:val="337D0287"/>
    <w:rsid w:val="33942334"/>
    <w:rsid w:val="33E14304"/>
    <w:rsid w:val="343D03F7"/>
    <w:rsid w:val="34414A34"/>
    <w:rsid w:val="34476051"/>
    <w:rsid w:val="34575833"/>
    <w:rsid w:val="347E41D1"/>
    <w:rsid w:val="349C36DA"/>
    <w:rsid w:val="34B561E0"/>
    <w:rsid w:val="34C44675"/>
    <w:rsid w:val="34F60916"/>
    <w:rsid w:val="35156C7E"/>
    <w:rsid w:val="352E5B6B"/>
    <w:rsid w:val="35316B9C"/>
    <w:rsid w:val="354C467E"/>
    <w:rsid w:val="355363F6"/>
    <w:rsid w:val="35645510"/>
    <w:rsid w:val="35725E7F"/>
    <w:rsid w:val="3592207D"/>
    <w:rsid w:val="35C1292C"/>
    <w:rsid w:val="35D94150"/>
    <w:rsid w:val="35F5260C"/>
    <w:rsid w:val="35F66AB0"/>
    <w:rsid w:val="36044CAC"/>
    <w:rsid w:val="3624775F"/>
    <w:rsid w:val="362A675A"/>
    <w:rsid w:val="36435E4E"/>
    <w:rsid w:val="36484E32"/>
    <w:rsid w:val="365B56BB"/>
    <w:rsid w:val="3679148F"/>
    <w:rsid w:val="36C6306A"/>
    <w:rsid w:val="36E3156C"/>
    <w:rsid w:val="36E326B2"/>
    <w:rsid w:val="372C6904"/>
    <w:rsid w:val="37357164"/>
    <w:rsid w:val="375401FF"/>
    <w:rsid w:val="3768578B"/>
    <w:rsid w:val="37691503"/>
    <w:rsid w:val="377E057B"/>
    <w:rsid w:val="377E69C7"/>
    <w:rsid w:val="37977E1F"/>
    <w:rsid w:val="3799307A"/>
    <w:rsid w:val="37A367C3"/>
    <w:rsid w:val="37A8535D"/>
    <w:rsid w:val="37CB7AC8"/>
    <w:rsid w:val="37FD7F7E"/>
    <w:rsid w:val="38476878"/>
    <w:rsid w:val="385654F3"/>
    <w:rsid w:val="387149AF"/>
    <w:rsid w:val="387939C8"/>
    <w:rsid w:val="388F6D48"/>
    <w:rsid w:val="389B0F4F"/>
    <w:rsid w:val="389D1465"/>
    <w:rsid w:val="38D65DCF"/>
    <w:rsid w:val="38DE53D9"/>
    <w:rsid w:val="38E07042"/>
    <w:rsid w:val="39352385"/>
    <w:rsid w:val="39376802"/>
    <w:rsid w:val="39453E84"/>
    <w:rsid w:val="39691347"/>
    <w:rsid w:val="39736669"/>
    <w:rsid w:val="39DD3AE3"/>
    <w:rsid w:val="39FD0783"/>
    <w:rsid w:val="3A2A095D"/>
    <w:rsid w:val="3A43493D"/>
    <w:rsid w:val="3A6F24A8"/>
    <w:rsid w:val="3A81594A"/>
    <w:rsid w:val="3A830258"/>
    <w:rsid w:val="3A8F6025"/>
    <w:rsid w:val="3A936480"/>
    <w:rsid w:val="3AA90857"/>
    <w:rsid w:val="3ACF5B89"/>
    <w:rsid w:val="3AE07D2F"/>
    <w:rsid w:val="3B295232"/>
    <w:rsid w:val="3B5F49D5"/>
    <w:rsid w:val="3B692505"/>
    <w:rsid w:val="3B77354A"/>
    <w:rsid w:val="3B936B4F"/>
    <w:rsid w:val="3B9F0C38"/>
    <w:rsid w:val="3BAD0452"/>
    <w:rsid w:val="3BD86948"/>
    <w:rsid w:val="3BE04532"/>
    <w:rsid w:val="3BE13E9E"/>
    <w:rsid w:val="3C236509"/>
    <w:rsid w:val="3C4B2A92"/>
    <w:rsid w:val="3C543445"/>
    <w:rsid w:val="3C6B665F"/>
    <w:rsid w:val="3C797AF3"/>
    <w:rsid w:val="3C7C75E3"/>
    <w:rsid w:val="3CDE71C1"/>
    <w:rsid w:val="3D001FC2"/>
    <w:rsid w:val="3D263D3A"/>
    <w:rsid w:val="3D4F2038"/>
    <w:rsid w:val="3D915310"/>
    <w:rsid w:val="3DA768E2"/>
    <w:rsid w:val="3DDB658B"/>
    <w:rsid w:val="3DDD2538"/>
    <w:rsid w:val="3DEB6AD5"/>
    <w:rsid w:val="3DFF227A"/>
    <w:rsid w:val="3E022A61"/>
    <w:rsid w:val="3E212B17"/>
    <w:rsid w:val="3E382D8D"/>
    <w:rsid w:val="3E4E3B6F"/>
    <w:rsid w:val="3E546A69"/>
    <w:rsid w:val="3E5A3954"/>
    <w:rsid w:val="3E6D6FB2"/>
    <w:rsid w:val="3E7B24D6"/>
    <w:rsid w:val="3E8B1D5F"/>
    <w:rsid w:val="3EA26B09"/>
    <w:rsid w:val="3EEC1527"/>
    <w:rsid w:val="3F0119D5"/>
    <w:rsid w:val="3F057D64"/>
    <w:rsid w:val="3F153BCC"/>
    <w:rsid w:val="3F235B23"/>
    <w:rsid w:val="3F444859"/>
    <w:rsid w:val="3F544847"/>
    <w:rsid w:val="3F595FFD"/>
    <w:rsid w:val="3F63690D"/>
    <w:rsid w:val="3F8C7AD1"/>
    <w:rsid w:val="3FA15A98"/>
    <w:rsid w:val="3FA56E51"/>
    <w:rsid w:val="3FA570AF"/>
    <w:rsid w:val="3FAC4783"/>
    <w:rsid w:val="3FBC4A1D"/>
    <w:rsid w:val="3FBF6165"/>
    <w:rsid w:val="3FDF4E54"/>
    <w:rsid w:val="3FF134E9"/>
    <w:rsid w:val="401F500B"/>
    <w:rsid w:val="40275AB8"/>
    <w:rsid w:val="404663D9"/>
    <w:rsid w:val="404C50C9"/>
    <w:rsid w:val="406805AA"/>
    <w:rsid w:val="406E15B7"/>
    <w:rsid w:val="40741F5E"/>
    <w:rsid w:val="40A57B02"/>
    <w:rsid w:val="40B41A41"/>
    <w:rsid w:val="40B732E0"/>
    <w:rsid w:val="40BA518D"/>
    <w:rsid w:val="4115383B"/>
    <w:rsid w:val="41210759"/>
    <w:rsid w:val="41230975"/>
    <w:rsid w:val="413260C8"/>
    <w:rsid w:val="413B57D4"/>
    <w:rsid w:val="41401527"/>
    <w:rsid w:val="414313A1"/>
    <w:rsid w:val="41504E33"/>
    <w:rsid w:val="416250E2"/>
    <w:rsid w:val="41662610"/>
    <w:rsid w:val="418458A3"/>
    <w:rsid w:val="41C23E6E"/>
    <w:rsid w:val="41C95079"/>
    <w:rsid w:val="41DA223F"/>
    <w:rsid w:val="41E73751"/>
    <w:rsid w:val="420B5C33"/>
    <w:rsid w:val="42187DAE"/>
    <w:rsid w:val="42340929"/>
    <w:rsid w:val="423A41C8"/>
    <w:rsid w:val="42E63A08"/>
    <w:rsid w:val="42F5320E"/>
    <w:rsid w:val="42F547D8"/>
    <w:rsid w:val="42F94AE0"/>
    <w:rsid w:val="430F17B4"/>
    <w:rsid w:val="432A5FEB"/>
    <w:rsid w:val="433E4D98"/>
    <w:rsid w:val="43580E84"/>
    <w:rsid w:val="4366740F"/>
    <w:rsid w:val="436F3D4A"/>
    <w:rsid w:val="43B00525"/>
    <w:rsid w:val="43D33DA0"/>
    <w:rsid w:val="43E069B3"/>
    <w:rsid w:val="44062F6B"/>
    <w:rsid w:val="44136A7F"/>
    <w:rsid w:val="442571D8"/>
    <w:rsid w:val="44351592"/>
    <w:rsid w:val="44492EBF"/>
    <w:rsid w:val="44531FA9"/>
    <w:rsid w:val="446E63AB"/>
    <w:rsid w:val="446F07FE"/>
    <w:rsid w:val="447B7530"/>
    <w:rsid w:val="448A687F"/>
    <w:rsid w:val="44A41DCD"/>
    <w:rsid w:val="44C91833"/>
    <w:rsid w:val="44FA7C3F"/>
    <w:rsid w:val="452A0524"/>
    <w:rsid w:val="45322F35"/>
    <w:rsid w:val="45A02594"/>
    <w:rsid w:val="45AB2CE7"/>
    <w:rsid w:val="45B46040"/>
    <w:rsid w:val="45BF2B87"/>
    <w:rsid w:val="45D71D2E"/>
    <w:rsid w:val="45FA6AFD"/>
    <w:rsid w:val="4627448B"/>
    <w:rsid w:val="46290E73"/>
    <w:rsid w:val="46492C2C"/>
    <w:rsid w:val="464C2B4E"/>
    <w:rsid w:val="468034B7"/>
    <w:rsid w:val="468E2907"/>
    <w:rsid w:val="46C978C9"/>
    <w:rsid w:val="46CC5A5D"/>
    <w:rsid w:val="47174AD8"/>
    <w:rsid w:val="47320639"/>
    <w:rsid w:val="473E2065"/>
    <w:rsid w:val="475E6263"/>
    <w:rsid w:val="478101A3"/>
    <w:rsid w:val="47A0687C"/>
    <w:rsid w:val="47A82D59"/>
    <w:rsid w:val="47AA5523"/>
    <w:rsid w:val="47AE3F29"/>
    <w:rsid w:val="47F53873"/>
    <w:rsid w:val="480A0199"/>
    <w:rsid w:val="48126142"/>
    <w:rsid w:val="48135E4C"/>
    <w:rsid w:val="48392E8A"/>
    <w:rsid w:val="48505C35"/>
    <w:rsid w:val="485247F9"/>
    <w:rsid w:val="488C6E00"/>
    <w:rsid w:val="489F2FD7"/>
    <w:rsid w:val="48AD51DE"/>
    <w:rsid w:val="48B84C3E"/>
    <w:rsid w:val="48CA6CD7"/>
    <w:rsid w:val="48CD0C8E"/>
    <w:rsid w:val="48E30CB0"/>
    <w:rsid w:val="48F6071D"/>
    <w:rsid w:val="490330D1"/>
    <w:rsid w:val="4916508C"/>
    <w:rsid w:val="491F0908"/>
    <w:rsid w:val="495D3FC1"/>
    <w:rsid w:val="496941FF"/>
    <w:rsid w:val="496F29A9"/>
    <w:rsid w:val="497A134E"/>
    <w:rsid w:val="499248EA"/>
    <w:rsid w:val="49B22075"/>
    <w:rsid w:val="49D00F6E"/>
    <w:rsid w:val="4A320CF2"/>
    <w:rsid w:val="4A4F4589"/>
    <w:rsid w:val="4A6F0787"/>
    <w:rsid w:val="4A79780F"/>
    <w:rsid w:val="4A91694F"/>
    <w:rsid w:val="4A9B332A"/>
    <w:rsid w:val="4ABF170F"/>
    <w:rsid w:val="4AFA62A3"/>
    <w:rsid w:val="4B1A6300"/>
    <w:rsid w:val="4B2470C9"/>
    <w:rsid w:val="4B29302C"/>
    <w:rsid w:val="4B482935"/>
    <w:rsid w:val="4B4B73DD"/>
    <w:rsid w:val="4B983D0E"/>
    <w:rsid w:val="4BA803F5"/>
    <w:rsid w:val="4BA97CC9"/>
    <w:rsid w:val="4BAD633B"/>
    <w:rsid w:val="4BD8527D"/>
    <w:rsid w:val="4BF532C7"/>
    <w:rsid w:val="4BFB375D"/>
    <w:rsid w:val="4C1A7BBE"/>
    <w:rsid w:val="4C463387"/>
    <w:rsid w:val="4C63256E"/>
    <w:rsid w:val="4C716AE0"/>
    <w:rsid w:val="4C8449BE"/>
    <w:rsid w:val="4CA961D2"/>
    <w:rsid w:val="4CD33F55"/>
    <w:rsid w:val="4CEF2847"/>
    <w:rsid w:val="4D001B6A"/>
    <w:rsid w:val="4D415CF0"/>
    <w:rsid w:val="4D7D31BB"/>
    <w:rsid w:val="4D8C37E1"/>
    <w:rsid w:val="4D9877DD"/>
    <w:rsid w:val="4D9B295F"/>
    <w:rsid w:val="4D9D0D53"/>
    <w:rsid w:val="4DA0266A"/>
    <w:rsid w:val="4DA60964"/>
    <w:rsid w:val="4DA621CD"/>
    <w:rsid w:val="4DB6430B"/>
    <w:rsid w:val="4DCA77A0"/>
    <w:rsid w:val="4DCD5EF0"/>
    <w:rsid w:val="4DDC25D7"/>
    <w:rsid w:val="4DF036EE"/>
    <w:rsid w:val="4DFA0CB0"/>
    <w:rsid w:val="4E1C6E78"/>
    <w:rsid w:val="4E445DCE"/>
    <w:rsid w:val="4E45007C"/>
    <w:rsid w:val="4E7061A5"/>
    <w:rsid w:val="4E9073A7"/>
    <w:rsid w:val="4E9573E5"/>
    <w:rsid w:val="4EAD59C3"/>
    <w:rsid w:val="4EB878B4"/>
    <w:rsid w:val="4ECE0172"/>
    <w:rsid w:val="4F0462CC"/>
    <w:rsid w:val="4F132029"/>
    <w:rsid w:val="4F147B4F"/>
    <w:rsid w:val="4F1C15CE"/>
    <w:rsid w:val="4F2D7EE3"/>
    <w:rsid w:val="4F6309D8"/>
    <w:rsid w:val="4F705D99"/>
    <w:rsid w:val="4F93316A"/>
    <w:rsid w:val="4FA22C30"/>
    <w:rsid w:val="4FC6709B"/>
    <w:rsid w:val="4FE7290C"/>
    <w:rsid w:val="4FFE6835"/>
    <w:rsid w:val="505E043D"/>
    <w:rsid w:val="507C59AC"/>
    <w:rsid w:val="50B412E2"/>
    <w:rsid w:val="50BB2978"/>
    <w:rsid w:val="50D34ECE"/>
    <w:rsid w:val="50E377D9"/>
    <w:rsid w:val="50EC0584"/>
    <w:rsid w:val="51085492"/>
    <w:rsid w:val="51136310"/>
    <w:rsid w:val="5115067F"/>
    <w:rsid w:val="512F2A1E"/>
    <w:rsid w:val="515E03EA"/>
    <w:rsid w:val="51614D18"/>
    <w:rsid w:val="518474EC"/>
    <w:rsid w:val="51875DD0"/>
    <w:rsid w:val="51A5377F"/>
    <w:rsid w:val="51B33440"/>
    <w:rsid w:val="51CA3F36"/>
    <w:rsid w:val="51E45CDC"/>
    <w:rsid w:val="52412A09"/>
    <w:rsid w:val="52465DD6"/>
    <w:rsid w:val="5249262D"/>
    <w:rsid w:val="525C7843"/>
    <w:rsid w:val="526775A9"/>
    <w:rsid w:val="5277467D"/>
    <w:rsid w:val="528C3A7D"/>
    <w:rsid w:val="52BC6534"/>
    <w:rsid w:val="531F255C"/>
    <w:rsid w:val="533F47B1"/>
    <w:rsid w:val="534722A1"/>
    <w:rsid w:val="5350703E"/>
    <w:rsid w:val="535769C9"/>
    <w:rsid w:val="53634C01"/>
    <w:rsid w:val="5371731E"/>
    <w:rsid w:val="53762B86"/>
    <w:rsid w:val="53765DED"/>
    <w:rsid w:val="53786C46"/>
    <w:rsid w:val="53C16078"/>
    <w:rsid w:val="53E71B91"/>
    <w:rsid w:val="53F00B8B"/>
    <w:rsid w:val="540E1D31"/>
    <w:rsid w:val="54244F9C"/>
    <w:rsid w:val="545C7FCE"/>
    <w:rsid w:val="545E143A"/>
    <w:rsid w:val="54776BB6"/>
    <w:rsid w:val="54E23F51"/>
    <w:rsid w:val="54EA382C"/>
    <w:rsid w:val="54F75F49"/>
    <w:rsid w:val="5518442B"/>
    <w:rsid w:val="55380241"/>
    <w:rsid w:val="556F3D31"/>
    <w:rsid w:val="55782BE6"/>
    <w:rsid w:val="557D01FC"/>
    <w:rsid w:val="55913CA7"/>
    <w:rsid w:val="55A10B0C"/>
    <w:rsid w:val="55E6025B"/>
    <w:rsid w:val="55F45089"/>
    <w:rsid w:val="56586F65"/>
    <w:rsid w:val="566C201F"/>
    <w:rsid w:val="567D7CFB"/>
    <w:rsid w:val="56AB0FBE"/>
    <w:rsid w:val="56D378B7"/>
    <w:rsid w:val="56DF3867"/>
    <w:rsid w:val="56FB3ACE"/>
    <w:rsid w:val="570D142E"/>
    <w:rsid w:val="571F0A6C"/>
    <w:rsid w:val="57392246"/>
    <w:rsid w:val="573B56E8"/>
    <w:rsid w:val="574A59CB"/>
    <w:rsid w:val="574F3A95"/>
    <w:rsid w:val="57651CD4"/>
    <w:rsid w:val="576603E3"/>
    <w:rsid w:val="57864C68"/>
    <w:rsid w:val="57891866"/>
    <w:rsid w:val="57B8364E"/>
    <w:rsid w:val="57CA77F7"/>
    <w:rsid w:val="57D165DD"/>
    <w:rsid w:val="57E356CA"/>
    <w:rsid w:val="582272AA"/>
    <w:rsid w:val="58296A6F"/>
    <w:rsid w:val="583F13D4"/>
    <w:rsid w:val="585B059D"/>
    <w:rsid w:val="590F5B7A"/>
    <w:rsid w:val="593432C8"/>
    <w:rsid w:val="59792971"/>
    <w:rsid w:val="59EA7E2A"/>
    <w:rsid w:val="59EC5950"/>
    <w:rsid w:val="5A22317D"/>
    <w:rsid w:val="5A4A08C9"/>
    <w:rsid w:val="5A517B3B"/>
    <w:rsid w:val="5A655703"/>
    <w:rsid w:val="5A69018E"/>
    <w:rsid w:val="5A7D0C9E"/>
    <w:rsid w:val="5AC26D06"/>
    <w:rsid w:val="5B1909C7"/>
    <w:rsid w:val="5B1C2A87"/>
    <w:rsid w:val="5B370E4D"/>
    <w:rsid w:val="5B762629"/>
    <w:rsid w:val="5B813AB0"/>
    <w:rsid w:val="5B857E0A"/>
    <w:rsid w:val="5B9E7D89"/>
    <w:rsid w:val="5BCF7308"/>
    <w:rsid w:val="5BD50CD9"/>
    <w:rsid w:val="5BE82147"/>
    <w:rsid w:val="5BFE3079"/>
    <w:rsid w:val="5C17386D"/>
    <w:rsid w:val="5C1761A2"/>
    <w:rsid w:val="5C3A545D"/>
    <w:rsid w:val="5C4850FD"/>
    <w:rsid w:val="5C6F4617"/>
    <w:rsid w:val="5C761DD7"/>
    <w:rsid w:val="5C9A5084"/>
    <w:rsid w:val="5CBB2094"/>
    <w:rsid w:val="5CC208D3"/>
    <w:rsid w:val="5CDF473F"/>
    <w:rsid w:val="5D3513BC"/>
    <w:rsid w:val="5DBF585D"/>
    <w:rsid w:val="5DD66AB8"/>
    <w:rsid w:val="5DEC4171"/>
    <w:rsid w:val="5DED0326"/>
    <w:rsid w:val="5E0B315A"/>
    <w:rsid w:val="5E2D1110"/>
    <w:rsid w:val="5E677C9B"/>
    <w:rsid w:val="5E870968"/>
    <w:rsid w:val="5E8A14A9"/>
    <w:rsid w:val="5EAA5DDA"/>
    <w:rsid w:val="5F541786"/>
    <w:rsid w:val="5F9A5E4E"/>
    <w:rsid w:val="5FA36C19"/>
    <w:rsid w:val="5FB95491"/>
    <w:rsid w:val="5FBB070E"/>
    <w:rsid w:val="5FF160F1"/>
    <w:rsid w:val="601D4461"/>
    <w:rsid w:val="60367925"/>
    <w:rsid w:val="604834F4"/>
    <w:rsid w:val="605361DC"/>
    <w:rsid w:val="60575AEE"/>
    <w:rsid w:val="607466A0"/>
    <w:rsid w:val="60837DE7"/>
    <w:rsid w:val="60A9349B"/>
    <w:rsid w:val="60AB2450"/>
    <w:rsid w:val="60C82547"/>
    <w:rsid w:val="60FD32E1"/>
    <w:rsid w:val="61182335"/>
    <w:rsid w:val="61357BDD"/>
    <w:rsid w:val="61377DF9"/>
    <w:rsid w:val="61481234"/>
    <w:rsid w:val="61564E40"/>
    <w:rsid w:val="61566BDE"/>
    <w:rsid w:val="61656B01"/>
    <w:rsid w:val="618B3CA1"/>
    <w:rsid w:val="61C13BDF"/>
    <w:rsid w:val="61C22059"/>
    <w:rsid w:val="61E51427"/>
    <w:rsid w:val="61EE2B35"/>
    <w:rsid w:val="61F017BB"/>
    <w:rsid w:val="623A6737"/>
    <w:rsid w:val="623C4C31"/>
    <w:rsid w:val="623C4CAB"/>
    <w:rsid w:val="6252656D"/>
    <w:rsid w:val="628864B6"/>
    <w:rsid w:val="62B379FC"/>
    <w:rsid w:val="62CE79D4"/>
    <w:rsid w:val="63071A4D"/>
    <w:rsid w:val="631B6240"/>
    <w:rsid w:val="63253BB8"/>
    <w:rsid w:val="634405AB"/>
    <w:rsid w:val="63475A0F"/>
    <w:rsid w:val="63493E13"/>
    <w:rsid w:val="6351311E"/>
    <w:rsid w:val="635D78BF"/>
    <w:rsid w:val="639124EA"/>
    <w:rsid w:val="639D1060"/>
    <w:rsid w:val="63B523A0"/>
    <w:rsid w:val="63D2399F"/>
    <w:rsid w:val="63E80F78"/>
    <w:rsid w:val="63F46152"/>
    <w:rsid w:val="64511325"/>
    <w:rsid w:val="645A64FF"/>
    <w:rsid w:val="645F111A"/>
    <w:rsid w:val="64A64644"/>
    <w:rsid w:val="64CD637E"/>
    <w:rsid w:val="64E43764"/>
    <w:rsid w:val="64F62F54"/>
    <w:rsid w:val="64FF0C2E"/>
    <w:rsid w:val="650755D0"/>
    <w:rsid w:val="650D74DA"/>
    <w:rsid w:val="65102E3B"/>
    <w:rsid w:val="651B17E0"/>
    <w:rsid w:val="652E3F14"/>
    <w:rsid w:val="652F0DE7"/>
    <w:rsid w:val="65355DF9"/>
    <w:rsid w:val="653F2367"/>
    <w:rsid w:val="654F3237"/>
    <w:rsid w:val="65921AA2"/>
    <w:rsid w:val="65AB4879"/>
    <w:rsid w:val="65C028F8"/>
    <w:rsid w:val="65C23827"/>
    <w:rsid w:val="65F43B01"/>
    <w:rsid w:val="65F91236"/>
    <w:rsid w:val="65F92F79"/>
    <w:rsid w:val="661F4DC5"/>
    <w:rsid w:val="66271B54"/>
    <w:rsid w:val="6632293D"/>
    <w:rsid w:val="66430FEE"/>
    <w:rsid w:val="66452A5A"/>
    <w:rsid w:val="666236A4"/>
    <w:rsid w:val="667967BE"/>
    <w:rsid w:val="669213C6"/>
    <w:rsid w:val="66AB5C81"/>
    <w:rsid w:val="66C22463"/>
    <w:rsid w:val="66C71E28"/>
    <w:rsid w:val="66DE1953"/>
    <w:rsid w:val="66F45E44"/>
    <w:rsid w:val="67294D6A"/>
    <w:rsid w:val="67765F0F"/>
    <w:rsid w:val="679A2E90"/>
    <w:rsid w:val="67B33F51"/>
    <w:rsid w:val="67B406B2"/>
    <w:rsid w:val="67BF4EA4"/>
    <w:rsid w:val="67DC3DF5"/>
    <w:rsid w:val="68120A4B"/>
    <w:rsid w:val="6830241D"/>
    <w:rsid w:val="684B3E4C"/>
    <w:rsid w:val="685472EB"/>
    <w:rsid w:val="68617509"/>
    <w:rsid w:val="6865493A"/>
    <w:rsid w:val="689819CB"/>
    <w:rsid w:val="68BE0B64"/>
    <w:rsid w:val="68C017F0"/>
    <w:rsid w:val="68D11326"/>
    <w:rsid w:val="68DF6317"/>
    <w:rsid w:val="68DF7B10"/>
    <w:rsid w:val="68F91E38"/>
    <w:rsid w:val="69020CEC"/>
    <w:rsid w:val="690D79EA"/>
    <w:rsid w:val="69231B8D"/>
    <w:rsid w:val="69584637"/>
    <w:rsid w:val="69585FAE"/>
    <w:rsid w:val="696A4AE4"/>
    <w:rsid w:val="69713A6A"/>
    <w:rsid w:val="69883AB0"/>
    <w:rsid w:val="698F00A6"/>
    <w:rsid w:val="699F3A3F"/>
    <w:rsid w:val="69A01157"/>
    <w:rsid w:val="69B82081"/>
    <w:rsid w:val="69C841B1"/>
    <w:rsid w:val="69DA38BA"/>
    <w:rsid w:val="6A3A7CAA"/>
    <w:rsid w:val="6A3D342E"/>
    <w:rsid w:val="6A695499"/>
    <w:rsid w:val="6A6D6639"/>
    <w:rsid w:val="6A713CF1"/>
    <w:rsid w:val="6AAD55F9"/>
    <w:rsid w:val="6AB53B3C"/>
    <w:rsid w:val="6ABA5127"/>
    <w:rsid w:val="6ACF3470"/>
    <w:rsid w:val="6ADB6938"/>
    <w:rsid w:val="6AE57563"/>
    <w:rsid w:val="6AE6604A"/>
    <w:rsid w:val="6AFD7FE3"/>
    <w:rsid w:val="6AFF6150"/>
    <w:rsid w:val="6B1765A5"/>
    <w:rsid w:val="6B52582F"/>
    <w:rsid w:val="6B543355"/>
    <w:rsid w:val="6B6E213C"/>
    <w:rsid w:val="6BAE16EB"/>
    <w:rsid w:val="6BD16FA2"/>
    <w:rsid w:val="6BD9385B"/>
    <w:rsid w:val="6BE742BF"/>
    <w:rsid w:val="6BEE68EF"/>
    <w:rsid w:val="6BFD4E14"/>
    <w:rsid w:val="6C295737"/>
    <w:rsid w:val="6C315445"/>
    <w:rsid w:val="6C3B098D"/>
    <w:rsid w:val="6C5C425E"/>
    <w:rsid w:val="6C6972D4"/>
    <w:rsid w:val="6C6B2D49"/>
    <w:rsid w:val="6C891E9F"/>
    <w:rsid w:val="6CE150BD"/>
    <w:rsid w:val="6D0F232E"/>
    <w:rsid w:val="6D194538"/>
    <w:rsid w:val="6D1C6E8F"/>
    <w:rsid w:val="6D4D4500"/>
    <w:rsid w:val="6D535020"/>
    <w:rsid w:val="6D765805"/>
    <w:rsid w:val="6D9A2F69"/>
    <w:rsid w:val="6DA860AE"/>
    <w:rsid w:val="6DD54C21"/>
    <w:rsid w:val="6DE20B7E"/>
    <w:rsid w:val="6E222D11"/>
    <w:rsid w:val="6E313E22"/>
    <w:rsid w:val="6E413283"/>
    <w:rsid w:val="6E4B6C92"/>
    <w:rsid w:val="6E5D69C5"/>
    <w:rsid w:val="6E614928"/>
    <w:rsid w:val="6E6E2FB9"/>
    <w:rsid w:val="6E7220C5"/>
    <w:rsid w:val="6E732CC4"/>
    <w:rsid w:val="6E8954B4"/>
    <w:rsid w:val="6EAC2E85"/>
    <w:rsid w:val="6EE449F0"/>
    <w:rsid w:val="6F1A1E3B"/>
    <w:rsid w:val="6F2F547A"/>
    <w:rsid w:val="6F4162E7"/>
    <w:rsid w:val="6F47278A"/>
    <w:rsid w:val="6F5778B8"/>
    <w:rsid w:val="6F6873CF"/>
    <w:rsid w:val="6F755D6A"/>
    <w:rsid w:val="6F857F81"/>
    <w:rsid w:val="6F8F34F3"/>
    <w:rsid w:val="6F93154A"/>
    <w:rsid w:val="6F997ED1"/>
    <w:rsid w:val="6FB16FC8"/>
    <w:rsid w:val="7010749A"/>
    <w:rsid w:val="70153975"/>
    <w:rsid w:val="70237187"/>
    <w:rsid w:val="70691651"/>
    <w:rsid w:val="70700C42"/>
    <w:rsid w:val="7076338E"/>
    <w:rsid w:val="70A24B63"/>
    <w:rsid w:val="70C95090"/>
    <w:rsid w:val="70CE3BAA"/>
    <w:rsid w:val="71063344"/>
    <w:rsid w:val="71170E5D"/>
    <w:rsid w:val="71213CDA"/>
    <w:rsid w:val="7130216F"/>
    <w:rsid w:val="715E72BC"/>
    <w:rsid w:val="71662034"/>
    <w:rsid w:val="7174559B"/>
    <w:rsid w:val="717604C9"/>
    <w:rsid w:val="718538F7"/>
    <w:rsid w:val="718F1E9D"/>
    <w:rsid w:val="719C0260"/>
    <w:rsid w:val="71D6354D"/>
    <w:rsid w:val="71D84CE0"/>
    <w:rsid w:val="71DE606F"/>
    <w:rsid w:val="72135E5F"/>
    <w:rsid w:val="721C41A5"/>
    <w:rsid w:val="723936A6"/>
    <w:rsid w:val="72A43864"/>
    <w:rsid w:val="72C806E0"/>
    <w:rsid w:val="72CD0B09"/>
    <w:rsid w:val="72DE6164"/>
    <w:rsid w:val="732B171B"/>
    <w:rsid w:val="73373C88"/>
    <w:rsid w:val="73A03C49"/>
    <w:rsid w:val="73B538ED"/>
    <w:rsid w:val="73E94FC0"/>
    <w:rsid w:val="742970E4"/>
    <w:rsid w:val="742D385E"/>
    <w:rsid w:val="74315D7A"/>
    <w:rsid w:val="746D7236"/>
    <w:rsid w:val="74736F42"/>
    <w:rsid w:val="74805035"/>
    <w:rsid w:val="74A72312"/>
    <w:rsid w:val="74C100D0"/>
    <w:rsid w:val="74CC6652"/>
    <w:rsid w:val="74F33160"/>
    <w:rsid w:val="74F66808"/>
    <w:rsid w:val="74F91C79"/>
    <w:rsid w:val="75181898"/>
    <w:rsid w:val="751D6445"/>
    <w:rsid w:val="756F5303"/>
    <w:rsid w:val="757D16FB"/>
    <w:rsid w:val="758B30E4"/>
    <w:rsid w:val="75A34D55"/>
    <w:rsid w:val="75AA6994"/>
    <w:rsid w:val="76236E97"/>
    <w:rsid w:val="764741E2"/>
    <w:rsid w:val="765E152C"/>
    <w:rsid w:val="769B6649"/>
    <w:rsid w:val="769D6AA6"/>
    <w:rsid w:val="76B20FB8"/>
    <w:rsid w:val="76E25CB9"/>
    <w:rsid w:val="76EC08E6"/>
    <w:rsid w:val="76EE28B0"/>
    <w:rsid w:val="76FC71A9"/>
    <w:rsid w:val="77177AE1"/>
    <w:rsid w:val="77275DC2"/>
    <w:rsid w:val="77287243"/>
    <w:rsid w:val="7768642D"/>
    <w:rsid w:val="777B6495"/>
    <w:rsid w:val="77860492"/>
    <w:rsid w:val="77A80152"/>
    <w:rsid w:val="77C460AF"/>
    <w:rsid w:val="77D21B68"/>
    <w:rsid w:val="77D7775F"/>
    <w:rsid w:val="77EB7748"/>
    <w:rsid w:val="781C65BD"/>
    <w:rsid w:val="78315F93"/>
    <w:rsid w:val="78417157"/>
    <w:rsid w:val="78681F15"/>
    <w:rsid w:val="787E6FBC"/>
    <w:rsid w:val="788F00C3"/>
    <w:rsid w:val="78D12489"/>
    <w:rsid w:val="79065C1B"/>
    <w:rsid w:val="791D3D69"/>
    <w:rsid w:val="79346574"/>
    <w:rsid w:val="79667075"/>
    <w:rsid w:val="797A06D0"/>
    <w:rsid w:val="79891A1F"/>
    <w:rsid w:val="79BE4FB8"/>
    <w:rsid w:val="79C008CD"/>
    <w:rsid w:val="79C93160"/>
    <w:rsid w:val="79CC78D0"/>
    <w:rsid w:val="79D815F5"/>
    <w:rsid w:val="7A0C3E9C"/>
    <w:rsid w:val="7A150154"/>
    <w:rsid w:val="7A4778AC"/>
    <w:rsid w:val="7A4D5057"/>
    <w:rsid w:val="7A65732D"/>
    <w:rsid w:val="7A8A161B"/>
    <w:rsid w:val="7A8F43AA"/>
    <w:rsid w:val="7A9E7AD1"/>
    <w:rsid w:val="7AB73E40"/>
    <w:rsid w:val="7ABC4A73"/>
    <w:rsid w:val="7AE31B0D"/>
    <w:rsid w:val="7AFB2BD3"/>
    <w:rsid w:val="7B027938"/>
    <w:rsid w:val="7B13027A"/>
    <w:rsid w:val="7B132478"/>
    <w:rsid w:val="7B14352C"/>
    <w:rsid w:val="7B30793B"/>
    <w:rsid w:val="7B845591"/>
    <w:rsid w:val="7B9D6907"/>
    <w:rsid w:val="7BA479E1"/>
    <w:rsid w:val="7BAC48BB"/>
    <w:rsid w:val="7BC40083"/>
    <w:rsid w:val="7BC978E1"/>
    <w:rsid w:val="7C127041"/>
    <w:rsid w:val="7C1661E8"/>
    <w:rsid w:val="7C2A36D1"/>
    <w:rsid w:val="7C4111CA"/>
    <w:rsid w:val="7C4466BB"/>
    <w:rsid w:val="7C5C5C93"/>
    <w:rsid w:val="7C6453C2"/>
    <w:rsid w:val="7C9A6DFC"/>
    <w:rsid w:val="7CA67789"/>
    <w:rsid w:val="7CB9763A"/>
    <w:rsid w:val="7CD04B69"/>
    <w:rsid w:val="7CF75643"/>
    <w:rsid w:val="7D19514C"/>
    <w:rsid w:val="7D360B0D"/>
    <w:rsid w:val="7D3C2A6C"/>
    <w:rsid w:val="7D3D1E9B"/>
    <w:rsid w:val="7D400C3F"/>
    <w:rsid w:val="7D845D1C"/>
    <w:rsid w:val="7D9242BB"/>
    <w:rsid w:val="7DFC1D56"/>
    <w:rsid w:val="7DFF124F"/>
    <w:rsid w:val="7E1647DD"/>
    <w:rsid w:val="7E4B11B5"/>
    <w:rsid w:val="7E536531"/>
    <w:rsid w:val="7E576F8D"/>
    <w:rsid w:val="7E650E89"/>
    <w:rsid w:val="7E82761C"/>
    <w:rsid w:val="7E8E10B6"/>
    <w:rsid w:val="7EA6748E"/>
    <w:rsid w:val="7ECE30C8"/>
    <w:rsid w:val="7EE7356E"/>
    <w:rsid w:val="7F055881"/>
    <w:rsid w:val="7F063673"/>
    <w:rsid w:val="7F8246FF"/>
    <w:rsid w:val="7F9A1827"/>
    <w:rsid w:val="7FA112F3"/>
    <w:rsid w:val="7FA60390"/>
    <w:rsid w:val="7FA73F44"/>
    <w:rsid w:val="7FAA7590"/>
    <w:rsid w:val="7FBD3767"/>
    <w:rsid w:val="7FD20E4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Times New Roman"/>
      <w:kern w:val="2"/>
      <w:sz w:val="21"/>
      <w:szCs w:val="24"/>
      <w:lang w:val="en-US" w:eastAsia="zh-CN" w:bidi="ar-SA"/>
    </w:rPr>
  </w:style>
  <w:style w:type="paragraph" w:styleId="2">
    <w:name w:val="heading 1"/>
    <w:basedOn w:val="1"/>
    <w:next w:val="1"/>
    <w:link w:val="30"/>
    <w:qFormat/>
    <w:uiPriority w:val="9"/>
    <w:pPr>
      <w:keepNext/>
      <w:keepLines/>
      <w:spacing w:before="100" w:after="90" w:line="240" w:lineRule="auto"/>
      <w:outlineLvl w:val="0"/>
    </w:pPr>
    <w:rPr>
      <w:rFonts w:eastAsia="黑体"/>
      <w:bCs/>
      <w:kern w:val="44"/>
      <w:szCs w:val="44"/>
    </w:rPr>
  </w:style>
  <w:style w:type="paragraph" w:styleId="3">
    <w:name w:val="heading 2"/>
    <w:basedOn w:val="1"/>
    <w:next w:val="1"/>
    <w:unhideWhenUsed/>
    <w:qFormat/>
    <w:uiPriority w:val="0"/>
    <w:pPr>
      <w:keepNext/>
      <w:keepLines/>
      <w:numPr>
        <w:ilvl w:val="1"/>
        <w:numId w:val="1"/>
      </w:numPr>
      <w:tabs>
        <w:tab w:val="left" w:pos="420"/>
      </w:tabs>
      <w:spacing w:beforeLines="100" w:afterLines="100" w:line="240" w:lineRule="auto"/>
      <w:ind w:left="839"/>
      <w:jc w:val="left"/>
      <w:outlineLvl w:val="1"/>
    </w:pPr>
    <w:rPr>
      <w:bCs/>
      <w:szCs w:val="30"/>
    </w:rPr>
  </w:style>
  <w:style w:type="paragraph" w:styleId="4">
    <w:name w:val="heading 3"/>
    <w:basedOn w:val="1"/>
    <w:next w:val="1"/>
    <w:link w:val="68"/>
    <w:semiHidden/>
    <w:unhideWhenUsed/>
    <w:qFormat/>
    <w:uiPriority w:val="0"/>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48"/>
    <w:unhideWhenUsed/>
    <w:qFormat/>
    <w:uiPriority w:val="99"/>
    <w:pPr>
      <w:jc w:val="left"/>
    </w:pPr>
  </w:style>
  <w:style w:type="paragraph" w:styleId="6">
    <w:name w:val="Body Text Indent"/>
    <w:basedOn w:val="1"/>
    <w:qFormat/>
    <w:uiPriority w:val="0"/>
    <w:pPr>
      <w:ind w:firstLine="480" w:firstLineChars="200"/>
    </w:pPr>
    <w:rPr>
      <w:color w:val="FF0000"/>
      <w:sz w:val="24"/>
    </w:rPr>
  </w:style>
  <w:style w:type="paragraph" w:styleId="7">
    <w:name w:val="Balloon Text"/>
    <w:basedOn w:val="1"/>
    <w:link w:val="47"/>
    <w:qFormat/>
    <w:uiPriority w:val="0"/>
    <w:pPr>
      <w:spacing w:line="240" w:lineRule="auto"/>
    </w:pPr>
    <w:rPr>
      <w:sz w:val="18"/>
      <w:szCs w:val="18"/>
    </w:rPr>
  </w:style>
  <w:style w:type="paragraph" w:styleId="8">
    <w:name w:val="footer"/>
    <w:basedOn w:val="1"/>
    <w:link w:val="57"/>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widowControl/>
      <w:spacing w:after="100" w:line="259" w:lineRule="auto"/>
      <w:jc w:val="left"/>
    </w:pPr>
    <w:rPr>
      <w:rFonts w:ascii="Calibri" w:hAnsi="Calibri"/>
      <w:kern w:val="0"/>
      <w:sz w:val="22"/>
      <w:szCs w:val="22"/>
    </w:rPr>
  </w:style>
  <w:style w:type="paragraph" w:styleId="11">
    <w:name w:val="Body Text Indent 3"/>
    <w:basedOn w:val="1"/>
    <w:qFormat/>
    <w:uiPriority w:val="0"/>
    <w:pPr>
      <w:ind w:firstLine="480" w:firstLineChars="200"/>
    </w:pPr>
    <w:rPr>
      <w:sz w:val="24"/>
    </w:rPr>
  </w:style>
  <w:style w:type="paragraph" w:styleId="12">
    <w:name w:val="toc 2"/>
    <w:basedOn w:val="1"/>
    <w:next w:val="1"/>
    <w:unhideWhenUsed/>
    <w:qFormat/>
    <w:uiPriority w:val="39"/>
    <w:pPr>
      <w:widowControl/>
      <w:spacing w:after="100" w:line="259" w:lineRule="auto"/>
      <w:ind w:left="220"/>
      <w:jc w:val="left"/>
    </w:pPr>
    <w:rPr>
      <w:rFonts w:ascii="Calibri" w:hAnsi="Calibri"/>
      <w:kern w:val="0"/>
      <w:sz w:val="22"/>
      <w:szCs w:val="22"/>
    </w:rPr>
  </w:style>
  <w:style w:type="paragraph" w:styleId="13">
    <w:name w:val="Normal (Web)"/>
    <w:basedOn w:val="1"/>
    <w:semiHidden/>
    <w:unhideWhenUsed/>
    <w:qFormat/>
    <w:uiPriority w:val="0"/>
    <w:rPr>
      <w:rFonts w:ascii="Times New Roman" w:hAnsi="Times New Roman"/>
      <w:sz w:val="24"/>
    </w:rPr>
  </w:style>
  <w:style w:type="paragraph" w:styleId="14">
    <w:name w:val="annotation subject"/>
    <w:basedOn w:val="5"/>
    <w:next w:val="5"/>
    <w:link w:val="49"/>
    <w:qFormat/>
    <w:uiPriority w:val="0"/>
    <w:rPr>
      <w:b/>
      <w:bC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b/>
    </w:rPr>
  </w:style>
  <w:style w:type="character" w:styleId="19">
    <w:name w:val="page number"/>
    <w:basedOn w:val="17"/>
    <w:qFormat/>
    <w:uiPriority w:val="0"/>
  </w:style>
  <w:style w:type="character" w:styleId="20">
    <w:name w:val="FollowedHyperlink"/>
    <w:basedOn w:val="17"/>
    <w:qFormat/>
    <w:uiPriority w:val="0"/>
    <w:rPr>
      <w:color w:val="164396"/>
      <w:u w:val="none"/>
    </w:rPr>
  </w:style>
  <w:style w:type="character" w:styleId="21">
    <w:name w:val="Emphasis"/>
    <w:basedOn w:val="17"/>
    <w:qFormat/>
    <w:uiPriority w:val="20"/>
  </w:style>
  <w:style w:type="character" w:styleId="22">
    <w:name w:val="HTML Definition"/>
    <w:basedOn w:val="17"/>
    <w:qFormat/>
    <w:uiPriority w:val="0"/>
  </w:style>
  <w:style w:type="character" w:styleId="23">
    <w:name w:val="HTML Variable"/>
    <w:basedOn w:val="17"/>
    <w:qFormat/>
    <w:uiPriority w:val="0"/>
  </w:style>
  <w:style w:type="character" w:styleId="24">
    <w:name w:val="Hyperlink"/>
    <w:basedOn w:val="17"/>
    <w:unhideWhenUsed/>
    <w:qFormat/>
    <w:uiPriority w:val="99"/>
    <w:rPr>
      <w:color w:val="0563C1" w:themeColor="hyperlink"/>
      <w:u w:val="single"/>
      <w14:textFill>
        <w14:solidFill>
          <w14:schemeClr w14:val="hlink"/>
        </w14:solidFill>
      </w14:textFill>
    </w:rPr>
  </w:style>
  <w:style w:type="character" w:styleId="25">
    <w:name w:val="HTML Code"/>
    <w:basedOn w:val="17"/>
    <w:qFormat/>
    <w:uiPriority w:val="0"/>
    <w:rPr>
      <w:rFonts w:ascii="Courier New" w:hAnsi="Courier New"/>
      <w:sz w:val="20"/>
    </w:rPr>
  </w:style>
  <w:style w:type="character" w:styleId="26">
    <w:name w:val="annotation reference"/>
    <w:unhideWhenUsed/>
    <w:qFormat/>
    <w:uiPriority w:val="99"/>
    <w:rPr>
      <w:sz w:val="21"/>
      <w:szCs w:val="21"/>
    </w:rPr>
  </w:style>
  <w:style w:type="character" w:styleId="27">
    <w:name w:val="HTML Cite"/>
    <w:basedOn w:val="17"/>
    <w:qFormat/>
    <w:uiPriority w:val="0"/>
  </w:style>
  <w:style w:type="paragraph" w:customStyle="1" w:styleId="28">
    <w:name w:val="封面正文"/>
    <w:qFormat/>
    <w:uiPriority w:val="0"/>
    <w:pPr>
      <w:jc w:val="both"/>
    </w:pPr>
    <w:rPr>
      <w:rFonts w:ascii="Times New Roman" w:hAnsi="Times New Roman" w:eastAsia="宋体" w:cs="Times New Roman"/>
      <w:lang w:val="en-US" w:eastAsia="zh-CN" w:bidi="ar-SA"/>
    </w:rPr>
  </w:style>
  <w:style w:type="paragraph" w:customStyle="1" w:styleId="29">
    <w:name w:val="段"/>
    <w:link w:val="5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0">
    <w:name w:val="标题 1 Char"/>
    <w:link w:val="2"/>
    <w:qFormat/>
    <w:uiPriority w:val="9"/>
    <w:rPr>
      <w:rFonts w:eastAsia="黑体"/>
      <w:bCs/>
      <w:kern w:val="44"/>
      <w:szCs w:val="44"/>
    </w:rPr>
  </w:style>
  <w:style w:type="paragraph" w:customStyle="1" w:styleId="31">
    <w:name w:val="ENFI表体"/>
    <w:basedOn w:val="1"/>
    <w:qFormat/>
    <w:uiPriority w:val="0"/>
    <w:pPr>
      <w:widowControl/>
      <w:adjustRightInd w:val="0"/>
      <w:snapToGrid w:val="0"/>
      <w:spacing w:line="240" w:lineRule="atLeast"/>
      <w:jc w:val="left"/>
    </w:pPr>
    <w:rPr>
      <w:rFonts w:eastAsia="仿宋_GB2312"/>
      <w:kern w:val="0"/>
    </w:rPr>
  </w:style>
  <w:style w:type="paragraph" w:customStyle="1" w:styleId="32">
    <w:name w:val="发布部门"/>
    <w:next w:val="1"/>
    <w:qFormat/>
    <w:uiPriority w:val="0"/>
    <w:pPr>
      <w:jc w:val="center"/>
    </w:pPr>
    <w:rPr>
      <w:rFonts w:ascii="宋体" w:hAnsi="Times New Roman" w:eastAsia="宋体" w:cs="Times New Roman"/>
      <w:b/>
      <w:spacing w:val="20"/>
      <w:w w:val="135"/>
      <w:sz w:val="36"/>
      <w:lang w:val="en-US" w:eastAsia="zh-CN" w:bidi="ar-SA"/>
    </w:rPr>
  </w:style>
  <w:style w:type="paragraph" w:customStyle="1" w:styleId="33">
    <w:name w:val="实施日期"/>
    <w:basedOn w:val="34"/>
    <w:qFormat/>
    <w:uiPriority w:val="0"/>
    <w:pPr>
      <w:jc w:val="right"/>
    </w:pPr>
  </w:style>
  <w:style w:type="paragraph" w:customStyle="1" w:styleId="34">
    <w:name w:val="发布日期"/>
    <w:qFormat/>
    <w:uiPriority w:val="0"/>
    <w:rPr>
      <w:rFonts w:ascii="Times New Roman" w:hAnsi="Times New Roman" w:eastAsia="黑体" w:cs="Times New Roman"/>
      <w:sz w:val="28"/>
      <w:lang w:val="en-US" w:eastAsia="zh-CN" w:bidi="ar-SA"/>
    </w:rPr>
  </w:style>
  <w:style w:type="paragraph" w:customStyle="1" w:styleId="35">
    <w:name w:val="CM1"/>
    <w:basedOn w:val="36"/>
    <w:next w:val="36"/>
    <w:qFormat/>
    <w:uiPriority w:val="99"/>
    <w:rPr>
      <w:rFonts w:cs="Times New Roman"/>
      <w:color w:val="auto"/>
    </w:rPr>
  </w:style>
  <w:style w:type="paragraph" w:customStyle="1" w:styleId="36">
    <w:name w:val="Default"/>
    <w:qFormat/>
    <w:uiPriority w:val="0"/>
    <w:pPr>
      <w:widowControl w:val="0"/>
      <w:autoSpaceDE w:val="0"/>
      <w:autoSpaceDN w:val="0"/>
      <w:adjustRightInd w:val="0"/>
    </w:pPr>
    <w:rPr>
      <w:rFonts w:ascii="EUAlbertina" w:hAnsi="Times New Roman" w:eastAsia="EUAlbertina" w:cs="EUAlbertina"/>
      <w:color w:val="000000"/>
      <w:sz w:val="24"/>
      <w:szCs w:val="24"/>
      <w:lang w:val="en-US" w:eastAsia="zh-CN" w:bidi="ar-SA"/>
    </w:rPr>
  </w:style>
  <w:style w:type="paragraph" w:customStyle="1" w:styleId="37">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38">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3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40">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41">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spacing w:val="20"/>
      <w:w w:val="148"/>
      <w:sz w:val="52"/>
      <w:lang w:val="en-US" w:eastAsia="zh-CN" w:bidi="ar-SA"/>
    </w:rPr>
  </w:style>
  <w:style w:type="paragraph" w:customStyle="1" w:styleId="42">
    <w:name w:val="文献分类号"/>
    <w:qFormat/>
    <w:uiPriority w:val="0"/>
    <w:pPr>
      <w:widowControl w:val="0"/>
      <w:textAlignment w:val="center"/>
    </w:pPr>
    <w:rPr>
      <w:rFonts w:ascii="Times New Roman" w:hAnsi="Times New Roman" w:eastAsia="黑体" w:cs="Times New Roman"/>
      <w:sz w:val="21"/>
      <w:lang w:val="en-US" w:eastAsia="zh-CN" w:bidi="ar-SA"/>
    </w:rPr>
  </w:style>
  <w:style w:type="paragraph" w:customStyle="1" w:styleId="4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44">
    <w:name w:val="标准书眉一"/>
    <w:qFormat/>
    <w:uiPriority w:val="0"/>
    <w:pPr>
      <w:jc w:val="both"/>
    </w:pPr>
    <w:rPr>
      <w:rFonts w:ascii="Times New Roman" w:hAnsi="Times New Roman" w:eastAsia="宋体" w:cs="Times New Roman"/>
      <w:lang w:val="en-US" w:eastAsia="zh-CN" w:bidi="ar-SA"/>
    </w:rPr>
  </w:style>
  <w:style w:type="paragraph" w:customStyle="1" w:styleId="45">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46">
    <w:name w:val="标准书脚_偶数页"/>
    <w:qFormat/>
    <w:uiPriority w:val="0"/>
    <w:pPr>
      <w:spacing w:before="120"/>
    </w:pPr>
    <w:rPr>
      <w:rFonts w:ascii="Times New Roman" w:hAnsi="Times New Roman" w:eastAsia="宋体" w:cs="Times New Roman"/>
      <w:sz w:val="18"/>
      <w:lang w:val="en-US" w:eastAsia="zh-CN" w:bidi="ar-SA"/>
    </w:rPr>
  </w:style>
  <w:style w:type="character" w:customStyle="1" w:styleId="47">
    <w:name w:val="批注框文本 Char"/>
    <w:basedOn w:val="17"/>
    <w:link w:val="7"/>
    <w:qFormat/>
    <w:uiPriority w:val="0"/>
    <w:rPr>
      <w:rFonts w:ascii="宋体" w:hAnsi="宋体"/>
      <w:kern w:val="2"/>
      <w:sz w:val="18"/>
      <w:szCs w:val="18"/>
    </w:rPr>
  </w:style>
  <w:style w:type="character" w:customStyle="1" w:styleId="48">
    <w:name w:val="批注文字 Char"/>
    <w:basedOn w:val="17"/>
    <w:link w:val="5"/>
    <w:qFormat/>
    <w:uiPriority w:val="99"/>
    <w:rPr>
      <w:rFonts w:ascii="宋体" w:hAnsi="宋体"/>
      <w:kern w:val="2"/>
      <w:sz w:val="21"/>
      <w:szCs w:val="24"/>
    </w:rPr>
  </w:style>
  <w:style w:type="character" w:customStyle="1" w:styleId="49">
    <w:name w:val="批注主题 Char"/>
    <w:basedOn w:val="48"/>
    <w:link w:val="14"/>
    <w:qFormat/>
    <w:uiPriority w:val="0"/>
    <w:rPr>
      <w:rFonts w:ascii="宋体" w:hAnsi="宋体"/>
      <w:b/>
      <w:bCs/>
      <w:kern w:val="2"/>
      <w:sz w:val="21"/>
      <w:szCs w:val="24"/>
    </w:rPr>
  </w:style>
  <w:style w:type="paragraph" w:styleId="50">
    <w:name w:val="List Paragraph"/>
    <w:basedOn w:val="1"/>
    <w:qFormat/>
    <w:uiPriority w:val="34"/>
    <w:pPr>
      <w:ind w:firstLine="420"/>
    </w:pPr>
  </w:style>
  <w:style w:type="paragraph" w:customStyle="1" w:styleId="51">
    <w:name w:val="其他标准称谓"/>
    <w:qFormat/>
    <w:uiPriority w:val="0"/>
    <w:pPr>
      <w:spacing w:line="0" w:lineRule="atLeast"/>
      <w:ind w:firstLine="200"/>
      <w:jc w:val="both"/>
    </w:pPr>
    <w:rPr>
      <w:rFonts w:ascii="黑体" w:hAnsi="黑体" w:eastAsia="黑体" w:cs="宋体"/>
      <w:color w:val="000000"/>
      <w:sz w:val="52"/>
      <w:lang w:val="en-US" w:eastAsia="zh-CN" w:bidi="ar-SA"/>
    </w:rPr>
  </w:style>
  <w:style w:type="paragraph" w:customStyle="1" w:styleId="52">
    <w:name w:val="标准标志"/>
    <w:next w:val="1"/>
    <w:qFormat/>
    <w:uiPriority w:val="0"/>
    <w:pPr>
      <w:shd w:val="solid" w:color="FFFFFF" w:fill="FFFFFF"/>
      <w:spacing w:line="0" w:lineRule="atLeast"/>
      <w:ind w:firstLine="200"/>
      <w:jc w:val="right"/>
    </w:pPr>
    <w:rPr>
      <w:rFonts w:ascii="Times New Roman" w:hAnsi="Times New Roman" w:eastAsia="宋体" w:cs="Times New Roman"/>
      <w:b/>
      <w:color w:val="000000"/>
      <w:w w:val="130"/>
      <w:sz w:val="96"/>
      <w:lang w:val="en-US" w:eastAsia="zh-CN" w:bidi="ar-SA"/>
    </w:rPr>
  </w:style>
  <w:style w:type="paragraph" w:customStyle="1" w:styleId="53">
    <w:name w:val="终结线"/>
    <w:basedOn w:val="1"/>
    <w:qFormat/>
    <w:uiPriority w:val="0"/>
    <w:pPr>
      <w:framePr w:hSpace="181" w:vSpace="181" w:wrap="around" w:vAnchor="text" w:hAnchor="margin" w:xAlign="center" w:y="285"/>
    </w:pPr>
  </w:style>
  <w:style w:type="character" w:customStyle="1" w:styleId="54">
    <w:name w:val="段 Char"/>
    <w:link w:val="29"/>
    <w:qFormat/>
    <w:uiPriority w:val="0"/>
    <w:rPr>
      <w:rFonts w:ascii="宋体"/>
      <w:sz w:val="21"/>
    </w:rPr>
  </w:style>
  <w:style w:type="paragraph" w:customStyle="1" w:styleId="55">
    <w:name w:val="p17"/>
    <w:basedOn w:val="1"/>
    <w:qFormat/>
    <w:uiPriority w:val="0"/>
    <w:pPr>
      <w:widowControl/>
      <w:spacing w:line="240" w:lineRule="auto"/>
      <w:ind w:firstLine="420"/>
    </w:pPr>
    <w:rPr>
      <w:rFonts w:cs="宋体"/>
      <w:kern w:val="0"/>
      <w:szCs w:val="21"/>
    </w:rPr>
  </w:style>
  <w:style w:type="paragraph" w:customStyle="1" w:styleId="56">
    <w:name w:val="p18"/>
    <w:basedOn w:val="1"/>
    <w:qFormat/>
    <w:uiPriority w:val="0"/>
    <w:pPr>
      <w:widowControl/>
      <w:spacing w:beforeLines="50" w:afterLines="50" w:line="240" w:lineRule="auto"/>
      <w:jc w:val="left"/>
    </w:pPr>
    <w:rPr>
      <w:rFonts w:ascii="黑体" w:eastAsia="黑体" w:cs="宋体"/>
      <w:kern w:val="0"/>
      <w:szCs w:val="21"/>
    </w:rPr>
  </w:style>
  <w:style w:type="character" w:customStyle="1" w:styleId="57">
    <w:name w:val="页脚 Char"/>
    <w:basedOn w:val="17"/>
    <w:link w:val="8"/>
    <w:qFormat/>
    <w:uiPriority w:val="99"/>
    <w:rPr>
      <w:rFonts w:ascii="宋体" w:hAnsi="宋体"/>
      <w:kern w:val="2"/>
      <w:sz w:val="18"/>
      <w:szCs w:val="18"/>
    </w:rPr>
  </w:style>
  <w:style w:type="character" w:customStyle="1" w:styleId="58">
    <w:name w:val="font51"/>
    <w:basedOn w:val="17"/>
    <w:qFormat/>
    <w:uiPriority w:val="0"/>
    <w:rPr>
      <w:rFonts w:hint="eastAsia" w:ascii="宋体" w:hAnsi="宋体" w:eastAsia="宋体" w:cs="宋体"/>
      <w:color w:val="000000"/>
      <w:sz w:val="18"/>
      <w:szCs w:val="18"/>
      <w:u w:val="none"/>
    </w:rPr>
  </w:style>
  <w:style w:type="character" w:customStyle="1" w:styleId="59">
    <w:name w:val="font11"/>
    <w:basedOn w:val="17"/>
    <w:qFormat/>
    <w:uiPriority w:val="0"/>
    <w:rPr>
      <w:rFonts w:hint="default" w:ascii="Times New Roman" w:hAnsi="Times New Roman" w:cs="Times New Roman"/>
      <w:color w:val="000000"/>
      <w:sz w:val="18"/>
      <w:szCs w:val="18"/>
      <w:u w:val="none"/>
    </w:rPr>
  </w:style>
  <w:style w:type="character" w:customStyle="1" w:styleId="60">
    <w:name w:val="font91"/>
    <w:basedOn w:val="17"/>
    <w:qFormat/>
    <w:uiPriority w:val="0"/>
    <w:rPr>
      <w:rFonts w:hint="default" w:ascii="Times New Roman" w:hAnsi="Times New Roman" w:cs="Times New Roman"/>
      <w:color w:val="FF0000"/>
      <w:sz w:val="18"/>
      <w:szCs w:val="18"/>
      <w:u w:val="none"/>
    </w:rPr>
  </w:style>
  <w:style w:type="character" w:customStyle="1" w:styleId="61">
    <w:name w:val="font21"/>
    <w:basedOn w:val="17"/>
    <w:qFormat/>
    <w:uiPriority w:val="0"/>
    <w:rPr>
      <w:rFonts w:hint="eastAsia" w:ascii="宋体" w:hAnsi="宋体" w:eastAsia="宋体" w:cs="宋体"/>
      <w:color w:val="FF0000"/>
      <w:sz w:val="18"/>
      <w:szCs w:val="18"/>
      <w:u w:val="none"/>
    </w:rPr>
  </w:style>
  <w:style w:type="character" w:customStyle="1" w:styleId="62">
    <w:name w:val="font71"/>
    <w:basedOn w:val="17"/>
    <w:qFormat/>
    <w:uiPriority w:val="0"/>
    <w:rPr>
      <w:rFonts w:hint="eastAsia" w:ascii="宋体" w:hAnsi="宋体" w:eastAsia="宋体" w:cs="宋体"/>
      <w:color w:val="000000"/>
      <w:sz w:val="18"/>
      <w:szCs w:val="18"/>
      <w:u w:val="none"/>
    </w:rPr>
  </w:style>
  <w:style w:type="character" w:customStyle="1" w:styleId="63">
    <w:name w:val="font81"/>
    <w:basedOn w:val="17"/>
    <w:qFormat/>
    <w:uiPriority w:val="0"/>
    <w:rPr>
      <w:rFonts w:hint="default" w:ascii="Times New Roman" w:hAnsi="Times New Roman" w:cs="Times New Roman"/>
      <w:color w:val="000000"/>
      <w:sz w:val="18"/>
      <w:szCs w:val="18"/>
      <w:u w:val="none"/>
    </w:rPr>
  </w:style>
  <w:style w:type="character" w:customStyle="1" w:styleId="64">
    <w:name w:val="font31"/>
    <w:basedOn w:val="17"/>
    <w:qFormat/>
    <w:uiPriority w:val="0"/>
    <w:rPr>
      <w:rFonts w:hint="eastAsia" w:ascii="宋体" w:hAnsi="宋体" w:eastAsia="宋体" w:cs="宋体"/>
      <w:color w:val="000000"/>
      <w:sz w:val="21"/>
      <w:szCs w:val="21"/>
      <w:u w:val="none"/>
    </w:rPr>
  </w:style>
  <w:style w:type="character" w:customStyle="1" w:styleId="65">
    <w:name w:val="font41"/>
    <w:basedOn w:val="17"/>
    <w:qFormat/>
    <w:uiPriority w:val="0"/>
    <w:rPr>
      <w:rFonts w:ascii="仿宋_GB2312" w:eastAsia="仿宋_GB2312" w:cs="仿宋_GB2312"/>
      <w:color w:val="000000"/>
      <w:sz w:val="21"/>
      <w:szCs w:val="21"/>
      <w:u w:val="none"/>
    </w:rPr>
  </w:style>
  <w:style w:type="paragraph" w:styleId="66">
    <w:name w:val="Quote"/>
    <w:basedOn w:val="1"/>
    <w:next w:val="1"/>
    <w:link w:val="67"/>
    <w:qFormat/>
    <w:uiPriority w:val="99"/>
    <w:rPr>
      <w:i/>
      <w:iCs/>
      <w:color w:val="000000" w:themeColor="text1"/>
      <w14:textFill>
        <w14:solidFill>
          <w14:schemeClr w14:val="tx1"/>
        </w14:solidFill>
      </w14:textFill>
    </w:rPr>
  </w:style>
  <w:style w:type="character" w:customStyle="1" w:styleId="67">
    <w:name w:val="引用 Char"/>
    <w:basedOn w:val="17"/>
    <w:link w:val="66"/>
    <w:qFormat/>
    <w:uiPriority w:val="99"/>
    <w:rPr>
      <w:rFonts w:ascii="宋体" w:hAnsi="宋体"/>
      <w:i/>
      <w:iCs/>
      <w:color w:val="000000" w:themeColor="text1"/>
      <w:kern w:val="2"/>
      <w:sz w:val="21"/>
      <w:szCs w:val="24"/>
      <w14:textFill>
        <w14:solidFill>
          <w14:schemeClr w14:val="tx1"/>
        </w14:solidFill>
      </w14:textFill>
    </w:rPr>
  </w:style>
  <w:style w:type="character" w:customStyle="1" w:styleId="68">
    <w:name w:val="标题 3 Char"/>
    <w:basedOn w:val="17"/>
    <w:link w:val="4"/>
    <w:semiHidden/>
    <w:qFormat/>
    <w:uiPriority w:val="0"/>
    <w:rPr>
      <w:rFonts w:ascii="宋体" w:hAnsi="宋体"/>
      <w:b/>
      <w:bCs/>
      <w:kern w:val="2"/>
      <w:sz w:val="32"/>
      <w:szCs w:val="32"/>
    </w:rPr>
  </w:style>
  <w:style w:type="character" w:customStyle="1" w:styleId="69">
    <w:name w:val="font01"/>
    <w:qFormat/>
    <w:uiPriority w:val="0"/>
    <w:rPr>
      <w:rFonts w:hint="eastAsia" w:ascii="宋体" w:hAnsi="宋体" w:eastAsia="宋体" w:cs="宋体"/>
      <w:color w:val="000000"/>
      <w:sz w:val="24"/>
      <w:szCs w:val="24"/>
      <w:u w:val="none"/>
    </w:rPr>
  </w:style>
  <w:style w:type="paragraph" w:customStyle="1" w:styleId="70">
    <w:name w:val="附录三级无"/>
    <w:basedOn w:val="1"/>
    <w:qFormat/>
    <w:uiPriority w:val="0"/>
    <w:pPr>
      <w:widowControl/>
      <w:tabs>
        <w:tab w:val="left" w:pos="2160"/>
      </w:tabs>
      <w:wordWrap w:val="0"/>
      <w:overflowPunct w:val="0"/>
      <w:autoSpaceDE w:val="0"/>
      <w:autoSpaceDN w:val="0"/>
      <w:spacing w:line="240" w:lineRule="auto"/>
      <w:ind w:left="2160" w:hanging="720"/>
      <w:textAlignment w:val="baseline"/>
      <w:outlineLvl w:val="4"/>
    </w:pPr>
    <w:rPr>
      <w:rFonts w:hAnsi="Times New Roman"/>
      <w:kern w:val="21"/>
      <w:szCs w:val="21"/>
    </w:rPr>
  </w:style>
  <w:style w:type="paragraph" w:customStyle="1" w:styleId="71">
    <w:name w:val="附录表标题"/>
    <w:basedOn w:val="1"/>
    <w:next w:val="29"/>
    <w:qFormat/>
    <w:uiPriority w:val="0"/>
    <w:pPr>
      <w:tabs>
        <w:tab w:val="left" w:pos="1440"/>
      </w:tabs>
      <w:spacing w:beforeLines="50" w:afterLines="50" w:line="240" w:lineRule="auto"/>
      <w:ind w:left="1440" w:hanging="720"/>
      <w:jc w:val="center"/>
    </w:pPr>
    <w:rPr>
      <w:rFonts w:ascii="黑体" w:hAnsi="Times New Roman" w:eastAsia="黑体"/>
      <w:szCs w:val="21"/>
    </w:rPr>
  </w:style>
  <w:style w:type="character" w:styleId="72">
    <w:name w:val="Placeholder Text"/>
    <w:basedOn w:val="17"/>
    <w:semiHidden/>
    <w:qFormat/>
    <w:uiPriority w:val="99"/>
    <w:rPr>
      <w:color w:val="808080"/>
    </w:rPr>
  </w:style>
  <w:style w:type="character" w:customStyle="1" w:styleId="73">
    <w:name w:val="font61"/>
    <w:basedOn w:val="17"/>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footer" Target="footer5.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ysherry\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AD00C2-249E-4C4C-8D45-6E5E2F799A97}">
  <ds:schemaRefs/>
</ds:datastoreItem>
</file>

<file path=docProps/app.xml><?xml version="1.0" encoding="utf-8"?>
<Properties xmlns="http://schemas.openxmlformats.org/officeDocument/2006/extended-properties" xmlns:vt="http://schemas.openxmlformats.org/officeDocument/2006/docPropsVTypes">
  <Template>0</Template>
  <Company>china</Company>
  <Pages>16</Pages>
  <Words>5639</Words>
  <Characters>6740</Characters>
  <Lines>58</Lines>
  <Paragraphs>16</Paragraphs>
  <TotalTime>2</TotalTime>
  <ScaleCrop>false</ScaleCrop>
  <LinksUpToDate>false</LinksUpToDate>
  <CharactersWithSpaces>7187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2023-04-13T03:16:00Z</dcterms:created>
  <dc:creator>王 秀峰</dc:creator>
  <cp:lastModifiedBy>Flora</cp:lastModifiedBy>
  <cp:lastPrinted>2020-03-24T08:18:00Z</cp:lastPrinted>
  <dcterms:modified xsi:type="dcterms:W3CDTF">2026-07-15T08:53:52Z</dcterms:modified>
  <cp:revision>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eyJoZGlkIjoiOTQ5OGI1NDAyNGQ5Y2ZiOWIzNTFiZmQ5NjlkMDM4ZmUiLCJ1c2VySWQiOiIyNTU4NzQzNTQifQ==</vt:lpwstr>
  </property>
  <property fmtid="{D5CDD505-2E9C-101B-9397-08002B2CF9AE}" pid="4" name="ICV">
    <vt:lpwstr>AE1AF5646F964B36BEDC64257078F6EA_13</vt:lpwstr>
  </property>
</Properties>
</file>