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4E33">
      <w:pPr>
        <w:jc w:val="center"/>
        <w:rPr>
          <w:rFonts w:hint="eastAsia" w:eastAsia="黑体"/>
          <w:color w:val="auto"/>
          <w:sz w:val="32"/>
          <w:szCs w:val="32"/>
          <w:lang w:val="en-US" w:eastAsia="zh-CN"/>
        </w:rPr>
      </w:pPr>
    </w:p>
    <w:p w14:paraId="43B6A713">
      <w:pPr>
        <w:jc w:val="center"/>
        <w:rPr>
          <w:rFonts w:hint="eastAsia" w:eastAsia="黑体"/>
          <w:color w:val="auto"/>
          <w:sz w:val="32"/>
          <w:szCs w:val="32"/>
          <w:lang w:val="en-US" w:eastAsia="zh-CN"/>
        </w:rPr>
      </w:pPr>
    </w:p>
    <w:p w14:paraId="077F43BF">
      <w:pPr>
        <w:jc w:val="center"/>
        <w:rPr>
          <w:rFonts w:hint="eastAsia" w:eastAsia="黑体"/>
          <w:color w:val="auto"/>
          <w:sz w:val="32"/>
          <w:szCs w:val="32"/>
          <w:lang w:val="en-US" w:eastAsia="zh-CN"/>
        </w:rPr>
      </w:pPr>
    </w:p>
    <w:p w14:paraId="53969195">
      <w:pPr>
        <w:jc w:val="center"/>
        <w:rPr>
          <w:rFonts w:hint="eastAsia" w:eastAsia="黑体"/>
          <w:color w:val="auto"/>
          <w:sz w:val="32"/>
          <w:szCs w:val="32"/>
          <w:lang w:val="en-US" w:eastAsia="zh-CN"/>
        </w:rPr>
      </w:pPr>
    </w:p>
    <w:p w14:paraId="49B2B3D8">
      <w:pPr>
        <w:jc w:val="center"/>
        <w:rPr>
          <w:rFonts w:hint="eastAsia" w:eastAsia="黑体"/>
          <w:color w:val="auto"/>
          <w:sz w:val="32"/>
          <w:szCs w:val="32"/>
          <w:lang w:val="en-US" w:eastAsia="zh-CN"/>
        </w:rPr>
      </w:pPr>
    </w:p>
    <w:p w14:paraId="68A45F7A">
      <w:pPr>
        <w:jc w:val="center"/>
        <w:rPr>
          <w:rFonts w:hint="eastAsia" w:eastAsia="黑体"/>
          <w:color w:val="auto"/>
          <w:sz w:val="44"/>
          <w:szCs w:val="44"/>
          <w:lang w:val="en-US" w:eastAsia="zh-CN"/>
        </w:rPr>
      </w:pPr>
    </w:p>
    <w:p w14:paraId="52E0A125">
      <w:pPr>
        <w:jc w:val="center"/>
        <w:rPr>
          <w:rFonts w:hint="eastAsia" w:eastAsia="黑体"/>
          <w:color w:val="auto"/>
          <w:sz w:val="44"/>
          <w:szCs w:val="44"/>
          <w:lang w:val="en-US" w:eastAsia="zh-CN"/>
        </w:rPr>
      </w:pPr>
      <w:r>
        <w:rPr>
          <w:rFonts w:hint="eastAsia" w:eastAsia="黑体"/>
          <w:color w:val="auto"/>
          <w:sz w:val="44"/>
          <w:szCs w:val="44"/>
          <w:lang w:val="en-US" w:eastAsia="zh-CN"/>
        </w:rPr>
        <w:t>国家标准《铜及铜合金化学分析方法</w:t>
      </w:r>
    </w:p>
    <w:p w14:paraId="00AE9882">
      <w:pPr>
        <w:jc w:val="center"/>
        <w:rPr>
          <w:rFonts w:hint="eastAsia" w:eastAsia="黑体"/>
          <w:color w:val="auto"/>
          <w:sz w:val="44"/>
          <w:szCs w:val="44"/>
          <w:lang w:val="en-US" w:eastAsia="zh-CN"/>
        </w:rPr>
      </w:pPr>
      <w:r>
        <w:rPr>
          <w:rFonts w:hint="eastAsia" w:eastAsia="黑体"/>
          <w:color w:val="auto"/>
          <w:sz w:val="44"/>
          <w:szCs w:val="44"/>
          <w:lang w:val="en-US" w:eastAsia="zh-CN"/>
        </w:rPr>
        <w:t>第3部分 铅含量的测定》编制说明</w:t>
      </w:r>
    </w:p>
    <w:p w14:paraId="2B0E82A0">
      <w:pPr>
        <w:pStyle w:val="4"/>
        <w:rPr>
          <w:rFonts w:hint="eastAsia"/>
          <w:lang w:val="en-US" w:eastAsia="zh-CN"/>
        </w:rPr>
      </w:pPr>
    </w:p>
    <w:p w14:paraId="6FD979E8">
      <w:pPr>
        <w:jc w:val="center"/>
        <w:rPr>
          <w:rFonts w:hint="eastAsia" w:eastAsia="黑体"/>
          <w:color w:val="auto"/>
          <w:sz w:val="32"/>
          <w:szCs w:val="32"/>
          <w:lang w:val="en-US" w:eastAsia="zh-CN"/>
        </w:rPr>
      </w:pPr>
      <w:r>
        <w:rPr>
          <w:rFonts w:hint="eastAsia" w:eastAsia="黑体"/>
          <w:color w:val="auto"/>
          <w:sz w:val="32"/>
          <w:szCs w:val="32"/>
          <w:lang w:val="en-US" w:eastAsia="zh-CN"/>
        </w:rPr>
        <w:t>（征求意见1稿）</w:t>
      </w:r>
    </w:p>
    <w:p w14:paraId="083AF3D4">
      <w:pPr>
        <w:jc w:val="center"/>
        <w:rPr>
          <w:rFonts w:hint="eastAsia" w:eastAsia="黑体"/>
          <w:color w:val="auto"/>
          <w:sz w:val="28"/>
          <w:szCs w:val="28"/>
          <w:lang w:val="en-US" w:eastAsia="zh-CN"/>
        </w:rPr>
      </w:pPr>
    </w:p>
    <w:p w14:paraId="67D435A6">
      <w:pPr>
        <w:jc w:val="center"/>
        <w:rPr>
          <w:rFonts w:hint="eastAsia" w:eastAsia="黑体"/>
          <w:color w:val="auto"/>
          <w:sz w:val="28"/>
          <w:szCs w:val="28"/>
          <w:lang w:val="en-US" w:eastAsia="zh-CN"/>
        </w:rPr>
      </w:pPr>
    </w:p>
    <w:p w14:paraId="4D5E62B0">
      <w:pPr>
        <w:jc w:val="center"/>
        <w:rPr>
          <w:rFonts w:hint="eastAsia" w:eastAsia="黑体"/>
          <w:color w:val="auto"/>
          <w:sz w:val="28"/>
          <w:szCs w:val="28"/>
          <w:lang w:val="en-US" w:eastAsia="zh-CN"/>
        </w:rPr>
      </w:pPr>
    </w:p>
    <w:p w14:paraId="15B73921">
      <w:pPr>
        <w:jc w:val="center"/>
        <w:rPr>
          <w:rFonts w:hint="eastAsia" w:eastAsia="黑体"/>
          <w:color w:val="auto"/>
          <w:sz w:val="28"/>
          <w:szCs w:val="28"/>
          <w:lang w:val="en-US" w:eastAsia="zh-CN"/>
        </w:rPr>
      </w:pPr>
    </w:p>
    <w:p w14:paraId="4AE6AF22">
      <w:pPr>
        <w:jc w:val="center"/>
        <w:rPr>
          <w:rFonts w:hint="eastAsia" w:eastAsia="黑体"/>
          <w:color w:val="auto"/>
          <w:sz w:val="28"/>
          <w:szCs w:val="28"/>
          <w:lang w:val="en-US" w:eastAsia="zh-CN"/>
        </w:rPr>
      </w:pPr>
    </w:p>
    <w:p w14:paraId="65CCCD6A">
      <w:pPr>
        <w:jc w:val="center"/>
        <w:rPr>
          <w:rFonts w:hint="eastAsia" w:eastAsia="黑体"/>
          <w:color w:val="auto"/>
          <w:sz w:val="28"/>
          <w:szCs w:val="28"/>
          <w:lang w:val="en-US" w:eastAsia="zh-CN"/>
        </w:rPr>
      </w:pPr>
    </w:p>
    <w:p w14:paraId="00909E4C">
      <w:pPr>
        <w:jc w:val="center"/>
        <w:rPr>
          <w:rFonts w:hint="eastAsia" w:eastAsia="黑体"/>
          <w:color w:val="auto"/>
          <w:sz w:val="28"/>
          <w:szCs w:val="28"/>
          <w:lang w:val="en-US" w:eastAsia="zh-CN"/>
        </w:rPr>
      </w:pPr>
    </w:p>
    <w:p w14:paraId="154E1BBE">
      <w:pPr>
        <w:jc w:val="center"/>
        <w:rPr>
          <w:rFonts w:hint="eastAsia" w:eastAsia="黑体"/>
          <w:color w:val="auto"/>
          <w:sz w:val="28"/>
          <w:szCs w:val="28"/>
          <w:lang w:val="en-US" w:eastAsia="zh-CN"/>
        </w:rPr>
      </w:pPr>
      <w:r>
        <w:rPr>
          <w:rFonts w:hint="eastAsia" w:eastAsia="黑体"/>
          <w:color w:val="auto"/>
          <w:sz w:val="28"/>
          <w:szCs w:val="28"/>
          <w:lang w:val="en-US" w:eastAsia="zh-CN"/>
        </w:rPr>
        <w:t>中铝洛阳铜加工有限公司</w:t>
      </w:r>
    </w:p>
    <w:p w14:paraId="23FDA1D1">
      <w:pPr>
        <w:jc w:val="center"/>
        <w:rPr>
          <w:rFonts w:hint="default" w:eastAsia="黑体"/>
          <w:color w:val="auto"/>
          <w:sz w:val="28"/>
          <w:szCs w:val="28"/>
          <w:lang w:val="en-US" w:eastAsia="zh-CN"/>
        </w:rPr>
      </w:pPr>
      <w:r>
        <w:rPr>
          <w:rFonts w:hint="eastAsia" w:eastAsia="黑体"/>
          <w:color w:val="auto"/>
          <w:sz w:val="28"/>
          <w:szCs w:val="28"/>
          <w:lang w:val="en-US" w:eastAsia="zh-CN"/>
        </w:rPr>
        <w:t>2026年07月</w:t>
      </w:r>
      <w:r>
        <w:rPr>
          <w:rFonts w:hint="eastAsia" w:eastAsia="黑体"/>
          <w:color w:val="auto"/>
          <w:sz w:val="28"/>
          <w:szCs w:val="28"/>
          <w:lang w:val="en-US" w:eastAsia="zh-CN"/>
        </w:rPr>
        <w:br w:type="page"/>
      </w:r>
    </w:p>
    <w:p w14:paraId="2C746BF2">
      <w:pPr>
        <w:jc w:val="center"/>
        <w:rPr>
          <w:rFonts w:hint="eastAsia" w:eastAsia="黑体"/>
          <w:color w:val="auto"/>
          <w:sz w:val="32"/>
          <w:szCs w:val="32"/>
          <w:lang w:val="en-US" w:eastAsia="zh-CN"/>
        </w:rPr>
      </w:pPr>
      <w:r>
        <w:rPr>
          <w:rFonts w:hint="eastAsia" w:eastAsia="黑体"/>
          <w:color w:val="auto"/>
          <w:sz w:val="32"/>
          <w:szCs w:val="32"/>
          <w:lang w:val="en-US" w:eastAsia="zh-CN"/>
        </w:rPr>
        <w:t>国家标准《铜及铜合金化学分析方法</w:t>
      </w:r>
    </w:p>
    <w:p w14:paraId="02C2DF38">
      <w:pPr>
        <w:numPr>
          <w:ilvl w:val="0"/>
          <w:numId w:val="0"/>
        </w:numPr>
        <w:jc w:val="center"/>
        <w:rPr>
          <w:rFonts w:hint="eastAsia" w:eastAsia="黑体"/>
          <w:color w:val="auto"/>
          <w:sz w:val="32"/>
          <w:szCs w:val="32"/>
          <w:lang w:val="en-US" w:eastAsia="zh-CN"/>
        </w:rPr>
      </w:pPr>
      <w:r>
        <w:rPr>
          <w:rFonts w:hint="eastAsia" w:eastAsia="黑体"/>
          <w:color w:val="auto"/>
          <w:sz w:val="32"/>
          <w:szCs w:val="32"/>
          <w:lang w:val="en-US" w:eastAsia="zh-CN"/>
        </w:rPr>
        <w:t>第3部分 铅含量的测定》编制说明</w:t>
      </w:r>
    </w:p>
    <w:p w14:paraId="6E03AA90">
      <w:pPr>
        <w:numPr>
          <w:ilvl w:val="0"/>
          <w:numId w:val="0"/>
        </w:numPr>
        <w:jc w:val="center"/>
        <w:rPr>
          <w:rFonts w:hint="eastAsia" w:eastAsia="黑体"/>
          <w:color w:val="auto"/>
          <w:sz w:val="32"/>
          <w:szCs w:val="32"/>
          <w:lang w:val="en-US" w:eastAsia="zh-CN"/>
        </w:rPr>
      </w:pPr>
      <w:r>
        <w:rPr>
          <w:rFonts w:hint="eastAsia" w:eastAsia="黑体"/>
          <w:color w:val="auto"/>
          <w:sz w:val="32"/>
          <w:szCs w:val="32"/>
          <w:lang w:val="en-US" w:eastAsia="zh-CN"/>
        </w:rPr>
        <w:t>（征求意见1稿）</w:t>
      </w:r>
    </w:p>
    <w:p w14:paraId="5229526A">
      <w:pPr>
        <w:pStyle w:val="12"/>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r>
        <w:rPr>
          <w:rFonts w:hint="eastAsia" w:ascii="黑体" w:eastAsia="黑体" w:cs="Arial"/>
          <w:color w:val="auto"/>
          <w:sz w:val="21"/>
          <w:szCs w:val="21"/>
        </w:rPr>
        <w:t>一、工作简况</w:t>
      </w:r>
    </w:p>
    <w:p w14:paraId="7889C107">
      <w:pPr>
        <w:pStyle w:val="12"/>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ascii="黑体" w:eastAsia="黑体" w:cs="Arial"/>
          <w:color w:val="auto"/>
          <w:sz w:val="21"/>
          <w:szCs w:val="21"/>
        </w:rPr>
      </w:pPr>
      <w:r>
        <w:rPr>
          <w:rFonts w:hint="eastAsia" w:ascii="黑体" w:eastAsia="黑体" w:cs="Arial"/>
          <w:color w:val="auto"/>
          <w:sz w:val="21"/>
          <w:szCs w:val="21"/>
        </w:rPr>
        <w:t>1.1任务来源</w:t>
      </w:r>
    </w:p>
    <w:p w14:paraId="0BB63A5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sz w:val="21"/>
          <w:szCs w:val="21"/>
          <w:lang w:val="en-US" w:eastAsia="zh-CN"/>
        </w:rPr>
      </w:pPr>
      <w:r>
        <w:rPr>
          <w:rFonts w:hint="eastAsia" w:ascii="宋体" w:hAnsi="宋体"/>
          <w:color w:val="auto"/>
          <w:sz w:val="21"/>
          <w:szCs w:val="21"/>
          <w:lang w:val="en-US" w:eastAsia="zh-CN"/>
        </w:rPr>
        <w:t>根据国家标准化管理委员会下达《国家标准委关于下达2025年第七批推荐性国家标准计划及相关标准外文版计划的通知》（国标委发【2025】43号），计划修订国家标准《铜及铜合金化学分析方法 第3部分  铅含量的测定》（项目计划号：20253826-T-610）。由本标准由中铝洛阳铜加工有限公司负责起草，</w:t>
      </w:r>
      <w:r>
        <w:rPr>
          <w:rFonts w:hint="eastAsia" w:ascii="宋体" w:hAnsi="宋体"/>
          <w:color w:val="auto"/>
          <w:sz w:val="21"/>
          <w:szCs w:val="21"/>
          <w:highlight w:val="yellow"/>
          <w:lang w:val="en-US" w:eastAsia="zh-CN"/>
        </w:rPr>
        <w:t>厦门双瑞材料研究院有限公司、</w:t>
      </w:r>
      <w:r>
        <w:rPr>
          <w:rFonts w:hint="eastAsia" w:ascii="宋体" w:hAnsi="宋体"/>
          <w:color w:val="auto"/>
          <w:sz w:val="21"/>
          <w:szCs w:val="21"/>
          <w:lang w:val="en-US" w:eastAsia="zh-CN"/>
        </w:rPr>
        <w:t>浙江省冶金产品质量检验站有限公司、深圳市中金岭南有色金属有限责任公司、大冶有色设计研究院有限公司、昆明冶金研究院有限公司、有色金属技术经济研究院有限责任公司、中国有色桂林矿产地质研究院有限公司、北京有色金属与稀土应用研究所有限公司、湖南白银股份有限公司、云南铜业股份有限公司、江西铜信检验检测有限公司等10家单位参与起草，由全国有色金属标准化技术委员会归口管理。计划完成期限：2026年12月。</w:t>
      </w:r>
    </w:p>
    <w:p w14:paraId="7BFCBCAE">
      <w:pPr>
        <w:pStyle w:val="19"/>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ascii="宋体" w:hAnsi="宋体" w:eastAsia="宋体" w:cs="宋体"/>
          <w:color w:val="auto"/>
          <w:sz w:val="21"/>
          <w:szCs w:val="21"/>
          <w:lang w:val="en-US" w:eastAsia="zh-CN"/>
        </w:rPr>
      </w:pPr>
      <w:r>
        <w:rPr>
          <w:rFonts w:hint="eastAsia" w:hAnsi="黑体" w:cs="黑体"/>
          <w:color w:val="auto"/>
          <w:sz w:val="21"/>
          <w:szCs w:val="21"/>
        </w:rPr>
        <w:t>1.2立项目的和意义</w:t>
      </w:r>
    </w:p>
    <w:p w14:paraId="11CB48DF">
      <w:pPr>
        <w:spacing w:line="24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铜及铜合金中的铅元素会严重降低材料的高温塑性，同时对人体健康有害，因而在一些材料中常常视其为有害元素而被严格限制。同时，铅在铜合金中会提升材料的切削性能和自润滑性能，因此，在某些特定的应用场景下，铅的含量会被控制在一定范围内，以充分利用其带来的性能优势。然而，由于铅的毒性，其在铜及铜合金中的使用必须严格遵守相关的环保和安全标准。在材料的研发和生产过程中，需要精确控制铅的含量，以确保产品既满足性能要求，又符合环保和健康标准。在GB/T 5231-2022《加工铜及铜合金牌号和化学成分》、GB/T 1176-2013《铸造铜及铜合金》等相关产品标准中，当铅以杂质元素存在时，含量范围为0.0005%～1.50%；当铅为主成分时，含量最高可达33.0%。</w:t>
      </w:r>
    </w:p>
    <w:p w14:paraId="57371AE4">
      <w:pPr>
        <w:spacing w:line="24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sz w:val="21"/>
          <w:szCs w:val="21"/>
        </w:rPr>
        <w:t>GB/T 5121.3-2008《铜及铜合金化学分析方法 第3部分：铅含量的测定》发布实施于2008年，该标准规定了铜及铜合金中铅含量的测定方法。该标准共有2个方法，分别是一项石墨原子吸收光谱法和一项火焰原子吸收光谱法，其中方法二修改采用了ISO 4749：1984，标准的检测范围能够涵盖0.00010%～5.0%，因其检测上限偏低，已无法满足铸造铜合金ZCuPb17Sn4Zn4、ZCuPb20Sn5以及ZPb30等材料的检测需求。综上所述，对该方法进行修订完善势在必行。Na</w:t>
      </w:r>
      <w:r>
        <w:rPr>
          <w:rFonts w:hint="eastAsia" w:ascii="宋体" w:hAnsi="宋体" w:eastAsia="宋体" w:cs="宋体"/>
          <w:sz w:val="21"/>
          <w:szCs w:val="21"/>
          <w:vertAlign w:val="subscript"/>
        </w:rPr>
        <w:t>2</w:t>
      </w:r>
      <w:r>
        <w:rPr>
          <w:rFonts w:hint="eastAsia" w:ascii="宋体" w:hAnsi="宋体" w:eastAsia="宋体" w:cs="宋体"/>
          <w:sz w:val="21"/>
          <w:szCs w:val="21"/>
        </w:rPr>
        <w:t>EDTA法具有准确度高、适应性强、操作简便等特点，目前已经在锡铅焊料、粗锡、粗铅、铸造轴承合金等多种金属材料和冶炼产品中得以应用，同时在美国ASTM标准中已应用于铜合金中铅含量的测定，具有较高的技术成熟度，根据前期试验情况表明，将其应用于铜及铜合金材料中是完全可行的。本次拟新增Na</w:t>
      </w:r>
      <w:r>
        <w:rPr>
          <w:rFonts w:hint="eastAsia" w:ascii="宋体" w:hAnsi="宋体" w:eastAsia="宋体" w:cs="宋体"/>
          <w:sz w:val="21"/>
          <w:szCs w:val="21"/>
          <w:vertAlign w:val="subscript"/>
        </w:rPr>
        <w:t>2</w:t>
      </w:r>
      <w:r>
        <w:rPr>
          <w:rFonts w:hint="eastAsia" w:ascii="宋体" w:hAnsi="宋体" w:eastAsia="宋体" w:cs="宋体"/>
          <w:sz w:val="21"/>
          <w:szCs w:val="21"/>
        </w:rPr>
        <w:t>EDTA用于高含量铅的测定，使标准的使用范围更广，可操作性更强。</w:t>
      </w:r>
    </w:p>
    <w:p w14:paraId="57437CB9">
      <w:pPr>
        <w:pStyle w:val="19"/>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highlight w:val="yellow"/>
          <w:lang w:val="en-US" w:eastAsia="zh-CN"/>
        </w:rPr>
      </w:pPr>
      <w:r>
        <w:rPr>
          <w:rFonts w:hint="eastAsia" w:hAnsi="黑体" w:cs="黑体"/>
          <w:color w:val="auto"/>
          <w:sz w:val="21"/>
          <w:szCs w:val="21"/>
          <w:highlight w:val="yellow"/>
        </w:rPr>
        <w:t>1.3</w:t>
      </w:r>
      <w:r>
        <w:rPr>
          <w:rFonts w:hint="eastAsia" w:hAnsi="黑体" w:cs="黑体"/>
          <w:color w:val="auto"/>
          <w:sz w:val="21"/>
          <w:szCs w:val="21"/>
          <w:highlight w:val="yellow"/>
          <w:lang w:val="en-US" w:eastAsia="zh-CN"/>
        </w:rPr>
        <w:t>主要参加单位和工作成员所作的工作</w:t>
      </w:r>
    </w:p>
    <w:p w14:paraId="1971E59C">
      <w:pPr>
        <w:numPr>
          <w:ilvl w:val="0"/>
          <w:numId w:val="2"/>
        </w:numPr>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项目编制组</w:t>
      </w:r>
    </w:p>
    <w:p w14:paraId="3BD571C2">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标准制定计划任务正式下达后，中铝洛阳铜加工有限公司</w:t>
      </w:r>
      <w:r>
        <w:rPr>
          <w:rFonts w:hint="eastAsia" w:ascii="宋体" w:hAnsi="宋体" w:eastAsia="宋体" w:cs="宋体"/>
          <w:sz w:val="21"/>
          <w:szCs w:val="21"/>
          <w:highlight w:val="none"/>
          <w:lang w:val="en-US" w:eastAsia="zh-CN"/>
        </w:rPr>
        <w:t>立即成立了标准编制组，并落实起草任务，确定标准的主要起草人，拟定该标准的工作推进计划。具体分工为：中铝洛阳铜加工有限公司</w:t>
      </w:r>
      <w:r>
        <w:rPr>
          <w:rFonts w:hint="default" w:ascii="Times New Roman" w:hAnsi="Times New Roman" w:eastAsia="宋体" w:cs="Times New Roman"/>
          <w:sz w:val="21"/>
          <w:szCs w:val="21"/>
          <w:highlight w:val="none"/>
          <w:lang w:val="en-US" w:eastAsia="zh-CN"/>
        </w:rPr>
        <w:t>为本标准的主编单位，负责试验方案确定、市场和铜加工行业信息收集、样品牌号、规格及样品提供、资料汇总分析及执笔；</w:t>
      </w:r>
      <w:r>
        <w:rPr>
          <w:rFonts w:hint="default" w:ascii="Times New Roman" w:hAnsi="Times New Roman" w:eastAsia="宋体" w:cs="Times New Roman"/>
          <w:b w:val="0"/>
          <w:bCs w:val="0"/>
          <w:sz w:val="21"/>
          <w:szCs w:val="21"/>
          <w:highlight w:val="none"/>
          <w:lang w:val="en-US" w:eastAsia="zh-CN"/>
        </w:rPr>
        <w:t>有色金属技术经济研究院有限责任公司</w:t>
      </w:r>
      <w:r>
        <w:rPr>
          <w:rFonts w:hint="default" w:ascii="Times New Roman" w:hAnsi="Times New Roman" w:eastAsia="宋体" w:cs="Times New Roman"/>
          <w:b w:val="0"/>
          <w:bCs w:val="0"/>
          <w:sz w:val="21"/>
          <w:szCs w:val="21"/>
          <w:lang w:val="en-US" w:eastAsia="zh-CN"/>
        </w:rPr>
        <w:t>负责对</w:t>
      </w:r>
      <w:r>
        <w:rPr>
          <w:rFonts w:hint="default" w:ascii="Times New Roman" w:hAnsi="Times New Roman" w:eastAsia="宋体" w:cs="Times New Roman"/>
          <w:sz w:val="21"/>
          <w:szCs w:val="21"/>
          <w:lang w:val="en-US" w:eastAsia="zh-CN"/>
        </w:rPr>
        <w:t>标准修订方案、标准文件和编制说明提出指导，并提供国内外相近的标准信息。</w:t>
      </w:r>
      <w:r>
        <w:rPr>
          <w:rFonts w:hint="eastAsia" w:ascii="宋体" w:hAnsi="宋体"/>
          <w:color w:val="auto"/>
          <w:sz w:val="21"/>
          <w:szCs w:val="21"/>
          <w:highlight w:val="yellow"/>
          <w:lang w:val="en-US" w:eastAsia="zh-CN"/>
        </w:rPr>
        <w:t>厦门双瑞材料研究院、</w:t>
      </w:r>
      <w:r>
        <w:rPr>
          <w:rFonts w:hint="eastAsia" w:ascii="宋体" w:hAnsi="宋体"/>
          <w:color w:val="auto"/>
          <w:sz w:val="21"/>
          <w:szCs w:val="21"/>
          <w:lang w:val="en-US" w:eastAsia="zh-CN"/>
        </w:rPr>
        <w:t>浙江省冶金产品质量检验站有限公司、深圳市中金岭南有色金属有限责任公司、大冶有色设计研究院有限公司、昆明冶金研究院有限公司</w:t>
      </w:r>
      <w:r>
        <w:rPr>
          <w:rFonts w:hint="default" w:ascii="Times New Roman" w:hAnsi="Times New Roman" w:eastAsia="宋体" w:cs="Times New Roman"/>
          <w:sz w:val="21"/>
          <w:szCs w:val="21"/>
          <w:lang w:val="en-US" w:eastAsia="zh-CN"/>
        </w:rPr>
        <w:t>作为第</w:t>
      </w:r>
      <w:r>
        <w:rPr>
          <w:rFonts w:hint="default" w:ascii="Times New Roman" w:hAnsi="Times New Roman" w:cs="Times New Roman"/>
          <w:sz w:val="21"/>
          <w:szCs w:val="21"/>
          <w:lang w:val="en-US" w:eastAsia="zh-CN"/>
        </w:rPr>
        <w:t>一</w:t>
      </w:r>
      <w:r>
        <w:rPr>
          <w:rFonts w:hint="default" w:ascii="Times New Roman" w:hAnsi="Times New Roman" w:eastAsia="宋体" w:cs="Times New Roman"/>
          <w:sz w:val="21"/>
          <w:szCs w:val="21"/>
          <w:lang w:val="en-US" w:eastAsia="zh-CN"/>
        </w:rPr>
        <w:t>验证</w:t>
      </w:r>
      <w:r>
        <w:rPr>
          <w:rFonts w:hint="default" w:ascii="Times New Roman" w:hAnsi="Times New Roman" w:cs="Times New Roman"/>
          <w:sz w:val="21"/>
          <w:szCs w:val="21"/>
          <w:lang w:val="en-US" w:eastAsia="zh-CN"/>
        </w:rPr>
        <w:t>单位，</w:t>
      </w:r>
      <w:r>
        <w:rPr>
          <w:rFonts w:hint="eastAsia" w:ascii="宋体" w:hAnsi="宋体"/>
          <w:color w:val="auto"/>
          <w:sz w:val="21"/>
          <w:szCs w:val="21"/>
          <w:lang w:val="en-US" w:eastAsia="zh-CN"/>
        </w:rPr>
        <w:t>中国有色桂林矿产地质研究院有限公司、北京有色金属与稀土应用研究所有限公司、湖南白银股份有限公司、云南铜业股份有限公司、江西铜信检验检测有限公司</w:t>
      </w:r>
      <w:r>
        <w:rPr>
          <w:rFonts w:hint="eastAsia" w:ascii="宋体" w:hAnsi="宋体" w:eastAsia="宋体" w:cs="宋体"/>
          <w:sz w:val="21"/>
          <w:szCs w:val="21"/>
          <w:lang w:val="en-US" w:eastAsia="zh-CN"/>
        </w:rPr>
        <w:t>作为第二验证单位。各单位分工明确，通力合作，共同完成标准的</w:t>
      </w:r>
      <w:r>
        <w:rPr>
          <w:rFonts w:hint="eastAsia" w:ascii="宋体" w:hAnsi="宋体" w:cs="宋体"/>
          <w:sz w:val="21"/>
          <w:szCs w:val="21"/>
          <w:lang w:val="en-US" w:eastAsia="zh-CN"/>
        </w:rPr>
        <w:t>修订</w:t>
      </w:r>
      <w:r>
        <w:rPr>
          <w:rFonts w:hint="eastAsia" w:ascii="宋体" w:hAnsi="宋体" w:eastAsia="宋体" w:cs="宋体"/>
          <w:sz w:val="21"/>
          <w:szCs w:val="21"/>
          <w:lang w:val="en-US" w:eastAsia="zh-CN"/>
        </w:rPr>
        <w:t>工作。</w:t>
      </w:r>
    </w:p>
    <w:p w14:paraId="18669C30">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p>
    <w:p w14:paraId="06E392E0">
      <w:pPr>
        <w:keepNext w:val="0"/>
        <w:keepLines w:val="0"/>
        <w:pageBreakBefore w:val="0"/>
        <w:widowControl w:val="0"/>
        <w:numPr>
          <w:ilvl w:val="0"/>
          <w:numId w:val="2"/>
        </w:numPr>
        <w:kinsoku/>
        <w:wordWrap/>
        <w:overflowPunct/>
        <w:topLinePunct w:val="0"/>
        <w:autoSpaceDE/>
        <w:autoSpaceDN/>
        <w:bidi w:val="0"/>
        <w:adjustRightInd/>
        <w:snapToGrid/>
        <w:ind w:left="0" w:leftChars="0" w:firstLine="422" w:firstLineChars="200"/>
        <w:textAlignment w:val="auto"/>
        <w:rPr>
          <w:rFonts w:hint="eastAsia" w:ascii="宋体" w:hAnsi="宋体" w:cs="宋体"/>
          <w:b/>
          <w:bCs/>
          <w:color w:val="auto"/>
          <w:sz w:val="21"/>
          <w:szCs w:val="21"/>
          <w:highlight w:val="yellow"/>
        </w:rPr>
      </w:pPr>
      <w:r>
        <w:rPr>
          <w:rFonts w:hint="eastAsia" w:ascii="宋体" w:hAnsi="宋体" w:cs="宋体"/>
          <w:b/>
          <w:bCs/>
          <w:color w:val="auto"/>
          <w:sz w:val="21"/>
          <w:szCs w:val="21"/>
          <w:highlight w:val="yellow"/>
        </w:rPr>
        <w:t>编制单位技术基础</w:t>
      </w:r>
    </w:p>
    <w:p w14:paraId="1B03430C">
      <w:pPr>
        <w:keepNext w:val="0"/>
        <w:keepLines w:val="0"/>
        <w:pageBreakBefore w:val="0"/>
        <w:widowControl w:val="0"/>
        <w:kinsoku/>
        <w:wordWrap/>
        <w:overflowPunct/>
        <w:topLinePunct w:val="0"/>
        <w:autoSpaceDE/>
        <w:autoSpaceDN/>
        <w:bidi w:val="0"/>
        <w:spacing w:line="240" w:lineRule="auto"/>
        <w:ind w:firstLine="422" w:firstLineChars="200"/>
        <w:textAlignment w:val="auto"/>
        <w:rPr>
          <w:rFonts w:hint="default" w:ascii="Times New Roman" w:hAnsi="Times New Roman" w:eastAsia="宋体" w:cs="Times New Roman"/>
          <w:sz w:val="21"/>
          <w:szCs w:val="21"/>
          <w:highlight w:val="none"/>
          <w:lang w:val="en-US" w:eastAsia="zh-CN"/>
        </w:rPr>
      </w:pPr>
      <w:r>
        <w:rPr>
          <w:rFonts w:hint="eastAsia" w:ascii="宋体" w:hAnsi="宋体" w:eastAsia="宋体" w:cs="宋体"/>
          <w:b/>
          <w:bCs/>
          <w:sz w:val="21"/>
          <w:szCs w:val="21"/>
          <w:highlight w:val="none"/>
          <w:lang w:val="en-US" w:eastAsia="zh-CN"/>
        </w:rPr>
        <w:t>中铝洛阳铜加</w:t>
      </w:r>
      <w:r>
        <w:rPr>
          <w:rFonts w:hint="default" w:ascii="Times New Roman" w:hAnsi="Times New Roman" w:eastAsia="宋体" w:cs="Times New Roman"/>
          <w:b/>
          <w:bCs/>
          <w:sz w:val="21"/>
          <w:szCs w:val="21"/>
          <w:highlight w:val="none"/>
          <w:lang w:val="en-US" w:eastAsia="zh-CN"/>
        </w:rPr>
        <w:t>工有限公司</w:t>
      </w:r>
      <w:r>
        <w:rPr>
          <w:rFonts w:hint="default" w:ascii="Times New Roman" w:hAnsi="Times New Roman" w:eastAsia="宋体" w:cs="Times New Roman"/>
          <w:sz w:val="21"/>
          <w:szCs w:val="21"/>
          <w:highlight w:val="none"/>
          <w:lang w:val="en-US" w:eastAsia="zh-CN"/>
        </w:rPr>
        <w:t>是综合性有色金属加工企业，拥有铜及铜合金高精度电子带、大管大棒、弥散强化无氧铜、宽厚板等多条生产线，产品涉及铜及铜合金板、带、箔、管、棒、型材，广泛应用于电子信息通讯、新能源、汽车、海洋工程、轨道交通等领域。拥有国家级企业技术中心、国家实验室认证认可监督管理委员会认可的实验室、中国有色金属工业重金属加工材质检站、河南省铜镁材料和加工技术工程研究中心、中铝集团高性能铜板带加工技术重点实验室、有色行业铜及铜合金材料与加工工程技术研究中心。公司先后从德国、美国、法国、日本、英国、意大利等十二个国家引进了100多台(套)先进的无损探伤和理化检测设备，为有色金属产品的研制和生产打下了坚实的基础。公司拥有一支高素质的科研技术研发队伍，具备丰富的生产技术经验、技术能力和标准编写能力。</w:t>
      </w:r>
    </w:p>
    <w:p w14:paraId="2C4F65CA">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厦门双瑞材料研究院有限公司</w:t>
      </w:r>
      <w:r>
        <w:rPr>
          <w:rFonts w:hint="default" w:ascii="Times New Roman" w:hAnsi="Times New Roman" w:eastAsia="宋体" w:cs="Times New Roman"/>
          <w:sz w:val="21"/>
          <w:szCs w:val="21"/>
          <w:highlight w:val="none"/>
          <w:lang w:val="en-US" w:eastAsia="zh-CN"/>
        </w:rPr>
        <w:t>于2021年8月注册成立，注册资金2500万元，公司隶属于洛阳船舶材料研究所（中国船舶集团第七二五研究所），按照“以军为本，技术引领,产研结合，创新提升”的指导方针,践行海洋强国战略,聚焦主责主业，充分依托厦门区位优势，持续推进科技产业布局优化，着力加强七二五所厦门地区科技创新能力和科技成果产业化，培育发展战略新兴产业。公司开展理化检测、海洋环境试验业务，下设具备CNAS及CMA资质认证的检测与校准中心,形成以厦门检测与校准中心为总部，洛阳、青岛、三亚等地为分部的检测评价网络，参与制修订多项国际标准、国家标准和国家军用标准、船舶行业标准，全面提升业务集成能力和行业影响力，组建了国内唯一的、覆盖我国主要海域及深远海自然环境试验站网，服务船舶海工装备建设和厦门地区科技和经济发展</w:t>
      </w:r>
      <w:r>
        <w:rPr>
          <w:rFonts w:hint="eastAsia" w:ascii="Times New Roman" w:hAnsi="Times New Roman" w:eastAsia="宋体" w:cs="Times New Roman"/>
          <w:sz w:val="21"/>
          <w:szCs w:val="21"/>
          <w:highlight w:val="none"/>
          <w:lang w:val="en-US" w:eastAsia="zh-CN"/>
        </w:rPr>
        <w:t>。</w:t>
      </w:r>
    </w:p>
    <w:p w14:paraId="022F8DAD">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浙江省冶金产品质量检验站有限公司</w:t>
      </w:r>
      <w:r>
        <w:rPr>
          <w:rFonts w:hint="default" w:ascii="Times New Roman" w:hAnsi="Times New Roman" w:eastAsia="宋体" w:cs="Times New Roman"/>
          <w:sz w:val="21"/>
          <w:szCs w:val="21"/>
          <w:highlight w:val="none"/>
          <w:lang w:val="en-US" w:eastAsia="zh-CN"/>
        </w:rPr>
        <w:t>（以下简称“公司”）坐落于浙江省杭州市上城工业园，前身可追溯至1958年，现拥有约5000平方米的实验室，是浙江省政府首批授权的省级质检机构，具有独立法人资格的第三方公正检测单位。公司组建了一支经验丰富、专业扎实的技术团队，检测人员具备深厚理论素养、精湛操作技能与精准评判能力。公司按高标准建设，配备国际国内先进仪器设备500余台套，包括安捷伦电感耦合等离子体质谱仪、沃特世液相色谱质谱联用仪、OBLF直读光谱仪、赛默飞电感耦合等离子体发射光谱仪、PE原子吸收光谱仪、埃尔特氧氮氢分析仪、蔡司扫描电子显微镜、莱卡金相显微镜、美特斯高低温试验机及摆锤冲击试验机等，涵盖成分分析、微观表征、力学性能等全维度检测能力。公司业务覆盖金属材料检测、食品接触材料及制品检测、失效分析、产品质量鉴定等领域。公司长期承接各类冶金有色产品、食品接触材料及制品的理化检验，并持续承担省、市各级政府管理部门下达的定期监督检验、日常监督检验及市场抽查任务，积累了大量一手检测数据与实战经验。公司在标准化研究方面成果显著，主持制定GB/T 33817-2026《铜及铜合金管材内表面碳膜和碳含量的测定方法》、GB/T 8891-2025《铜及铜合金散热管》，参与制定GB/T 5231-2022《加工铜及铜合金牌号和化学成分》、GB/T 5121《铜及铜合金化学分析方法》系列、GB/T 34505-2017《铜及铜合金材料 室温拉伸试验方法》等多项国家标准和行业标准。</w:t>
      </w:r>
    </w:p>
    <w:p w14:paraId="2D4DA83B">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textAlignment w:val="auto"/>
        <w:rPr>
          <w:rFonts w:hint="eastAsia" w:ascii="宋体" w:hAnsi="宋体" w:eastAsia="宋体" w:cs="宋体"/>
          <w:lang w:val="en-US" w:eastAsia="zh-CN"/>
        </w:rPr>
      </w:pPr>
      <w:r>
        <w:rPr>
          <w:rFonts w:hint="eastAsia" w:ascii="宋体" w:hAnsi="宋体" w:eastAsia="宋体" w:cs="宋体"/>
          <w:b/>
          <w:bCs/>
          <w:lang w:val="en-US" w:eastAsia="zh-CN"/>
        </w:rPr>
        <w:t>深圳市中金岭南有色金属股份有限公司</w:t>
      </w:r>
      <w:r>
        <w:rPr>
          <w:rFonts w:hint="eastAsia" w:ascii="宋体" w:hAnsi="宋体" w:eastAsia="宋体" w:cs="宋体"/>
          <w:lang w:val="en-US" w:eastAsia="zh-CN"/>
        </w:rPr>
        <w:t>拥有国家级技术中心，设立了“博士后科研工作站”、“院士工作站”。公司为国家高新技术企业，拥有享受国务院特殊津贴的专家共19人。多年来，公司共获得省部级以上科技奖励超100项，其中国家级奖励13项：科技进步一等奖二项、二等奖七项、三等奖三项，技术发明二等奖一项。目前，持有自行研究开发所获得的专利近两百项，其中有效发明专利48项。  中心实验室配备了目前世界上最为高端的诸多精密分析仪器，拥有ICP-AES、ICP-MS、、X射线荧光光谱仪、电子探针、光电直读光谱、原子荧光、原子吸收、分光光度计、高频红外碳硫分析仪等多套设备。具有优良的科研传统和较强的研究能力，开发的分析方法上百种，主导或参与制定过近百项国家标准和行业标准。</w:t>
      </w:r>
    </w:p>
    <w:p w14:paraId="65E69E73">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大冶有色设计研究院有限公司</w:t>
      </w:r>
    </w:p>
    <w:p w14:paraId="4432E6E8">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default" w:ascii="Times New Roman" w:hAnsi="Times New Roman" w:eastAsia="宋体" w:cs="Times New Roman"/>
          <w:sz w:val="21"/>
          <w:szCs w:val="21"/>
          <w:highlight w:val="none"/>
          <w:lang w:val="en-US" w:eastAsia="zh-CN"/>
        </w:rPr>
      </w:pPr>
      <w:r>
        <w:rPr>
          <w:rFonts w:hint="eastAsia" w:ascii="宋体" w:hAnsi="宋体"/>
          <w:b/>
          <w:bCs/>
          <w:color w:val="auto"/>
          <w:sz w:val="21"/>
          <w:szCs w:val="21"/>
          <w:lang w:val="en-US" w:eastAsia="zh-CN"/>
        </w:rPr>
        <w:t>昆明冶金研究院有限公司</w:t>
      </w:r>
    </w:p>
    <w:p w14:paraId="6C3DADCD">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default" w:ascii="Times New Roman" w:hAnsi="Times New Roman" w:eastAsia="宋体" w:cs="Times New Roman"/>
          <w:sz w:val="21"/>
          <w:szCs w:val="21"/>
          <w:highlight w:val="none"/>
          <w:lang w:val="en-US" w:eastAsia="zh-CN"/>
        </w:rPr>
      </w:pPr>
      <w:r>
        <w:rPr>
          <w:rFonts w:hint="eastAsia" w:ascii="宋体" w:hAnsi="宋体"/>
          <w:b/>
          <w:bCs/>
          <w:color w:val="auto"/>
          <w:sz w:val="21"/>
          <w:szCs w:val="21"/>
          <w:lang w:val="en-US" w:eastAsia="zh-CN"/>
        </w:rPr>
        <w:t>中国有色桂林矿产地质研究院有限公司</w:t>
      </w:r>
    </w:p>
    <w:p w14:paraId="4CBCFE73">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北京有色金属与稀土应用研究所有限公司</w:t>
      </w:r>
      <w:r>
        <w:rPr>
          <w:rFonts w:hint="eastAsia" w:ascii="宋体" w:hAnsi="宋体" w:eastAsia="宋体" w:cs="宋体"/>
          <w:color w:val="auto"/>
          <w:sz w:val="21"/>
          <w:szCs w:val="21"/>
          <w:highlight w:val="none"/>
          <w:lang w:eastAsia="zh-CN"/>
        </w:rPr>
        <w:t>成立于1963年，是国家级高新技术企业和中关村高新技术企业。主要从事有色金属焊接材料、功能材料的研究、开发、试制和技术服务，具备加工、微合金化、检测分析（CNAS认可实验室，检测范围涵盖贵金属、铝及铝合金、铜及铜合金、铅及铅合金等金属材料成分检测分析及物理检测分析）、压力加工与成型以及热处理，并广泛应用于国家重点项目中。</w:t>
      </w:r>
    </w:p>
    <w:p w14:paraId="0D91DAFE">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湖南白银股份有限公司</w:t>
      </w:r>
      <w:r>
        <w:rPr>
          <w:rFonts w:hint="eastAsia" w:ascii="宋体" w:hAnsi="宋体" w:eastAsia="宋体" w:cs="宋体"/>
          <w:b w:val="0"/>
          <w:bCs w:val="0"/>
          <w:color w:val="auto"/>
          <w:sz w:val="21"/>
          <w:szCs w:val="21"/>
          <w:highlight w:val="none"/>
          <w:lang w:val="en-US" w:eastAsia="zh-CN"/>
        </w:rPr>
        <w:t>(简称“湖南白银”)原名为郴州市金贵银业股份有限公司，注册资本28.23亿元，是省属国有控股上市企业。公司成立于2004年，主营业务以白银精炼为主，配套铅冶炼，并综合回收金、铋、锑、锌、铜、铟、钯等有价金属，主要产品是白银和电铅，铅年产能10万吨，白银年产能2000吨，综合冶炼及伴生金属回收技术成熟、产能稳定，行业竞争优势突出。公司检测实验室现有各类精密分析仪器设备70余台（套），设备原值超500万元。主要配置电感耦合等离子体发射光谱仪（ICP-AES）、电感耦合等离子体质谱仪（ICP-MS）、光电直读光谱仪、原子荧光光度计、X荧光光谱仪、原子吸收分光光度计、微波消解仪、紫外可见分光光度计等先进检测设备，实验室技术团队结构完善、专业力量雄厚。实验室积极参与国家标准化建设，取得了多项技术成果。先后参与GB/T8152铅精矿化学分析方法等检测分析标准建立工作三十余项，多项获得了“中国有色金属工业科学技术奖”“技术标准优秀奖”等荣誉。</w:t>
      </w:r>
    </w:p>
    <w:p w14:paraId="3B086303">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云南铜业股份有限公司</w:t>
      </w:r>
      <w:r>
        <w:rPr>
          <w:rFonts w:hint="eastAsia" w:ascii="Times New Roman" w:hAnsi="Times New Roman" w:eastAsia="宋体" w:cs="Times New Roman"/>
          <w:b w:val="0"/>
          <w:bCs w:val="0"/>
          <w:sz w:val="21"/>
          <w:szCs w:val="21"/>
          <w:highlight w:val="none"/>
          <w:lang w:val="en-US" w:eastAsia="zh-CN"/>
        </w:rPr>
        <w:t>是国内大型有色金属行业骨干上市企业，隶属中铝集团体系，具备深厚的行业积淀与雄厚的产业实力，是我国重要的铜、金、银及硫化工核心生产基地。公司构建了勘探、采选、冶炼、深加工、化工、贸易一体化的完整有色金属产业链，业务布局全面、产业体系完善。旗下“铁峰”牌阴极铜、金锭、银锭等核心产品已成功入驻国内外主流交易市场，品牌认可度高、市场公信力强，产品广泛应用于工业制造、新能源、电子电气、化工等多个重点领域。作为西南地区铜产业龙头企业，公司依托云南区域资源优势与多年技术积累，生产规模庞大、技术装备先进、质量管理体系完善，综合经营实力稳居国内铜行业前列。持续依托技术创新赋能产业升级，深耕有色金属主业，不断夯实产业链核心竞争力，是国内有色金属行业兼具规模优势、技术优势与品牌优势的标杆企业。</w:t>
      </w:r>
    </w:p>
    <w:p w14:paraId="2C8D9BE8">
      <w:pPr>
        <w:pStyle w:val="8"/>
        <w:keepNext w:val="0"/>
        <w:keepLines w:val="0"/>
        <w:pageBreakBefore w:val="0"/>
        <w:widowControl w:val="0"/>
        <w:kinsoku/>
        <w:wordWrap/>
        <w:overflowPunct/>
        <w:topLinePunct w:val="0"/>
        <w:autoSpaceDE/>
        <w:autoSpaceDN/>
        <w:bidi w:val="0"/>
        <w:adjustRightInd/>
        <w:snapToGrid w:val="0"/>
        <w:ind w:firstLine="422" w:firstLineChars="20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江西铜信检验检测有限公司</w:t>
      </w:r>
      <w:r>
        <w:rPr>
          <w:rFonts w:hint="eastAsia"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以下简称</w:t>
      </w:r>
      <w:r>
        <w:rPr>
          <w:rFonts w:hint="eastAsia"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铜信公司</w:t>
      </w:r>
      <w:r>
        <w:rPr>
          <w:rFonts w:hint="eastAsia" w:ascii="Times New Roman" w:hAnsi="Times New Roman" w:eastAsia="宋体" w:cs="Times New Roman"/>
          <w:sz w:val="21"/>
          <w:szCs w:val="21"/>
          <w:highlight w:val="none"/>
          <w:lang w:val="en-US" w:eastAsia="zh-CN"/>
        </w:rPr>
        <w:t>”）</w:t>
      </w:r>
      <w:r>
        <w:rPr>
          <w:rFonts w:hint="default" w:ascii="Times New Roman" w:hAnsi="Times New Roman" w:eastAsia="宋体" w:cs="Times New Roman"/>
          <w:sz w:val="21"/>
          <w:szCs w:val="21"/>
          <w:highlight w:val="none"/>
          <w:lang w:val="en-US" w:eastAsia="zh-CN"/>
        </w:rPr>
        <w:t>是财富世界500强企业--江西铜业股份有限公司独资控股，公司成立于2022年，是一家集检验检测服务、环境保护监测、环保咨询服务、信息咨询服务、职业卫生技术服务等为一体的检测服务机构。公司前身为贵溪冶炼厂中心化验室，成立于1980年，40多年来十分注重积累并提升检验检测技术能力。1996年起先后参与完成全国首家高纯阴极铜在LME(伦敦金属交易所)的注册工作，“江铜”牌金锭、银锭在LBMA(伦敦金银协会)的注册工作，并成功通过考核；2006年通过中国合格评定国家认可委员会实验室认可；2009年授命为国家铜冶炼及加工工程技术研究中心化验基地。先后参与国家、行业分析方法等80多个标准的起草验证工作。公司自有ICP-MS质谱仪、直读光谱仪、X荧光光谱仪、ICP光谱仪、台离子色谱仪等分析检测仪器80余台，价值2000万元。现有职工107名，其中研究生2名，本科32名、专科56名。专业技术人员102名,其中高级工程师7人、工程师28人。涉及采矿冶金类及化工类检测业务，涵盖铜精矿、粗铜、阴极铜、金、银、硫酸、三氧化二砷、电镀用硫酸铜八大类，共计166个项目取得CNAS和CMA授权</w:t>
      </w:r>
    </w:p>
    <w:p w14:paraId="2133D183">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textAlignment w:val="auto"/>
        <w:rPr>
          <w:rFonts w:hint="eastAsia" w:ascii="黑体" w:hAnsi="黑体" w:eastAsia="黑体" w:cs="黑体"/>
          <w:color w:val="auto"/>
          <w:sz w:val="21"/>
          <w:szCs w:val="21"/>
          <w:highlight w:val="none"/>
          <w:lang w:eastAsia="zh-CN"/>
        </w:rPr>
      </w:pPr>
      <w:r>
        <w:rPr>
          <w:rFonts w:hint="eastAsia" w:ascii="宋体" w:hAnsi="宋体" w:eastAsia="宋体" w:cs="宋体"/>
          <w:b/>
          <w:bCs/>
          <w:sz w:val="21"/>
          <w:szCs w:val="21"/>
          <w:highlight w:val="none"/>
          <w:lang w:val="en-US" w:eastAsia="zh-CN"/>
        </w:rPr>
        <w:t>有色金属技术经济研究院有限责任公司</w:t>
      </w:r>
      <w:r>
        <w:rPr>
          <w:rFonts w:hint="eastAsia" w:ascii="宋体" w:hAnsi="宋体" w:eastAsia="宋体" w:cs="宋体"/>
          <w:sz w:val="21"/>
          <w:szCs w:val="21"/>
          <w:highlight w:val="none"/>
          <w:lang w:val="en-US" w:eastAsia="zh-CN"/>
        </w:rPr>
        <w:t>是我国有色金属标准化归口单位，业务工作隶属国家质量监督检验总局和国家工业和信息化部。负责我国有色金属及稀土国家标准、行业标准及国家军用标准的项目计划、制修订和复审工作，对企业执行的各类标准提供水平认证及企业标准的备案工作；负责有色金属标准样品的鉴定，定点研制单位等认可工作；负责组织制修订有色金属计量管理、技术规范，负责组织有色行业内计量检定人员的培训、发证和换证工作，组织有色企业完善计量检测体系的确认工作；承办全国优秀质量管理小组评选工作，组织开展有色金属产品用户满意度工程活动；研究所是国家科技部认定的国家一级科技查新咨询单位，可通过DIALOG、STN及互联网联机检索国外上百个各种专业数据库，国内可联机检索中国科技信息研究所、国防科技信息中心、机械部信息中心、中国化工信息中心等联机检索系统，作为国家一级查新单位，主要负责全国有色工业系统及相关行业的科研项目查新咨询工作，涉及与全国有色金属工业相关的各专业领域；另外研究所也是国家知识产权局认定的有色金属行业专利代理机构，是国防专利局指定的国防专利代理机构。</w:t>
      </w:r>
    </w:p>
    <w:p w14:paraId="54DF6425">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20" w:firstLineChars="200"/>
        <w:jc w:val="center"/>
        <w:textAlignment w:val="auto"/>
        <w:rPr>
          <w:rFonts w:hint="eastAsia" w:ascii="黑体" w:hAnsi="黑体" w:eastAsia="黑体" w:cs="黑体"/>
          <w:color w:val="auto"/>
          <w:sz w:val="21"/>
          <w:szCs w:val="21"/>
          <w:highlight w:val="none"/>
        </w:rPr>
      </w:pPr>
    </w:p>
    <w:p w14:paraId="12C39559">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20" w:firstLineChars="200"/>
        <w:jc w:val="center"/>
        <w:textAlignment w:val="auto"/>
        <w:rPr>
          <w:rFonts w:hint="eastAsia" w:ascii="Times New Roman" w:hAnsi="Times New Roman" w:eastAsia="宋体" w:cs="Times New Roman"/>
          <w:lang w:val="en-US" w:eastAsia="zh-CN"/>
        </w:rPr>
      </w:pPr>
      <w:r>
        <w:rPr>
          <w:rFonts w:hint="eastAsia" w:ascii="黑体" w:hAnsi="黑体" w:eastAsia="黑体" w:cs="黑体"/>
          <w:color w:val="auto"/>
          <w:sz w:val="21"/>
          <w:szCs w:val="21"/>
          <w:highlight w:val="yellow"/>
        </w:rPr>
        <w:t>表1   标准编制组成员及职责</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7"/>
        <w:gridCol w:w="887"/>
        <w:gridCol w:w="3478"/>
        <w:gridCol w:w="3560"/>
      </w:tblGrid>
      <w:tr w14:paraId="797C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0FF0255C">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序号</w:t>
            </w:r>
          </w:p>
        </w:tc>
        <w:tc>
          <w:tcPr>
            <w:tcW w:w="887" w:type="dxa"/>
            <w:vAlign w:val="center"/>
          </w:tcPr>
          <w:p w14:paraId="43A9EFE4">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姓名</w:t>
            </w:r>
          </w:p>
        </w:tc>
        <w:tc>
          <w:tcPr>
            <w:tcW w:w="3478" w:type="dxa"/>
            <w:vAlign w:val="center"/>
          </w:tcPr>
          <w:p w14:paraId="24853B4F">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单位</w:t>
            </w:r>
          </w:p>
        </w:tc>
        <w:tc>
          <w:tcPr>
            <w:tcW w:w="3560" w:type="dxa"/>
            <w:vAlign w:val="center"/>
          </w:tcPr>
          <w:p w14:paraId="4B70D8A4">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color w:val="auto"/>
                <w:sz w:val="18"/>
                <w:szCs w:val="18"/>
                <w:vertAlign w:val="baseline"/>
                <w:lang w:val="en-US" w:eastAsia="zh-CN"/>
              </w:rPr>
            </w:pPr>
            <w:r>
              <w:rPr>
                <w:rFonts w:hint="eastAsia" w:ascii="宋体" w:hAnsi="宋体" w:eastAsia="宋体" w:cs="宋体"/>
                <w:b/>
                <w:bCs/>
                <w:color w:val="auto"/>
                <w:sz w:val="18"/>
                <w:szCs w:val="18"/>
                <w:vertAlign w:val="baseline"/>
                <w:lang w:val="en-US" w:eastAsia="zh-CN"/>
              </w:rPr>
              <w:t>工作分工</w:t>
            </w:r>
          </w:p>
        </w:tc>
      </w:tr>
      <w:tr w14:paraId="3CB0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1B68D4E6">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vAlign w:val="center"/>
          </w:tcPr>
          <w:p w14:paraId="2EBD0393">
            <w:pPr>
              <w:keepNext w:val="0"/>
              <w:keepLines w:val="0"/>
              <w:widowControl/>
              <w:suppressLineNumbers w:val="0"/>
              <w:jc w:val="left"/>
              <w:textAlignment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李绍文</w:t>
            </w:r>
          </w:p>
        </w:tc>
        <w:tc>
          <w:tcPr>
            <w:tcW w:w="3478" w:type="dxa"/>
            <w:vAlign w:val="center"/>
          </w:tcPr>
          <w:p w14:paraId="5C235FE2">
            <w:pPr>
              <w:keepNext w:val="0"/>
              <w:keepLines w:val="0"/>
              <w:widowControl/>
              <w:suppressLineNumbers w:val="0"/>
              <w:jc w:val="left"/>
              <w:textAlignment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中铝洛阳铜加工有限公司</w:t>
            </w:r>
          </w:p>
        </w:tc>
        <w:tc>
          <w:tcPr>
            <w:tcW w:w="3560" w:type="dxa"/>
            <w:vAlign w:val="center"/>
          </w:tcPr>
          <w:p w14:paraId="590D3B24">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000000"/>
                <w:kern w:val="0"/>
                <w:sz w:val="18"/>
                <w:szCs w:val="18"/>
                <w:highlight w:val="none"/>
                <w:lang w:eastAsia="zh-CN"/>
              </w:rPr>
              <w:t>主起草单位人员，</w:t>
            </w:r>
            <w:r>
              <w:rPr>
                <w:rFonts w:hint="eastAsia" w:ascii="宋体" w:hAnsi="宋体" w:eastAsia="宋体" w:cs="宋体"/>
                <w:color w:val="000000"/>
                <w:kern w:val="0"/>
                <w:sz w:val="18"/>
                <w:szCs w:val="18"/>
                <w:highlight w:val="none"/>
              </w:rPr>
              <w:t>负责标准的工作指导、编写</w:t>
            </w:r>
            <w:r>
              <w:rPr>
                <w:rFonts w:hint="eastAsia" w:ascii="宋体" w:hAnsi="宋体" w:eastAsia="宋体" w:cs="宋体"/>
                <w:color w:val="000000"/>
                <w:kern w:val="0"/>
                <w:sz w:val="18"/>
                <w:szCs w:val="18"/>
                <w:highlight w:val="none"/>
                <w:lang w:eastAsia="zh-CN"/>
              </w:rPr>
              <w:t>、</w:t>
            </w:r>
            <w:r>
              <w:rPr>
                <w:rFonts w:hint="eastAsia" w:ascii="宋体" w:hAnsi="宋体" w:eastAsia="宋体" w:cs="宋体"/>
                <w:color w:val="000000"/>
                <w:kern w:val="0"/>
                <w:sz w:val="18"/>
                <w:szCs w:val="18"/>
                <w:highlight w:val="none"/>
              </w:rPr>
              <w:t>试验方案的</w:t>
            </w:r>
            <w:r>
              <w:rPr>
                <w:rFonts w:hint="eastAsia" w:ascii="宋体" w:hAnsi="宋体" w:eastAsia="宋体" w:cs="宋体"/>
                <w:color w:val="000000"/>
                <w:kern w:val="0"/>
                <w:sz w:val="18"/>
                <w:szCs w:val="18"/>
                <w:highlight w:val="none"/>
                <w:lang w:val="en-US" w:eastAsia="zh-CN"/>
              </w:rPr>
              <w:t>确定、各起草单位</w:t>
            </w:r>
            <w:r>
              <w:rPr>
                <w:rFonts w:hint="eastAsia" w:ascii="宋体" w:hAnsi="宋体" w:eastAsia="宋体" w:cs="宋体"/>
                <w:color w:val="000000"/>
                <w:kern w:val="0"/>
                <w:sz w:val="18"/>
                <w:szCs w:val="18"/>
                <w:highlight w:val="none"/>
              </w:rPr>
              <w:t>组织协调</w:t>
            </w:r>
            <w:r>
              <w:rPr>
                <w:rFonts w:hint="eastAsia" w:ascii="宋体" w:hAnsi="宋体" w:eastAsia="宋体" w:cs="宋体"/>
                <w:color w:val="000000"/>
                <w:kern w:val="0"/>
                <w:sz w:val="18"/>
                <w:szCs w:val="18"/>
                <w:highlight w:val="none"/>
                <w:lang w:eastAsia="zh-CN"/>
              </w:rPr>
              <w:t>。</w:t>
            </w:r>
          </w:p>
        </w:tc>
      </w:tr>
      <w:tr w14:paraId="5E59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03233A5A">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vAlign w:val="center"/>
          </w:tcPr>
          <w:p w14:paraId="4C56A2FB">
            <w:pPr>
              <w:keepNext w:val="0"/>
              <w:keepLines w:val="0"/>
              <w:widowControl/>
              <w:suppressLineNumbers w:val="0"/>
              <w:jc w:val="left"/>
              <w:textAlignment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张砚博</w:t>
            </w:r>
          </w:p>
        </w:tc>
        <w:tc>
          <w:tcPr>
            <w:tcW w:w="3478" w:type="dxa"/>
            <w:vAlign w:val="center"/>
          </w:tcPr>
          <w:p w14:paraId="7EABAC8C">
            <w:pPr>
              <w:keepNext w:val="0"/>
              <w:keepLines w:val="0"/>
              <w:widowControl/>
              <w:suppressLineNumbers w:val="0"/>
              <w:jc w:val="left"/>
              <w:textAlignment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中铝洛阳铜加工有限公司</w:t>
            </w:r>
          </w:p>
        </w:tc>
        <w:tc>
          <w:tcPr>
            <w:tcW w:w="3560" w:type="dxa"/>
            <w:vAlign w:val="center"/>
          </w:tcPr>
          <w:p w14:paraId="45457549">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000000"/>
                <w:kern w:val="0"/>
                <w:sz w:val="18"/>
                <w:szCs w:val="18"/>
                <w:highlight w:val="none"/>
              </w:rPr>
              <w:t>主起草单位</w:t>
            </w:r>
            <w:r>
              <w:rPr>
                <w:rFonts w:hint="eastAsia" w:ascii="宋体" w:hAnsi="宋体" w:eastAsia="宋体" w:cs="宋体"/>
                <w:color w:val="000000"/>
                <w:kern w:val="0"/>
                <w:sz w:val="18"/>
                <w:szCs w:val="18"/>
                <w:highlight w:val="none"/>
                <w:lang w:val="en-US" w:eastAsia="zh-CN"/>
              </w:rPr>
              <w:t>人员</w:t>
            </w:r>
            <w:r>
              <w:rPr>
                <w:rFonts w:hint="eastAsia" w:ascii="宋体" w:hAnsi="宋体" w:eastAsia="宋体" w:cs="宋体"/>
                <w:color w:val="000000"/>
                <w:kern w:val="0"/>
                <w:sz w:val="18"/>
                <w:szCs w:val="18"/>
                <w:highlight w:val="none"/>
              </w:rPr>
              <w:t>，</w:t>
            </w:r>
            <w:r>
              <w:rPr>
                <w:rFonts w:hint="eastAsia" w:ascii="宋体" w:hAnsi="宋体" w:eastAsia="宋体" w:cs="宋体"/>
                <w:color w:val="000000"/>
                <w:kern w:val="0"/>
                <w:sz w:val="18"/>
                <w:szCs w:val="18"/>
                <w:highlight w:val="none"/>
                <w:lang w:eastAsia="zh-CN"/>
              </w:rPr>
              <w:t>负责</w:t>
            </w:r>
            <w:r>
              <w:rPr>
                <w:rFonts w:hint="eastAsia" w:ascii="宋体" w:hAnsi="宋体" w:eastAsia="宋体" w:cs="宋体"/>
                <w:color w:val="000000"/>
                <w:kern w:val="0"/>
                <w:sz w:val="18"/>
                <w:szCs w:val="18"/>
                <w:highlight w:val="none"/>
                <w:lang w:val="en-US" w:eastAsia="zh-CN"/>
              </w:rPr>
              <w:t>标准文本、</w:t>
            </w:r>
            <w:r>
              <w:rPr>
                <w:rFonts w:hint="eastAsia" w:ascii="宋体" w:hAnsi="宋体" w:eastAsia="宋体" w:cs="宋体"/>
                <w:color w:val="000000"/>
                <w:kern w:val="0"/>
                <w:sz w:val="18"/>
                <w:szCs w:val="18"/>
                <w:highlight w:val="none"/>
                <w:lang w:eastAsia="zh-CN"/>
              </w:rPr>
              <w:t>试验</w:t>
            </w:r>
            <w:r>
              <w:rPr>
                <w:rFonts w:hint="eastAsia" w:ascii="宋体" w:hAnsi="宋体" w:eastAsia="宋体" w:cs="宋体"/>
                <w:color w:val="000000"/>
                <w:kern w:val="0"/>
                <w:sz w:val="18"/>
                <w:szCs w:val="18"/>
                <w:highlight w:val="none"/>
                <w:lang w:val="en-US" w:eastAsia="zh-CN"/>
              </w:rPr>
              <w:t>过程</w:t>
            </w:r>
            <w:r>
              <w:rPr>
                <w:rFonts w:hint="eastAsia" w:ascii="宋体" w:hAnsi="宋体" w:eastAsia="宋体" w:cs="宋体"/>
                <w:color w:val="000000"/>
                <w:kern w:val="0"/>
                <w:sz w:val="18"/>
                <w:szCs w:val="18"/>
                <w:highlight w:val="none"/>
                <w:lang w:eastAsia="zh-CN"/>
              </w:rPr>
              <w:t>、</w:t>
            </w:r>
            <w:r>
              <w:rPr>
                <w:rFonts w:hint="eastAsia" w:ascii="宋体" w:hAnsi="宋体" w:eastAsia="宋体" w:cs="宋体"/>
                <w:color w:val="000000"/>
                <w:kern w:val="0"/>
                <w:sz w:val="18"/>
                <w:szCs w:val="18"/>
                <w:highlight w:val="none"/>
              </w:rPr>
              <w:t>标准文件和编制说明编写</w:t>
            </w:r>
          </w:p>
        </w:tc>
      </w:tr>
      <w:tr w14:paraId="23CF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486E6F00">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5403E37F">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张健豪</w:t>
            </w:r>
          </w:p>
        </w:tc>
        <w:tc>
          <w:tcPr>
            <w:tcW w:w="3478" w:type="dxa"/>
            <w:shd w:val="clear" w:color="auto" w:fill="auto"/>
            <w:vAlign w:val="center"/>
          </w:tcPr>
          <w:p w14:paraId="2F0FCC60">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厦门双瑞材料研究院有限公司</w:t>
            </w:r>
          </w:p>
        </w:tc>
        <w:tc>
          <w:tcPr>
            <w:tcW w:w="3560" w:type="dxa"/>
            <w:shd w:val="clear" w:color="auto" w:fill="auto"/>
            <w:vAlign w:val="center"/>
          </w:tcPr>
          <w:p w14:paraId="0FCAA939">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sz w:val="18"/>
                <w:szCs w:val="18"/>
                <w:highlight w:val="none"/>
                <w:lang w:val="en-US" w:eastAsia="zh-CN"/>
              </w:rPr>
              <w:t>一验单位人员，负责方法</w:t>
            </w:r>
            <w:r>
              <w:rPr>
                <w:rFonts w:hint="eastAsia" w:ascii="宋体" w:hAnsi="宋体" w:eastAsia="宋体" w:cs="宋体"/>
                <w:sz w:val="18"/>
                <w:szCs w:val="18"/>
                <w:highlight w:val="none"/>
              </w:rPr>
              <w:t>验证</w:t>
            </w:r>
            <w:r>
              <w:rPr>
                <w:rFonts w:hint="eastAsia" w:ascii="宋体" w:hAnsi="宋体" w:eastAsia="宋体" w:cs="宋体"/>
                <w:sz w:val="18"/>
                <w:szCs w:val="18"/>
                <w:highlight w:val="none"/>
                <w:lang w:eastAsia="zh-CN"/>
              </w:rPr>
              <w:t>试验，</w:t>
            </w:r>
            <w:r>
              <w:rPr>
                <w:rFonts w:hint="eastAsia" w:ascii="宋体" w:hAnsi="宋体" w:eastAsia="宋体" w:cs="宋体"/>
                <w:sz w:val="18"/>
                <w:szCs w:val="18"/>
                <w:highlight w:val="none"/>
              </w:rPr>
              <w:t>对标准文件和编制说明提出修改建议</w:t>
            </w:r>
          </w:p>
        </w:tc>
      </w:tr>
      <w:tr w14:paraId="5A65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42202731">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7787FDEA">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沈方红</w:t>
            </w:r>
          </w:p>
        </w:tc>
        <w:tc>
          <w:tcPr>
            <w:tcW w:w="3478" w:type="dxa"/>
            <w:shd w:val="clear" w:color="auto" w:fill="auto"/>
            <w:vAlign w:val="center"/>
          </w:tcPr>
          <w:p w14:paraId="1FB6BBDC">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浙江省冶金产品质量检验站有限公司</w:t>
            </w:r>
          </w:p>
        </w:tc>
        <w:tc>
          <w:tcPr>
            <w:tcW w:w="3560" w:type="dxa"/>
            <w:shd w:val="clear" w:color="auto" w:fill="auto"/>
            <w:vAlign w:val="center"/>
          </w:tcPr>
          <w:p w14:paraId="026EF21F">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sz w:val="18"/>
                <w:szCs w:val="18"/>
                <w:highlight w:val="none"/>
                <w:lang w:val="en-US" w:eastAsia="zh-CN"/>
              </w:rPr>
              <w:t>一验单位人员，负责方法</w:t>
            </w:r>
            <w:r>
              <w:rPr>
                <w:rFonts w:hint="eastAsia" w:ascii="宋体" w:hAnsi="宋体" w:eastAsia="宋体" w:cs="宋体"/>
                <w:sz w:val="18"/>
                <w:szCs w:val="18"/>
                <w:highlight w:val="none"/>
              </w:rPr>
              <w:t>验证</w:t>
            </w:r>
            <w:r>
              <w:rPr>
                <w:rFonts w:hint="eastAsia" w:ascii="宋体" w:hAnsi="宋体" w:eastAsia="宋体" w:cs="宋体"/>
                <w:sz w:val="18"/>
                <w:szCs w:val="18"/>
                <w:highlight w:val="none"/>
                <w:lang w:eastAsia="zh-CN"/>
              </w:rPr>
              <w:t>试验，</w:t>
            </w:r>
            <w:r>
              <w:rPr>
                <w:rFonts w:hint="eastAsia" w:ascii="宋体" w:hAnsi="宋体" w:eastAsia="宋体" w:cs="宋体"/>
                <w:sz w:val="18"/>
                <w:szCs w:val="18"/>
                <w:highlight w:val="none"/>
              </w:rPr>
              <w:t>对标准文件和编制说明提出修改建议</w:t>
            </w:r>
          </w:p>
        </w:tc>
      </w:tr>
      <w:tr w14:paraId="5614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4602C5E4">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5FE9426B">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蔡燕霞</w:t>
            </w:r>
          </w:p>
        </w:tc>
        <w:tc>
          <w:tcPr>
            <w:tcW w:w="3478" w:type="dxa"/>
            <w:shd w:val="clear" w:color="auto" w:fill="auto"/>
            <w:vAlign w:val="center"/>
          </w:tcPr>
          <w:p w14:paraId="409CC58A">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深圳市中金岭南有色金属股份有限公司</w:t>
            </w:r>
          </w:p>
        </w:tc>
        <w:tc>
          <w:tcPr>
            <w:tcW w:w="3560" w:type="dxa"/>
            <w:shd w:val="clear" w:color="auto" w:fill="auto"/>
            <w:vAlign w:val="center"/>
          </w:tcPr>
          <w:p w14:paraId="1ADA7277">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一验单位人员，负责方法</w:t>
            </w:r>
            <w:r>
              <w:rPr>
                <w:rFonts w:hint="eastAsia" w:ascii="宋体" w:hAnsi="宋体" w:eastAsia="宋体" w:cs="宋体"/>
                <w:sz w:val="18"/>
                <w:szCs w:val="18"/>
                <w:highlight w:val="none"/>
              </w:rPr>
              <w:t>验证</w:t>
            </w:r>
            <w:r>
              <w:rPr>
                <w:rFonts w:hint="eastAsia" w:ascii="宋体" w:hAnsi="宋体" w:eastAsia="宋体" w:cs="宋体"/>
                <w:sz w:val="18"/>
                <w:szCs w:val="18"/>
                <w:highlight w:val="none"/>
                <w:lang w:eastAsia="zh-CN"/>
              </w:rPr>
              <w:t>试验，</w:t>
            </w:r>
            <w:r>
              <w:rPr>
                <w:rFonts w:hint="eastAsia" w:ascii="宋体" w:hAnsi="宋体" w:eastAsia="宋体" w:cs="宋体"/>
                <w:sz w:val="18"/>
                <w:szCs w:val="18"/>
                <w:highlight w:val="none"/>
              </w:rPr>
              <w:t>对标准文件和编制说明提出修改建议</w:t>
            </w:r>
          </w:p>
        </w:tc>
      </w:tr>
      <w:tr w14:paraId="1A00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38838DBD">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70298E8A">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刘晓燕</w:t>
            </w:r>
          </w:p>
        </w:tc>
        <w:tc>
          <w:tcPr>
            <w:tcW w:w="3478" w:type="dxa"/>
            <w:shd w:val="clear" w:color="auto" w:fill="auto"/>
            <w:vAlign w:val="center"/>
          </w:tcPr>
          <w:p w14:paraId="19BD0FCE">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大冶有色设计研究院有限公司</w:t>
            </w:r>
          </w:p>
        </w:tc>
        <w:tc>
          <w:tcPr>
            <w:tcW w:w="3560" w:type="dxa"/>
            <w:shd w:val="clear" w:color="auto" w:fill="auto"/>
            <w:vAlign w:val="center"/>
          </w:tcPr>
          <w:p w14:paraId="587B5C6C">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一验单位人员，负责方法</w:t>
            </w:r>
            <w:r>
              <w:rPr>
                <w:rFonts w:hint="eastAsia" w:ascii="宋体" w:hAnsi="宋体" w:eastAsia="宋体" w:cs="宋体"/>
                <w:sz w:val="18"/>
                <w:szCs w:val="18"/>
                <w:highlight w:val="none"/>
              </w:rPr>
              <w:t>验证</w:t>
            </w:r>
            <w:r>
              <w:rPr>
                <w:rFonts w:hint="eastAsia" w:ascii="宋体" w:hAnsi="宋体" w:eastAsia="宋体" w:cs="宋体"/>
                <w:sz w:val="18"/>
                <w:szCs w:val="18"/>
                <w:highlight w:val="none"/>
                <w:lang w:eastAsia="zh-CN"/>
              </w:rPr>
              <w:t>试验，</w:t>
            </w:r>
            <w:r>
              <w:rPr>
                <w:rFonts w:hint="eastAsia" w:ascii="宋体" w:hAnsi="宋体" w:eastAsia="宋体" w:cs="宋体"/>
                <w:sz w:val="18"/>
                <w:szCs w:val="18"/>
                <w:highlight w:val="none"/>
              </w:rPr>
              <w:t>对标准文件和编制说明提出修改建议</w:t>
            </w:r>
          </w:p>
        </w:tc>
      </w:tr>
      <w:tr w14:paraId="7D7B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47DC2853">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4D1DFA99">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张寅燕</w:t>
            </w:r>
          </w:p>
        </w:tc>
        <w:tc>
          <w:tcPr>
            <w:tcW w:w="3478" w:type="dxa"/>
            <w:shd w:val="clear" w:color="auto" w:fill="auto"/>
            <w:vAlign w:val="center"/>
          </w:tcPr>
          <w:p w14:paraId="5C400140">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昆明冶金研究院有限公司</w:t>
            </w:r>
          </w:p>
        </w:tc>
        <w:tc>
          <w:tcPr>
            <w:tcW w:w="3560" w:type="dxa"/>
            <w:shd w:val="clear" w:color="auto" w:fill="auto"/>
            <w:vAlign w:val="center"/>
          </w:tcPr>
          <w:p w14:paraId="20331709">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一验单位人员，负责方法</w:t>
            </w:r>
            <w:r>
              <w:rPr>
                <w:rFonts w:hint="eastAsia" w:ascii="宋体" w:hAnsi="宋体" w:eastAsia="宋体" w:cs="宋体"/>
                <w:sz w:val="18"/>
                <w:szCs w:val="18"/>
                <w:highlight w:val="none"/>
              </w:rPr>
              <w:t>验证</w:t>
            </w:r>
            <w:r>
              <w:rPr>
                <w:rFonts w:hint="eastAsia" w:ascii="宋体" w:hAnsi="宋体" w:eastAsia="宋体" w:cs="宋体"/>
                <w:sz w:val="18"/>
                <w:szCs w:val="18"/>
                <w:highlight w:val="none"/>
                <w:lang w:eastAsia="zh-CN"/>
              </w:rPr>
              <w:t>试验，</w:t>
            </w:r>
            <w:r>
              <w:rPr>
                <w:rFonts w:hint="eastAsia" w:ascii="宋体" w:hAnsi="宋体" w:eastAsia="宋体" w:cs="宋体"/>
                <w:sz w:val="18"/>
                <w:szCs w:val="18"/>
                <w:highlight w:val="none"/>
              </w:rPr>
              <w:t>对标准文件和编制说明提出修改建议</w:t>
            </w:r>
          </w:p>
        </w:tc>
      </w:tr>
      <w:tr w14:paraId="74A4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6F329B7F">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3FFBB77C">
            <w:pPr>
              <w:keepNext w:val="0"/>
              <w:keepLines w:val="0"/>
              <w:widowControl/>
              <w:suppressLineNumbers w:val="0"/>
              <w:jc w:val="left"/>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韩知为</w:t>
            </w:r>
          </w:p>
        </w:tc>
        <w:tc>
          <w:tcPr>
            <w:tcW w:w="3478" w:type="dxa"/>
            <w:shd w:val="clear" w:color="auto" w:fill="auto"/>
            <w:vAlign w:val="center"/>
          </w:tcPr>
          <w:p w14:paraId="74559465">
            <w:pPr>
              <w:keepNext w:val="0"/>
              <w:keepLines w:val="0"/>
              <w:widowControl/>
              <w:suppressLineNumbers w:val="0"/>
              <w:jc w:val="left"/>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有色金属技术经济研究院有限责任公司</w:t>
            </w:r>
          </w:p>
        </w:tc>
        <w:tc>
          <w:tcPr>
            <w:tcW w:w="3560" w:type="dxa"/>
            <w:shd w:val="clear" w:color="auto" w:fill="auto"/>
            <w:vAlign w:val="center"/>
          </w:tcPr>
          <w:p w14:paraId="612AC3F1">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yellow"/>
                <w:vertAlign w:val="baseline"/>
                <w:lang w:val="en-US" w:eastAsia="zh-CN" w:bidi="ar-SA"/>
              </w:rPr>
            </w:pPr>
            <w:r>
              <w:rPr>
                <w:rFonts w:hint="eastAsia" w:ascii="宋体" w:hAnsi="宋体" w:eastAsia="宋体" w:cs="宋体"/>
                <w:color w:val="000000"/>
                <w:kern w:val="0"/>
                <w:sz w:val="18"/>
                <w:szCs w:val="18"/>
              </w:rPr>
              <w:t>对</w:t>
            </w:r>
            <w:r>
              <w:rPr>
                <w:rFonts w:hint="eastAsia" w:ascii="宋体" w:hAnsi="宋体" w:eastAsia="宋体" w:cs="宋体"/>
                <w:color w:val="000000"/>
                <w:kern w:val="0"/>
                <w:sz w:val="18"/>
                <w:szCs w:val="18"/>
                <w:lang w:val="en-US" w:eastAsia="zh-CN"/>
              </w:rPr>
              <w:t>标准修订方案、</w:t>
            </w:r>
            <w:r>
              <w:rPr>
                <w:rFonts w:hint="eastAsia" w:ascii="宋体" w:hAnsi="宋体" w:eastAsia="宋体" w:cs="宋体"/>
                <w:color w:val="000000"/>
                <w:kern w:val="0"/>
                <w:sz w:val="18"/>
                <w:szCs w:val="18"/>
              </w:rPr>
              <w:t>标准文件和编制说明提出</w:t>
            </w:r>
            <w:r>
              <w:rPr>
                <w:rFonts w:hint="eastAsia" w:ascii="宋体" w:hAnsi="宋体" w:eastAsia="宋体" w:cs="宋体"/>
                <w:color w:val="000000"/>
                <w:kern w:val="0"/>
                <w:sz w:val="18"/>
                <w:szCs w:val="18"/>
                <w:lang w:val="en-US" w:eastAsia="zh-CN"/>
              </w:rPr>
              <w:t>指导。</w:t>
            </w:r>
          </w:p>
        </w:tc>
      </w:tr>
      <w:tr w14:paraId="2B84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679363FF">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165F6C10">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唐莉福</w:t>
            </w:r>
          </w:p>
        </w:tc>
        <w:tc>
          <w:tcPr>
            <w:tcW w:w="3478" w:type="dxa"/>
            <w:shd w:val="clear" w:color="auto" w:fill="auto"/>
            <w:vAlign w:val="center"/>
          </w:tcPr>
          <w:p w14:paraId="20732172">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中国有色桂林矿产地质研究院有限公司</w:t>
            </w:r>
          </w:p>
        </w:tc>
        <w:tc>
          <w:tcPr>
            <w:tcW w:w="3560" w:type="dxa"/>
            <w:shd w:val="clear" w:color="auto" w:fill="auto"/>
            <w:vAlign w:val="center"/>
          </w:tcPr>
          <w:p w14:paraId="4C8B41E9">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二验单位人员，负责方法验证，数据处理，</w:t>
            </w:r>
            <w:r>
              <w:rPr>
                <w:rFonts w:hint="eastAsia" w:ascii="宋体" w:hAnsi="宋体" w:eastAsia="宋体" w:cs="宋体"/>
                <w:sz w:val="18"/>
                <w:szCs w:val="18"/>
                <w:highlight w:val="none"/>
              </w:rPr>
              <w:t>对标准文件和编制说明提出修改建议</w:t>
            </w:r>
          </w:p>
        </w:tc>
      </w:tr>
      <w:tr w14:paraId="57DD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0029AF5E">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3EB185EB">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许丽娟</w:t>
            </w:r>
          </w:p>
        </w:tc>
        <w:tc>
          <w:tcPr>
            <w:tcW w:w="3478" w:type="dxa"/>
            <w:shd w:val="clear" w:color="auto" w:fill="auto"/>
            <w:vAlign w:val="center"/>
          </w:tcPr>
          <w:p w14:paraId="2969179F">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北京有色金属与稀土应用研究所有限公司</w:t>
            </w:r>
          </w:p>
        </w:tc>
        <w:tc>
          <w:tcPr>
            <w:tcW w:w="3560" w:type="dxa"/>
            <w:shd w:val="clear" w:color="auto" w:fill="auto"/>
            <w:vAlign w:val="center"/>
          </w:tcPr>
          <w:p w14:paraId="41CB450A">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二验单位人员，</w:t>
            </w:r>
            <w:r>
              <w:rPr>
                <w:rFonts w:hint="eastAsia" w:ascii="宋体" w:hAnsi="宋体" w:eastAsia="宋体" w:cs="宋体"/>
                <w:sz w:val="18"/>
                <w:szCs w:val="18"/>
                <w:highlight w:val="none"/>
              </w:rPr>
              <w:t>对标准文件和编制说明提出修改建议</w:t>
            </w:r>
          </w:p>
        </w:tc>
      </w:tr>
      <w:tr w14:paraId="7D5A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659FE51E">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1D7D5812">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康如龙</w:t>
            </w:r>
          </w:p>
        </w:tc>
        <w:tc>
          <w:tcPr>
            <w:tcW w:w="3478" w:type="dxa"/>
            <w:shd w:val="clear" w:color="auto" w:fill="auto"/>
            <w:vAlign w:val="center"/>
          </w:tcPr>
          <w:p w14:paraId="7AF6C72D">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湖南白银股份有限公司</w:t>
            </w:r>
          </w:p>
        </w:tc>
        <w:tc>
          <w:tcPr>
            <w:tcW w:w="3560" w:type="dxa"/>
            <w:shd w:val="clear" w:color="auto" w:fill="auto"/>
            <w:vAlign w:val="center"/>
          </w:tcPr>
          <w:p w14:paraId="43B72A9A">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二验单位人员，负责数据收集处理，</w:t>
            </w:r>
            <w:r>
              <w:rPr>
                <w:rFonts w:hint="eastAsia" w:ascii="宋体" w:hAnsi="宋体" w:eastAsia="宋体" w:cs="宋体"/>
                <w:sz w:val="18"/>
                <w:szCs w:val="18"/>
                <w:highlight w:val="none"/>
              </w:rPr>
              <w:t>对标准文件和编制说明提出修改建议</w:t>
            </w:r>
          </w:p>
        </w:tc>
      </w:tr>
      <w:tr w14:paraId="0677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2C502BD3">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6191515E">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段权镁</w:t>
            </w:r>
          </w:p>
        </w:tc>
        <w:tc>
          <w:tcPr>
            <w:tcW w:w="3478" w:type="dxa"/>
            <w:shd w:val="clear" w:color="auto" w:fill="auto"/>
            <w:vAlign w:val="center"/>
          </w:tcPr>
          <w:p w14:paraId="4B8E7E52">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云南铜业股份有限公司</w:t>
            </w:r>
          </w:p>
        </w:tc>
        <w:tc>
          <w:tcPr>
            <w:tcW w:w="3560" w:type="dxa"/>
            <w:shd w:val="clear" w:color="auto" w:fill="auto"/>
            <w:vAlign w:val="center"/>
          </w:tcPr>
          <w:p w14:paraId="7CDA5F18">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二验单位人员，负责数据处理，</w:t>
            </w:r>
            <w:r>
              <w:rPr>
                <w:rFonts w:hint="eastAsia" w:ascii="宋体" w:hAnsi="宋体" w:eastAsia="宋体" w:cs="宋体"/>
                <w:sz w:val="18"/>
                <w:szCs w:val="18"/>
                <w:highlight w:val="none"/>
              </w:rPr>
              <w:t>对标准文件和编制说明提出修改建议</w:t>
            </w:r>
          </w:p>
        </w:tc>
      </w:tr>
      <w:tr w14:paraId="57C6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5B5998CF">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623B7E7E">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肖素群</w:t>
            </w:r>
          </w:p>
        </w:tc>
        <w:tc>
          <w:tcPr>
            <w:tcW w:w="3478" w:type="dxa"/>
            <w:shd w:val="clear" w:color="auto" w:fill="auto"/>
            <w:vAlign w:val="center"/>
          </w:tcPr>
          <w:p w14:paraId="29009B3B">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江西铜信检验检测有限公司</w:t>
            </w:r>
          </w:p>
        </w:tc>
        <w:tc>
          <w:tcPr>
            <w:tcW w:w="3560" w:type="dxa"/>
            <w:shd w:val="clear" w:color="auto" w:fill="auto"/>
            <w:vAlign w:val="center"/>
          </w:tcPr>
          <w:p w14:paraId="4B9A0449">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二验单位人员，负责方法精密度验证试验</w:t>
            </w:r>
          </w:p>
        </w:tc>
      </w:tr>
      <w:tr w14:paraId="04A0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7DC3C8D3">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4C79D663">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寇志磊</w:t>
            </w:r>
          </w:p>
        </w:tc>
        <w:tc>
          <w:tcPr>
            <w:tcW w:w="3478" w:type="dxa"/>
            <w:shd w:val="clear" w:color="auto" w:fill="auto"/>
            <w:vAlign w:val="center"/>
          </w:tcPr>
          <w:p w14:paraId="6A053973">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中铝洛阳铜加工有限公司</w:t>
            </w:r>
          </w:p>
        </w:tc>
        <w:tc>
          <w:tcPr>
            <w:tcW w:w="3560" w:type="dxa"/>
            <w:shd w:val="clear" w:color="auto" w:fill="auto"/>
            <w:vAlign w:val="center"/>
          </w:tcPr>
          <w:p w14:paraId="5DA9402A">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000000"/>
                <w:kern w:val="0"/>
                <w:sz w:val="18"/>
                <w:szCs w:val="18"/>
                <w:highlight w:val="none"/>
                <w:lang w:eastAsia="zh-CN"/>
              </w:rPr>
              <w:t>主起草单位人员，</w:t>
            </w:r>
            <w:r>
              <w:rPr>
                <w:rFonts w:hint="eastAsia" w:ascii="宋体" w:hAnsi="宋体" w:eastAsia="宋体" w:cs="宋体"/>
                <w:color w:val="000000"/>
                <w:kern w:val="0"/>
                <w:sz w:val="18"/>
                <w:szCs w:val="18"/>
                <w:highlight w:val="none"/>
                <w:lang w:val="en-US" w:eastAsia="zh-CN"/>
              </w:rPr>
              <w:t>负责精密度试验，</w:t>
            </w:r>
            <w:r>
              <w:rPr>
                <w:rFonts w:hint="eastAsia" w:ascii="宋体" w:hAnsi="宋体" w:eastAsia="宋体" w:cs="宋体"/>
                <w:sz w:val="18"/>
                <w:szCs w:val="18"/>
                <w:highlight w:val="none"/>
              </w:rPr>
              <w:t>对标准文件和编制说明提出修改建议</w:t>
            </w:r>
            <w:r>
              <w:rPr>
                <w:rFonts w:hint="eastAsia" w:ascii="宋体" w:hAnsi="宋体" w:cs="Times New Roman"/>
                <w:color w:val="000000"/>
                <w:kern w:val="0"/>
                <w:sz w:val="18"/>
                <w:szCs w:val="18"/>
                <w:highlight w:val="none"/>
                <w:lang w:eastAsia="zh-CN"/>
              </w:rPr>
              <w:t>。</w:t>
            </w:r>
          </w:p>
        </w:tc>
      </w:tr>
      <w:tr w14:paraId="36CB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10CFDF70">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6EC8C9B8">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刘攀</w:t>
            </w:r>
          </w:p>
        </w:tc>
        <w:tc>
          <w:tcPr>
            <w:tcW w:w="3478" w:type="dxa"/>
            <w:shd w:val="clear" w:color="auto" w:fill="auto"/>
            <w:vAlign w:val="center"/>
          </w:tcPr>
          <w:p w14:paraId="196B2D53">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厦门双瑞材料研究院有限公司</w:t>
            </w:r>
          </w:p>
        </w:tc>
        <w:tc>
          <w:tcPr>
            <w:tcW w:w="3560" w:type="dxa"/>
            <w:shd w:val="clear" w:color="auto" w:fill="auto"/>
            <w:vAlign w:val="center"/>
          </w:tcPr>
          <w:p w14:paraId="25AA1DA7">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sz w:val="18"/>
                <w:szCs w:val="18"/>
                <w:highlight w:val="none"/>
                <w:lang w:val="en-US" w:eastAsia="zh-CN"/>
              </w:rPr>
              <w:t>一验单位人员，负责数据收集处理，</w:t>
            </w:r>
            <w:r>
              <w:rPr>
                <w:rFonts w:hint="eastAsia" w:ascii="宋体" w:hAnsi="宋体" w:eastAsia="宋体" w:cs="宋体"/>
                <w:sz w:val="18"/>
                <w:szCs w:val="18"/>
                <w:highlight w:val="none"/>
              </w:rPr>
              <w:t>对标准文件和编制说明提出修改建议</w:t>
            </w:r>
          </w:p>
        </w:tc>
      </w:tr>
      <w:tr w14:paraId="2E874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1B378520">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608BD59B">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钱晓东</w:t>
            </w:r>
          </w:p>
        </w:tc>
        <w:tc>
          <w:tcPr>
            <w:tcW w:w="3478" w:type="dxa"/>
            <w:shd w:val="clear" w:color="auto" w:fill="auto"/>
            <w:vAlign w:val="center"/>
          </w:tcPr>
          <w:p w14:paraId="2AE18DFD">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浙江省冶金产品质量检验站有限公司</w:t>
            </w:r>
          </w:p>
        </w:tc>
        <w:tc>
          <w:tcPr>
            <w:tcW w:w="3560" w:type="dxa"/>
            <w:shd w:val="clear" w:color="auto" w:fill="auto"/>
            <w:vAlign w:val="center"/>
          </w:tcPr>
          <w:p w14:paraId="5FD0939A">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000000"/>
                <w:kern w:val="0"/>
                <w:sz w:val="18"/>
                <w:szCs w:val="18"/>
                <w:highlight w:val="none"/>
                <w:lang w:val="en-US" w:eastAsia="zh-CN" w:bidi="ar-SA"/>
              </w:rPr>
            </w:pPr>
            <w:r>
              <w:rPr>
                <w:rFonts w:hint="eastAsia" w:ascii="宋体" w:hAnsi="宋体" w:eastAsia="宋体" w:cs="宋体"/>
                <w:sz w:val="18"/>
                <w:szCs w:val="18"/>
                <w:highlight w:val="none"/>
                <w:lang w:val="en-US" w:eastAsia="zh-CN"/>
              </w:rPr>
              <w:t>一验单位人员，负责数据收集处理，</w:t>
            </w:r>
            <w:r>
              <w:rPr>
                <w:rFonts w:hint="eastAsia" w:ascii="宋体" w:hAnsi="宋体" w:eastAsia="宋体" w:cs="宋体"/>
                <w:sz w:val="18"/>
                <w:szCs w:val="18"/>
                <w:highlight w:val="none"/>
              </w:rPr>
              <w:t>对标准文件和编制说明提出修改建议</w:t>
            </w:r>
          </w:p>
        </w:tc>
      </w:tr>
      <w:tr w14:paraId="7404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5FDE532F">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4C351046">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黄晓玲</w:t>
            </w:r>
          </w:p>
        </w:tc>
        <w:tc>
          <w:tcPr>
            <w:tcW w:w="3478" w:type="dxa"/>
            <w:shd w:val="clear" w:color="auto" w:fill="auto"/>
            <w:vAlign w:val="center"/>
          </w:tcPr>
          <w:p w14:paraId="69F90957">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深圳市中金岭南有色金属股份有限公司</w:t>
            </w:r>
          </w:p>
        </w:tc>
        <w:tc>
          <w:tcPr>
            <w:tcW w:w="3560" w:type="dxa"/>
            <w:shd w:val="clear" w:color="auto" w:fill="auto"/>
            <w:vAlign w:val="center"/>
          </w:tcPr>
          <w:p w14:paraId="36FF7C3F">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一验单位人员，负责数据收集处理，</w:t>
            </w:r>
            <w:r>
              <w:rPr>
                <w:rFonts w:hint="eastAsia" w:ascii="宋体" w:hAnsi="宋体" w:eastAsia="宋体" w:cs="宋体"/>
                <w:sz w:val="18"/>
                <w:szCs w:val="18"/>
                <w:highlight w:val="none"/>
              </w:rPr>
              <w:t>对标准文件和编制说明提出修改建议</w:t>
            </w:r>
          </w:p>
        </w:tc>
      </w:tr>
      <w:tr w14:paraId="4E6D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447AA597">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0105AD3C">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冯加豪</w:t>
            </w:r>
          </w:p>
        </w:tc>
        <w:tc>
          <w:tcPr>
            <w:tcW w:w="3478" w:type="dxa"/>
            <w:shd w:val="clear" w:color="auto" w:fill="auto"/>
            <w:vAlign w:val="center"/>
          </w:tcPr>
          <w:p w14:paraId="3B2ADCCD">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大冶有色设计研究院有限公司</w:t>
            </w:r>
          </w:p>
        </w:tc>
        <w:tc>
          <w:tcPr>
            <w:tcW w:w="3560" w:type="dxa"/>
            <w:shd w:val="clear" w:color="auto" w:fill="auto"/>
            <w:vAlign w:val="center"/>
          </w:tcPr>
          <w:p w14:paraId="7F708752">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一验单位人员，负责方法</w:t>
            </w:r>
            <w:r>
              <w:rPr>
                <w:rFonts w:hint="eastAsia" w:ascii="宋体" w:hAnsi="宋体" w:eastAsia="宋体" w:cs="宋体"/>
                <w:sz w:val="18"/>
                <w:szCs w:val="18"/>
                <w:highlight w:val="none"/>
              </w:rPr>
              <w:t>验证</w:t>
            </w:r>
            <w:r>
              <w:rPr>
                <w:rFonts w:hint="eastAsia" w:ascii="宋体" w:hAnsi="宋体" w:eastAsia="宋体" w:cs="宋体"/>
                <w:sz w:val="18"/>
                <w:szCs w:val="18"/>
                <w:highlight w:val="none"/>
                <w:lang w:eastAsia="zh-CN"/>
              </w:rPr>
              <w:t>试验，</w:t>
            </w:r>
            <w:r>
              <w:rPr>
                <w:rFonts w:hint="eastAsia" w:ascii="宋体" w:hAnsi="宋体" w:eastAsia="宋体" w:cs="宋体"/>
                <w:sz w:val="18"/>
                <w:szCs w:val="18"/>
                <w:highlight w:val="none"/>
                <w:lang w:val="en-US" w:eastAsia="zh-CN"/>
              </w:rPr>
              <w:t>负责数据收集处理</w:t>
            </w:r>
          </w:p>
        </w:tc>
      </w:tr>
      <w:tr w14:paraId="1B8B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05C9F8DA">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77289583">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潘贵娟</w:t>
            </w:r>
          </w:p>
        </w:tc>
        <w:tc>
          <w:tcPr>
            <w:tcW w:w="3478" w:type="dxa"/>
            <w:shd w:val="clear" w:color="auto" w:fill="auto"/>
            <w:vAlign w:val="center"/>
          </w:tcPr>
          <w:p w14:paraId="4B8D34E5">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昆明冶金研究院有限公司</w:t>
            </w:r>
          </w:p>
        </w:tc>
        <w:tc>
          <w:tcPr>
            <w:tcW w:w="3560" w:type="dxa"/>
            <w:shd w:val="clear" w:color="auto" w:fill="auto"/>
            <w:vAlign w:val="center"/>
          </w:tcPr>
          <w:p w14:paraId="2EE2D3FB">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一验单位人员，负责方法验证数据处理，</w:t>
            </w:r>
            <w:r>
              <w:rPr>
                <w:rFonts w:hint="eastAsia" w:ascii="宋体" w:hAnsi="宋体" w:eastAsia="宋体" w:cs="宋体"/>
                <w:sz w:val="18"/>
                <w:szCs w:val="18"/>
                <w:highlight w:val="none"/>
              </w:rPr>
              <w:t>对标准文件和编制说明提出修改建议</w:t>
            </w:r>
          </w:p>
        </w:tc>
      </w:tr>
      <w:tr w14:paraId="2550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1B55E667">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vAlign w:val="center"/>
          </w:tcPr>
          <w:p w14:paraId="18B5E2DF">
            <w:pPr>
              <w:keepNext w:val="0"/>
              <w:keepLines w:val="0"/>
              <w:widowControl/>
              <w:suppressLineNumbers w:val="0"/>
              <w:jc w:val="center"/>
              <w:textAlignment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姚芳</w:t>
            </w:r>
          </w:p>
        </w:tc>
        <w:tc>
          <w:tcPr>
            <w:tcW w:w="3478" w:type="dxa"/>
            <w:shd w:val="clear" w:color="auto" w:fill="auto"/>
            <w:vAlign w:val="center"/>
          </w:tcPr>
          <w:p w14:paraId="43F27C40">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北京有色金属与稀土应用研究所有限公司</w:t>
            </w:r>
          </w:p>
        </w:tc>
        <w:tc>
          <w:tcPr>
            <w:tcW w:w="3560" w:type="dxa"/>
            <w:vAlign w:val="center"/>
          </w:tcPr>
          <w:p w14:paraId="380B295F">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二验单位人员，负责方法验证，数据处理</w:t>
            </w:r>
          </w:p>
        </w:tc>
      </w:tr>
      <w:tr w14:paraId="6A68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55A402F7">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vAlign w:val="center"/>
          </w:tcPr>
          <w:p w14:paraId="2F4595F2">
            <w:pPr>
              <w:keepNext w:val="0"/>
              <w:keepLines w:val="0"/>
              <w:widowControl/>
              <w:suppressLineNumbers w:val="0"/>
              <w:jc w:val="center"/>
              <w:textAlignment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谢明月</w:t>
            </w:r>
          </w:p>
        </w:tc>
        <w:tc>
          <w:tcPr>
            <w:tcW w:w="3478" w:type="dxa"/>
            <w:shd w:val="clear" w:color="auto" w:fill="auto"/>
            <w:vAlign w:val="center"/>
          </w:tcPr>
          <w:p w14:paraId="7BA47E20">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湖南白银股份有限公司</w:t>
            </w:r>
          </w:p>
        </w:tc>
        <w:tc>
          <w:tcPr>
            <w:tcW w:w="3560" w:type="dxa"/>
            <w:vAlign w:val="center"/>
          </w:tcPr>
          <w:p w14:paraId="30C3A543">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sz w:val="18"/>
                <w:szCs w:val="18"/>
                <w:highlight w:val="none"/>
                <w:lang w:val="en-US" w:eastAsia="zh-CN"/>
              </w:rPr>
              <w:t>二验单位人员，负责方法精密度验证试验，数据处理</w:t>
            </w:r>
          </w:p>
        </w:tc>
      </w:tr>
      <w:tr w14:paraId="7A38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6342E279">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4E7832E5">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张健</w:t>
            </w:r>
          </w:p>
        </w:tc>
        <w:tc>
          <w:tcPr>
            <w:tcW w:w="3478" w:type="dxa"/>
            <w:shd w:val="clear" w:color="auto" w:fill="auto"/>
            <w:vAlign w:val="center"/>
          </w:tcPr>
          <w:p w14:paraId="58C77F38">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云南铜业股份有限公司</w:t>
            </w:r>
          </w:p>
        </w:tc>
        <w:tc>
          <w:tcPr>
            <w:tcW w:w="3560" w:type="dxa"/>
            <w:shd w:val="clear" w:color="auto" w:fill="auto"/>
            <w:vAlign w:val="center"/>
          </w:tcPr>
          <w:p w14:paraId="629B59B6">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二验单位人员，负责方法精密度验证试验</w:t>
            </w:r>
          </w:p>
        </w:tc>
      </w:tr>
      <w:tr w14:paraId="3CF3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00A12DD3">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1F959650">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郭自娥</w:t>
            </w:r>
          </w:p>
        </w:tc>
        <w:tc>
          <w:tcPr>
            <w:tcW w:w="3478" w:type="dxa"/>
            <w:shd w:val="clear" w:color="auto" w:fill="auto"/>
            <w:vAlign w:val="center"/>
          </w:tcPr>
          <w:p w14:paraId="3103D6C3">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江西铜信检验检测有限公司</w:t>
            </w:r>
          </w:p>
        </w:tc>
        <w:tc>
          <w:tcPr>
            <w:tcW w:w="3560" w:type="dxa"/>
            <w:shd w:val="clear" w:color="auto" w:fill="auto"/>
            <w:vAlign w:val="center"/>
          </w:tcPr>
          <w:p w14:paraId="0D8DADB4">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二验单位人员，负责数据处理，</w:t>
            </w:r>
            <w:r>
              <w:rPr>
                <w:rFonts w:hint="eastAsia" w:ascii="宋体" w:hAnsi="宋体" w:eastAsia="宋体" w:cs="宋体"/>
                <w:sz w:val="18"/>
                <w:szCs w:val="18"/>
                <w:highlight w:val="none"/>
              </w:rPr>
              <w:t>对标准文件和编制说明提出修改建议</w:t>
            </w:r>
          </w:p>
        </w:tc>
      </w:tr>
      <w:tr w14:paraId="67814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 w:type="dxa"/>
            <w:vAlign w:val="center"/>
          </w:tcPr>
          <w:p w14:paraId="14318534">
            <w:pPr>
              <w:pStyle w:val="4"/>
              <w:keepNext w:val="0"/>
              <w:keepLines w:val="0"/>
              <w:pageBreakBefore w:val="0"/>
              <w:numPr>
                <w:ilvl w:val="0"/>
                <w:numId w:val="3"/>
              </w:numPr>
              <w:kinsoku/>
              <w:wordWrap/>
              <w:overflowPunct/>
              <w:topLinePunct w:val="0"/>
              <w:autoSpaceDE/>
              <w:autoSpaceDN/>
              <w:bidi w:val="0"/>
              <w:adjustRightInd/>
              <w:snapToGrid/>
              <w:spacing w:after="0" w:line="240" w:lineRule="auto"/>
              <w:ind w:left="425" w:leftChars="0" w:hanging="425" w:firstLineChars="0"/>
              <w:jc w:val="center"/>
              <w:textAlignment w:val="auto"/>
              <w:rPr>
                <w:rFonts w:hint="eastAsia" w:ascii="宋体" w:hAnsi="宋体" w:eastAsia="宋体" w:cs="宋体"/>
                <w:color w:val="auto"/>
                <w:sz w:val="18"/>
                <w:szCs w:val="18"/>
                <w:highlight w:val="none"/>
                <w:vertAlign w:val="baseline"/>
                <w:lang w:val="en-US" w:eastAsia="zh-CN"/>
              </w:rPr>
            </w:pPr>
          </w:p>
        </w:tc>
        <w:tc>
          <w:tcPr>
            <w:tcW w:w="887" w:type="dxa"/>
            <w:shd w:val="clear" w:color="auto" w:fill="auto"/>
            <w:vAlign w:val="center"/>
          </w:tcPr>
          <w:p w14:paraId="48159244">
            <w:pPr>
              <w:keepNext w:val="0"/>
              <w:keepLines w:val="0"/>
              <w:widowControl/>
              <w:suppressLineNumbers w:val="0"/>
              <w:jc w:val="center"/>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文语秋</w:t>
            </w:r>
          </w:p>
        </w:tc>
        <w:tc>
          <w:tcPr>
            <w:tcW w:w="3478" w:type="dxa"/>
            <w:shd w:val="clear" w:color="auto" w:fill="auto"/>
            <w:vAlign w:val="center"/>
          </w:tcPr>
          <w:p w14:paraId="5B6A5BD2">
            <w:pPr>
              <w:keepNext w:val="0"/>
              <w:keepLines w:val="0"/>
              <w:widowControl/>
              <w:suppressLineNumbers w:val="0"/>
              <w:jc w:val="left"/>
              <w:textAlignment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昆明冶金研究院有限公司</w:t>
            </w:r>
          </w:p>
        </w:tc>
        <w:tc>
          <w:tcPr>
            <w:tcW w:w="3560" w:type="dxa"/>
            <w:shd w:val="clear" w:color="auto" w:fill="auto"/>
            <w:vAlign w:val="center"/>
          </w:tcPr>
          <w:p w14:paraId="5B352F4B">
            <w:pPr>
              <w:pStyle w:val="4"/>
              <w:keepNext w:val="0"/>
              <w:keepLines w:val="0"/>
              <w:pageBreakBefore w:val="0"/>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sz w:val="18"/>
                <w:szCs w:val="18"/>
                <w:highlight w:val="none"/>
                <w:lang w:val="en-US" w:eastAsia="zh-CN"/>
              </w:rPr>
              <w:t>一验单位人员，负责方法精密度验证试验</w:t>
            </w:r>
          </w:p>
        </w:tc>
      </w:tr>
    </w:tbl>
    <w:p w14:paraId="67492C66">
      <w:pPr>
        <w:pStyle w:val="19"/>
        <w:keepNext w:val="0"/>
        <w:keepLines w:val="0"/>
        <w:pageBreakBefore w:val="0"/>
        <w:kinsoku/>
        <w:wordWrap/>
        <w:overflowPunct/>
        <w:topLinePunct w:val="0"/>
        <w:autoSpaceDE/>
        <w:autoSpaceDN/>
        <w:bidi w:val="0"/>
        <w:adjustRightInd/>
        <w:snapToGrid/>
        <w:spacing w:beforeLines="0" w:afterLines="0" w:line="440" w:lineRule="exact"/>
        <w:textAlignment w:val="auto"/>
        <w:outlineLvl w:val="9"/>
        <w:rPr>
          <w:rFonts w:hint="eastAsia" w:hAnsi="黑体" w:cs="黑体"/>
          <w:color w:val="auto"/>
          <w:sz w:val="21"/>
          <w:szCs w:val="21"/>
        </w:rPr>
      </w:pPr>
      <w:r>
        <w:rPr>
          <w:rFonts w:hint="eastAsia" w:hAnsi="黑体" w:cs="黑体"/>
          <w:color w:val="auto"/>
          <w:sz w:val="21"/>
          <w:szCs w:val="21"/>
          <w:highlight w:val="yellow"/>
        </w:rPr>
        <w:t>1.4 主要工作过程</w:t>
      </w:r>
    </w:p>
    <w:p w14:paraId="6656F860">
      <w:pPr>
        <w:rPr>
          <w:rFonts w:hint="eastAsia"/>
        </w:rPr>
      </w:pPr>
    </w:p>
    <w:p w14:paraId="71E1FD77">
      <w:pPr>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1.4.1预研阶段</w:t>
      </w:r>
    </w:p>
    <w:p w14:paraId="0E73A24F">
      <w:pPr>
        <w:ind w:firstLine="420" w:firstLineChars="200"/>
        <w:rPr>
          <w:rFonts w:hint="eastAsia" w:hAnsi="黑体" w:cs="黑体"/>
          <w:color w:val="auto"/>
          <w:sz w:val="21"/>
          <w:szCs w:val="21"/>
          <w:lang w:val="en-US" w:eastAsia="zh-CN"/>
        </w:rPr>
      </w:pPr>
      <w:r>
        <w:rPr>
          <w:rFonts w:hint="eastAsia" w:hAnsi="黑体" w:cs="黑体"/>
          <w:color w:val="auto"/>
          <w:sz w:val="21"/>
          <w:szCs w:val="21"/>
          <w:lang w:val="en-US" w:eastAsia="zh-CN"/>
        </w:rPr>
        <w:t>在标准起草修订过程中，标准编制组成员查阅了国内外有关铜及铜合金中铅含量检测的相关标准。通过信息收集发现,对于铜及铜合金中铅的化学分析方法，除了本标准以外，除本标准外，国外还有：ISO 4749：1984 《铜合金 铅含量的测定 火焰原子吸收法》、EN 15622-2010《铜和铜合金 铅含量的测定 火焰原子吸收法》、ASTM E478-08(2017) 《铜合金化学分析的标准试验方法》等，国内有GB/T 5121.27-2008《铜及铜合金化学分析方法 第27部分：电感耦合等离子体原子发射光谱法》等方法规定了铜及铜合金中铅含量的分析方法。但这些标准都不能完全满足铅含量为5.0%～35.0%的铜合金检测需求。因此，为了完善铜及铜合金中铅的测定方法，保证标准在国际上的先进性，该标准的修订是十分必要且急需的。</w:t>
      </w:r>
    </w:p>
    <w:p w14:paraId="11870764">
      <w:pPr>
        <w:ind w:firstLine="420" w:firstLineChars="200"/>
        <w:rPr>
          <w:rFonts w:hint="eastAsia" w:hAnsi="黑体" w:cs="黑体"/>
          <w:color w:val="auto"/>
          <w:sz w:val="21"/>
          <w:szCs w:val="21"/>
          <w:lang w:val="en-US" w:eastAsia="zh-CN"/>
        </w:rPr>
      </w:pPr>
      <w:r>
        <w:rPr>
          <w:rFonts w:hint="eastAsia" w:hAnsi="黑体" w:cs="黑体"/>
          <w:color w:val="auto"/>
          <w:sz w:val="21"/>
          <w:szCs w:val="21"/>
          <w:lang w:val="en-US" w:eastAsia="zh-CN"/>
        </w:rPr>
        <w:t>起草单位经过全面调研，确定了含量范围和初步方案，经过为大量的试验和生产实际应用，确定方案准确度高，精密度好，于是向全国有色金属标准化技术委员会提交了立项建议书。</w:t>
      </w:r>
    </w:p>
    <w:p w14:paraId="6F6A1AFA">
      <w:pPr>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1.4.2标准立项</w:t>
      </w:r>
    </w:p>
    <w:p w14:paraId="7FD2019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highlight w:val="none"/>
          <w:lang w:val="en-US" w:eastAsia="zh-CN"/>
        </w:rPr>
      </w:pPr>
      <w:r>
        <w:rPr>
          <w:rFonts w:hint="eastAsia" w:ascii="宋体" w:hAnsi="宋体" w:eastAsia="宋体" w:cs="宋体"/>
          <w:highlight w:val="none"/>
          <w:lang w:val="en-US" w:eastAsia="zh-CN"/>
        </w:rPr>
        <w:t>根据</w:t>
      </w:r>
      <w:r>
        <w:rPr>
          <w:rFonts w:hint="default" w:ascii="Times New Roman" w:hAnsi="Times New Roman" w:eastAsia="宋体" w:cs="Times New Roman"/>
          <w:highlight w:val="none"/>
          <w:lang w:val="en-US" w:eastAsia="zh-CN"/>
        </w:rPr>
        <w:t>2022年2月国家标准化管理委员会下达的《关于开展推荐性国家标准复审工作的通知（国标委发[2022]10号）》的要求</w:t>
      </w:r>
      <w:r>
        <w:rPr>
          <w:rFonts w:hint="eastAsia" w:ascii="Times New Roman" w:hAnsi="Times New Roman" w:eastAsia="宋体" w:cs="Times New Roman"/>
          <w:highlight w:val="none"/>
          <w:lang w:val="en-US" w:eastAsia="zh-CN"/>
        </w:rPr>
        <w:t>，</w:t>
      </w:r>
      <w:r>
        <w:rPr>
          <w:rFonts w:hint="default" w:ascii="Times New Roman" w:hAnsi="Times New Roman" w:eastAsia="宋体" w:cs="Times New Roman"/>
          <w:highlight w:val="none"/>
          <w:lang w:val="en-US" w:eastAsia="zh-CN"/>
        </w:rPr>
        <w:t>2022年5月，全国有色标准化技术委员会通过网络会议召开了项目论证会，会上中铝洛阳铜加工有限公司向全国有色标准化技术委员会重金属分标委全体委员会提交了《铜及铜合金化学分析方法 第</w:t>
      </w:r>
      <w:r>
        <w:rPr>
          <w:rFonts w:hint="eastAsia" w:ascii="Times New Roman" w:hAnsi="Times New Roman" w:cs="Times New Roman"/>
          <w:highlight w:val="none"/>
          <w:lang w:val="en-US" w:eastAsia="zh-CN"/>
        </w:rPr>
        <w:t>3</w:t>
      </w:r>
      <w:r>
        <w:rPr>
          <w:rFonts w:hint="default" w:ascii="Times New Roman" w:hAnsi="Times New Roman" w:eastAsia="宋体" w:cs="Times New Roman"/>
          <w:highlight w:val="none"/>
          <w:lang w:val="en-US" w:eastAsia="zh-CN"/>
        </w:rPr>
        <w:t>部分：</w:t>
      </w:r>
      <w:r>
        <w:rPr>
          <w:rFonts w:hint="eastAsia" w:ascii="Times New Roman" w:hAnsi="Times New Roman" w:cs="Times New Roman"/>
          <w:highlight w:val="none"/>
          <w:lang w:val="en-US" w:eastAsia="zh-CN"/>
        </w:rPr>
        <w:t>铅</w:t>
      </w:r>
      <w:r>
        <w:rPr>
          <w:rFonts w:hint="default" w:ascii="Times New Roman" w:hAnsi="Times New Roman" w:eastAsia="宋体" w:cs="Times New Roman"/>
          <w:highlight w:val="none"/>
          <w:lang w:val="en-US" w:eastAsia="zh-CN"/>
        </w:rPr>
        <w:t>含量的测定》项目建议书、草案及立项报告等材料，经全体委员论证同意立项。随后由秘书处组织全体委员网络投票，投票通过后转报给工业和信息化部科技司，并挂网向社会公开征求意见。</w:t>
      </w:r>
    </w:p>
    <w:p w14:paraId="0E74E1E9">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2025年10月，国家标准化管理委员会发布了《</w:t>
      </w:r>
      <w:r>
        <w:rPr>
          <w:rFonts w:hint="eastAsia" w:ascii="宋体" w:hAnsi="宋体" w:eastAsia="宋体" w:cs="宋体"/>
          <w:lang w:eastAsia="zh-CN"/>
        </w:rPr>
        <w:t>《国家标准委关于下达2025年第七批推荐性国家标准计划及相关标准外文版计划的通知》（国标委发【</w:t>
      </w:r>
      <w:r>
        <w:rPr>
          <w:rFonts w:hint="eastAsia" w:ascii="宋体" w:hAnsi="宋体" w:eastAsia="宋体" w:cs="宋体"/>
          <w:lang w:val="en-US" w:eastAsia="zh-CN"/>
        </w:rPr>
        <w:t>2025</w:t>
      </w:r>
      <w:r>
        <w:rPr>
          <w:rFonts w:hint="eastAsia" w:ascii="宋体" w:hAnsi="宋体" w:eastAsia="宋体" w:cs="宋体"/>
          <w:lang w:eastAsia="zh-CN"/>
        </w:rPr>
        <w:t>】</w:t>
      </w:r>
      <w:r>
        <w:rPr>
          <w:rFonts w:hint="eastAsia" w:ascii="宋体" w:hAnsi="宋体" w:eastAsia="宋体" w:cs="宋体"/>
          <w:lang w:val="en-US" w:eastAsia="zh-CN"/>
        </w:rPr>
        <w:t>43</w:t>
      </w:r>
      <w:r>
        <w:rPr>
          <w:rFonts w:hint="eastAsia" w:ascii="宋体" w:hAnsi="宋体" w:eastAsia="宋体" w:cs="宋体"/>
          <w:lang w:eastAsia="zh-CN"/>
        </w:rPr>
        <w:t>号）</w:t>
      </w:r>
      <w:r>
        <w:rPr>
          <w:rFonts w:hint="eastAsia" w:ascii="宋体" w:hAnsi="宋体" w:eastAsia="宋体" w:cs="宋体"/>
          <w:lang w:val="en-US" w:eastAsia="zh-CN"/>
        </w:rPr>
        <w:t>》，下达修订《铜及铜合金化学分析方法 第3部分 铅含量的测定》国家标准的任务计划，计划号为</w:t>
      </w:r>
      <w:r>
        <w:rPr>
          <w:rFonts w:hint="eastAsia" w:ascii="宋体" w:hAnsi="宋体" w:eastAsia="宋体" w:cs="宋体"/>
          <w:i w:val="0"/>
          <w:color w:val="000000"/>
          <w:kern w:val="0"/>
          <w:sz w:val="20"/>
          <w:szCs w:val="20"/>
          <w:u w:val="none"/>
          <w:lang w:val="en-US" w:eastAsia="zh-CN" w:bidi="ar"/>
        </w:rPr>
        <w:t>20253826-T-610</w:t>
      </w:r>
      <w:r>
        <w:rPr>
          <w:rFonts w:hint="eastAsia" w:ascii="宋体" w:hAnsi="宋体" w:eastAsia="宋体" w:cs="宋体"/>
          <w:lang w:val="en-US" w:eastAsia="zh-CN"/>
        </w:rPr>
        <w:t>，项目完成时限为2026年12月，技术归口单位为全国有色金属标准化技术委员会。</w:t>
      </w:r>
    </w:p>
    <w:p w14:paraId="1AA890DC">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1.4.3起草阶段</w:t>
      </w:r>
    </w:p>
    <w:p w14:paraId="2E7CF9B8">
      <w:pPr>
        <w:pStyle w:val="10"/>
        <w:keepNext w:val="0"/>
        <w:keepLines w:val="0"/>
        <w:pageBreakBefore w:val="0"/>
        <w:widowControl w:val="0"/>
        <w:numPr>
          <w:ilvl w:val="0"/>
          <w:numId w:val="4"/>
        </w:numPr>
        <w:kinsoku/>
        <w:wordWrap/>
        <w:overflowPunct/>
        <w:topLinePunct w:val="0"/>
        <w:autoSpaceDE/>
        <w:autoSpaceDN/>
        <w:bidi w:val="0"/>
        <w:adjustRightInd/>
        <w:snapToGrid/>
        <w:ind w:firstLine="420" w:firstLineChars="200"/>
        <w:jc w:val="both"/>
        <w:textAlignment w:val="auto"/>
        <w:rPr>
          <w:rFonts w:hint="eastAsia" w:cs="宋体"/>
          <w:b w:val="0"/>
          <w:bCs w:val="0"/>
          <w:color w:val="auto"/>
          <w:sz w:val="21"/>
          <w:szCs w:val="21"/>
          <w:highlight w:val="none"/>
          <w:lang w:val="en-US" w:eastAsia="zh-CN"/>
        </w:rPr>
      </w:pPr>
      <w:r>
        <w:rPr>
          <w:rFonts w:hint="eastAsia" w:cs="宋体"/>
          <w:b w:val="0"/>
          <w:bCs w:val="0"/>
          <w:color w:val="auto"/>
          <w:sz w:val="21"/>
          <w:szCs w:val="21"/>
          <w:highlight w:val="none"/>
          <w:lang w:val="en-US" w:eastAsia="zh-CN"/>
        </w:rPr>
        <w:t>第一次会议</w:t>
      </w:r>
    </w:p>
    <w:p w14:paraId="44D297A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cs="Times New Roman"/>
          <w:lang w:val="en-US" w:eastAsia="zh-CN"/>
        </w:rPr>
      </w:pPr>
      <w:r>
        <w:rPr>
          <w:rFonts w:hint="default" w:ascii="Times New Roman" w:hAnsi="Times New Roman" w:eastAsia="宋体" w:cs="Times New Roman"/>
          <w:lang w:val="en-US" w:eastAsia="zh-CN"/>
        </w:rPr>
        <w:t>2025年11月12日，全国有色金属标准化技术委员会在于浙江省杭州市召开了全国有包金属标准工作会议，会上对GB/T 5121.</w:t>
      </w:r>
      <w:r>
        <w:rPr>
          <w:rFonts w:hint="eastAsia" w:ascii="Times New Roman" w:hAnsi="Times New Roman" w:eastAsia="宋体" w:cs="Times New Roman"/>
          <w:lang w:val="en-US" w:eastAsia="zh-CN"/>
        </w:rPr>
        <w:t>3</w:t>
      </w:r>
      <w:r>
        <w:rPr>
          <w:rFonts w:hint="default" w:ascii="Times New Roman" w:hAnsi="Times New Roman" w:eastAsia="宋体" w:cs="Times New Roman"/>
          <w:lang w:val="en-US" w:eastAsia="zh-CN"/>
        </w:rPr>
        <w:t>《铜及铜合金化学分析方法 第</w:t>
      </w:r>
      <w:r>
        <w:rPr>
          <w:rFonts w:hint="eastAsia" w:ascii="Times New Roman" w:hAnsi="Times New Roman" w:eastAsia="宋体" w:cs="Times New Roman"/>
          <w:lang w:val="en-US" w:eastAsia="zh-CN"/>
        </w:rPr>
        <w:t>3</w:t>
      </w:r>
      <w:r>
        <w:rPr>
          <w:rFonts w:hint="default" w:ascii="Times New Roman" w:hAnsi="Times New Roman" w:eastAsia="宋体" w:cs="Times New Roman"/>
          <w:lang w:val="en-US" w:eastAsia="zh-CN"/>
        </w:rPr>
        <w:t>部分：</w:t>
      </w:r>
      <w:r>
        <w:rPr>
          <w:rFonts w:hint="eastAsia" w:ascii="Times New Roman" w:hAnsi="Times New Roman" w:eastAsia="宋体" w:cs="Times New Roman"/>
          <w:lang w:val="en-US" w:eastAsia="zh-CN"/>
        </w:rPr>
        <w:t>铅</w:t>
      </w:r>
      <w:r>
        <w:rPr>
          <w:rFonts w:hint="default" w:ascii="Times New Roman" w:hAnsi="Times New Roman" w:eastAsia="宋体" w:cs="Times New Roman"/>
          <w:lang w:val="en-US" w:eastAsia="zh-CN"/>
        </w:rPr>
        <w:t>含量的测定》标准修订项目进行了分工和任务落实，会上确定了由中铝洛铜加工有限公司为本标准的主编单位，</w:t>
      </w:r>
      <w:r>
        <w:rPr>
          <w:rFonts w:hint="eastAsia" w:ascii="Times New Roman" w:hAnsi="Times New Roman" w:eastAsia="宋体" w:cs="Times New Roman"/>
          <w:lang w:val="en-US" w:eastAsia="zh-CN"/>
        </w:rPr>
        <w:t>负责</w:t>
      </w:r>
      <w:r>
        <w:rPr>
          <w:rFonts w:hint="default" w:ascii="Times New Roman" w:hAnsi="Times New Roman" w:eastAsia="宋体" w:cs="Times New Roman"/>
          <w:lang w:val="en-US" w:eastAsia="zh-CN"/>
        </w:rPr>
        <w:t>试验方案确定及执笔，由</w:t>
      </w:r>
      <w:r>
        <w:rPr>
          <w:rFonts w:hint="eastAsia" w:ascii="宋体" w:hAnsi="宋体"/>
          <w:color w:val="auto"/>
          <w:sz w:val="21"/>
          <w:szCs w:val="21"/>
          <w:lang w:val="en-US" w:eastAsia="zh-CN"/>
        </w:rPr>
        <w:t>厦门双瑞材料研究院有限公司、浙江省冶金产品质量检验站有限公司、深圳市中金岭南有色金属有限责任公司、大冶有色设计研究院有限公司、昆明冶金研究院有限公司、中国有色桂林矿产地质研究院有限公司、北京有色金属与稀土应用研究所有限公司、湖南白银股份有限公司、云南铜业股份有限公司、江西铜信检验检测有限公司等10家单位</w:t>
      </w:r>
      <w:r>
        <w:rPr>
          <w:rFonts w:hint="default" w:ascii="Times New Roman" w:hAnsi="Times New Roman" w:eastAsia="宋体" w:cs="Times New Roman"/>
          <w:lang w:val="en-US" w:eastAsia="zh-CN"/>
        </w:rPr>
        <w:t>协助起草，明确了所采用的方法，同时确定了样品</w:t>
      </w:r>
      <w:r>
        <w:rPr>
          <w:rFonts w:hint="default" w:ascii="Times New Roman" w:hAnsi="Times New Roman" w:cs="Times New Roman"/>
          <w:lang w:val="en-US" w:eastAsia="zh-CN"/>
        </w:rPr>
        <w:t>提供</w:t>
      </w:r>
      <w:r>
        <w:rPr>
          <w:rFonts w:hint="default" w:ascii="Times New Roman" w:hAnsi="Times New Roman" w:eastAsia="宋体" w:cs="Times New Roman"/>
          <w:lang w:val="en-US" w:eastAsia="zh-CN"/>
        </w:rPr>
        <w:t>单位、</w:t>
      </w:r>
      <w:r>
        <w:rPr>
          <w:rFonts w:hint="default" w:ascii="Times New Roman" w:hAnsi="Times New Roman" w:cs="Times New Roman"/>
          <w:lang w:val="en-US" w:eastAsia="zh-CN"/>
        </w:rPr>
        <w:t>试验验证单位、</w:t>
      </w:r>
      <w:r>
        <w:rPr>
          <w:rFonts w:hint="default" w:ascii="Times New Roman" w:hAnsi="Times New Roman" w:eastAsia="宋体" w:cs="Times New Roman"/>
          <w:lang w:val="en-US" w:eastAsia="zh-CN"/>
        </w:rPr>
        <w:t>进度安排等事项</w:t>
      </w:r>
      <w:r>
        <w:rPr>
          <w:rFonts w:hint="default" w:ascii="Times New Roman" w:hAnsi="Times New Roman" w:cs="Times New Roman"/>
          <w:lang w:val="en-US" w:eastAsia="zh-CN"/>
        </w:rPr>
        <w:t>。</w:t>
      </w:r>
    </w:p>
    <w:p w14:paraId="1E335A73">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cs="宋体"/>
          <w:lang w:val="en-US" w:eastAsia="zh-CN"/>
        </w:rPr>
      </w:pPr>
      <w:r>
        <w:rPr>
          <w:rFonts w:hint="default" w:ascii="Times New Roman" w:hAnsi="Times New Roman" w:cs="Times New Roman"/>
          <w:lang w:val="en-US" w:eastAsia="zh-CN"/>
        </w:rPr>
        <w:t>方法一</w:t>
      </w:r>
      <w:r>
        <w:rPr>
          <w:rFonts w:hint="eastAsia" w:ascii="Times New Roman" w:hAnsi="Times New Roman" w:cs="Times New Roman"/>
          <w:lang w:val="en-US" w:eastAsia="zh-CN"/>
        </w:rPr>
        <w:t>和方法二</w:t>
      </w:r>
      <w:r>
        <w:rPr>
          <w:rFonts w:hint="default" w:ascii="Times New Roman" w:hAnsi="Times New Roman" w:cs="Times New Roman"/>
          <w:lang w:val="en-US" w:eastAsia="zh-CN"/>
        </w:rPr>
        <w:t>无技术性改变，由</w:t>
      </w:r>
      <w:r>
        <w:rPr>
          <w:rFonts w:hint="eastAsia" w:ascii="宋体" w:hAnsi="宋体"/>
          <w:color w:val="auto"/>
          <w:sz w:val="21"/>
          <w:szCs w:val="21"/>
          <w:lang w:val="en-US" w:eastAsia="zh-CN"/>
        </w:rPr>
        <w:t>厦门双瑞材料研究院有限公司、浙江省冶金产品质量检验站有限公司、深圳市中金岭南有色金属有限责任公司、大冶有色设计研究院有限公司、昆明冶金研究院有限公司</w:t>
      </w:r>
      <w:r>
        <w:rPr>
          <w:rFonts w:hint="eastAsia" w:ascii="Times New Roman" w:hAnsi="Times New Roman" w:cs="Times New Roman"/>
          <w:lang w:val="en-US" w:eastAsia="zh-CN"/>
        </w:rPr>
        <w:t>负责进行方法精密度验证</w:t>
      </w:r>
      <w:r>
        <w:rPr>
          <w:rFonts w:hint="eastAsia" w:ascii="宋体" w:hAnsi="宋体" w:cs="宋体"/>
          <w:lang w:val="en-US" w:eastAsia="zh-CN"/>
        </w:rPr>
        <w:t>。</w:t>
      </w:r>
    </w:p>
    <w:p w14:paraId="2E2690DA">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lang w:val="en-US" w:eastAsia="zh-CN"/>
        </w:rPr>
      </w:pPr>
      <w:r>
        <w:rPr>
          <w:rFonts w:hint="eastAsia" w:ascii="宋体" w:hAnsi="宋体" w:eastAsia="宋体" w:cs="宋体"/>
          <w:lang w:val="en-US" w:eastAsia="zh-CN"/>
        </w:rPr>
        <w:t>中铝洛阳铜加工有限公司接到任务后立即组织技术人员成立了标准编制组，制定了该标准的研究内容、技术路线、任务分工和进度安排。在拟制定分析方</w:t>
      </w:r>
      <w:r>
        <w:rPr>
          <w:rFonts w:hint="default" w:ascii="Times New Roman" w:hAnsi="Times New Roman" w:eastAsia="宋体" w:cs="Times New Roman"/>
          <w:lang w:val="en-US" w:eastAsia="zh-CN"/>
        </w:rPr>
        <w:t>法开展了多方调研、资料收集后进行试验工作，包括</w:t>
      </w:r>
      <w:r>
        <w:rPr>
          <w:rFonts w:hint="default" w:ascii="Times New Roman" w:hAnsi="Times New Roman" w:cs="Times New Roman"/>
          <w:lang w:val="en-US" w:eastAsia="zh-CN"/>
        </w:rPr>
        <w:t>条件试验</w:t>
      </w:r>
      <w:r>
        <w:rPr>
          <w:rFonts w:hint="default" w:ascii="Times New Roman" w:hAnsi="Times New Roman" w:eastAsia="宋体" w:cs="Times New Roman"/>
          <w:lang w:val="en-US" w:eastAsia="zh-CN"/>
        </w:rPr>
        <w:t>、加标回收及精密度试验等，最终形成了《标准草案》。</w:t>
      </w:r>
    </w:p>
    <w:p w14:paraId="7417D3F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firstLine="420" w:firstLineChars="200"/>
        <w:jc w:val="left"/>
        <w:textAlignment w:val="auto"/>
        <w:outlineLvl w:val="4"/>
        <w:rPr>
          <w:rFonts w:hint="eastAsia" w:ascii="黑体" w:hAnsi="黑体" w:eastAsia="黑体"/>
          <w:color w:val="000000"/>
          <w:kern w:val="0"/>
          <w:szCs w:val="21"/>
          <w:lang w:val="en-US" w:eastAsia="zh-CN"/>
        </w:rPr>
      </w:pPr>
      <w:r>
        <w:rPr>
          <w:rFonts w:hint="eastAsia" w:ascii="宋体" w:hAnsi="宋体" w:cs="宋体"/>
          <w:lang w:val="en-US" w:eastAsia="zh-CN"/>
        </w:rPr>
        <w:t>起草单位</w:t>
      </w:r>
      <w:r>
        <w:rPr>
          <w:rFonts w:hint="default" w:ascii="宋体" w:hAnsi="宋体" w:eastAsia="宋体" w:cs="宋体"/>
          <w:lang w:val="en-US" w:eastAsia="zh-CN"/>
        </w:rPr>
        <w:t>根据</w:t>
      </w:r>
      <w:r>
        <w:rPr>
          <w:rFonts w:hint="eastAsia" w:ascii="宋体" w:hAnsi="宋体" w:cs="宋体"/>
          <w:lang w:val="en-US" w:eastAsia="zh-CN"/>
        </w:rPr>
        <w:t>国内外</w:t>
      </w:r>
      <w:r>
        <w:rPr>
          <w:rFonts w:hint="default" w:ascii="宋体" w:hAnsi="宋体" w:eastAsia="宋体" w:cs="宋体"/>
          <w:lang w:val="en-US" w:eastAsia="zh-CN"/>
        </w:rPr>
        <w:t>市场上铜及铜合金生产和应用情况，开展试验样品的选材、收集、和制备工作，充分考虑到试验样品的代表性。共收集制备了铜及铜合金</w:t>
      </w:r>
      <w:r>
        <w:rPr>
          <w:rFonts w:hint="eastAsia" w:ascii="宋体" w:hAnsi="宋体" w:cs="宋体"/>
          <w:lang w:val="en-US" w:eastAsia="zh-CN"/>
        </w:rPr>
        <w:t>中不同梯度铅含量</w:t>
      </w:r>
      <w:r>
        <w:rPr>
          <w:rFonts w:hint="default" w:ascii="宋体" w:hAnsi="宋体" w:eastAsia="宋体" w:cs="宋体"/>
          <w:lang w:val="en-US" w:eastAsia="zh-CN"/>
        </w:rPr>
        <w:t>样品共计</w:t>
      </w:r>
      <w:r>
        <w:rPr>
          <w:rFonts w:hint="eastAsia" w:ascii="宋体" w:hAnsi="宋体" w:eastAsia="宋体" w:cs="宋体"/>
          <w:lang w:val="en-US" w:eastAsia="zh-CN"/>
        </w:rPr>
        <w:t>6</w:t>
      </w:r>
      <w:r>
        <w:rPr>
          <w:rFonts w:hint="default" w:ascii="宋体" w:hAnsi="宋体" w:eastAsia="宋体" w:cs="宋体"/>
          <w:lang w:val="en-US" w:eastAsia="zh-CN"/>
        </w:rPr>
        <w:t>批</w:t>
      </w:r>
      <w:r>
        <w:rPr>
          <w:rFonts w:hint="eastAsia" w:ascii="宋体" w:hAnsi="宋体" w:cs="宋体"/>
          <w:lang w:val="en-US" w:eastAsia="zh-CN"/>
        </w:rPr>
        <w:t>。其中实际产品5批，标准样品1批，</w:t>
      </w:r>
      <w:r>
        <w:rPr>
          <w:rFonts w:hint="default" w:ascii="宋体" w:hAnsi="宋体" w:eastAsia="宋体" w:cs="宋体"/>
          <w:lang w:val="en-US" w:eastAsia="zh-CN"/>
        </w:rPr>
        <w:t>以上样品作为本标准统一的试验样品，相关信息见表2所示。</w:t>
      </w:r>
    </w:p>
    <w:p w14:paraId="4AD8A305">
      <w:pPr>
        <w:spacing w:beforeLines="50" w:afterLines="50"/>
        <w:jc w:val="center"/>
        <w:rPr>
          <w:rFonts w:hint="default" w:ascii="黑体" w:hAnsi="黑体" w:eastAsia="黑体"/>
          <w:color w:val="000000"/>
          <w:kern w:val="0"/>
          <w:szCs w:val="21"/>
          <w:lang w:val="en-US" w:eastAsia="zh-CN"/>
        </w:rPr>
      </w:pPr>
      <w:r>
        <w:rPr>
          <w:rFonts w:hint="eastAsia" w:ascii="黑体" w:hAnsi="黑体" w:eastAsia="黑体"/>
          <w:color w:val="000000"/>
          <w:kern w:val="0"/>
          <w:szCs w:val="21"/>
          <w:lang w:val="en-US" w:eastAsia="zh-CN"/>
        </w:rPr>
        <w:t>表2 本标准试验样品的基本信息</w:t>
      </w:r>
    </w:p>
    <w:tbl>
      <w:tblPr>
        <w:tblStyle w:val="14"/>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364"/>
        <w:gridCol w:w="1219"/>
        <w:gridCol w:w="1236"/>
        <w:gridCol w:w="2471"/>
      </w:tblGrid>
      <w:tr w14:paraId="38F3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08FFEAED">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序号</w:t>
            </w:r>
          </w:p>
        </w:tc>
        <w:tc>
          <w:tcPr>
            <w:tcW w:w="2364"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43E8D6E9">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试样编号</w:t>
            </w:r>
          </w:p>
        </w:tc>
        <w:tc>
          <w:tcPr>
            <w:tcW w:w="1219"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18C2C931">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样品状态</w:t>
            </w:r>
          </w:p>
        </w:tc>
        <w:tc>
          <w:tcPr>
            <w:tcW w:w="1236"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6598D9D4">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铅的含量水平，%</w:t>
            </w:r>
          </w:p>
        </w:tc>
        <w:tc>
          <w:tcPr>
            <w:tcW w:w="2471"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24806E46">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备注</w:t>
            </w:r>
          </w:p>
        </w:tc>
      </w:tr>
      <w:tr w14:paraId="255F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441826F9">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1</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FFB8">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QPb1-1</w:t>
            </w:r>
          </w:p>
        </w:tc>
        <w:tc>
          <w:tcPr>
            <w:tcW w:w="1219" w:type="dxa"/>
            <w:vMerge w:val="restart"/>
            <w:tcBorders>
              <w:top w:val="single" w:color="000000" w:sz="4" w:space="0"/>
              <w:left w:val="single" w:color="000000" w:sz="4" w:space="0"/>
              <w:right w:val="single" w:color="000000" w:sz="4" w:space="0"/>
            </w:tcBorders>
            <w:shd w:val="clear" w:color="auto" w:fill="FFFFFF"/>
            <w:vAlign w:val="center"/>
          </w:tcPr>
          <w:p w14:paraId="5A766F2F">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样屑</w:t>
            </w:r>
          </w:p>
        </w:tc>
        <w:tc>
          <w:tcPr>
            <w:tcW w:w="12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D7FF5D">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sz w:val="18"/>
                <w:szCs w:val="18"/>
              </w:rPr>
              <w:t>0.0002</w:t>
            </w:r>
            <w:r>
              <w:rPr>
                <w:rFonts w:hint="eastAsia" w:ascii="宋体" w:hAnsi="宋体" w:eastAsia="宋体" w:cs="宋体"/>
                <w:sz w:val="18"/>
                <w:szCs w:val="18"/>
                <w:lang w:val="en-US" w:eastAsia="zh-CN"/>
              </w:rPr>
              <w:t>x</w:t>
            </w:r>
            <w:r>
              <w:rPr>
                <w:rFonts w:hint="eastAsia" w:ascii="宋体" w:hAnsi="宋体" w:eastAsia="宋体" w:cs="宋体"/>
                <w:sz w:val="18"/>
                <w:szCs w:val="18"/>
              </w:rPr>
              <w:t>%</w:t>
            </w:r>
          </w:p>
        </w:tc>
        <w:tc>
          <w:tcPr>
            <w:tcW w:w="2471" w:type="dxa"/>
            <w:vMerge w:val="restart"/>
            <w:tcBorders>
              <w:top w:val="single" w:color="000000" w:sz="4" w:space="0"/>
              <w:left w:val="single" w:color="000000" w:sz="4" w:space="0"/>
              <w:right w:val="single" w:color="000000" w:sz="12" w:space="0"/>
            </w:tcBorders>
            <w:shd w:val="clear" w:color="auto" w:fill="FFFFFF"/>
            <w:vAlign w:val="center"/>
          </w:tcPr>
          <w:p w14:paraId="6A71BD85">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highlight w:val="none"/>
                <w:lang w:val="en-US" w:eastAsia="zh-CN"/>
              </w:rPr>
              <w:t>纯铜实际产品，方法一验证</w:t>
            </w:r>
          </w:p>
        </w:tc>
      </w:tr>
      <w:tr w14:paraId="60718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6C89F279">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2</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9064">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QPb1-2</w:t>
            </w:r>
          </w:p>
        </w:tc>
        <w:tc>
          <w:tcPr>
            <w:tcW w:w="1219" w:type="dxa"/>
            <w:vMerge w:val="continue"/>
            <w:tcBorders>
              <w:left w:val="single" w:color="000000" w:sz="4" w:space="0"/>
              <w:right w:val="single" w:color="000000" w:sz="4" w:space="0"/>
            </w:tcBorders>
            <w:shd w:val="clear" w:color="auto" w:fill="FFFFFF"/>
            <w:vAlign w:val="center"/>
          </w:tcPr>
          <w:p w14:paraId="052D26B9">
            <w:pPr>
              <w:jc w:val="center"/>
              <w:rPr>
                <w:rFonts w:hint="eastAsia" w:ascii="宋体" w:hAnsi="宋体" w:eastAsia="宋体" w:cs="宋体"/>
                <w:b w:val="0"/>
                <w:bCs/>
                <w:color w:val="000000"/>
                <w:kern w:val="0"/>
                <w:sz w:val="18"/>
                <w:szCs w:val="18"/>
                <w:lang w:val="en-US" w:eastAsia="zh-CN"/>
              </w:rPr>
            </w:pPr>
          </w:p>
        </w:tc>
        <w:tc>
          <w:tcPr>
            <w:tcW w:w="12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E6345">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sz w:val="18"/>
                <w:szCs w:val="18"/>
              </w:rPr>
              <w:t>0.001</w:t>
            </w:r>
            <w:r>
              <w:rPr>
                <w:rFonts w:hint="eastAsia" w:ascii="宋体" w:hAnsi="宋体" w:eastAsia="宋体" w:cs="宋体"/>
                <w:sz w:val="18"/>
                <w:szCs w:val="18"/>
                <w:lang w:val="en-US" w:eastAsia="zh-CN"/>
              </w:rPr>
              <w:t>xx</w:t>
            </w:r>
            <w:r>
              <w:rPr>
                <w:rFonts w:hint="eastAsia" w:ascii="宋体" w:hAnsi="宋体" w:eastAsia="宋体" w:cs="宋体"/>
                <w:sz w:val="18"/>
                <w:szCs w:val="18"/>
              </w:rPr>
              <w:t>%</w:t>
            </w:r>
          </w:p>
        </w:tc>
        <w:tc>
          <w:tcPr>
            <w:tcW w:w="2471" w:type="dxa"/>
            <w:vMerge w:val="continue"/>
            <w:tcBorders>
              <w:left w:val="single" w:color="000000" w:sz="4" w:space="0"/>
              <w:bottom w:val="single" w:color="000000" w:sz="4" w:space="0"/>
              <w:right w:val="single" w:color="000000" w:sz="12" w:space="0"/>
            </w:tcBorders>
            <w:shd w:val="clear" w:color="auto" w:fill="FFFFFF"/>
            <w:vAlign w:val="center"/>
          </w:tcPr>
          <w:p w14:paraId="3127A21C">
            <w:pPr>
              <w:jc w:val="center"/>
              <w:rPr>
                <w:rFonts w:hint="eastAsia" w:ascii="宋体" w:hAnsi="宋体" w:eastAsia="宋体" w:cs="宋体"/>
                <w:b w:val="0"/>
                <w:bCs/>
                <w:color w:val="000000"/>
                <w:kern w:val="0"/>
                <w:sz w:val="18"/>
                <w:szCs w:val="18"/>
                <w:lang w:val="en-US" w:eastAsia="zh-CN"/>
              </w:rPr>
            </w:pPr>
          </w:p>
        </w:tc>
      </w:tr>
      <w:tr w14:paraId="59D42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0A061EC9">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3</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0A1DF">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QPb2-1</w:t>
            </w:r>
          </w:p>
        </w:tc>
        <w:tc>
          <w:tcPr>
            <w:tcW w:w="1219" w:type="dxa"/>
            <w:vMerge w:val="continue"/>
            <w:tcBorders>
              <w:left w:val="single" w:color="000000" w:sz="4" w:space="0"/>
              <w:right w:val="single" w:color="000000" w:sz="4" w:space="0"/>
            </w:tcBorders>
            <w:shd w:val="clear" w:color="auto" w:fill="FFFFFF"/>
            <w:vAlign w:val="center"/>
          </w:tcPr>
          <w:p w14:paraId="596CEC9D">
            <w:pPr>
              <w:jc w:val="center"/>
              <w:rPr>
                <w:rFonts w:hint="eastAsia" w:ascii="宋体" w:hAnsi="宋体" w:eastAsia="宋体" w:cs="宋体"/>
                <w:b w:val="0"/>
                <w:bCs/>
                <w:color w:val="000000"/>
                <w:kern w:val="0"/>
                <w:sz w:val="18"/>
                <w:szCs w:val="18"/>
                <w:lang w:val="en-US" w:eastAsia="zh-CN"/>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388C">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bCs/>
                <w:color w:val="000000"/>
                <w:sz w:val="18"/>
                <w:szCs w:val="18"/>
                <w:lang w:val="en-US" w:eastAsia="zh-CN"/>
              </w:rPr>
              <w:t>0.002xx%</w:t>
            </w:r>
          </w:p>
        </w:tc>
        <w:tc>
          <w:tcPr>
            <w:tcW w:w="2471"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33E2167">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highlight w:val="none"/>
                <w:lang w:val="en-US" w:eastAsia="zh-CN"/>
              </w:rPr>
              <w:t>实际产品</w:t>
            </w:r>
            <w:r>
              <w:rPr>
                <w:rFonts w:hint="eastAsia" w:ascii="宋体" w:hAnsi="宋体" w:eastAsia="宋体" w:cs="宋体"/>
                <w:b w:val="0"/>
                <w:bCs/>
                <w:color w:val="000000"/>
                <w:kern w:val="0"/>
                <w:sz w:val="18"/>
                <w:szCs w:val="18"/>
                <w:lang w:val="en-US" w:eastAsia="zh-CN"/>
              </w:rPr>
              <w:t>，</w:t>
            </w:r>
            <w:r>
              <w:rPr>
                <w:rFonts w:hint="eastAsia" w:ascii="宋体" w:hAnsi="宋体" w:eastAsia="宋体" w:cs="宋体"/>
                <w:b w:val="0"/>
                <w:bCs/>
                <w:color w:val="000000"/>
                <w:kern w:val="0"/>
                <w:sz w:val="18"/>
                <w:szCs w:val="18"/>
                <w:highlight w:val="none"/>
                <w:lang w:val="en-US" w:eastAsia="zh-CN"/>
              </w:rPr>
              <w:t>方法二验证</w:t>
            </w:r>
          </w:p>
        </w:tc>
      </w:tr>
      <w:tr w14:paraId="5020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747AA2BF">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4</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E7B3">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QPb2-2</w:t>
            </w:r>
          </w:p>
        </w:tc>
        <w:tc>
          <w:tcPr>
            <w:tcW w:w="1219" w:type="dxa"/>
            <w:vMerge w:val="continue"/>
            <w:tcBorders>
              <w:left w:val="single" w:color="000000" w:sz="4" w:space="0"/>
              <w:right w:val="single" w:color="000000" w:sz="4" w:space="0"/>
            </w:tcBorders>
            <w:shd w:val="clear" w:color="auto" w:fill="FFFFFF"/>
            <w:vAlign w:val="center"/>
          </w:tcPr>
          <w:p w14:paraId="194BC024">
            <w:pPr>
              <w:jc w:val="center"/>
              <w:rPr>
                <w:rFonts w:hint="eastAsia" w:ascii="宋体" w:hAnsi="宋体" w:eastAsia="宋体" w:cs="宋体"/>
                <w:b w:val="0"/>
                <w:bCs/>
                <w:color w:val="000000"/>
                <w:kern w:val="0"/>
                <w:sz w:val="18"/>
                <w:szCs w:val="18"/>
                <w:lang w:val="en-US" w:eastAsia="zh-CN"/>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13F3">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bCs/>
                <w:color w:val="000000"/>
                <w:sz w:val="18"/>
                <w:szCs w:val="18"/>
                <w:lang w:val="en-US" w:eastAsia="zh-CN"/>
              </w:rPr>
              <w:t>0.02xx%</w:t>
            </w:r>
          </w:p>
        </w:tc>
        <w:tc>
          <w:tcPr>
            <w:tcW w:w="2471"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21D13231">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highlight w:val="none"/>
                <w:lang w:val="en-US" w:eastAsia="zh-CN"/>
              </w:rPr>
              <w:t>实际产品</w:t>
            </w:r>
            <w:r>
              <w:rPr>
                <w:rFonts w:hint="eastAsia" w:ascii="宋体" w:hAnsi="宋体" w:eastAsia="宋体" w:cs="宋体"/>
                <w:b w:val="0"/>
                <w:bCs/>
                <w:color w:val="000000"/>
                <w:kern w:val="0"/>
                <w:sz w:val="18"/>
                <w:szCs w:val="18"/>
                <w:lang w:val="en-US" w:eastAsia="zh-CN"/>
              </w:rPr>
              <w:t>，</w:t>
            </w:r>
            <w:r>
              <w:rPr>
                <w:rFonts w:hint="eastAsia" w:ascii="宋体" w:hAnsi="宋体" w:eastAsia="宋体" w:cs="宋体"/>
                <w:b w:val="0"/>
                <w:bCs/>
                <w:color w:val="000000"/>
                <w:kern w:val="0"/>
                <w:sz w:val="18"/>
                <w:szCs w:val="18"/>
                <w:highlight w:val="none"/>
                <w:lang w:val="en-US" w:eastAsia="zh-CN"/>
              </w:rPr>
              <w:t>方法二验证</w:t>
            </w:r>
          </w:p>
        </w:tc>
      </w:tr>
      <w:tr w14:paraId="3581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332B80BE">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5</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A4E3">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QPb2-3</w:t>
            </w:r>
          </w:p>
        </w:tc>
        <w:tc>
          <w:tcPr>
            <w:tcW w:w="1219" w:type="dxa"/>
            <w:vMerge w:val="continue"/>
            <w:tcBorders>
              <w:left w:val="single" w:color="000000" w:sz="4" w:space="0"/>
              <w:right w:val="single" w:color="000000" w:sz="4" w:space="0"/>
            </w:tcBorders>
            <w:shd w:val="clear" w:color="auto" w:fill="FFFFFF"/>
            <w:vAlign w:val="center"/>
          </w:tcPr>
          <w:p w14:paraId="31ABA2DB">
            <w:pPr>
              <w:jc w:val="center"/>
              <w:rPr>
                <w:rFonts w:hint="eastAsia" w:ascii="宋体" w:hAnsi="宋体" w:eastAsia="宋体" w:cs="宋体"/>
                <w:b w:val="0"/>
                <w:bCs/>
                <w:color w:val="000000"/>
                <w:kern w:val="0"/>
                <w:sz w:val="18"/>
                <w:szCs w:val="18"/>
                <w:lang w:val="en-US" w:eastAsia="zh-CN"/>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29C0">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bCs/>
                <w:color w:val="000000"/>
                <w:sz w:val="18"/>
                <w:szCs w:val="18"/>
                <w:lang w:val="en-US" w:eastAsia="zh-CN"/>
              </w:rPr>
              <w:t>0.2xx%</w:t>
            </w:r>
          </w:p>
        </w:tc>
        <w:tc>
          <w:tcPr>
            <w:tcW w:w="2471"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5D576DA3">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highlight w:val="none"/>
                <w:lang w:val="en-US" w:eastAsia="zh-CN"/>
              </w:rPr>
              <w:t>实际产品</w:t>
            </w:r>
            <w:r>
              <w:rPr>
                <w:rFonts w:hint="eastAsia" w:ascii="宋体" w:hAnsi="宋体" w:eastAsia="宋体" w:cs="宋体"/>
                <w:b w:val="0"/>
                <w:bCs/>
                <w:color w:val="000000"/>
                <w:kern w:val="0"/>
                <w:sz w:val="18"/>
                <w:szCs w:val="18"/>
                <w:lang w:val="en-US" w:eastAsia="zh-CN"/>
              </w:rPr>
              <w:t>，</w:t>
            </w:r>
            <w:r>
              <w:rPr>
                <w:rFonts w:hint="eastAsia" w:ascii="宋体" w:hAnsi="宋体" w:eastAsia="宋体" w:cs="宋体"/>
                <w:b w:val="0"/>
                <w:bCs/>
                <w:color w:val="000000"/>
                <w:kern w:val="0"/>
                <w:sz w:val="18"/>
                <w:szCs w:val="18"/>
                <w:highlight w:val="none"/>
                <w:lang w:val="en-US" w:eastAsia="zh-CN"/>
              </w:rPr>
              <w:t>方法二验证</w:t>
            </w:r>
          </w:p>
        </w:tc>
      </w:tr>
      <w:tr w14:paraId="2B22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58189B9D">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6</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A8BF">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QPb2-4</w:t>
            </w:r>
          </w:p>
        </w:tc>
        <w:tc>
          <w:tcPr>
            <w:tcW w:w="1219" w:type="dxa"/>
            <w:vMerge w:val="continue"/>
            <w:tcBorders>
              <w:left w:val="single" w:color="000000" w:sz="4" w:space="0"/>
              <w:right w:val="single" w:color="000000" w:sz="4" w:space="0"/>
            </w:tcBorders>
            <w:shd w:val="clear" w:color="auto" w:fill="FFFFFF"/>
            <w:vAlign w:val="center"/>
          </w:tcPr>
          <w:p w14:paraId="64D571F2">
            <w:pPr>
              <w:jc w:val="center"/>
              <w:rPr>
                <w:rFonts w:hint="eastAsia" w:ascii="宋体" w:hAnsi="宋体" w:eastAsia="宋体" w:cs="宋体"/>
                <w:b w:val="0"/>
                <w:bCs/>
                <w:color w:val="000000"/>
                <w:kern w:val="0"/>
                <w:sz w:val="18"/>
                <w:szCs w:val="18"/>
                <w:lang w:val="en-US" w:eastAsia="zh-CN"/>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7CAF">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bCs/>
                <w:color w:val="000000"/>
                <w:sz w:val="18"/>
                <w:szCs w:val="18"/>
                <w:lang w:val="en-US" w:eastAsia="zh-CN"/>
              </w:rPr>
              <w:t>3.xxx%</w:t>
            </w:r>
          </w:p>
        </w:tc>
        <w:tc>
          <w:tcPr>
            <w:tcW w:w="2471"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4D7E9872">
            <w:pPr>
              <w:jc w:val="center"/>
              <w:rPr>
                <w:rFonts w:hint="eastAsia"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highlight w:val="none"/>
                <w:lang w:val="en-US" w:eastAsia="zh-CN"/>
              </w:rPr>
              <w:t>实际产品</w:t>
            </w:r>
            <w:r>
              <w:rPr>
                <w:rFonts w:hint="eastAsia" w:ascii="宋体" w:hAnsi="宋体" w:eastAsia="宋体" w:cs="宋体"/>
                <w:b w:val="0"/>
                <w:bCs/>
                <w:color w:val="000000"/>
                <w:kern w:val="0"/>
                <w:sz w:val="18"/>
                <w:szCs w:val="18"/>
                <w:lang w:val="en-US" w:eastAsia="zh-CN"/>
              </w:rPr>
              <w:t>，</w:t>
            </w:r>
            <w:r>
              <w:rPr>
                <w:rFonts w:hint="eastAsia" w:ascii="宋体" w:hAnsi="宋体" w:eastAsia="宋体" w:cs="宋体"/>
                <w:b w:val="0"/>
                <w:bCs/>
                <w:color w:val="000000"/>
                <w:kern w:val="0"/>
                <w:sz w:val="18"/>
                <w:szCs w:val="18"/>
                <w:highlight w:val="none"/>
                <w:lang w:val="en-US" w:eastAsia="zh-CN"/>
              </w:rPr>
              <w:t>方法二验证</w:t>
            </w:r>
          </w:p>
        </w:tc>
      </w:tr>
      <w:tr w14:paraId="2E3F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4EA02A57">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7</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DA9B">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QPb3-1（GBW02139）</w:t>
            </w:r>
          </w:p>
        </w:tc>
        <w:tc>
          <w:tcPr>
            <w:tcW w:w="1219" w:type="dxa"/>
            <w:vMerge w:val="continue"/>
            <w:tcBorders>
              <w:left w:val="single" w:color="000000" w:sz="4" w:space="0"/>
              <w:right w:val="single" w:color="000000" w:sz="4" w:space="0"/>
            </w:tcBorders>
            <w:shd w:val="clear" w:color="auto" w:fill="FFFFFF"/>
            <w:vAlign w:val="center"/>
          </w:tcPr>
          <w:p w14:paraId="5CA378A2">
            <w:pPr>
              <w:jc w:val="center"/>
              <w:rPr>
                <w:rFonts w:hint="eastAsia" w:ascii="宋体" w:hAnsi="宋体" w:eastAsia="宋体" w:cs="宋体"/>
                <w:b w:val="0"/>
                <w:bCs/>
                <w:color w:val="000000"/>
                <w:kern w:val="0"/>
                <w:sz w:val="18"/>
                <w:szCs w:val="18"/>
                <w:lang w:val="en-US" w:eastAsia="zh-CN"/>
              </w:rPr>
            </w:pPr>
          </w:p>
        </w:tc>
        <w:tc>
          <w:tcPr>
            <w:tcW w:w="12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5FBA5">
            <w:p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6.16%</w:t>
            </w:r>
          </w:p>
        </w:tc>
        <w:tc>
          <w:tcPr>
            <w:tcW w:w="2471"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03F501A5">
            <w:pPr>
              <w:jc w:val="center"/>
              <w:rPr>
                <w:rFonts w:hint="default" w:ascii="宋体" w:hAnsi="宋体" w:eastAsia="宋体" w:cs="宋体"/>
                <w:b w:val="0"/>
                <w:bCs/>
                <w:color w:val="000000"/>
                <w:kern w:val="0"/>
                <w:sz w:val="18"/>
                <w:szCs w:val="18"/>
                <w:highlight w:val="none"/>
                <w:lang w:val="en-US" w:eastAsia="zh-CN"/>
              </w:rPr>
            </w:pPr>
            <w:r>
              <w:rPr>
                <w:rFonts w:hint="eastAsia" w:ascii="宋体" w:hAnsi="宋体" w:eastAsia="宋体" w:cs="宋体"/>
                <w:b w:val="0"/>
                <w:bCs/>
                <w:color w:val="000000"/>
                <w:kern w:val="0"/>
                <w:sz w:val="18"/>
                <w:szCs w:val="18"/>
                <w:highlight w:val="none"/>
                <w:lang w:val="en-US" w:eastAsia="zh-CN"/>
              </w:rPr>
              <w:t>标准物质，方法三验证</w:t>
            </w:r>
          </w:p>
        </w:tc>
      </w:tr>
      <w:tr w14:paraId="59AF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73B32413">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8</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0D11">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QPb3-2</w:t>
            </w:r>
          </w:p>
        </w:tc>
        <w:tc>
          <w:tcPr>
            <w:tcW w:w="1219" w:type="dxa"/>
            <w:vMerge w:val="continue"/>
            <w:tcBorders>
              <w:left w:val="single" w:color="000000" w:sz="4" w:space="0"/>
              <w:right w:val="single" w:color="000000" w:sz="4" w:space="0"/>
            </w:tcBorders>
            <w:shd w:val="clear" w:color="auto" w:fill="FFFFFF"/>
            <w:vAlign w:val="center"/>
          </w:tcPr>
          <w:p w14:paraId="763E4745">
            <w:pPr>
              <w:jc w:val="center"/>
              <w:rPr>
                <w:rFonts w:hint="eastAsia" w:ascii="宋体" w:hAnsi="宋体" w:eastAsia="宋体" w:cs="宋体"/>
                <w:b w:val="0"/>
                <w:bCs/>
                <w:color w:val="000000"/>
                <w:kern w:val="0"/>
                <w:sz w:val="18"/>
                <w:szCs w:val="18"/>
                <w:lang w:val="en-US" w:eastAsia="zh-CN"/>
              </w:rPr>
            </w:pPr>
          </w:p>
        </w:tc>
        <w:tc>
          <w:tcPr>
            <w:tcW w:w="12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63D5C">
            <w:p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8.8x%</w:t>
            </w:r>
          </w:p>
        </w:tc>
        <w:tc>
          <w:tcPr>
            <w:tcW w:w="2471"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7A7E0F1C">
            <w:pPr>
              <w:jc w:val="center"/>
              <w:rPr>
                <w:rFonts w:hint="eastAsia" w:ascii="宋体" w:hAnsi="宋体" w:eastAsia="宋体" w:cs="宋体"/>
                <w:b w:val="0"/>
                <w:bCs/>
                <w:color w:val="000000"/>
                <w:kern w:val="0"/>
                <w:sz w:val="18"/>
                <w:szCs w:val="18"/>
                <w:highlight w:val="none"/>
                <w:lang w:val="en-US" w:eastAsia="zh-CN"/>
              </w:rPr>
            </w:pPr>
            <w:r>
              <w:rPr>
                <w:rFonts w:hint="eastAsia" w:ascii="宋体" w:hAnsi="宋体" w:eastAsia="宋体" w:cs="宋体"/>
                <w:b w:val="0"/>
                <w:bCs/>
                <w:color w:val="000000"/>
                <w:kern w:val="0"/>
                <w:sz w:val="18"/>
                <w:szCs w:val="18"/>
                <w:highlight w:val="none"/>
                <w:lang w:val="en-US" w:eastAsia="zh-CN"/>
              </w:rPr>
              <w:t>实际产品</w:t>
            </w:r>
            <w:r>
              <w:rPr>
                <w:rFonts w:hint="eastAsia" w:ascii="宋体" w:hAnsi="宋体" w:eastAsia="宋体" w:cs="宋体"/>
                <w:b w:val="0"/>
                <w:bCs/>
                <w:color w:val="000000"/>
                <w:kern w:val="0"/>
                <w:sz w:val="18"/>
                <w:szCs w:val="18"/>
                <w:lang w:val="en-US" w:eastAsia="zh-CN"/>
              </w:rPr>
              <w:t>，</w:t>
            </w:r>
            <w:r>
              <w:rPr>
                <w:rFonts w:hint="eastAsia" w:ascii="宋体" w:hAnsi="宋体" w:eastAsia="宋体" w:cs="宋体"/>
                <w:b w:val="0"/>
                <w:bCs/>
                <w:color w:val="000000"/>
                <w:kern w:val="0"/>
                <w:sz w:val="18"/>
                <w:szCs w:val="18"/>
                <w:highlight w:val="none"/>
                <w:lang w:val="en-US" w:eastAsia="zh-CN"/>
              </w:rPr>
              <w:t>方法三验证</w:t>
            </w:r>
          </w:p>
        </w:tc>
      </w:tr>
      <w:tr w14:paraId="3DAC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1AD71B4B">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9</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69ECA">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QPb3-3（GBW02140）</w:t>
            </w:r>
          </w:p>
        </w:tc>
        <w:tc>
          <w:tcPr>
            <w:tcW w:w="1219" w:type="dxa"/>
            <w:vMerge w:val="continue"/>
            <w:tcBorders>
              <w:left w:val="single" w:color="000000" w:sz="4" w:space="0"/>
              <w:right w:val="single" w:color="000000" w:sz="4" w:space="0"/>
            </w:tcBorders>
            <w:shd w:val="clear" w:color="auto" w:fill="FFFFFF"/>
            <w:vAlign w:val="center"/>
          </w:tcPr>
          <w:p w14:paraId="506BA2D1">
            <w:pPr>
              <w:jc w:val="center"/>
              <w:rPr>
                <w:rFonts w:hint="eastAsia" w:ascii="宋体" w:hAnsi="宋体" w:eastAsia="宋体" w:cs="宋体"/>
                <w:b w:val="0"/>
                <w:bCs/>
                <w:color w:val="000000"/>
                <w:kern w:val="0"/>
                <w:sz w:val="18"/>
                <w:szCs w:val="18"/>
                <w:lang w:val="en-US" w:eastAsia="zh-CN"/>
              </w:rPr>
            </w:pPr>
          </w:p>
        </w:tc>
        <w:tc>
          <w:tcPr>
            <w:tcW w:w="12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37572">
            <w:p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17.62%</w:t>
            </w:r>
          </w:p>
        </w:tc>
        <w:tc>
          <w:tcPr>
            <w:tcW w:w="2471"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3747350E">
            <w:pPr>
              <w:jc w:val="center"/>
              <w:rPr>
                <w:rFonts w:hint="eastAsia" w:ascii="宋体" w:hAnsi="宋体" w:eastAsia="宋体" w:cs="宋体"/>
                <w:b w:val="0"/>
                <w:bCs/>
                <w:color w:val="000000"/>
                <w:kern w:val="0"/>
                <w:sz w:val="18"/>
                <w:szCs w:val="18"/>
                <w:highlight w:val="none"/>
                <w:lang w:val="en-US" w:eastAsia="zh-CN"/>
              </w:rPr>
            </w:pPr>
            <w:r>
              <w:rPr>
                <w:rFonts w:hint="eastAsia" w:ascii="宋体" w:hAnsi="宋体" w:eastAsia="宋体" w:cs="宋体"/>
                <w:b w:val="0"/>
                <w:bCs/>
                <w:color w:val="000000"/>
                <w:kern w:val="0"/>
                <w:sz w:val="18"/>
                <w:szCs w:val="18"/>
                <w:highlight w:val="none"/>
                <w:lang w:val="en-US" w:eastAsia="zh-CN"/>
              </w:rPr>
              <w:t>标准物质，方法三验证</w:t>
            </w:r>
          </w:p>
        </w:tc>
      </w:tr>
      <w:tr w14:paraId="4177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4" w:space="0"/>
              <w:right w:val="single" w:color="000000" w:sz="4" w:space="0"/>
            </w:tcBorders>
            <w:shd w:val="clear" w:color="auto" w:fill="FFFFFF"/>
            <w:vAlign w:val="center"/>
          </w:tcPr>
          <w:p w14:paraId="23610689">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10</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3428">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QPb3-4</w:t>
            </w:r>
          </w:p>
        </w:tc>
        <w:tc>
          <w:tcPr>
            <w:tcW w:w="1219" w:type="dxa"/>
            <w:tcBorders>
              <w:left w:val="single" w:color="000000" w:sz="4" w:space="0"/>
              <w:right w:val="single" w:color="000000" w:sz="4" w:space="0"/>
            </w:tcBorders>
            <w:shd w:val="clear" w:color="auto" w:fill="FFFFFF"/>
            <w:vAlign w:val="center"/>
          </w:tcPr>
          <w:p w14:paraId="3F63226E">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w:t>
            </w:r>
          </w:p>
        </w:tc>
        <w:tc>
          <w:tcPr>
            <w:tcW w:w="12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E37BC">
            <w:p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25.00%</w:t>
            </w:r>
          </w:p>
        </w:tc>
        <w:tc>
          <w:tcPr>
            <w:tcW w:w="2471" w:type="dxa"/>
            <w:tcBorders>
              <w:top w:val="single" w:color="000000" w:sz="4" w:space="0"/>
              <w:left w:val="single" w:color="000000" w:sz="4" w:space="0"/>
              <w:bottom w:val="single" w:color="000000" w:sz="4" w:space="0"/>
              <w:right w:val="single" w:color="000000" w:sz="12" w:space="0"/>
            </w:tcBorders>
            <w:shd w:val="clear" w:color="auto" w:fill="FFFFFF"/>
            <w:vAlign w:val="center"/>
          </w:tcPr>
          <w:p w14:paraId="62171A34">
            <w:pPr>
              <w:jc w:val="center"/>
              <w:rPr>
                <w:rFonts w:hint="eastAsia" w:ascii="宋体" w:hAnsi="宋体" w:eastAsia="宋体" w:cs="宋体"/>
                <w:b w:val="0"/>
                <w:bCs/>
                <w:color w:val="000000"/>
                <w:kern w:val="0"/>
                <w:sz w:val="18"/>
                <w:szCs w:val="18"/>
                <w:highlight w:val="none"/>
                <w:lang w:val="en-US" w:eastAsia="zh-CN"/>
              </w:rPr>
            </w:pPr>
            <w:r>
              <w:rPr>
                <w:rFonts w:hint="eastAsia" w:ascii="宋体" w:hAnsi="宋体" w:eastAsia="宋体" w:cs="宋体"/>
                <w:color w:val="000000"/>
                <w:sz w:val="18"/>
                <w:szCs w:val="18"/>
                <w:highlight w:val="none"/>
                <w:lang w:val="en-US" w:eastAsia="zh-CN"/>
              </w:rPr>
              <w:t>合成样</w:t>
            </w:r>
            <w:r>
              <w:rPr>
                <w:rFonts w:hint="eastAsia" w:ascii="宋体" w:hAnsi="宋体" w:eastAsia="宋体" w:cs="宋体"/>
                <w:b w:val="0"/>
                <w:bCs/>
                <w:color w:val="000000"/>
                <w:kern w:val="0"/>
                <w:sz w:val="18"/>
                <w:szCs w:val="18"/>
                <w:highlight w:val="none"/>
                <w:lang w:val="en-US" w:eastAsia="zh-CN"/>
              </w:rPr>
              <w:t>，方法三验证</w:t>
            </w:r>
          </w:p>
        </w:tc>
      </w:tr>
      <w:tr w14:paraId="49BF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tcBorders>
              <w:top w:val="single" w:color="000000" w:sz="4" w:space="0"/>
              <w:left w:val="single" w:color="000000" w:sz="12" w:space="0"/>
              <w:bottom w:val="single" w:color="000000" w:sz="12" w:space="0"/>
              <w:right w:val="single" w:color="000000" w:sz="4" w:space="0"/>
            </w:tcBorders>
            <w:shd w:val="clear" w:color="auto" w:fill="FFFFFF"/>
            <w:vAlign w:val="center"/>
          </w:tcPr>
          <w:p w14:paraId="44A871F3">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11</w:t>
            </w:r>
          </w:p>
        </w:tc>
        <w:tc>
          <w:tcPr>
            <w:tcW w:w="2364"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399AB078">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color w:val="000000"/>
                <w:sz w:val="18"/>
                <w:szCs w:val="18"/>
                <w:highlight w:val="none"/>
                <w:lang w:val="en-US" w:eastAsia="zh-CN"/>
              </w:rPr>
              <w:t>QPb3-5</w:t>
            </w:r>
          </w:p>
        </w:tc>
        <w:tc>
          <w:tcPr>
            <w:tcW w:w="1219" w:type="dxa"/>
            <w:tcBorders>
              <w:left w:val="single" w:color="000000" w:sz="4" w:space="0"/>
              <w:bottom w:val="single" w:color="000000" w:sz="12" w:space="0"/>
              <w:right w:val="single" w:color="000000" w:sz="4" w:space="0"/>
            </w:tcBorders>
            <w:shd w:val="clear" w:color="auto" w:fill="FFFFFF"/>
            <w:vAlign w:val="center"/>
          </w:tcPr>
          <w:p w14:paraId="05B62A44">
            <w:pPr>
              <w:jc w:val="center"/>
              <w:rPr>
                <w:rFonts w:hint="default" w:ascii="宋体" w:hAnsi="宋体" w:eastAsia="宋体" w:cs="宋体"/>
                <w:b w:val="0"/>
                <w:bCs/>
                <w:color w:val="000000"/>
                <w:kern w:val="0"/>
                <w:sz w:val="18"/>
                <w:szCs w:val="18"/>
                <w:lang w:val="en-US" w:eastAsia="zh-CN"/>
              </w:rPr>
            </w:pPr>
            <w:r>
              <w:rPr>
                <w:rFonts w:hint="eastAsia" w:ascii="宋体" w:hAnsi="宋体" w:eastAsia="宋体" w:cs="宋体"/>
                <w:b w:val="0"/>
                <w:bCs/>
                <w:color w:val="000000"/>
                <w:kern w:val="0"/>
                <w:sz w:val="18"/>
                <w:szCs w:val="18"/>
                <w:lang w:val="en-US" w:eastAsia="zh-CN"/>
              </w:rPr>
              <w:t>/</w:t>
            </w:r>
          </w:p>
        </w:tc>
        <w:tc>
          <w:tcPr>
            <w:tcW w:w="1236" w:type="dxa"/>
            <w:tcBorders>
              <w:top w:val="single" w:color="000000" w:sz="4" w:space="0"/>
              <w:left w:val="single" w:color="000000" w:sz="4" w:space="0"/>
              <w:bottom w:val="single" w:color="000000" w:sz="12" w:space="0"/>
              <w:right w:val="single" w:color="000000" w:sz="4" w:space="0"/>
            </w:tcBorders>
            <w:shd w:val="clear" w:color="auto" w:fill="FFFFFF"/>
            <w:vAlign w:val="center"/>
          </w:tcPr>
          <w:p w14:paraId="5DA83B54">
            <w:pPr>
              <w:jc w:val="center"/>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32.00%</w:t>
            </w:r>
          </w:p>
        </w:tc>
        <w:tc>
          <w:tcPr>
            <w:tcW w:w="2471" w:type="dxa"/>
            <w:tcBorders>
              <w:top w:val="single" w:color="000000" w:sz="4" w:space="0"/>
              <w:left w:val="single" w:color="000000" w:sz="4" w:space="0"/>
              <w:bottom w:val="single" w:color="000000" w:sz="12" w:space="0"/>
              <w:right w:val="single" w:color="000000" w:sz="12" w:space="0"/>
            </w:tcBorders>
            <w:shd w:val="clear" w:color="auto" w:fill="FFFFFF"/>
            <w:vAlign w:val="center"/>
          </w:tcPr>
          <w:p w14:paraId="220B3577">
            <w:pPr>
              <w:jc w:val="center"/>
              <w:rPr>
                <w:rFonts w:hint="eastAsia" w:ascii="宋体" w:hAnsi="宋体" w:eastAsia="宋体" w:cs="宋体"/>
                <w:b w:val="0"/>
                <w:bCs/>
                <w:color w:val="000000"/>
                <w:kern w:val="0"/>
                <w:sz w:val="18"/>
                <w:szCs w:val="18"/>
                <w:highlight w:val="none"/>
                <w:lang w:val="en-US" w:eastAsia="zh-CN"/>
              </w:rPr>
            </w:pPr>
            <w:r>
              <w:rPr>
                <w:rFonts w:hint="eastAsia" w:ascii="宋体" w:hAnsi="宋体" w:eastAsia="宋体" w:cs="宋体"/>
                <w:color w:val="000000"/>
                <w:sz w:val="18"/>
                <w:szCs w:val="18"/>
                <w:highlight w:val="none"/>
                <w:lang w:val="en-US" w:eastAsia="zh-CN"/>
              </w:rPr>
              <w:t>合成样</w:t>
            </w:r>
            <w:r>
              <w:rPr>
                <w:rFonts w:hint="eastAsia" w:ascii="宋体" w:hAnsi="宋体" w:eastAsia="宋体" w:cs="宋体"/>
                <w:b w:val="0"/>
                <w:bCs/>
                <w:color w:val="000000"/>
                <w:kern w:val="0"/>
                <w:sz w:val="18"/>
                <w:szCs w:val="18"/>
                <w:highlight w:val="none"/>
                <w:lang w:val="en-US" w:eastAsia="zh-CN"/>
              </w:rPr>
              <w:t>，方法三验证</w:t>
            </w:r>
          </w:p>
        </w:tc>
      </w:tr>
    </w:tbl>
    <w:p w14:paraId="05E3B4F3">
      <w:pPr>
        <w:widowControl w:val="0"/>
        <w:numPr>
          <w:ilvl w:val="0"/>
          <w:numId w:val="0"/>
        </w:numPr>
        <w:wordWrap/>
        <w:adjustRightInd/>
        <w:snapToGrid/>
        <w:spacing w:before="0" w:beforeLines="0" w:after="0" w:afterLines="0" w:line="360" w:lineRule="auto"/>
        <w:ind w:right="0" w:firstLine="420" w:firstLineChars="200"/>
        <w:jc w:val="left"/>
        <w:textAlignment w:val="auto"/>
        <w:outlineLvl w:val="9"/>
        <w:rPr>
          <w:rFonts w:hint="default" w:ascii="宋体" w:hAnsi="宋体" w:eastAsia="宋体" w:cs="宋体"/>
          <w:lang w:val="en-US" w:eastAsia="zh-CN"/>
        </w:rPr>
      </w:pPr>
    </w:p>
    <w:p w14:paraId="3AA26C9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firstLine="420" w:firstLineChars="200"/>
        <w:jc w:val="left"/>
        <w:textAlignment w:val="auto"/>
        <w:outlineLvl w:val="4"/>
        <w:rPr>
          <w:rFonts w:hint="default" w:ascii="Times New Roman" w:hAnsi="Times New Roman" w:cs="Times New Roman"/>
          <w:lang w:val="en-US" w:eastAsia="zh-CN"/>
        </w:rPr>
      </w:pPr>
      <w:r>
        <w:rPr>
          <w:rFonts w:hint="default" w:ascii="Times New Roman" w:hAnsi="Times New Roman" w:cs="Times New Roman"/>
          <w:lang w:val="en-US" w:eastAsia="zh-CN"/>
        </w:rPr>
        <w:t>202</w:t>
      </w:r>
      <w:r>
        <w:rPr>
          <w:rFonts w:hint="eastAsia" w:ascii="Times New Roman" w:hAnsi="Times New Roman" w:cs="Times New Roman"/>
          <w:lang w:val="en-US" w:eastAsia="zh-CN"/>
        </w:rPr>
        <w:t>5</w:t>
      </w:r>
      <w:r>
        <w:rPr>
          <w:rFonts w:hint="default" w:ascii="Times New Roman" w:hAnsi="Times New Roman" w:cs="Times New Roman"/>
          <w:lang w:val="en-US" w:eastAsia="zh-CN"/>
        </w:rPr>
        <w:t>年</w:t>
      </w:r>
      <w:r>
        <w:rPr>
          <w:rFonts w:hint="eastAsia" w:ascii="Times New Roman" w:hAnsi="Times New Roman" w:cs="Times New Roman"/>
          <w:lang w:val="en-US" w:eastAsia="zh-CN"/>
        </w:rPr>
        <w:t>8</w:t>
      </w:r>
      <w:r>
        <w:rPr>
          <w:rFonts w:hint="default" w:ascii="Times New Roman" w:hAnsi="Times New Roman" w:cs="Times New Roman"/>
          <w:lang w:val="en-US" w:eastAsia="zh-CN"/>
        </w:rPr>
        <w:t>月～202</w:t>
      </w:r>
      <w:r>
        <w:rPr>
          <w:rFonts w:hint="eastAsia" w:ascii="Times New Roman" w:hAnsi="Times New Roman" w:cs="Times New Roman"/>
          <w:lang w:val="en-US" w:eastAsia="zh-CN"/>
        </w:rPr>
        <w:t>6</w:t>
      </w:r>
      <w:r>
        <w:rPr>
          <w:rFonts w:hint="default" w:ascii="Times New Roman" w:hAnsi="Times New Roman" w:cs="Times New Roman"/>
          <w:lang w:val="en-US" w:eastAsia="zh-CN"/>
        </w:rPr>
        <w:t>年</w:t>
      </w:r>
      <w:r>
        <w:rPr>
          <w:rFonts w:hint="eastAsia" w:ascii="Times New Roman" w:hAnsi="Times New Roman" w:cs="Times New Roman"/>
          <w:lang w:val="en-US" w:eastAsia="zh-CN"/>
        </w:rPr>
        <w:t>6</w:t>
      </w:r>
      <w:r>
        <w:rPr>
          <w:rFonts w:hint="default" w:ascii="Times New Roman" w:hAnsi="Times New Roman" w:cs="Times New Roman"/>
          <w:lang w:val="en-US" w:eastAsia="zh-CN"/>
        </w:rPr>
        <w:t>月编制组开展大量试验研究工作，形成了标准文本和编制说明。方法一</w:t>
      </w:r>
      <w:r>
        <w:rPr>
          <w:rFonts w:hint="eastAsia" w:ascii="Times New Roman" w:hAnsi="Times New Roman" w:cs="Times New Roman"/>
          <w:lang w:val="en-US" w:eastAsia="zh-CN"/>
        </w:rPr>
        <w:t>和方法二</w:t>
      </w:r>
      <w:r>
        <w:rPr>
          <w:rFonts w:hint="default" w:ascii="Times New Roman" w:hAnsi="Times New Roman" w:cs="Times New Roman"/>
          <w:lang w:val="en-US" w:eastAsia="zh-CN"/>
        </w:rPr>
        <w:t>因无技术性变化，由</w:t>
      </w:r>
      <w:r>
        <w:rPr>
          <w:rFonts w:hint="eastAsia" w:ascii="Times New Roman" w:hAnsi="Times New Roman" w:cs="Times New Roman"/>
          <w:lang w:val="en-US" w:eastAsia="zh-CN"/>
        </w:rPr>
        <w:t>四</w:t>
      </w:r>
      <w:r>
        <w:rPr>
          <w:rFonts w:hint="default" w:ascii="Times New Roman" w:hAnsi="Times New Roman" w:cs="Times New Roman"/>
          <w:lang w:val="en-US" w:eastAsia="zh-CN"/>
        </w:rPr>
        <w:t>家单位开展精密度验证。方法二试验内容主要包含沉淀硫酸用量试验</w:t>
      </w:r>
      <w:r>
        <w:rPr>
          <w:rFonts w:hint="eastAsia" w:ascii="Times New Roman" w:hAnsi="Times New Roman" w:cs="Times New Roman"/>
          <w:lang w:val="en-US" w:eastAsia="zh-CN"/>
        </w:rPr>
        <w:t>、无水乙醇用量试验、陈化时间试验、乙酸铵加入量试验、</w:t>
      </w:r>
      <w:r>
        <w:rPr>
          <w:rFonts w:hint="default" w:ascii="Times New Roman" w:hAnsi="Times New Roman" w:cs="Times New Roman"/>
          <w:lang w:val="en-US" w:eastAsia="zh-CN"/>
        </w:rPr>
        <w:t>共存元素干扰</w:t>
      </w:r>
      <w:r>
        <w:rPr>
          <w:rFonts w:hint="eastAsia" w:ascii="Times New Roman" w:hAnsi="Times New Roman" w:cs="Times New Roman"/>
          <w:lang w:val="en-US" w:eastAsia="zh-CN"/>
        </w:rPr>
        <w:t>消除</w:t>
      </w:r>
      <w:r>
        <w:rPr>
          <w:rFonts w:hint="default" w:ascii="Times New Roman" w:hAnsi="Times New Roman" w:cs="Times New Roman"/>
          <w:lang w:val="en-US" w:eastAsia="zh-CN"/>
        </w:rPr>
        <w:t>试验</w:t>
      </w:r>
      <w:r>
        <w:rPr>
          <w:rFonts w:hint="eastAsia" w:ascii="Times New Roman" w:hAnsi="Times New Roman" w:cs="Times New Roman"/>
          <w:lang w:val="en-US" w:eastAsia="zh-CN"/>
        </w:rPr>
        <w:t>、方法</w:t>
      </w:r>
      <w:r>
        <w:rPr>
          <w:rFonts w:hint="default" w:ascii="Times New Roman" w:hAnsi="Times New Roman" w:cs="Times New Roman"/>
          <w:lang w:val="en-US" w:eastAsia="zh-CN"/>
        </w:rPr>
        <w:t>精密度试验和正确度试验等。</w:t>
      </w:r>
      <w:r>
        <w:rPr>
          <w:rFonts w:hint="eastAsia" w:ascii="Times New Roman" w:hAnsi="Times New Roman" w:cs="Times New Roman"/>
          <w:lang w:val="en-US" w:eastAsia="zh-CN"/>
        </w:rPr>
        <w:t>最终形成</w:t>
      </w:r>
      <w:r>
        <w:rPr>
          <w:rFonts w:hint="default" w:ascii="Times New Roman" w:hAnsi="Times New Roman" w:cs="Times New Roman"/>
          <w:lang w:val="en-US" w:eastAsia="zh-CN"/>
        </w:rPr>
        <w:t>《征求意见</w:t>
      </w:r>
      <w:r>
        <w:rPr>
          <w:rFonts w:hint="eastAsia" w:ascii="Times New Roman" w:hAnsi="Times New Roman" w:cs="Times New Roman"/>
          <w:lang w:val="en-US" w:eastAsia="zh-CN"/>
        </w:rPr>
        <w:t>1</w:t>
      </w:r>
      <w:r>
        <w:rPr>
          <w:rFonts w:hint="default" w:ascii="Times New Roman" w:hAnsi="Times New Roman" w:cs="Times New Roman"/>
          <w:lang w:val="en-US" w:eastAsia="zh-CN"/>
        </w:rPr>
        <w:t>稿》</w:t>
      </w:r>
      <w:r>
        <w:rPr>
          <w:rFonts w:hint="eastAsia" w:ascii="Times New Roman" w:hAnsi="Times New Roman" w:cs="Times New Roman"/>
          <w:lang w:val="en-US" w:eastAsia="zh-CN"/>
        </w:rPr>
        <w:t>和编制说明。</w:t>
      </w:r>
    </w:p>
    <w:p w14:paraId="70F7997F">
      <w:pPr>
        <w:keepNext w:val="0"/>
        <w:keepLines w:val="0"/>
        <w:pageBreakBefore w:val="0"/>
        <w:widowControl w:val="0"/>
        <w:numPr>
          <w:ilvl w:val="0"/>
          <w:numId w:val="4"/>
        </w:numPr>
        <w:kinsoku/>
        <w:wordWrap/>
        <w:overflowPunct/>
        <w:topLinePunct w:val="0"/>
        <w:autoSpaceDE/>
        <w:autoSpaceDN/>
        <w:bidi w:val="0"/>
        <w:adjustRightInd/>
        <w:snapToGrid/>
        <w:ind w:left="0" w:leftChars="0" w:firstLine="420" w:firstLineChars="20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第二次会议</w:t>
      </w:r>
    </w:p>
    <w:p w14:paraId="3C064823">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firstLine="420" w:firstLineChars="200"/>
        <w:jc w:val="left"/>
        <w:textAlignment w:val="auto"/>
        <w:outlineLvl w:val="4"/>
        <w:rPr>
          <w:rFonts w:hint="default" w:ascii="Times New Roman" w:hAnsi="Times New Roman" w:cs="Times New Roman"/>
          <w:lang w:val="en-US" w:eastAsia="zh-CN"/>
        </w:rPr>
      </w:pPr>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lang w:val="en-US" w:eastAsia="zh-CN"/>
        </w:rPr>
        <w:t>年</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月，全国有色金属标准化技术委员会重金属分标委在</w:t>
      </w:r>
      <w:r>
        <w:rPr>
          <w:rFonts w:hint="eastAsia" w:ascii="Times New Roman" w:hAnsi="Times New Roman" w:cs="Times New Roman"/>
          <w:lang w:val="en-US" w:eastAsia="zh-CN"/>
        </w:rPr>
        <w:t>XX</w:t>
      </w:r>
      <w:r>
        <w:rPr>
          <w:rFonts w:hint="default" w:ascii="Times New Roman" w:hAnsi="Times New Roman" w:cs="Times New Roman"/>
          <w:lang w:val="en-US" w:eastAsia="zh-CN"/>
        </w:rPr>
        <w:t>省</w:t>
      </w:r>
      <w:r>
        <w:rPr>
          <w:rFonts w:hint="eastAsia" w:ascii="Times New Roman" w:hAnsi="Times New Roman" w:cs="Times New Roman"/>
          <w:lang w:val="en-US" w:eastAsia="zh-CN"/>
        </w:rPr>
        <w:t>XX</w:t>
      </w:r>
      <w:r>
        <w:rPr>
          <w:rFonts w:hint="default" w:ascii="Times New Roman" w:hAnsi="Times New Roman" w:cs="Times New Roman"/>
          <w:lang w:val="en-US" w:eastAsia="zh-CN"/>
        </w:rPr>
        <w:t>市召开标准预审会</w:t>
      </w:r>
      <w:r>
        <w:rPr>
          <w:rFonts w:hint="eastAsia" w:ascii="Times New Roman" w:hAnsi="Times New Roman" w:cs="Times New Roman"/>
          <w:lang w:val="en-US" w:eastAsia="zh-CN"/>
        </w:rPr>
        <w:t>。</w:t>
      </w:r>
      <w:r>
        <w:rPr>
          <w:rFonts w:hint="default" w:ascii="Times New Roman" w:hAnsi="Times New Roman" w:cs="Times New Roman"/>
          <w:lang w:val="en-US" w:eastAsia="zh-CN"/>
        </w:rPr>
        <w:t>经汇总，会上各位专家及验证单位主要提出如下意见：</w:t>
      </w:r>
    </w:p>
    <w:p w14:paraId="16A9ACD6">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Theme="minorEastAsia" w:hAnsiTheme="minorEastAsia" w:eastAsiaTheme="minorEastAsia" w:cstheme="minorEastAsia"/>
          <w:color w:val="auto"/>
          <w:sz w:val="21"/>
          <w:szCs w:val="21"/>
          <w:highlight w:val="none"/>
        </w:rPr>
      </w:pPr>
    </w:p>
    <w:p w14:paraId="3EB9BE67">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default" w:ascii="Times New Roman" w:hAnsi="Times New Roman" w:cs="Times New Roman"/>
          <w:lang w:val="en-US" w:eastAsia="zh-CN"/>
        </w:rPr>
      </w:pPr>
      <w:r>
        <w:rPr>
          <w:rFonts w:hint="eastAsia" w:asciiTheme="minorEastAsia" w:hAnsiTheme="minorEastAsia" w:eastAsiaTheme="minorEastAsia" w:cstheme="minorEastAsia"/>
          <w:color w:val="auto"/>
          <w:sz w:val="21"/>
          <w:szCs w:val="21"/>
          <w:highlight w:val="none"/>
        </w:rPr>
        <w:t>编制组根据会议专家意见和</w:t>
      </w:r>
      <w:r>
        <w:rPr>
          <w:rFonts w:hint="default" w:ascii="Times New Roman" w:hAnsi="Times New Roman" w:cs="Times New Roman"/>
          <w:lang w:val="en-US" w:eastAsia="zh-CN"/>
        </w:rPr>
        <w:t>在社会中征集</w:t>
      </w:r>
      <w:r>
        <w:rPr>
          <w:rFonts w:hint="eastAsia" w:asciiTheme="minorEastAsia" w:hAnsiTheme="minorEastAsia" w:eastAsiaTheme="minorEastAsia" w:cstheme="minorEastAsia"/>
          <w:color w:val="auto"/>
          <w:sz w:val="21"/>
          <w:szCs w:val="21"/>
          <w:highlight w:val="none"/>
        </w:rPr>
        <w:t>回函意见情况，对标准稿进行修改和完善，</w:t>
      </w:r>
      <w:r>
        <w:rPr>
          <w:rFonts w:hint="default" w:ascii="Times New Roman" w:hAnsi="Times New Roman" w:cs="Times New Roman"/>
          <w:lang w:val="en-US" w:eastAsia="zh-CN"/>
        </w:rPr>
        <w:t>于</w:t>
      </w:r>
    </w:p>
    <w:p w14:paraId="48FA1BB2">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cs="宋体"/>
          <w:lang w:val="en-US" w:eastAsia="zh-CN"/>
        </w:rPr>
      </w:pPr>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lang w:val="en-US" w:eastAsia="zh-CN"/>
        </w:rPr>
        <w:t>年</w:t>
      </w:r>
      <w:r>
        <w:rPr>
          <w:rFonts w:hint="eastAsia" w:ascii="Times New Roman" w:hAnsi="Times New Roman" w:cs="Times New Roman"/>
          <w:lang w:val="en-US" w:eastAsia="zh-CN"/>
        </w:rPr>
        <w:t>XX</w:t>
      </w:r>
      <w:r>
        <w:rPr>
          <w:rFonts w:hint="default" w:ascii="Times New Roman" w:hAnsi="Times New Roman" w:cs="Times New Roman"/>
          <w:lang w:val="en-US" w:eastAsia="zh-CN"/>
        </w:rPr>
        <w:t>月形成了《征求意见2稿》及《编制说明》</w:t>
      </w:r>
      <w:r>
        <w:rPr>
          <w:rFonts w:hint="eastAsia" w:ascii="Times New Roman" w:hAnsi="Times New Roman" w:cs="Times New Roman"/>
          <w:lang w:val="en-US" w:eastAsia="zh-CN"/>
        </w:rPr>
        <w:t>。</w:t>
      </w:r>
    </w:p>
    <w:p w14:paraId="0B4619D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right="0" w:firstLine="420" w:firstLineChars="200"/>
        <w:jc w:val="left"/>
        <w:textAlignment w:val="auto"/>
        <w:outlineLvl w:val="4"/>
        <w:rPr>
          <w:rFonts w:hint="default" w:ascii="宋体" w:hAnsi="宋体" w:cs="宋体"/>
          <w:lang w:val="en-US" w:eastAsia="zh-CN"/>
        </w:rPr>
      </w:pPr>
    </w:p>
    <w:p w14:paraId="0A33DB53">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1.4.4征求意见阶段</w:t>
      </w:r>
    </w:p>
    <w:p w14:paraId="00FA19BF">
      <w:pPr>
        <w:pStyle w:val="4"/>
        <w:ind w:firstLine="420" w:firstLineChars="200"/>
        <w:rPr>
          <w:rFonts w:hint="eastAsia" w:ascii="宋体" w:hAnsi="宋体" w:eastAsia="宋体" w:cs="宋体"/>
          <w:lang w:val="en-US" w:eastAsia="zh-CN"/>
        </w:rPr>
      </w:pPr>
      <w:r>
        <w:rPr>
          <w:rFonts w:hint="eastAsia" w:hAnsi="黑体" w:cs="黑体"/>
          <w:color w:val="C00000"/>
          <w:sz w:val="21"/>
          <w:szCs w:val="21"/>
          <w:lang w:val="en-US" w:eastAsia="zh-CN"/>
        </w:rPr>
        <w:t xml:space="preserve"> </w:t>
      </w:r>
      <w:r>
        <w:rPr>
          <w:rFonts w:hint="eastAsia" w:ascii="宋体" w:hAnsi="宋体" w:eastAsia="宋体" w:cs="宋体"/>
          <w:lang w:val="en-US" w:eastAsia="zh-CN"/>
        </w:rPr>
        <w:t>本标准分别于xx年xx月和xx月通过发函、征求意见资料在中国有色金属标准质量信息网（www.cnsmq.com）上挂网等方式，向社会公开征求意见。回函并有建议或意见的单位xx个，回函无意见的单位xx个，没有回函的单位xx个；包括生产单位xx个，第三方检测机构xx个，大学和科研院所xx家，基本覆盖该领域相关的主要单位。</w:t>
      </w:r>
    </w:p>
    <w:p w14:paraId="63F6DC9A">
      <w:pPr>
        <w:pStyle w:val="4"/>
        <w:ind w:firstLine="420" w:firstLineChars="200"/>
        <w:rPr>
          <w:rFonts w:hint="default" w:hAnsi="黑体" w:cs="黑体"/>
          <w:color w:val="C00000"/>
          <w:sz w:val="21"/>
          <w:szCs w:val="21"/>
          <w:lang w:val="en-US" w:eastAsia="zh-CN"/>
        </w:rPr>
      </w:pPr>
      <w:r>
        <w:rPr>
          <w:rFonts w:hint="eastAsia" w:ascii="宋体" w:hAnsi="宋体" w:eastAsia="宋体" w:cs="宋体"/>
          <w:lang w:val="en-US" w:eastAsia="zh-CN"/>
        </w:rPr>
        <w:t>编制组根据意见情况，结合参编单位反馈的意见，对标准进行修改和完善，于2026年xx月形成了标准《送审稿》及《编制说明》。</w:t>
      </w:r>
    </w:p>
    <w:p w14:paraId="37F66EE5">
      <w:pPr>
        <w:pStyle w:val="4"/>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1.4.5审查阶段</w:t>
      </w:r>
    </w:p>
    <w:p w14:paraId="73134CC3">
      <w:pPr>
        <w:pStyle w:val="4"/>
        <w:numPr>
          <w:ilvl w:val="0"/>
          <w:numId w:val="5"/>
        </w:numPr>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技术专家审查</w:t>
      </w:r>
    </w:p>
    <w:p w14:paraId="03F79C56">
      <w:pPr>
        <w:pStyle w:val="10"/>
        <w:keepNext w:val="0"/>
        <w:keepLines w:val="0"/>
        <w:pageBreakBefore w:val="0"/>
        <w:widowControl w:val="0"/>
        <w:kinsoku/>
        <w:wordWrap/>
        <w:overflowPunct/>
        <w:topLinePunct w:val="0"/>
        <w:autoSpaceDE/>
        <w:autoSpaceDN/>
        <w:bidi w:val="0"/>
        <w:adjustRightInd/>
        <w:snapToGrid/>
        <w:spacing w:before="0" w:after="0"/>
        <w:ind w:firstLine="420" w:firstLineChars="200"/>
        <w:textAlignment w:val="auto"/>
        <w:rPr>
          <w:rFonts w:hint="eastAsia" w:ascii="Times New Roman" w:hAnsi="Times New Roman" w:eastAsia="宋体" w:cs="Times New Roman"/>
          <w:b w:val="0"/>
          <w:bCs w:val="0"/>
          <w:sz w:val="21"/>
          <w:szCs w:val="24"/>
          <w:lang w:val="en-US" w:eastAsia="zh-CN"/>
        </w:rPr>
      </w:pPr>
      <w:r>
        <w:rPr>
          <w:rFonts w:hint="eastAsia" w:ascii="宋体" w:hAnsi="宋体" w:eastAsia="宋体" w:cs="宋体"/>
          <w:b w:val="0"/>
          <w:bCs w:val="0"/>
          <w:color w:val="auto"/>
          <w:kern w:val="2"/>
          <w:sz w:val="21"/>
          <w:szCs w:val="21"/>
          <w:lang w:val="en-US" w:eastAsia="zh-CN" w:bidi="ar-SA"/>
        </w:rPr>
        <w:t>20xx年xx月xx日</w:t>
      </w:r>
      <w:r>
        <w:rPr>
          <w:rFonts w:hint="eastAsia" w:ascii="宋体" w:hAnsi="宋体" w:eastAsia="宋体" w:cs="宋体"/>
          <w:b w:val="0"/>
          <w:bCs w:val="0"/>
          <w:sz w:val="21"/>
          <w:szCs w:val="24"/>
          <w:lang w:val="en-US" w:eastAsia="zh-CN"/>
        </w:rPr>
        <w:t>～</w:t>
      </w:r>
      <w:r>
        <w:rPr>
          <w:rFonts w:hint="eastAsia" w:ascii="宋体" w:hAnsi="宋体" w:eastAsia="宋体" w:cs="宋体"/>
          <w:b w:val="0"/>
          <w:bCs w:val="0"/>
          <w:color w:val="auto"/>
          <w:kern w:val="2"/>
          <w:sz w:val="21"/>
          <w:szCs w:val="21"/>
          <w:lang w:val="en-US" w:eastAsia="zh-CN" w:bidi="ar-SA"/>
        </w:rPr>
        <w:t>xx</w:t>
      </w:r>
      <w:r>
        <w:rPr>
          <w:rFonts w:hint="eastAsia" w:ascii="宋体" w:hAnsi="宋体" w:eastAsia="宋体" w:cs="宋体"/>
          <w:b w:val="0"/>
          <w:bCs w:val="0"/>
          <w:sz w:val="21"/>
          <w:szCs w:val="24"/>
          <w:lang w:val="en-US" w:eastAsia="zh-CN"/>
        </w:rPr>
        <w:t>日在</w:t>
      </w:r>
      <w:r>
        <w:rPr>
          <w:rFonts w:hint="eastAsia" w:ascii="Times New Roman" w:hAnsi="Times New Roman" w:cs="Times New Roman"/>
          <w:b w:val="0"/>
          <w:bCs w:val="0"/>
          <w:sz w:val="21"/>
          <w:szCs w:val="24"/>
          <w:lang w:val="en-US" w:eastAsia="zh-CN"/>
        </w:rPr>
        <w:t>XX省XX</w:t>
      </w:r>
      <w:r>
        <w:rPr>
          <w:rFonts w:hint="eastAsia" w:ascii="Times New Roman" w:hAnsi="Times New Roman" w:eastAsia="宋体" w:cs="Times New Roman"/>
          <w:b w:val="0"/>
          <w:bCs w:val="0"/>
          <w:sz w:val="21"/>
          <w:szCs w:val="24"/>
          <w:lang w:val="en-US" w:eastAsia="zh-CN"/>
        </w:rPr>
        <w:t>市，由全国有色金属标准化技术委员会主持，召开了《铜及铜合金化学分析方法 第</w:t>
      </w:r>
      <w:r>
        <w:rPr>
          <w:rFonts w:hint="eastAsia" w:ascii="Times New Roman" w:hAnsi="Times New Roman" w:cs="Times New Roman"/>
          <w:b w:val="0"/>
          <w:bCs w:val="0"/>
          <w:sz w:val="21"/>
          <w:szCs w:val="24"/>
          <w:lang w:val="en-US" w:eastAsia="zh-CN"/>
        </w:rPr>
        <w:t>3</w:t>
      </w:r>
      <w:r>
        <w:rPr>
          <w:rFonts w:hint="eastAsia" w:ascii="Times New Roman" w:hAnsi="Times New Roman" w:eastAsia="宋体" w:cs="Times New Roman"/>
          <w:b w:val="0"/>
          <w:bCs w:val="0"/>
          <w:sz w:val="21"/>
          <w:szCs w:val="24"/>
          <w:lang w:val="en-US" w:eastAsia="zh-CN"/>
        </w:rPr>
        <w:t xml:space="preserve">部分 </w:t>
      </w:r>
      <w:r>
        <w:rPr>
          <w:rFonts w:hint="eastAsia" w:ascii="Times New Roman" w:hAnsi="Times New Roman" w:cs="Times New Roman"/>
          <w:b w:val="0"/>
          <w:bCs w:val="0"/>
          <w:sz w:val="21"/>
          <w:szCs w:val="24"/>
          <w:lang w:val="en-US" w:eastAsia="zh-CN"/>
        </w:rPr>
        <w:t>铅</w:t>
      </w:r>
      <w:r>
        <w:rPr>
          <w:rFonts w:hint="eastAsia" w:ascii="Times New Roman" w:hAnsi="Times New Roman" w:eastAsia="宋体" w:cs="Times New Roman"/>
          <w:b w:val="0"/>
          <w:bCs w:val="0"/>
          <w:sz w:val="21"/>
          <w:szCs w:val="24"/>
          <w:lang w:val="en-US" w:eastAsia="zh-CN"/>
        </w:rPr>
        <w:t>含量的测定》标准审定会</w:t>
      </w:r>
      <w:r>
        <w:rPr>
          <w:rFonts w:hint="eastAsia" w:ascii="Times New Roman" w:hAnsi="Times New Roman" w:eastAsia="宋体" w:cs="Times New Roman"/>
          <w:b w:val="0"/>
          <w:bCs w:val="0"/>
          <w:sz w:val="21"/>
          <w:szCs w:val="24"/>
          <w:highlight w:val="none"/>
          <w:lang w:val="en-US" w:eastAsia="zh-CN"/>
        </w:rPr>
        <w:t>，</w:t>
      </w:r>
      <w:r>
        <w:rPr>
          <w:rFonts w:hint="eastAsia" w:ascii="Times New Roman" w:hAnsi="Times New Roman" w:cs="Times New Roman"/>
          <w:b w:val="0"/>
          <w:bCs w:val="0"/>
          <w:sz w:val="21"/>
          <w:szCs w:val="24"/>
          <w:highlight w:val="none"/>
          <w:lang w:val="en-US" w:eastAsia="zh-CN"/>
        </w:rPr>
        <w:t>共有</w:t>
      </w:r>
      <w:r>
        <w:rPr>
          <w:rFonts w:hint="eastAsia" w:cs="Times New Roman"/>
          <w:b w:val="0"/>
          <w:bCs w:val="0"/>
          <w:sz w:val="21"/>
          <w:szCs w:val="24"/>
          <w:highlight w:val="none"/>
          <w:lang w:val="en-US" w:eastAsia="zh-CN"/>
        </w:rPr>
        <w:t xml:space="preserve">  </w:t>
      </w:r>
      <w:r>
        <w:rPr>
          <w:rFonts w:hint="eastAsia" w:ascii="Times New Roman" w:hAnsi="Times New Roman" w:eastAsia="宋体" w:cs="Times New Roman"/>
          <w:b w:val="0"/>
          <w:bCs w:val="0"/>
          <w:sz w:val="21"/>
          <w:szCs w:val="24"/>
          <w:highlight w:val="none"/>
          <w:lang w:val="en-US" w:eastAsia="zh-CN"/>
        </w:rPr>
        <w:t>个</w:t>
      </w:r>
      <w:r>
        <w:rPr>
          <w:rFonts w:hint="eastAsia" w:ascii="Times New Roman" w:hAnsi="Times New Roman" w:eastAsia="宋体" w:cs="Times New Roman"/>
          <w:b w:val="0"/>
          <w:bCs w:val="0"/>
          <w:sz w:val="21"/>
          <w:szCs w:val="24"/>
          <w:lang w:val="en-US" w:eastAsia="zh-CN"/>
        </w:rPr>
        <w:t>单位的</w:t>
      </w:r>
      <w:r>
        <w:rPr>
          <w:rFonts w:hint="eastAsia" w:cs="Times New Roman"/>
          <w:b w:val="0"/>
          <w:bCs w:val="0"/>
          <w:sz w:val="21"/>
          <w:szCs w:val="24"/>
          <w:highlight w:val="none"/>
          <w:lang w:val="en-US" w:eastAsia="zh-CN"/>
        </w:rPr>
        <w:t xml:space="preserve">  </w:t>
      </w:r>
      <w:r>
        <w:rPr>
          <w:rFonts w:hint="eastAsia" w:ascii="Times New Roman" w:hAnsi="Times New Roman" w:eastAsia="宋体" w:cs="Times New Roman"/>
          <w:b w:val="0"/>
          <w:bCs w:val="0"/>
          <w:sz w:val="21"/>
          <w:szCs w:val="24"/>
          <w:lang w:val="en-US" w:eastAsia="zh-CN"/>
        </w:rPr>
        <w:t>名专家</w:t>
      </w:r>
      <w:r>
        <w:rPr>
          <w:rFonts w:hint="eastAsia" w:ascii="Times New Roman" w:hAnsi="Times New Roman" w:cs="Times New Roman"/>
          <w:b w:val="0"/>
          <w:bCs w:val="0"/>
          <w:sz w:val="21"/>
          <w:szCs w:val="24"/>
          <w:lang w:val="en-US" w:eastAsia="zh-CN"/>
        </w:rPr>
        <w:t>（详见有色金属标准审定会专家签名表）</w:t>
      </w:r>
      <w:r>
        <w:rPr>
          <w:rFonts w:hint="eastAsia" w:ascii="Times New Roman" w:hAnsi="Times New Roman" w:eastAsia="宋体" w:cs="Times New Roman"/>
          <w:b w:val="0"/>
          <w:bCs w:val="0"/>
          <w:sz w:val="21"/>
          <w:szCs w:val="24"/>
          <w:lang w:val="en-US" w:eastAsia="zh-CN"/>
        </w:rPr>
        <w:t>参加了会议。与会专家对《铜及铜合金化学分析方法 第</w:t>
      </w:r>
      <w:r>
        <w:rPr>
          <w:rFonts w:hint="eastAsia" w:ascii="Times New Roman" w:hAnsi="Times New Roman" w:cs="Times New Roman"/>
          <w:b w:val="0"/>
          <w:bCs w:val="0"/>
          <w:sz w:val="21"/>
          <w:szCs w:val="24"/>
          <w:lang w:val="en-US" w:eastAsia="zh-CN"/>
        </w:rPr>
        <w:t>3</w:t>
      </w:r>
      <w:r>
        <w:rPr>
          <w:rFonts w:hint="eastAsia" w:ascii="Times New Roman" w:hAnsi="Times New Roman" w:eastAsia="宋体" w:cs="Times New Roman"/>
          <w:b w:val="0"/>
          <w:bCs w:val="0"/>
          <w:sz w:val="21"/>
          <w:szCs w:val="24"/>
          <w:lang w:val="en-US" w:eastAsia="zh-CN"/>
        </w:rPr>
        <w:t xml:space="preserve">部分 </w:t>
      </w:r>
      <w:r>
        <w:rPr>
          <w:rFonts w:hint="eastAsia" w:ascii="Times New Roman" w:hAnsi="Times New Roman" w:cs="Times New Roman"/>
          <w:b w:val="0"/>
          <w:bCs w:val="0"/>
          <w:sz w:val="21"/>
          <w:szCs w:val="24"/>
          <w:lang w:val="en-US" w:eastAsia="zh-CN"/>
        </w:rPr>
        <w:t>铅</w:t>
      </w:r>
      <w:r>
        <w:rPr>
          <w:rFonts w:hint="eastAsia" w:ascii="Times New Roman" w:hAnsi="Times New Roman" w:eastAsia="宋体" w:cs="Times New Roman"/>
          <w:b w:val="0"/>
          <w:bCs w:val="0"/>
          <w:sz w:val="21"/>
          <w:szCs w:val="24"/>
          <w:lang w:val="en-US" w:eastAsia="zh-CN"/>
        </w:rPr>
        <w:t>含量的测定》标准的送审稿进行了认真审定，提出了XX条修改意见，编制小组会后按照专家的修改意见进行了修改，完善了《送审稿》及《送审稿编制</w:t>
      </w:r>
    </w:p>
    <w:p w14:paraId="1E67AC76">
      <w:pPr>
        <w:pStyle w:val="10"/>
        <w:keepNext w:val="0"/>
        <w:keepLines w:val="0"/>
        <w:pageBreakBefore w:val="0"/>
        <w:widowControl w:val="0"/>
        <w:kinsoku/>
        <w:wordWrap/>
        <w:overflowPunct/>
        <w:topLinePunct w:val="0"/>
        <w:autoSpaceDE/>
        <w:autoSpaceDN/>
        <w:bidi w:val="0"/>
        <w:adjustRightInd/>
        <w:snapToGrid/>
        <w:spacing w:before="0" w:after="0"/>
        <w:jc w:val="both"/>
        <w:textAlignment w:val="auto"/>
        <w:rPr>
          <w:rFonts w:hint="eastAsia"/>
          <w:lang w:val="en-US" w:eastAsia="zh-CN"/>
        </w:rPr>
      </w:pPr>
      <w:r>
        <w:rPr>
          <w:rFonts w:hint="eastAsia" w:ascii="Times New Roman" w:hAnsi="Times New Roman" w:eastAsia="宋体" w:cs="Times New Roman"/>
          <w:b w:val="0"/>
          <w:bCs w:val="0"/>
          <w:sz w:val="21"/>
          <w:szCs w:val="24"/>
          <w:lang w:val="en-US" w:eastAsia="zh-CN"/>
        </w:rPr>
        <w:t>说明》</w:t>
      </w:r>
      <w:r>
        <w:rPr>
          <w:rFonts w:hint="eastAsia" w:ascii="Times New Roman" w:hAnsi="Times New Roman" w:cs="Times New Roman"/>
          <w:b w:val="0"/>
          <w:bCs w:val="0"/>
          <w:sz w:val="21"/>
          <w:szCs w:val="24"/>
          <w:lang w:val="en-US" w:eastAsia="zh-CN"/>
        </w:rPr>
        <w:t>。</w:t>
      </w:r>
    </w:p>
    <w:p w14:paraId="2F6FC628">
      <w:pPr>
        <w:rPr>
          <w:rFonts w:hint="eastAsia"/>
          <w:lang w:val="en-US" w:eastAsia="zh-CN"/>
        </w:rPr>
      </w:pPr>
    </w:p>
    <w:p w14:paraId="46681F5B">
      <w:pPr>
        <w:pStyle w:val="4"/>
        <w:numPr>
          <w:ilvl w:val="0"/>
          <w:numId w:val="5"/>
        </w:numPr>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委员审查</w:t>
      </w:r>
    </w:p>
    <w:p w14:paraId="6C98B59D">
      <w:pPr>
        <w:pStyle w:val="10"/>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b w:val="0"/>
          <w:bCs w:val="0"/>
          <w:lang w:val="en-US" w:eastAsia="zh-CN"/>
        </w:rPr>
      </w:pPr>
      <w:r>
        <w:rPr>
          <w:rFonts w:hint="eastAsia" w:ascii="宋体" w:hAnsi="宋体" w:eastAsiaTheme="minorEastAsia" w:cstheme="minorBidi"/>
          <w:b w:val="0"/>
          <w:bCs w:val="0"/>
          <w:color w:val="auto"/>
          <w:kern w:val="2"/>
          <w:sz w:val="21"/>
          <w:szCs w:val="21"/>
          <w:lang w:val="en-US" w:eastAsia="zh-CN" w:bidi="ar-SA"/>
        </w:rPr>
        <w:t>20</w:t>
      </w:r>
      <w:r>
        <w:rPr>
          <w:rFonts w:hint="eastAsia" w:eastAsiaTheme="minorEastAsia" w:cstheme="minorBidi"/>
          <w:b w:val="0"/>
          <w:bCs w:val="0"/>
          <w:color w:val="auto"/>
          <w:kern w:val="2"/>
          <w:sz w:val="21"/>
          <w:szCs w:val="21"/>
          <w:lang w:val="en-US" w:eastAsia="zh-CN" w:bidi="ar-SA"/>
        </w:rPr>
        <w:t>xx</w:t>
      </w:r>
      <w:r>
        <w:rPr>
          <w:rFonts w:hint="eastAsia" w:ascii="宋体" w:hAnsi="宋体" w:eastAsiaTheme="minorEastAsia" w:cstheme="minorBidi"/>
          <w:b w:val="0"/>
          <w:bCs w:val="0"/>
          <w:color w:val="auto"/>
          <w:kern w:val="2"/>
          <w:sz w:val="21"/>
          <w:szCs w:val="21"/>
          <w:lang w:val="en-US" w:eastAsia="zh-CN" w:bidi="ar-SA"/>
        </w:rPr>
        <w:t>年</w:t>
      </w:r>
      <w:r>
        <w:rPr>
          <w:rFonts w:hint="eastAsia" w:eastAsiaTheme="minorEastAsia" w:cstheme="minorBidi"/>
          <w:b w:val="0"/>
          <w:bCs w:val="0"/>
          <w:color w:val="auto"/>
          <w:kern w:val="2"/>
          <w:sz w:val="21"/>
          <w:szCs w:val="21"/>
          <w:lang w:val="en-US" w:eastAsia="zh-CN" w:bidi="ar-SA"/>
        </w:rPr>
        <w:t>xx</w:t>
      </w:r>
      <w:r>
        <w:rPr>
          <w:rFonts w:hint="eastAsia" w:ascii="宋体" w:hAnsi="宋体" w:eastAsiaTheme="minorEastAsia" w:cstheme="minorBidi"/>
          <w:b w:val="0"/>
          <w:bCs w:val="0"/>
          <w:color w:val="auto"/>
          <w:kern w:val="2"/>
          <w:sz w:val="21"/>
          <w:szCs w:val="21"/>
          <w:lang w:val="en-US" w:eastAsia="zh-CN" w:bidi="ar-SA"/>
        </w:rPr>
        <w:t>月</w:t>
      </w:r>
      <w:r>
        <w:rPr>
          <w:rFonts w:hint="eastAsia" w:eastAsiaTheme="minorEastAsia" w:cstheme="minorBidi"/>
          <w:b w:val="0"/>
          <w:bCs w:val="0"/>
          <w:color w:val="auto"/>
          <w:kern w:val="2"/>
          <w:sz w:val="21"/>
          <w:szCs w:val="21"/>
          <w:lang w:val="en-US" w:eastAsia="zh-CN" w:bidi="ar-SA"/>
        </w:rPr>
        <w:t>xx</w:t>
      </w:r>
      <w:r>
        <w:rPr>
          <w:rFonts w:hint="eastAsia" w:ascii="宋体" w:hAnsi="宋体" w:eastAsiaTheme="minorEastAsia" w:cstheme="minorBidi"/>
          <w:b w:val="0"/>
          <w:bCs w:val="0"/>
          <w:color w:val="auto"/>
          <w:kern w:val="2"/>
          <w:sz w:val="21"/>
          <w:szCs w:val="21"/>
          <w:lang w:val="en-US" w:eastAsia="zh-CN" w:bidi="ar-SA"/>
        </w:rPr>
        <w:t>日，全国有色金属标准化技术委员会在XX省XX市召开了全体委员会议。全国有色金属标准化技术委员会重金属分技术委员会（SAC/TC243/SC2）全体委员共</w:t>
      </w:r>
      <w:r>
        <w:rPr>
          <w:rFonts w:hint="eastAsia" w:ascii="宋体" w:hAnsi="宋体" w:eastAsia="宋体" w:cs="宋体"/>
          <w:b w:val="0"/>
          <w:bCs w:val="0"/>
          <w:color w:val="auto"/>
          <w:kern w:val="2"/>
          <w:sz w:val="21"/>
          <w:szCs w:val="21"/>
          <w:lang w:val="en-US" w:eastAsia="zh-CN" w:bidi="ar-SA"/>
        </w:rPr>
        <w:t>计XX</w:t>
      </w:r>
      <w:r>
        <w:rPr>
          <w:rFonts w:hint="eastAsia" w:ascii="宋体" w:hAnsi="宋体" w:eastAsiaTheme="minorEastAsia" w:cstheme="minorBidi"/>
          <w:b w:val="0"/>
          <w:bCs w:val="0"/>
          <w:color w:val="auto"/>
          <w:kern w:val="2"/>
          <w:sz w:val="21"/>
          <w:szCs w:val="21"/>
          <w:lang w:val="en-US" w:eastAsia="zh-CN" w:bidi="ar-SA"/>
        </w:rPr>
        <w:t>名，实际参与投票工作 XX名。会议经过认真的讨论，对《</w:t>
      </w:r>
      <w:r>
        <w:rPr>
          <w:rFonts w:hint="eastAsia" w:ascii="Times New Roman" w:hAnsi="Times New Roman" w:eastAsia="宋体" w:cs="Times New Roman"/>
          <w:b w:val="0"/>
          <w:bCs w:val="0"/>
          <w:sz w:val="21"/>
          <w:szCs w:val="24"/>
          <w:lang w:val="en-US" w:eastAsia="zh-CN"/>
        </w:rPr>
        <w:t>铜及铜合金化学分析方法 第</w:t>
      </w:r>
      <w:r>
        <w:rPr>
          <w:rFonts w:hint="eastAsia" w:ascii="宋体" w:hAnsi="宋体" w:eastAsia="宋体" w:cs="宋体"/>
          <w:b w:val="0"/>
          <w:bCs w:val="0"/>
          <w:sz w:val="21"/>
          <w:szCs w:val="24"/>
          <w:lang w:val="en-US" w:eastAsia="zh-CN"/>
        </w:rPr>
        <w:t>3</w:t>
      </w:r>
      <w:r>
        <w:rPr>
          <w:rFonts w:hint="eastAsia" w:ascii="Times New Roman" w:hAnsi="Times New Roman" w:eastAsia="宋体" w:cs="Times New Roman"/>
          <w:b w:val="0"/>
          <w:bCs w:val="0"/>
          <w:sz w:val="21"/>
          <w:szCs w:val="24"/>
          <w:lang w:val="en-US" w:eastAsia="zh-CN"/>
        </w:rPr>
        <w:t xml:space="preserve">部分 </w:t>
      </w:r>
      <w:r>
        <w:rPr>
          <w:rFonts w:hint="eastAsia" w:ascii="Times New Roman" w:hAnsi="Times New Roman" w:cs="Times New Roman"/>
          <w:b w:val="0"/>
          <w:bCs w:val="0"/>
          <w:sz w:val="21"/>
          <w:szCs w:val="24"/>
          <w:lang w:val="en-US" w:eastAsia="zh-CN"/>
        </w:rPr>
        <w:t>铅</w:t>
      </w:r>
      <w:r>
        <w:rPr>
          <w:rFonts w:hint="eastAsia" w:ascii="Times New Roman" w:hAnsi="Times New Roman" w:eastAsia="宋体" w:cs="Times New Roman"/>
          <w:b w:val="0"/>
          <w:bCs w:val="0"/>
          <w:sz w:val="21"/>
          <w:szCs w:val="24"/>
          <w:lang w:val="en-US" w:eastAsia="zh-CN"/>
        </w:rPr>
        <w:t>含量的测定</w:t>
      </w:r>
      <w:r>
        <w:rPr>
          <w:rFonts w:hint="eastAsia" w:ascii="宋体" w:hAnsi="宋体" w:eastAsiaTheme="minorEastAsia" w:cstheme="minorBidi"/>
          <w:b w:val="0"/>
          <w:bCs w:val="0"/>
          <w:color w:val="auto"/>
          <w:kern w:val="2"/>
          <w:sz w:val="21"/>
          <w:szCs w:val="21"/>
          <w:lang w:val="en-US" w:eastAsia="zh-CN" w:bidi="ar-SA"/>
        </w:rPr>
        <w:t>》标准制修订程序、征求意见的过程以及技术内容的确定等多方面进行了仔细审查。与会XX名委员全体投票通过，同意该标准《送审稿》及和《送审稿编制说明》通过审查，无修改意见，表决通过率为100%。</w:t>
      </w:r>
    </w:p>
    <w:p w14:paraId="0C953339">
      <w:pPr>
        <w:pStyle w:val="12"/>
        <w:pageBreakBefore w:val="0"/>
        <w:numPr>
          <w:ilvl w:val="0"/>
          <w:numId w:val="5"/>
        </w:numPr>
        <w:shd w:val="clear" w:color="auto" w:fill="FFFFFF"/>
        <w:kinsoku/>
        <w:wordWrap/>
        <w:overflowPunct/>
        <w:topLinePunct w:val="0"/>
        <w:bidi w:val="0"/>
        <w:adjustRightInd/>
        <w:snapToGrid/>
        <w:spacing w:before="0" w:beforeAutospacing="0" w:after="0" w:afterAutospacing="0" w:line="380" w:lineRule="exact"/>
        <w:ind w:left="0" w:leftChars="0" w:firstLine="0" w:firstLineChars="0"/>
        <w:textAlignment w:val="auto"/>
        <w:rPr>
          <w:rFonts w:hint="default" w:ascii="宋体" w:hAnsi="宋体" w:eastAsiaTheme="minorEastAsia" w:cstheme="minorBidi"/>
          <w:color w:val="auto"/>
          <w:kern w:val="2"/>
          <w:sz w:val="21"/>
          <w:szCs w:val="21"/>
          <w:lang w:val="en-US" w:eastAsia="zh-CN" w:bidi="ar-SA"/>
        </w:rPr>
      </w:pPr>
      <w:r>
        <w:rPr>
          <w:rFonts w:hint="eastAsia" w:eastAsiaTheme="minorEastAsia" w:cstheme="minorBidi"/>
          <w:color w:val="auto"/>
          <w:kern w:val="2"/>
          <w:sz w:val="21"/>
          <w:szCs w:val="21"/>
          <w:lang w:val="en-US" w:eastAsia="zh-CN" w:bidi="ar-SA"/>
        </w:rPr>
        <w:t>委员电子投票</w:t>
      </w:r>
    </w:p>
    <w:p w14:paraId="3EED7A09">
      <w:pPr>
        <w:pStyle w:val="12"/>
        <w:pageBreakBefore w:val="0"/>
        <w:numPr>
          <w:ilvl w:val="0"/>
          <w:numId w:val="0"/>
        </w:numPr>
        <w:shd w:val="clear" w:color="auto" w:fill="FFFFFF"/>
        <w:kinsoku/>
        <w:wordWrap/>
        <w:overflowPunct/>
        <w:topLinePunct w:val="0"/>
        <w:bidi w:val="0"/>
        <w:adjustRightInd/>
        <w:snapToGrid/>
        <w:spacing w:before="0" w:beforeAutospacing="0" w:after="0" w:afterAutospacing="0" w:line="380" w:lineRule="exact"/>
        <w:ind w:leftChars="0" w:firstLine="420" w:firstLineChars="200"/>
        <w:textAlignment w:val="auto"/>
        <w:rPr>
          <w:rFonts w:hint="eastAsia" w:ascii="黑体" w:hAnsi="黑体" w:eastAsia="黑体" w:cs="黑体"/>
          <w:color w:val="auto"/>
          <w:kern w:val="0"/>
          <w:sz w:val="21"/>
          <w:szCs w:val="21"/>
          <w:lang w:val="en-US" w:eastAsia="zh-CN" w:bidi="ar-SA"/>
        </w:rPr>
      </w:pPr>
      <w:r>
        <w:rPr>
          <w:rFonts w:hint="default" w:ascii="宋体" w:hAnsi="宋体" w:eastAsiaTheme="minorEastAsia" w:cstheme="minorBidi"/>
          <w:color w:val="auto"/>
          <w:kern w:val="2"/>
          <w:sz w:val="21"/>
          <w:szCs w:val="21"/>
          <w:lang w:val="en-US" w:eastAsia="zh-CN" w:bidi="ar-SA"/>
        </w:rPr>
        <w:t>20XX 年X月X 日至X 月X 日，由全国有色重金属标准化分技术委员会在全国专业标准化技术委员会工作平台发起了《XX》报批稿及编制说明委员投票，该委员会有委员</w:t>
      </w:r>
      <w:r>
        <w:rPr>
          <w:rFonts w:hint="eastAsia" w:eastAsiaTheme="minorEastAsia" w:cstheme="minorBidi"/>
          <w:color w:val="auto"/>
          <w:kern w:val="2"/>
          <w:sz w:val="21"/>
          <w:szCs w:val="21"/>
          <w:lang w:val="en-US" w:eastAsia="zh-CN" w:bidi="ar-SA"/>
        </w:rPr>
        <w:t>XX</w:t>
      </w:r>
      <w:r>
        <w:rPr>
          <w:rFonts w:hint="default" w:ascii="宋体" w:hAnsi="宋体" w:eastAsiaTheme="minorEastAsia" w:cstheme="minorBidi"/>
          <w:color w:val="auto"/>
          <w:kern w:val="2"/>
          <w:sz w:val="21"/>
          <w:szCs w:val="21"/>
          <w:lang w:val="en-US" w:eastAsia="zh-CN" w:bidi="ar-SA"/>
        </w:rPr>
        <w:t>人，xx 人投赞成票，不赞成为零和弃权票为0，其余未投票，投赞成票率为 xx%。</w:t>
      </w:r>
    </w:p>
    <w:p w14:paraId="3087C22B">
      <w:pPr>
        <w:pStyle w:val="4"/>
        <w:spacing w:line="360" w:lineRule="auto"/>
        <w:rPr>
          <w:rFonts w:hint="eastAsia" w:ascii="黑体" w:hAnsi="黑体" w:eastAsia="黑体" w:cs="黑体"/>
          <w:color w:val="auto"/>
          <w:kern w:val="0"/>
          <w:sz w:val="21"/>
          <w:szCs w:val="21"/>
          <w:lang w:val="en-US" w:eastAsia="zh-CN" w:bidi="ar-SA"/>
        </w:rPr>
      </w:pPr>
      <w:r>
        <w:rPr>
          <w:rFonts w:hint="eastAsia" w:ascii="黑体" w:hAnsi="黑体" w:eastAsia="黑体" w:cs="黑体"/>
          <w:color w:val="auto"/>
          <w:kern w:val="0"/>
          <w:sz w:val="21"/>
          <w:szCs w:val="21"/>
          <w:lang w:val="en-US" w:eastAsia="zh-CN" w:bidi="ar-SA"/>
        </w:rPr>
        <w:t>1.4.6报批阶段</w:t>
      </w:r>
    </w:p>
    <w:p w14:paraId="45BEDCFD">
      <w:pPr>
        <w:pStyle w:val="10"/>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 w:val="0"/>
          <w:bCs w:val="0"/>
          <w:lang w:val="en-US" w:eastAsia="zh-CN"/>
        </w:rPr>
      </w:pPr>
      <w:r>
        <w:rPr>
          <w:rFonts w:hint="eastAsia" w:ascii="宋体" w:hAnsi="宋体" w:eastAsiaTheme="minorEastAsia" w:cstheme="minorBidi"/>
          <w:b w:val="0"/>
          <w:bCs w:val="0"/>
          <w:color w:val="auto"/>
          <w:kern w:val="2"/>
          <w:sz w:val="21"/>
          <w:szCs w:val="21"/>
          <w:lang w:val="en-US" w:eastAsia="zh-CN" w:bidi="ar-SA"/>
        </w:rPr>
        <w:t>标准编制组对标准文本和编制说明进行完善，形成标准报批稿报送至全国有色金属标准化技术委员会（SAC/TC243）秘书处，上报至国家标准化管理委员会审批、发布。</w:t>
      </w:r>
    </w:p>
    <w:p w14:paraId="61D971DE">
      <w:pPr>
        <w:pStyle w:val="4"/>
        <w:numPr>
          <w:ilvl w:val="0"/>
          <w:numId w:val="0"/>
        </w:numPr>
        <w:rPr>
          <w:rFonts w:hint="default" w:hAnsi="黑体" w:cs="黑体"/>
          <w:color w:val="C00000"/>
          <w:sz w:val="21"/>
          <w:szCs w:val="21"/>
          <w:lang w:val="en-US" w:eastAsia="zh-CN"/>
        </w:rPr>
      </w:pPr>
    </w:p>
    <w:p w14:paraId="76E2D1DB">
      <w:pPr>
        <w:pStyle w:val="12"/>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rPr>
        <w:t>二、编制原则</w:t>
      </w:r>
      <w:r>
        <w:rPr>
          <w:rFonts w:hint="eastAsia" w:ascii="黑体" w:eastAsia="黑体" w:cs="Arial"/>
          <w:color w:val="auto"/>
          <w:sz w:val="21"/>
          <w:szCs w:val="21"/>
          <w:lang w:eastAsia="zh-CN"/>
        </w:rPr>
        <w:t>、</w:t>
      </w:r>
      <w:r>
        <w:rPr>
          <w:rFonts w:hint="eastAsia" w:ascii="黑体" w:eastAsia="黑体" w:cs="Arial"/>
          <w:color w:val="auto"/>
          <w:sz w:val="21"/>
          <w:szCs w:val="21"/>
          <w:lang w:val="en-US" w:eastAsia="zh-CN"/>
        </w:rPr>
        <w:t>主要内容及其确定依据、修订前后技术内容的对比</w:t>
      </w:r>
    </w:p>
    <w:p w14:paraId="677447D3">
      <w:pPr>
        <w:pStyle w:val="12"/>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bookmarkStart w:id="0" w:name="OLE_LINK7"/>
      <w:r>
        <w:rPr>
          <w:rFonts w:hint="eastAsia" w:ascii="黑体" w:eastAsia="黑体" w:cs="Arial"/>
          <w:color w:val="auto"/>
          <w:sz w:val="21"/>
          <w:szCs w:val="21"/>
          <w:lang w:val="en-US" w:eastAsia="zh-CN"/>
        </w:rPr>
        <w:t>1、编制原则</w:t>
      </w:r>
    </w:p>
    <w:p w14:paraId="39CEC508">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kern w:val="0"/>
          <w:sz w:val="21"/>
          <w:szCs w:val="21"/>
          <w:highlight w:val="none"/>
        </w:rPr>
        <w:t>本标准按照GB/T</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1.1-2020《标准化工作导则 第1部分：标准化文件的结构和起草规则》的规则</w:t>
      </w:r>
      <w:r>
        <w:rPr>
          <w:rFonts w:hint="eastAsia" w:ascii="宋体" w:hAnsi="宋体" w:eastAsia="宋体" w:cs="宋体"/>
          <w:sz w:val="21"/>
          <w:szCs w:val="21"/>
        </w:rPr>
        <w:t>、GB/T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20001.4</w:t>
      </w:r>
      <w:r>
        <w:rPr>
          <w:rFonts w:hint="eastAsia" w:ascii="宋体" w:hAnsi="宋体" w:eastAsia="宋体" w:cs="宋体"/>
          <w:sz w:val="21"/>
          <w:szCs w:val="21"/>
          <w:lang w:eastAsia="zh-CN"/>
        </w:rPr>
        <w:t>《标准编写规则</w:t>
      </w:r>
      <w:r>
        <w:rPr>
          <w:rFonts w:hint="eastAsia" w:ascii="宋体" w:hAnsi="宋体" w:eastAsia="宋体" w:cs="宋体"/>
          <w:sz w:val="21"/>
          <w:szCs w:val="21"/>
          <w:lang w:val="en-US" w:eastAsia="zh-CN"/>
        </w:rPr>
        <w:t xml:space="preserve"> 第4部分：试验方法标准</w:t>
      </w:r>
      <w:r>
        <w:rPr>
          <w:rFonts w:hint="eastAsia" w:ascii="宋体" w:hAnsi="宋体" w:eastAsia="宋体" w:cs="宋体"/>
          <w:sz w:val="21"/>
          <w:szCs w:val="21"/>
          <w:lang w:eastAsia="zh-CN"/>
        </w:rPr>
        <w:t>》</w:t>
      </w:r>
      <w:r>
        <w:rPr>
          <w:rFonts w:hint="eastAsia" w:ascii="宋体" w:hAnsi="宋体" w:eastAsia="宋体" w:cs="宋体"/>
          <w:sz w:val="21"/>
          <w:szCs w:val="21"/>
        </w:rPr>
        <w:t>和《有色金属冶炼产品、加工产品、化学分析方法国家标准、行业标准编写示例》的要求</w:t>
      </w:r>
      <w:r>
        <w:rPr>
          <w:rFonts w:hint="eastAsia" w:ascii="宋体" w:hAnsi="宋体" w:eastAsia="宋体" w:cs="宋体"/>
          <w:color w:val="000000"/>
          <w:sz w:val="21"/>
          <w:szCs w:val="21"/>
        </w:rPr>
        <w:t>编写</w:t>
      </w:r>
      <w:r>
        <w:rPr>
          <w:rFonts w:hint="eastAsia" w:ascii="宋体" w:hAnsi="宋体" w:eastAsia="宋体" w:cs="宋体"/>
          <w:color w:val="auto"/>
          <w:kern w:val="0"/>
          <w:sz w:val="21"/>
          <w:szCs w:val="21"/>
          <w:highlight w:val="none"/>
          <w:lang w:eastAsia="zh-CN"/>
        </w:rPr>
        <w:t>；</w:t>
      </w:r>
    </w:p>
    <w:p w14:paraId="3BEF3D58">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sz w:val="21"/>
          <w:szCs w:val="21"/>
        </w:rPr>
        <w:t>标准规定的检测方法在同一实验室检测结果具有长期稳定性，不同实验室之间的检测结果具有一致性，能有效地规范铜及铜合金</w:t>
      </w:r>
      <w:r>
        <w:rPr>
          <w:rFonts w:hint="eastAsia" w:ascii="宋体" w:hAnsi="宋体" w:eastAsia="宋体" w:cs="宋体"/>
          <w:sz w:val="21"/>
          <w:szCs w:val="21"/>
          <w:lang w:val="en-US" w:eastAsia="zh-CN"/>
        </w:rPr>
        <w:t>中</w:t>
      </w:r>
      <w:r>
        <w:rPr>
          <w:rFonts w:hint="eastAsia" w:cs="宋体"/>
          <w:sz w:val="21"/>
          <w:szCs w:val="21"/>
          <w:lang w:val="en-US" w:eastAsia="zh-CN"/>
        </w:rPr>
        <w:t>铅</w:t>
      </w:r>
      <w:r>
        <w:rPr>
          <w:rFonts w:hint="eastAsia" w:ascii="宋体" w:hAnsi="宋体" w:eastAsia="宋体" w:cs="宋体"/>
          <w:sz w:val="21"/>
          <w:szCs w:val="21"/>
          <w:lang w:val="en-US" w:eastAsia="zh-CN"/>
        </w:rPr>
        <w:t>含量的测定</w:t>
      </w:r>
      <w:r>
        <w:rPr>
          <w:rFonts w:hint="eastAsia" w:ascii="宋体" w:hAnsi="宋体" w:eastAsia="宋体" w:cs="宋体"/>
          <w:sz w:val="21"/>
          <w:szCs w:val="21"/>
        </w:rPr>
        <w:t>方法</w:t>
      </w:r>
      <w:r>
        <w:rPr>
          <w:rFonts w:hint="eastAsia" w:ascii="宋体" w:hAnsi="宋体" w:eastAsia="宋体" w:cs="宋体"/>
          <w:sz w:val="21"/>
          <w:szCs w:val="21"/>
          <w:lang w:eastAsia="zh-CN"/>
        </w:rPr>
        <w:t>；</w:t>
      </w:r>
    </w:p>
    <w:p w14:paraId="1489AF15">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）本部分是在标准GB/T 5121.</w:t>
      </w:r>
      <w:r>
        <w:rPr>
          <w:rFonts w:hint="eastAsia" w:cs="宋体"/>
          <w:sz w:val="21"/>
          <w:szCs w:val="21"/>
          <w:lang w:val="en-US" w:eastAsia="zh-CN"/>
        </w:rPr>
        <w:t>3</w:t>
      </w:r>
      <w:r>
        <w:rPr>
          <w:rFonts w:hint="eastAsia" w:ascii="宋体" w:hAnsi="宋体" w:eastAsia="宋体" w:cs="宋体"/>
          <w:sz w:val="21"/>
          <w:szCs w:val="21"/>
          <w:lang w:eastAsia="zh-CN"/>
        </w:rPr>
        <w:t>-2008《铜及铜合金化学分析方法 第</w:t>
      </w:r>
      <w:r>
        <w:rPr>
          <w:rFonts w:hint="eastAsia" w:cs="宋体"/>
          <w:sz w:val="21"/>
          <w:szCs w:val="21"/>
          <w:lang w:val="en-US" w:eastAsia="zh-CN"/>
        </w:rPr>
        <w:t>3</w:t>
      </w:r>
      <w:r>
        <w:rPr>
          <w:rFonts w:hint="eastAsia" w:ascii="宋体" w:hAnsi="宋体" w:eastAsia="宋体" w:cs="宋体"/>
          <w:sz w:val="21"/>
          <w:szCs w:val="21"/>
          <w:lang w:eastAsia="zh-CN"/>
        </w:rPr>
        <w:t>部分：</w:t>
      </w:r>
      <w:r>
        <w:rPr>
          <w:rFonts w:hint="eastAsia" w:cs="宋体"/>
          <w:sz w:val="21"/>
          <w:szCs w:val="21"/>
          <w:lang w:val="en-US" w:eastAsia="zh-CN"/>
        </w:rPr>
        <w:t>铅</w:t>
      </w:r>
      <w:r>
        <w:rPr>
          <w:rFonts w:hint="eastAsia" w:ascii="宋体" w:hAnsi="宋体" w:eastAsia="宋体" w:cs="宋体"/>
          <w:sz w:val="21"/>
          <w:szCs w:val="21"/>
          <w:lang w:eastAsia="zh-CN"/>
        </w:rPr>
        <w:t>含量的测定》的基础上进行修订而成。同时充分考虑了生产企业、使用单位及相关方面的意见和建议。根据国内铜及铜合金生产和下游客户的具体情况，突出标准的实用性。</w:t>
      </w:r>
      <w:r>
        <w:rPr>
          <w:rFonts w:hint="eastAsia" w:ascii="宋体" w:hAnsi="宋体" w:eastAsia="宋体" w:cs="宋体"/>
          <w:sz w:val="21"/>
          <w:szCs w:val="21"/>
        </w:rPr>
        <w:t>对试验设备及试验条件提出了明确要求，完善试验条件及试验步骤、检测范围</w:t>
      </w:r>
      <w:r>
        <w:rPr>
          <w:rFonts w:hint="eastAsia" w:ascii="宋体" w:hAnsi="宋体" w:eastAsia="宋体" w:cs="宋体"/>
          <w:sz w:val="21"/>
          <w:szCs w:val="21"/>
          <w:lang w:eastAsia="zh-CN"/>
        </w:rPr>
        <w:t>，</w:t>
      </w:r>
      <w:r>
        <w:rPr>
          <w:rFonts w:hint="eastAsia" w:ascii="宋体" w:hAnsi="宋体" w:eastAsia="宋体" w:cs="宋体"/>
          <w:sz w:val="21"/>
          <w:szCs w:val="21"/>
        </w:rPr>
        <w:t>能普遍满足</w:t>
      </w:r>
      <w:r>
        <w:rPr>
          <w:rFonts w:hint="eastAsia" w:ascii="宋体" w:hAnsi="宋体" w:eastAsia="宋体" w:cs="宋体"/>
          <w:sz w:val="21"/>
          <w:szCs w:val="21"/>
          <w:lang w:val="en-US" w:eastAsia="zh-CN"/>
        </w:rPr>
        <w:t>国内</w:t>
      </w:r>
      <w:r>
        <w:rPr>
          <w:rFonts w:hint="eastAsia" w:ascii="宋体" w:hAnsi="宋体" w:eastAsia="宋体" w:cs="宋体"/>
          <w:sz w:val="21"/>
          <w:szCs w:val="21"/>
        </w:rPr>
        <w:t>对铜及铜合金</w:t>
      </w:r>
      <w:r>
        <w:rPr>
          <w:rFonts w:hint="eastAsia" w:ascii="宋体" w:hAnsi="宋体" w:eastAsia="宋体" w:cs="宋体"/>
          <w:sz w:val="21"/>
          <w:szCs w:val="21"/>
          <w:lang w:val="en-US" w:eastAsia="zh-CN"/>
        </w:rPr>
        <w:t>中</w:t>
      </w:r>
      <w:r>
        <w:rPr>
          <w:rFonts w:hint="eastAsia" w:cs="宋体"/>
          <w:sz w:val="21"/>
          <w:szCs w:val="21"/>
          <w:lang w:val="en-US" w:eastAsia="zh-CN"/>
        </w:rPr>
        <w:t>铅</w:t>
      </w:r>
      <w:r>
        <w:rPr>
          <w:rFonts w:hint="eastAsia" w:ascii="宋体" w:hAnsi="宋体" w:eastAsia="宋体" w:cs="宋体"/>
          <w:sz w:val="21"/>
          <w:szCs w:val="21"/>
          <w:lang w:val="en-US" w:eastAsia="zh-CN"/>
        </w:rPr>
        <w:t>含量的检测</w:t>
      </w:r>
      <w:r>
        <w:rPr>
          <w:rFonts w:hint="eastAsia" w:ascii="宋体" w:hAnsi="宋体" w:eastAsia="宋体" w:cs="宋体"/>
          <w:sz w:val="21"/>
          <w:szCs w:val="21"/>
        </w:rPr>
        <w:t>要求</w:t>
      </w:r>
      <w:r>
        <w:rPr>
          <w:rFonts w:hint="eastAsia" w:ascii="宋体" w:hAnsi="宋体" w:eastAsia="宋体" w:cs="宋体"/>
          <w:sz w:val="21"/>
          <w:szCs w:val="21"/>
          <w:lang w:eastAsia="zh-CN"/>
        </w:rPr>
        <w:t>，</w:t>
      </w:r>
      <w:r>
        <w:rPr>
          <w:rFonts w:hint="eastAsia" w:ascii="宋体" w:hAnsi="宋体" w:eastAsia="宋体" w:cs="宋体"/>
          <w:sz w:val="21"/>
          <w:szCs w:val="21"/>
        </w:rPr>
        <w:t>更好地确保标准的先进性，促进我国检测技术的进步</w:t>
      </w:r>
      <w:r>
        <w:rPr>
          <w:rFonts w:hint="eastAsia" w:ascii="宋体" w:hAnsi="宋体" w:eastAsia="宋体" w:cs="宋体"/>
          <w:sz w:val="21"/>
          <w:szCs w:val="21"/>
          <w:lang w:eastAsia="zh-CN"/>
        </w:rPr>
        <w:t>。</w:t>
      </w:r>
    </w:p>
    <w:p w14:paraId="5CE3B98B">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本标准在制订过程中，充分考虑铜及铜合金产品标准的相关内容要求，保证了标准的协调性与一致性。</w:t>
      </w:r>
    </w:p>
    <w:bookmarkEnd w:id="0"/>
    <w:p w14:paraId="4CBA8220">
      <w:pPr>
        <w:pStyle w:val="12"/>
        <w:keepNext w:val="0"/>
        <w:keepLines w:val="0"/>
        <w:pageBreakBefore w:val="0"/>
        <w:kinsoku/>
        <w:wordWrap/>
        <w:overflowPunct/>
        <w:topLinePunct w:val="0"/>
        <w:autoSpaceDE/>
        <w:autoSpaceDN/>
        <w:bidi w:val="0"/>
        <w:adjustRightInd/>
        <w:snapToGrid/>
        <w:spacing w:before="0" w:beforeAutospacing="0" w:after="0" w:afterAutospacing="0" w:line="440" w:lineRule="exact"/>
        <w:jc w:val="both"/>
        <w:textAlignment w:val="auto"/>
        <w:rPr>
          <w:rFonts w:hint="default" w:ascii="黑体" w:eastAsia="黑体" w:cs="Arial"/>
          <w:color w:val="auto"/>
          <w:sz w:val="21"/>
          <w:szCs w:val="21"/>
          <w:lang w:val="en-US" w:eastAsia="zh-CN"/>
        </w:rPr>
      </w:pPr>
      <w:r>
        <w:rPr>
          <w:rFonts w:hint="eastAsia" w:ascii="黑体" w:eastAsia="黑体" w:cs="Arial"/>
          <w:color w:val="auto"/>
          <w:sz w:val="21"/>
          <w:szCs w:val="21"/>
          <w:lang w:val="en-US" w:eastAsia="zh-CN"/>
        </w:rPr>
        <w:t>2、</w:t>
      </w:r>
      <w:r>
        <w:rPr>
          <w:rFonts w:hint="eastAsia" w:ascii="黑体" w:eastAsia="黑体" w:cs="Arial"/>
          <w:color w:val="auto"/>
          <w:sz w:val="21"/>
          <w:szCs w:val="21"/>
          <w:highlight w:val="yellow"/>
        </w:rPr>
        <w:t>标准主要技术内容</w:t>
      </w:r>
      <w:r>
        <w:rPr>
          <w:rFonts w:hint="eastAsia" w:ascii="黑体" w:eastAsia="黑体" w:cs="Arial"/>
          <w:color w:val="auto"/>
          <w:sz w:val="21"/>
          <w:szCs w:val="21"/>
          <w:highlight w:val="yellow"/>
          <w:lang w:val="en-US" w:eastAsia="zh-CN"/>
        </w:rPr>
        <w:t>的确定依据</w:t>
      </w:r>
    </w:p>
    <w:p w14:paraId="3AFE08D5">
      <w:pPr>
        <w:pStyle w:val="23"/>
        <w:ind w:firstLine="420"/>
      </w:pPr>
      <w:r>
        <w:rPr>
          <w:rFonts w:hint="eastAsia"/>
        </w:rPr>
        <w:t>本</w:t>
      </w:r>
      <w:r>
        <w:rPr>
          <w:rFonts w:hint="eastAsia"/>
          <w:lang w:val="en-US" w:eastAsia="zh-CN"/>
        </w:rPr>
        <w:t>文件描述</w:t>
      </w:r>
      <w:r>
        <w:rPr>
          <w:rFonts w:hint="eastAsia"/>
        </w:rPr>
        <w:t>了</w:t>
      </w:r>
      <w:r>
        <w:rPr>
          <w:rFonts w:hint="eastAsia"/>
          <w:bCs/>
          <w:lang w:eastAsia="zh-CN"/>
        </w:rPr>
        <w:t>铜及铜合金中铅含量</w:t>
      </w:r>
      <w:r>
        <w:rPr>
          <w:rFonts w:hint="eastAsia"/>
          <w:bCs/>
        </w:rPr>
        <w:t>的分析方法</w:t>
      </w:r>
      <w:r>
        <w:rPr>
          <w:rFonts w:hint="eastAsia"/>
        </w:rPr>
        <w:t>。</w:t>
      </w:r>
    </w:p>
    <w:p w14:paraId="2DC14600">
      <w:pPr>
        <w:pStyle w:val="23"/>
        <w:ind w:firstLine="420"/>
        <w:rPr>
          <w:rFonts w:hint="eastAsia" w:ascii="宋体" w:hAnsi="宋体" w:eastAsia="宋体" w:cs="宋体"/>
          <w:b w:val="0"/>
          <w:bCs w:val="0"/>
          <w:sz w:val="21"/>
          <w:szCs w:val="21"/>
          <w:lang w:eastAsia="zh-CN"/>
        </w:rPr>
      </w:pPr>
      <w:r>
        <w:rPr>
          <w:rFonts w:hint="eastAsia"/>
        </w:rPr>
        <w:t>本</w:t>
      </w:r>
      <w:r>
        <w:rPr>
          <w:rFonts w:hint="eastAsia"/>
          <w:lang w:val="en-US" w:eastAsia="zh-CN"/>
        </w:rPr>
        <w:t>文件</w:t>
      </w:r>
      <w:r>
        <w:rPr>
          <w:rFonts w:hint="eastAsia"/>
        </w:rPr>
        <w:t>适用于铜及铜合金中</w:t>
      </w:r>
      <w:r>
        <w:rPr>
          <w:rFonts w:hint="eastAsia"/>
          <w:bCs/>
          <w:lang w:eastAsia="zh-CN"/>
        </w:rPr>
        <w:t>铅</w:t>
      </w:r>
      <w:r>
        <w:rPr>
          <w:rFonts w:hint="eastAsia"/>
        </w:rPr>
        <w:t>含量的测定。塞曼效应电热原子吸收光谱法</w:t>
      </w:r>
      <w:r>
        <w:rPr>
          <w:rFonts w:hint="eastAsia"/>
          <w:lang w:eastAsia="zh-CN"/>
        </w:rPr>
        <w:t>测定范围：</w:t>
      </w:r>
      <w:r>
        <w:rPr>
          <w:rFonts w:hint="eastAsia"/>
          <w:lang w:val="en-US" w:eastAsia="zh-CN"/>
        </w:rPr>
        <w:t>0.00010%～0.0015%</w:t>
      </w:r>
      <w:r>
        <w:rPr>
          <w:rFonts w:hint="eastAsia"/>
          <w:szCs w:val="21"/>
          <w:lang w:eastAsia="zh-CN"/>
        </w:rPr>
        <w:t>；</w:t>
      </w:r>
      <w:r>
        <w:rPr>
          <w:rFonts w:hAnsi="宋体"/>
          <w:color w:val="000000"/>
          <w:sz w:val="21"/>
          <w:szCs w:val="21"/>
          <w:shd w:val="clear" w:color="auto" w:fill="FFFFFF"/>
        </w:rPr>
        <w:t>火焰原子吸收光谱法</w:t>
      </w:r>
      <w:r>
        <w:rPr>
          <w:rFonts w:hint="eastAsia"/>
          <w:lang w:eastAsia="zh-CN"/>
        </w:rPr>
        <w:t>测定范围：</w:t>
      </w:r>
      <w:r>
        <w:rPr>
          <w:rFonts w:hAnsi="宋体"/>
          <w:color w:val="000000"/>
          <w:sz w:val="18"/>
          <w:szCs w:val="18"/>
        </w:rPr>
        <w:t>＞</w:t>
      </w:r>
      <w:r>
        <w:rPr>
          <w:bCs/>
          <w:color w:val="000000"/>
          <w:szCs w:val="18"/>
        </w:rPr>
        <w:t>0.00</w:t>
      </w:r>
      <w:r>
        <w:rPr>
          <w:rFonts w:hint="eastAsia"/>
          <w:bCs/>
          <w:color w:val="000000"/>
          <w:szCs w:val="18"/>
          <w:lang w:val="en-US" w:eastAsia="zh-CN"/>
        </w:rPr>
        <w:t>15</w:t>
      </w:r>
      <w:r>
        <w:rPr>
          <w:bCs/>
          <w:color w:val="000000"/>
          <w:szCs w:val="18"/>
        </w:rPr>
        <w:t>%</w:t>
      </w:r>
      <w:r>
        <w:rPr>
          <w:rFonts w:hAnsi="宋体"/>
          <w:bCs/>
          <w:color w:val="000000"/>
          <w:szCs w:val="18"/>
        </w:rPr>
        <w:t>～</w:t>
      </w:r>
      <w:r>
        <w:rPr>
          <w:rFonts w:hint="eastAsia"/>
          <w:bCs/>
          <w:color w:val="000000"/>
          <w:szCs w:val="18"/>
          <w:lang w:val="en-US" w:eastAsia="zh-CN"/>
        </w:rPr>
        <w:t>5.00</w:t>
      </w:r>
      <w:r>
        <w:rPr>
          <w:bCs/>
          <w:color w:val="000000"/>
          <w:szCs w:val="18"/>
        </w:rPr>
        <w:t>%</w:t>
      </w:r>
      <w:r>
        <w:rPr>
          <w:rFonts w:hint="eastAsia"/>
          <w:bCs/>
          <w:color w:val="000000"/>
          <w:szCs w:val="18"/>
          <w:lang w:eastAsia="zh-CN"/>
        </w:rPr>
        <w:t>；</w:t>
      </w:r>
      <w:r>
        <w:rPr>
          <w:rFonts w:hint="eastAsia"/>
          <w:bCs/>
          <w:color w:val="000000"/>
          <w:szCs w:val="18"/>
          <w:lang w:val="en-US" w:eastAsia="zh-CN"/>
        </w:rPr>
        <w:t>Na</w:t>
      </w:r>
      <w:r>
        <w:rPr>
          <w:rFonts w:hint="eastAsia"/>
          <w:bCs/>
          <w:color w:val="000000"/>
          <w:szCs w:val="18"/>
          <w:vertAlign w:val="subscript"/>
          <w:lang w:val="en-US" w:eastAsia="zh-CN"/>
        </w:rPr>
        <w:t>2</w:t>
      </w:r>
      <w:r>
        <w:rPr>
          <w:rFonts w:hint="eastAsia"/>
          <w:bCs/>
          <w:color w:val="000000"/>
          <w:szCs w:val="18"/>
          <w:lang w:val="en-US" w:eastAsia="zh-CN"/>
        </w:rPr>
        <w:t>EDTA滴定法</w:t>
      </w:r>
      <w:r>
        <w:rPr>
          <w:rFonts w:hint="eastAsia"/>
          <w:lang w:eastAsia="zh-CN"/>
        </w:rPr>
        <w:t>测定范围：</w:t>
      </w:r>
      <w:r>
        <w:rPr>
          <w:rFonts w:hAnsi="宋体"/>
          <w:color w:val="000000"/>
          <w:sz w:val="18"/>
          <w:szCs w:val="18"/>
        </w:rPr>
        <w:t>＞</w:t>
      </w:r>
      <w:r>
        <w:rPr>
          <w:rFonts w:hint="eastAsia"/>
          <w:bCs/>
          <w:color w:val="000000"/>
          <w:szCs w:val="18"/>
          <w:lang w:val="en-US" w:eastAsia="zh-CN"/>
        </w:rPr>
        <w:t>5.00</w:t>
      </w:r>
      <w:r>
        <w:rPr>
          <w:bCs/>
          <w:color w:val="000000"/>
          <w:szCs w:val="18"/>
        </w:rPr>
        <w:t>%</w:t>
      </w:r>
      <w:r>
        <w:rPr>
          <w:rFonts w:hAnsi="宋体"/>
          <w:bCs/>
          <w:color w:val="000000"/>
          <w:szCs w:val="18"/>
        </w:rPr>
        <w:t>～</w:t>
      </w:r>
      <w:r>
        <w:rPr>
          <w:rFonts w:hint="eastAsia" w:hAnsi="宋体"/>
          <w:bCs/>
          <w:color w:val="000000"/>
          <w:szCs w:val="18"/>
          <w:lang w:val="en-US" w:eastAsia="zh-CN"/>
        </w:rPr>
        <w:t>3</w:t>
      </w:r>
      <w:r>
        <w:rPr>
          <w:rFonts w:hint="eastAsia"/>
          <w:bCs/>
          <w:color w:val="000000"/>
          <w:szCs w:val="18"/>
          <w:lang w:val="en-US" w:eastAsia="zh-CN"/>
        </w:rPr>
        <w:t>5.00</w:t>
      </w:r>
      <w:r>
        <w:rPr>
          <w:bCs/>
          <w:color w:val="000000"/>
          <w:szCs w:val="18"/>
        </w:rPr>
        <w:t>%</w:t>
      </w:r>
      <w:r>
        <w:rPr>
          <w:rFonts w:hint="eastAsia"/>
          <w:bCs/>
          <w:color w:val="000000"/>
          <w:szCs w:val="18"/>
          <w:lang w:eastAsia="zh-CN"/>
        </w:rPr>
        <w:t>。</w:t>
      </w:r>
    </w:p>
    <w:p w14:paraId="5392E294">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ascii="宋体" w:hAnsi="宋体"/>
          <w:color w:val="auto"/>
          <w:szCs w:val="21"/>
          <w:highlight w:val="none"/>
          <w:lang w:eastAsia="zh-CN"/>
        </w:rPr>
        <w:t>近年来，随着</w:t>
      </w:r>
      <w:r>
        <w:rPr>
          <w:rFonts w:hint="eastAsia" w:ascii="宋体" w:hAnsi="宋体"/>
          <w:color w:val="auto"/>
          <w:szCs w:val="21"/>
          <w:highlight w:val="none"/>
        </w:rPr>
        <w:t>铜及铜合金</w:t>
      </w:r>
      <w:r>
        <w:rPr>
          <w:rFonts w:hint="eastAsia" w:ascii="宋体" w:hAnsi="宋体"/>
          <w:color w:val="auto"/>
          <w:szCs w:val="21"/>
          <w:highlight w:val="none"/>
          <w:lang w:eastAsia="zh-CN"/>
        </w:rPr>
        <w:t>材料的推陈出新</w:t>
      </w:r>
      <w:r>
        <w:rPr>
          <w:rFonts w:hint="eastAsia" w:ascii="宋体" w:hAnsi="宋体" w:eastAsia="宋体" w:cs="宋体"/>
          <w:color w:val="auto"/>
          <w:szCs w:val="21"/>
          <w:highlight w:val="none"/>
          <w:lang w:eastAsia="zh-CN"/>
        </w:rPr>
        <w:t>，对各元素的检测范围、准确度、精密度等要求越来越高。为实现</w:t>
      </w:r>
      <w:r>
        <w:rPr>
          <w:rFonts w:hint="eastAsia" w:ascii="宋体" w:hAnsi="宋体" w:cs="宋体"/>
          <w:color w:val="auto"/>
          <w:szCs w:val="21"/>
          <w:highlight w:val="none"/>
          <w:lang w:eastAsia="zh-CN"/>
        </w:rPr>
        <w:t>铅</w:t>
      </w:r>
      <w:r>
        <w:rPr>
          <w:rFonts w:hint="eastAsia" w:ascii="宋体" w:hAnsi="宋体" w:eastAsia="宋体" w:cs="宋体"/>
          <w:color w:val="auto"/>
          <w:szCs w:val="21"/>
          <w:highlight w:val="none"/>
          <w:lang w:eastAsia="zh-CN"/>
        </w:rPr>
        <w:t>元素的检测方法</w:t>
      </w:r>
      <w:r>
        <w:rPr>
          <w:rFonts w:hint="eastAsia" w:ascii="宋体" w:hAnsi="宋体" w:cs="宋体"/>
          <w:color w:val="auto"/>
          <w:szCs w:val="21"/>
          <w:highlight w:val="none"/>
          <w:lang w:eastAsia="zh-CN"/>
        </w:rPr>
        <w:t>能够</w:t>
      </w:r>
      <w:r>
        <w:rPr>
          <w:rFonts w:hint="eastAsia" w:ascii="宋体" w:hAnsi="宋体" w:eastAsia="宋体" w:cs="宋体"/>
          <w:color w:val="auto"/>
          <w:szCs w:val="21"/>
          <w:highlight w:val="none"/>
          <w:lang w:eastAsia="zh-CN"/>
        </w:rPr>
        <w:t>涵盖国内现有铜及铜合金材料，同时具备准确、可靠、操作性强等特点，因此对</w:t>
      </w:r>
      <w:r>
        <w:rPr>
          <w:rFonts w:hint="eastAsia" w:ascii="宋体" w:hAnsi="宋体" w:eastAsia="宋体" w:cs="宋体"/>
          <w:color w:val="auto"/>
          <w:szCs w:val="21"/>
          <w:highlight w:val="none"/>
        </w:rPr>
        <w:t>GB/T</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5121</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进行修订</w:t>
      </w:r>
      <w:r>
        <w:rPr>
          <w:rFonts w:hint="eastAsia" w:ascii="宋体" w:hAnsi="宋体" w:cs="宋体"/>
          <w:color w:val="auto"/>
          <w:szCs w:val="21"/>
          <w:highlight w:val="none"/>
          <w:lang w:val="en-US" w:eastAsia="zh-CN"/>
        </w:rPr>
        <w:t>，新增了Na</w:t>
      </w:r>
      <w:r>
        <w:rPr>
          <w:rFonts w:hint="eastAsia" w:ascii="宋体" w:hAnsi="宋体" w:cs="宋体"/>
          <w:color w:val="auto"/>
          <w:szCs w:val="21"/>
          <w:highlight w:val="none"/>
          <w:vertAlign w:val="subscript"/>
          <w:lang w:val="en-US" w:eastAsia="zh-CN"/>
        </w:rPr>
        <w:t>2</w:t>
      </w:r>
      <w:r>
        <w:rPr>
          <w:rFonts w:hint="eastAsia" w:ascii="宋体" w:hAnsi="宋体" w:cs="宋体"/>
          <w:color w:val="auto"/>
          <w:szCs w:val="21"/>
          <w:highlight w:val="none"/>
          <w:lang w:val="en-US" w:eastAsia="zh-CN"/>
        </w:rPr>
        <w:t>EDTA滴定测定铅含量的方法</w:t>
      </w:r>
      <w:r>
        <w:rPr>
          <w:rFonts w:hint="eastAsia" w:ascii="宋体" w:hAnsi="宋体" w:eastAsia="宋体" w:cs="宋体"/>
          <w:color w:val="auto"/>
          <w:szCs w:val="21"/>
          <w:highlight w:val="none"/>
          <w:lang w:val="en-US" w:eastAsia="zh-CN"/>
        </w:rPr>
        <w:t>。</w:t>
      </w:r>
      <w:r>
        <w:rPr>
          <w:rFonts w:hint="eastAsia" w:ascii="宋体" w:hAnsi="宋体" w:eastAsia="宋体" w:cs="宋体"/>
          <w:color w:val="0C0C0C" w:themeColor="text1" w:themeTint="F2"/>
          <w:szCs w:val="21"/>
          <w:highlight w:val="none"/>
          <w:lang w:eastAsia="zh-CN"/>
        </w:rPr>
        <w:t>本文件的修订</w:t>
      </w:r>
      <w:r>
        <w:rPr>
          <w:rFonts w:hint="eastAsia" w:ascii="宋体" w:hAnsi="宋体" w:cs="宋体"/>
          <w:color w:val="0C0C0C" w:themeColor="text1" w:themeTint="F2"/>
          <w:szCs w:val="21"/>
          <w:highlight w:val="none"/>
          <w:lang w:eastAsia="zh-CN"/>
        </w:rPr>
        <w:t>扩展了铅元素的检测范围，提高了</w:t>
      </w:r>
      <w:r>
        <w:rPr>
          <w:rFonts w:hint="eastAsia" w:ascii="宋体" w:hAnsi="宋体" w:eastAsia="宋体" w:cs="宋体"/>
          <w:color w:val="auto"/>
          <w:szCs w:val="21"/>
          <w:highlight w:val="none"/>
          <w:lang w:eastAsia="zh-CN"/>
        </w:rPr>
        <w:t>铜及铜合金</w:t>
      </w:r>
      <w:r>
        <w:rPr>
          <w:rFonts w:hint="eastAsia" w:ascii="宋体" w:hAnsi="宋体" w:cs="宋体"/>
          <w:color w:val="0C0C0C" w:themeColor="text1" w:themeTint="F2"/>
          <w:szCs w:val="21"/>
          <w:highlight w:val="none"/>
          <w:lang w:eastAsia="zh-CN"/>
        </w:rPr>
        <w:t>检测标准和产品标准适配性，进一步增强了检测方法的操作规范性，推进了铜及铜合金化学分析标准体系的健全完善。</w:t>
      </w:r>
    </w:p>
    <w:p w14:paraId="6FEE09B2">
      <w:pPr>
        <w:pStyle w:val="4"/>
        <w:numPr>
          <w:ilvl w:val="0"/>
          <w:numId w:val="6"/>
        </w:numPr>
        <w:rPr>
          <w:rFonts w:hint="eastAsia" w:ascii="黑体" w:eastAsia="黑体" w:cs="Arial"/>
          <w:color w:val="0000FF"/>
          <w:sz w:val="21"/>
          <w:szCs w:val="21"/>
          <w:highlight w:val="none"/>
          <w:lang w:val="en-US" w:eastAsia="zh-CN"/>
        </w:rPr>
      </w:pPr>
      <w:r>
        <w:rPr>
          <w:rFonts w:hint="eastAsia" w:ascii="黑体" w:hAnsi="宋体" w:eastAsia="黑体" w:cs="宋体"/>
          <w:bCs/>
          <w:color w:val="auto"/>
          <w:sz w:val="21"/>
          <w:szCs w:val="21"/>
          <w:highlight w:val="none"/>
          <w:lang w:val="en-US" w:eastAsia="zh-CN"/>
        </w:rPr>
        <w:t>本标准与GB/T 5121.3-2008标准的比较</w:t>
      </w:r>
    </w:p>
    <w:p w14:paraId="5801DE6E">
      <w:pPr>
        <w:widowControl/>
        <w:autoSpaceDE w:val="0"/>
        <w:autoSpaceDN w:val="0"/>
        <w:ind w:firstLine="420" w:firstLineChars="200"/>
        <w:rPr>
          <w:rFonts w:hint="eastAsia" w:ascii="宋体" w:hAnsi="宋体" w:eastAsia="宋体" w:cs="宋体"/>
          <w:color w:val="auto"/>
          <w:szCs w:val="21"/>
          <w:lang w:val="en-US" w:eastAsia="zh-CN"/>
        </w:rPr>
      </w:pPr>
      <w:r>
        <w:rPr>
          <w:rFonts w:hint="eastAsia"/>
          <w:color w:val="auto"/>
          <w:szCs w:val="21"/>
          <w:lang w:eastAsia="zh-CN"/>
        </w:rPr>
        <w:t>本</w:t>
      </w:r>
      <w:r>
        <w:rPr>
          <w:rFonts w:hint="eastAsia"/>
          <w:color w:val="auto"/>
          <w:szCs w:val="21"/>
          <w:lang w:val="en-US" w:eastAsia="zh-CN"/>
        </w:rPr>
        <w:t>文件</w:t>
      </w:r>
      <w:r>
        <w:rPr>
          <w:rFonts w:hint="eastAsia"/>
          <w:color w:val="auto"/>
          <w:szCs w:val="21"/>
          <w:lang w:eastAsia="zh-CN"/>
        </w:rPr>
        <w:t>代</w:t>
      </w:r>
      <w:r>
        <w:rPr>
          <w:rFonts w:hint="eastAsia" w:ascii="宋体" w:hAnsi="宋体" w:eastAsia="宋体" w:cs="宋体"/>
          <w:color w:val="auto"/>
          <w:szCs w:val="21"/>
          <w:lang w:eastAsia="zh-CN"/>
        </w:rPr>
        <w:t>替</w:t>
      </w:r>
      <w:r>
        <w:rPr>
          <w:rFonts w:hint="eastAsia" w:ascii="宋体" w:hAnsi="宋体" w:eastAsia="宋体" w:cs="宋体"/>
          <w:color w:val="auto"/>
          <w:szCs w:val="21"/>
          <w:lang w:val="en-US" w:eastAsia="zh-CN"/>
        </w:rPr>
        <w:t>GB/T 5121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-2008《铜及铜合金化学分析方法 第</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部分：</w:t>
      </w:r>
      <w:r>
        <w:rPr>
          <w:rFonts w:hint="eastAsia" w:ascii="宋体" w:hAnsi="宋体" w:cs="宋体"/>
          <w:color w:val="auto"/>
          <w:szCs w:val="21"/>
          <w:lang w:val="en-US" w:eastAsia="zh-CN"/>
        </w:rPr>
        <w:t>铅</w:t>
      </w:r>
      <w:r>
        <w:rPr>
          <w:rFonts w:hint="eastAsia" w:ascii="宋体" w:hAnsi="宋体" w:eastAsia="宋体" w:cs="宋体"/>
          <w:color w:val="auto"/>
          <w:szCs w:val="21"/>
          <w:lang w:val="en-US" w:eastAsia="zh-CN"/>
        </w:rPr>
        <w:t>含量的测定》，与GB/T 5121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-2008相比，除了结构调整和编辑性改动外，主要</w:t>
      </w:r>
      <w:r>
        <w:rPr>
          <w:rFonts w:hint="eastAsia" w:ascii="宋体" w:hAnsi="宋体" w:cs="宋体"/>
          <w:color w:val="auto"/>
          <w:szCs w:val="21"/>
          <w:lang w:val="en-US" w:eastAsia="zh-CN"/>
        </w:rPr>
        <w:t>技术</w:t>
      </w:r>
      <w:r>
        <w:rPr>
          <w:rFonts w:hint="eastAsia" w:ascii="宋体" w:hAnsi="宋体" w:eastAsia="宋体" w:cs="宋体"/>
          <w:color w:val="auto"/>
          <w:szCs w:val="21"/>
          <w:lang w:val="en-US" w:eastAsia="zh-CN"/>
        </w:rPr>
        <w:t>变化如下：</w:t>
      </w:r>
    </w:p>
    <w:p w14:paraId="6D99AEEC">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 更改了方法一使用硝酸的纯度，将“</w:t>
      </w:r>
      <w:r>
        <w:rPr>
          <w:rFonts w:hint="eastAsia" w:ascii="宋体" w:hAnsi="宋体" w:eastAsia="宋体" w:cs="宋体"/>
          <w:b w:val="0"/>
          <w:bCs w:val="0"/>
          <w:color w:val="auto"/>
          <w:szCs w:val="21"/>
          <w:highlight w:val="none"/>
        </w:rPr>
        <w:t>B</w:t>
      </w:r>
      <w:r>
        <w:rPr>
          <w:rFonts w:hint="eastAsia" w:ascii="宋体" w:hAnsi="宋体" w:eastAsia="宋体" w:cs="宋体"/>
          <w:b w:val="0"/>
          <w:bCs w:val="0"/>
          <w:color w:val="auto"/>
          <w:szCs w:val="21"/>
          <w:highlight w:val="none"/>
          <w:lang w:val="en-US" w:eastAsia="zh-CN"/>
        </w:rPr>
        <w:t>V</w:t>
      </w:r>
      <w:r>
        <w:rPr>
          <w:rFonts w:hint="eastAsia" w:ascii="宋体" w:hAnsi="宋体" w:eastAsia="宋体" w:cs="宋体"/>
          <w:b w:val="0"/>
          <w:bCs w:val="0"/>
          <w:color w:val="auto"/>
          <w:szCs w:val="21"/>
          <w:highlight w:val="none"/>
        </w:rPr>
        <w:t>Ⅲ</w:t>
      </w:r>
      <w:r>
        <w:rPr>
          <w:rFonts w:hint="eastAsia" w:ascii="宋体" w:hAnsi="宋体" w:cs="宋体"/>
          <w:b w:val="0"/>
          <w:bCs w:val="0"/>
          <w:color w:val="auto"/>
          <w:szCs w:val="21"/>
          <w:highlight w:val="none"/>
          <w:lang w:eastAsia="zh-CN"/>
        </w:rPr>
        <w:t>级</w:t>
      </w:r>
      <w:r>
        <w:rPr>
          <w:rFonts w:hint="eastAsia" w:ascii="宋体" w:hAnsi="宋体" w:cs="宋体"/>
          <w:color w:val="auto"/>
          <w:szCs w:val="21"/>
          <w:highlight w:val="none"/>
          <w:lang w:val="en-US" w:eastAsia="zh-CN"/>
        </w:rPr>
        <w:t>”更改为“优级纯”（见4.2.2,2008</w:t>
      </w:r>
    </w:p>
    <w:p w14:paraId="7602260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年版的1.3.2）；</w:t>
      </w:r>
    </w:p>
    <w:p w14:paraId="7DF9DFBB">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 更改了样品的规定，将“试样加工成屑状”、“</w:t>
      </w:r>
      <w:r>
        <w:rPr>
          <w:rFonts w:hint="eastAsia" w:ascii="宋体" w:hAnsi="宋体" w:eastAsia="宋体" w:cs="宋体"/>
          <w:color w:val="auto"/>
          <w:szCs w:val="21"/>
          <w:highlight w:val="none"/>
        </w:rPr>
        <w:t>厚度不大于1mm的碎屑</w:t>
      </w:r>
      <w:r>
        <w:rPr>
          <w:rFonts w:hint="eastAsia" w:ascii="宋体" w:hAnsi="宋体" w:cs="宋体"/>
          <w:color w:val="auto"/>
          <w:szCs w:val="21"/>
          <w:highlight w:val="none"/>
          <w:lang w:val="en-US" w:eastAsia="zh-CN"/>
        </w:rPr>
        <w:t>”更</w:t>
      </w:r>
      <w:r>
        <w:rPr>
          <w:rFonts w:hint="eastAsia" w:ascii="宋体" w:hAnsi="宋体" w:eastAsia="宋体" w:cs="宋体"/>
          <w:color w:val="auto"/>
          <w:szCs w:val="21"/>
          <w:highlight w:val="none"/>
          <w:lang w:val="en-US" w:eastAsia="zh-CN"/>
        </w:rPr>
        <w:t>改为</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eastAsia="zh-CN"/>
        </w:rPr>
        <w:t>按</w:t>
      </w:r>
    </w:p>
    <w:p w14:paraId="6D77A0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840" w:leftChars="400" w:firstLine="0" w:firstLineChars="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照</w:t>
      </w:r>
      <w:r>
        <w:rPr>
          <w:rFonts w:hint="eastAsia" w:ascii="宋体" w:hAnsi="宋体" w:eastAsia="宋体" w:cs="宋体"/>
          <w:color w:val="auto"/>
          <w:kern w:val="0"/>
          <w:szCs w:val="20"/>
          <w:highlight w:val="none"/>
        </w:rPr>
        <w:t>YS/T 668</w:t>
      </w:r>
      <w:r>
        <w:rPr>
          <w:rFonts w:hint="eastAsia" w:ascii="宋体" w:hAnsi="宋体" w:cs="宋体"/>
          <w:color w:val="auto"/>
          <w:kern w:val="0"/>
          <w:szCs w:val="20"/>
          <w:highlight w:val="none"/>
          <w:lang w:eastAsia="zh-CN"/>
        </w:rPr>
        <w:t>的规定</w:t>
      </w:r>
      <w:r>
        <w:rPr>
          <w:rFonts w:hint="eastAsia" w:ascii="宋体" w:hAnsi="宋体" w:eastAsia="宋体" w:cs="宋体"/>
          <w:color w:val="auto"/>
          <w:szCs w:val="21"/>
          <w:highlight w:val="none"/>
          <w:lang w:eastAsia="zh-CN"/>
        </w:rPr>
        <w:t>将</w:t>
      </w:r>
      <w:r>
        <w:rPr>
          <w:rFonts w:hint="eastAsia" w:ascii="宋体" w:hAnsi="宋体" w:cs="宋体"/>
          <w:color w:val="auto"/>
          <w:szCs w:val="21"/>
          <w:highlight w:val="none"/>
          <w:lang w:val="en-US" w:eastAsia="zh-CN"/>
        </w:rPr>
        <w:t>样品</w:t>
      </w:r>
      <w:r>
        <w:rPr>
          <w:rFonts w:hint="eastAsia" w:ascii="宋体" w:hAnsi="宋体" w:eastAsia="宋体" w:cs="宋体"/>
          <w:color w:val="auto"/>
          <w:szCs w:val="21"/>
          <w:highlight w:val="none"/>
          <w:lang w:eastAsia="zh-CN"/>
        </w:rPr>
        <w:t>加工成</w:t>
      </w:r>
      <w:r>
        <w:rPr>
          <w:rFonts w:hint="eastAsia" w:ascii="宋体" w:hAnsi="宋体" w:eastAsia="宋体" w:cs="宋体"/>
          <w:color w:val="auto"/>
          <w:szCs w:val="21"/>
          <w:highlight w:val="none"/>
        </w:rPr>
        <w:t>厚度不大于1mm的碎屑</w:t>
      </w:r>
      <w:r>
        <w:rPr>
          <w:rFonts w:hint="eastAsia" w:ascii="宋体" w:hAnsi="宋体" w:cs="宋体"/>
          <w:color w:val="auto"/>
          <w:szCs w:val="21"/>
          <w:highlight w:val="none"/>
          <w:lang w:val="en-US" w:eastAsia="zh-CN"/>
        </w:rPr>
        <w:t>”</w:t>
      </w:r>
      <w:r>
        <w:rPr>
          <w:rFonts w:hint="eastAsia" w:ascii="宋体" w:hAnsi="宋体" w:eastAsia="宋体" w:cs="宋体"/>
          <w:szCs w:val="21"/>
          <w:highlight w:val="none"/>
          <w:lang w:val="en-US" w:eastAsia="zh-CN"/>
        </w:rPr>
        <w:t>（</w:t>
      </w:r>
      <w:r>
        <w:rPr>
          <w:rFonts w:hint="eastAsia" w:ascii="宋体" w:hAnsi="宋体" w:cs="宋体"/>
          <w:szCs w:val="21"/>
          <w:highlight w:val="none"/>
          <w:lang w:val="en-US" w:eastAsia="zh-CN"/>
        </w:rPr>
        <w:t>见4.4，5.4</w:t>
      </w:r>
      <w:r>
        <w:rPr>
          <w:rFonts w:hint="eastAsia" w:ascii="宋体" w:hAnsi="宋体" w:eastAsia="宋体" w:cs="宋体"/>
          <w:szCs w:val="21"/>
          <w:highlight w:val="none"/>
          <w:lang w:val="en-US" w:eastAsia="zh-CN"/>
        </w:rPr>
        <w:t>，2008年版</w:t>
      </w:r>
      <w:r>
        <w:rPr>
          <w:rFonts w:hint="eastAsia" w:ascii="宋体" w:hAnsi="宋体" w:cs="宋体"/>
          <w:szCs w:val="21"/>
          <w:highlight w:val="none"/>
          <w:lang w:val="en-US" w:eastAsia="zh-CN"/>
        </w:rPr>
        <w:t>1.5，2.5</w:t>
      </w:r>
      <w:r>
        <w:rPr>
          <w:rFonts w:hint="eastAsia" w:ascii="宋体" w:hAnsi="宋体" w:eastAsia="宋体" w:cs="宋体"/>
          <w:szCs w:val="21"/>
          <w:highlight w:val="none"/>
          <w:lang w:val="en-US" w:eastAsia="zh-CN"/>
        </w:rPr>
        <w:t>）</w:t>
      </w:r>
      <w:r>
        <w:rPr>
          <w:rFonts w:hint="eastAsia"/>
          <w:szCs w:val="21"/>
          <w:highlight w:val="none"/>
          <w:lang w:val="en-US" w:eastAsia="zh-CN"/>
        </w:rPr>
        <w:t>；</w:t>
      </w:r>
    </w:p>
    <w:p w14:paraId="5C0598EF">
      <w:pPr>
        <w:keepNext w:val="0"/>
        <w:keepLines w:val="0"/>
        <w:pageBreakBefore w:val="0"/>
        <w:widowControl/>
        <w:numPr>
          <w:ilvl w:val="0"/>
          <w:numId w:val="7"/>
        </w:numPr>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 增加了方法三 Na</w:t>
      </w:r>
      <w:r>
        <w:rPr>
          <w:rFonts w:hint="eastAsia" w:ascii="宋体" w:hAnsi="宋体" w:cs="宋体"/>
          <w:color w:val="auto"/>
          <w:szCs w:val="21"/>
          <w:highlight w:val="none"/>
          <w:vertAlign w:val="subscript"/>
          <w:lang w:val="en-US" w:eastAsia="zh-CN"/>
        </w:rPr>
        <w:t>2</w:t>
      </w:r>
      <w:r>
        <w:rPr>
          <w:rFonts w:hint="eastAsia" w:ascii="宋体" w:hAnsi="宋体" w:cs="宋体"/>
          <w:color w:val="auto"/>
          <w:szCs w:val="21"/>
          <w:highlight w:val="none"/>
          <w:lang w:val="en-US" w:eastAsia="zh-CN"/>
        </w:rPr>
        <w:t>EDTA滴定法（见第6章）；</w:t>
      </w:r>
    </w:p>
    <w:p w14:paraId="0F714187">
      <w:pPr>
        <w:keepNext w:val="0"/>
        <w:keepLines w:val="0"/>
        <w:pageBreakBefore w:val="0"/>
        <w:widowControl/>
        <w:numPr>
          <w:ilvl w:val="0"/>
          <w:numId w:val="7"/>
        </w:numPr>
        <w:kinsoku/>
        <w:wordWrap/>
        <w:overflowPunct/>
        <w:topLinePunct w:val="0"/>
        <w:autoSpaceDE w:val="0"/>
        <w:autoSpaceDN w:val="0"/>
        <w:bidi w:val="0"/>
        <w:adjustRightInd/>
        <w:snapToGrid/>
        <w:ind w:left="0" w:leftChars="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 xml:space="preserve"> 删除了“质量保证和控制”（见2008年版的1.9、2.9）；</w:t>
      </w:r>
    </w:p>
    <w:p w14:paraId="0373799B">
      <w:pPr>
        <w:numPr>
          <w:ilvl w:val="0"/>
          <w:numId w:val="0"/>
        </w:numPr>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e） 增加了“试验报告”（见第7章）。。</w:t>
      </w:r>
    </w:p>
    <w:p w14:paraId="6E1924F1">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cs="宋体"/>
          <w:color w:val="auto"/>
          <w:szCs w:val="21"/>
          <w:lang w:val="en-US" w:eastAsia="zh-CN"/>
        </w:rPr>
      </w:pPr>
    </w:p>
    <w:p w14:paraId="075EFE8C">
      <w:pPr>
        <w:pStyle w:val="12"/>
        <w:keepNext w:val="0"/>
        <w:keepLines w:val="0"/>
        <w:pageBreakBefore w:val="0"/>
        <w:numPr>
          <w:ilvl w:val="0"/>
          <w:numId w:val="8"/>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试验验证分析、综述报告、技术经济论证、预期达到的经济效益、社会效益和生态效益</w:t>
      </w:r>
    </w:p>
    <w:p w14:paraId="4F26B21B">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highlight w:val="none"/>
          <w:lang w:val="en-US" w:eastAsia="zh-CN"/>
        </w:rPr>
      </w:pPr>
      <w:r>
        <w:rPr>
          <w:rFonts w:hint="eastAsia" w:ascii="黑体" w:eastAsia="黑体" w:cs="Arial"/>
          <w:color w:val="auto"/>
          <w:sz w:val="21"/>
          <w:szCs w:val="21"/>
          <w:highlight w:val="none"/>
          <w:lang w:val="en-US" w:eastAsia="zh-CN"/>
        </w:rPr>
        <w:t>1、试验验证分析和综述报告</w:t>
      </w:r>
    </w:p>
    <w:p w14:paraId="59C93B44">
      <w:pPr>
        <w:pStyle w:val="4"/>
        <w:numPr>
          <w:ilvl w:val="0"/>
          <w:numId w:val="0"/>
        </w:numPr>
        <w:rPr>
          <w:rFonts w:hint="eastAsia" w:ascii="黑体" w:hAnsi="宋体" w:eastAsia="黑体" w:cs="宋体"/>
          <w:bCs/>
          <w:color w:val="auto"/>
          <w:sz w:val="21"/>
          <w:szCs w:val="21"/>
          <w:highlight w:val="none"/>
          <w:lang w:val="en-US" w:eastAsia="zh-CN"/>
        </w:rPr>
      </w:pPr>
      <w:r>
        <w:rPr>
          <w:rFonts w:hint="eastAsia" w:ascii="黑体" w:hAnsi="宋体" w:eastAsia="黑体" w:cs="宋体"/>
          <w:bCs/>
          <w:color w:val="auto"/>
          <w:sz w:val="21"/>
          <w:szCs w:val="21"/>
          <w:highlight w:val="none"/>
          <w:lang w:val="en-US" w:eastAsia="zh-CN"/>
        </w:rPr>
        <w:t>（一）项目的必要性阐述</w:t>
      </w:r>
    </w:p>
    <w:p w14:paraId="3EFD7F26">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铜及铜合金中的铅元素会严重降低材料的高温塑性，同时对人体健康有害，因而在一些材料中常常视其为有害元素而被严格限制。同时，铅在铜合金中会提升材料的切削性能和自润滑性能，因此，在某些特定的应用场景下，铅的含量会被控制在一定范围内，以充分利用其带来的性能优势。然而，由于铅的毒性，其在铜及铜合金中的使用必须严格遵守相关的环保和安全标准。在材料的研发和生产过程中，需要精确控制铅的含量，以确保产品既满足性能要求，又符合环保和健康标准。在GB/T 5231-2022《加工铜及铜合金牌号和化学成分》、GB/T 1176-2013《铸造铜及铜合金》等相关产品标准中，当铅以杂质元素存在时，含量范围为0.0005%～1.50%；当铅为主成分时，含量最高可达33.0%。</w:t>
      </w:r>
    </w:p>
    <w:p w14:paraId="2338E83A">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GB/T 5121.3-2008《铜及铜合金化学分析方法 第3部分：铅含量的测定》发布实施于2008年，该标准规定了铜及铜合金中铅含量的测定方法。该标准共有2个方法，分别是一项石墨原子吸收光谱法和一项火焰原子吸收光谱法，其中方法二修改采用了ISO 4749：1984，标准的检测范围能够涵盖0.00010%～5.0%，因其检测上限偏低，已无法满足铸造铜合金ZCuPb17Sn4Zn4、ZCuPb20Sn5以及ZPb30等材料的检测需求。综上所述，该方法具备扩展的可行性，对该方法进行修订完善是十分有必要的。</w:t>
      </w:r>
    </w:p>
    <w:p w14:paraId="59365D2D">
      <w:pPr>
        <w:pStyle w:val="4"/>
        <w:numPr>
          <w:ilvl w:val="0"/>
          <w:numId w:val="9"/>
        </w:numPr>
        <w:rPr>
          <w:rFonts w:hint="eastAsia" w:ascii="黑体" w:hAnsi="宋体" w:eastAsia="黑体" w:cs="宋体"/>
          <w:bCs/>
          <w:color w:val="auto"/>
          <w:sz w:val="21"/>
          <w:szCs w:val="21"/>
          <w:highlight w:val="none"/>
          <w:lang w:val="en-US" w:eastAsia="zh-CN"/>
        </w:rPr>
      </w:pPr>
      <w:r>
        <w:rPr>
          <w:rFonts w:hint="eastAsia" w:ascii="黑体" w:hAnsi="宋体" w:eastAsia="黑体" w:cs="宋体"/>
          <w:bCs/>
          <w:color w:val="auto"/>
          <w:sz w:val="21"/>
          <w:szCs w:val="21"/>
          <w:highlight w:val="none"/>
          <w:lang w:val="en-US" w:eastAsia="zh-CN"/>
        </w:rPr>
        <w:t>项目的可行性阐述</w:t>
      </w:r>
    </w:p>
    <w:p w14:paraId="058D7A69">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Na</w:t>
      </w:r>
      <w:r>
        <w:rPr>
          <w:rFonts w:hint="eastAsia" w:ascii="宋体" w:hAnsi="宋体" w:eastAsia="宋体" w:cs="宋体"/>
          <w:b w:val="0"/>
          <w:bCs w:val="0"/>
          <w:sz w:val="21"/>
          <w:szCs w:val="21"/>
          <w:vertAlign w:val="subscript"/>
          <w:lang w:val="en-US" w:eastAsia="zh-CN"/>
        </w:rPr>
        <w:t>2</w:t>
      </w:r>
      <w:r>
        <w:rPr>
          <w:rFonts w:hint="eastAsia" w:ascii="宋体" w:hAnsi="宋体" w:eastAsia="宋体" w:cs="宋体"/>
          <w:b w:val="0"/>
          <w:bCs w:val="0"/>
          <w:sz w:val="21"/>
          <w:szCs w:val="21"/>
          <w:lang w:val="en-US" w:eastAsia="zh-CN"/>
        </w:rPr>
        <w:t>EDTA法具有准确度高、适应性强、操作简便等特点，目前已经在锡铅焊料、粗锡、粗铅、铸造轴承合金等多种金属材料和冶炼产品中得以应用，同时在美国ASTM标准中已应用于铜合金中铅含量的测定，具有较高的技术成熟度，根据前期试验情况表明，将其应用于铜及铜合金材料中是完全可行的。本次拟新增Na2EDTA用于高含量铅的测定，使标准的使用范围更广，可操作性更强。</w:t>
      </w:r>
    </w:p>
    <w:p w14:paraId="0703F661">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20" w:firstLineChars="20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本次拟新增的方法测定范围为＞5.00%～35.00%，与原版本标准检测范围能够相衔接，能完全满足国内铜及铜合金产品中铅含量的检测需求</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lang w:val="en-US" w:eastAsia="zh-CN"/>
        </w:rPr>
        <w:t>也使GB/T 5121系列标准更加完善，增强其实用性和适用范围，发挥国家标准在国内和国际市场上作用，提高我国检测标准水平，具有良好的社会效益。对推动我国铜及铜合金材料的研发、生产和贸易等活动有着重要意义。</w:t>
      </w:r>
    </w:p>
    <w:p w14:paraId="1060CC74">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起草单位中铝洛阳铜加工有限公司作为国内铜加工行业的领军企业，拥有先进的实验室设备和一支经验丰富的专业技术团队，在铜及铜合金的化学分析领域具有深厚的技术沉淀。编制组在立项前已进行了充分的预研工作，对国内外相关标准方法进行了系统梳理和对比分析，并结合生产实际需求，初步确定了方法的测定范围、关键步骤和预期技术指标。在后续的试验研究过程中，编制组能够利用现有的实验条件，开展包括最佳试验条件优化、干扰元素影响及消除方法）、方法准确度（采用标准样品对照、加标回收率试验）和精密度（进行多梯度试验和不同实验室间的验证）等方面的系统研究。</w:t>
      </w:r>
    </w:p>
    <w:p w14:paraId="70753F78">
      <w:pPr>
        <w:pStyle w:val="10"/>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20" w:firstLineChars="200"/>
        <w:jc w:val="both"/>
        <w:textAlignment w:val="auto"/>
        <w:rPr>
          <w:rFonts w:hint="eastAsia" w:ascii="宋体" w:hAnsi="宋体" w:eastAsia="宋体" w:cs="宋体"/>
          <w:b w:val="0"/>
          <w:bCs w:val="0"/>
          <w:highlight w:val="none"/>
          <w:lang w:val="en-US" w:eastAsia="zh-CN"/>
        </w:rPr>
      </w:pPr>
      <w:r>
        <w:rPr>
          <w:rFonts w:hint="eastAsia" w:ascii="宋体" w:hAnsi="宋体" w:eastAsia="宋体" w:cs="宋体"/>
          <w:b w:val="0"/>
          <w:bCs w:val="0"/>
          <w:sz w:val="21"/>
          <w:szCs w:val="21"/>
          <w:highlight w:val="none"/>
          <w:lang w:val="en-US" w:eastAsia="zh-CN"/>
        </w:rPr>
        <w:t>此外，参与本标准制定的还有，厦门双瑞材料研究院有限公司、浙江省冶金产品质量检验站有限公司、大冶有色设计研究院有限公司等权威的第三方检测机构</w:t>
      </w:r>
      <w:r>
        <w:rPr>
          <w:rFonts w:hint="eastAsia" w:ascii="宋体"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val="en-US" w:eastAsia="zh-CN"/>
        </w:rPr>
        <w:t>这些单位在铜及铜合金的生产、检验方面拥有丰富的实践经验和完善的检测能力，能够为本标准的验证工作提供多样化的样品来源和数据支持，确保标准方法在不同实验室、不同操作条件下的适用性和可靠性。全国有色金属标准化技术委员会的组织协调和指导，也为标准的顺利制定提供了有力的保障，使得项目在技术路线、试验方案、数据处理等方面能够严格遵循标准化工作的规范和要求。因此，从技术方法的成熟度、研发团队的能力、实验条件的保障以及协作单位的支持等多方面来看，本项目的修订工作具备充分的可行性</w:t>
      </w:r>
      <w:r>
        <w:rPr>
          <w:rFonts w:hint="eastAsia" w:ascii="宋体" w:hAnsi="宋体" w:cs="宋体"/>
          <w:b w:val="0"/>
          <w:bCs w:val="0"/>
          <w:sz w:val="21"/>
          <w:szCs w:val="21"/>
          <w:highlight w:val="none"/>
          <w:lang w:val="en-US" w:eastAsia="zh-CN"/>
        </w:rPr>
        <w:t>。</w:t>
      </w:r>
    </w:p>
    <w:p w14:paraId="178BE281">
      <w:pPr>
        <w:pStyle w:val="12"/>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黑体" w:eastAsia="黑体" w:cs="Arial"/>
          <w:color w:val="auto"/>
          <w:sz w:val="21"/>
          <w:szCs w:val="21"/>
          <w:lang w:val="en-US" w:eastAsia="zh-CN"/>
        </w:rPr>
      </w:pPr>
      <w:r>
        <w:rPr>
          <w:rFonts w:hint="eastAsia" w:ascii="黑体" w:eastAsia="黑体" w:cs="Arial"/>
          <w:color w:val="auto"/>
          <w:sz w:val="21"/>
          <w:szCs w:val="21"/>
          <w:lang w:val="en-US" w:eastAsia="zh-CN"/>
        </w:rPr>
        <w:t>（三）试验验证分析</w:t>
      </w:r>
    </w:p>
    <w:p w14:paraId="53B3C0EE">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编制组编制了试验方案，明确样品的要求、试验方法及步骤，对方法的准确度和精密度进行分析评价。组织验证由</w:t>
      </w:r>
      <w:r>
        <w:rPr>
          <w:rFonts w:hint="eastAsia" w:ascii="宋体" w:hAnsi="宋体" w:eastAsia="宋体" w:cs="宋体"/>
          <w:b w:val="0"/>
          <w:bCs w:val="0"/>
          <w:sz w:val="21"/>
          <w:szCs w:val="21"/>
          <w:lang w:val="en-US" w:eastAsia="zh-CN"/>
        </w:rPr>
        <w:t>中铝洛阳铜加工有限公司负责。</w:t>
      </w:r>
    </w:p>
    <w:p w14:paraId="12666D88">
      <w:pPr>
        <w:pStyle w:val="4"/>
        <w:keepNext w:val="0"/>
        <w:keepLines w:val="0"/>
        <w:pageBreakBefore w:val="0"/>
        <w:numPr>
          <w:ilvl w:val="0"/>
          <w:numId w:val="10"/>
        </w:numPr>
        <w:kinsoku/>
        <w:wordWrap/>
        <w:overflowPunct/>
        <w:topLinePunct w:val="0"/>
        <w:bidi w:val="0"/>
        <w:adjustRightInd/>
        <w:snapToGrid/>
        <w:spacing w:line="240" w:lineRule="auto"/>
        <w:ind w:firstLine="420" w:firstLineChars="200"/>
        <w:textAlignment w:val="auto"/>
        <w:rPr>
          <w:rFonts w:hint="eastAsia"/>
          <w:lang w:val="en-US" w:eastAsia="zh-CN"/>
        </w:rPr>
      </w:pPr>
      <w:r>
        <w:rPr>
          <w:rFonts w:hint="default" w:ascii="黑体" w:hAnsi="黑体" w:eastAsia="黑体" w:cs="黑体"/>
          <w:szCs w:val="21"/>
          <w:lang w:val="en-US" w:eastAsia="zh-CN"/>
        </w:rPr>
        <w:t>方法</w:t>
      </w:r>
      <w:r>
        <w:rPr>
          <w:rFonts w:hint="eastAsia" w:ascii="黑体" w:hAnsi="黑体" w:eastAsia="黑体" w:cs="黑体"/>
          <w:szCs w:val="21"/>
          <w:lang w:val="en-US" w:eastAsia="zh-CN"/>
        </w:rPr>
        <w:t>三</w:t>
      </w:r>
      <w:r>
        <w:rPr>
          <w:rFonts w:hint="default" w:ascii="黑体" w:hAnsi="黑体" w:eastAsia="黑体" w:cs="黑体"/>
          <w:szCs w:val="21"/>
          <w:lang w:val="en-US" w:eastAsia="zh-CN"/>
        </w:rPr>
        <w:t xml:space="preserve">  Na</w:t>
      </w:r>
      <w:r>
        <w:rPr>
          <w:rFonts w:hint="default" w:ascii="黑体" w:hAnsi="黑体" w:eastAsia="黑体" w:cs="黑体"/>
          <w:szCs w:val="21"/>
          <w:vertAlign w:val="subscript"/>
          <w:lang w:val="en-US" w:eastAsia="zh-CN"/>
        </w:rPr>
        <w:t>2</w:t>
      </w:r>
      <w:r>
        <w:rPr>
          <w:rFonts w:hint="default" w:ascii="黑体" w:hAnsi="黑体" w:eastAsia="黑体" w:cs="黑体"/>
          <w:szCs w:val="21"/>
          <w:lang w:val="en-US" w:eastAsia="zh-CN"/>
        </w:rPr>
        <w:t>EDTA滴定法</w:t>
      </w:r>
    </w:p>
    <w:p w14:paraId="605E5003">
      <w:pPr>
        <w:keepNext w:val="0"/>
        <w:keepLines w:val="0"/>
        <w:pageBreakBefore w:val="0"/>
        <w:widowControl w:val="0"/>
        <w:kinsoku/>
        <w:wordWrap/>
        <w:overflowPunct/>
        <w:topLinePunct w:val="0"/>
        <w:autoSpaceDE/>
        <w:autoSpaceDN/>
        <w:bidi w:val="0"/>
        <w:adjustRightInd/>
        <w:snapToGrid/>
        <w:spacing w:before="157" w:beforeLines="50" w:after="157" w:afterLines="50"/>
        <w:ind w:firstLine="420" w:firstLineChars="200"/>
        <w:textAlignment w:val="auto"/>
        <w:rPr>
          <w:rFonts w:hint="eastAsia" w:ascii="黑体" w:hAnsi="宋体" w:eastAsia="黑体"/>
          <w:kern w:val="0"/>
          <w:szCs w:val="20"/>
          <w:lang w:val="en-US" w:eastAsia="zh-CN"/>
        </w:rPr>
      </w:pPr>
      <w:r>
        <w:rPr>
          <w:rFonts w:hint="eastAsia" w:ascii="黑体" w:hAnsi="宋体" w:eastAsia="黑体"/>
          <w:kern w:val="0"/>
          <w:szCs w:val="20"/>
          <w:lang w:val="en-US" w:eastAsia="zh-CN"/>
        </w:rPr>
        <w:t>1.1溶样方法</w:t>
      </w:r>
    </w:p>
    <w:p w14:paraId="07F5695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s="Times New Roman"/>
          <w:bCs/>
          <w:color w:val="000000"/>
          <w:szCs w:val="21"/>
          <w:lang w:val="en-US" w:eastAsia="zh-CN"/>
        </w:rPr>
      </w:pPr>
      <w:r>
        <w:rPr>
          <w:rFonts w:hint="eastAsia" w:ascii="Times New Roman" w:hAnsi="Times New Roman" w:cs="Times New Roman"/>
          <w:bCs/>
          <w:color w:val="000000"/>
          <w:szCs w:val="21"/>
          <w:lang w:val="en-US" w:eastAsia="zh-CN"/>
        </w:rPr>
        <w:t>经</w:t>
      </w:r>
      <w:r>
        <w:rPr>
          <w:rFonts w:hint="eastAsia" w:cs="Times New Roman"/>
          <w:bCs/>
          <w:color w:val="000000"/>
          <w:szCs w:val="21"/>
          <w:lang w:val="en-US" w:eastAsia="zh-CN"/>
        </w:rPr>
        <w:t>查阅铜及铜合金产品标准，在高含量铅的材料中，除了基体铜元素以外，还有锌、锡等元素</w:t>
      </w:r>
      <w:r>
        <w:rPr>
          <w:rFonts w:hint="eastAsia" w:ascii="Times New Roman" w:hAnsi="Times New Roman" w:cs="Times New Roman"/>
          <w:bCs/>
          <w:color w:val="000000"/>
          <w:szCs w:val="21"/>
          <w:lang w:val="en-US" w:eastAsia="zh-CN"/>
        </w:rPr>
        <w:t>。使用硝酸溶样时试样能分解完全，</w:t>
      </w:r>
      <w:r>
        <w:rPr>
          <w:rFonts w:hint="eastAsia" w:cs="Times New Roman"/>
          <w:bCs/>
          <w:color w:val="000000"/>
          <w:szCs w:val="21"/>
          <w:lang w:val="en-US" w:eastAsia="zh-CN"/>
        </w:rPr>
        <w:t>但会生成偏锡酸沉淀，影响后续锡的消除。因此采用盐酸+硝酸溶样，在硫酸冒烟时加入</w:t>
      </w:r>
      <w:r>
        <w:rPr>
          <w:rFonts w:hint="eastAsia" w:ascii="Times New Roman" w:hAnsi="Times New Roman" w:cs="Times New Roman"/>
          <w:bCs/>
          <w:color w:val="000000"/>
          <w:szCs w:val="21"/>
          <w:lang w:val="en-US" w:eastAsia="zh-CN"/>
        </w:rPr>
        <w:t>氢溴酸除去锡</w:t>
      </w:r>
      <w:r>
        <w:rPr>
          <w:rFonts w:hint="eastAsia" w:cs="Times New Roman"/>
          <w:bCs/>
          <w:color w:val="000000"/>
          <w:szCs w:val="21"/>
          <w:lang w:val="en-US" w:eastAsia="zh-CN"/>
        </w:rPr>
        <w:t>、</w:t>
      </w:r>
      <w:r>
        <w:rPr>
          <w:rFonts w:hint="eastAsia" w:ascii="Times New Roman" w:hAnsi="Times New Roman" w:cs="Times New Roman"/>
          <w:bCs/>
          <w:color w:val="000000"/>
          <w:szCs w:val="21"/>
          <w:lang w:val="en-US" w:eastAsia="zh-CN"/>
        </w:rPr>
        <w:t>锑</w:t>
      </w:r>
      <w:r>
        <w:rPr>
          <w:rFonts w:hint="eastAsia" w:cs="Times New Roman"/>
          <w:bCs/>
          <w:color w:val="000000"/>
          <w:szCs w:val="21"/>
          <w:lang w:val="en-US" w:eastAsia="zh-CN"/>
        </w:rPr>
        <w:t>，并重复该操作彻底消除上述元素的影响。经采用上述溶样方法，试样能够完全溶解无沉淀，测定结果稳定。</w:t>
      </w:r>
    </w:p>
    <w:p w14:paraId="6A018DD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s="Times New Roman"/>
          <w:bCs/>
          <w:color w:val="000000"/>
          <w:szCs w:val="21"/>
          <w:lang w:val="en-US" w:eastAsia="zh-CN"/>
        </w:rPr>
      </w:pPr>
      <w:r>
        <w:rPr>
          <w:rFonts w:hint="eastAsia" w:ascii="宋体" w:hAnsi="宋体" w:eastAsia="宋体" w:cs="宋体"/>
          <w:color w:val="000000"/>
          <w:szCs w:val="21"/>
          <w:highlight w:val="none"/>
          <w:lang w:val="en-US" w:eastAsia="zh-CN"/>
        </w:rPr>
        <w:t>验证单位</w:t>
      </w:r>
      <w:r>
        <w:rPr>
          <w:rFonts w:hint="eastAsia" w:ascii="宋体" w:hAnsi="宋体" w:eastAsia="宋体" w:cs="宋体"/>
          <w:bCs/>
          <w:color w:val="000000"/>
          <w:szCs w:val="21"/>
          <w:vertAlign w:val="baseline"/>
          <w:lang w:val="en-US" w:eastAsia="zh-CN"/>
        </w:rPr>
        <w:t>厦门双瑞材料研究院有限公司、浙江省冶金产品质量检验站有限公司、深圳市中金岭南有色金属有限责任公司、大冶有色设计研究院有限公司、昆明冶金研究院有限公司的</w:t>
      </w:r>
      <w:r>
        <w:rPr>
          <w:rFonts w:hint="eastAsia" w:ascii="宋体" w:hAnsi="宋体" w:eastAsia="宋体" w:cs="宋体"/>
          <w:color w:val="000000"/>
          <w:szCs w:val="21"/>
          <w:highlight w:val="none"/>
          <w:lang w:val="en-US" w:eastAsia="zh-CN"/>
        </w:rPr>
        <w:t>试验结果与起草单位结论一致。</w:t>
      </w:r>
    </w:p>
    <w:p w14:paraId="51A3DD2C">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黑体" w:hAnsi="黑体" w:eastAsia="黑体" w:cs="黑体"/>
          <w:szCs w:val="21"/>
          <w:lang w:val="en-US" w:eastAsia="zh-CN"/>
        </w:rPr>
      </w:pPr>
      <w:r>
        <w:rPr>
          <w:rFonts w:hint="eastAsia" w:ascii="黑体" w:hAnsi="黑体" w:eastAsia="黑体" w:cs="黑体"/>
          <w:szCs w:val="21"/>
          <w:lang w:val="en-US" w:eastAsia="zh-CN"/>
        </w:rPr>
        <w:t>1.2 沉淀硫酸用量试验</w:t>
      </w:r>
    </w:p>
    <w:p w14:paraId="0A2416A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黑体" w:hAnsi="黑体" w:eastAsia="黑体" w:cs="黑体"/>
          <w:szCs w:val="21"/>
          <w:lang w:val="en-US" w:eastAsia="zh-CN"/>
        </w:rPr>
      </w:pPr>
      <w:r>
        <w:rPr>
          <w:rFonts w:hint="eastAsia" w:ascii="宋体" w:hAnsi="宋体" w:eastAsia="宋体" w:cs="宋体"/>
          <w:bCs/>
          <w:color w:val="000000"/>
          <w:szCs w:val="21"/>
          <w:lang w:val="en-US" w:eastAsia="zh-CN"/>
        </w:rPr>
        <w:t>按照产品中最大的铅量，移取75.00mg铅于400mL烧杯中，按本方法进行测定，分别加入不同量的硫酸（1+1）进行沉淀，测定结果见表3。</w:t>
      </w:r>
    </w:p>
    <w:p w14:paraId="5901F87F">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表3 硫酸用量试验结果</w:t>
      </w:r>
    </w:p>
    <w:tbl>
      <w:tblPr>
        <w:tblStyle w:val="14"/>
        <w:tblW w:w="0" w:type="auto"/>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5"/>
        <w:gridCol w:w="1491"/>
        <w:gridCol w:w="1160"/>
        <w:gridCol w:w="1390"/>
        <w:gridCol w:w="1084"/>
        <w:gridCol w:w="880"/>
        <w:gridCol w:w="891"/>
      </w:tblGrid>
      <w:tr w14:paraId="691B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425"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674C5AA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实验室</w:t>
            </w:r>
          </w:p>
        </w:tc>
        <w:tc>
          <w:tcPr>
            <w:tcW w:w="1491"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23782C5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加入铅量</w:t>
            </w:r>
          </w:p>
          <w:p w14:paraId="510046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116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52FE223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硫酸加入量/mL</w:t>
            </w:r>
          </w:p>
        </w:tc>
        <w:tc>
          <w:tcPr>
            <w:tcW w:w="139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7946E76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沉淀测得铅量/mg</w:t>
            </w:r>
          </w:p>
        </w:tc>
        <w:tc>
          <w:tcPr>
            <w:tcW w:w="1084"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6D49768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滤液中铅量/mg</w:t>
            </w:r>
          </w:p>
        </w:tc>
        <w:tc>
          <w:tcPr>
            <w:tcW w:w="88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7A8BBD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总铅量</w:t>
            </w:r>
          </w:p>
          <w:p w14:paraId="048E29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891"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040EFF7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lang w:val="en-US" w:eastAsia="zh-CN"/>
              </w:rPr>
              <w:t>回收率/%</w:t>
            </w:r>
          </w:p>
        </w:tc>
      </w:tr>
      <w:tr w14:paraId="582E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26C568C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中铝洛阳铜加工有限公司</w:t>
            </w:r>
          </w:p>
        </w:tc>
        <w:tc>
          <w:tcPr>
            <w:tcW w:w="1491" w:type="dxa"/>
            <w:vMerge w:val="restart"/>
            <w:tcBorders>
              <w:top w:val="single" w:color="000000" w:sz="4" w:space="0"/>
              <w:left w:val="single" w:color="000000" w:sz="4" w:space="0"/>
              <w:right w:val="single" w:color="000000" w:sz="4" w:space="0"/>
            </w:tcBorders>
            <w:shd w:val="clear" w:color="auto" w:fill="FFFFFF"/>
            <w:noWrap w:val="0"/>
            <w:vAlign w:val="center"/>
          </w:tcPr>
          <w:p w14:paraId="665FAD5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A3E2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03D05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2E516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0.39</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88B4D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FE2AF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99.99</w:t>
            </w:r>
          </w:p>
        </w:tc>
      </w:tr>
      <w:tr w14:paraId="66FC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4253873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72CBABC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119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6D5E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10BE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0.35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E2C7E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6854E8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99.93</w:t>
            </w:r>
          </w:p>
        </w:tc>
      </w:tr>
      <w:tr w14:paraId="297E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42630A1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73F2638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4821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BF94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74.72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5A87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0.32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49DC0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75.04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6B71C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100.05</w:t>
            </w:r>
          </w:p>
        </w:tc>
      </w:tr>
      <w:tr w14:paraId="5ABF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4180B3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3A7A48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25683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1330D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6EFC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0.40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66D4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75.00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866605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100.00</w:t>
            </w:r>
          </w:p>
        </w:tc>
      </w:tr>
      <w:tr w14:paraId="66B9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7F00191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48E68B8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4FDE7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25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BDD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238E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0.33</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88E31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74.93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5C5BB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99.91</w:t>
            </w:r>
          </w:p>
        </w:tc>
      </w:tr>
      <w:tr w14:paraId="1B4A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6E5AAEC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0FA676D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D862C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30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EE5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74.72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4599D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0.27</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C9CC9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168456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99.99</w:t>
            </w:r>
          </w:p>
        </w:tc>
      </w:tr>
      <w:tr w14:paraId="50DC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768E54C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厦门双瑞材料研究院有限公司</w:t>
            </w:r>
          </w:p>
        </w:tc>
        <w:tc>
          <w:tcPr>
            <w:tcW w:w="1491" w:type="dxa"/>
            <w:vMerge w:val="restart"/>
            <w:tcBorders>
              <w:left w:val="single" w:color="000000" w:sz="4" w:space="0"/>
              <w:right w:val="single" w:color="000000" w:sz="4" w:space="0"/>
            </w:tcBorders>
            <w:shd w:val="clear" w:color="auto" w:fill="FFFFFF"/>
            <w:noWrap w:val="0"/>
            <w:vAlign w:val="center"/>
          </w:tcPr>
          <w:p w14:paraId="63E19B4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5C4DA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5FFC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C592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0AC7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5BA6DC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99.91</w:t>
            </w:r>
          </w:p>
        </w:tc>
      </w:tr>
      <w:tr w14:paraId="216A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9C5E3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6776085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CB84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4FC32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74.58</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960E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3122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625E0D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99.92</w:t>
            </w:r>
          </w:p>
        </w:tc>
      </w:tr>
      <w:tr w14:paraId="56DA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1B5D30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067276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CCDB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596F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74.71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5D7A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A45D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7EC1ED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100.08</w:t>
            </w:r>
          </w:p>
        </w:tc>
      </w:tr>
      <w:tr w14:paraId="795A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461C61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43C94C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E326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E004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74.66</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DC1E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A6B46">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75.07</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7A06487">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100.09</w:t>
            </w:r>
          </w:p>
        </w:tc>
      </w:tr>
      <w:tr w14:paraId="5B3B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CD233F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267A86F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AC3B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B6A84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4970D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0.39</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6C3C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74.91</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8E817C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99.88</w:t>
            </w:r>
          </w:p>
        </w:tc>
      </w:tr>
      <w:tr w14:paraId="6771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4" w:space="0"/>
              <w:right w:val="single" w:color="000000" w:sz="4" w:space="0"/>
            </w:tcBorders>
            <w:shd w:val="clear" w:color="auto" w:fill="FFFFFF"/>
            <w:noWrap w:val="0"/>
            <w:vAlign w:val="center"/>
          </w:tcPr>
          <w:p w14:paraId="221237A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53E88D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66061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30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9D5DB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74.64</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F0B8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849C9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A15078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99.93</w:t>
            </w:r>
          </w:p>
        </w:tc>
      </w:tr>
      <w:tr w14:paraId="6FFF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131F551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浙江省冶金产品质量检验站有限公司</w:t>
            </w:r>
          </w:p>
        </w:tc>
        <w:tc>
          <w:tcPr>
            <w:tcW w:w="1491" w:type="dxa"/>
            <w:vMerge w:val="restart"/>
            <w:tcBorders>
              <w:left w:val="single" w:color="000000" w:sz="4" w:space="0"/>
              <w:right w:val="single" w:color="000000" w:sz="4" w:space="0"/>
            </w:tcBorders>
            <w:shd w:val="clear" w:color="auto" w:fill="FFFFFF"/>
            <w:noWrap w:val="0"/>
            <w:vAlign w:val="center"/>
          </w:tcPr>
          <w:p w14:paraId="5CD6FB0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F8BF7">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D40980">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74.72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859DB">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0.26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849FE3">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49B79BD">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99.97</w:t>
            </w:r>
          </w:p>
        </w:tc>
      </w:tr>
      <w:tr w14:paraId="5096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E5A0C7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143090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5D4CD">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DD0375">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74.63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F98694">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0.32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830BE">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068B882">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99.93</w:t>
            </w:r>
          </w:p>
        </w:tc>
      </w:tr>
      <w:tr w14:paraId="675A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F4B2F7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18ECB4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CE056">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AD97E1">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74.59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25647">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0.38</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3C32BA">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74.97</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3347616">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99.96</w:t>
            </w:r>
          </w:p>
        </w:tc>
      </w:tr>
      <w:tr w14:paraId="031C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E8E10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54D55C6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9AE593">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57153C">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74.61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30A205">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0.38</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5F9817">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2EB5208">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99.99</w:t>
            </w:r>
          </w:p>
        </w:tc>
      </w:tr>
      <w:tr w14:paraId="701B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767B82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02A6484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B8D7BC">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25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D0AF45">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74.59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5772D8">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0.43</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81065">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75.02</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C63264B">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100.03</w:t>
            </w:r>
          </w:p>
        </w:tc>
      </w:tr>
      <w:tr w14:paraId="739B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4" w:space="0"/>
              <w:right w:val="single" w:color="000000" w:sz="4" w:space="0"/>
            </w:tcBorders>
            <w:shd w:val="clear" w:color="auto" w:fill="FFFFFF"/>
            <w:noWrap w:val="0"/>
            <w:vAlign w:val="center"/>
          </w:tcPr>
          <w:p w14:paraId="086B581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5A61B41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D7ED9">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30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7339F">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74.72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A90A08">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0.26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1C0E3C">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8CB2E93">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99.97</w:t>
            </w:r>
          </w:p>
        </w:tc>
      </w:tr>
      <w:tr w14:paraId="306E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0C8D9C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深圳市中金岭南有色金属股份有限公司</w:t>
            </w:r>
          </w:p>
        </w:tc>
        <w:tc>
          <w:tcPr>
            <w:tcW w:w="1491" w:type="dxa"/>
            <w:vMerge w:val="restart"/>
            <w:tcBorders>
              <w:left w:val="single" w:color="000000" w:sz="4" w:space="0"/>
              <w:right w:val="single" w:color="000000" w:sz="4" w:space="0"/>
            </w:tcBorders>
            <w:shd w:val="clear" w:color="auto" w:fill="FFFFFF"/>
            <w:noWrap w:val="0"/>
            <w:vAlign w:val="center"/>
          </w:tcPr>
          <w:p w14:paraId="1036BDC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3745C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1245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9D9D2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0.39</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3DE7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F821E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99.99</w:t>
            </w:r>
          </w:p>
        </w:tc>
      </w:tr>
      <w:tr w14:paraId="2C91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8D850D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4A1D83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7F7D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CB28F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C736C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CD5EE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AD4D8C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99.93</w:t>
            </w:r>
          </w:p>
        </w:tc>
      </w:tr>
      <w:tr w14:paraId="1F1F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1DEDA7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50E8FC9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45487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C0550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74.72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5949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F3D0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58A83F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100.05</w:t>
            </w:r>
          </w:p>
        </w:tc>
      </w:tr>
      <w:tr w14:paraId="17E7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CC6E82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3935109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954B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AFC0F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F3778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0A1B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4E8FB8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100.00</w:t>
            </w:r>
          </w:p>
        </w:tc>
      </w:tr>
      <w:tr w14:paraId="13B8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C2BDBB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5D8B505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F27C2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9C40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923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0.33</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A748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74.93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D93D49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99.91</w:t>
            </w:r>
          </w:p>
        </w:tc>
      </w:tr>
      <w:tr w14:paraId="00A11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4" w:space="0"/>
              <w:right w:val="single" w:color="000000" w:sz="4" w:space="0"/>
            </w:tcBorders>
            <w:shd w:val="clear" w:color="auto" w:fill="FFFFFF"/>
            <w:noWrap w:val="0"/>
            <w:vAlign w:val="center"/>
          </w:tcPr>
          <w:p w14:paraId="2D7E632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5B0D9E7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9085C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30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DFB6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74.72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3DA28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0.27</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DC0EC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02678D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99.99</w:t>
            </w:r>
          </w:p>
        </w:tc>
      </w:tr>
      <w:tr w14:paraId="5B17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690F60E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大冶有色设计研究院有限公司</w:t>
            </w:r>
          </w:p>
        </w:tc>
        <w:tc>
          <w:tcPr>
            <w:tcW w:w="1491" w:type="dxa"/>
            <w:vMerge w:val="restart"/>
            <w:tcBorders>
              <w:left w:val="single" w:color="000000" w:sz="4" w:space="0"/>
              <w:right w:val="single" w:color="000000" w:sz="4" w:space="0"/>
            </w:tcBorders>
            <w:shd w:val="clear" w:color="auto" w:fill="FFFFFF"/>
            <w:noWrap w:val="0"/>
            <w:vAlign w:val="center"/>
          </w:tcPr>
          <w:p w14:paraId="018BC66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D85B2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F8BE6">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74.42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36DF0">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0.52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087299">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0EB2A58">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99.92</w:t>
            </w:r>
          </w:p>
        </w:tc>
      </w:tr>
      <w:tr w14:paraId="0FD5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A8665A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04916B3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475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D90C4">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74.51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E1E0E">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0.47</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9DD72">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8D3D3A9">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99.97</w:t>
            </w:r>
          </w:p>
        </w:tc>
      </w:tr>
      <w:tr w14:paraId="3323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5331E26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59E6F8A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D0CF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99F43">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74.49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9B1622">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0.50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127382">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15425E7">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99.99</w:t>
            </w:r>
          </w:p>
        </w:tc>
      </w:tr>
      <w:tr w14:paraId="0386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89B0FB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5A422A4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9AFB3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B4CBC">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74.52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7288C0">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0.45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8D6EAE">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74.97</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DD6DB54">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99.96</w:t>
            </w:r>
          </w:p>
        </w:tc>
      </w:tr>
      <w:tr w14:paraId="5C43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8F4F2A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775069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A9D88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4EA834">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74.52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9DC8C">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0.46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9AD5E">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00B6AB1">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99.97</w:t>
            </w:r>
          </w:p>
        </w:tc>
      </w:tr>
      <w:tr w14:paraId="2F2F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4" w:space="0"/>
              <w:right w:val="single" w:color="000000" w:sz="4" w:space="0"/>
            </w:tcBorders>
            <w:shd w:val="clear" w:color="auto" w:fill="FFFFFF"/>
            <w:noWrap w:val="0"/>
            <w:vAlign w:val="center"/>
          </w:tcPr>
          <w:p w14:paraId="728A22F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107A10A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5BB6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30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47E70">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74.54</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CE1344">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0.45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62692">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B432CEB">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99.99</w:t>
            </w:r>
          </w:p>
        </w:tc>
      </w:tr>
      <w:tr w14:paraId="03DEF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58FE404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昆明冶金研究院有限公司</w:t>
            </w:r>
          </w:p>
        </w:tc>
        <w:tc>
          <w:tcPr>
            <w:tcW w:w="1491" w:type="dxa"/>
            <w:vMerge w:val="restart"/>
            <w:tcBorders>
              <w:left w:val="single" w:color="000000" w:sz="4" w:space="0"/>
              <w:right w:val="single" w:color="000000" w:sz="4" w:space="0"/>
            </w:tcBorders>
            <w:shd w:val="clear" w:color="auto" w:fill="FFFFFF"/>
            <w:noWrap w:val="0"/>
            <w:vAlign w:val="center"/>
          </w:tcPr>
          <w:p w14:paraId="06397D0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564D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8B18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73.85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68B86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0.80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EC79D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74.65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73BA05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99.53</w:t>
            </w:r>
          </w:p>
        </w:tc>
      </w:tr>
      <w:tr w14:paraId="1001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F7AF48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0FE25E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7A748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CBFD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74.40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42202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0.40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9DCB5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74.80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9936FD8">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99.73</w:t>
            </w:r>
          </w:p>
        </w:tc>
      </w:tr>
      <w:tr w14:paraId="58EE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1C904D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15B6DD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FEF5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F517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CE4AC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0.35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08B6D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330019A">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99.93</w:t>
            </w:r>
          </w:p>
        </w:tc>
      </w:tr>
      <w:tr w14:paraId="0540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3E9431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38F407A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E0AE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5A3D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74.65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26625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0.36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0CC59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75.00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F2E8B93">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100.00</w:t>
            </w:r>
          </w:p>
        </w:tc>
      </w:tr>
      <w:tr w14:paraId="137E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65883F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right w:val="single" w:color="000000" w:sz="4" w:space="0"/>
            </w:tcBorders>
            <w:shd w:val="clear" w:color="auto" w:fill="FFFFFF"/>
            <w:noWrap w:val="0"/>
            <w:vAlign w:val="center"/>
          </w:tcPr>
          <w:p w14:paraId="606D6F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0794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C25AC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74.80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CBD3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0.37</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57DAA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75.17</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0776A16">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100.23</w:t>
            </w:r>
          </w:p>
        </w:tc>
      </w:tr>
      <w:tr w14:paraId="03DB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12" w:space="0"/>
              <w:right w:val="single" w:color="000000" w:sz="4" w:space="0"/>
            </w:tcBorders>
            <w:shd w:val="clear" w:color="auto" w:fill="FFFFFF"/>
            <w:noWrap w:val="0"/>
            <w:vAlign w:val="center"/>
          </w:tcPr>
          <w:p w14:paraId="120A3B6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491" w:type="dxa"/>
            <w:vMerge w:val="continue"/>
            <w:tcBorders>
              <w:left w:val="single" w:color="000000" w:sz="4" w:space="0"/>
              <w:bottom w:val="single" w:color="000000" w:sz="12" w:space="0"/>
              <w:right w:val="single" w:color="000000" w:sz="4" w:space="0"/>
            </w:tcBorders>
            <w:shd w:val="clear" w:color="auto" w:fill="FFFFFF"/>
            <w:noWrap w:val="0"/>
            <w:vAlign w:val="center"/>
          </w:tcPr>
          <w:p w14:paraId="00810FA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6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78E74F7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30</w:t>
            </w:r>
          </w:p>
        </w:tc>
        <w:tc>
          <w:tcPr>
            <w:tcW w:w="139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204499E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74.25</w:t>
            </w:r>
          </w:p>
        </w:tc>
        <w:tc>
          <w:tcPr>
            <w:tcW w:w="1084"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17DF31B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0.58</w:t>
            </w:r>
          </w:p>
        </w:tc>
        <w:tc>
          <w:tcPr>
            <w:tcW w:w="88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02FF4E1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74.83</w:t>
            </w:r>
          </w:p>
        </w:tc>
        <w:tc>
          <w:tcPr>
            <w:tcW w:w="891" w:type="dxa"/>
            <w:tcBorders>
              <w:top w:val="single" w:color="000000" w:sz="4" w:space="0"/>
              <w:left w:val="single" w:color="000000" w:sz="4" w:space="0"/>
              <w:bottom w:val="single" w:color="000000" w:sz="12" w:space="0"/>
              <w:right w:val="single" w:color="000000" w:sz="12" w:space="0"/>
            </w:tcBorders>
            <w:shd w:val="clear" w:color="auto" w:fill="FFFFFF"/>
            <w:noWrap w:val="0"/>
            <w:vAlign w:val="center"/>
          </w:tcPr>
          <w:p w14:paraId="4AF5B71E">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99.77</w:t>
            </w:r>
          </w:p>
        </w:tc>
      </w:tr>
    </w:tbl>
    <w:p w14:paraId="709E99C8">
      <w:pPr>
        <w:rPr>
          <w:rFonts w:hint="default" w:ascii="黑体" w:hAnsi="黑体" w:eastAsia="黑体" w:cs="黑体"/>
          <w:szCs w:val="21"/>
          <w:lang w:val="en-US" w:eastAsia="zh-CN"/>
        </w:rPr>
      </w:pPr>
    </w:p>
    <w:p w14:paraId="56C27E5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szCs w:val="21"/>
          <w:lang w:val="en-US" w:eastAsia="zh-CN"/>
        </w:rPr>
      </w:pPr>
      <w:r>
        <w:rPr>
          <w:rFonts w:hint="eastAsia" w:ascii="宋体" w:hAnsi="宋体" w:eastAsia="宋体" w:cs="宋体"/>
          <w:bCs/>
          <w:color w:val="000000"/>
          <w:szCs w:val="21"/>
          <w:lang w:val="en-US" w:eastAsia="zh-CN"/>
        </w:rPr>
        <w:t>由表3结果可知，加入5mL硫酸（1+1）时，即可充分沉淀铅离子，因大量铜基体存在，在加入5～15mL硫酸（1+1）时，溶液易蒸干，因此选择硫酸的加入量为20mL。验证单位与起草单位结论一致。</w:t>
      </w:r>
    </w:p>
    <w:p w14:paraId="10C21068">
      <w:pPr>
        <w:rPr>
          <w:rFonts w:hint="default" w:ascii="宋体" w:hAnsi="宋体" w:eastAsia="宋体" w:cs="宋体"/>
          <w:bCs/>
          <w:color w:val="000000"/>
          <w:szCs w:val="21"/>
          <w:lang w:val="en-US" w:eastAsia="zh-CN"/>
        </w:rPr>
      </w:pPr>
    </w:p>
    <w:p w14:paraId="61608AB5">
      <w:pPr>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1.3 无水乙醇用量试验</w:t>
      </w:r>
    </w:p>
    <w:p w14:paraId="0FC3AB1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黑体" w:hAnsi="黑体" w:eastAsia="黑体" w:cs="黑体"/>
          <w:bCs/>
          <w:color w:val="000000"/>
          <w:szCs w:val="21"/>
          <w:lang w:val="en-US" w:eastAsia="zh-CN"/>
        </w:rPr>
      </w:pPr>
      <w:r>
        <w:rPr>
          <w:rFonts w:hint="eastAsia" w:ascii="宋体" w:hAnsi="宋体" w:eastAsia="宋体" w:cs="宋体"/>
          <w:bCs/>
          <w:color w:val="000000"/>
          <w:szCs w:val="21"/>
          <w:lang w:val="en-US" w:eastAsia="zh-CN"/>
        </w:rPr>
        <w:t>为提高硫酸铅的沉淀率，需要加入乙醇降低其溶解度，按照产品中最大的铅量，移取75.00mg铅于400ml烧杯中，按本方法进行测定，沉淀时分别加入不同量的无水乙醇，测定结果见表4。</w:t>
      </w:r>
    </w:p>
    <w:p w14:paraId="3E580189">
      <w:pPr>
        <w:jc w:val="center"/>
        <w:rPr>
          <w:rFonts w:hint="default" w:ascii="黑体" w:hAnsi="黑体" w:eastAsia="黑体" w:cs="黑体"/>
          <w:szCs w:val="21"/>
          <w:lang w:val="en-US" w:eastAsia="zh-CN"/>
        </w:rPr>
      </w:pPr>
      <w:r>
        <w:rPr>
          <w:rFonts w:hint="eastAsia" w:ascii="黑体" w:hAnsi="黑体" w:eastAsia="黑体" w:cs="黑体"/>
          <w:bCs/>
          <w:color w:val="000000"/>
          <w:szCs w:val="21"/>
          <w:lang w:val="en-US" w:eastAsia="zh-CN"/>
        </w:rPr>
        <w:t>表4 无水乙醇用量试验结果</w:t>
      </w:r>
    </w:p>
    <w:p w14:paraId="37057A88">
      <w:pPr>
        <w:rPr>
          <w:rFonts w:hint="default" w:ascii="黑体" w:hAnsi="黑体" w:eastAsia="黑体" w:cs="黑体"/>
          <w:szCs w:val="21"/>
          <w:lang w:val="en-US" w:eastAsia="zh-CN"/>
        </w:rPr>
      </w:pPr>
    </w:p>
    <w:tbl>
      <w:tblPr>
        <w:tblStyle w:val="14"/>
        <w:tblW w:w="0" w:type="auto"/>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5"/>
        <w:gridCol w:w="1095"/>
        <w:gridCol w:w="1556"/>
        <w:gridCol w:w="1390"/>
        <w:gridCol w:w="1084"/>
        <w:gridCol w:w="880"/>
        <w:gridCol w:w="891"/>
      </w:tblGrid>
      <w:tr w14:paraId="54D5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425"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5F80424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实验室</w:t>
            </w:r>
          </w:p>
        </w:tc>
        <w:tc>
          <w:tcPr>
            <w:tcW w:w="109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6167750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加入铅量</w:t>
            </w:r>
          </w:p>
          <w:p w14:paraId="1774AD5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1556"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500BF59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无水乙醇加入量/mL</w:t>
            </w:r>
          </w:p>
        </w:tc>
        <w:tc>
          <w:tcPr>
            <w:tcW w:w="139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2928034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沉淀测得铅量/mg</w:t>
            </w:r>
          </w:p>
        </w:tc>
        <w:tc>
          <w:tcPr>
            <w:tcW w:w="1084"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0A6C5E2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滤液中铅量/mg</w:t>
            </w:r>
          </w:p>
        </w:tc>
        <w:tc>
          <w:tcPr>
            <w:tcW w:w="88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2A640EE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总铅量</w:t>
            </w:r>
          </w:p>
          <w:p w14:paraId="368C5EF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891"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395B579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lang w:val="en-US" w:eastAsia="zh-CN"/>
              </w:rPr>
              <w:t>回收率/%</w:t>
            </w:r>
          </w:p>
        </w:tc>
      </w:tr>
      <w:tr w14:paraId="0EBA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2D44E35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中铝洛阳铜加工有限公司</w:t>
            </w:r>
          </w:p>
        </w:tc>
        <w:tc>
          <w:tcPr>
            <w:tcW w:w="1095" w:type="dxa"/>
            <w:vMerge w:val="restart"/>
            <w:tcBorders>
              <w:top w:val="single" w:color="000000" w:sz="4" w:space="0"/>
              <w:left w:val="single" w:color="000000" w:sz="4" w:space="0"/>
              <w:right w:val="single" w:color="000000" w:sz="4" w:space="0"/>
            </w:tcBorders>
            <w:shd w:val="clear" w:color="auto" w:fill="FFFFFF"/>
            <w:noWrap w:val="0"/>
            <w:vAlign w:val="center"/>
          </w:tcPr>
          <w:p w14:paraId="5048025C">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6408B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2DE954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73.81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ABB512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1.05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709D6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74.86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CDAF40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99.81</w:t>
            </w:r>
          </w:p>
        </w:tc>
      </w:tr>
      <w:tr w14:paraId="64F4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4EEBD1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09C2BBB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EC8F2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22645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74.48</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FAC47A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0.52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C2659A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75.00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52F78B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100.00</w:t>
            </w:r>
          </w:p>
        </w:tc>
      </w:tr>
      <w:tr w14:paraId="06F4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5E15291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75A350C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04649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6ED50D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DE290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0.42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2F9DBA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75.02</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10A54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100.03</w:t>
            </w:r>
          </w:p>
        </w:tc>
      </w:tr>
      <w:tr w14:paraId="0263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21E4C72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658B822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1D0D1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461A7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74.72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1881E6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0.39</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2E51B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75.13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BEFBF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100.17</w:t>
            </w:r>
          </w:p>
        </w:tc>
      </w:tr>
      <w:tr w14:paraId="1FC4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28C7AF3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09DBBE0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74A852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790BC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C8F5E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0.44</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80F28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i w:val="0"/>
                <w:iCs w:val="0"/>
                <w:color w:val="000000"/>
                <w:kern w:val="0"/>
                <w:sz w:val="18"/>
                <w:szCs w:val="18"/>
                <w:u w:val="none"/>
                <w:lang w:val="en-US" w:eastAsia="zh-CN" w:bidi="ar"/>
              </w:rPr>
              <w:t>75.04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BC3C3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100.05</w:t>
            </w:r>
          </w:p>
        </w:tc>
      </w:tr>
      <w:tr w14:paraId="0A3F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0DE32E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厦门双瑞材料研究院有限公司</w:t>
            </w:r>
          </w:p>
        </w:tc>
        <w:tc>
          <w:tcPr>
            <w:tcW w:w="1095" w:type="dxa"/>
            <w:vMerge w:val="restart"/>
            <w:tcBorders>
              <w:left w:val="single" w:color="000000" w:sz="4" w:space="0"/>
              <w:right w:val="single" w:color="000000" w:sz="4" w:space="0"/>
            </w:tcBorders>
            <w:shd w:val="clear" w:color="auto" w:fill="FFFFFF"/>
            <w:noWrap w:val="0"/>
            <w:vAlign w:val="center"/>
          </w:tcPr>
          <w:p w14:paraId="440AA5B1">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F54668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26F138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73.93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B1D07A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0.96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FA682F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74.89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97E7F2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99.85</w:t>
            </w:r>
          </w:p>
        </w:tc>
      </w:tr>
      <w:tr w14:paraId="5BD0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top"/>
          </w:tcPr>
          <w:p w14:paraId="1348761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51F538D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8E8786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5F234C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74.49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9620A9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0.52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0B820E7">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75.01</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9E6D2D6">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100.01</w:t>
            </w:r>
          </w:p>
        </w:tc>
      </w:tr>
      <w:tr w14:paraId="592E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top"/>
          </w:tcPr>
          <w:p w14:paraId="006C642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1A29C38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D26237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C873E0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74.58</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7B2E37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782E92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78C1E8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99.99</w:t>
            </w:r>
          </w:p>
        </w:tc>
      </w:tr>
      <w:tr w14:paraId="55BC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top"/>
          </w:tcPr>
          <w:p w14:paraId="058A6C7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76B4777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66D20A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51F15E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74.67</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7D914B6">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0.39</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900EC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F1E0EC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100.08</w:t>
            </w:r>
          </w:p>
        </w:tc>
      </w:tr>
      <w:tr w14:paraId="4E1B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top"/>
          </w:tcPr>
          <w:p w14:paraId="7AC47C6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7F7C769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351CC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3D9E2C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D6C7F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0779F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6426E6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100.04</w:t>
            </w:r>
          </w:p>
        </w:tc>
      </w:tr>
      <w:tr w14:paraId="3DF9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6545CFB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浙江省冶金产品质量检验站有限公司</w:t>
            </w:r>
          </w:p>
        </w:tc>
        <w:tc>
          <w:tcPr>
            <w:tcW w:w="1095" w:type="dxa"/>
            <w:vMerge w:val="restart"/>
            <w:tcBorders>
              <w:left w:val="single" w:color="000000" w:sz="4" w:space="0"/>
              <w:right w:val="single" w:color="000000" w:sz="4" w:space="0"/>
            </w:tcBorders>
            <w:shd w:val="clear" w:color="auto" w:fill="FFFFFF"/>
            <w:noWrap w:val="0"/>
            <w:vAlign w:val="center"/>
          </w:tcPr>
          <w:p w14:paraId="4BE5409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8CBFDA">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A362944">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73.78</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C3127AD">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1.12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4E439DF">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09B9150">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99.87</w:t>
            </w:r>
          </w:p>
        </w:tc>
      </w:tr>
      <w:tr w14:paraId="2C70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D95E2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587D205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E239EA9">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72958A4">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74.57</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781CCAC">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0.45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C946E72">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75.02</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605D549">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100.03</w:t>
            </w:r>
          </w:p>
        </w:tc>
      </w:tr>
      <w:tr w14:paraId="56B7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3AD9AD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45A0084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146ACED">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7887B28">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74.64</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50B0640">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0.36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42052EB">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470B4E6">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100.00</w:t>
            </w:r>
          </w:p>
        </w:tc>
      </w:tr>
      <w:tr w14:paraId="1116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C68FD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1842815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737D54">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78CC5D2">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74.59</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BC8BEAE">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0.4</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84A5F6">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4DFB0B3">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99.99</w:t>
            </w:r>
          </w:p>
        </w:tc>
      </w:tr>
      <w:tr w14:paraId="3998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61B26E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304718D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7DCF1CD">
            <w:pPr>
              <w:jc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Cs/>
                <w:color w:val="000000"/>
                <w:sz w:val="18"/>
                <w:szCs w:val="18"/>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A5AE793">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74.63</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E5F30F2">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0.39</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8B86FA1">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75.02</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32D8441">
            <w:pPr>
              <w:jc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Cs/>
                <w:color w:val="000000"/>
                <w:sz w:val="18"/>
                <w:szCs w:val="18"/>
              </w:rPr>
              <w:t>100.03</w:t>
            </w:r>
          </w:p>
        </w:tc>
      </w:tr>
      <w:tr w14:paraId="0120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3A92D1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深圳市中金岭南有色金属股份有限公司</w:t>
            </w:r>
          </w:p>
        </w:tc>
        <w:tc>
          <w:tcPr>
            <w:tcW w:w="1095" w:type="dxa"/>
            <w:vMerge w:val="restart"/>
            <w:tcBorders>
              <w:left w:val="single" w:color="000000" w:sz="4" w:space="0"/>
              <w:right w:val="single" w:color="000000" w:sz="4" w:space="0"/>
            </w:tcBorders>
            <w:shd w:val="clear" w:color="auto" w:fill="FFFFFF"/>
            <w:noWrap w:val="0"/>
            <w:vAlign w:val="center"/>
          </w:tcPr>
          <w:p w14:paraId="7B1E703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89B2A7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D25BF7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73.81</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9A914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C56AA0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74.86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0E53E3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99.81</w:t>
            </w:r>
          </w:p>
        </w:tc>
      </w:tr>
      <w:tr w14:paraId="361D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7F6CFE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3F41468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648E85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BB4D8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74.48</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897F3C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5EBB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1E2A0D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100.00</w:t>
            </w:r>
          </w:p>
        </w:tc>
      </w:tr>
      <w:tr w14:paraId="3849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1EA242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324187A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5567EC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921404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77A40E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5DBFF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75.02</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F5F5D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100.03</w:t>
            </w:r>
          </w:p>
        </w:tc>
      </w:tr>
      <w:tr w14:paraId="2951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41F1C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4920AD3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52250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51115C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74.72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1CF3D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0.39</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AC810E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75.13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45B38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100.17</w:t>
            </w:r>
          </w:p>
        </w:tc>
      </w:tr>
      <w:tr w14:paraId="1148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5F27F4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668B4C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4299A1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A9AB9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45C17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0.44</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6CCB8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D4AC17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100.05</w:t>
            </w:r>
          </w:p>
        </w:tc>
      </w:tr>
      <w:tr w14:paraId="094B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1C37DBC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大冶有色设计研究院有限公司</w:t>
            </w:r>
          </w:p>
        </w:tc>
        <w:tc>
          <w:tcPr>
            <w:tcW w:w="1095" w:type="dxa"/>
            <w:vMerge w:val="restart"/>
            <w:tcBorders>
              <w:left w:val="single" w:color="000000" w:sz="4" w:space="0"/>
              <w:right w:val="single" w:color="000000" w:sz="4" w:space="0"/>
            </w:tcBorders>
            <w:shd w:val="clear" w:color="auto" w:fill="FFFFFF"/>
            <w:noWrap w:val="0"/>
            <w:vAlign w:val="center"/>
          </w:tcPr>
          <w:p w14:paraId="77754A1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AC63B1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4E90BE">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74.38 </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6DC34A3">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0.51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2462111">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74.89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9DBD8ED">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99.85 </w:t>
            </w:r>
          </w:p>
        </w:tc>
      </w:tr>
      <w:tr w14:paraId="58C7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7AB43C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38D4062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D58EC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54A7DF8">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74.56 </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936B277">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0.42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B4AE53D">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7D7F2C5">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99.97 </w:t>
            </w:r>
          </w:p>
        </w:tc>
      </w:tr>
      <w:tr w14:paraId="69DF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262DA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1246BF6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A6D332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0E2F18A">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74.50 </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E603E12">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0.48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83B6DA9">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0470877">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99.97 </w:t>
            </w:r>
          </w:p>
        </w:tc>
      </w:tr>
      <w:tr w14:paraId="2549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DCC98D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77DE76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F73CC4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5082D11">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74.55 </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B194F5B">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0.42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BB35C65">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74.97</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BBB542C">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99.96 </w:t>
            </w:r>
          </w:p>
        </w:tc>
      </w:tr>
      <w:tr w14:paraId="1387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F5DD97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37DB84D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D81BDE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A9D25FA">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74.53 </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54144A1">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0.42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D3106F6">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A936A61">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99.93 </w:t>
            </w:r>
          </w:p>
        </w:tc>
      </w:tr>
      <w:tr w14:paraId="0D89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1308A1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昆明冶金研究院有限公司</w:t>
            </w:r>
          </w:p>
        </w:tc>
        <w:tc>
          <w:tcPr>
            <w:tcW w:w="1095" w:type="dxa"/>
            <w:vMerge w:val="restart"/>
            <w:tcBorders>
              <w:left w:val="single" w:color="000000" w:sz="4" w:space="0"/>
              <w:right w:val="single" w:color="000000" w:sz="4" w:space="0"/>
            </w:tcBorders>
            <w:shd w:val="clear" w:color="auto" w:fill="FFFFFF"/>
            <w:noWrap w:val="0"/>
            <w:vAlign w:val="center"/>
          </w:tcPr>
          <w:p w14:paraId="0FC7D60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F55199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32F7F3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73.25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DB4433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1.65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53FC72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74.90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D1AEFF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99.86</w:t>
            </w:r>
          </w:p>
        </w:tc>
      </w:tr>
      <w:tr w14:paraId="7555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0B3436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764CFF1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6F3F25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4389B0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73.90</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98163A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1.12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666524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75.02</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80774F9">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100.03</w:t>
            </w:r>
          </w:p>
        </w:tc>
      </w:tr>
      <w:tr w14:paraId="5681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87703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31280B9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8E312B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D80B4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74.52</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D1E44B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0.47</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312F78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12FB324">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99.99</w:t>
            </w:r>
          </w:p>
        </w:tc>
      </w:tr>
      <w:tr w14:paraId="783A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F05CDE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0522407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9C1D7E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39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370BA3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74.65</w:t>
            </w:r>
          </w:p>
        </w:tc>
        <w:tc>
          <w:tcPr>
            <w:tcW w:w="1084"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1C2487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0.36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5F557C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75.01</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A29634C">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100.01</w:t>
            </w:r>
          </w:p>
        </w:tc>
      </w:tr>
      <w:tr w14:paraId="70AF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12" w:space="0"/>
              <w:right w:val="single" w:color="000000" w:sz="4" w:space="0"/>
            </w:tcBorders>
            <w:shd w:val="clear" w:color="auto" w:fill="FFFFFF"/>
            <w:noWrap w:val="0"/>
            <w:vAlign w:val="center"/>
          </w:tcPr>
          <w:p w14:paraId="2766522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bottom w:val="single" w:color="000000" w:sz="12" w:space="0"/>
              <w:right w:val="single" w:color="000000" w:sz="4" w:space="0"/>
            </w:tcBorders>
            <w:shd w:val="clear" w:color="auto" w:fill="FFFFFF"/>
            <w:noWrap w:val="0"/>
            <w:vAlign w:val="center"/>
          </w:tcPr>
          <w:p w14:paraId="026D181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55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287849F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390"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43AB529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74.65</w:t>
            </w:r>
          </w:p>
        </w:tc>
        <w:tc>
          <w:tcPr>
            <w:tcW w:w="1084"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28A957D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0.35</w:t>
            </w:r>
          </w:p>
        </w:tc>
        <w:tc>
          <w:tcPr>
            <w:tcW w:w="880"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4BF94A3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75.00</w:t>
            </w:r>
          </w:p>
        </w:tc>
        <w:tc>
          <w:tcPr>
            <w:tcW w:w="891" w:type="dxa"/>
            <w:tcBorders>
              <w:top w:val="single" w:color="000000" w:sz="4" w:space="0"/>
              <w:left w:val="single" w:color="000000" w:sz="4" w:space="0"/>
              <w:bottom w:val="single" w:color="000000" w:sz="12" w:space="0"/>
              <w:right w:val="single" w:color="000000" w:sz="12" w:space="0"/>
            </w:tcBorders>
            <w:shd w:val="clear" w:color="auto" w:fill="FFFFFF"/>
            <w:noWrap w:val="0"/>
            <w:vAlign w:val="top"/>
          </w:tcPr>
          <w:p w14:paraId="4AB7CD5E">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100.00</w:t>
            </w:r>
          </w:p>
        </w:tc>
      </w:tr>
    </w:tbl>
    <w:p w14:paraId="2729DA8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黑体" w:hAnsi="黑体" w:eastAsia="黑体" w:cs="黑体"/>
          <w:szCs w:val="21"/>
          <w:lang w:val="en-US" w:eastAsia="zh-CN"/>
        </w:rPr>
      </w:pPr>
      <w:r>
        <w:rPr>
          <w:rFonts w:hint="eastAsia" w:ascii="宋体" w:hAnsi="宋体" w:eastAsia="宋体" w:cs="宋体"/>
          <w:bCs/>
          <w:color w:val="000000"/>
          <w:szCs w:val="21"/>
          <w:lang w:val="en-US" w:eastAsia="zh-CN"/>
        </w:rPr>
        <w:t>由表4结果可知，加入乙醇可降低硫酸铅的溶解度，且在乙醇量为10mL以上时，滤液中的铅量保持稳定，故选择乙醇加入量为10mL。验证单位与起草单位结论一致。</w:t>
      </w:r>
    </w:p>
    <w:p w14:paraId="211CF9C9">
      <w:pPr>
        <w:rPr>
          <w:rFonts w:hint="default" w:ascii="黑体" w:hAnsi="黑体" w:eastAsia="黑体" w:cs="黑体"/>
          <w:szCs w:val="21"/>
          <w:lang w:val="en-US" w:eastAsia="zh-CN"/>
        </w:rPr>
      </w:pPr>
    </w:p>
    <w:p w14:paraId="044DAE5B">
      <w:pPr>
        <w:rPr>
          <w:rFonts w:hint="default" w:ascii="黑体" w:hAnsi="黑体" w:eastAsia="黑体" w:cs="黑体"/>
          <w:szCs w:val="21"/>
          <w:lang w:val="en-US" w:eastAsia="zh-CN"/>
        </w:rPr>
      </w:pPr>
      <w:r>
        <w:rPr>
          <w:rFonts w:hint="eastAsia" w:ascii="黑体" w:hAnsi="黑体" w:eastAsia="黑体" w:cs="黑体"/>
          <w:bCs/>
          <w:color w:val="000000"/>
          <w:szCs w:val="21"/>
          <w:lang w:val="en-US" w:eastAsia="zh-CN"/>
        </w:rPr>
        <w:t>1.4 陈化时间试验</w:t>
      </w:r>
    </w:p>
    <w:p w14:paraId="4292336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黑体" w:hAnsi="黑体" w:eastAsia="黑体" w:cs="黑体"/>
          <w:szCs w:val="21"/>
          <w:lang w:val="en-US" w:eastAsia="zh-CN"/>
        </w:rPr>
      </w:pPr>
      <w:r>
        <w:rPr>
          <w:rFonts w:hint="eastAsia" w:ascii="宋体" w:hAnsi="宋体" w:eastAsia="宋体" w:cs="宋体"/>
          <w:bCs/>
          <w:color w:val="000000"/>
          <w:szCs w:val="21"/>
          <w:lang w:val="en-US" w:eastAsia="zh-CN"/>
        </w:rPr>
        <w:t>移取75.00mg铅于400ml烧杯中，按1.5.4方法进行测定，沉淀后放置不同的时间，测定结果见表5。</w:t>
      </w:r>
    </w:p>
    <w:p w14:paraId="1CA34696">
      <w:pPr>
        <w:jc w:val="center"/>
        <w:rPr>
          <w:rFonts w:hint="default" w:ascii="黑体" w:hAnsi="黑体" w:eastAsia="黑体" w:cs="黑体"/>
          <w:szCs w:val="21"/>
          <w:lang w:val="en-US" w:eastAsia="zh-CN"/>
        </w:rPr>
      </w:pPr>
      <w:r>
        <w:rPr>
          <w:rFonts w:hint="eastAsia" w:ascii="黑体" w:hAnsi="黑体" w:eastAsia="黑体" w:cs="黑体"/>
          <w:bCs/>
          <w:color w:val="000000"/>
          <w:szCs w:val="21"/>
          <w:lang w:val="en-US" w:eastAsia="zh-CN"/>
        </w:rPr>
        <w:t>表5 陈化时间试验结果</w:t>
      </w:r>
    </w:p>
    <w:p w14:paraId="1E9A2290">
      <w:pPr>
        <w:rPr>
          <w:rFonts w:hint="default" w:ascii="黑体" w:hAnsi="黑体" w:eastAsia="黑体" w:cs="黑体"/>
          <w:szCs w:val="21"/>
          <w:lang w:val="en-US" w:eastAsia="zh-CN"/>
        </w:rPr>
      </w:pPr>
    </w:p>
    <w:tbl>
      <w:tblPr>
        <w:tblStyle w:val="14"/>
        <w:tblW w:w="0" w:type="auto"/>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5"/>
        <w:gridCol w:w="1095"/>
        <w:gridCol w:w="1305"/>
        <w:gridCol w:w="1440"/>
        <w:gridCol w:w="1285"/>
        <w:gridCol w:w="880"/>
        <w:gridCol w:w="891"/>
      </w:tblGrid>
      <w:tr w14:paraId="5A42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425"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3E2C58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实验室</w:t>
            </w:r>
          </w:p>
        </w:tc>
        <w:tc>
          <w:tcPr>
            <w:tcW w:w="109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459040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加入铅量</w:t>
            </w:r>
          </w:p>
          <w:p w14:paraId="60B2A5E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130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77C84C5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陈化时间</w:t>
            </w:r>
          </w:p>
          <w:p w14:paraId="0B46FE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/h</w:t>
            </w:r>
          </w:p>
        </w:tc>
        <w:tc>
          <w:tcPr>
            <w:tcW w:w="144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799562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沉淀测得铅量/mg</w:t>
            </w:r>
          </w:p>
        </w:tc>
        <w:tc>
          <w:tcPr>
            <w:tcW w:w="128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23982B2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滤液中铅量</w:t>
            </w:r>
          </w:p>
          <w:p w14:paraId="1F86D5E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88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07102C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总铅量</w:t>
            </w:r>
          </w:p>
          <w:p w14:paraId="243283A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891"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5E1D444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lang w:val="en-US" w:eastAsia="zh-CN"/>
              </w:rPr>
              <w:t>回收率/%</w:t>
            </w:r>
          </w:p>
        </w:tc>
      </w:tr>
      <w:tr w14:paraId="0F40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358BB6E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中铝洛阳铜加工有限公司</w:t>
            </w:r>
          </w:p>
        </w:tc>
        <w:tc>
          <w:tcPr>
            <w:tcW w:w="1095" w:type="dxa"/>
            <w:vMerge w:val="restart"/>
            <w:tcBorders>
              <w:top w:val="single" w:color="000000" w:sz="4" w:space="0"/>
              <w:left w:val="single" w:color="000000" w:sz="4" w:space="0"/>
              <w:right w:val="single" w:color="000000" w:sz="4" w:space="0"/>
            </w:tcBorders>
            <w:shd w:val="clear" w:color="auto" w:fill="FFFFFF"/>
            <w:noWrap w:val="0"/>
            <w:vAlign w:val="center"/>
          </w:tcPr>
          <w:p w14:paraId="7B18DEAE">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01CB62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CC0E1E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74.30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345429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0.68</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D3811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9BFDBE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99.97</w:t>
            </w:r>
          </w:p>
        </w:tc>
      </w:tr>
      <w:tr w14:paraId="61C5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4FF33C6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78F9BE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AFFDC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62258C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C0FEFC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F0187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74.96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56C94C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99.95</w:t>
            </w:r>
          </w:p>
        </w:tc>
      </w:tr>
      <w:tr w14:paraId="7D9D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5A12FF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3BCCFF7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235998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DB87D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DB8D9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B9078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75.86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C8D22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99.81</w:t>
            </w:r>
          </w:p>
        </w:tc>
      </w:tr>
      <w:tr w14:paraId="46C9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148EF73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489AD72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E432A4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F5A4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74.70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6B8D2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6C424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75.01</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04E7B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100.01</w:t>
            </w:r>
          </w:p>
        </w:tc>
      </w:tr>
      <w:tr w14:paraId="0F06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2371A1D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厦门双瑞材料研究院有限公司</w:t>
            </w:r>
          </w:p>
        </w:tc>
        <w:tc>
          <w:tcPr>
            <w:tcW w:w="1095" w:type="dxa"/>
            <w:vMerge w:val="restart"/>
            <w:tcBorders>
              <w:left w:val="single" w:color="000000" w:sz="4" w:space="0"/>
              <w:right w:val="single" w:color="000000" w:sz="4" w:space="0"/>
            </w:tcBorders>
            <w:shd w:val="clear" w:color="auto" w:fill="FFFFFF"/>
            <w:noWrap w:val="0"/>
            <w:vAlign w:val="center"/>
          </w:tcPr>
          <w:p w14:paraId="67A1162A">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0EC983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981C3F7">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74.37</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81E9B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0.62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AECB8D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750C77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99.99</w:t>
            </w:r>
          </w:p>
        </w:tc>
      </w:tr>
      <w:tr w14:paraId="033C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top"/>
          </w:tcPr>
          <w:p w14:paraId="5982D5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2532C3E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550D8F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269625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74.55</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3820BC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18153B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74EF69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99.95</w:t>
            </w:r>
          </w:p>
        </w:tc>
      </w:tr>
      <w:tr w14:paraId="1258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top"/>
          </w:tcPr>
          <w:p w14:paraId="58A775A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2BDCBD2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EA25D6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FB1533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31F3B3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83C7B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D2181F7">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99.95</w:t>
            </w:r>
          </w:p>
        </w:tc>
      </w:tr>
      <w:tr w14:paraId="0281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top"/>
          </w:tcPr>
          <w:p w14:paraId="23679AE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top"/>
          </w:tcPr>
          <w:p w14:paraId="58A8913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A982DF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883AF7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74.62</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D8F6A8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0.38</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5508E57">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0B23D2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100.00</w:t>
            </w:r>
          </w:p>
        </w:tc>
      </w:tr>
      <w:tr w14:paraId="21B5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5264273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浙江省冶金产品质量检验站有限公司</w:t>
            </w:r>
          </w:p>
        </w:tc>
        <w:tc>
          <w:tcPr>
            <w:tcW w:w="1095" w:type="dxa"/>
            <w:vMerge w:val="restart"/>
            <w:tcBorders>
              <w:left w:val="single" w:color="000000" w:sz="4" w:space="0"/>
              <w:right w:val="single" w:color="000000" w:sz="4" w:space="0"/>
            </w:tcBorders>
            <w:shd w:val="clear" w:color="auto" w:fill="FFFFFF"/>
            <w:noWrap w:val="0"/>
            <w:vAlign w:val="center"/>
          </w:tcPr>
          <w:p w14:paraId="29E6E91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19AFE9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95893E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74.36</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C5CAA0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0.59</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C4C8D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410F58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99.93</w:t>
            </w:r>
          </w:p>
        </w:tc>
      </w:tr>
      <w:tr w14:paraId="1EBA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F9DA5B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6B3D20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020512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2596D5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74.51</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78D18B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0.48</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6A72A5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5B0263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99.99</w:t>
            </w:r>
          </w:p>
        </w:tc>
      </w:tr>
      <w:tr w14:paraId="6850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AA3B96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7F7D27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C7CB50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C31FE3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74.54</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CBF40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0.42</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002C04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74.96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95D9EC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99.95</w:t>
            </w:r>
          </w:p>
        </w:tc>
      </w:tr>
      <w:tr w14:paraId="0975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61F24F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49DAC9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298AB3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AF8EE7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74.72</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28517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0.26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E1EB9E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403326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99.97</w:t>
            </w:r>
          </w:p>
        </w:tc>
      </w:tr>
      <w:tr w14:paraId="4538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71752D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深圳市中金岭南有色金属股份有限公司</w:t>
            </w:r>
          </w:p>
        </w:tc>
        <w:tc>
          <w:tcPr>
            <w:tcW w:w="1095" w:type="dxa"/>
            <w:vMerge w:val="restart"/>
            <w:tcBorders>
              <w:left w:val="single" w:color="000000" w:sz="4" w:space="0"/>
              <w:right w:val="single" w:color="000000" w:sz="4" w:space="0"/>
            </w:tcBorders>
            <w:shd w:val="clear" w:color="auto" w:fill="FFFFFF"/>
            <w:noWrap w:val="0"/>
            <w:vAlign w:val="center"/>
          </w:tcPr>
          <w:p w14:paraId="4CF7B8E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79AD0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1244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74.30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D4F892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0.68</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94F0E0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DF0B49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99.97</w:t>
            </w:r>
          </w:p>
        </w:tc>
      </w:tr>
      <w:tr w14:paraId="25D7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8F93D5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4FDD6E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028766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D7B421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56C32F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B72E1D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74.96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E0A450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99.95</w:t>
            </w:r>
          </w:p>
        </w:tc>
      </w:tr>
      <w:tr w14:paraId="29FA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C35451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7CCD773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B5660A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C82C72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28FDB8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0.36</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BFF1E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75.86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D8C9C5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99.81</w:t>
            </w:r>
          </w:p>
        </w:tc>
      </w:tr>
      <w:tr w14:paraId="51FF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71C0D0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59FE7F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13205D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C2682A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74.70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0B0906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0.31</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6EE900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75.01</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F580CA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100.01</w:t>
            </w:r>
          </w:p>
        </w:tc>
      </w:tr>
      <w:tr w14:paraId="76B9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2D8F5F1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大冶有色设计研究院有限公司</w:t>
            </w:r>
          </w:p>
        </w:tc>
        <w:tc>
          <w:tcPr>
            <w:tcW w:w="1095" w:type="dxa"/>
            <w:vMerge w:val="restart"/>
            <w:tcBorders>
              <w:left w:val="single" w:color="000000" w:sz="4" w:space="0"/>
              <w:right w:val="single" w:color="000000" w:sz="4" w:space="0"/>
            </w:tcBorders>
            <w:shd w:val="clear" w:color="auto" w:fill="FFFFFF"/>
            <w:noWrap w:val="0"/>
            <w:vAlign w:val="center"/>
          </w:tcPr>
          <w:p w14:paraId="447557F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8BECE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2ACDB41">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74.45 </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43F762">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0.52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7B09CB4">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74.97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53A2698">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99.96 </w:t>
            </w:r>
          </w:p>
        </w:tc>
      </w:tr>
      <w:tr w14:paraId="25FD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92AD3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5B09B9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56811C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D684784">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74.53 </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30B9B64">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0.43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61FEC35">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74.96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CED5688">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99.95 </w:t>
            </w:r>
          </w:p>
        </w:tc>
      </w:tr>
      <w:tr w14:paraId="6D2E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7EFB5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18999AA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B0420E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E9051B4">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74.50 </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001FAFA">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0.47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BD41325">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74.97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3378ADA">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99.96 </w:t>
            </w:r>
          </w:p>
        </w:tc>
      </w:tr>
      <w:tr w14:paraId="7186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0913C8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04099A3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457DC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8</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5B64F59">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74.52 </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5567C15">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0.43 </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EB60053">
            <w:pPr>
              <w:keepNext w:val="0"/>
              <w:keepLines w:val="0"/>
              <w:widowControl/>
              <w:suppressLineNumbers w:val="0"/>
              <w:jc w:val="center"/>
              <w:textAlignment w:val="top"/>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74.95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C95409D">
            <w:pPr>
              <w:keepNext w:val="0"/>
              <w:keepLines w:val="0"/>
              <w:widowControl/>
              <w:suppressLineNumbers w:val="0"/>
              <w:jc w:val="center"/>
              <w:textAlignment w:val="top"/>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99.93 </w:t>
            </w:r>
          </w:p>
        </w:tc>
      </w:tr>
      <w:tr w14:paraId="3909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2E8A49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昆明冶金研究院有限公司</w:t>
            </w:r>
          </w:p>
        </w:tc>
        <w:tc>
          <w:tcPr>
            <w:tcW w:w="1095" w:type="dxa"/>
            <w:vMerge w:val="restart"/>
            <w:tcBorders>
              <w:left w:val="single" w:color="000000" w:sz="4" w:space="0"/>
              <w:right w:val="single" w:color="000000" w:sz="4" w:space="0"/>
            </w:tcBorders>
            <w:shd w:val="clear" w:color="auto" w:fill="FFFFFF"/>
            <w:noWrap w:val="0"/>
            <w:vAlign w:val="center"/>
          </w:tcPr>
          <w:p w14:paraId="7F18DE7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D83F8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83A4FA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74.20</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6B4DEF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0.75</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C8C2A2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2272D3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99.93</w:t>
            </w:r>
          </w:p>
        </w:tc>
      </w:tr>
      <w:tr w14:paraId="5411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7A5EE5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74E8F34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122C8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3B0C18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74.56</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505AC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0.38</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3F3A8E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74.94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3A6F5C0">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99.92</w:t>
            </w:r>
          </w:p>
        </w:tc>
      </w:tr>
      <w:tr w14:paraId="3330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16FA5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right w:val="single" w:color="000000" w:sz="4" w:space="0"/>
            </w:tcBorders>
            <w:shd w:val="clear" w:color="auto" w:fill="FFFFFF"/>
            <w:noWrap w:val="0"/>
            <w:vAlign w:val="center"/>
          </w:tcPr>
          <w:p w14:paraId="3348428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91724E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4</w:t>
            </w:r>
          </w:p>
        </w:tc>
        <w:tc>
          <w:tcPr>
            <w:tcW w:w="144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E87192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74.55</w:t>
            </w:r>
          </w:p>
        </w:tc>
        <w:tc>
          <w:tcPr>
            <w:tcW w:w="128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EC4011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0.40</w:t>
            </w:r>
          </w:p>
        </w:tc>
        <w:tc>
          <w:tcPr>
            <w:tcW w:w="8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E99574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75.85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EBBD32B">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99.93</w:t>
            </w:r>
          </w:p>
        </w:tc>
      </w:tr>
      <w:tr w14:paraId="282E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12" w:space="0"/>
              <w:right w:val="single" w:color="000000" w:sz="4" w:space="0"/>
            </w:tcBorders>
            <w:shd w:val="clear" w:color="auto" w:fill="FFFFFF"/>
            <w:noWrap w:val="0"/>
            <w:vAlign w:val="center"/>
          </w:tcPr>
          <w:p w14:paraId="39094AE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095" w:type="dxa"/>
            <w:vMerge w:val="continue"/>
            <w:tcBorders>
              <w:left w:val="single" w:color="000000" w:sz="4" w:space="0"/>
              <w:bottom w:val="single" w:color="000000" w:sz="12" w:space="0"/>
              <w:right w:val="single" w:color="000000" w:sz="4" w:space="0"/>
            </w:tcBorders>
            <w:shd w:val="clear" w:color="auto" w:fill="FFFFFF"/>
            <w:noWrap w:val="0"/>
            <w:vAlign w:val="center"/>
          </w:tcPr>
          <w:p w14:paraId="2A17A8A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05"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47EF6AA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8</w:t>
            </w:r>
          </w:p>
        </w:tc>
        <w:tc>
          <w:tcPr>
            <w:tcW w:w="1440"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20F604F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74.63</w:t>
            </w:r>
          </w:p>
        </w:tc>
        <w:tc>
          <w:tcPr>
            <w:tcW w:w="1285"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69F6028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0.35</w:t>
            </w:r>
          </w:p>
        </w:tc>
        <w:tc>
          <w:tcPr>
            <w:tcW w:w="880"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27BA086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74.98</w:t>
            </w:r>
          </w:p>
        </w:tc>
        <w:tc>
          <w:tcPr>
            <w:tcW w:w="891" w:type="dxa"/>
            <w:tcBorders>
              <w:top w:val="single" w:color="000000" w:sz="4" w:space="0"/>
              <w:left w:val="single" w:color="000000" w:sz="4" w:space="0"/>
              <w:bottom w:val="single" w:color="000000" w:sz="12" w:space="0"/>
              <w:right w:val="single" w:color="000000" w:sz="12" w:space="0"/>
            </w:tcBorders>
            <w:shd w:val="clear" w:color="auto" w:fill="FFFFFF"/>
            <w:noWrap w:val="0"/>
            <w:vAlign w:val="top"/>
          </w:tcPr>
          <w:p w14:paraId="2D3DBA0D">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99.97</w:t>
            </w:r>
          </w:p>
        </w:tc>
      </w:tr>
    </w:tbl>
    <w:p w14:paraId="30E922F8">
      <w:pPr>
        <w:keepNext w:val="0"/>
        <w:keepLines w:val="0"/>
        <w:pageBreakBefore w:val="0"/>
        <w:widowControl w:val="0"/>
        <w:kinsoku/>
        <w:wordWrap/>
        <w:overflowPunct/>
        <w:topLinePunct w:val="0"/>
        <w:autoSpaceDE/>
        <w:autoSpaceDN/>
        <w:bidi w:val="0"/>
        <w:adjustRightInd/>
        <w:snapToGrid/>
        <w:spacing w:before="313" w:beforeLines="100" w:after="313" w:afterLines="100"/>
        <w:ind w:firstLine="420" w:firstLineChars="200"/>
        <w:textAlignment w:val="auto"/>
        <w:rPr>
          <w:rFonts w:hint="eastAsia" w:ascii="宋体" w:hAnsi="宋体" w:eastAsia="宋体" w:cs="宋体"/>
          <w:bCs/>
          <w:color w:val="000000"/>
          <w:szCs w:val="21"/>
          <w:lang w:val="en-US" w:eastAsia="zh-CN"/>
        </w:rPr>
      </w:pPr>
      <w:r>
        <w:rPr>
          <w:rFonts w:hint="eastAsia" w:ascii="宋体" w:hAnsi="宋体" w:eastAsia="宋体" w:cs="宋体"/>
          <w:bCs/>
          <w:color w:val="000000"/>
          <w:szCs w:val="21"/>
          <w:lang w:val="en-US" w:eastAsia="zh-CN"/>
        </w:rPr>
        <w:t>由表5结果可知，沉淀放置时间在2h以上时，滤液中的铅量基本达到稳定，故选择陈化时间为</w:t>
      </w:r>
      <w:r>
        <w:rPr>
          <w:rFonts w:hint="eastAsia" w:ascii="宋体" w:hAnsi="宋体" w:eastAsia="宋体" w:cs="宋体"/>
          <w:bCs/>
          <w:color w:val="auto"/>
          <w:szCs w:val="21"/>
          <w:highlight w:val="none"/>
          <w:lang w:val="en-US" w:eastAsia="zh-CN"/>
        </w:rPr>
        <w:t>至少2h。</w:t>
      </w:r>
      <w:r>
        <w:rPr>
          <w:rFonts w:hint="eastAsia" w:ascii="宋体" w:hAnsi="宋体" w:eastAsia="宋体" w:cs="宋体"/>
          <w:bCs/>
          <w:color w:val="000000"/>
          <w:szCs w:val="21"/>
          <w:lang w:val="en-US" w:eastAsia="zh-CN"/>
        </w:rPr>
        <w:t>验证单位与起草单位结论一致。</w:t>
      </w:r>
    </w:p>
    <w:p w14:paraId="5F08EC44">
      <w:pPr>
        <w:keepNext w:val="0"/>
        <w:keepLines w:val="0"/>
        <w:pageBreakBefore w:val="0"/>
        <w:widowControl w:val="0"/>
        <w:kinsoku/>
        <w:wordWrap/>
        <w:overflowPunct/>
        <w:topLinePunct w:val="0"/>
        <w:autoSpaceDE/>
        <w:autoSpaceDN/>
        <w:bidi w:val="0"/>
        <w:adjustRightInd/>
        <w:snapToGrid/>
        <w:spacing w:before="313" w:beforeLines="100" w:after="313" w:afterLines="100"/>
        <w:ind w:firstLine="420" w:firstLineChars="200"/>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1.5 乙酸铵加入量试验</w:t>
      </w:r>
    </w:p>
    <w:p w14:paraId="6C1C0133">
      <w:pPr>
        <w:keepNext w:val="0"/>
        <w:keepLines w:val="0"/>
        <w:pageBreakBefore w:val="0"/>
        <w:widowControl w:val="0"/>
        <w:kinsoku/>
        <w:wordWrap/>
        <w:overflowPunct/>
        <w:topLinePunct w:val="0"/>
        <w:autoSpaceDE/>
        <w:autoSpaceDN/>
        <w:bidi w:val="0"/>
        <w:adjustRightInd/>
        <w:snapToGrid/>
        <w:spacing w:before="313" w:beforeLines="100" w:after="313" w:afterLines="100"/>
        <w:ind w:firstLine="420" w:firstLineChars="200"/>
        <w:textAlignment w:val="auto"/>
        <w:rPr>
          <w:rFonts w:hint="eastAsia" w:ascii="宋体" w:hAnsi="宋体" w:eastAsia="宋体" w:cs="宋体"/>
          <w:bCs/>
          <w:color w:val="000000"/>
          <w:szCs w:val="21"/>
          <w:lang w:val="en-US" w:eastAsia="zh-CN"/>
        </w:rPr>
      </w:pPr>
      <w:r>
        <w:rPr>
          <w:rFonts w:hint="eastAsia" w:ascii="宋体" w:hAnsi="宋体" w:eastAsia="宋体" w:cs="宋体"/>
          <w:bCs/>
          <w:color w:val="000000"/>
          <w:szCs w:val="21"/>
          <w:lang w:val="en-US" w:eastAsia="zh-CN"/>
        </w:rPr>
        <w:t>为保证硫酸铅能完全溶解且pH值达到稳定的范围，需要加入足量乙酸铵溶液，移取75.00mg铅于400ml烧杯中，按方法进行测定，沉淀后加入不同量的乙酸铵溶液进行溶解，测定结果见表6。</w:t>
      </w:r>
    </w:p>
    <w:p w14:paraId="02FE7918">
      <w:pPr>
        <w:jc w:val="center"/>
        <w:rPr>
          <w:rFonts w:hint="default" w:ascii="黑体" w:hAnsi="黑体" w:eastAsia="黑体" w:cs="黑体"/>
          <w:szCs w:val="21"/>
          <w:lang w:val="en-US" w:eastAsia="zh-CN"/>
        </w:rPr>
      </w:pPr>
      <w:r>
        <w:rPr>
          <w:rFonts w:hint="eastAsia" w:ascii="黑体" w:hAnsi="黑体" w:eastAsia="黑体" w:cs="黑体"/>
          <w:bCs/>
          <w:color w:val="000000"/>
          <w:szCs w:val="21"/>
          <w:lang w:val="en-US" w:eastAsia="zh-CN"/>
        </w:rPr>
        <w:t>表6 乙酸铵溶液加入量试验结果</w:t>
      </w:r>
    </w:p>
    <w:p w14:paraId="584F0AA9">
      <w:pPr>
        <w:rPr>
          <w:rFonts w:hint="default" w:ascii="黑体" w:hAnsi="黑体" w:eastAsia="黑体" w:cs="黑体"/>
          <w:szCs w:val="21"/>
          <w:lang w:val="en-US" w:eastAsia="zh-CN"/>
        </w:rPr>
      </w:pPr>
    </w:p>
    <w:tbl>
      <w:tblPr>
        <w:tblStyle w:val="14"/>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990"/>
        <w:gridCol w:w="1126"/>
        <w:gridCol w:w="1200"/>
        <w:gridCol w:w="1155"/>
        <w:gridCol w:w="855"/>
        <w:gridCol w:w="900"/>
        <w:gridCol w:w="1680"/>
      </w:tblGrid>
      <w:tr w14:paraId="0726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289"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630B8F7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实验室</w:t>
            </w:r>
          </w:p>
        </w:tc>
        <w:tc>
          <w:tcPr>
            <w:tcW w:w="99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4C12AB4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加入铅量</w:t>
            </w:r>
          </w:p>
          <w:p w14:paraId="7999191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1126"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0D1AB6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乙酸铵加入量/mL</w:t>
            </w:r>
          </w:p>
        </w:tc>
        <w:tc>
          <w:tcPr>
            <w:tcW w:w="120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57A3435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沉淀测得铅量/mg</w:t>
            </w:r>
          </w:p>
        </w:tc>
        <w:tc>
          <w:tcPr>
            <w:tcW w:w="115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67ED81E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滤液中铅量/mg</w:t>
            </w:r>
          </w:p>
        </w:tc>
        <w:tc>
          <w:tcPr>
            <w:tcW w:w="855"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137ADF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总铅量/mg</w:t>
            </w:r>
          </w:p>
        </w:tc>
        <w:tc>
          <w:tcPr>
            <w:tcW w:w="900"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07877DD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lang w:val="en-US" w:eastAsia="zh-CN"/>
              </w:rPr>
              <w:t>回收率/%</w:t>
            </w:r>
          </w:p>
        </w:tc>
        <w:tc>
          <w:tcPr>
            <w:tcW w:w="1680"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0B900B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试验现象</w:t>
            </w:r>
          </w:p>
        </w:tc>
      </w:tr>
      <w:tr w14:paraId="56B8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357C667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中铝洛阳铜加工有限公司</w:t>
            </w:r>
          </w:p>
        </w:tc>
        <w:tc>
          <w:tcPr>
            <w:tcW w:w="990" w:type="dxa"/>
            <w:vMerge w:val="restart"/>
            <w:tcBorders>
              <w:top w:val="single" w:color="000000" w:sz="4" w:space="0"/>
              <w:left w:val="single" w:color="000000" w:sz="4" w:space="0"/>
              <w:right w:val="single" w:color="000000" w:sz="4" w:space="0"/>
            </w:tcBorders>
            <w:shd w:val="clear" w:color="auto" w:fill="FFFFFF"/>
            <w:noWrap w:val="0"/>
            <w:vAlign w:val="center"/>
          </w:tcPr>
          <w:p w14:paraId="408A7F5F">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0218D5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C7197">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73.86</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B0B4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D5E8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74.20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CDD925D">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98.93</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5BD307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终点返色</w:t>
            </w:r>
          </w:p>
        </w:tc>
      </w:tr>
      <w:tr w14:paraId="4201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4E8B4F5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5E112F2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B250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D088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3B4B8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7A5FC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8E9697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100.03</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9E9F93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4E0B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124C4EF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1B0F765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C55214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50D13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91AC8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F8F2B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75.03</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4A9C83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100.04</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7AEB2B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1306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5C4F333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2D1F657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9DF7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F63AC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74.56</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69FE7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649D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73E55E">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100.11</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50171A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488E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2D0480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13CCC40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0CB22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B287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C5E33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0.40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1A0B8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9AD26E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100.07</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183E83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5401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1E98C44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厦门双瑞材料研究院有限公司</w:t>
            </w:r>
          </w:p>
        </w:tc>
        <w:tc>
          <w:tcPr>
            <w:tcW w:w="990" w:type="dxa"/>
            <w:vMerge w:val="restart"/>
            <w:tcBorders>
              <w:left w:val="single" w:color="000000" w:sz="4" w:space="0"/>
              <w:right w:val="single" w:color="000000" w:sz="4" w:space="0"/>
            </w:tcBorders>
            <w:shd w:val="clear" w:color="auto" w:fill="FFFFFF"/>
            <w:noWrap w:val="0"/>
            <w:vAlign w:val="center"/>
          </w:tcPr>
          <w:p w14:paraId="50A2E98D">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99C1A8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3EB5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74.00</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B52C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99E3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74.36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5006D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99.15</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BE54CE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终点返色</w:t>
            </w:r>
          </w:p>
        </w:tc>
      </w:tr>
      <w:tr w14:paraId="7ACA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7255336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7A7A26E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74EC72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F031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74.59</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71420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D70E6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B3FF2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99.97</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2CFC1D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终点正常</w:t>
            </w:r>
          </w:p>
        </w:tc>
      </w:tr>
      <w:tr w14:paraId="2C1B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52B8E68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698EE4B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A03928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B5173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74.69</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AC101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26773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A2434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100.01</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CE0BE6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终点正常</w:t>
            </w:r>
          </w:p>
        </w:tc>
      </w:tr>
      <w:tr w14:paraId="47F1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16764A2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0EE993D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D0056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8C4BD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74.50</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B98BD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BA3FF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A032B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99.95</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669ED1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终点正常</w:t>
            </w:r>
          </w:p>
        </w:tc>
      </w:tr>
      <w:tr w14:paraId="30DC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30D191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0CFDE59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706199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3D0E9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74.54</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76C4C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560A0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B2846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99.95</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59B04A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终点正常</w:t>
            </w:r>
          </w:p>
        </w:tc>
      </w:tr>
      <w:tr w14:paraId="537B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6915B97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浙江省冶金产品质量检验站有限公司</w:t>
            </w:r>
          </w:p>
        </w:tc>
        <w:tc>
          <w:tcPr>
            <w:tcW w:w="990" w:type="dxa"/>
            <w:vMerge w:val="restart"/>
            <w:tcBorders>
              <w:left w:val="single" w:color="000000" w:sz="4" w:space="0"/>
              <w:right w:val="single" w:color="000000" w:sz="4" w:space="0"/>
            </w:tcBorders>
            <w:shd w:val="clear" w:color="auto" w:fill="FFFFFF"/>
            <w:noWrap w:val="0"/>
            <w:vAlign w:val="center"/>
          </w:tcPr>
          <w:p w14:paraId="21E615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622171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AEF0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73.82</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843A7">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0.39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290AD">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74.21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8ADD84C">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98.95</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01ADA3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终点返色</w:t>
            </w:r>
          </w:p>
        </w:tc>
      </w:tr>
      <w:tr w14:paraId="3876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59BDD38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666B22D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5FD36E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7483DE5">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74.63</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AF0E2DE">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0.38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5C82EC">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75.01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5044D60">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100.01</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8DB9D2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终点清晰正常</w:t>
            </w:r>
          </w:p>
        </w:tc>
      </w:tr>
      <w:tr w14:paraId="6DCF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219C899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0437615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4F0DD5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0DB816C">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74.66</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EFD23E6">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0.37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4215D40">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75.03</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0D98676">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100.04</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01A83B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终点清晰正常</w:t>
            </w:r>
          </w:p>
        </w:tc>
      </w:tr>
      <w:tr w14:paraId="14BC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3AD0070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4D2EBC8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1C08B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2EC5008">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74.61</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60F1C6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0.41</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56591F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75.02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E1E14D">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100.03</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4B06EC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终点清晰正常</w:t>
            </w:r>
          </w:p>
        </w:tc>
      </w:tr>
      <w:tr w14:paraId="33A3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4A21A3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2A9626E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7DFC3F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6158E24">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74.66</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5CEC39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0.37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1EA424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75.03</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4F0A77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100.04</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F99B8A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终点清晰正常</w:t>
            </w:r>
          </w:p>
        </w:tc>
      </w:tr>
      <w:tr w14:paraId="5767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37AA082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深圳市中金岭南有色金属股份有限公司</w:t>
            </w:r>
          </w:p>
        </w:tc>
        <w:tc>
          <w:tcPr>
            <w:tcW w:w="990" w:type="dxa"/>
            <w:vMerge w:val="restart"/>
            <w:tcBorders>
              <w:left w:val="single" w:color="000000" w:sz="4" w:space="0"/>
              <w:right w:val="single" w:color="000000" w:sz="4" w:space="0"/>
            </w:tcBorders>
            <w:shd w:val="clear" w:color="auto" w:fill="FFFFFF"/>
            <w:noWrap w:val="0"/>
            <w:vAlign w:val="center"/>
          </w:tcPr>
          <w:p w14:paraId="5A33E1B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F75F2F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9C72A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73.86</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42A0C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64E0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74.20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A083D1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98.93</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98E51A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终点返色</w:t>
            </w:r>
          </w:p>
        </w:tc>
      </w:tr>
      <w:tr w14:paraId="53C3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1C59CF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11C569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DF312A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C4473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288F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9028C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50DC4E">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100.03</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ECCC7A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1A98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79FBB79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1110F9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9B507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F142E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2CB0E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D2363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75.03</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DE9745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100.04</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E60F51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42B1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5917DCA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3AF7CDF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AF71E5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1D11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74.56</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74CF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049D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B70E818">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100.11</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D96FED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3939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3EF6935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3619C77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B5E133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5319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9018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0.40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941C7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75.05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4B1C4F">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100.07</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0EAE72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5F9D0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3FACCD5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大冶有色设计研究院有限公司</w:t>
            </w:r>
          </w:p>
        </w:tc>
        <w:tc>
          <w:tcPr>
            <w:tcW w:w="990" w:type="dxa"/>
            <w:vMerge w:val="restart"/>
            <w:tcBorders>
              <w:left w:val="single" w:color="000000" w:sz="4" w:space="0"/>
              <w:right w:val="single" w:color="000000" w:sz="4" w:space="0"/>
            </w:tcBorders>
            <w:shd w:val="clear" w:color="auto" w:fill="FFFFFF"/>
            <w:noWrap w:val="0"/>
            <w:vAlign w:val="center"/>
          </w:tcPr>
          <w:p w14:paraId="7CC5BEB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03BF96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5E5C8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74.01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855A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0.42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3A67C6">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74.43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6DC19">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99.24 </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EDAD9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终点返色</w:t>
            </w:r>
          </w:p>
        </w:tc>
      </w:tr>
      <w:tr w14:paraId="16DF3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65DF359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774AB2A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7C9F2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74A1F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74.52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5BD27F">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0.44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C6BA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74.96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9B132">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99.95 </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6A7A2C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033E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46B1515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5334BEB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2C065D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31BF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74.61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0079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0.38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1D60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74.99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D3AFB">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99.99 </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82F74D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2FFD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45FB542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104B1F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5F89B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7325D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74.50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F54FE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0.45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AD6A6">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74.95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B0A8D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99.93 </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812980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5281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4D45056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6D8E0D5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BD7154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8B237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74.55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34C98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0.41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1D3AE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74.96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057F18">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99.95 </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1FC223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终点清晰正常</w:t>
            </w:r>
          </w:p>
        </w:tc>
      </w:tr>
      <w:tr w14:paraId="7F7D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0784FF5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昆明冶金研究院有限公司</w:t>
            </w:r>
          </w:p>
        </w:tc>
        <w:tc>
          <w:tcPr>
            <w:tcW w:w="990" w:type="dxa"/>
            <w:vMerge w:val="restart"/>
            <w:tcBorders>
              <w:left w:val="single" w:color="000000" w:sz="4" w:space="0"/>
              <w:right w:val="single" w:color="000000" w:sz="4" w:space="0"/>
            </w:tcBorders>
            <w:shd w:val="clear" w:color="auto" w:fill="FFFFFF"/>
            <w:noWrap w:val="0"/>
            <w:vAlign w:val="center"/>
          </w:tcPr>
          <w:p w14:paraId="2D3D314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08959B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A51C5">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73.75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0A20C6">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0.40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415FA1">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74.15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AE744D">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98.87</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1AADD3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终点返色</w:t>
            </w:r>
          </w:p>
        </w:tc>
      </w:tr>
      <w:tr w14:paraId="7708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5E9B6B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4CA7F3A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30C2A8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E9D9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74.55</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ECCB49">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0.40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29380">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75.02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426299F">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99.93</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F81B41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终点清晰正常</w:t>
            </w:r>
          </w:p>
        </w:tc>
      </w:tr>
      <w:tr w14:paraId="2AB7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7D5D3CD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3B490FC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CB8E3D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30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00167C">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74.60</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6C39BD">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0.40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A738A">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75.00</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9439E4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100.00</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C8FA00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终点清晰正常</w:t>
            </w:r>
          </w:p>
        </w:tc>
      </w:tr>
      <w:tr w14:paraId="547B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45CE67F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232C1E2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144A4C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40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E323A9">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74.60</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5A293C">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0.39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D1397">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75.08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DEA518A">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99.99</w:t>
            </w:r>
          </w:p>
        </w:tc>
        <w:tc>
          <w:tcPr>
            <w:tcW w:w="1680"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B7D68D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终点清晰正常</w:t>
            </w:r>
          </w:p>
        </w:tc>
      </w:tr>
      <w:tr w14:paraId="0247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bottom w:val="single" w:color="000000" w:sz="12" w:space="0"/>
              <w:right w:val="single" w:color="000000" w:sz="4" w:space="0"/>
            </w:tcBorders>
            <w:shd w:val="clear" w:color="auto" w:fill="FFFFFF"/>
            <w:noWrap w:val="0"/>
            <w:vAlign w:val="center"/>
          </w:tcPr>
          <w:p w14:paraId="41E782D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bottom w:val="single" w:color="000000" w:sz="12" w:space="0"/>
              <w:right w:val="single" w:color="000000" w:sz="4" w:space="0"/>
            </w:tcBorders>
            <w:shd w:val="clear" w:color="auto" w:fill="FFFFFF"/>
            <w:noWrap w:val="0"/>
            <w:vAlign w:val="center"/>
          </w:tcPr>
          <w:p w14:paraId="4BAD907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7F6C4DC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50</w:t>
            </w:r>
          </w:p>
        </w:tc>
        <w:tc>
          <w:tcPr>
            <w:tcW w:w="120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5CB2366C">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74.58</w:t>
            </w:r>
          </w:p>
        </w:tc>
        <w:tc>
          <w:tcPr>
            <w:tcW w:w="1155"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0B7D8904">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 xml:space="preserve">0.40 </w:t>
            </w:r>
          </w:p>
        </w:tc>
        <w:tc>
          <w:tcPr>
            <w:tcW w:w="855"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29CD9860">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75.05</w:t>
            </w:r>
          </w:p>
        </w:tc>
        <w:tc>
          <w:tcPr>
            <w:tcW w:w="900"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7639B26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99.97</w:t>
            </w:r>
          </w:p>
        </w:tc>
        <w:tc>
          <w:tcPr>
            <w:tcW w:w="1680" w:type="dxa"/>
            <w:tcBorders>
              <w:top w:val="single" w:color="000000" w:sz="4" w:space="0"/>
              <w:left w:val="single" w:color="000000" w:sz="4" w:space="0"/>
              <w:bottom w:val="single" w:color="000000" w:sz="12" w:space="0"/>
              <w:right w:val="single" w:color="000000" w:sz="12" w:space="0"/>
            </w:tcBorders>
            <w:shd w:val="clear" w:color="auto" w:fill="FFFFFF"/>
            <w:noWrap w:val="0"/>
            <w:vAlign w:val="top"/>
          </w:tcPr>
          <w:p w14:paraId="34AA920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终点清晰正常</w:t>
            </w:r>
          </w:p>
        </w:tc>
      </w:tr>
    </w:tbl>
    <w:p w14:paraId="6FEE8F7F">
      <w:pPr>
        <w:keepNext w:val="0"/>
        <w:keepLines w:val="0"/>
        <w:pageBreakBefore w:val="0"/>
        <w:widowControl w:val="0"/>
        <w:kinsoku/>
        <w:wordWrap/>
        <w:overflowPunct/>
        <w:topLinePunct w:val="0"/>
        <w:autoSpaceDE/>
        <w:autoSpaceDN/>
        <w:bidi w:val="0"/>
        <w:adjustRightInd/>
        <w:snapToGrid/>
        <w:spacing w:before="313" w:beforeLines="100" w:after="313" w:afterLines="100"/>
        <w:ind w:firstLine="420" w:firstLineChars="200"/>
        <w:textAlignment w:val="auto"/>
        <w:rPr>
          <w:rFonts w:hint="default" w:ascii="黑体" w:hAnsi="黑体" w:eastAsia="黑体" w:cs="黑体"/>
          <w:szCs w:val="21"/>
          <w:lang w:val="en-US" w:eastAsia="zh-CN"/>
        </w:rPr>
      </w:pPr>
      <w:r>
        <w:rPr>
          <w:rFonts w:hint="eastAsia" w:ascii="宋体" w:hAnsi="宋体" w:eastAsia="宋体" w:cs="宋体"/>
          <w:bCs/>
          <w:color w:val="000000"/>
          <w:szCs w:val="21"/>
          <w:lang w:val="en-US" w:eastAsia="zh-CN"/>
        </w:rPr>
        <w:t>由表6结果可知，加入10mL乙酸铵溶液时，滴定出现返色，结果偏低，在加入20 mL以上时，终点清晰正常。在加入30mL乙酸铵溶液开始，溶液的pH值保持在稳定范围内，昆明冶金研究院有限公司建议将乙酸铵溶液加入量增至35-40mL保证充分溶解沉淀，其他验证单位与起草单位结论一致选择乙酸铵溶液的加入量为30mL。</w:t>
      </w:r>
    </w:p>
    <w:p w14:paraId="1DAA8EBA">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1.6  锡、锑干扰消除试验</w:t>
      </w:r>
    </w:p>
    <w:p w14:paraId="3800C32C">
      <w:pPr>
        <w:rPr>
          <w:rFonts w:hint="default" w:ascii="黑体" w:hAnsi="黑体" w:eastAsia="黑体" w:cs="黑体"/>
          <w:szCs w:val="21"/>
          <w:lang w:val="en-US" w:eastAsia="zh-CN"/>
        </w:rPr>
      </w:pPr>
      <w:r>
        <w:rPr>
          <w:rFonts w:hint="eastAsia" w:ascii="宋体" w:hAnsi="宋体" w:eastAsia="宋体" w:cs="宋体"/>
          <w:bCs/>
          <w:color w:val="000000"/>
          <w:szCs w:val="21"/>
          <w:lang w:val="en-US" w:eastAsia="zh-CN"/>
        </w:rPr>
        <w:t>铜合金中锡、锑元素的存在均会干扰铅的滴定，按照铜合金中存在的锡、锑元素最高量，在样品中分别加入55mg锡、2.5mg锑。按本方法进行测定，在硫酸冒烟时加入氢溴酸，测定结果见表7。</w:t>
      </w:r>
    </w:p>
    <w:p w14:paraId="22B5C3A9">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表7 锡、锑干扰消除试验结果</w:t>
      </w:r>
    </w:p>
    <w:tbl>
      <w:tblPr>
        <w:tblStyle w:val="14"/>
        <w:tblW w:w="0" w:type="auto"/>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5"/>
        <w:gridCol w:w="1215"/>
        <w:gridCol w:w="1350"/>
        <w:gridCol w:w="1365"/>
        <w:gridCol w:w="1095"/>
        <w:gridCol w:w="980"/>
        <w:gridCol w:w="891"/>
      </w:tblGrid>
      <w:tr w14:paraId="3114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425"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6961B7F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实验室</w:t>
            </w:r>
          </w:p>
        </w:tc>
        <w:tc>
          <w:tcPr>
            <w:tcW w:w="121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25436D5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加入铅量</w:t>
            </w:r>
          </w:p>
          <w:p w14:paraId="19E7BD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135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0FF807A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氢溴酸加入量/mL</w:t>
            </w:r>
          </w:p>
        </w:tc>
        <w:tc>
          <w:tcPr>
            <w:tcW w:w="136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6568A07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沉淀测得铅量/mg</w:t>
            </w:r>
          </w:p>
        </w:tc>
        <w:tc>
          <w:tcPr>
            <w:tcW w:w="109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25E271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滤液中铅量/mg</w:t>
            </w:r>
          </w:p>
        </w:tc>
        <w:tc>
          <w:tcPr>
            <w:tcW w:w="980"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269E9F8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总铅量</w:t>
            </w:r>
          </w:p>
          <w:p w14:paraId="230A78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891"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6FB7970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lang w:val="en-US" w:eastAsia="zh-CN"/>
              </w:rPr>
              <w:t>回收率/%</w:t>
            </w:r>
          </w:p>
        </w:tc>
      </w:tr>
      <w:tr w14:paraId="1DF1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61B9097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中铝洛阳铜加工有限公司</w:t>
            </w:r>
          </w:p>
        </w:tc>
        <w:tc>
          <w:tcPr>
            <w:tcW w:w="1215" w:type="dxa"/>
            <w:vMerge w:val="restart"/>
            <w:tcBorders>
              <w:top w:val="single" w:color="000000" w:sz="4" w:space="0"/>
              <w:left w:val="single" w:color="000000" w:sz="4" w:space="0"/>
              <w:right w:val="single" w:color="000000" w:sz="4" w:space="0"/>
            </w:tcBorders>
            <w:shd w:val="clear" w:color="auto" w:fill="FFFFFF"/>
            <w:noWrap w:val="0"/>
            <w:vAlign w:val="center"/>
          </w:tcPr>
          <w:p w14:paraId="74FB3D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5702CC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5DB59E">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74.26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467E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0.33</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DDE33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74.59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9195B60">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99.45</w:t>
            </w:r>
          </w:p>
        </w:tc>
      </w:tr>
      <w:tr w14:paraId="10D6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0825216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1F1B4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A970B2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1947E">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74.50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8C92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0.20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8CA3E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74.70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E7BA1A2">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99.60</w:t>
            </w:r>
          </w:p>
        </w:tc>
      </w:tr>
      <w:tr w14:paraId="156D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2A1A27F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406D6B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7BB694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97FACE">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55A40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0.29</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77D22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74.85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6E21D0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99.80</w:t>
            </w:r>
          </w:p>
        </w:tc>
      </w:tr>
      <w:tr w14:paraId="4C8D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655207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6BD3E0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71B83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4AD03F">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D5D4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0.28</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2F2C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74.84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A83EBC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99.79</w:t>
            </w:r>
          </w:p>
        </w:tc>
      </w:tr>
      <w:tr w14:paraId="4E73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5AFF729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6BBFC95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89884A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C839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E464F">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0.24</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F0F18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74.90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75DCEA4">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99.87</w:t>
            </w:r>
          </w:p>
        </w:tc>
      </w:tr>
      <w:tr w14:paraId="152B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513820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9B7C2F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4AEB2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43374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0CBA1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CBDEB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74.92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63CC3E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99.89</w:t>
            </w:r>
          </w:p>
        </w:tc>
      </w:tr>
      <w:tr w14:paraId="3F79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418288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厦门双瑞材料研究院有限公司</w:t>
            </w:r>
          </w:p>
        </w:tc>
        <w:tc>
          <w:tcPr>
            <w:tcW w:w="1215" w:type="dxa"/>
            <w:vMerge w:val="restart"/>
            <w:tcBorders>
              <w:left w:val="single" w:color="000000" w:sz="4" w:space="0"/>
              <w:right w:val="single" w:color="000000" w:sz="4" w:space="0"/>
            </w:tcBorders>
            <w:shd w:val="clear" w:color="auto" w:fill="FFFFFF"/>
            <w:noWrap w:val="0"/>
            <w:vAlign w:val="center"/>
          </w:tcPr>
          <w:p w14:paraId="57CB3AF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938006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FF3E3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74.27</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29DCB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0.36</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C0B7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FBC1956">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99.51</w:t>
            </w:r>
          </w:p>
        </w:tc>
      </w:tr>
      <w:tr w14:paraId="40B9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BABFB1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131BC22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5D08C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5EAEC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74.47</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052A7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0.29</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DFE36">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74.76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FFFF54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99.68</w:t>
            </w:r>
          </w:p>
        </w:tc>
      </w:tr>
      <w:tr w14:paraId="1990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ADA72B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99177C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2464F8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36587">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74.64</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DA63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A46CE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B93507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99.92</w:t>
            </w:r>
          </w:p>
        </w:tc>
      </w:tr>
      <w:tr w14:paraId="199E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1B7B20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CF54DB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05445A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F15C2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74.71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8DF38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0.27</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BC705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58CA7D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99.97</w:t>
            </w:r>
          </w:p>
        </w:tc>
      </w:tr>
      <w:tr w14:paraId="61599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C91C0E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1E79796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E4FBE9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82B21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74.68</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7942F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5880B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DB5A7E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100.00</w:t>
            </w:r>
          </w:p>
        </w:tc>
      </w:tr>
      <w:tr w14:paraId="3AE0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4" w:space="0"/>
              <w:right w:val="single" w:color="000000" w:sz="4" w:space="0"/>
            </w:tcBorders>
            <w:shd w:val="clear" w:color="auto" w:fill="FFFFFF"/>
            <w:noWrap w:val="0"/>
            <w:vAlign w:val="center"/>
          </w:tcPr>
          <w:p w14:paraId="2CEF915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0654D1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3924AC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34F3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74.64</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C717B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0.31</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98EBB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DFC12A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99.93</w:t>
            </w:r>
          </w:p>
        </w:tc>
      </w:tr>
      <w:tr w14:paraId="1CCA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40661F0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浙江省冶金产品质量检验站有限公司</w:t>
            </w:r>
          </w:p>
        </w:tc>
        <w:tc>
          <w:tcPr>
            <w:tcW w:w="1215" w:type="dxa"/>
            <w:vMerge w:val="restart"/>
            <w:tcBorders>
              <w:left w:val="single" w:color="000000" w:sz="4" w:space="0"/>
              <w:right w:val="single" w:color="000000" w:sz="4" w:space="0"/>
            </w:tcBorders>
            <w:shd w:val="clear" w:color="auto" w:fill="FFFFFF"/>
            <w:noWrap w:val="0"/>
            <w:vAlign w:val="center"/>
          </w:tcPr>
          <w:p w14:paraId="4587A09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DF1190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71CDA5">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74.27</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40C831">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0.32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7DDA1D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74.59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4B04D6A">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99.45</w:t>
            </w:r>
          </w:p>
        </w:tc>
      </w:tr>
      <w:tr w14:paraId="1C84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8F5AF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36D2A7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01F112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77AB508">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74.52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2079FBE">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0.17</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57F3850">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74.69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7052DDE">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99.59</w:t>
            </w:r>
          </w:p>
        </w:tc>
      </w:tr>
      <w:tr w14:paraId="44F4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DB22DA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1B3E21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6328FD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7A22BA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74.59</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12A07AB">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0.26</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3DB6B36">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74.85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D882411">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99.80</w:t>
            </w:r>
          </w:p>
        </w:tc>
      </w:tr>
      <w:tr w14:paraId="2C6F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64B90C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464A6C6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D7226F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2B41631">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74.61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00A698B">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0.25</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1669639">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74.86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C098273">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99.81</w:t>
            </w:r>
          </w:p>
        </w:tc>
      </w:tr>
      <w:tr w14:paraId="0E3A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F4149A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3A0165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B05902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9D35AB1">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74.66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AFA3145">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0.22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0439688">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74.88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3205D0F">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99.84</w:t>
            </w:r>
          </w:p>
        </w:tc>
      </w:tr>
      <w:tr w14:paraId="7185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4" w:space="0"/>
              <w:right w:val="single" w:color="000000" w:sz="4" w:space="0"/>
            </w:tcBorders>
            <w:shd w:val="clear" w:color="auto" w:fill="FFFFFF"/>
            <w:noWrap w:val="0"/>
            <w:vAlign w:val="center"/>
          </w:tcPr>
          <w:p w14:paraId="17531B4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228565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61B48E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8635E93">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74.64</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DB84A6">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0.29</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88C5B88">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74.93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4B5A4F6">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99.91</w:t>
            </w:r>
          </w:p>
        </w:tc>
      </w:tr>
      <w:tr w14:paraId="58EE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24CBA5E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深圳市中金岭南有色金属股份有限公司</w:t>
            </w:r>
          </w:p>
        </w:tc>
        <w:tc>
          <w:tcPr>
            <w:tcW w:w="1215" w:type="dxa"/>
            <w:vMerge w:val="restart"/>
            <w:tcBorders>
              <w:left w:val="single" w:color="000000" w:sz="4" w:space="0"/>
              <w:right w:val="single" w:color="000000" w:sz="4" w:space="0"/>
            </w:tcBorders>
            <w:shd w:val="clear" w:color="auto" w:fill="FFFFFF"/>
            <w:noWrap w:val="0"/>
            <w:vAlign w:val="center"/>
          </w:tcPr>
          <w:p w14:paraId="043868C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B305E2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A9F9FF">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74.26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28F07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0.33</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57C6F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74.59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9E56E7D">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99.45</w:t>
            </w:r>
          </w:p>
        </w:tc>
      </w:tr>
      <w:tr w14:paraId="2E44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FA2B16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0935020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E4F121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3E08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74.50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4599F">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0.20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FC697">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74.70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BA4AA2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99.60</w:t>
            </w:r>
          </w:p>
        </w:tc>
      </w:tr>
      <w:tr w14:paraId="704E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5E3E95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41090BC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7731F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D54F2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04D7E6">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0.29</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26356">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74.85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50A28FB">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99.80</w:t>
            </w:r>
          </w:p>
        </w:tc>
      </w:tr>
      <w:tr w14:paraId="7510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65DB5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79D58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F078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1FCDA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0E1D5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0.28</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EE057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74.84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0ED3506">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99.79</w:t>
            </w:r>
          </w:p>
        </w:tc>
      </w:tr>
      <w:tr w14:paraId="79C3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97F353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11E9447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ED2C48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F641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5D17A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0.24</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2970F">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74.90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C0B79DF">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99.87</w:t>
            </w:r>
          </w:p>
        </w:tc>
      </w:tr>
      <w:tr w14:paraId="2947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4" w:space="0"/>
              <w:right w:val="single" w:color="000000" w:sz="4" w:space="0"/>
            </w:tcBorders>
            <w:shd w:val="clear" w:color="auto" w:fill="FFFFFF"/>
            <w:noWrap w:val="0"/>
            <w:vAlign w:val="center"/>
          </w:tcPr>
          <w:p w14:paraId="60356B0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0C27555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E6E33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5D866">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703DD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0.32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E083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74.92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9D338E2">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99.89</w:t>
            </w:r>
          </w:p>
        </w:tc>
      </w:tr>
      <w:tr w14:paraId="042F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34BDCF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大冶有色设计研究院有限公司</w:t>
            </w:r>
          </w:p>
        </w:tc>
        <w:tc>
          <w:tcPr>
            <w:tcW w:w="1215" w:type="dxa"/>
            <w:vMerge w:val="restart"/>
            <w:tcBorders>
              <w:left w:val="single" w:color="000000" w:sz="4" w:space="0"/>
              <w:right w:val="single" w:color="000000" w:sz="4" w:space="0"/>
            </w:tcBorders>
            <w:shd w:val="clear" w:color="auto" w:fill="FFFFFF"/>
            <w:noWrap w:val="0"/>
            <w:vAlign w:val="center"/>
          </w:tcPr>
          <w:p w14:paraId="0FDA4E3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579BFE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31FC9">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74.12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11FF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0.45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B398F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74.57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B4FC2D2">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99.43 </w:t>
            </w:r>
          </w:p>
        </w:tc>
      </w:tr>
      <w:tr w14:paraId="6F64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80A8E1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5AB22DC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02A60F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DAE450">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74.26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F3CADF">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0.45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CEC0A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74.71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8897754">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99.61 </w:t>
            </w:r>
          </w:p>
        </w:tc>
      </w:tr>
      <w:tr w14:paraId="683D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5B4FB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BEC2C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92EBB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27D8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1ED60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0.48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E03D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75.00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F9D565F">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100.00 </w:t>
            </w:r>
          </w:p>
        </w:tc>
      </w:tr>
      <w:tr w14:paraId="2FBF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02A26F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0656F3E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142BBC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9D7D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74.56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000B5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0.40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33998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74.96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149EEC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99.95 </w:t>
            </w:r>
          </w:p>
        </w:tc>
      </w:tr>
      <w:tr w14:paraId="2914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DBA23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086AC77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42406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6541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74.63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6C3F4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0.36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44CD4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74.99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D387534">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99.99 </w:t>
            </w:r>
          </w:p>
        </w:tc>
      </w:tr>
      <w:tr w14:paraId="6F18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4" w:space="0"/>
              <w:right w:val="single" w:color="000000" w:sz="4" w:space="0"/>
            </w:tcBorders>
            <w:shd w:val="clear" w:color="auto" w:fill="FFFFFF"/>
            <w:noWrap w:val="0"/>
            <w:vAlign w:val="center"/>
          </w:tcPr>
          <w:p w14:paraId="7BFFA1A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1F7AD9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F32567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0DCC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74.60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D037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0.38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4F19F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74.98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F142AD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99.97 </w:t>
            </w:r>
          </w:p>
        </w:tc>
      </w:tr>
      <w:tr w14:paraId="421B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4DAB03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昆明冶金研究院有限公司</w:t>
            </w:r>
          </w:p>
        </w:tc>
        <w:tc>
          <w:tcPr>
            <w:tcW w:w="1215" w:type="dxa"/>
            <w:vMerge w:val="restart"/>
            <w:tcBorders>
              <w:left w:val="single" w:color="000000" w:sz="4" w:space="0"/>
              <w:right w:val="single" w:color="000000" w:sz="4" w:space="0"/>
            </w:tcBorders>
            <w:shd w:val="clear" w:color="auto" w:fill="FFFFFF"/>
            <w:noWrap w:val="0"/>
            <w:vAlign w:val="center"/>
          </w:tcPr>
          <w:p w14:paraId="3FD728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FCA662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AE74D">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16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4F27CD">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40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CAC353">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 xml:space="preserve">74.59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1104A56">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99.4</w:t>
            </w:r>
            <w:r>
              <w:rPr>
                <w:rFonts w:hint="eastAsia" w:ascii="宋体" w:hAnsi="宋体" w:eastAsia="宋体" w:cs="宋体"/>
                <w:color w:val="000000"/>
                <w:kern w:val="0"/>
                <w:sz w:val="18"/>
                <w:szCs w:val="18"/>
                <w:lang w:val="en-US" w:eastAsia="zh-CN" w:bidi="ar"/>
              </w:rPr>
              <w:t>1</w:t>
            </w:r>
          </w:p>
        </w:tc>
      </w:tr>
      <w:tr w14:paraId="7E79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2633C8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14F4B6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E2202B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8144A">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29</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7AF47">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41</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C3AE9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74.70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32421A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99.6</w:t>
            </w:r>
            <w:r>
              <w:rPr>
                <w:rFonts w:hint="eastAsia" w:ascii="宋体" w:hAnsi="宋体" w:eastAsia="宋体" w:cs="宋体"/>
                <w:color w:val="000000"/>
                <w:kern w:val="0"/>
                <w:sz w:val="18"/>
                <w:szCs w:val="18"/>
                <w:lang w:val="en-US" w:eastAsia="zh-CN" w:bidi="ar"/>
              </w:rPr>
              <w:t>1</w:t>
            </w:r>
          </w:p>
        </w:tc>
      </w:tr>
      <w:tr w14:paraId="4FD56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3CEA9A0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C5B677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53698F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307D4D">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w:t>
            </w:r>
            <w:r>
              <w:rPr>
                <w:rFonts w:hint="eastAsia" w:ascii="宋体" w:hAnsi="宋体" w:eastAsia="宋体" w:cs="宋体"/>
                <w:color w:val="000000"/>
                <w:kern w:val="0"/>
                <w:sz w:val="18"/>
                <w:szCs w:val="18"/>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4801E4">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w:t>
            </w:r>
            <w:r>
              <w:rPr>
                <w:rFonts w:hint="eastAsia" w:ascii="宋体" w:hAnsi="宋体" w:eastAsia="宋体" w:cs="宋体"/>
                <w:color w:val="000000"/>
                <w:kern w:val="0"/>
                <w:sz w:val="18"/>
                <w:szCs w:val="18"/>
                <w:lang w:bidi="ar"/>
              </w:rPr>
              <w:t>9</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2C94F">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91</w:t>
            </w:r>
            <w:r>
              <w:rPr>
                <w:rFonts w:hint="eastAsia" w:ascii="宋体" w:hAnsi="宋体" w:eastAsia="宋体" w:cs="宋体"/>
                <w:color w:val="000000"/>
                <w:kern w:val="0"/>
                <w:sz w:val="18"/>
                <w:szCs w:val="18"/>
                <w:lang w:bidi="ar"/>
              </w:rPr>
              <w:t xml:space="preserve">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B70AAFC">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99.8</w:t>
            </w:r>
            <w:r>
              <w:rPr>
                <w:rFonts w:hint="eastAsia" w:ascii="宋体" w:hAnsi="宋体" w:eastAsia="宋体" w:cs="宋体"/>
                <w:color w:val="000000"/>
                <w:kern w:val="0"/>
                <w:sz w:val="18"/>
                <w:szCs w:val="18"/>
                <w:lang w:val="en-US" w:eastAsia="zh-CN" w:bidi="ar"/>
              </w:rPr>
              <w:t>8</w:t>
            </w:r>
          </w:p>
        </w:tc>
      </w:tr>
      <w:tr w14:paraId="14F7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443CEE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6D73049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F0138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4F77E">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w:t>
            </w:r>
            <w:r>
              <w:rPr>
                <w:rFonts w:hint="eastAsia" w:ascii="宋体" w:hAnsi="宋体" w:eastAsia="宋体" w:cs="宋体"/>
                <w:color w:val="000000"/>
                <w:kern w:val="0"/>
                <w:sz w:val="18"/>
                <w:szCs w:val="18"/>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84AC6">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37</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75F8D">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 xml:space="preserve">74.84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E92979E">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w:t>
            </w:r>
            <w:r>
              <w:rPr>
                <w:rFonts w:hint="eastAsia" w:ascii="宋体" w:hAnsi="宋体" w:eastAsia="宋体" w:cs="宋体"/>
                <w:color w:val="000000"/>
                <w:kern w:val="0"/>
                <w:sz w:val="18"/>
                <w:szCs w:val="18"/>
                <w:lang w:val="en-US" w:eastAsia="zh-CN" w:bidi="ar"/>
              </w:rPr>
              <w:t>86</w:t>
            </w:r>
          </w:p>
        </w:tc>
      </w:tr>
      <w:tr w14:paraId="7D0D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190A60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42A11BE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375EBE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43EE8C">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58</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51489">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36</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71DD4B">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 xml:space="preserve">74.90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AE6D0B5">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w:t>
            </w:r>
            <w:r>
              <w:rPr>
                <w:rFonts w:hint="eastAsia" w:ascii="宋体" w:hAnsi="宋体" w:eastAsia="宋体" w:cs="宋体"/>
                <w:color w:val="000000"/>
                <w:kern w:val="0"/>
                <w:sz w:val="18"/>
                <w:szCs w:val="18"/>
                <w:lang w:val="en-US" w:eastAsia="zh-CN" w:bidi="ar"/>
              </w:rPr>
              <w:t>92</w:t>
            </w:r>
          </w:p>
        </w:tc>
      </w:tr>
      <w:tr w14:paraId="6BEA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12" w:space="0"/>
              <w:right w:val="single" w:color="000000" w:sz="4" w:space="0"/>
            </w:tcBorders>
            <w:shd w:val="clear" w:color="auto" w:fill="FFFFFF"/>
            <w:noWrap w:val="0"/>
            <w:vAlign w:val="center"/>
          </w:tcPr>
          <w:p w14:paraId="36691D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bottom w:val="single" w:color="000000" w:sz="12" w:space="0"/>
              <w:right w:val="single" w:color="000000" w:sz="4" w:space="0"/>
            </w:tcBorders>
            <w:shd w:val="clear" w:color="auto" w:fill="FFFFFF"/>
            <w:noWrap w:val="0"/>
            <w:vAlign w:val="center"/>
          </w:tcPr>
          <w:p w14:paraId="053291C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60B5E1C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365"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1ED0C5D8">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53</w:t>
            </w:r>
          </w:p>
        </w:tc>
        <w:tc>
          <w:tcPr>
            <w:tcW w:w="1095"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6F1C1054">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36</w:t>
            </w:r>
          </w:p>
        </w:tc>
        <w:tc>
          <w:tcPr>
            <w:tcW w:w="98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64C8D6BF">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89</w:t>
            </w:r>
          </w:p>
        </w:tc>
        <w:tc>
          <w:tcPr>
            <w:tcW w:w="891" w:type="dxa"/>
            <w:tcBorders>
              <w:top w:val="single" w:color="000000" w:sz="4" w:space="0"/>
              <w:left w:val="single" w:color="000000" w:sz="4" w:space="0"/>
              <w:bottom w:val="single" w:color="000000" w:sz="12" w:space="0"/>
              <w:right w:val="single" w:color="000000" w:sz="12" w:space="0"/>
            </w:tcBorders>
            <w:shd w:val="clear" w:color="auto" w:fill="FFFFFF"/>
            <w:noWrap w:val="0"/>
            <w:vAlign w:val="center"/>
          </w:tcPr>
          <w:p w14:paraId="72914705">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99.8</w:t>
            </w:r>
            <w:r>
              <w:rPr>
                <w:rFonts w:hint="eastAsia" w:ascii="宋体" w:hAnsi="宋体" w:eastAsia="宋体" w:cs="宋体"/>
                <w:color w:val="000000"/>
                <w:kern w:val="0"/>
                <w:sz w:val="18"/>
                <w:szCs w:val="18"/>
                <w:lang w:val="en-US" w:eastAsia="zh-CN" w:bidi="ar"/>
              </w:rPr>
              <w:t>6</w:t>
            </w:r>
          </w:p>
        </w:tc>
      </w:tr>
    </w:tbl>
    <w:p w14:paraId="644FC6EB">
      <w:pPr>
        <w:rPr>
          <w:rFonts w:hint="default" w:ascii="黑体" w:hAnsi="黑体" w:eastAsia="黑体" w:cs="黑体"/>
          <w:szCs w:val="21"/>
          <w:lang w:val="en-US" w:eastAsia="zh-CN"/>
        </w:rPr>
      </w:pPr>
    </w:p>
    <w:p w14:paraId="1527CC0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黑体" w:hAnsi="黑体" w:eastAsia="黑体" w:cs="黑体"/>
          <w:szCs w:val="21"/>
          <w:lang w:val="en-US" w:eastAsia="zh-CN"/>
        </w:rPr>
      </w:pPr>
      <w:r>
        <w:rPr>
          <w:rFonts w:hint="eastAsia" w:ascii="宋体" w:hAnsi="宋体" w:eastAsia="宋体" w:cs="宋体"/>
          <w:bCs/>
          <w:color w:val="000000"/>
          <w:sz w:val="21"/>
          <w:szCs w:val="21"/>
          <w:lang w:val="en-US" w:eastAsia="zh-CN"/>
        </w:rPr>
        <w:t>由表7结果可知，在加入5mL氢溴酸时，已除去绝大部分的锡和锑，不干扰测定。为保证完全反应，本方法选择分两次共加入10mL氢溴酸，每次加入5mL。</w:t>
      </w:r>
      <w:r>
        <w:rPr>
          <w:rFonts w:hint="eastAsia" w:ascii="宋体" w:hAnsi="宋体" w:eastAsia="宋体" w:cs="宋体"/>
          <w:bCs/>
          <w:color w:val="000000"/>
          <w:szCs w:val="21"/>
          <w:lang w:val="en-US" w:eastAsia="zh-CN"/>
        </w:rPr>
        <w:t>验证单位与起草单位结论一致。</w:t>
      </w:r>
    </w:p>
    <w:p w14:paraId="36BC86FF">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1.7  硫脲加入量试验</w:t>
      </w:r>
    </w:p>
    <w:p w14:paraId="0D52023B">
      <w:pPr>
        <w:ind w:firstLine="420"/>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在铜及铜合金中，大量基体元素铜的存在会严重干扰铅的滴定，可通过加入硫脲对其进行掩蔽。在75.00mg铅中加入450mg铜，通过加入不同的硫脲后按本方法测定75.00mg的铅，观察现象确定其最佳加入量。</w:t>
      </w:r>
      <w:r>
        <w:rPr>
          <w:rFonts w:hint="eastAsia" w:ascii="宋体" w:hAnsi="宋体" w:eastAsia="宋体" w:cs="宋体"/>
          <w:bCs/>
          <w:color w:val="000000"/>
          <w:szCs w:val="21"/>
          <w:lang w:val="en-US" w:eastAsia="zh-CN"/>
        </w:rPr>
        <w:t>测定结果见表8。</w:t>
      </w:r>
    </w:p>
    <w:p w14:paraId="0953BCDA">
      <w:pPr>
        <w:ind w:firstLine="420"/>
        <w:rPr>
          <w:rFonts w:hint="eastAsia" w:ascii="宋体" w:hAnsi="宋体" w:eastAsia="宋体" w:cs="宋体"/>
          <w:bCs/>
          <w:color w:val="000000"/>
          <w:sz w:val="21"/>
          <w:szCs w:val="21"/>
          <w:lang w:val="en-US" w:eastAsia="zh-CN"/>
        </w:rPr>
      </w:pPr>
    </w:p>
    <w:p w14:paraId="60EB39B6">
      <w:pPr>
        <w:ind w:firstLine="420"/>
        <w:jc w:val="center"/>
        <w:rPr>
          <w:rFonts w:hint="eastAsia" w:ascii="宋体" w:hAnsi="宋体" w:eastAsia="宋体" w:cs="宋体"/>
          <w:bCs/>
          <w:color w:val="000000"/>
          <w:sz w:val="21"/>
          <w:szCs w:val="21"/>
          <w:lang w:val="en-US" w:eastAsia="zh-CN"/>
        </w:rPr>
      </w:pPr>
      <w:r>
        <w:rPr>
          <w:rFonts w:hint="eastAsia" w:ascii="黑体" w:hAnsi="黑体" w:eastAsia="黑体" w:cs="黑体"/>
          <w:bCs/>
          <w:color w:val="000000"/>
          <w:sz w:val="21"/>
          <w:szCs w:val="21"/>
          <w:lang w:val="en-US" w:eastAsia="zh-CN"/>
        </w:rPr>
        <w:t>表8 硫脲加入量试验结果</w:t>
      </w:r>
    </w:p>
    <w:tbl>
      <w:tblPr>
        <w:tblStyle w:val="14"/>
        <w:tblW w:w="9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990"/>
        <w:gridCol w:w="1126"/>
        <w:gridCol w:w="1200"/>
        <w:gridCol w:w="1155"/>
        <w:gridCol w:w="855"/>
        <w:gridCol w:w="900"/>
        <w:gridCol w:w="2424"/>
      </w:tblGrid>
      <w:tr w14:paraId="4A28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289"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06907B3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实验室</w:t>
            </w:r>
          </w:p>
        </w:tc>
        <w:tc>
          <w:tcPr>
            <w:tcW w:w="990"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316953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加入铅量</w:t>
            </w:r>
          </w:p>
          <w:p w14:paraId="460F672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1126"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357CA95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硫脲（100g/L）加入量/mL</w:t>
            </w:r>
          </w:p>
        </w:tc>
        <w:tc>
          <w:tcPr>
            <w:tcW w:w="1200"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57035C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沉淀测得铅量/mg</w:t>
            </w:r>
          </w:p>
        </w:tc>
        <w:tc>
          <w:tcPr>
            <w:tcW w:w="1155"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4AA2041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滤液中铅量</w:t>
            </w:r>
          </w:p>
          <w:p w14:paraId="60E392E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/mg</w:t>
            </w:r>
          </w:p>
        </w:tc>
        <w:tc>
          <w:tcPr>
            <w:tcW w:w="855"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623B691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总铅量</w:t>
            </w:r>
          </w:p>
          <w:p w14:paraId="0DB90FD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/mg</w:t>
            </w:r>
          </w:p>
        </w:tc>
        <w:tc>
          <w:tcPr>
            <w:tcW w:w="900"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6FA4856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lang w:val="en-US" w:eastAsia="zh-CN"/>
              </w:rPr>
              <w:t>回收率/%</w:t>
            </w:r>
          </w:p>
        </w:tc>
        <w:tc>
          <w:tcPr>
            <w:tcW w:w="2424"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6996951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试验现象</w:t>
            </w:r>
          </w:p>
        </w:tc>
      </w:tr>
      <w:tr w14:paraId="3F3B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0E27D10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中铝洛阳铜加工有限公司</w:t>
            </w:r>
          </w:p>
        </w:tc>
        <w:tc>
          <w:tcPr>
            <w:tcW w:w="990" w:type="dxa"/>
            <w:vMerge w:val="restart"/>
            <w:tcBorders>
              <w:top w:val="single" w:color="000000" w:sz="4" w:space="0"/>
              <w:left w:val="single" w:color="000000" w:sz="4" w:space="0"/>
              <w:right w:val="single" w:color="000000" w:sz="4" w:space="0"/>
            </w:tcBorders>
            <w:shd w:val="clear" w:color="auto" w:fill="FFFFFF"/>
            <w:noWrap w:val="0"/>
            <w:vAlign w:val="center"/>
          </w:tcPr>
          <w:p w14:paraId="6F3B0FD5">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FE78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25116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78.78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C3FAB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F043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79.24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A5ABC">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105.65</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E9D29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终点不灵敏，结果偏高</w:t>
            </w:r>
          </w:p>
        </w:tc>
      </w:tr>
      <w:tr w14:paraId="5E30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589068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20F49E7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C09FF2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1D3E9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170F2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671E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75.12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E1453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100.16</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F3EFE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20FD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1879990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49BE68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28B2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07B6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CACC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80B9E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75.12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EFC99">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100.16</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E9B53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77C6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4DDDFC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0F52805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6C0EF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7A405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0F96D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FB48CE">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75.16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E71B89">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100.21</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DB21C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2C44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6C4B9C4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209804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5EE2D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9BFE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74.53</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85F1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0.54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53798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75.07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DB154">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100.09</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206D0E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7FA8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top"/>
          </w:tcPr>
          <w:p w14:paraId="4D331EE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6689E3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A5994F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A6E1D">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74.58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9DA61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0.56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FC36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 xml:space="preserve">75.14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8CF97">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100.19</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050952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bCs/>
                <w:color w:val="000000"/>
                <w:sz w:val="18"/>
                <w:szCs w:val="18"/>
                <w:vertAlign w:val="baseline"/>
                <w:lang w:val="en-US" w:eastAsia="zh-CN"/>
              </w:rPr>
              <w:t>终点灵敏</w:t>
            </w:r>
          </w:p>
        </w:tc>
      </w:tr>
      <w:tr w14:paraId="105F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1450479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厦门双瑞材料研究院有限公司</w:t>
            </w:r>
          </w:p>
        </w:tc>
        <w:tc>
          <w:tcPr>
            <w:tcW w:w="990" w:type="dxa"/>
            <w:vMerge w:val="restart"/>
            <w:tcBorders>
              <w:left w:val="single" w:color="000000" w:sz="4" w:space="0"/>
              <w:right w:val="single" w:color="000000" w:sz="4" w:space="0"/>
            </w:tcBorders>
            <w:shd w:val="clear" w:color="auto" w:fill="FFFFFF"/>
            <w:noWrap w:val="0"/>
            <w:vAlign w:val="center"/>
          </w:tcPr>
          <w:p w14:paraId="54166E6B">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18B4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3D3D0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78.47</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6999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C3E9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78.95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99765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105.27</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658702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终点不灵敏，结果偏高</w:t>
            </w:r>
          </w:p>
        </w:tc>
      </w:tr>
      <w:tr w14:paraId="4E89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4110447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1EB62AC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4561F2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60C22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74.57</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6532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0.51</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2412B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C958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100.11</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02E760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4E25D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200B57E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759A8E0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C8BA31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8559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74.49</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6049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0.54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D642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75.03</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BDCD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100.04</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411F5D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6C4C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678D481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52F2A16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F48639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A7CD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74.64</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1DBE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0.47</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A10B46">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75.11</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AE7C7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100.15</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0851EA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6C998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2F1627C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0FC282E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AF8B7F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4F4CB">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74.56</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C5696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0.52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0F0DF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C55E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100.11</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0DBA56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0D92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top"/>
          </w:tcPr>
          <w:p w14:paraId="7C97E3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top"/>
          </w:tcPr>
          <w:p w14:paraId="6768167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A67F66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353C0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74.64</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23E7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0.48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474286">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75.12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3C42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100.16</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D2F1B87">
            <w:pPr>
              <w:jc w:val="center"/>
              <w:rPr>
                <w:rFonts w:hint="eastAsia" w:ascii="宋体" w:hAnsi="宋体" w:eastAsia="宋体" w:cs="宋体"/>
                <w:color w:val="000000"/>
                <w:kern w:val="0"/>
                <w:sz w:val="18"/>
                <w:szCs w:val="18"/>
                <w:lang w:val="en-US" w:eastAsia="zh-CN" w:bidi="ar-SA"/>
              </w:rPr>
            </w:pPr>
            <w:r>
              <w:rPr>
                <w:rFonts w:hint="eastAsia" w:ascii="宋体" w:hAnsi="宋体" w:eastAsia="宋体" w:cs="宋体"/>
                <w:bCs/>
                <w:color w:val="000000"/>
                <w:sz w:val="18"/>
                <w:szCs w:val="18"/>
              </w:rPr>
              <w:t>终点灵敏</w:t>
            </w:r>
          </w:p>
        </w:tc>
      </w:tr>
      <w:tr w14:paraId="7DA3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1794EF5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浙江省冶金产品质量检验站有限公司</w:t>
            </w:r>
          </w:p>
        </w:tc>
        <w:tc>
          <w:tcPr>
            <w:tcW w:w="990" w:type="dxa"/>
            <w:vMerge w:val="restart"/>
            <w:tcBorders>
              <w:left w:val="single" w:color="000000" w:sz="4" w:space="0"/>
              <w:right w:val="single" w:color="000000" w:sz="4" w:space="0"/>
            </w:tcBorders>
            <w:shd w:val="clear" w:color="auto" w:fill="FFFFFF"/>
            <w:noWrap w:val="0"/>
            <w:vAlign w:val="center"/>
          </w:tcPr>
          <w:p w14:paraId="492F72C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D2C8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EE4D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79.02</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F40FB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0.52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DF98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79.54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20CEF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106.05</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34E1D9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终点不灵敏，结果偏高</w:t>
            </w:r>
          </w:p>
        </w:tc>
      </w:tr>
      <w:tr w14:paraId="0206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65932C2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13022DD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136706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55D2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74.47</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6BD45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0.61</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2062F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75.08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B0FB1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100.11</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B79E7D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2AB4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3E4308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2F86F10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24DE25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CEDA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74.49</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5076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0.60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EBC62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75.09</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AF8D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100.12</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65AD13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06D3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71B7B0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3A82686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63115B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E7DFF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74.51</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F38DB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0.56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D6C1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75.07</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E7762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100.09</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B4F28D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2580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1225502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01E2ED4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14977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F0AD2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74.49</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ECAA8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0.56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B1DF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75.05</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DD871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100.07</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7F59D1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34874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7F825B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4CE3C4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CBEEEE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B39CC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74.56</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F786D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0.52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175D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75.08</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C8581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100.11</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6B04842">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bCs/>
                <w:color w:val="000000"/>
                <w:sz w:val="18"/>
                <w:szCs w:val="18"/>
              </w:rPr>
              <w:t>终点灵敏</w:t>
            </w:r>
          </w:p>
        </w:tc>
      </w:tr>
      <w:tr w14:paraId="6DCD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5C2F960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深圳市中金岭南有色金属股份有限公司</w:t>
            </w:r>
          </w:p>
        </w:tc>
        <w:tc>
          <w:tcPr>
            <w:tcW w:w="990" w:type="dxa"/>
            <w:vMerge w:val="restart"/>
            <w:tcBorders>
              <w:left w:val="single" w:color="000000" w:sz="4" w:space="0"/>
              <w:right w:val="single" w:color="000000" w:sz="4" w:space="0"/>
            </w:tcBorders>
            <w:shd w:val="clear" w:color="auto" w:fill="FFFFFF"/>
            <w:noWrap w:val="0"/>
            <w:vAlign w:val="center"/>
          </w:tcPr>
          <w:p w14:paraId="7476054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13C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A3B20">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78.78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EABA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3568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79.24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69AF0E">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105.65</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D61E03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终点不灵敏，结果偏高</w:t>
            </w:r>
          </w:p>
        </w:tc>
      </w:tr>
      <w:tr w14:paraId="3765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2C1C848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50A858A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E75B85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C10596">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44F8E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9C96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75.12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FF00DC">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100.16</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224833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41A7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3622DFD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723265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B95017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17C59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360FD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0.54</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01A7E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75.12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8954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100.16</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3E7458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13F0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73CD065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41AB0E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BEA73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08B1D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A2EB6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0.48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4D7A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75.16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65DA9">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100.21</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F21C2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06D8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4E7E382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0008DA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51D7C3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F001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74.53</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37346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0.54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7EF70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75.07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27D06">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100.09</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5EDC9C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3B14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1358BE2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0D41A38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7F894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911DC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74.58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FF5CF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0.56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20E40F">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 xml:space="preserve">75.14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1D0B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100.19</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67816F8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bCs/>
                <w:color w:val="000000"/>
                <w:sz w:val="18"/>
                <w:szCs w:val="18"/>
                <w:vertAlign w:val="baseline"/>
                <w:lang w:val="en-US" w:eastAsia="zh-CN"/>
              </w:rPr>
              <w:t>终点灵敏</w:t>
            </w:r>
          </w:p>
        </w:tc>
      </w:tr>
      <w:tr w14:paraId="0347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28982B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大冶有色设计研究院有限公司</w:t>
            </w:r>
          </w:p>
        </w:tc>
        <w:tc>
          <w:tcPr>
            <w:tcW w:w="990" w:type="dxa"/>
            <w:vMerge w:val="restart"/>
            <w:tcBorders>
              <w:left w:val="single" w:color="000000" w:sz="4" w:space="0"/>
              <w:right w:val="single" w:color="000000" w:sz="4" w:space="0"/>
            </w:tcBorders>
            <w:shd w:val="clear" w:color="auto" w:fill="FFFFFF"/>
            <w:noWrap w:val="0"/>
            <w:vAlign w:val="center"/>
          </w:tcPr>
          <w:p w14:paraId="3C983C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4CD14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E9B84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77.05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B488F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0.46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CA808F">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77.51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E034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103.35 </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2E6F03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终点不灵敏，结果偏高</w:t>
            </w:r>
          </w:p>
        </w:tc>
      </w:tr>
      <w:tr w14:paraId="5C1B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0F6A60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569353C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CA0190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38239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74.41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9AA9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0.54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9F535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74.95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8889A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99.93 </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B5AB4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10A1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12F64B8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37A7D1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84DD16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AF7F2E">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74.42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46C27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0.54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54DB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74.96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040BE">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99.95 </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7F85B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39C9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49218D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0326291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80C16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52BD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74.49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37B526">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0.48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5EBA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74.97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4DE005">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99.96 </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B0FAA5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5E02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033D797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2E3A531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AE53E2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4DB1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74.43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F8D4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0.54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5526F">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74.97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03A18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99.96 </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19B7F8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终点灵敏</w:t>
            </w:r>
          </w:p>
        </w:tc>
      </w:tr>
      <w:tr w14:paraId="0D66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01DC242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6D75D6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5CDCDD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bCs/>
                <w:color w:val="000000"/>
                <w:sz w:val="18"/>
                <w:szCs w:val="18"/>
                <w:vertAlign w:val="baseline"/>
                <w:lang w:val="en-US" w:eastAsia="zh-CN"/>
              </w:rPr>
              <w:t>25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312A2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74.44 </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2C8B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0.56 </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D367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75.00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EB51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100.00 </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1B749A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bCs/>
                <w:color w:val="000000"/>
                <w:sz w:val="18"/>
                <w:szCs w:val="18"/>
                <w:vertAlign w:val="baseline"/>
                <w:lang w:val="en-US" w:eastAsia="zh-CN"/>
              </w:rPr>
              <w:t>终点灵敏</w:t>
            </w:r>
          </w:p>
        </w:tc>
      </w:tr>
      <w:tr w14:paraId="3604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restart"/>
            <w:tcBorders>
              <w:top w:val="single" w:color="000000" w:sz="4" w:space="0"/>
              <w:left w:val="single" w:color="000000" w:sz="12" w:space="0"/>
              <w:right w:val="single" w:color="000000" w:sz="4" w:space="0"/>
            </w:tcBorders>
            <w:shd w:val="clear" w:color="auto" w:fill="FFFFFF"/>
            <w:noWrap w:val="0"/>
            <w:vAlign w:val="center"/>
          </w:tcPr>
          <w:p w14:paraId="72FDA73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昆明冶金研究院有限公司</w:t>
            </w:r>
          </w:p>
        </w:tc>
        <w:tc>
          <w:tcPr>
            <w:tcW w:w="990" w:type="dxa"/>
            <w:vMerge w:val="restart"/>
            <w:tcBorders>
              <w:left w:val="single" w:color="000000" w:sz="4" w:space="0"/>
              <w:right w:val="single" w:color="000000" w:sz="4" w:space="0"/>
            </w:tcBorders>
            <w:shd w:val="clear" w:color="auto" w:fill="FFFFFF"/>
            <w:noWrap w:val="0"/>
            <w:vAlign w:val="center"/>
          </w:tcPr>
          <w:p w14:paraId="0C1FEB3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F3328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65955">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w:t>
            </w:r>
            <w:r>
              <w:rPr>
                <w:rFonts w:hint="eastAsia" w:ascii="宋体" w:hAnsi="宋体" w:eastAsia="宋体" w:cs="宋体"/>
                <w:color w:val="000000"/>
                <w:kern w:val="0"/>
                <w:sz w:val="18"/>
                <w:szCs w:val="18"/>
                <w:lang w:val="en-US" w:eastAsia="zh-CN" w:bidi="ar"/>
              </w:rPr>
              <w:t>9</w:t>
            </w:r>
            <w:r>
              <w:rPr>
                <w:rFonts w:hint="eastAsia" w:ascii="宋体" w:hAnsi="宋体" w:eastAsia="宋体" w:cs="宋体"/>
                <w:color w:val="000000"/>
                <w:kern w:val="0"/>
                <w:sz w:val="18"/>
                <w:szCs w:val="18"/>
                <w:lang w:bidi="ar"/>
              </w:rPr>
              <w:t>.</w:t>
            </w:r>
            <w:r>
              <w:rPr>
                <w:rFonts w:hint="eastAsia" w:ascii="宋体" w:hAnsi="宋体" w:eastAsia="宋体" w:cs="宋体"/>
                <w:color w:val="000000"/>
                <w:kern w:val="0"/>
                <w:sz w:val="18"/>
                <w:szCs w:val="18"/>
                <w:lang w:val="en-US" w:eastAsia="zh-CN" w:bidi="ar"/>
              </w:rPr>
              <w:t>00</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CCDED">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36</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52DA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79.</w:t>
            </w:r>
            <w:r>
              <w:rPr>
                <w:rFonts w:hint="eastAsia" w:ascii="宋体" w:hAnsi="宋体" w:eastAsia="宋体" w:cs="宋体"/>
                <w:color w:val="000000"/>
                <w:kern w:val="0"/>
                <w:sz w:val="18"/>
                <w:szCs w:val="18"/>
                <w:lang w:val="en-US" w:eastAsia="zh-CN" w:bidi="ar"/>
              </w:rPr>
              <w:t>36</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E22B6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105.</w:t>
            </w:r>
            <w:r>
              <w:rPr>
                <w:rFonts w:hint="eastAsia" w:ascii="宋体" w:hAnsi="宋体" w:eastAsia="宋体" w:cs="宋体"/>
                <w:color w:val="000000"/>
                <w:kern w:val="0"/>
                <w:sz w:val="18"/>
                <w:szCs w:val="18"/>
                <w:lang w:val="en-US" w:eastAsia="zh-CN" w:bidi="ar"/>
              </w:rPr>
              <w:t>58</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574763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终点不灵敏，结果偏高</w:t>
            </w:r>
          </w:p>
        </w:tc>
      </w:tr>
      <w:tr w14:paraId="28E0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51816C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31B4E97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F7EE49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D5215">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68</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C2E68">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39</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81B6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75.</w:t>
            </w:r>
            <w:r>
              <w:rPr>
                <w:rFonts w:hint="eastAsia" w:ascii="宋体" w:hAnsi="宋体" w:eastAsia="宋体" w:cs="宋体"/>
                <w:color w:val="000000"/>
                <w:kern w:val="0"/>
                <w:sz w:val="18"/>
                <w:szCs w:val="18"/>
                <w:lang w:val="en-US" w:eastAsia="zh-CN" w:bidi="ar"/>
              </w:rPr>
              <w:t>07</w:t>
            </w:r>
            <w:r>
              <w:rPr>
                <w:rFonts w:hint="eastAsia" w:ascii="宋体" w:hAnsi="宋体" w:eastAsia="宋体" w:cs="宋体"/>
                <w:color w:val="000000"/>
                <w:kern w:val="0"/>
                <w:sz w:val="18"/>
                <w:szCs w:val="18"/>
                <w:lang w:bidi="ar"/>
              </w:rPr>
              <w:t xml:space="preserve">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414EC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w:t>
            </w:r>
            <w:r>
              <w:rPr>
                <w:rFonts w:hint="eastAsia" w:ascii="宋体" w:hAnsi="宋体" w:eastAsia="宋体" w:cs="宋体"/>
                <w:color w:val="000000"/>
                <w:kern w:val="0"/>
                <w:sz w:val="18"/>
                <w:szCs w:val="18"/>
                <w:lang w:val="en-US" w:eastAsia="zh-CN" w:bidi="ar"/>
              </w:rPr>
              <w:t>09</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A35B7F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6E14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7A9FE34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674F906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C6DE73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49B6C">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52</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500256">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42</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1412F">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74.9</w:t>
            </w:r>
            <w:r>
              <w:rPr>
                <w:rFonts w:hint="eastAsia" w:ascii="宋体" w:hAnsi="宋体" w:eastAsia="宋体" w:cs="宋体"/>
                <w:color w:val="000000"/>
                <w:kern w:val="0"/>
                <w:sz w:val="18"/>
                <w:szCs w:val="18"/>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63FF5">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w:t>
            </w:r>
            <w:r>
              <w:rPr>
                <w:rFonts w:hint="eastAsia" w:ascii="宋体" w:hAnsi="宋体" w:eastAsia="宋体" w:cs="宋体"/>
                <w:color w:val="000000"/>
                <w:kern w:val="0"/>
                <w:sz w:val="18"/>
                <w:szCs w:val="18"/>
                <w:lang w:val="en-US" w:eastAsia="zh-CN" w:bidi="ar"/>
              </w:rPr>
              <w:t>92</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21CE62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3BE5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7AFAFAE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67E596B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DF7663B">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15</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1CAE4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52</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96A196">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0.4</w:t>
            </w:r>
            <w:r>
              <w:rPr>
                <w:rFonts w:hint="eastAsia" w:ascii="宋体" w:hAnsi="宋体" w:eastAsia="宋体" w:cs="宋体"/>
                <w:color w:val="000000"/>
                <w:kern w:val="0"/>
                <w:sz w:val="18"/>
                <w:szCs w:val="18"/>
                <w:lang w:val="en-US" w:eastAsia="zh-CN" w:bidi="ar"/>
              </w:rPr>
              <w:t>0</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14FC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w:t>
            </w:r>
            <w:r>
              <w:rPr>
                <w:rFonts w:hint="eastAsia" w:ascii="宋体" w:hAnsi="宋体" w:eastAsia="宋体" w:cs="宋体"/>
                <w:color w:val="000000"/>
                <w:kern w:val="0"/>
                <w:sz w:val="18"/>
                <w:szCs w:val="18"/>
                <w:lang w:val="en-US" w:eastAsia="zh-CN" w:bidi="ar"/>
              </w:rPr>
              <w:t>4.92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6A20E">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99.89</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76B025A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77FDB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right w:val="single" w:color="000000" w:sz="4" w:space="0"/>
            </w:tcBorders>
            <w:shd w:val="clear" w:color="auto" w:fill="FFFFFF"/>
            <w:noWrap w:val="0"/>
            <w:vAlign w:val="center"/>
          </w:tcPr>
          <w:p w14:paraId="55C61A4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right w:val="single" w:color="000000" w:sz="4" w:space="0"/>
            </w:tcBorders>
            <w:shd w:val="clear" w:color="auto" w:fill="FFFFFF"/>
            <w:noWrap w:val="0"/>
            <w:vAlign w:val="center"/>
          </w:tcPr>
          <w:p w14:paraId="0C21E4A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6687894">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347578">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74.53</w:t>
            </w:r>
          </w:p>
        </w:tc>
        <w:tc>
          <w:tcPr>
            <w:tcW w:w="11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68575">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38</w:t>
            </w:r>
          </w:p>
        </w:tc>
        <w:tc>
          <w:tcPr>
            <w:tcW w:w="8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45A479">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74.91</w:t>
            </w:r>
            <w:r>
              <w:rPr>
                <w:rFonts w:hint="eastAsia" w:ascii="宋体" w:hAnsi="宋体" w:eastAsia="宋体" w:cs="宋体"/>
                <w:color w:val="000000"/>
                <w:kern w:val="0"/>
                <w:sz w:val="18"/>
                <w:szCs w:val="18"/>
                <w:lang w:bidi="ar"/>
              </w:rPr>
              <w:t xml:space="preserve"> </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3C4E2B">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99.88</w:t>
            </w:r>
          </w:p>
        </w:tc>
        <w:tc>
          <w:tcPr>
            <w:tcW w:w="2424"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1B6A59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终点灵敏</w:t>
            </w:r>
          </w:p>
        </w:tc>
      </w:tr>
      <w:tr w14:paraId="1AE3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 w:type="dxa"/>
            <w:vMerge w:val="continue"/>
            <w:tcBorders>
              <w:left w:val="single" w:color="000000" w:sz="12" w:space="0"/>
              <w:bottom w:val="single" w:color="000000" w:sz="12" w:space="0"/>
              <w:right w:val="single" w:color="000000" w:sz="4" w:space="0"/>
            </w:tcBorders>
            <w:shd w:val="clear" w:color="auto" w:fill="FFFFFF"/>
            <w:noWrap w:val="0"/>
            <w:vAlign w:val="center"/>
          </w:tcPr>
          <w:p w14:paraId="07FEA36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990" w:type="dxa"/>
            <w:vMerge w:val="continue"/>
            <w:tcBorders>
              <w:left w:val="single" w:color="000000" w:sz="4" w:space="0"/>
              <w:bottom w:val="single" w:color="000000" w:sz="12" w:space="0"/>
              <w:right w:val="single" w:color="000000" w:sz="4" w:space="0"/>
            </w:tcBorders>
            <w:shd w:val="clear" w:color="auto" w:fill="FFFFFF"/>
            <w:noWrap w:val="0"/>
            <w:vAlign w:val="center"/>
          </w:tcPr>
          <w:p w14:paraId="457CFDB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126" w:type="dxa"/>
            <w:tcBorders>
              <w:top w:val="single" w:color="000000" w:sz="4" w:space="0"/>
              <w:left w:val="single" w:color="000000" w:sz="4" w:space="0"/>
              <w:bottom w:val="single" w:color="000000" w:sz="12" w:space="0"/>
              <w:right w:val="single" w:color="000000" w:sz="4" w:space="0"/>
            </w:tcBorders>
            <w:shd w:val="clear" w:color="auto" w:fill="FFFFFF"/>
            <w:noWrap w:val="0"/>
            <w:vAlign w:val="top"/>
          </w:tcPr>
          <w:p w14:paraId="513E7BE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25</w:t>
            </w:r>
          </w:p>
        </w:tc>
        <w:tc>
          <w:tcPr>
            <w:tcW w:w="120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45E3B3CF">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74.5</w:t>
            </w:r>
            <w:r>
              <w:rPr>
                <w:rFonts w:hint="eastAsia" w:ascii="宋体" w:hAnsi="宋体" w:eastAsia="宋体" w:cs="宋体"/>
                <w:color w:val="000000"/>
                <w:kern w:val="0"/>
                <w:sz w:val="18"/>
                <w:szCs w:val="18"/>
                <w:lang w:val="en-US" w:eastAsia="zh-CN" w:bidi="ar"/>
              </w:rPr>
              <w:t>6</w:t>
            </w:r>
          </w:p>
        </w:tc>
        <w:tc>
          <w:tcPr>
            <w:tcW w:w="1155"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67EFE21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43</w:t>
            </w:r>
          </w:p>
        </w:tc>
        <w:tc>
          <w:tcPr>
            <w:tcW w:w="855"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631E86F5">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74.99</w:t>
            </w:r>
          </w:p>
        </w:tc>
        <w:tc>
          <w:tcPr>
            <w:tcW w:w="90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78BBDA4E">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99.97</w:t>
            </w:r>
          </w:p>
        </w:tc>
        <w:tc>
          <w:tcPr>
            <w:tcW w:w="2424" w:type="dxa"/>
            <w:tcBorders>
              <w:top w:val="single" w:color="000000" w:sz="4" w:space="0"/>
              <w:left w:val="single" w:color="000000" w:sz="4" w:space="0"/>
              <w:bottom w:val="single" w:color="000000" w:sz="12" w:space="0"/>
              <w:right w:val="single" w:color="000000" w:sz="12" w:space="0"/>
            </w:tcBorders>
            <w:shd w:val="clear" w:color="auto" w:fill="FFFFFF"/>
            <w:noWrap w:val="0"/>
            <w:vAlign w:val="top"/>
          </w:tcPr>
          <w:p w14:paraId="2F60EC44">
            <w:pPr>
              <w:jc w:val="center"/>
              <w:rPr>
                <w:rFonts w:hint="eastAsia" w:ascii="宋体" w:hAnsi="宋体" w:eastAsia="宋体" w:cs="宋体"/>
                <w:color w:val="000000"/>
                <w:kern w:val="0"/>
                <w:sz w:val="18"/>
                <w:szCs w:val="18"/>
                <w:lang w:val="en-US" w:eastAsia="zh-CN" w:bidi="ar"/>
              </w:rPr>
            </w:pPr>
            <w:r>
              <w:rPr>
                <w:rFonts w:hint="eastAsia" w:ascii="宋体" w:hAnsi="宋体" w:eastAsia="宋体" w:cs="宋体"/>
                <w:bCs/>
                <w:color w:val="000000"/>
                <w:sz w:val="18"/>
                <w:szCs w:val="18"/>
              </w:rPr>
              <w:t>终点灵敏</w:t>
            </w:r>
          </w:p>
        </w:tc>
      </w:tr>
    </w:tbl>
    <w:p w14:paraId="2D218C5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szCs w:val="21"/>
          <w:lang w:val="en-US" w:eastAsia="zh-CN"/>
        </w:rPr>
      </w:pPr>
      <w:r>
        <w:rPr>
          <w:rFonts w:hint="eastAsia" w:ascii="宋体" w:hAnsi="宋体" w:eastAsia="宋体" w:cs="宋体"/>
          <w:bCs/>
          <w:color w:val="000000"/>
          <w:szCs w:val="21"/>
          <w:lang w:val="en-US" w:eastAsia="zh-CN"/>
        </w:rPr>
        <w:t>表8试验结果可知，硫脲加入量在5mL及以上时，滴定终点灵敏清晰，结果准确。因此选择硫脲加入量为10mL。验证单位与起草单位结论一致。</w:t>
      </w:r>
    </w:p>
    <w:p w14:paraId="052B54DC">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1.8  抗坏血酸加入量试验</w:t>
      </w:r>
    </w:p>
    <w:p w14:paraId="51EAF5B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szCs w:val="21"/>
          <w:lang w:val="en-US" w:eastAsia="zh-CN"/>
        </w:rPr>
      </w:pPr>
      <w:r>
        <w:rPr>
          <w:rFonts w:hint="eastAsia" w:ascii="宋体" w:hAnsi="宋体" w:eastAsia="宋体" w:cs="宋体"/>
          <w:bCs/>
          <w:color w:val="000000"/>
          <w:sz w:val="21"/>
          <w:szCs w:val="21"/>
          <w:lang w:val="en-US" w:eastAsia="zh-CN"/>
        </w:rPr>
        <w:t>铜合金中铁元素的存在会干扰铅的滴定，按照铜合金中存在的铁元素最高量，在样品中加入2mg铁，加入不同量的抗坏血酸，按照本方法进行试验，测定结果见表9。</w:t>
      </w:r>
    </w:p>
    <w:p w14:paraId="15AD808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szCs w:val="21"/>
          <w:lang w:val="en-US" w:eastAsia="zh-CN"/>
        </w:rPr>
      </w:pPr>
    </w:p>
    <w:p w14:paraId="1773A2A2">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表9 抗坏血酸加入量试验结果</w:t>
      </w:r>
    </w:p>
    <w:tbl>
      <w:tblPr>
        <w:tblStyle w:val="14"/>
        <w:tblW w:w="0" w:type="auto"/>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5"/>
        <w:gridCol w:w="1215"/>
        <w:gridCol w:w="1350"/>
        <w:gridCol w:w="1365"/>
        <w:gridCol w:w="1095"/>
        <w:gridCol w:w="980"/>
        <w:gridCol w:w="891"/>
      </w:tblGrid>
      <w:tr w14:paraId="3982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4" w:hRule="atLeast"/>
        </w:trPr>
        <w:tc>
          <w:tcPr>
            <w:tcW w:w="1425"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01064B4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实验室</w:t>
            </w:r>
          </w:p>
        </w:tc>
        <w:tc>
          <w:tcPr>
            <w:tcW w:w="121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7C1C7A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加入铅量</w:t>
            </w:r>
          </w:p>
          <w:p w14:paraId="108865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1350"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182C590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抗坏血酸加入量/g</w:t>
            </w:r>
          </w:p>
        </w:tc>
        <w:tc>
          <w:tcPr>
            <w:tcW w:w="136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56B5198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沉淀测得铅量/mg</w:t>
            </w:r>
          </w:p>
        </w:tc>
        <w:tc>
          <w:tcPr>
            <w:tcW w:w="1095" w:type="dxa"/>
            <w:tcBorders>
              <w:top w:val="single" w:color="000000" w:sz="12" w:space="0"/>
              <w:left w:val="single" w:color="000000" w:sz="4" w:space="0"/>
              <w:bottom w:val="single" w:color="000000" w:sz="4" w:space="0"/>
              <w:right w:val="single" w:color="000000" w:sz="4" w:space="0"/>
            </w:tcBorders>
            <w:shd w:val="clear" w:color="auto" w:fill="FFFFFF"/>
            <w:noWrap w:val="0"/>
            <w:vAlign w:val="top"/>
          </w:tcPr>
          <w:p w14:paraId="498D86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滤液中铅量/mg</w:t>
            </w:r>
          </w:p>
        </w:tc>
        <w:tc>
          <w:tcPr>
            <w:tcW w:w="980"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7A36BB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总铅量</w:t>
            </w:r>
          </w:p>
          <w:p w14:paraId="58BE8A8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/mg</w:t>
            </w:r>
          </w:p>
        </w:tc>
        <w:tc>
          <w:tcPr>
            <w:tcW w:w="891"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3F804BE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lang w:val="en-US" w:eastAsia="zh-CN"/>
              </w:rPr>
              <w:t>回收率/%</w:t>
            </w:r>
          </w:p>
        </w:tc>
      </w:tr>
      <w:tr w14:paraId="7C4B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410F9A0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中铝洛阳铜加工有限公司</w:t>
            </w:r>
          </w:p>
        </w:tc>
        <w:tc>
          <w:tcPr>
            <w:tcW w:w="1215" w:type="dxa"/>
            <w:vMerge w:val="restart"/>
            <w:tcBorders>
              <w:top w:val="single" w:color="000000" w:sz="4" w:space="0"/>
              <w:left w:val="single" w:color="000000" w:sz="4" w:space="0"/>
              <w:right w:val="single" w:color="000000" w:sz="4" w:space="0"/>
            </w:tcBorders>
            <w:shd w:val="clear" w:color="auto" w:fill="FFFFFF"/>
            <w:noWrap w:val="0"/>
            <w:vAlign w:val="center"/>
          </w:tcPr>
          <w:p w14:paraId="0627D1F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F1FD5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E4868">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74.41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D136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0.60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AF335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75.01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4527B8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100.01</w:t>
            </w:r>
          </w:p>
        </w:tc>
      </w:tr>
      <w:tr w14:paraId="3C4A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178D7A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DD9C27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65E64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66784">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3D8F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0.50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913C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 xml:space="preserve">75.10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679A16B">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100.13</w:t>
            </w:r>
          </w:p>
        </w:tc>
      </w:tr>
      <w:tr w14:paraId="68C2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00CFD40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27AB4C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47994F">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D0AC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9D9A8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0.58</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B6C7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75.18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AA260DB">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100.24</w:t>
            </w:r>
          </w:p>
        </w:tc>
      </w:tr>
      <w:tr w14:paraId="0CF0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100F6CE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16EB06D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0CE1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9603D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769E9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01205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807688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100.13</w:t>
            </w:r>
          </w:p>
        </w:tc>
      </w:tr>
      <w:tr w14:paraId="0D64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top w:val="single" w:color="000000" w:sz="4" w:space="0"/>
              <w:left w:val="single" w:color="000000" w:sz="12" w:space="0"/>
              <w:bottom w:val="single" w:color="000000" w:sz="4" w:space="0"/>
              <w:right w:val="single" w:color="000000" w:sz="4" w:space="0"/>
            </w:tcBorders>
            <w:shd w:val="clear" w:color="auto" w:fill="FFFFFF"/>
            <w:noWrap w:val="0"/>
            <w:vAlign w:val="center"/>
          </w:tcPr>
          <w:p w14:paraId="71E4BC5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02A47B7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6DD6B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2F00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0154D6">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0.35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6D96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74.86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E8FD1CB">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99.81</w:t>
            </w:r>
          </w:p>
        </w:tc>
      </w:tr>
      <w:tr w14:paraId="0B61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4EF8B87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厦门双瑞材料研究院有限公司</w:t>
            </w:r>
          </w:p>
        </w:tc>
        <w:tc>
          <w:tcPr>
            <w:tcW w:w="1215" w:type="dxa"/>
            <w:vMerge w:val="restart"/>
            <w:tcBorders>
              <w:left w:val="single" w:color="000000" w:sz="4" w:space="0"/>
              <w:right w:val="single" w:color="000000" w:sz="4" w:space="0"/>
            </w:tcBorders>
            <w:shd w:val="clear" w:color="auto" w:fill="FFFFFF"/>
            <w:noWrap w:val="0"/>
            <w:vAlign w:val="center"/>
          </w:tcPr>
          <w:p w14:paraId="137A78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417EAA">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BE39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74.41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3E7D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0.64</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45B9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852AC0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100.07</w:t>
            </w:r>
          </w:p>
        </w:tc>
      </w:tr>
      <w:tr w14:paraId="1072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81C306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0CDDB99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170799">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rPr>
              <w:t>0.1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48F48">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74.55</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51BF9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0.53</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C950A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892031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100.11</w:t>
            </w:r>
          </w:p>
        </w:tc>
      </w:tr>
      <w:tr w14:paraId="06D0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84D4C6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6D07D3F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A3CA5E">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rPr>
              <w:t>0.2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8FAAB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B8F6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0.55</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30D5D">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75.11</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67981A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100.15</w:t>
            </w:r>
          </w:p>
        </w:tc>
      </w:tr>
      <w:tr w14:paraId="6BF55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45436B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40F81C1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6196B">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rPr>
              <w:t>0.5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1D209">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74.55</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950C4">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0.51</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D095C">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75.06</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BD8604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100.08</w:t>
            </w:r>
          </w:p>
        </w:tc>
      </w:tr>
      <w:tr w14:paraId="373B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8AC1B8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60A4855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601D4">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106720">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74.43</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10BD1">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0.39</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F9DE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74.82</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0FB006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99.76</w:t>
            </w:r>
          </w:p>
        </w:tc>
      </w:tr>
      <w:tr w14:paraId="4758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1C5ECFD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浙江省冶金产品质量检验站有限公司</w:t>
            </w:r>
          </w:p>
        </w:tc>
        <w:tc>
          <w:tcPr>
            <w:tcW w:w="1215" w:type="dxa"/>
            <w:vMerge w:val="restart"/>
            <w:tcBorders>
              <w:left w:val="single" w:color="000000" w:sz="4" w:space="0"/>
              <w:right w:val="single" w:color="000000" w:sz="4" w:space="0"/>
            </w:tcBorders>
            <w:shd w:val="clear" w:color="auto" w:fill="FFFFFF"/>
            <w:noWrap w:val="0"/>
            <w:vAlign w:val="center"/>
          </w:tcPr>
          <w:p w14:paraId="06FA64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EEF468">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2CE5E9E">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74.25</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28DC0BD">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0.52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D7D5786">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74.77</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2C91D0CC">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99.69</w:t>
            </w:r>
          </w:p>
        </w:tc>
      </w:tr>
      <w:tr w14:paraId="7D2B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F8839A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3662A1F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32F6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E835FB6">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74.56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71EFD32">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0.52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A3540CA">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75.08</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54865B37">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100.11</w:t>
            </w:r>
          </w:p>
        </w:tc>
      </w:tr>
      <w:tr w14:paraId="56BA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5417ABC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68C3F24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BB001">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0F1034C">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74.58</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F68AC3F">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0.45</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637683">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75.03</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31B5BAE3">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100.04</w:t>
            </w:r>
          </w:p>
        </w:tc>
      </w:tr>
      <w:tr w14:paraId="79E1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397A8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50FAF45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4D97E">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F3EADB7">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74.56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9BABD34">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0.48</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D1FDCDA">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75.04</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41BC327B">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100.05</w:t>
            </w:r>
          </w:p>
        </w:tc>
      </w:tr>
      <w:tr w14:paraId="50E1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2D71C8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3CF48AC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3BAE7">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6666E3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74.27</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E1E2C4C">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0.52</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3D2EB2">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74759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top"/>
          </w:tcPr>
          <w:p w14:paraId="0E9CD480">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99.72</w:t>
            </w:r>
          </w:p>
        </w:tc>
      </w:tr>
      <w:tr w14:paraId="6C0B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6D4FFE8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深圳市中金岭南有色金属股份有限公司</w:t>
            </w:r>
          </w:p>
        </w:tc>
        <w:tc>
          <w:tcPr>
            <w:tcW w:w="1215" w:type="dxa"/>
            <w:vMerge w:val="restart"/>
            <w:tcBorders>
              <w:left w:val="single" w:color="000000" w:sz="4" w:space="0"/>
              <w:right w:val="single" w:color="000000" w:sz="4" w:space="0"/>
            </w:tcBorders>
            <w:shd w:val="clear" w:color="auto" w:fill="FFFFFF"/>
            <w:noWrap w:val="0"/>
            <w:vAlign w:val="center"/>
          </w:tcPr>
          <w:p w14:paraId="33CB61F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47CE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CA2298">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74.41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3AB7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0.60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17BB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75.01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ED8309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100.01</w:t>
            </w:r>
          </w:p>
        </w:tc>
      </w:tr>
      <w:tr w14:paraId="0D767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CE502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046F70D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F9033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A8AF6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C3AF7">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0.50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E59A7">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 xml:space="preserve">75.10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6DE383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100.13</w:t>
            </w:r>
          </w:p>
        </w:tc>
      </w:tr>
      <w:tr w14:paraId="4D0B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2C2B52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2A1DB83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5C18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84114D">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54A47E">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0.58</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5538EB">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75.18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B9E7F9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100.24</w:t>
            </w:r>
          </w:p>
        </w:tc>
      </w:tr>
      <w:tr w14:paraId="11EB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567D827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3C1CDC8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054E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FC72E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0CF2E">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E8D58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75.10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628DF90A">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100.13</w:t>
            </w:r>
          </w:p>
        </w:tc>
      </w:tr>
      <w:tr w14:paraId="145B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1E58F49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141BAD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B210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24DDF">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74.51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18A2B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0.35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4ACC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 xml:space="preserve">74.86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7AE98AE">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b w:val="0"/>
                <w:i w:val="0"/>
                <w:iCs w:val="0"/>
                <w:color w:val="000000"/>
                <w:kern w:val="0"/>
                <w:sz w:val="18"/>
                <w:szCs w:val="18"/>
                <w:u w:val="none"/>
                <w:lang w:val="en-US" w:eastAsia="zh-CN" w:bidi="ar"/>
              </w:rPr>
              <w:t>99.81</w:t>
            </w:r>
          </w:p>
        </w:tc>
      </w:tr>
      <w:tr w14:paraId="2FC3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06614DC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大冶有色设计研究院有限公司</w:t>
            </w:r>
          </w:p>
        </w:tc>
        <w:tc>
          <w:tcPr>
            <w:tcW w:w="1215" w:type="dxa"/>
            <w:vMerge w:val="restart"/>
            <w:tcBorders>
              <w:left w:val="single" w:color="000000" w:sz="4" w:space="0"/>
              <w:right w:val="single" w:color="000000" w:sz="4" w:space="0"/>
            </w:tcBorders>
            <w:shd w:val="clear" w:color="auto" w:fill="FFFFFF"/>
            <w:noWrap w:val="0"/>
            <w:vAlign w:val="center"/>
          </w:tcPr>
          <w:p w14:paraId="553876D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40B5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8459CE">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74.45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886BF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0.32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8F10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74.77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3B5366C5">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99.69 </w:t>
            </w:r>
          </w:p>
        </w:tc>
      </w:tr>
      <w:tr w14:paraId="5099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79BA18E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3844706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7DE32">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DFB017">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74.58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DE001">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0.39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922793">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74.97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9777227">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99.96 </w:t>
            </w:r>
          </w:p>
        </w:tc>
      </w:tr>
      <w:tr w14:paraId="4C3A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3672E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C11AE4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F4D690">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B164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74.61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327E79">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0.34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9E8D4">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74.95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29E1E729">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99.93 </w:t>
            </w:r>
          </w:p>
        </w:tc>
      </w:tr>
      <w:tr w14:paraId="6CD4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B35A68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1200C5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8816C">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0.5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B7DE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74.62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DDDC8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0.35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309C4A">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74.97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113E5E1C">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99.96 </w:t>
            </w:r>
          </w:p>
        </w:tc>
      </w:tr>
      <w:tr w14:paraId="519C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4183F01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1FBB2B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E26E3">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b w:val="0"/>
                <w:i w:val="0"/>
                <w:iCs w:val="0"/>
                <w:color w:val="000000"/>
                <w:kern w:val="0"/>
                <w:sz w:val="18"/>
                <w:szCs w:val="18"/>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B4817">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74.55 </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42C98">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0.35 </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5AD61">
            <w:pPr>
              <w:keepNext w:val="0"/>
              <w:keepLines w:val="0"/>
              <w:widowControl/>
              <w:suppressLineNumbers w:val="0"/>
              <w:jc w:val="center"/>
              <w:textAlignment w:val="center"/>
              <w:rPr>
                <w:rFonts w:hint="eastAsia" w:ascii="宋体" w:hAnsi="宋体" w:eastAsia="宋体" w:cs="宋体"/>
                <w:b w:val="0"/>
                <w:bCs/>
                <w:color w:val="00000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74.90 </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3E1E996">
            <w:pPr>
              <w:keepNext w:val="0"/>
              <w:keepLines w:val="0"/>
              <w:widowControl/>
              <w:suppressLineNumbers w:val="0"/>
              <w:jc w:val="center"/>
              <w:textAlignment w:val="center"/>
              <w:rPr>
                <w:rFonts w:hint="eastAsia" w:ascii="宋体" w:hAnsi="宋体" w:eastAsia="宋体" w:cs="宋体"/>
                <w:b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99.87 </w:t>
            </w:r>
          </w:p>
        </w:tc>
      </w:tr>
      <w:tr w14:paraId="4E51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restart"/>
            <w:tcBorders>
              <w:top w:val="single" w:color="000000" w:sz="4" w:space="0"/>
              <w:left w:val="single" w:color="000000" w:sz="12" w:space="0"/>
              <w:right w:val="single" w:color="000000" w:sz="4" w:space="0"/>
            </w:tcBorders>
            <w:shd w:val="clear" w:color="auto" w:fill="FFFFFF"/>
            <w:noWrap w:val="0"/>
            <w:vAlign w:val="center"/>
          </w:tcPr>
          <w:p w14:paraId="6955D5A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昆明冶金研究院有限公司</w:t>
            </w:r>
          </w:p>
        </w:tc>
        <w:tc>
          <w:tcPr>
            <w:tcW w:w="1215" w:type="dxa"/>
            <w:vMerge w:val="restart"/>
            <w:tcBorders>
              <w:left w:val="single" w:color="000000" w:sz="4" w:space="0"/>
              <w:right w:val="single" w:color="000000" w:sz="4" w:space="0"/>
            </w:tcBorders>
            <w:shd w:val="clear" w:color="auto" w:fill="FFFFFF"/>
            <w:noWrap w:val="0"/>
            <w:vAlign w:val="center"/>
          </w:tcPr>
          <w:p w14:paraId="7FFE3C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r>
              <w:rPr>
                <w:rFonts w:hint="eastAsia" w:ascii="宋体" w:hAnsi="宋体" w:eastAsia="宋体" w:cs="宋体"/>
                <w:b w:val="0"/>
                <w:bCs/>
                <w:color w:val="000000"/>
                <w:sz w:val="18"/>
                <w:szCs w:val="18"/>
                <w:vertAlign w:val="baseline"/>
                <w:lang w:val="en-US" w:eastAsia="zh-CN"/>
              </w:rPr>
              <w:t>75.00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90CB82">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2D5BCD">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74.41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DFB07">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41</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85865E">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74.82</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5B645E11">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99.76</w:t>
            </w:r>
          </w:p>
        </w:tc>
      </w:tr>
      <w:tr w14:paraId="12F5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084DEA7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4844E6A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E4F5B">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0.1</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D980E">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55</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68713F">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40</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52BBBD">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74.95</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76502FD3">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99.93</w:t>
            </w:r>
          </w:p>
        </w:tc>
      </w:tr>
      <w:tr w14:paraId="5C3B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6CDE3C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7004D9D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DFBC7C">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0.2</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B06EA">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74.60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A4CA5">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39</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A799E">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74.99</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45CC44AB">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99.99</w:t>
            </w:r>
          </w:p>
        </w:tc>
      </w:tr>
      <w:tr w14:paraId="5B01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right w:val="single" w:color="000000" w:sz="4" w:space="0"/>
            </w:tcBorders>
            <w:shd w:val="clear" w:color="auto" w:fill="FFFFFF"/>
            <w:noWrap w:val="0"/>
            <w:vAlign w:val="center"/>
          </w:tcPr>
          <w:p w14:paraId="573756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right w:val="single" w:color="000000" w:sz="4" w:space="0"/>
            </w:tcBorders>
            <w:shd w:val="clear" w:color="auto" w:fill="FFFFFF"/>
            <w:noWrap w:val="0"/>
            <w:vAlign w:val="center"/>
          </w:tcPr>
          <w:p w14:paraId="36D8AB7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04C639">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0.5</w:t>
            </w:r>
          </w:p>
        </w:tc>
        <w:tc>
          <w:tcPr>
            <w:tcW w:w="13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155537">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w:t>
            </w:r>
            <w:r>
              <w:rPr>
                <w:rFonts w:hint="eastAsia" w:ascii="宋体" w:hAnsi="宋体" w:eastAsia="宋体" w:cs="宋体"/>
                <w:color w:val="000000"/>
                <w:kern w:val="0"/>
                <w:sz w:val="18"/>
                <w:szCs w:val="18"/>
                <w:lang w:val="en-US" w:eastAsia="zh-CN" w:bidi="ar"/>
              </w:rPr>
              <w:t>53</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8C514">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0.</w:t>
            </w:r>
            <w:r>
              <w:rPr>
                <w:rFonts w:hint="eastAsia" w:ascii="宋体" w:hAnsi="宋体" w:eastAsia="宋体" w:cs="宋体"/>
                <w:color w:val="000000"/>
                <w:kern w:val="0"/>
                <w:sz w:val="18"/>
                <w:szCs w:val="18"/>
                <w:lang w:val="en-US" w:eastAsia="zh-CN" w:bidi="ar"/>
              </w:rPr>
              <w:t>37</w:t>
            </w:r>
          </w:p>
        </w:tc>
        <w:tc>
          <w:tcPr>
            <w:tcW w:w="9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3A2FE">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val="en-US" w:eastAsia="zh-CN" w:bidi="ar"/>
              </w:rPr>
              <w:t>74.90</w:t>
            </w:r>
          </w:p>
        </w:tc>
        <w:tc>
          <w:tcPr>
            <w:tcW w:w="891" w:type="dxa"/>
            <w:tcBorders>
              <w:top w:val="single" w:color="000000" w:sz="4" w:space="0"/>
              <w:left w:val="single" w:color="000000" w:sz="4" w:space="0"/>
              <w:bottom w:val="single" w:color="000000" w:sz="4" w:space="0"/>
              <w:right w:val="single" w:color="000000" w:sz="12" w:space="0"/>
            </w:tcBorders>
            <w:shd w:val="clear" w:color="auto" w:fill="FFFFFF"/>
            <w:noWrap w:val="0"/>
            <w:vAlign w:val="center"/>
          </w:tcPr>
          <w:p w14:paraId="07E6A3A9">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99.87</w:t>
            </w:r>
          </w:p>
        </w:tc>
      </w:tr>
      <w:tr w14:paraId="425A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5" w:type="dxa"/>
            <w:vMerge w:val="continue"/>
            <w:tcBorders>
              <w:left w:val="single" w:color="000000" w:sz="12" w:space="0"/>
              <w:bottom w:val="single" w:color="000000" w:sz="12" w:space="0"/>
              <w:right w:val="single" w:color="000000" w:sz="4" w:space="0"/>
            </w:tcBorders>
            <w:shd w:val="clear" w:color="auto" w:fill="FFFFFF"/>
            <w:noWrap w:val="0"/>
            <w:vAlign w:val="center"/>
          </w:tcPr>
          <w:p w14:paraId="4F8CA1C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215" w:type="dxa"/>
            <w:vMerge w:val="continue"/>
            <w:tcBorders>
              <w:left w:val="single" w:color="000000" w:sz="4" w:space="0"/>
              <w:bottom w:val="single" w:color="000000" w:sz="12" w:space="0"/>
              <w:right w:val="single" w:color="000000" w:sz="4" w:space="0"/>
            </w:tcBorders>
            <w:shd w:val="clear" w:color="auto" w:fill="FFFFFF"/>
            <w:noWrap w:val="0"/>
            <w:vAlign w:val="center"/>
          </w:tcPr>
          <w:p w14:paraId="2029EC7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color w:val="000000"/>
                <w:sz w:val="18"/>
                <w:szCs w:val="18"/>
                <w:vertAlign w:val="baseline"/>
                <w:lang w:val="en-US" w:eastAsia="zh-CN"/>
              </w:rPr>
            </w:pPr>
          </w:p>
        </w:tc>
        <w:tc>
          <w:tcPr>
            <w:tcW w:w="135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533E01D5">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1</w:t>
            </w:r>
          </w:p>
        </w:tc>
        <w:tc>
          <w:tcPr>
            <w:tcW w:w="1365"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3D7820E7">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74.51</w:t>
            </w:r>
          </w:p>
        </w:tc>
        <w:tc>
          <w:tcPr>
            <w:tcW w:w="1095"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3B9E9F40">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 xml:space="preserve">0.35 </w:t>
            </w:r>
          </w:p>
        </w:tc>
        <w:tc>
          <w:tcPr>
            <w:tcW w:w="980" w:type="dxa"/>
            <w:tcBorders>
              <w:top w:val="single" w:color="000000" w:sz="4" w:space="0"/>
              <w:left w:val="single" w:color="000000" w:sz="4" w:space="0"/>
              <w:bottom w:val="single" w:color="000000" w:sz="12" w:space="0"/>
              <w:right w:val="single" w:color="000000" w:sz="4" w:space="0"/>
            </w:tcBorders>
            <w:shd w:val="clear" w:color="auto" w:fill="FFFFFF"/>
            <w:noWrap w:val="0"/>
            <w:vAlign w:val="center"/>
          </w:tcPr>
          <w:p w14:paraId="7F7A13B6">
            <w:pPr>
              <w:widowControl/>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color w:val="000000"/>
                <w:kern w:val="0"/>
                <w:sz w:val="18"/>
                <w:szCs w:val="18"/>
                <w:lang w:bidi="ar"/>
              </w:rPr>
              <w:t xml:space="preserve">74.86 </w:t>
            </w:r>
          </w:p>
        </w:tc>
        <w:tc>
          <w:tcPr>
            <w:tcW w:w="891" w:type="dxa"/>
            <w:tcBorders>
              <w:top w:val="single" w:color="000000" w:sz="4" w:space="0"/>
              <w:left w:val="single" w:color="000000" w:sz="4" w:space="0"/>
              <w:bottom w:val="single" w:color="000000" w:sz="12" w:space="0"/>
              <w:right w:val="single" w:color="000000" w:sz="12" w:space="0"/>
            </w:tcBorders>
            <w:shd w:val="clear" w:color="auto" w:fill="FFFFFF"/>
            <w:noWrap w:val="0"/>
            <w:vAlign w:val="center"/>
          </w:tcPr>
          <w:p w14:paraId="77852503">
            <w:pPr>
              <w:widowControl/>
              <w:jc w:val="center"/>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bidi="ar"/>
              </w:rPr>
              <w:t>99.81</w:t>
            </w:r>
          </w:p>
        </w:tc>
      </w:tr>
    </w:tbl>
    <w:p w14:paraId="7B7A4A7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szCs w:val="21"/>
          <w:lang w:val="en-US" w:eastAsia="zh-CN"/>
        </w:rPr>
      </w:pPr>
    </w:p>
    <w:p w14:paraId="4ECF22E1">
      <w:pPr>
        <w:keepNext w:val="0"/>
        <w:keepLines w:val="0"/>
        <w:pageBreakBefore w:val="0"/>
        <w:widowControl w:val="0"/>
        <w:kinsoku/>
        <w:wordWrap/>
        <w:overflowPunct/>
        <w:topLinePunct w:val="0"/>
        <w:autoSpaceDE/>
        <w:autoSpaceDN/>
        <w:bidi w:val="0"/>
        <w:adjustRightInd/>
        <w:snapToGrid/>
        <w:ind w:firstLine="420"/>
        <w:textAlignment w:val="auto"/>
        <w:rPr>
          <w:rFonts w:hint="eastAsia" w:ascii="宋体" w:hAnsi="宋体" w:eastAsia="宋体" w:cs="宋体"/>
          <w:lang w:eastAsia="zh-CN"/>
        </w:rPr>
      </w:pPr>
      <w:r>
        <w:rPr>
          <w:rFonts w:hint="eastAsia" w:ascii="宋体" w:hAnsi="宋体" w:eastAsia="宋体" w:cs="宋体"/>
          <w:bCs/>
          <w:color w:val="000000"/>
          <w:szCs w:val="21"/>
          <w:lang w:val="en-US" w:eastAsia="zh-CN"/>
        </w:rPr>
        <w:t>由表9试验结果可知，抗坏血酸加入量在0.1g及以上时，结果准确，在加入1g时，破坏溶液酸性体系，导致结果偏低，因此选择抗坏血酸加入量在0.1g~0.2g。验证单位与起草单位结论一致。</w:t>
      </w:r>
    </w:p>
    <w:p w14:paraId="06F04D41">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lang w:val="en-US" w:eastAsia="zh-CN"/>
        </w:rPr>
      </w:pPr>
      <w:r>
        <w:rPr>
          <w:rFonts w:hint="eastAsia" w:ascii="黑体" w:hAnsi="黑体" w:eastAsia="黑体" w:cs="黑体"/>
          <w:lang w:val="en-US" w:eastAsia="zh-CN"/>
        </w:rPr>
        <w:t>1.9  共存元素的影响试验</w:t>
      </w:r>
    </w:p>
    <w:p w14:paraId="704AAF5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szCs w:val="21"/>
          <w:vertAlign w:val="baseline"/>
          <w:lang w:val="en-US" w:eastAsia="zh-CN"/>
        </w:rPr>
      </w:pPr>
      <w:r>
        <w:rPr>
          <w:rFonts w:hint="eastAsia" w:ascii="宋体" w:hAnsi="宋体" w:eastAsia="宋体" w:cs="宋体"/>
          <w:bCs/>
          <w:color w:val="000000"/>
          <w:szCs w:val="21"/>
          <w:lang w:val="en-US" w:eastAsia="zh-CN"/>
        </w:rPr>
        <w:t>经查阅相关铜合金产品标准，在铅含量不小于5.0%的铜合金材料中的共存元素见表9，计算其</w:t>
      </w:r>
      <w:r>
        <w:rPr>
          <w:rFonts w:hint="eastAsia" w:ascii="宋体" w:hAnsi="宋体" w:eastAsia="宋体" w:cs="宋体"/>
          <w:bCs/>
          <w:color w:val="000000"/>
          <w:szCs w:val="21"/>
          <w:vertAlign w:val="baseline"/>
          <w:lang w:val="en-US" w:eastAsia="zh-CN"/>
        </w:rPr>
        <w:t>在试料中的可能最大含量。</w:t>
      </w:r>
      <w:r>
        <w:rPr>
          <w:rFonts w:hint="eastAsia" w:ascii="宋体" w:hAnsi="宋体" w:eastAsia="宋体" w:cs="宋体"/>
          <w:bCs/>
          <w:color w:val="000000"/>
          <w:szCs w:val="21"/>
          <w:lang w:val="en-US" w:eastAsia="zh-CN"/>
        </w:rPr>
        <w:t>准确移取75.00 mg铅置于400 mL烧杯中，按表9分别加入各元素</w:t>
      </w:r>
      <w:r>
        <w:rPr>
          <w:rFonts w:hint="eastAsia" w:ascii="宋体" w:hAnsi="宋体" w:eastAsia="宋体" w:cs="宋体"/>
          <w:bCs/>
          <w:color w:val="000000"/>
          <w:szCs w:val="21"/>
          <w:vertAlign w:val="baseline"/>
          <w:lang w:val="en-US" w:eastAsia="zh-CN"/>
        </w:rPr>
        <w:t>并按照本方法进行试验，测定结果见表10-1～10-6。</w:t>
      </w:r>
    </w:p>
    <w:p w14:paraId="10BA5B1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szCs w:val="21"/>
          <w:vertAlign w:val="baseline"/>
          <w:lang w:val="en-US" w:eastAsia="zh-CN"/>
        </w:rPr>
      </w:pPr>
    </w:p>
    <w:p w14:paraId="1F310709">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表10-1 各元素对铅测定的影响试验结果（中铝洛阳铜加工有限公司）</w:t>
      </w:r>
    </w:p>
    <w:tbl>
      <w:tblPr>
        <w:tblStyle w:val="13"/>
        <w:tblW w:w="8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2880"/>
        <w:gridCol w:w="1755"/>
        <w:gridCol w:w="1458"/>
      </w:tblGrid>
      <w:tr w14:paraId="1EA1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2299" w:type="dxa"/>
            <w:tcBorders>
              <w:top w:val="single" w:color="auto" w:sz="12" w:space="0"/>
              <w:left w:val="single" w:color="auto" w:sz="12" w:space="0"/>
              <w:bottom w:val="single" w:color="auto" w:sz="8" w:space="0"/>
              <w:right w:val="single" w:color="auto" w:sz="8" w:space="0"/>
            </w:tcBorders>
            <w:noWrap w:val="0"/>
            <w:vAlign w:val="center"/>
          </w:tcPr>
          <w:p w14:paraId="58140653">
            <w:pPr>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共存元素</w:t>
            </w:r>
          </w:p>
        </w:tc>
        <w:tc>
          <w:tcPr>
            <w:tcW w:w="2880" w:type="dxa"/>
            <w:tcBorders>
              <w:top w:val="single" w:color="auto" w:sz="12" w:space="0"/>
              <w:left w:val="single" w:color="auto" w:sz="8" w:space="0"/>
              <w:bottom w:val="single" w:color="auto" w:sz="8" w:space="0"/>
              <w:right w:val="single" w:color="auto" w:sz="8" w:space="0"/>
            </w:tcBorders>
            <w:noWrap w:val="0"/>
            <w:vAlign w:val="center"/>
          </w:tcPr>
          <w:p w14:paraId="2B937462">
            <w:pPr>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各元素加入量</w:t>
            </w:r>
            <w:r>
              <w:rPr>
                <w:rFonts w:hint="eastAsia" w:ascii="宋体" w:hAnsi="宋体" w:eastAsia="宋体" w:cs="宋体"/>
                <w:bCs/>
                <w:color w:val="000000"/>
                <w:sz w:val="21"/>
                <w:szCs w:val="21"/>
                <w:lang w:val="en-US" w:eastAsia="zh-CN"/>
              </w:rPr>
              <w:t>/</w:t>
            </w:r>
            <w:r>
              <w:rPr>
                <w:rFonts w:hint="eastAsia" w:ascii="宋体" w:hAnsi="宋体" w:eastAsia="宋体" w:cs="宋体"/>
                <w:bCs/>
                <w:color w:val="000000"/>
                <w:sz w:val="21"/>
                <w:szCs w:val="21"/>
              </w:rPr>
              <w:t>mg</w:t>
            </w:r>
          </w:p>
        </w:tc>
        <w:tc>
          <w:tcPr>
            <w:tcW w:w="1755" w:type="dxa"/>
            <w:tcBorders>
              <w:top w:val="single" w:color="auto" w:sz="12" w:space="0"/>
              <w:left w:val="single" w:color="auto" w:sz="8" w:space="0"/>
              <w:bottom w:val="single" w:color="auto" w:sz="8" w:space="0"/>
              <w:right w:val="single" w:color="auto" w:sz="8" w:space="0"/>
            </w:tcBorders>
            <w:noWrap w:val="0"/>
            <w:vAlign w:val="center"/>
          </w:tcPr>
          <w:p w14:paraId="4ED77A4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color w:val="000000"/>
                <w:szCs w:val="21"/>
                <w:vertAlign w:val="baseline"/>
                <w:lang w:val="en-US" w:eastAsia="zh-CN"/>
              </w:rPr>
            </w:pPr>
            <w:r>
              <w:rPr>
                <w:rFonts w:hint="eastAsia" w:ascii="宋体" w:hAnsi="宋体" w:eastAsia="宋体" w:cs="宋体"/>
                <w:bCs/>
                <w:color w:val="000000"/>
                <w:szCs w:val="21"/>
                <w:vertAlign w:val="baseline"/>
                <w:lang w:val="en-US" w:eastAsia="zh-CN"/>
              </w:rPr>
              <w:t>测得铅量/mg</w:t>
            </w:r>
          </w:p>
        </w:tc>
        <w:tc>
          <w:tcPr>
            <w:tcW w:w="1458" w:type="dxa"/>
            <w:tcBorders>
              <w:top w:val="single" w:color="auto" w:sz="12" w:space="0"/>
              <w:left w:val="single" w:color="auto" w:sz="8" w:space="0"/>
              <w:bottom w:val="single" w:color="auto" w:sz="8" w:space="0"/>
              <w:right w:val="single" w:color="auto" w:sz="12" w:space="0"/>
            </w:tcBorders>
            <w:noWrap w:val="0"/>
            <w:vAlign w:val="center"/>
          </w:tcPr>
          <w:p w14:paraId="0A2BF3D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回收率/%</w:t>
            </w:r>
          </w:p>
        </w:tc>
      </w:tr>
      <w:tr w14:paraId="0FE2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noWrap w:val="0"/>
            <w:vAlign w:val="top"/>
          </w:tcPr>
          <w:p w14:paraId="251995A5">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Cu</w:t>
            </w:r>
          </w:p>
        </w:tc>
        <w:tc>
          <w:tcPr>
            <w:tcW w:w="2880" w:type="dxa"/>
            <w:tcBorders>
              <w:top w:val="single" w:color="auto" w:sz="8" w:space="0"/>
              <w:left w:val="single" w:color="auto" w:sz="8" w:space="0"/>
              <w:bottom w:val="single" w:color="auto" w:sz="8" w:space="0"/>
              <w:right w:val="single" w:color="auto" w:sz="8" w:space="0"/>
            </w:tcBorders>
            <w:noWrap w:val="0"/>
            <w:vAlign w:val="top"/>
          </w:tcPr>
          <w:p w14:paraId="41A9FD1D">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450</w:t>
            </w:r>
          </w:p>
        </w:tc>
        <w:tc>
          <w:tcPr>
            <w:tcW w:w="1755" w:type="dxa"/>
            <w:tcBorders>
              <w:top w:val="single" w:color="auto" w:sz="8" w:space="0"/>
              <w:left w:val="single" w:color="auto" w:sz="8" w:space="0"/>
              <w:bottom w:val="single" w:color="auto" w:sz="8" w:space="0"/>
              <w:right w:val="single" w:color="auto" w:sz="8" w:space="0"/>
            </w:tcBorders>
            <w:noWrap w:val="0"/>
            <w:vAlign w:val="top"/>
          </w:tcPr>
          <w:p w14:paraId="228CC20B">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75.06</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7A89FBD8">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100.08</w:t>
            </w:r>
          </w:p>
        </w:tc>
      </w:tr>
      <w:tr w14:paraId="03C0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noWrap w:val="0"/>
            <w:vAlign w:val="top"/>
          </w:tcPr>
          <w:p w14:paraId="136DE1DF">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Zn</w:t>
            </w:r>
          </w:p>
        </w:tc>
        <w:tc>
          <w:tcPr>
            <w:tcW w:w="2880" w:type="dxa"/>
            <w:tcBorders>
              <w:top w:val="single" w:color="auto" w:sz="8" w:space="0"/>
              <w:left w:val="single" w:color="auto" w:sz="8" w:space="0"/>
              <w:bottom w:val="single" w:color="auto" w:sz="8" w:space="0"/>
              <w:right w:val="single" w:color="auto" w:sz="8" w:space="0"/>
            </w:tcBorders>
            <w:noWrap w:val="0"/>
            <w:vAlign w:val="top"/>
          </w:tcPr>
          <w:p w14:paraId="018B2A5C">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62.5</w:t>
            </w:r>
          </w:p>
        </w:tc>
        <w:tc>
          <w:tcPr>
            <w:tcW w:w="1755" w:type="dxa"/>
            <w:tcBorders>
              <w:top w:val="single" w:color="auto" w:sz="8" w:space="0"/>
              <w:left w:val="single" w:color="auto" w:sz="8" w:space="0"/>
              <w:bottom w:val="single" w:color="auto" w:sz="8" w:space="0"/>
              <w:right w:val="single" w:color="auto" w:sz="8" w:space="0"/>
            </w:tcBorders>
            <w:noWrap w:val="0"/>
            <w:vAlign w:val="top"/>
          </w:tcPr>
          <w:p w14:paraId="2E4E5061">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75.14</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54DB221E">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100.19</w:t>
            </w:r>
          </w:p>
        </w:tc>
      </w:tr>
      <w:tr w14:paraId="5F89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noWrap w:val="0"/>
            <w:vAlign w:val="top"/>
          </w:tcPr>
          <w:p w14:paraId="555E3A42">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Sn</w:t>
            </w:r>
          </w:p>
        </w:tc>
        <w:tc>
          <w:tcPr>
            <w:tcW w:w="2880" w:type="dxa"/>
            <w:tcBorders>
              <w:top w:val="single" w:color="auto" w:sz="8" w:space="0"/>
              <w:left w:val="single" w:color="auto" w:sz="8" w:space="0"/>
              <w:bottom w:val="single" w:color="auto" w:sz="8" w:space="0"/>
              <w:right w:val="single" w:color="auto" w:sz="8" w:space="0"/>
            </w:tcBorders>
            <w:noWrap w:val="0"/>
            <w:vAlign w:val="top"/>
          </w:tcPr>
          <w:p w14:paraId="048EB183">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55</w:t>
            </w:r>
          </w:p>
        </w:tc>
        <w:tc>
          <w:tcPr>
            <w:tcW w:w="1755" w:type="dxa"/>
            <w:tcBorders>
              <w:top w:val="single" w:color="auto" w:sz="8" w:space="0"/>
              <w:left w:val="single" w:color="auto" w:sz="8" w:space="0"/>
              <w:bottom w:val="single" w:color="auto" w:sz="8" w:space="0"/>
              <w:right w:val="single" w:color="auto" w:sz="8" w:space="0"/>
            </w:tcBorders>
            <w:noWrap w:val="0"/>
            <w:vAlign w:val="top"/>
          </w:tcPr>
          <w:p w14:paraId="01620F2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74.90</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68491DC8">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99.87</w:t>
            </w:r>
          </w:p>
        </w:tc>
      </w:tr>
      <w:tr w14:paraId="01A1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3A14E1A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Ni</w:t>
            </w:r>
          </w:p>
        </w:tc>
        <w:tc>
          <w:tcPr>
            <w:tcW w:w="2880"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3B38E4E5">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7.5</w:t>
            </w:r>
          </w:p>
        </w:tc>
        <w:tc>
          <w:tcPr>
            <w:tcW w:w="1755" w:type="dxa"/>
            <w:tcBorders>
              <w:top w:val="single" w:color="auto" w:sz="8" w:space="0"/>
              <w:left w:val="single" w:color="auto" w:sz="8" w:space="0"/>
              <w:bottom w:val="single" w:color="auto" w:sz="8" w:space="0"/>
              <w:right w:val="single" w:color="auto" w:sz="8" w:space="0"/>
            </w:tcBorders>
            <w:noWrap w:val="0"/>
            <w:vAlign w:val="top"/>
          </w:tcPr>
          <w:p w14:paraId="43B59F21">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75.05</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13476422">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100.07</w:t>
            </w:r>
          </w:p>
        </w:tc>
      </w:tr>
      <w:tr w14:paraId="2F353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5909E89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Sb</w:t>
            </w:r>
          </w:p>
        </w:tc>
        <w:tc>
          <w:tcPr>
            <w:tcW w:w="2880"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60D60AA9">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2.5</w:t>
            </w:r>
          </w:p>
        </w:tc>
        <w:tc>
          <w:tcPr>
            <w:tcW w:w="1755" w:type="dxa"/>
            <w:tcBorders>
              <w:top w:val="single" w:color="auto" w:sz="8" w:space="0"/>
              <w:left w:val="single" w:color="auto" w:sz="8" w:space="0"/>
              <w:bottom w:val="single" w:color="auto" w:sz="8" w:space="0"/>
              <w:right w:val="single" w:color="auto" w:sz="8" w:space="0"/>
            </w:tcBorders>
            <w:noWrap w:val="0"/>
            <w:vAlign w:val="top"/>
          </w:tcPr>
          <w:p w14:paraId="373DA15B">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75.06</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2B58FE2F">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100.08</w:t>
            </w:r>
          </w:p>
        </w:tc>
      </w:tr>
      <w:tr w14:paraId="4E69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6297B31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Fe</w:t>
            </w:r>
          </w:p>
        </w:tc>
        <w:tc>
          <w:tcPr>
            <w:tcW w:w="2880"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0CD7C591">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2</w:t>
            </w:r>
            <w:r>
              <w:rPr>
                <w:rFonts w:hint="eastAsia" w:ascii="宋体" w:hAnsi="宋体" w:cs="宋体"/>
                <w:bCs/>
                <w:color w:val="000000"/>
                <w:sz w:val="18"/>
                <w:szCs w:val="18"/>
                <w:lang w:val="en-US" w:eastAsia="zh-CN"/>
              </w:rPr>
              <w:t>.0</w:t>
            </w:r>
          </w:p>
        </w:tc>
        <w:tc>
          <w:tcPr>
            <w:tcW w:w="1755" w:type="dxa"/>
            <w:tcBorders>
              <w:top w:val="single" w:color="auto" w:sz="8" w:space="0"/>
              <w:left w:val="single" w:color="auto" w:sz="8" w:space="0"/>
              <w:bottom w:val="single" w:color="auto" w:sz="8" w:space="0"/>
              <w:right w:val="single" w:color="auto" w:sz="8" w:space="0"/>
            </w:tcBorders>
            <w:noWrap w:val="0"/>
            <w:vAlign w:val="top"/>
          </w:tcPr>
          <w:p w14:paraId="3E59E56F">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75.04</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3B46DEAF">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100.05</w:t>
            </w:r>
          </w:p>
        </w:tc>
      </w:tr>
      <w:tr w14:paraId="1927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57AC8DF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Mn</w:t>
            </w:r>
          </w:p>
        </w:tc>
        <w:tc>
          <w:tcPr>
            <w:tcW w:w="2880"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25A02579">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1</w:t>
            </w:r>
            <w:r>
              <w:rPr>
                <w:rFonts w:hint="eastAsia" w:ascii="宋体" w:hAnsi="宋体" w:cs="宋体"/>
                <w:bCs/>
                <w:color w:val="000000"/>
                <w:sz w:val="18"/>
                <w:szCs w:val="18"/>
                <w:vertAlign w:val="baseline"/>
                <w:lang w:val="en-US" w:eastAsia="zh-CN"/>
              </w:rPr>
              <w:t>.0</w:t>
            </w:r>
          </w:p>
        </w:tc>
        <w:tc>
          <w:tcPr>
            <w:tcW w:w="1755" w:type="dxa"/>
            <w:tcBorders>
              <w:top w:val="single" w:color="auto" w:sz="8" w:space="0"/>
              <w:left w:val="single" w:color="auto" w:sz="8" w:space="0"/>
              <w:bottom w:val="single" w:color="auto" w:sz="8" w:space="0"/>
              <w:right w:val="single" w:color="auto" w:sz="8" w:space="0"/>
            </w:tcBorders>
            <w:noWrap w:val="0"/>
            <w:vAlign w:val="top"/>
          </w:tcPr>
          <w:p w14:paraId="1095CE34">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75.02</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45B6DB33">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100.03</w:t>
            </w:r>
          </w:p>
        </w:tc>
      </w:tr>
      <w:tr w14:paraId="74A2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0ED2841C">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S</w:t>
            </w:r>
          </w:p>
        </w:tc>
        <w:tc>
          <w:tcPr>
            <w:tcW w:w="2880"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3A7AB298">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0.5</w:t>
            </w:r>
          </w:p>
        </w:tc>
        <w:tc>
          <w:tcPr>
            <w:tcW w:w="1755" w:type="dxa"/>
            <w:tcBorders>
              <w:top w:val="single" w:color="auto" w:sz="8" w:space="0"/>
              <w:left w:val="single" w:color="auto" w:sz="8" w:space="0"/>
              <w:bottom w:val="single" w:color="auto" w:sz="8" w:space="0"/>
              <w:right w:val="single" w:color="auto" w:sz="8" w:space="0"/>
            </w:tcBorders>
            <w:noWrap w:val="0"/>
            <w:vAlign w:val="center"/>
          </w:tcPr>
          <w:p w14:paraId="42F34DD3">
            <w:pPr>
              <w:keepNext w:val="0"/>
              <w:keepLines w:val="0"/>
              <w:widowControl/>
              <w:suppressLineNumbers w:val="0"/>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75.08 </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377BE82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kern w:val="2"/>
                <w:sz w:val="18"/>
                <w:szCs w:val="18"/>
                <w:lang w:val="en-US" w:eastAsia="zh-CN" w:bidi="ar-SA"/>
              </w:rPr>
              <w:t>100.11</w:t>
            </w:r>
          </w:p>
        </w:tc>
      </w:tr>
      <w:tr w14:paraId="4F98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5237956A">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P</w:t>
            </w:r>
          </w:p>
        </w:tc>
        <w:tc>
          <w:tcPr>
            <w:tcW w:w="2880"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6F9E0CB6">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0.3</w:t>
            </w:r>
          </w:p>
        </w:tc>
        <w:tc>
          <w:tcPr>
            <w:tcW w:w="1755" w:type="dxa"/>
            <w:tcBorders>
              <w:top w:val="single" w:color="auto" w:sz="8" w:space="0"/>
              <w:left w:val="single" w:color="auto" w:sz="8" w:space="0"/>
              <w:bottom w:val="single" w:color="auto" w:sz="8" w:space="0"/>
              <w:right w:val="single" w:color="auto" w:sz="8" w:space="0"/>
            </w:tcBorders>
            <w:noWrap w:val="0"/>
            <w:vAlign w:val="center"/>
          </w:tcPr>
          <w:p w14:paraId="3303FCDA">
            <w:pPr>
              <w:keepNext w:val="0"/>
              <w:keepLines w:val="0"/>
              <w:widowControl/>
              <w:suppressLineNumbers w:val="0"/>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75.08 </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5CF508ED">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100.11</w:t>
            </w:r>
          </w:p>
        </w:tc>
      </w:tr>
      <w:tr w14:paraId="1B50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4078A4F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As</w:t>
            </w:r>
          </w:p>
        </w:tc>
        <w:tc>
          <w:tcPr>
            <w:tcW w:w="2880"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28F1C3CE">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0.3</w:t>
            </w:r>
          </w:p>
        </w:tc>
        <w:tc>
          <w:tcPr>
            <w:tcW w:w="1755" w:type="dxa"/>
            <w:tcBorders>
              <w:top w:val="single" w:color="auto" w:sz="8" w:space="0"/>
              <w:left w:val="single" w:color="auto" w:sz="8" w:space="0"/>
              <w:bottom w:val="single" w:color="auto" w:sz="8" w:space="0"/>
              <w:right w:val="single" w:color="auto" w:sz="8" w:space="0"/>
            </w:tcBorders>
            <w:noWrap w:val="0"/>
            <w:vAlign w:val="center"/>
          </w:tcPr>
          <w:p w14:paraId="5B0D8D1A">
            <w:pPr>
              <w:keepNext w:val="0"/>
              <w:keepLines w:val="0"/>
              <w:widowControl/>
              <w:suppressLineNumbers w:val="0"/>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75.08 </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568F8DA1">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100.11</w:t>
            </w:r>
          </w:p>
        </w:tc>
      </w:tr>
      <w:tr w14:paraId="14A2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2299"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3152BE2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Al</w:t>
            </w:r>
          </w:p>
        </w:tc>
        <w:tc>
          <w:tcPr>
            <w:tcW w:w="2880"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5CBBEB67">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0.1</w:t>
            </w:r>
          </w:p>
        </w:tc>
        <w:tc>
          <w:tcPr>
            <w:tcW w:w="1755" w:type="dxa"/>
            <w:tcBorders>
              <w:top w:val="single" w:color="auto" w:sz="8" w:space="0"/>
              <w:left w:val="single" w:color="auto" w:sz="8" w:space="0"/>
              <w:bottom w:val="single" w:color="auto" w:sz="8" w:space="0"/>
              <w:right w:val="single" w:color="auto" w:sz="8" w:space="0"/>
            </w:tcBorders>
            <w:noWrap w:val="0"/>
            <w:vAlign w:val="top"/>
          </w:tcPr>
          <w:p w14:paraId="56759530">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75.03</w:t>
            </w:r>
          </w:p>
        </w:tc>
        <w:tc>
          <w:tcPr>
            <w:tcW w:w="1458" w:type="dxa"/>
            <w:tcBorders>
              <w:top w:val="single" w:color="auto" w:sz="8" w:space="0"/>
              <w:left w:val="single" w:color="auto" w:sz="8" w:space="0"/>
              <w:bottom w:val="single" w:color="auto" w:sz="8" w:space="0"/>
              <w:right w:val="single" w:color="auto" w:sz="12" w:space="0"/>
            </w:tcBorders>
            <w:noWrap w:val="0"/>
            <w:vAlign w:val="top"/>
          </w:tcPr>
          <w:p w14:paraId="0948F498">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100.04</w:t>
            </w:r>
          </w:p>
        </w:tc>
      </w:tr>
      <w:tr w14:paraId="1F28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99" w:type="dxa"/>
            <w:tcBorders>
              <w:top w:val="single" w:color="auto" w:sz="8" w:space="0"/>
              <w:left w:val="single" w:color="auto" w:sz="12" w:space="0"/>
              <w:bottom w:val="single" w:color="auto" w:sz="12" w:space="0"/>
              <w:right w:val="single" w:color="auto" w:sz="8" w:space="0"/>
            </w:tcBorders>
            <w:noWrap w:val="0"/>
            <w:vAlign w:val="center"/>
          </w:tcPr>
          <w:p w14:paraId="226CB723">
            <w:pPr>
              <w:jc w:val="center"/>
              <w:rPr>
                <w:rFonts w:hint="eastAsia" w:ascii="宋体" w:hAnsi="宋体" w:eastAsia="宋体" w:cs="宋体"/>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混合元素</w:t>
            </w:r>
          </w:p>
        </w:tc>
        <w:tc>
          <w:tcPr>
            <w:tcW w:w="2880" w:type="dxa"/>
            <w:tcBorders>
              <w:top w:val="single" w:color="auto" w:sz="8" w:space="0"/>
              <w:left w:val="single" w:color="auto" w:sz="8" w:space="0"/>
              <w:bottom w:val="single" w:color="auto" w:sz="12" w:space="0"/>
              <w:right w:val="single" w:color="auto" w:sz="8" w:space="0"/>
            </w:tcBorders>
            <w:noWrap w:val="0"/>
            <w:vAlign w:val="top"/>
          </w:tcPr>
          <w:p w14:paraId="12114AF4">
            <w:pPr>
              <w:jc w:val="center"/>
              <w:rPr>
                <w:rFonts w:hint="eastAsia" w:ascii="宋体" w:hAnsi="宋体" w:eastAsia="宋体" w:cs="宋体"/>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Cu：450、Zn：62.5、Sn：55、Ni：7.5、Sb：2.5、Fe：2、Mn：1、S：0.5、P：0.3、As：0.3、Al：0.1</w:t>
            </w:r>
          </w:p>
        </w:tc>
        <w:tc>
          <w:tcPr>
            <w:tcW w:w="1755" w:type="dxa"/>
            <w:tcBorders>
              <w:top w:val="single" w:color="auto" w:sz="8" w:space="0"/>
              <w:left w:val="single" w:color="auto" w:sz="8" w:space="0"/>
              <w:bottom w:val="single" w:color="auto" w:sz="12" w:space="0"/>
              <w:right w:val="single" w:color="auto" w:sz="8" w:space="0"/>
            </w:tcBorders>
            <w:noWrap w:val="0"/>
            <w:vAlign w:val="center"/>
          </w:tcPr>
          <w:p w14:paraId="52B262AE">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75.02</w:t>
            </w:r>
          </w:p>
        </w:tc>
        <w:tc>
          <w:tcPr>
            <w:tcW w:w="1458" w:type="dxa"/>
            <w:tcBorders>
              <w:top w:val="single" w:color="auto" w:sz="8" w:space="0"/>
              <w:left w:val="single" w:color="auto" w:sz="8" w:space="0"/>
              <w:bottom w:val="single" w:color="auto" w:sz="12" w:space="0"/>
              <w:right w:val="single" w:color="auto" w:sz="12" w:space="0"/>
            </w:tcBorders>
            <w:noWrap w:val="0"/>
            <w:vAlign w:val="center"/>
          </w:tcPr>
          <w:p w14:paraId="7CDBD9C7">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100.03</w:t>
            </w:r>
          </w:p>
        </w:tc>
      </w:tr>
    </w:tbl>
    <w:p w14:paraId="093321BE">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p>
    <w:p w14:paraId="57FE9B84">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表10-2 各元素对铅测定的影响试验结果（厦门双瑞材料研究院有限公司）</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2929"/>
        <w:gridCol w:w="2014"/>
        <w:gridCol w:w="2156"/>
      </w:tblGrid>
      <w:tr w14:paraId="39A7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54" w:type="pct"/>
            <w:tcBorders>
              <w:top w:val="single" w:color="auto" w:sz="12" w:space="0"/>
              <w:left w:val="single" w:color="auto" w:sz="12" w:space="0"/>
              <w:bottom w:val="single" w:color="auto" w:sz="8" w:space="0"/>
              <w:right w:val="single" w:color="auto" w:sz="8" w:space="0"/>
            </w:tcBorders>
            <w:vAlign w:val="center"/>
          </w:tcPr>
          <w:p w14:paraId="5A1629EA">
            <w:pPr>
              <w:jc w:val="center"/>
              <w:rPr>
                <w:rFonts w:ascii="Times New Roman" w:hAnsi="Times New Roman" w:cs="Times New Roman"/>
                <w:bCs/>
                <w:color w:val="000000"/>
                <w:szCs w:val="21"/>
              </w:rPr>
            </w:pPr>
            <w:r>
              <w:rPr>
                <w:rFonts w:ascii="Times New Roman" w:hAnsi="Times New Roman" w:eastAsia="宋体" w:cs="Times New Roman"/>
                <w:bCs/>
                <w:color w:val="000000"/>
                <w:szCs w:val="21"/>
              </w:rPr>
              <w:t>共存元素</w:t>
            </w:r>
          </w:p>
        </w:tc>
        <w:tc>
          <w:tcPr>
            <w:tcW w:w="1710" w:type="pct"/>
            <w:tcBorders>
              <w:top w:val="single" w:color="auto" w:sz="12" w:space="0"/>
              <w:left w:val="single" w:color="auto" w:sz="8" w:space="0"/>
              <w:bottom w:val="single" w:color="auto" w:sz="8" w:space="0"/>
              <w:right w:val="single" w:color="auto" w:sz="8" w:space="0"/>
            </w:tcBorders>
            <w:vAlign w:val="center"/>
          </w:tcPr>
          <w:p w14:paraId="32E190D9">
            <w:pPr>
              <w:jc w:val="center"/>
              <w:rPr>
                <w:rFonts w:ascii="Times New Roman" w:hAnsi="Times New Roman" w:cs="Times New Roman"/>
                <w:bCs/>
                <w:color w:val="000000"/>
                <w:szCs w:val="21"/>
              </w:rPr>
            </w:pPr>
            <w:r>
              <w:rPr>
                <w:rFonts w:ascii="Times New Roman" w:hAnsi="Times New Roman" w:eastAsia="宋体" w:cs="Times New Roman"/>
                <w:bCs/>
                <w:color w:val="000000"/>
                <w:szCs w:val="21"/>
              </w:rPr>
              <w:t>各元素加入量/mg</w:t>
            </w:r>
          </w:p>
        </w:tc>
        <w:tc>
          <w:tcPr>
            <w:tcW w:w="1176" w:type="pct"/>
            <w:tcBorders>
              <w:top w:val="single" w:color="auto" w:sz="12" w:space="0"/>
              <w:left w:val="single" w:color="auto" w:sz="8" w:space="0"/>
              <w:bottom w:val="single" w:color="auto" w:sz="8" w:space="0"/>
              <w:right w:val="single" w:color="auto" w:sz="8" w:space="0"/>
            </w:tcBorders>
            <w:vAlign w:val="center"/>
          </w:tcPr>
          <w:p w14:paraId="557F7947">
            <w:pPr>
              <w:jc w:val="center"/>
              <w:rPr>
                <w:rFonts w:ascii="Times New Roman" w:hAnsi="Times New Roman" w:cs="Times New Roman"/>
                <w:bCs/>
                <w:color w:val="000000"/>
                <w:szCs w:val="21"/>
              </w:rPr>
            </w:pPr>
            <w:r>
              <w:rPr>
                <w:rFonts w:ascii="Times New Roman" w:hAnsi="Times New Roman" w:eastAsia="宋体" w:cs="Times New Roman"/>
                <w:bCs/>
                <w:color w:val="000000"/>
                <w:szCs w:val="21"/>
              </w:rPr>
              <w:t>测得铅量/mg</w:t>
            </w:r>
          </w:p>
        </w:tc>
        <w:tc>
          <w:tcPr>
            <w:tcW w:w="1259" w:type="pct"/>
            <w:tcBorders>
              <w:top w:val="single" w:color="auto" w:sz="12" w:space="0"/>
              <w:left w:val="single" w:color="auto" w:sz="8" w:space="0"/>
              <w:bottom w:val="single" w:color="auto" w:sz="8" w:space="0"/>
              <w:right w:val="single" w:color="auto" w:sz="12" w:space="0"/>
            </w:tcBorders>
            <w:vAlign w:val="center"/>
          </w:tcPr>
          <w:p w14:paraId="4D692770">
            <w:pPr>
              <w:jc w:val="center"/>
              <w:rPr>
                <w:rFonts w:ascii="Times New Roman" w:hAnsi="Times New Roman" w:cs="Times New Roman"/>
                <w:bCs/>
                <w:color w:val="000000"/>
                <w:szCs w:val="21"/>
              </w:rPr>
            </w:pPr>
            <w:r>
              <w:rPr>
                <w:rFonts w:ascii="Times New Roman" w:hAnsi="Times New Roman" w:eastAsia="宋体" w:cs="Times New Roman"/>
                <w:bCs/>
                <w:color w:val="000000"/>
                <w:szCs w:val="21"/>
              </w:rPr>
              <w:t>回收率/%</w:t>
            </w:r>
          </w:p>
        </w:tc>
      </w:tr>
      <w:tr w14:paraId="41E9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tcPr>
          <w:p w14:paraId="3C7DF5C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Cu</w:t>
            </w:r>
          </w:p>
        </w:tc>
        <w:tc>
          <w:tcPr>
            <w:tcW w:w="1710" w:type="pct"/>
            <w:tcBorders>
              <w:top w:val="single" w:color="auto" w:sz="8" w:space="0"/>
              <w:left w:val="single" w:color="auto" w:sz="8" w:space="0"/>
              <w:bottom w:val="single" w:color="auto" w:sz="8" w:space="0"/>
              <w:right w:val="single" w:color="auto" w:sz="8" w:space="0"/>
            </w:tcBorders>
          </w:tcPr>
          <w:p w14:paraId="72236574">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450</w:t>
            </w:r>
          </w:p>
        </w:tc>
        <w:tc>
          <w:tcPr>
            <w:tcW w:w="1176" w:type="pct"/>
            <w:tcBorders>
              <w:top w:val="single" w:color="auto" w:sz="8" w:space="0"/>
              <w:left w:val="single" w:color="auto" w:sz="8" w:space="0"/>
              <w:bottom w:val="single" w:color="auto" w:sz="8" w:space="0"/>
              <w:right w:val="single" w:color="auto" w:sz="8" w:space="0"/>
            </w:tcBorders>
          </w:tcPr>
          <w:p w14:paraId="5CD8929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75.12</w:t>
            </w:r>
          </w:p>
        </w:tc>
        <w:tc>
          <w:tcPr>
            <w:tcW w:w="1259" w:type="pct"/>
            <w:tcBorders>
              <w:top w:val="single" w:color="auto" w:sz="8" w:space="0"/>
              <w:left w:val="single" w:color="auto" w:sz="8" w:space="0"/>
              <w:bottom w:val="single" w:color="auto" w:sz="8" w:space="0"/>
              <w:right w:val="single" w:color="auto" w:sz="12" w:space="0"/>
            </w:tcBorders>
            <w:vAlign w:val="center"/>
          </w:tcPr>
          <w:p w14:paraId="65C169E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100.16</w:t>
            </w:r>
          </w:p>
        </w:tc>
      </w:tr>
      <w:tr w14:paraId="1B10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tcPr>
          <w:p w14:paraId="7CE438A1">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Zn</w:t>
            </w:r>
          </w:p>
        </w:tc>
        <w:tc>
          <w:tcPr>
            <w:tcW w:w="1710" w:type="pct"/>
            <w:tcBorders>
              <w:top w:val="single" w:color="auto" w:sz="8" w:space="0"/>
              <w:left w:val="single" w:color="auto" w:sz="8" w:space="0"/>
              <w:bottom w:val="single" w:color="auto" w:sz="8" w:space="0"/>
              <w:right w:val="single" w:color="auto" w:sz="8" w:space="0"/>
            </w:tcBorders>
          </w:tcPr>
          <w:p w14:paraId="7A190C19">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62.5</w:t>
            </w:r>
          </w:p>
        </w:tc>
        <w:tc>
          <w:tcPr>
            <w:tcW w:w="1176" w:type="pct"/>
            <w:tcBorders>
              <w:top w:val="single" w:color="auto" w:sz="8" w:space="0"/>
              <w:left w:val="single" w:color="auto" w:sz="8" w:space="0"/>
              <w:bottom w:val="single" w:color="auto" w:sz="8" w:space="0"/>
              <w:right w:val="single" w:color="auto" w:sz="8" w:space="0"/>
            </w:tcBorders>
          </w:tcPr>
          <w:p w14:paraId="117FC43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75.11</w:t>
            </w:r>
          </w:p>
        </w:tc>
        <w:tc>
          <w:tcPr>
            <w:tcW w:w="1259" w:type="pct"/>
            <w:tcBorders>
              <w:top w:val="single" w:color="auto" w:sz="8" w:space="0"/>
              <w:left w:val="single" w:color="auto" w:sz="8" w:space="0"/>
              <w:bottom w:val="single" w:color="auto" w:sz="8" w:space="0"/>
              <w:right w:val="single" w:color="auto" w:sz="12" w:space="0"/>
            </w:tcBorders>
            <w:vAlign w:val="center"/>
          </w:tcPr>
          <w:p w14:paraId="2BD4A62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100.15</w:t>
            </w:r>
          </w:p>
        </w:tc>
      </w:tr>
      <w:tr w14:paraId="0719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tcPr>
          <w:p w14:paraId="5593B736">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Sn</w:t>
            </w:r>
          </w:p>
        </w:tc>
        <w:tc>
          <w:tcPr>
            <w:tcW w:w="1710" w:type="pct"/>
            <w:tcBorders>
              <w:top w:val="single" w:color="auto" w:sz="8" w:space="0"/>
              <w:left w:val="single" w:color="auto" w:sz="8" w:space="0"/>
              <w:bottom w:val="single" w:color="auto" w:sz="8" w:space="0"/>
              <w:right w:val="single" w:color="auto" w:sz="8" w:space="0"/>
            </w:tcBorders>
          </w:tcPr>
          <w:p w14:paraId="74638D3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55</w:t>
            </w:r>
          </w:p>
        </w:tc>
        <w:tc>
          <w:tcPr>
            <w:tcW w:w="1176" w:type="pct"/>
            <w:tcBorders>
              <w:top w:val="single" w:color="auto" w:sz="8" w:space="0"/>
              <w:left w:val="single" w:color="auto" w:sz="8" w:space="0"/>
              <w:bottom w:val="single" w:color="auto" w:sz="8" w:space="0"/>
              <w:right w:val="single" w:color="auto" w:sz="8" w:space="0"/>
            </w:tcBorders>
          </w:tcPr>
          <w:p w14:paraId="281FED4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74.92</w:t>
            </w:r>
          </w:p>
        </w:tc>
        <w:tc>
          <w:tcPr>
            <w:tcW w:w="1259" w:type="pct"/>
            <w:tcBorders>
              <w:top w:val="single" w:color="auto" w:sz="8" w:space="0"/>
              <w:left w:val="single" w:color="auto" w:sz="8" w:space="0"/>
              <w:bottom w:val="single" w:color="auto" w:sz="8" w:space="0"/>
              <w:right w:val="single" w:color="auto" w:sz="12" w:space="0"/>
            </w:tcBorders>
            <w:vAlign w:val="center"/>
          </w:tcPr>
          <w:p w14:paraId="307A8CF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99.89</w:t>
            </w:r>
          </w:p>
        </w:tc>
      </w:tr>
      <w:tr w14:paraId="7F1A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shd w:val="clear" w:color="auto" w:fill="auto"/>
          </w:tcPr>
          <w:p w14:paraId="1129E5AE">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Ni</w:t>
            </w:r>
          </w:p>
        </w:tc>
        <w:tc>
          <w:tcPr>
            <w:tcW w:w="1710" w:type="pct"/>
            <w:tcBorders>
              <w:top w:val="single" w:color="auto" w:sz="8" w:space="0"/>
              <w:left w:val="single" w:color="auto" w:sz="8" w:space="0"/>
              <w:bottom w:val="single" w:color="auto" w:sz="8" w:space="0"/>
              <w:right w:val="single" w:color="auto" w:sz="8" w:space="0"/>
            </w:tcBorders>
            <w:shd w:val="clear" w:color="auto" w:fill="auto"/>
          </w:tcPr>
          <w:p w14:paraId="3E9EC299">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7.5</w:t>
            </w:r>
          </w:p>
        </w:tc>
        <w:tc>
          <w:tcPr>
            <w:tcW w:w="1176" w:type="pct"/>
            <w:tcBorders>
              <w:top w:val="single" w:color="auto" w:sz="8" w:space="0"/>
              <w:left w:val="single" w:color="auto" w:sz="8" w:space="0"/>
              <w:bottom w:val="single" w:color="auto" w:sz="8" w:space="0"/>
              <w:right w:val="single" w:color="auto" w:sz="8" w:space="0"/>
            </w:tcBorders>
          </w:tcPr>
          <w:p w14:paraId="52737AD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75.02</w:t>
            </w:r>
          </w:p>
        </w:tc>
        <w:tc>
          <w:tcPr>
            <w:tcW w:w="1259" w:type="pct"/>
            <w:tcBorders>
              <w:top w:val="single" w:color="auto" w:sz="8" w:space="0"/>
              <w:left w:val="single" w:color="auto" w:sz="8" w:space="0"/>
              <w:bottom w:val="single" w:color="auto" w:sz="8" w:space="0"/>
              <w:right w:val="single" w:color="auto" w:sz="12" w:space="0"/>
            </w:tcBorders>
            <w:vAlign w:val="center"/>
          </w:tcPr>
          <w:p w14:paraId="5B5E24B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100.03</w:t>
            </w:r>
          </w:p>
        </w:tc>
      </w:tr>
      <w:tr w14:paraId="551B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shd w:val="clear" w:color="auto" w:fill="auto"/>
          </w:tcPr>
          <w:p w14:paraId="18FFD981">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Sb</w:t>
            </w:r>
          </w:p>
        </w:tc>
        <w:tc>
          <w:tcPr>
            <w:tcW w:w="1710" w:type="pct"/>
            <w:tcBorders>
              <w:top w:val="single" w:color="auto" w:sz="8" w:space="0"/>
              <w:left w:val="single" w:color="auto" w:sz="8" w:space="0"/>
              <w:bottom w:val="single" w:color="auto" w:sz="8" w:space="0"/>
              <w:right w:val="single" w:color="auto" w:sz="8" w:space="0"/>
            </w:tcBorders>
            <w:shd w:val="clear" w:color="auto" w:fill="auto"/>
          </w:tcPr>
          <w:p w14:paraId="3D79FA0E">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2.5</w:t>
            </w:r>
          </w:p>
        </w:tc>
        <w:tc>
          <w:tcPr>
            <w:tcW w:w="1176" w:type="pct"/>
            <w:tcBorders>
              <w:top w:val="single" w:color="auto" w:sz="8" w:space="0"/>
              <w:left w:val="single" w:color="auto" w:sz="8" w:space="0"/>
              <w:bottom w:val="single" w:color="auto" w:sz="8" w:space="0"/>
              <w:right w:val="single" w:color="auto" w:sz="8" w:space="0"/>
            </w:tcBorders>
          </w:tcPr>
          <w:p w14:paraId="12BD133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74.94</w:t>
            </w:r>
          </w:p>
        </w:tc>
        <w:tc>
          <w:tcPr>
            <w:tcW w:w="1259" w:type="pct"/>
            <w:tcBorders>
              <w:top w:val="single" w:color="auto" w:sz="8" w:space="0"/>
              <w:left w:val="single" w:color="auto" w:sz="8" w:space="0"/>
              <w:bottom w:val="single" w:color="auto" w:sz="8" w:space="0"/>
              <w:right w:val="single" w:color="auto" w:sz="12" w:space="0"/>
            </w:tcBorders>
            <w:vAlign w:val="center"/>
          </w:tcPr>
          <w:p w14:paraId="341F09E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99.92</w:t>
            </w:r>
          </w:p>
        </w:tc>
      </w:tr>
      <w:tr w14:paraId="34B8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shd w:val="clear" w:color="auto" w:fill="auto"/>
          </w:tcPr>
          <w:p w14:paraId="0B1FBA49">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Fe</w:t>
            </w:r>
          </w:p>
        </w:tc>
        <w:tc>
          <w:tcPr>
            <w:tcW w:w="1710" w:type="pct"/>
            <w:tcBorders>
              <w:top w:val="single" w:color="auto" w:sz="8" w:space="0"/>
              <w:left w:val="single" w:color="auto" w:sz="8" w:space="0"/>
              <w:bottom w:val="single" w:color="auto" w:sz="8" w:space="0"/>
              <w:right w:val="single" w:color="auto" w:sz="8" w:space="0"/>
            </w:tcBorders>
            <w:shd w:val="clear" w:color="auto" w:fill="auto"/>
          </w:tcPr>
          <w:p w14:paraId="723C8BE4">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2.0</w:t>
            </w:r>
          </w:p>
        </w:tc>
        <w:tc>
          <w:tcPr>
            <w:tcW w:w="1176" w:type="pct"/>
            <w:tcBorders>
              <w:top w:val="single" w:color="auto" w:sz="8" w:space="0"/>
              <w:left w:val="single" w:color="auto" w:sz="8" w:space="0"/>
              <w:bottom w:val="single" w:color="auto" w:sz="8" w:space="0"/>
              <w:right w:val="single" w:color="auto" w:sz="8" w:space="0"/>
            </w:tcBorders>
          </w:tcPr>
          <w:p w14:paraId="684B63D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75.02</w:t>
            </w:r>
          </w:p>
        </w:tc>
        <w:tc>
          <w:tcPr>
            <w:tcW w:w="1259" w:type="pct"/>
            <w:tcBorders>
              <w:top w:val="single" w:color="auto" w:sz="8" w:space="0"/>
              <w:left w:val="single" w:color="auto" w:sz="8" w:space="0"/>
              <w:bottom w:val="single" w:color="auto" w:sz="8" w:space="0"/>
              <w:right w:val="single" w:color="auto" w:sz="12" w:space="0"/>
            </w:tcBorders>
            <w:vAlign w:val="center"/>
          </w:tcPr>
          <w:p w14:paraId="4BF8A40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100.03</w:t>
            </w:r>
          </w:p>
        </w:tc>
      </w:tr>
      <w:tr w14:paraId="0063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shd w:val="clear" w:color="auto" w:fill="auto"/>
          </w:tcPr>
          <w:p w14:paraId="69231F44">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Mn</w:t>
            </w:r>
          </w:p>
        </w:tc>
        <w:tc>
          <w:tcPr>
            <w:tcW w:w="1710" w:type="pct"/>
            <w:tcBorders>
              <w:top w:val="single" w:color="auto" w:sz="8" w:space="0"/>
              <w:left w:val="single" w:color="auto" w:sz="8" w:space="0"/>
              <w:bottom w:val="single" w:color="auto" w:sz="8" w:space="0"/>
              <w:right w:val="single" w:color="auto" w:sz="8" w:space="0"/>
            </w:tcBorders>
            <w:shd w:val="clear" w:color="auto" w:fill="auto"/>
          </w:tcPr>
          <w:p w14:paraId="0BFFF7E7">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1.0</w:t>
            </w:r>
          </w:p>
        </w:tc>
        <w:tc>
          <w:tcPr>
            <w:tcW w:w="1176" w:type="pct"/>
            <w:tcBorders>
              <w:top w:val="single" w:color="auto" w:sz="8" w:space="0"/>
              <w:left w:val="single" w:color="auto" w:sz="8" w:space="0"/>
              <w:bottom w:val="single" w:color="auto" w:sz="8" w:space="0"/>
              <w:right w:val="single" w:color="auto" w:sz="8" w:space="0"/>
            </w:tcBorders>
          </w:tcPr>
          <w:p w14:paraId="4E60AFF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74.96</w:t>
            </w:r>
          </w:p>
        </w:tc>
        <w:tc>
          <w:tcPr>
            <w:tcW w:w="1259" w:type="pct"/>
            <w:tcBorders>
              <w:top w:val="single" w:color="auto" w:sz="8" w:space="0"/>
              <w:left w:val="single" w:color="auto" w:sz="8" w:space="0"/>
              <w:bottom w:val="single" w:color="auto" w:sz="8" w:space="0"/>
              <w:right w:val="single" w:color="auto" w:sz="12" w:space="0"/>
            </w:tcBorders>
            <w:vAlign w:val="center"/>
          </w:tcPr>
          <w:p w14:paraId="6694D0A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99.95</w:t>
            </w:r>
          </w:p>
        </w:tc>
      </w:tr>
      <w:tr w14:paraId="2723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shd w:val="clear" w:color="auto" w:fill="auto"/>
          </w:tcPr>
          <w:p w14:paraId="508EF89D">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S</w:t>
            </w:r>
          </w:p>
        </w:tc>
        <w:tc>
          <w:tcPr>
            <w:tcW w:w="1710" w:type="pct"/>
            <w:tcBorders>
              <w:top w:val="single" w:color="auto" w:sz="8" w:space="0"/>
              <w:left w:val="single" w:color="auto" w:sz="8" w:space="0"/>
              <w:bottom w:val="single" w:color="auto" w:sz="8" w:space="0"/>
              <w:right w:val="single" w:color="auto" w:sz="8" w:space="0"/>
            </w:tcBorders>
            <w:shd w:val="clear" w:color="auto" w:fill="auto"/>
          </w:tcPr>
          <w:p w14:paraId="00FCF91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0.5</w:t>
            </w:r>
          </w:p>
        </w:tc>
        <w:tc>
          <w:tcPr>
            <w:tcW w:w="1176" w:type="pct"/>
            <w:tcBorders>
              <w:top w:val="single" w:color="auto" w:sz="8" w:space="0"/>
              <w:left w:val="single" w:color="auto" w:sz="8" w:space="0"/>
              <w:bottom w:val="single" w:color="auto" w:sz="8" w:space="0"/>
              <w:right w:val="single" w:color="auto" w:sz="8" w:space="0"/>
            </w:tcBorders>
            <w:vAlign w:val="center"/>
          </w:tcPr>
          <w:p w14:paraId="19A65C5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74.99</w:t>
            </w:r>
          </w:p>
        </w:tc>
        <w:tc>
          <w:tcPr>
            <w:tcW w:w="1259" w:type="pct"/>
            <w:tcBorders>
              <w:top w:val="single" w:color="auto" w:sz="8" w:space="0"/>
              <w:left w:val="single" w:color="auto" w:sz="8" w:space="0"/>
              <w:bottom w:val="single" w:color="auto" w:sz="8" w:space="0"/>
              <w:right w:val="single" w:color="auto" w:sz="12" w:space="0"/>
            </w:tcBorders>
            <w:vAlign w:val="center"/>
          </w:tcPr>
          <w:p w14:paraId="219B49F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99.99</w:t>
            </w:r>
          </w:p>
        </w:tc>
      </w:tr>
      <w:tr w14:paraId="7285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shd w:val="clear" w:color="auto" w:fill="auto"/>
          </w:tcPr>
          <w:p w14:paraId="0AF058D5">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P</w:t>
            </w:r>
          </w:p>
        </w:tc>
        <w:tc>
          <w:tcPr>
            <w:tcW w:w="1710" w:type="pct"/>
            <w:tcBorders>
              <w:top w:val="single" w:color="auto" w:sz="8" w:space="0"/>
              <w:left w:val="single" w:color="auto" w:sz="8" w:space="0"/>
              <w:bottom w:val="single" w:color="auto" w:sz="8" w:space="0"/>
              <w:right w:val="single" w:color="auto" w:sz="8" w:space="0"/>
            </w:tcBorders>
            <w:shd w:val="clear" w:color="auto" w:fill="auto"/>
          </w:tcPr>
          <w:p w14:paraId="12D2483E">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0.3</w:t>
            </w:r>
          </w:p>
        </w:tc>
        <w:tc>
          <w:tcPr>
            <w:tcW w:w="1176" w:type="pct"/>
            <w:tcBorders>
              <w:top w:val="single" w:color="auto" w:sz="8" w:space="0"/>
              <w:left w:val="single" w:color="auto" w:sz="8" w:space="0"/>
              <w:bottom w:val="single" w:color="auto" w:sz="8" w:space="0"/>
              <w:right w:val="single" w:color="auto" w:sz="8" w:space="0"/>
            </w:tcBorders>
            <w:vAlign w:val="center"/>
          </w:tcPr>
          <w:p w14:paraId="07BA593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75.05</w:t>
            </w:r>
          </w:p>
        </w:tc>
        <w:tc>
          <w:tcPr>
            <w:tcW w:w="1259" w:type="pct"/>
            <w:tcBorders>
              <w:top w:val="single" w:color="auto" w:sz="8" w:space="0"/>
              <w:left w:val="single" w:color="auto" w:sz="8" w:space="0"/>
              <w:bottom w:val="single" w:color="auto" w:sz="8" w:space="0"/>
              <w:right w:val="single" w:color="auto" w:sz="12" w:space="0"/>
            </w:tcBorders>
            <w:vAlign w:val="center"/>
          </w:tcPr>
          <w:p w14:paraId="0523761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100.07</w:t>
            </w:r>
          </w:p>
        </w:tc>
      </w:tr>
      <w:tr w14:paraId="27FD4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8" w:space="0"/>
              <w:right w:val="single" w:color="auto" w:sz="8" w:space="0"/>
            </w:tcBorders>
            <w:shd w:val="clear" w:color="auto" w:fill="auto"/>
          </w:tcPr>
          <w:p w14:paraId="151DFB6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As</w:t>
            </w:r>
          </w:p>
        </w:tc>
        <w:tc>
          <w:tcPr>
            <w:tcW w:w="1710" w:type="pct"/>
            <w:tcBorders>
              <w:top w:val="single" w:color="auto" w:sz="8" w:space="0"/>
              <w:left w:val="single" w:color="auto" w:sz="8" w:space="0"/>
              <w:bottom w:val="single" w:color="auto" w:sz="8" w:space="0"/>
              <w:right w:val="single" w:color="auto" w:sz="8" w:space="0"/>
            </w:tcBorders>
            <w:shd w:val="clear" w:color="auto" w:fill="auto"/>
          </w:tcPr>
          <w:p w14:paraId="2D09F671">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0.3</w:t>
            </w:r>
          </w:p>
        </w:tc>
        <w:tc>
          <w:tcPr>
            <w:tcW w:w="1176" w:type="pct"/>
            <w:tcBorders>
              <w:top w:val="single" w:color="auto" w:sz="8" w:space="0"/>
              <w:left w:val="single" w:color="auto" w:sz="8" w:space="0"/>
              <w:bottom w:val="single" w:color="auto" w:sz="8" w:space="0"/>
              <w:right w:val="single" w:color="auto" w:sz="8" w:space="0"/>
            </w:tcBorders>
            <w:vAlign w:val="center"/>
          </w:tcPr>
          <w:p w14:paraId="1E6383A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75.05</w:t>
            </w:r>
          </w:p>
        </w:tc>
        <w:tc>
          <w:tcPr>
            <w:tcW w:w="1259" w:type="pct"/>
            <w:tcBorders>
              <w:top w:val="single" w:color="auto" w:sz="8" w:space="0"/>
              <w:left w:val="single" w:color="auto" w:sz="8" w:space="0"/>
              <w:bottom w:val="single" w:color="auto" w:sz="8" w:space="0"/>
              <w:right w:val="single" w:color="auto" w:sz="12" w:space="0"/>
            </w:tcBorders>
            <w:vAlign w:val="center"/>
          </w:tcPr>
          <w:p w14:paraId="119DD5A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100.07</w:t>
            </w:r>
          </w:p>
        </w:tc>
      </w:tr>
      <w:tr w14:paraId="3040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854" w:type="pct"/>
            <w:tcBorders>
              <w:top w:val="single" w:color="auto" w:sz="8" w:space="0"/>
              <w:left w:val="single" w:color="auto" w:sz="12" w:space="0"/>
              <w:bottom w:val="single" w:color="auto" w:sz="8" w:space="0"/>
              <w:right w:val="single" w:color="auto" w:sz="8" w:space="0"/>
            </w:tcBorders>
            <w:shd w:val="clear" w:color="auto" w:fill="auto"/>
          </w:tcPr>
          <w:p w14:paraId="6280ACCD">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Al</w:t>
            </w:r>
          </w:p>
        </w:tc>
        <w:tc>
          <w:tcPr>
            <w:tcW w:w="1710" w:type="pct"/>
            <w:tcBorders>
              <w:top w:val="single" w:color="auto" w:sz="8" w:space="0"/>
              <w:left w:val="single" w:color="auto" w:sz="8" w:space="0"/>
              <w:bottom w:val="single" w:color="auto" w:sz="8" w:space="0"/>
              <w:right w:val="single" w:color="auto" w:sz="8" w:space="0"/>
            </w:tcBorders>
            <w:shd w:val="clear" w:color="auto" w:fill="auto"/>
          </w:tcPr>
          <w:p w14:paraId="787F81C1">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0.1</w:t>
            </w:r>
          </w:p>
        </w:tc>
        <w:tc>
          <w:tcPr>
            <w:tcW w:w="1176" w:type="pct"/>
            <w:tcBorders>
              <w:top w:val="single" w:color="auto" w:sz="8" w:space="0"/>
              <w:left w:val="single" w:color="auto" w:sz="8" w:space="0"/>
              <w:bottom w:val="single" w:color="auto" w:sz="8" w:space="0"/>
              <w:right w:val="single" w:color="auto" w:sz="8" w:space="0"/>
            </w:tcBorders>
          </w:tcPr>
          <w:p w14:paraId="481060C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75.08</w:t>
            </w:r>
          </w:p>
        </w:tc>
        <w:tc>
          <w:tcPr>
            <w:tcW w:w="1259" w:type="pct"/>
            <w:tcBorders>
              <w:top w:val="single" w:color="auto" w:sz="8" w:space="0"/>
              <w:left w:val="single" w:color="auto" w:sz="8" w:space="0"/>
              <w:bottom w:val="single" w:color="auto" w:sz="8" w:space="0"/>
              <w:right w:val="single" w:color="auto" w:sz="12" w:space="0"/>
            </w:tcBorders>
            <w:vAlign w:val="center"/>
          </w:tcPr>
          <w:p w14:paraId="4970C08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100.11</w:t>
            </w:r>
          </w:p>
        </w:tc>
      </w:tr>
      <w:tr w14:paraId="4009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4" w:type="pct"/>
            <w:tcBorders>
              <w:top w:val="single" w:color="auto" w:sz="8" w:space="0"/>
              <w:left w:val="single" w:color="auto" w:sz="12" w:space="0"/>
              <w:bottom w:val="single" w:color="auto" w:sz="12" w:space="0"/>
              <w:right w:val="single" w:color="auto" w:sz="8" w:space="0"/>
            </w:tcBorders>
            <w:vAlign w:val="center"/>
          </w:tcPr>
          <w:p w14:paraId="7C27DCA9">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混合元素</w:t>
            </w:r>
          </w:p>
        </w:tc>
        <w:tc>
          <w:tcPr>
            <w:tcW w:w="1710" w:type="pct"/>
            <w:tcBorders>
              <w:top w:val="single" w:color="auto" w:sz="8" w:space="0"/>
              <w:left w:val="single" w:color="auto" w:sz="8" w:space="0"/>
              <w:bottom w:val="single" w:color="auto" w:sz="12" w:space="0"/>
              <w:right w:val="single" w:color="auto" w:sz="8" w:space="0"/>
            </w:tcBorders>
          </w:tcPr>
          <w:p w14:paraId="0FB1D574">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Cu：450、Zn：62.5、Sn：55、Ni：7.5、Sb：2.5、Fe：2、Mn：1、S：0.5、P：0.3、As：0.3、Al：0.1</w:t>
            </w:r>
          </w:p>
        </w:tc>
        <w:tc>
          <w:tcPr>
            <w:tcW w:w="1176" w:type="pct"/>
            <w:tcBorders>
              <w:top w:val="single" w:color="auto" w:sz="8" w:space="0"/>
              <w:left w:val="single" w:color="auto" w:sz="8" w:space="0"/>
              <w:bottom w:val="single" w:color="auto" w:sz="12" w:space="0"/>
              <w:right w:val="single" w:color="auto" w:sz="8" w:space="0"/>
            </w:tcBorders>
            <w:vAlign w:val="center"/>
          </w:tcPr>
          <w:p w14:paraId="028D2DB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75.01</w:t>
            </w:r>
          </w:p>
        </w:tc>
        <w:tc>
          <w:tcPr>
            <w:tcW w:w="1259" w:type="pct"/>
            <w:tcBorders>
              <w:top w:val="single" w:color="auto" w:sz="8" w:space="0"/>
              <w:left w:val="single" w:color="auto" w:sz="8" w:space="0"/>
              <w:bottom w:val="single" w:color="auto" w:sz="12" w:space="0"/>
              <w:right w:val="single" w:color="auto" w:sz="12" w:space="0"/>
            </w:tcBorders>
            <w:vAlign w:val="center"/>
          </w:tcPr>
          <w:p w14:paraId="31E6FA8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100.01</w:t>
            </w:r>
          </w:p>
        </w:tc>
      </w:tr>
    </w:tbl>
    <w:p w14:paraId="720C4F60">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p>
    <w:p w14:paraId="61052CF6">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表10-3 各元素对铅测定的影响试验结果（浙江省冶金产品质量检验站有限公司）</w:t>
      </w:r>
    </w:p>
    <w:tbl>
      <w:tblPr>
        <w:tblStyle w:val="13"/>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036"/>
        <w:gridCol w:w="2088"/>
        <w:gridCol w:w="2236"/>
      </w:tblGrid>
      <w:tr w14:paraId="752B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17" w:type="dxa"/>
            <w:tcBorders>
              <w:top w:val="single" w:color="auto" w:sz="12" w:space="0"/>
              <w:left w:val="single" w:color="auto" w:sz="12" w:space="0"/>
              <w:bottom w:val="single" w:color="auto" w:sz="8" w:space="0"/>
              <w:right w:val="single" w:color="auto" w:sz="8" w:space="0"/>
            </w:tcBorders>
            <w:vAlign w:val="center"/>
          </w:tcPr>
          <w:p w14:paraId="0A8A09BB">
            <w:pPr>
              <w:jc w:val="center"/>
              <w:rPr>
                <w:rFonts w:hint="eastAsia" w:ascii="宋体" w:hAnsi="宋体" w:cs="宋体"/>
                <w:bCs/>
                <w:color w:val="000000"/>
                <w:szCs w:val="21"/>
              </w:rPr>
            </w:pPr>
            <w:r>
              <w:rPr>
                <w:rFonts w:hint="eastAsia" w:ascii="宋体" w:hAnsi="宋体" w:cs="宋体"/>
                <w:bCs/>
                <w:color w:val="000000"/>
                <w:szCs w:val="21"/>
              </w:rPr>
              <w:t>共存元素</w:t>
            </w:r>
          </w:p>
        </w:tc>
        <w:tc>
          <w:tcPr>
            <w:tcW w:w="3036" w:type="dxa"/>
            <w:tcBorders>
              <w:top w:val="single" w:color="auto" w:sz="12" w:space="0"/>
              <w:left w:val="single" w:color="auto" w:sz="8" w:space="0"/>
              <w:bottom w:val="single" w:color="auto" w:sz="8" w:space="0"/>
              <w:right w:val="single" w:color="auto" w:sz="8" w:space="0"/>
            </w:tcBorders>
            <w:vAlign w:val="center"/>
          </w:tcPr>
          <w:p w14:paraId="6CA40B98">
            <w:pPr>
              <w:jc w:val="center"/>
              <w:rPr>
                <w:rFonts w:hint="eastAsia" w:ascii="宋体" w:hAnsi="宋体" w:cs="宋体"/>
                <w:bCs/>
                <w:color w:val="000000"/>
                <w:szCs w:val="21"/>
              </w:rPr>
            </w:pPr>
            <w:r>
              <w:rPr>
                <w:rFonts w:hint="eastAsia" w:ascii="宋体" w:hAnsi="宋体" w:cs="宋体"/>
                <w:bCs/>
                <w:color w:val="000000"/>
                <w:szCs w:val="21"/>
              </w:rPr>
              <w:t>各元素加入量/mg</w:t>
            </w:r>
          </w:p>
        </w:tc>
        <w:tc>
          <w:tcPr>
            <w:tcW w:w="2088" w:type="dxa"/>
            <w:tcBorders>
              <w:top w:val="single" w:color="auto" w:sz="12" w:space="0"/>
              <w:left w:val="single" w:color="auto" w:sz="8" w:space="0"/>
              <w:bottom w:val="single" w:color="auto" w:sz="8" w:space="0"/>
              <w:right w:val="single" w:color="auto" w:sz="8" w:space="0"/>
            </w:tcBorders>
            <w:vAlign w:val="center"/>
          </w:tcPr>
          <w:p w14:paraId="6C5DBD0D">
            <w:pPr>
              <w:jc w:val="center"/>
              <w:rPr>
                <w:rFonts w:hint="eastAsia" w:ascii="宋体" w:hAnsi="宋体" w:cs="宋体"/>
                <w:bCs/>
                <w:color w:val="000000"/>
                <w:szCs w:val="21"/>
              </w:rPr>
            </w:pPr>
            <w:r>
              <w:rPr>
                <w:rFonts w:hint="eastAsia" w:ascii="宋体" w:hAnsi="宋体" w:cs="宋体"/>
                <w:bCs/>
                <w:color w:val="000000"/>
                <w:szCs w:val="21"/>
              </w:rPr>
              <w:t>测得铅量/mg</w:t>
            </w:r>
          </w:p>
        </w:tc>
        <w:tc>
          <w:tcPr>
            <w:tcW w:w="2236" w:type="dxa"/>
            <w:tcBorders>
              <w:top w:val="single" w:color="auto" w:sz="12" w:space="0"/>
              <w:left w:val="single" w:color="auto" w:sz="8" w:space="0"/>
              <w:bottom w:val="single" w:color="auto" w:sz="8" w:space="0"/>
              <w:right w:val="single" w:color="auto" w:sz="12" w:space="0"/>
            </w:tcBorders>
            <w:vAlign w:val="center"/>
          </w:tcPr>
          <w:p w14:paraId="632A9F38">
            <w:pPr>
              <w:jc w:val="center"/>
              <w:rPr>
                <w:rFonts w:hint="eastAsia" w:ascii="宋体" w:hAnsi="宋体" w:cs="宋体"/>
                <w:bCs/>
                <w:color w:val="000000"/>
                <w:szCs w:val="21"/>
              </w:rPr>
            </w:pPr>
            <w:r>
              <w:rPr>
                <w:rFonts w:hint="eastAsia" w:ascii="宋体" w:hAnsi="宋体" w:cs="宋体"/>
                <w:bCs/>
                <w:color w:val="000000"/>
                <w:szCs w:val="21"/>
              </w:rPr>
              <w:t>回收率/%</w:t>
            </w:r>
          </w:p>
        </w:tc>
      </w:tr>
      <w:tr w14:paraId="4E5D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12570605">
            <w:pPr>
              <w:jc w:val="center"/>
              <w:rPr>
                <w:rFonts w:hint="eastAsia" w:ascii="宋体" w:hAnsi="宋体" w:cs="宋体"/>
                <w:bCs/>
                <w:color w:val="000000"/>
                <w:sz w:val="18"/>
                <w:szCs w:val="18"/>
              </w:rPr>
            </w:pPr>
            <w:r>
              <w:rPr>
                <w:rFonts w:hint="eastAsia" w:ascii="宋体" w:hAnsi="宋体" w:cs="宋体"/>
                <w:bCs/>
                <w:color w:val="000000"/>
                <w:sz w:val="18"/>
                <w:szCs w:val="18"/>
              </w:rPr>
              <w:t>Cu</w:t>
            </w:r>
          </w:p>
        </w:tc>
        <w:tc>
          <w:tcPr>
            <w:tcW w:w="3036" w:type="dxa"/>
            <w:tcBorders>
              <w:top w:val="single" w:color="auto" w:sz="8" w:space="0"/>
              <w:left w:val="single" w:color="auto" w:sz="8" w:space="0"/>
              <w:bottom w:val="single" w:color="auto" w:sz="8" w:space="0"/>
              <w:right w:val="single" w:color="auto" w:sz="8" w:space="0"/>
            </w:tcBorders>
          </w:tcPr>
          <w:p w14:paraId="2F8EA231">
            <w:pPr>
              <w:jc w:val="center"/>
              <w:rPr>
                <w:rFonts w:hint="eastAsia" w:ascii="宋体" w:hAnsi="宋体" w:cs="宋体"/>
                <w:bCs/>
                <w:color w:val="000000"/>
                <w:sz w:val="18"/>
                <w:szCs w:val="18"/>
              </w:rPr>
            </w:pPr>
            <w:r>
              <w:rPr>
                <w:rFonts w:hint="eastAsia" w:ascii="宋体" w:hAnsi="宋体" w:cs="宋体"/>
                <w:bCs/>
                <w:color w:val="000000"/>
                <w:sz w:val="18"/>
                <w:szCs w:val="18"/>
              </w:rPr>
              <w:t>450</w:t>
            </w:r>
          </w:p>
        </w:tc>
        <w:tc>
          <w:tcPr>
            <w:tcW w:w="2088" w:type="dxa"/>
            <w:tcBorders>
              <w:top w:val="single" w:color="auto" w:sz="8" w:space="0"/>
              <w:left w:val="single" w:color="auto" w:sz="8" w:space="0"/>
              <w:bottom w:val="single" w:color="auto" w:sz="8" w:space="0"/>
              <w:right w:val="single" w:color="auto" w:sz="8" w:space="0"/>
            </w:tcBorders>
          </w:tcPr>
          <w:p w14:paraId="0DF10A5F">
            <w:pPr>
              <w:jc w:val="center"/>
              <w:rPr>
                <w:rFonts w:hint="eastAsia" w:ascii="宋体" w:hAnsi="宋体" w:cs="宋体"/>
                <w:bCs/>
                <w:color w:val="000000"/>
                <w:sz w:val="18"/>
                <w:szCs w:val="18"/>
              </w:rPr>
            </w:pPr>
            <w:r>
              <w:rPr>
                <w:rFonts w:ascii="宋体" w:hAnsi="宋体" w:cs="宋体"/>
                <w:bCs/>
                <w:color w:val="000000"/>
                <w:sz w:val="18"/>
                <w:szCs w:val="18"/>
              </w:rPr>
              <w:t>74.95</w:t>
            </w:r>
          </w:p>
        </w:tc>
        <w:tc>
          <w:tcPr>
            <w:tcW w:w="2236" w:type="dxa"/>
            <w:tcBorders>
              <w:top w:val="single" w:color="auto" w:sz="8" w:space="0"/>
              <w:left w:val="single" w:color="auto" w:sz="8" w:space="0"/>
              <w:bottom w:val="single" w:color="auto" w:sz="8" w:space="0"/>
              <w:right w:val="single" w:color="auto" w:sz="12" w:space="0"/>
            </w:tcBorders>
          </w:tcPr>
          <w:p w14:paraId="73278672">
            <w:pPr>
              <w:jc w:val="center"/>
              <w:rPr>
                <w:rFonts w:hint="eastAsia" w:ascii="宋体" w:hAnsi="宋体" w:cs="宋体"/>
                <w:bCs/>
                <w:color w:val="000000"/>
                <w:sz w:val="18"/>
                <w:szCs w:val="18"/>
              </w:rPr>
            </w:pPr>
            <w:r>
              <w:rPr>
                <w:rFonts w:ascii="宋体" w:hAnsi="宋体" w:cs="宋体"/>
                <w:bCs/>
                <w:color w:val="000000"/>
                <w:sz w:val="18"/>
                <w:szCs w:val="18"/>
              </w:rPr>
              <w:t>99.93</w:t>
            </w:r>
          </w:p>
        </w:tc>
      </w:tr>
      <w:tr w14:paraId="57D01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7D15425A">
            <w:pPr>
              <w:jc w:val="center"/>
              <w:rPr>
                <w:rFonts w:hint="eastAsia" w:ascii="宋体" w:hAnsi="宋体" w:cs="宋体"/>
                <w:bCs/>
                <w:color w:val="000000"/>
                <w:sz w:val="18"/>
                <w:szCs w:val="18"/>
              </w:rPr>
            </w:pPr>
            <w:r>
              <w:rPr>
                <w:rFonts w:hint="eastAsia" w:ascii="宋体" w:hAnsi="宋体" w:cs="宋体"/>
                <w:bCs/>
                <w:color w:val="000000"/>
                <w:sz w:val="18"/>
                <w:szCs w:val="18"/>
              </w:rPr>
              <w:t>Zn</w:t>
            </w:r>
          </w:p>
        </w:tc>
        <w:tc>
          <w:tcPr>
            <w:tcW w:w="3036" w:type="dxa"/>
            <w:tcBorders>
              <w:top w:val="single" w:color="auto" w:sz="8" w:space="0"/>
              <w:left w:val="single" w:color="auto" w:sz="8" w:space="0"/>
              <w:bottom w:val="single" w:color="auto" w:sz="8" w:space="0"/>
              <w:right w:val="single" w:color="auto" w:sz="8" w:space="0"/>
            </w:tcBorders>
          </w:tcPr>
          <w:p w14:paraId="339F7E51">
            <w:pPr>
              <w:jc w:val="center"/>
              <w:rPr>
                <w:rFonts w:hint="eastAsia" w:ascii="宋体" w:hAnsi="宋体" w:cs="宋体"/>
                <w:bCs/>
                <w:color w:val="000000"/>
                <w:sz w:val="18"/>
                <w:szCs w:val="18"/>
              </w:rPr>
            </w:pPr>
            <w:r>
              <w:rPr>
                <w:rFonts w:hint="eastAsia" w:ascii="宋体" w:hAnsi="宋体" w:cs="宋体"/>
                <w:bCs/>
                <w:color w:val="000000"/>
                <w:sz w:val="18"/>
                <w:szCs w:val="18"/>
              </w:rPr>
              <w:t>62.5</w:t>
            </w:r>
          </w:p>
        </w:tc>
        <w:tc>
          <w:tcPr>
            <w:tcW w:w="2088" w:type="dxa"/>
            <w:tcBorders>
              <w:top w:val="single" w:color="auto" w:sz="8" w:space="0"/>
              <w:left w:val="single" w:color="auto" w:sz="8" w:space="0"/>
              <w:bottom w:val="single" w:color="auto" w:sz="8" w:space="0"/>
              <w:right w:val="single" w:color="auto" w:sz="8" w:space="0"/>
            </w:tcBorders>
          </w:tcPr>
          <w:p w14:paraId="08BDBA94">
            <w:pPr>
              <w:jc w:val="center"/>
              <w:rPr>
                <w:rFonts w:hint="eastAsia" w:ascii="宋体" w:hAnsi="宋体" w:cs="宋体"/>
                <w:bCs/>
                <w:color w:val="000000"/>
                <w:sz w:val="18"/>
                <w:szCs w:val="18"/>
              </w:rPr>
            </w:pPr>
            <w:r>
              <w:rPr>
                <w:rFonts w:ascii="宋体" w:hAnsi="宋体" w:cs="宋体"/>
                <w:bCs/>
                <w:color w:val="000000"/>
                <w:sz w:val="18"/>
                <w:szCs w:val="18"/>
              </w:rPr>
              <w:t>75.13</w:t>
            </w:r>
          </w:p>
        </w:tc>
        <w:tc>
          <w:tcPr>
            <w:tcW w:w="2236" w:type="dxa"/>
            <w:tcBorders>
              <w:top w:val="single" w:color="auto" w:sz="8" w:space="0"/>
              <w:left w:val="single" w:color="auto" w:sz="8" w:space="0"/>
              <w:bottom w:val="single" w:color="auto" w:sz="8" w:space="0"/>
              <w:right w:val="single" w:color="auto" w:sz="12" w:space="0"/>
            </w:tcBorders>
          </w:tcPr>
          <w:p w14:paraId="71AB6860">
            <w:pPr>
              <w:jc w:val="center"/>
              <w:rPr>
                <w:rFonts w:hint="eastAsia" w:ascii="宋体" w:hAnsi="宋体" w:cs="宋体"/>
                <w:bCs/>
                <w:color w:val="000000"/>
                <w:sz w:val="18"/>
                <w:szCs w:val="18"/>
              </w:rPr>
            </w:pPr>
            <w:r>
              <w:rPr>
                <w:rFonts w:ascii="宋体" w:hAnsi="宋体" w:cs="宋体"/>
                <w:bCs/>
                <w:color w:val="000000"/>
                <w:sz w:val="18"/>
                <w:szCs w:val="18"/>
              </w:rPr>
              <w:t>100.17</w:t>
            </w:r>
          </w:p>
        </w:tc>
      </w:tr>
      <w:tr w14:paraId="2A49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64E6D47B">
            <w:pPr>
              <w:jc w:val="center"/>
              <w:rPr>
                <w:rFonts w:hint="eastAsia" w:ascii="宋体" w:hAnsi="宋体" w:cs="宋体"/>
                <w:bCs/>
                <w:color w:val="000000"/>
                <w:sz w:val="18"/>
                <w:szCs w:val="18"/>
              </w:rPr>
            </w:pPr>
            <w:r>
              <w:rPr>
                <w:rFonts w:hint="eastAsia" w:ascii="宋体" w:hAnsi="宋体" w:cs="宋体"/>
                <w:bCs/>
                <w:color w:val="000000"/>
                <w:sz w:val="18"/>
                <w:szCs w:val="18"/>
              </w:rPr>
              <w:t>Sn</w:t>
            </w:r>
          </w:p>
        </w:tc>
        <w:tc>
          <w:tcPr>
            <w:tcW w:w="3036" w:type="dxa"/>
            <w:tcBorders>
              <w:top w:val="single" w:color="auto" w:sz="8" w:space="0"/>
              <w:left w:val="single" w:color="auto" w:sz="8" w:space="0"/>
              <w:bottom w:val="single" w:color="auto" w:sz="8" w:space="0"/>
              <w:right w:val="single" w:color="auto" w:sz="8" w:space="0"/>
            </w:tcBorders>
          </w:tcPr>
          <w:p w14:paraId="06725E49">
            <w:pPr>
              <w:jc w:val="center"/>
              <w:rPr>
                <w:rFonts w:hint="eastAsia" w:ascii="宋体" w:hAnsi="宋体" w:cs="宋体"/>
                <w:bCs/>
                <w:color w:val="000000"/>
                <w:sz w:val="18"/>
                <w:szCs w:val="18"/>
              </w:rPr>
            </w:pPr>
            <w:r>
              <w:rPr>
                <w:rFonts w:hint="eastAsia" w:ascii="宋体" w:hAnsi="宋体" w:cs="宋体"/>
                <w:bCs/>
                <w:color w:val="000000"/>
                <w:sz w:val="18"/>
                <w:szCs w:val="18"/>
              </w:rPr>
              <w:t>55</w:t>
            </w:r>
          </w:p>
        </w:tc>
        <w:tc>
          <w:tcPr>
            <w:tcW w:w="2088" w:type="dxa"/>
            <w:tcBorders>
              <w:top w:val="single" w:color="auto" w:sz="8" w:space="0"/>
              <w:left w:val="single" w:color="auto" w:sz="8" w:space="0"/>
              <w:bottom w:val="single" w:color="auto" w:sz="8" w:space="0"/>
              <w:right w:val="single" w:color="auto" w:sz="8" w:space="0"/>
            </w:tcBorders>
          </w:tcPr>
          <w:p w14:paraId="6C97C3B3">
            <w:pPr>
              <w:jc w:val="center"/>
              <w:rPr>
                <w:rFonts w:hint="eastAsia" w:ascii="宋体" w:hAnsi="宋体" w:cs="宋体"/>
                <w:bCs/>
                <w:color w:val="000000"/>
                <w:sz w:val="18"/>
                <w:szCs w:val="18"/>
              </w:rPr>
            </w:pPr>
            <w:r>
              <w:rPr>
                <w:rFonts w:ascii="宋体" w:hAnsi="宋体" w:cs="宋体"/>
                <w:bCs/>
                <w:color w:val="000000"/>
                <w:sz w:val="18"/>
                <w:szCs w:val="18"/>
              </w:rPr>
              <w:t>74.88</w:t>
            </w:r>
          </w:p>
        </w:tc>
        <w:tc>
          <w:tcPr>
            <w:tcW w:w="2236" w:type="dxa"/>
            <w:tcBorders>
              <w:top w:val="single" w:color="auto" w:sz="8" w:space="0"/>
              <w:left w:val="single" w:color="auto" w:sz="8" w:space="0"/>
              <w:bottom w:val="single" w:color="auto" w:sz="8" w:space="0"/>
              <w:right w:val="single" w:color="auto" w:sz="12" w:space="0"/>
            </w:tcBorders>
          </w:tcPr>
          <w:p w14:paraId="153B982D">
            <w:pPr>
              <w:jc w:val="center"/>
              <w:rPr>
                <w:rFonts w:hint="eastAsia" w:ascii="宋体" w:hAnsi="宋体" w:cs="宋体"/>
                <w:bCs/>
                <w:color w:val="000000"/>
                <w:sz w:val="18"/>
                <w:szCs w:val="18"/>
              </w:rPr>
            </w:pPr>
            <w:r>
              <w:rPr>
                <w:rFonts w:ascii="宋体" w:hAnsi="宋体" w:cs="宋体"/>
                <w:bCs/>
                <w:color w:val="000000"/>
                <w:sz w:val="18"/>
                <w:szCs w:val="18"/>
              </w:rPr>
              <w:t>99.84</w:t>
            </w:r>
          </w:p>
        </w:tc>
      </w:tr>
      <w:tr w14:paraId="5FE1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671BD44A">
            <w:pPr>
              <w:jc w:val="center"/>
              <w:rPr>
                <w:rFonts w:hint="eastAsia" w:ascii="宋体" w:hAnsi="宋体" w:cs="宋体"/>
                <w:bCs/>
                <w:color w:val="000000"/>
                <w:sz w:val="18"/>
                <w:szCs w:val="18"/>
              </w:rPr>
            </w:pPr>
            <w:r>
              <w:rPr>
                <w:rFonts w:hint="eastAsia" w:ascii="宋体" w:hAnsi="宋体" w:cs="宋体"/>
                <w:bCs/>
                <w:color w:val="000000"/>
                <w:sz w:val="18"/>
                <w:szCs w:val="18"/>
              </w:rPr>
              <w:t>Ni</w:t>
            </w:r>
          </w:p>
        </w:tc>
        <w:tc>
          <w:tcPr>
            <w:tcW w:w="3036" w:type="dxa"/>
            <w:tcBorders>
              <w:top w:val="single" w:color="auto" w:sz="8" w:space="0"/>
              <w:left w:val="single" w:color="auto" w:sz="8" w:space="0"/>
              <w:bottom w:val="single" w:color="auto" w:sz="8" w:space="0"/>
              <w:right w:val="single" w:color="auto" w:sz="8" w:space="0"/>
            </w:tcBorders>
          </w:tcPr>
          <w:p w14:paraId="31ABF9AB">
            <w:pPr>
              <w:jc w:val="center"/>
              <w:rPr>
                <w:rFonts w:hint="eastAsia" w:ascii="宋体" w:hAnsi="宋体" w:cs="宋体"/>
                <w:color w:val="000000"/>
                <w:sz w:val="18"/>
                <w:szCs w:val="18"/>
              </w:rPr>
            </w:pPr>
            <w:r>
              <w:rPr>
                <w:rFonts w:hint="eastAsia" w:ascii="宋体" w:hAnsi="宋体" w:cs="宋体"/>
                <w:bCs/>
                <w:color w:val="000000"/>
                <w:sz w:val="18"/>
                <w:szCs w:val="18"/>
              </w:rPr>
              <w:t>7.5</w:t>
            </w:r>
          </w:p>
        </w:tc>
        <w:tc>
          <w:tcPr>
            <w:tcW w:w="2088" w:type="dxa"/>
            <w:tcBorders>
              <w:top w:val="single" w:color="auto" w:sz="8" w:space="0"/>
              <w:left w:val="single" w:color="auto" w:sz="8" w:space="0"/>
              <w:bottom w:val="single" w:color="auto" w:sz="8" w:space="0"/>
              <w:right w:val="single" w:color="auto" w:sz="8" w:space="0"/>
            </w:tcBorders>
          </w:tcPr>
          <w:p w14:paraId="2D95E658">
            <w:pPr>
              <w:jc w:val="center"/>
              <w:rPr>
                <w:rFonts w:hint="eastAsia" w:ascii="宋体" w:hAnsi="宋体" w:cs="宋体"/>
                <w:bCs/>
                <w:color w:val="000000"/>
                <w:sz w:val="18"/>
                <w:szCs w:val="18"/>
              </w:rPr>
            </w:pPr>
            <w:r>
              <w:rPr>
                <w:rFonts w:ascii="宋体" w:hAnsi="宋体" w:cs="宋体"/>
                <w:bCs/>
                <w:color w:val="000000"/>
                <w:sz w:val="18"/>
                <w:szCs w:val="18"/>
              </w:rPr>
              <w:t>75.08</w:t>
            </w:r>
          </w:p>
        </w:tc>
        <w:tc>
          <w:tcPr>
            <w:tcW w:w="2236" w:type="dxa"/>
            <w:tcBorders>
              <w:top w:val="single" w:color="auto" w:sz="8" w:space="0"/>
              <w:left w:val="single" w:color="auto" w:sz="8" w:space="0"/>
              <w:bottom w:val="single" w:color="auto" w:sz="8" w:space="0"/>
              <w:right w:val="single" w:color="auto" w:sz="12" w:space="0"/>
            </w:tcBorders>
          </w:tcPr>
          <w:p w14:paraId="6AB293E9">
            <w:pPr>
              <w:jc w:val="center"/>
              <w:rPr>
                <w:rFonts w:hint="eastAsia" w:ascii="宋体" w:hAnsi="宋体" w:cs="宋体"/>
                <w:bCs/>
                <w:color w:val="000000"/>
                <w:sz w:val="18"/>
                <w:szCs w:val="18"/>
              </w:rPr>
            </w:pPr>
            <w:r>
              <w:rPr>
                <w:rFonts w:ascii="宋体" w:hAnsi="宋体" w:cs="宋体"/>
                <w:bCs/>
                <w:color w:val="000000"/>
                <w:sz w:val="18"/>
                <w:szCs w:val="18"/>
              </w:rPr>
              <w:t>100.11</w:t>
            </w:r>
          </w:p>
        </w:tc>
      </w:tr>
      <w:tr w14:paraId="04F0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5E450F16">
            <w:pPr>
              <w:jc w:val="center"/>
              <w:rPr>
                <w:rFonts w:hint="eastAsia" w:ascii="宋体" w:hAnsi="宋体" w:cs="宋体"/>
                <w:bCs/>
                <w:color w:val="000000"/>
                <w:sz w:val="18"/>
                <w:szCs w:val="18"/>
              </w:rPr>
            </w:pPr>
            <w:r>
              <w:rPr>
                <w:rFonts w:hint="eastAsia" w:ascii="宋体" w:hAnsi="宋体" w:cs="宋体"/>
                <w:bCs/>
                <w:color w:val="000000"/>
                <w:sz w:val="18"/>
                <w:szCs w:val="18"/>
              </w:rPr>
              <w:t>Sb</w:t>
            </w:r>
          </w:p>
        </w:tc>
        <w:tc>
          <w:tcPr>
            <w:tcW w:w="3036" w:type="dxa"/>
            <w:tcBorders>
              <w:top w:val="single" w:color="auto" w:sz="8" w:space="0"/>
              <w:left w:val="single" w:color="auto" w:sz="8" w:space="0"/>
              <w:bottom w:val="single" w:color="auto" w:sz="8" w:space="0"/>
              <w:right w:val="single" w:color="auto" w:sz="8" w:space="0"/>
            </w:tcBorders>
          </w:tcPr>
          <w:p w14:paraId="1A60A01A">
            <w:pPr>
              <w:jc w:val="center"/>
              <w:rPr>
                <w:rFonts w:hint="eastAsia" w:ascii="宋体" w:hAnsi="宋体" w:cs="宋体"/>
                <w:bCs/>
                <w:color w:val="000000"/>
                <w:sz w:val="18"/>
                <w:szCs w:val="18"/>
              </w:rPr>
            </w:pPr>
            <w:r>
              <w:rPr>
                <w:rFonts w:hint="eastAsia" w:ascii="宋体" w:hAnsi="宋体" w:cs="宋体"/>
                <w:bCs/>
                <w:color w:val="000000"/>
                <w:sz w:val="18"/>
                <w:szCs w:val="18"/>
              </w:rPr>
              <w:t>2.5</w:t>
            </w:r>
          </w:p>
        </w:tc>
        <w:tc>
          <w:tcPr>
            <w:tcW w:w="2088" w:type="dxa"/>
            <w:tcBorders>
              <w:top w:val="single" w:color="auto" w:sz="8" w:space="0"/>
              <w:left w:val="single" w:color="auto" w:sz="8" w:space="0"/>
              <w:bottom w:val="single" w:color="auto" w:sz="8" w:space="0"/>
              <w:right w:val="single" w:color="auto" w:sz="8" w:space="0"/>
            </w:tcBorders>
          </w:tcPr>
          <w:p w14:paraId="07EAC883">
            <w:pPr>
              <w:jc w:val="center"/>
              <w:rPr>
                <w:rFonts w:hint="eastAsia" w:ascii="宋体" w:hAnsi="宋体" w:cs="宋体"/>
                <w:bCs/>
                <w:color w:val="000000"/>
                <w:sz w:val="18"/>
                <w:szCs w:val="18"/>
              </w:rPr>
            </w:pPr>
            <w:r>
              <w:rPr>
                <w:rFonts w:ascii="宋体" w:hAnsi="宋体" w:cs="宋体"/>
                <w:bCs/>
                <w:color w:val="000000"/>
                <w:sz w:val="18"/>
                <w:szCs w:val="18"/>
              </w:rPr>
              <w:t>74.99</w:t>
            </w:r>
          </w:p>
        </w:tc>
        <w:tc>
          <w:tcPr>
            <w:tcW w:w="2236" w:type="dxa"/>
            <w:tcBorders>
              <w:top w:val="single" w:color="auto" w:sz="8" w:space="0"/>
              <w:left w:val="single" w:color="auto" w:sz="8" w:space="0"/>
              <w:bottom w:val="single" w:color="auto" w:sz="8" w:space="0"/>
              <w:right w:val="single" w:color="auto" w:sz="12" w:space="0"/>
            </w:tcBorders>
          </w:tcPr>
          <w:p w14:paraId="551AEC81">
            <w:pPr>
              <w:jc w:val="center"/>
              <w:rPr>
                <w:rFonts w:hint="eastAsia" w:ascii="宋体" w:hAnsi="宋体" w:cs="宋体"/>
                <w:bCs/>
                <w:color w:val="000000"/>
                <w:sz w:val="18"/>
                <w:szCs w:val="18"/>
              </w:rPr>
            </w:pPr>
            <w:r>
              <w:rPr>
                <w:rFonts w:ascii="宋体" w:hAnsi="宋体" w:cs="宋体"/>
                <w:bCs/>
                <w:color w:val="000000"/>
                <w:sz w:val="18"/>
                <w:szCs w:val="18"/>
              </w:rPr>
              <w:t>99.99</w:t>
            </w:r>
          </w:p>
        </w:tc>
      </w:tr>
      <w:tr w14:paraId="2DFE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06C06264">
            <w:pPr>
              <w:jc w:val="center"/>
              <w:rPr>
                <w:rFonts w:hint="eastAsia" w:ascii="宋体" w:hAnsi="宋体" w:cs="宋体"/>
                <w:bCs/>
                <w:color w:val="000000"/>
                <w:sz w:val="18"/>
                <w:szCs w:val="18"/>
              </w:rPr>
            </w:pPr>
            <w:r>
              <w:rPr>
                <w:rFonts w:hint="eastAsia" w:ascii="宋体" w:hAnsi="宋体" w:cs="宋体"/>
                <w:bCs/>
                <w:color w:val="000000"/>
                <w:sz w:val="18"/>
                <w:szCs w:val="18"/>
              </w:rPr>
              <w:t>Fe</w:t>
            </w:r>
          </w:p>
        </w:tc>
        <w:tc>
          <w:tcPr>
            <w:tcW w:w="3036" w:type="dxa"/>
            <w:tcBorders>
              <w:top w:val="single" w:color="auto" w:sz="8" w:space="0"/>
              <w:left w:val="single" w:color="auto" w:sz="8" w:space="0"/>
              <w:bottom w:val="single" w:color="auto" w:sz="8" w:space="0"/>
              <w:right w:val="single" w:color="auto" w:sz="8" w:space="0"/>
            </w:tcBorders>
          </w:tcPr>
          <w:p w14:paraId="1D8B3820">
            <w:pPr>
              <w:jc w:val="center"/>
              <w:rPr>
                <w:rFonts w:hint="eastAsia" w:ascii="宋体" w:hAnsi="宋体" w:cs="宋体"/>
                <w:bCs/>
                <w:color w:val="000000"/>
                <w:sz w:val="18"/>
                <w:szCs w:val="18"/>
              </w:rPr>
            </w:pPr>
            <w:r>
              <w:rPr>
                <w:rFonts w:hint="eastAsia" w:ascii="宋体" w:hAnsi="宋体" w:cs="宋体"/>
                <w:bCs/>
                <w:color w:val="000000"/>
                <w:sz w:val="18"/>
                <w:szCs w:val="18"/>
              </w:rPr>
              <w:t>2.0</w:t>
            </w:r>
          </w:p>
        </w:tc>
        <w:tc>
          <w:tcPr>
            <w:tcW w:w="2088" w:type="dxa"/>
            <w:tcBorders>
              <w:top w:val="single" w:color="auto" w:sz="8" w:space="0"/>
              <w:left w:val="single" w:color="auto" w:sz="8" w:space="0"/>
              <w:bottom w:val="single" w:color="auto" w:sz="8" w:space="0"/>
              <w:right w:val="single" w:color="auto" w:sz="8" w:space="0"/>
            </w:tcBorders>
          </w:tcPr>
          <w:p w14:paraId="00F4D408">
            <w:pPr>
              <w:jc w:val="center"/>
              <w:rPr>
                <w:rFonts w:hint="eastAsia" w:ascii="宋体" w:hAnsi="宋体" w:cs="宋体"/>
                <w:bCs/>
                <w:color w:val="000000"/>
                <w:sz w:val="18"/>
                <w:szCs w:val="18"/>
              </w:rPr>
            </w:pPr>
            <w:r>
              <w:rPr>
                <w:rFonts w:ascii="宋体" w:hAnsi="宋体" w:cs="宋体"/>
                <w:bCs/>
                <w:color w:val="000000"/>
                <w:sz w:val="18"/>
                <w:szCs w:val="18"/>
              </w:rPr>
              <w:t>74.91</w:t>
            </w:r>
          </w:p>
        </w:tc>
        <w:tc>
          <w:tcPr>
            <w:tcW w:w="2236" w:type="dxa"/>
            <w:tcBorders>
              <w:top w:val="single" w:color="auto" w:sz="8" w:space="0"/>
              <w:left w:val="single" w:color="auto" w:sz="8" w:space="0"/>
              <w:bottom w:val="single" w:color="auto" w:sz="8" w:space="0"/>
              <w:right w:val="single" w:color="auto" w:sz="12" w:space="0"/>
            </w:tcBorders>
          </w:tcPr>
          <w:p w14:paraId="4B76F76B">
            <w:pPr>
              <w:jc w:val="center"/>
              <w:rPr>
                <w:rFonts w:hint="eastAsia" w:ascii="宋体" w:hAnsi="宋体" w:cs="宋体"/>
                <w:bCs/>
                <w:color w:val="000000"/>
                <w:sz w:val="18"/>
                <w:szCs w:val="18"/>
              </w:rPr>
            </w:pPr>
            <w:r>
              <w:rPr>
                <w:rFonts w:ascii="宋体" w:hAnsi="宋体" w:cs="宋体"/>
                <w:bCs/>
                <w:color w:val="000000"/>
                <w:sz w:val="18"/>
                <w:szCs w:val="18"/>
              </w:rPr>
              <w:t>99.88</w:t>
            </w:r>
          </w:p>
        </w:tc>
      </w:tr>
      <w:tr w14:paraId="2404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1E36F243">
            <w:pPr>
              <w:jc w:val="center"/>
              <w:rPr>
                <w:rFonts w:hint="eastAsia" w:ascii="宋体" w:hAnsi="宋体" w:cs="宋体"/>
                <w:bCs/>
                <w:color w:val="000000"/>
                <w:sz w:val="18"/>
                <w:szCs w:val="18"/>
              </w:rPr>
            </w:pPr>
            <w:r>
              <w:rPr>
                <w:rFonts w:hint="eastAsia" w:ascii="宋体" w:hAnsi="宋体" w:cs="宋体"/>
                <w:bCs/>
                <w:color w:val="000000"/>
                <w:sz w:val="18"/>
                <w:szCs w:val="18"/>
              </w:rPr>
              <w:t>Mn</w:t>
            </w:r>
          </w:p>
        </w:tc>
        <w:tc>
          <w:tcPr>
            <w:tcW w:w="3036" w:type="dxa"/>
            <w:tcBorders>
              <w:top w:val="single" w:color="auto" w:sz="8" w:space="0"/>
              <w:left w:val="single" w:color="auto" w:sz="8" w:space="0"/>
              <w:bottom w:val="single" w:color="auto" w:sz="8" w:space="0"/>
              <w:right w:val="single" w:color="auto" w:sz="8" w:space="0"/>
            </w:tcBorders>
          </w:tcPr>
          <w:p w14:paraId="3CF8AF02">
            <w:pPr>
              <w:jc w:val="center"/>
              <w:rPr>
                <w:rFonts w:hint="eastAsia" w:ascii="宋体" w:hAnsi="宋体" w:cs="宋体"/>
                <w:color w:val="000000"/>
                <w:sz w:val="18"/>
                <w:szCs w:val="18"/>
              </w:rPr>
            </w:pPr>
            <w:r>
              <w:rPr>
                <w:rFonts w:hint="eastAsia" w:ascii="宋体" w:hAnsi="宋体" w:cs="宋体"/>
                <w:bCs/>
                <w:color w:val="000000"/>
                <w:sz w:val="18"/>
                <w:szCs w:val="18"/>
              </w:rPr>
              <w:t>1.0</w:t>
            </w:r>
          </w:p>
        </w:tc>
        <w:tc>
          <w:tcPr>
            <w:tcW w:w="2088" w:type="dxa"/>
            <w:tcBorders>
              <w:top w:val="single" w:color="auto" w:sz="8" w:space="0"/>
              <w:left w:val="single" w:color="auto" w:sz="8" w:space="0"/>
              <w:bottom w:val="single" w:color="auto" w:sz="8" w:space="0"/>
              <w:right w:val="single" w:color="auto" w:sz="8" w:space="0"/>
            </w:tcBorders>
          </w:tcPr>
          <w:p w14:paraId="2B5EC22F">
            <w:pPr>
              <w:jc w:val="center"/>
              <w:rPr>
                <w:rFonts w:hint="eastAsia" w:ascii="宋体" w:hAnsi="宋体" w:cs="宋体"/>
                <w:bCs/>
                <w:color w:val="000000"/>
                <w:sz w:val="18"/>
                <w:szCs w:val="18"/>
              </w:rPr>
            </w:pPr>
            <w:r>
              <w:rPr>
                <w:rFonts w:ascii="宋体" w:hAnsi="宋体" w:cs="宋体"/>
                <w:bCs/>
                <w:color w:val="000000"/>
                <w:sz w:val="18"/>
                <w:szCs w:val="18"/>
              </w:rPr>
              <w:t>75.01</w:t>
            </w:r>
          </w:p>
        </w:tc>
        <w:tc>
          <w:tcPr>
            <w:tcW w:w="2236" w:type="dxa"/>
            <w:tcBorders>
              <w:top w:val="single" w:color="auto" w:sz="8" w:space="0"/>
              <w:left w:val="single" w:color="auto" w:sz="8" w:space="0"/>
              <w:bottom w:val="single" w:color="auto" w:sz="8" w:space="0"/>
              <w:right w:val="single" w:color="auto" w:sz="12" w:space="0"/>
            </w:tcBorders>
          </w:tcPr>
          <w:p w14:paraId="6D4C5279">
            <w:pPr>
              <w:jc w:val="center"/>
              <w:rPr>
                <w:rFonts w:hint="eastAsia" w:ascii="宋体" w:hAnsi="宋体" w:cs="宋体"/>
                <w:bCs/>
                <w:color w:val="000000"/>
                <w:sz w:val="18"/>
                <w:szCs w:val="18"/>
              </w:rPr>
            </w:pPr>
            <w:r>
              <w:rPr>
                <w:rFonts w:ascii="宋体" w:hAnsi="宋体" w:cs="宋体"/>
                <w:bCs/>
                <w:color w:val="000000"/>
                <w:sz w:val="18"/>
                <w:szCs w:val="18"/>
              </w:rPr>
              <w:t>100.01</w:t>
            </w:r>
          </w:p>
        </w:tc>
      </w:tr>
      <w:tr w14:paraId="5D83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69CB2AC0">
            <w:pPr>
              <w:jc w:val="center"/>
              <w:rPr>
                <w:rFonts w:hint="eastAsia" w:ascii="宋体" w:hAnsi="宋体" w:cs="宋体"/>
                <w:bCs/>
                <w:color w:val="000000"/>
                <w:sz w:val="18"/>
                <w:szCs w:val="18"/>
              </w:rPr>
            </w:pPr>
            <w:r>
              <w:rPr>
                <w:rFonts w:hint="eastAsia" w:ascii="宋体" w:hAnsi="宋体" w:cs="宋体"/>
                <w:bCs/>
                <w:color w:val="000000"/>
                <w:sz w:val="18"/>
                <w:szCs w:val="18"/>
              </w:rPr>
              <w:t>S</w:t>
            </w:r>
          </w:p>
        </w:tc>
        <w:tc>
          <w:tcPr>
            <w:tcW w:w="3036" w:type="dxa"/>
            <w:tcBorders>
              <w:top w:val="single" w:color="auto" w:sz="8" w:space="0"/>
              <w:left w:val="single" w:color="auto" w:sz="8" w:space="0"/>
              <w:bottom w:val="single" w:color="auto" w:sz="8" w:space="0"/>
              <w:right w:val="single" w:color="auto" w:sz="8" w:space="0"/>
            </w:tcBorders>
          </w:tcPr>
          <w:p w14:paraId="3233E483">
            <w:pPr>
              <w:jc w:val="center"/>
              <w:rPr>
                <w:rFonts w:hint="eastAsia" w:ascii="宋体" w:hAnsi="宋体" w:cs="宋体"/>
                <w:color w:val="000000"/>
                <w:sz w:val="18"/>
                <w:szCs w:val="18"/>
              </w:rPr>
            </w:pPr>
            <w:r>
              <w:rPr>
                <w:rFonts w:hint="eastAsia" w:ascii="宋体" w:hAnsi="宋体" w:cs="宋体"/>
                <w:color w:val="000000"/>
                <w:sz w:val="18"/>
                <w:szCs w:val="18"/>
              </w:rPr>
              <w:t>0.5</w:t>
            </w:r>
          </w:p>
        </w:tc>
        <w:tc>
          <w:tcPr>
            <w:tcW w:w="2088" w:type="dxa"/>
            <w:tcBorders>
              <w:top w:val="single" w:color="auto" w:sz="8" w:space="0"/>
              <w:left w:val="single" w:color="auto" w:sz="8" w:space="0"/>
              <w:bottom w:val="single" w:color="auto" w:sz="8" w:space="0"/>
              <w:right w:val="single" w:color="auto" w:sz="8" w:space="0"/>
            </w:tcBorders>
          </w:tcPr>
          <w:p w14:paraId="0BD24A7D">
            <w:pPr>
              <w:jc w:val="center"/>
              <w:rPr>
                <w:rFonts w:hint="eastAsia" w:ascii="宋体" w:hAnsi="宋体" w:cs="宋体"/>
                <w:bCs/>
                <w:color w:val="000000"/>
                <w:sz w:val="18"/>
                <w:szCs w:val="18"/>
              </w:rPr>
            </w:pPr>
            <w:r>
              <w:rPr>
                <w:rFonts w:ascii="宋体" w:hAnsi="宋体" w:cs="宋体"/>
                <w:bCs/>
                <w:color w:val="000000"/>
                <w:sz w:val="18"/>
                <w:szCs w:val="18"/>
              </w:rPr>
              <w:t>74.98</w:t>
            </w:r>
          </w:p>
        </w:tc>
        <w:tc>
          <w:tcPr>
            <w:tcW w:w="2236" w:type="dxa"/>
            <w:tcBorders>
              <w:top w:val="single" w:color="auto" w:sz="8" w:space="0"/>
              <w:left w:val="single" w:color="auto" w:sz="8" w:space="0"/>
              <w:bottom w:val="single" w:color="auto" w:sz="8" w:space="0"/>
              <w:right w:val="single" w:color="auto" w:sz="12" w:space="0"/>
            </w:tcBorders>
          </w:tcPr>
          <w:p w14:paraId="1D80492C">
            <w:pPr>
              <w:jc w:val="center"/>
              <w:rPr>
                <w:rFonts w:hint="eastAsia" w:ascii="宋体" w:hAnsi="宋体" w:cs="宋体"/>
                <w:bCs/>
                <w:color w:val="000000"/>
                <w:sz w:val="18"/>
                <w:szCs w:val="18"/>
              </w:rPr>
            </w:pPr>
            <w:r>
              <w:rPr>
                <w:rFonts w:ascii="宋体" w:hAnsi="宋体" w:cs="宋体"/>
                <w:bCs/>
                <w:color w:val="000000"/>
                <w:sz w:val="18"/>
                <w:szCs w:val="18"/>
              </w:rPr>
              <w:t>99.97</w:t>
            </w:r>
          </w:p>
        </w:tc>
      </w:tr>
      <w:tr w14:paraId="33A9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25540B5E">
            <w:pPr>
              <w:jc w:val="center"/>
              <w:rPr>
                <w:rFonts w:hint="eastAsia" w:ascii="宋体" w:hAnsi="宋体" w:cs="宋体"/>
                <w:bCs/>
                <w:color w:val="000000"/>
                <w:sz w:val="18"/>
                <w:szCs w:val="18"/>
              </w:rPr>
            </w:pPr>
            <w:r>
              <w:rPr>
                <w:rFonts w:hint="eastAsia" w:ascii="宋体" w:hAnsi="宋体" w:cs="宋体"/>
                <w:bCs/>
                <w:color w:val="000000"/>
                <w:sz w:val="18"/>
                <w:szCs w:val="18"/>
              </w:rPr>
              <w:t>P</w:t>
            </w:r>
          </w:p>
        </w:tc>
        <w:tc>
          <w:tcPr>
            <w:tcW w:w="3036" w:type="dxa"/>
            <w:tcBorders>
              <w:top w:val="single" w:color="auto" w:sz="8" w:space="0"/>
              <w:left w:val="single" w:color="auto" w:sz="8" w:space="0"/>
              <w:bottom w:val="single" w:color="auto" w:sz="8" w:space="0"/>
              <w:right w:val="single" w:color="auto" w:sz="8" w:space="0"/>
            </w:tcBorders>
          </w:tcPr>
          <w:p w14:paraId="2444E327">
            <w:pPr>
              <w:jc w:val="center"/>
              <w:rPr>
                <w:rFonts w:hint="eastAsia" w:ascii="宋体" w:hAnsi="宋体" w:cs="宋体"/>
                <w:bCs/>
                <w:color w:val="000000"/>
                <w:sz w:val="18"/>
                <w:szCs w:val="18"/>
              </w:rPr>
            </w:pPr>
            <w:r>
              <w:rPr>
                <w:rFonts w:hint="eastAsia" w:ascii="宋体" w:hAnsi="宋体" w:cs="宋体"/>
                <w:bCs/>
                <w:color w:val="000000"/>
                <w:sz w:val="18"/>
                <w:szCs w:val="18"/>
              </w:rPr>
              <w:t>0.3</w:t>
            </w:r>
          </w:p>
        </w:tc>
        <w:tc>
          <w:tcPr>
            <w:tcW w:w="2088" w:type="dxa"/>
            <w:tcBorders>
              <w:top w:val="single" w:color="auto" w:sz="8" w:space="0"/>
              <w:left w:val="single" w:color="auto" w:sz="8" w:space="0"/>
              <w:bottom w:val="single" w:color="auto" w:sz="8" w:space="0"/>
              <w:right w:val="single" w:color="auto" w:sz="8" w:space="0"/>
            </w:tcBorders>
          </w:tcPr>
          <w:p w14:paraId="01CB0605">
            <w:pPr>
              <w:jc w:val="center"/>
              <w:rPr>
                <w:rFonts w:hint="eastAsia" w:ascii="宋体" w:hAnsi="宋体" w:cs="宋体"/>
                <w:bCs/>
                <w:color w:val="000000"/>
                <w:sz w:val="18"/>
                <w:szCs w:val="18"/>
              </w:rPr>
            </w:pPr>
            <w:r>
              <w:rPr>
                <w:rFonts w:ascii="宋体" w:hAnsi="宋体" w:cs="宋体"/>
                <w:bCs/>
                <w:color w:val="000000"/>
                <w:sz w:val="18"/>
                <w:szCs w:val="18"/>
              </w:rPr>
              <w:t>75.13</w:t>
            </w:r>
          </w:p>
        </w:tc>
        <w:tc>
          <w:tcPr>
            <w:tcW w:w="2236" w:type="dxa"/>
            <w:tcBorders>
              <w:top w:val="single" w:color="auto" w:sz="8" w:space="0"/>
              <w:left w:val="single" w:color="auto" w:sz="8" w:space="0"/>
              <w:bottom w:val="single" w:color="auto" w:sz="8" w:space="0"/>
              <w:right w:val="single" w:color="auto" w:sz="12" w:space="0"/>
            </w:tcBorders>
          </w:tcPr>
          <w:p w14:paraId="64B29FCB">
            <w:pPr>
              <w:jc w:val="center"/>
              <w:rPr>
                <w:rFonts w:hint="eastAsia" w:ascii="宋体" w:hAnsi="宋体" w:cs="宋体"/>
                <w:bCs/>
                <w:color w:val="000000"/>
                <w:sz w:val="18"/>
                <w:szCs w:val="18"/>
              </w:rPr>
            </w:pPr>
            <w:r>
              <w:rPr>
                <w:rFonts w:ascii="宋体" w:hAnsi="宋体" w:cs="宋体"/>
                <w:bCs/>
                <w:color w:val="000000"/>
                <w:sz w:val="18"/>
                <w:szCs w:val="18"/>
              </w:rPr>
              <w:t>100.17</w:t>
            </w:r>
          </w:p>
        </w:tc>
      </w:tr>
      <w:tr w14:paraId="77D2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779E60F2">
            <w:pPr>
              <w:jc w:val="center"/>
              <w:rPr>
                <w:rFonts w:hint="eastAsia" w:ascii="宋体" w:hAnsi="宋体" w:cs="宋体"/>
                <w:bCs/>
                <w:color w:val="000000"/>
                <w:sz w:val="18"/>
                <w:szCs w:val="18"/>
              </w:rPr>
            </w:pPr>
            <w:r>
              <w:rPr>
                <w:rFonts w:hint="eastAsia" w:ascii="宋体" w:hAnsi="宋体" w:cs="宋体"/>
                <w:bCs/>
                <w:color w:val="000000"/>
                <w:sz w:val="18"/>
                <w:szCs w:val="18"/>
              </w:rPr>
              <w:t>As</w:t>
            </w:r>
          </w:p>
        </w:tc>
        <w:tc>
          <w:tcPr>
            <w:tcW w:w="3036" w:type="dxa"/>
            <w:tcBorders>
              <w:top w:val="single" w:color="auto" w:sz="8" w:space="0"/>
              <w:left w:val="single" w:color="auto" w:sz="8" w:space="0"/>
              <w:bottom w:val="single" w:color="auto" w:sz="8" w:space="0"/>
              <w:right w:val="single" w:color="auto" w:sz="8" w:space="0"/>
            </w:tcBorders>
          </w:tcPr>
          <w:p w14:paraId="11FA2E4F">
            <w:pPr>
              <w:jc w:val="center"/>
              <w:rPr>
                <w:rFonts w:hint="eastAsia" w:ascii="宋体" w:hAnsi="宋体" w:cs="宋体"/>
                <w:color w:val="000000"/>
                <w:sz w:val="18"/>
                <w:szCs w:val="18"/>
              </w:rPr>
            </w:pPr>
            <w:r>
              <w:rPr>
                <w:rFonts w:hint="eastAsia" w:ascii="宋体" w:hAnsi="宋体" w:cs="宋体"/>
                <w:bCs/>
                <w:color w:val="000000"/>
                <w:sz w:val="18"/>
                <w:szCs w:val="18"/>
              </w:rPr>
              <w:t>0.3</w:t>
            </w:r>
          </w:p>
        </w:tc>
        <w:tc>
          <w:tcPr>
            <w:tcW w:w="2088" w:type="dxa"/>
            <w:tcBorders>
              <w:top w:val="single" w:color="auto" w:sz="8" w:space="0"/>
              <w:left w:val="single" w:color="auto" w:sz="8" w:space="0"/>
              <w:bottom w:val="single" w:color="auto" w:sz="8" w:space="0"/>
              <w:right w:val="single" w:color="auto" w:sz="8" w:space="0"/>
            </w:tcBorders>
          </w:tcPr>
          <w:p w14:paraId="45CF530F">
            <w:pPr>
              <w:jc w:val="center"/>
              <w:rPr>
                <w:rFonts w:hint="eastAsia" w:ascii="宋体" w:hAnsi="宋体" w:cs="宋体"/>
                <w:bCs/>
                <w:color w:val="000000"/>
                <w:sz w:val="18"/>
                <w:szCs w:val="18"/>
              </w:rPr>
            </w:pPr>
            <w:r>
              <w:rPr>
                <w:rFonts w:ascii="宋体" w:hAnsi="宋体" w:cs="宋体"/>
                <w:bCs/>
                <w:color w:val="000000"/>
                <w:sz w:val="18"/>
                <w:szCs w:val="18"/>
              </w:rPr>
              <w:t>75.14</w:t>
            </w:r>
          </w:p>
        </w:tc>
        <w:tc>
          <w:tcPr>
            <w:tcW w:w="2236" w:type="dxa"/>
            <w:tcBorders>
              <w:top w:val="single" w:color="auto" w:sz="8" w:space="0"/>
              <w:left w:val="single" w:color="auto" w:sz="8" w:space="0"/>
              <w:bottom w:val="single" w:color="auto" w:sz="8" w:space="0"/>
              <w:right w:val="single" w:color="auto" w:sz="12" w:space="0"/>
            </w:tcBorders>
          </w:tcPr>
          <w:p w14:paraId="3DB22F6E">
            <w:pPr>
              <w:jc w:val="center"/>
              <w:rPr>
                <w:rFonts w:hint="eastAsia" w:ascii="宋体" w:hAnsi="宋体" w:cs="宋体"/>
                <w:bCs/>
                <w:color w:val="000000"/>
                <w:sz w:val="18"/>
                <w:szCs w:val="18"/>
              </w:rPr>
            </w:pPr>
            <w:r>
              <w:rPr>
                <w:rFonts w:ascii="宋体" w:hAnsi="宋体" w:cs="宋体"/>
                <w:bCs/>
                <w:color w:val="000000"/>
                <w:sz w:val="18"/>
                <w:szCs w:val="18"/>
              </w:rPr>
              <w:t>100.19</w:t>
            </w:r>
          </w:p>
        </w:tc>
      </w:tr>
      <w:tr w14:paraId="37AC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517" w:type="dxa"/>
            <w:tcBorders>
              <w:top w:val="single" w:color="auto" w:sz="8" w:space="0"/>
              <w:left w:val="single" w:color="auto" w:sz="12" w:space="0"/>
              <w:bottom w:val="single" w:color="auto" w:sz="8" w:space="0"/>
              <w:right w:val="single" w:color="auto" w:sz="8" w:space="0"/>
            </w:tcBorders>
          </w:tcPr>
          <w:p w14:paraId="5D929793">
            <w:pPr>
              <w:jc w:val="center"/>
              <w:rPr>
                <w:rFonts w:hint="eastAsia" w:ascii="宋体" w:hAnsi="宋体" w:cs="宋体"/>
                <w:bCs/>
                <w:color w:val="000000"/>
                <w:sz w:val="18"/>
                <w:szCs w:val="18"/>
              </w:rPr>
            </w:pPr>
            <w:r>
              <w:rPr>
                <w:rFonts w:hint="eastAsia" w:ascii="宋体" w:hAnsi="宋体" w:cs="宋体"/>
                <w:bCs/>
                <w:color w:val="000000"/>
                <w:sz w:val="18"/>
                <w:szCs w:val="18"/>
              </w:rPr>
              <w:t>Al</w:t>
            </w:r>
          </w:p>
        </w:tc>
        <w:tc>
          <w:tcPr>
            <w:tcW w:w="3036" w:type="dxa"/>
            <w:tcBorders>
              <w:top w:val="single" w:color="auto" w:sz="8" w:space="0"/>
              <w:left w:val="single" w:color="auto" w:sz="8" w:space="0"/>
              <w:bottom w:val="single" w:color="auto" w:sz="8" w:space="0"/>
              <w:right w:val="single" w:color="auto" w:sz="8" w:space="0"/>
            </w:tcBorders>
          </w:tcPr>
          <w:p w14:paraId="5BCDCF6C">
            <w:pPr>
              <w:jc w:val="center"/>
              <w:rPr>
                <w:rFonts w:hint="eastAsia" w:ascii="宋体" w:hAnsi="宋体" w:cs="宋体"/>
                <w:color w:val="000000"/>
                <w:sz w:val="18"/>
                <w:szCs w:val="18"/>
              </w:rPr>
            </w:pPr>
            <w:r>
              <w:rPr>
                <w:rFonts w:hint="eastAsia" w:ascii="宋体" w:hAnsi="宋体" w:cs="宋体"/>
                <w:bCs/>
                <w:color w:val="000000"/>
                <w:sz w:val="18"/>
                <w:szCs w:val="18"/>
              </w:rPr>
              <w:t>0.1</w:t>
            </w:r>
          </w:p>
        </w:tc>
        <w:tc>
          <w:tcPr>
            <w:tcW w:w="2088" w:type="dxa"/>
            <w:tcBorders>
              <w:top w:val="single" w:color="auto" w:sz="8" w:space="0"/>
              <w:left w:val="single" w:color="auto" w:sz="8" w:space="0"/>
              <w:bottom w:val="single" w:color="auto" w:sz="8" w:space="0"/>
              <w:right w:val="single" w:color="auto" w:sz="8" w:space="0"/>
            </w:tcBorders>
          </w:tcPr>
          <w:p w14:paraId="019B4718">
            <w:pPr>
              <w:jc w:val="center"/>
              <w:rPr>
                <w:rFonts w:hint="eastAsia" w:ascii="宋体" w:hAnsi="宋体" w:cs="宋体"/>
                <w:bCs/>
                <w:color w:val="000000"/>
                <w:sz w:val="18"/>
                <w:szCs w:val="18"/>
              </w:rPr>
            </w:pPr>
            <w:r>
              <w:rPr>
                <w:rFonts w:ascii="宋体" w:hAnsi="宋体" w:cs="宋体"/>
                <w:bCs/>
                <w:color w:val="000000"/>
                <w:sz w:val="18"/>
                <w:szCs w:val="18"/>
              </w:rPr>
              <w:t>75.08</w:t>
            </w:r>
          </w:p>
        </w:tc>
        <w:tc>
          <w:tcPr>
            <w:tcW w:w="2236" w:type="dxa"/>
            <w:tcBorders>
              <w:top w:val="single" w:color="auto" w:sz="8" w:space="0"/>
              <w:left w:val="single" w:color="auto" w:sz="8" w:space="0"/>
              <w:bottom w:val="single" w:color="auto" w:sz="8" w:space="0"/>
              <w:right w:val="single" w:color="auto" w:sz="12" w:space="0"/>
            </w:tcBorders>
          </w:tcPr>
          <w:p w14:paraId="3D030390">
            <w:pPr>
              <w:jc w:val="center"/>
              <w:rPr>
                <w:rFonts w:hint="eastAsia" w:ascii="宋体" w:hAnsi="宋体" w:cs="宋体"/>
                <w:bCs/>
                <w:color w:val="000000"/>
                <w:sz w:val="18"/>
                <w:szCs w:val="18"/>
              </w:rPr>
            </w:pPr>
            <w:r>
              <w:rPr>
                <w:rFonts w:ascii="宋体" w:hAnsi="宋体" w:cs="宋体"/>
                <w:bCs/>
                <w:color w:val="000000"/>
                <w:sz w:val="18"/>
                <w:szCs w:val="18"/>
              </w:rPr>
              <w:t>100.11</w:t>
            </w:r>
          </w:p>
        </w:tc>
      </w:tr>
      <w:tr w14:paraId="761D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12" w:space="0"/>
              <w:right w:val="single" w:color="auto" w:sz="8" w:space="0"/>
            </w:tcBorders>
            <w:vAlign w:val="center"/>
          </w:tcPr>
          <w:p w14:paraId="719F593D">
            <w:pPr>
              <w:jc w:val="center"/>
              <w:rPr>
                <w:rFonts w:hint="eastAsia" w:ascii="宋体" w:hAnsi="宋体" w:cs="宋体"/>
                <w:bCs/>
                <w:color w:val="000000"/>
                <w:sz w:val="18"/>
                <w:szCs w:val="18"/>
              </w:rPr>
            </w:pPr>
            <w:r>
              <w:rPr>
                <w:rFonts w:hint="eastAsia" w:ascii="宋体" w:hAnsi="宋体" w:cs="宋体"/>
                <w:bCs/>
                <w:color w:val="000000"/>
                <w:sz w:val="18"/>
                <w:szCs w:val="18"/>
              </w:rPr>
              <w:t>混合元素</w:t>
            </w:r>
          </w:p>
        </w:tc>
        <w:tc>
          <w:tcPr>
            <w:tcW w:w="3036" w:type="dxa"/>
            <w:tcBorders>
              <w:top w:val="single" w:color="auto" w:sz="8" w:space="0"/>
              <w:left w:val="single" w:color="auto" w:sz="8" w:space="0"/>
              <w:bottom w:val="single" w:color="auto" w:sz="12" w:space="0"/>
              <w:right w:val="single" w:color="auto" w:sz="8" w:space="0"/>
            </w:tcBorders>
          </w:tcPr>
          <w:p w14:paraId="092F76AB">
            <w:pPr>
              <w:jc w:val="center"/>
              <w:rPr>
                <w:rFonts w:hint="eastAsia" w:ascii="宋体" w:hAnsi="宋体" w:cs="宋体"/>
                <w:bCs/>
                <w:color w:val="000000"/>
                <w:sz w:val="18"/>
                <w:szCs w:val="18"/>
              </w:rPr>
            </w:pPr>
            <w:r>
              <w:rPr>
                <w:rFonts w:hint="eastAsia" w:ascii="宋体" w:hAnsi="宋体" w:cs="宋体"/>
                <w:bCs/>
                <w:color w:val="000000"/>
                <w:sz w:val="18"/>
                <w:szCs w:val="18"/>
              </w:rPr>
              <w:t>Cu：450、Zn：62.5、Sn：55、Ni：7.5、Sb：2.5、Fe：2、Mn：1、S：0.5、P：0.3、As：0.3、Al：0.1</w:t>
            </w:r>
          </w:p>
        </w:tc>
        <w:tc>
          <w:tcPr>
            <w:tcW w:w="2088" w:type="dxa"/>
            <w:tcBorders>
              <w:top w:val="single" w:color="auto" w:sz="8" w:space="0"/>
              <w:left w:val="single" w:color="auto" w:sz="8" w:space="0"/>
              <w:bottom w:val="single" w:color="auto" w:sz="12" w:space="0"/>
              <w:right w:val="single" w:color="auto" w:sz="8" w:space="0"/>
            </w:tcBorders>
            <w:vAlign w:val="center"/>
          </w:tcPr>
          <w:p w14:paraId="7CE83B2F">
            <w:pPr>
              <w:jc w:val="center"/>
              <w:rPr>
                <w:rFonts w:hint="eastAsia" w:ascii="宋体" w:hAnsi="宋体" w:cs="宋体"/>
                <w:bCs/>
                <w:color w:val="000000"/>
                <w:sz w:val="18"/>
                <w:szCs w:val="18"/>
              </w:rPr>
            </w:pPr>
            <w:r>
              <w:rPr>
                <w:rFonts w:hint="eastAsia" w:ascii="宋体" w:hAnsi="宋体" w:cs="宋体"/>
                <w:bCs/>
                <w:color w:val="000000"/>
                <w:sz w:val="18"/>
                <w:szCs w:val="18"/>
              </w:rPr>
              <w:t>75.06</w:t>
            </w:r>
          </w:p>
        </w:tc>
        <w:tc>
          <w:tcPr>
            <w:tcW w:w="2236" w:type="dxa"/>
            <w:tcBorders>
              <w:top w:val="single" w:color="auto" w:sz="8" w:space="0"/>
              <w:left w:val="single" w:color="auto" w:sz="8" w:space="0"/>
              <w:bottom w:val="single" w:color="auto" w:sz="12" w:space="0"/>
              <w:right w:val="single" w:color="auto" w:sz="12" w:space="0"/>
            </w:tcBorders>
            <w:vAlign w:val="center"/>
          </w:tcPr>
          <w:p w14:paraId="74337BB3">
            <w:pPr>
              <w:jc w:val="center"/>
              <w:rPr>
                <w:rFonts w:hint="eastAsia" w:ascii="宋体" w:hAnsi="宋体" w:cs="宋体"/>
                <w:bCs/>
                <w:color w:val="000000"/>
                <w:sz w:val="18"/>
                <w:szCs w:val="18"/>
              </w:rPr>
            </w:pPr>
            <w:r>
              <w:rPr>
                <w:rFonts w:hint="eastAsia" w:ascii="宋体" w:hAnsi="宋体" w:cs="宋体"/>
                <w:bCs/>
                <w:color w:val="000000"/>
                <w:sz w:val="18"/>
                <w:szCs w:val="18"/>
              </w:rPr>
              <w:t>100.08</w:t>
            </w:r>
          </w:p>
        </w:tc>
      </w:tr>
    </w:tbl>
    <w:p w14:paraId="4C19CEE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表10-4 各元素对铅测定的影响试验结果（深圳市中金岭南有色金属股份有限公司）</w:t>
      </w:r>
    </w:p>
    <w:tbl>
      <w:tblPr>
        <w:tblStyle w:val="13"/>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036"/>
        <w:gridCol w:w="2088"/>
        <w:gridCol w:w="2236"/>
      </w:tblGrid>
      <w:tr w14:paraId="2D7C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17" w:type="dxa"/>
            <w:tcBorders>
              <w:top w:val="single" w:color="auto" w:sz="12" w:space="0"/>
              <w:left w:val="single" w:color="auto" w:sz="12" w:space="0"/>
              <w:bottom w:val="single" w:color="auto" w:sz="8" w:space="0"/>
              <w:right w:val="single" w:color="auto" w:sz="8" w:space="0"/>
            </w:tcBorders>
            <w:noWrap w:val="0"/>
            <w:vAlign w:val="center"/>
          </w:tcPr>
          <w:p w14:paraId="3863A166">
            <w:pPr>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共存元素</w:t>
            </w:r>
          </w:p>
        </w:tc>
        <w:tc>
          <w:tcPr>
            <w:tcW w:w="3036" w:type="dxa"/>
            <w:tcBorders>
              <w:top w:val="single" w:color="auto" w:sz="12" w:space="0"/>
              <w:left w:val="single" w:color="auto" w:sz="8" w:space="0"/>
              <w:bottom w:val="single" w:color="auto" w:sz="8" w:space="0"/>
              <w:right w:val="single" w:color="auto" w:sz="8" w:space="0"/>
            </w:tcBorders>
            <w:noWrap w:val="0"/>
            <w:vAlign w:val="center"/>
          </w:tcPr>
          <w:p w14:paraId="3712D516">
            <w:pPr>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各元素加入量</w:t>
            </w:r>
            <w:r>
              <w:rPr>
                <w:rFonts w:hint="eastAsia" w:ascii="宋体" w:hAnsi="宋体" w:eastAsia="宋体" w:cs="宋体"/>
                <w:bCs/>
                <w:color w:val="000000"/>
                <w:sz w:val="21"/>
                <w:szCs w:val="21"/>
                <w:lang w:val="en-US" w:eastAsia="zh-CN"/>
              </w:rPr>
              <w:t>/</w:t>
            </w:r>
            <w:r>
              <w:rPr>
                <w:rFonts w:hint="eastAsia" w:ascii="宋体" w:hAnsi="宋体" w:eastAsia="宋体" w:cs="宋体"/>
                <w:bCs/>
                <w:color w:val="000000"/>
                <w:sz w:val="21"/>
                <w:szCs w:val="21"/>
              </w:rPr>
              <w:t>mg</w:t>
            </w:r>
          </w:p>
        </w:tc>
        <w:tc>
          <w:tcPr>
            <w:tcW w:w="2088" w:type="dxa"/>
            <w:tcBorders>
              <w:top w:val="single" w:color="auto" w:sz="12" w:space="0"/>
              <w:left w:val="single" w:color="auto" w:sz="8" w:space="0"/>
              <w:bottom w:val="single" w:color="auto" w:sz="8" w:space="0"/>
              <w:right w:val="single" w:color="auto" w:sz="8" w:space="0"/>
            </w:tcBorders>
            <w:noWrap w:val="0"/>
            <w:vAlign w:val="center"/>
          </w:tcPr>
          <w:p w14:paraId="1532EB4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color w:val="000000"/>
                <w:szCs w:val="21"/>
                <w:vertAlign w:val="baseline"/>
                <w:lang w:val="en-US" w:eastAsia="zh-CN"/>
              </w:rPr>
            </w:pPr>
            <w:r>
              <w:rPr>
                <w:rFonts w:hint="eastAsia" w:ascii="宋体" w:hAnsi="宋体" w:eastAsia="宋体" w:cs="宋体"/>
                <w:bCs/>
                <w:color w:val="000000"/>
                <w:szCs w:val="21"/>
                <w:vertAlign w:val="baseline"/>
                <w:lang w:val="en-US" w:eastAsia="zh-CN"/>
              </w:rPr>
              <w:t>测得铅量/mg</w:t>
            </w:r>
          </w:p>
        </w:tc>
        <w:tc>
          <w:tcPr>
            <w:tcW w:w="2236" w:type="dxa"/>
            <w:tcBorders>
              <w:top w:val="single" w:color="auto" w:sz="12" w:space="0"/>
              <w:left w:val="single" w:color="auto" w:sz="8" w:space="0"/>
              <w:bottom w:val="single" w:color="auto" w:sz="8" w:space="0"/>
              <w:right w:val="single" w:color="auto" w:sz="12" w:space="0"/>
            </w:tcBorders>
            <w:noWrap w:val="0"/>
            <w:vAlign w:val="center"/>
          </w:tcPr>
          <w:p w14:paraId="4F1E93E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回收率/%</w:t>
            </w:r>
          </w:p>
        </w:tc>
      </w:tr>
      <w:tr w14:paraId="72C3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noWrap w:val="0"/>
            <w:vAlign w:val="top"/>
          </w:tcPr>
          <w:p w14:paraId="66C560B5">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Cu</w:t>
            </w:r>
          </w:p>
        </w:tc>
        <w:tc>
          <w:tcPr>
            <w:tcW w:w="3036" w:type="dxa"/>
            <w:tcBorders>
              <w:top w:val="single" w:color="auto" w:sz="8" w:space="0"/>
              <w:left w:val="single" w:color="auto" w:sz="8" w:space="0"/>
              <w:bottom w:val="single" w:color="auto" w:sz="8" w:space="0"/>
              <w:right w:val="single" w:color="auto" w:sz="8" w:space="0"/>
            </w:tcBorders>
            <w:noWrap w:val="0"/>
            <w:vAlign w:val="top"/>
          </w:tcPr>
          <w:p w14:paraId="08F97561">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450</w:t>
            </w:r>
          </w:p>
        </w:tc>
        <w:tc>
          <w:tcPr>
            <w:tcW w:w="2088" w:type="dxa"/>
            <w:tcBorders>
              <w:top w:val="single" w:color="auto" w:sz="8" w:space="0"/>
              <w:left w:val="single" w:color="auto" w:sz="8" w:space="0"/>
              <w:bottom w:val="single" w:color="auto" w:sz="8" w:space="0"/>
              <w:right w:val="single" w:color="auto" w:sz="8" w:space="0"/>
            </w:tcBorders>
            <w:noWrap w:val="0"/>
            <w:vAlign w:val="top"/>
          </w:tcPr>
          <w:p w14:paraId="361271F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75.06</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4015590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100.08</w:t>
            </w:r>
          </w:p>
        </w:tc>
      </w:tr>
      <w:tr w14:paraId="3E1D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noWrap w:val="0"/>
            <w:vAlign w:val="top"/>
          </w:tcPr>
          <w:p w14:paraId="4371CA88">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Zn</w:t>
            </w:r>
          </w:p>
        </w:tc>
        <w:tc>
          <w:tcPr>
            <w:tcW w:w="3036" w:type="dxa"/>
            <w:tcBorders>
              <w:top w:val="single" w:color="auto" w:sz="8" w:space="0"/>
              <w:left w:val="single" w:color="auto" w:sz="8" w:space="0"/>
              <w:bottom w:val="single" w:color="auto" w:sz="8" w:space="0"/>
              <w:right w:val="single" w:color="auto" w:sz="8" w:space="0"/>
            </w:tcBorders>
            <w:noWrap w:val="0"/>
            <w:vAlign w:val="top"/>
          </w:tcPr>
          <w:p w14:paraId="2C53449A">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62.5</w:t>
            </w:r>
          </w:p>
        </w:tc>
        <w:tc>
          <w:tcPr>
            <w:tcW w:w="2088" w:type="dxa"/>
            <w:tcBorders>
              <w:top w:val="single" w:color="auto" w:sz="8" w:space="0"/>
              <w:left w:val="single" w:color="auto" w:sz="8" w:space="0"/>
              <w:bottom w:val="single" w:color="auto" w:sz="8" w:space="0"/>
              <w:right w:val="single" w:color="auto" w:sz="8" w:space="0"/>
            </w:tcBorders>
            <w:noWrap w:val="0"/>
            <w:vAlign w:val="top"/>
          </w:tcPr>
          <w:p w14:paraId="0ECFC03E">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75.14</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56E99664">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100.19</w:t>
            </w:r>
          </w:p>
        </w:tc>
      </w:tr>
      <w:tr w14:paraId="7B33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noWrap w:val="0"/>
            <w:vAlign w:val="top"/>
          </w:tcPr>
          <w:p w14:paraId="4078D448">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Sn</w:t>
            </w:r>
          </w:p>
        </w:tc>
        <w:tc>
          <w:tcPr>
            <w:tcW w:w="3036" w:type="dxa"/>
            <w:tcBorders>
              <w:top w:val="single" w:color="auto" w:sz="8" w:space="0"/>
              <w:left w:val="single" w:color="auto" w:sz="8" w:space="0"/>
              <w:bottom w:val="single" w:color="auto" w:sz="8" w:space="0"/>
              <w:right w:val="single" w:color="auto" w:sz="8" w:space="0"/>
            </w:tcBorders>
            <w:noWrap w:val="0"/>
            <w:vAlign w:val="top"/>
          </w:tcPr>
          <w:p w14:paraId="6448F641">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55</w:t>
            </w:r>
          </w:p>
        </w:tc>
        <w:tc>
          <w:tcPr>
            <w:tcW w:w="2088" w:type="dxa"/>
            <w:tcBorders>
              <w:top w:val="single" w:color="auto" w:sz="8" w:space="0"/>
              <w:left w:val="single" w:color="auto" w:sz="8" w:space="0"/>
              <w:bottom w:val="single" w:color="auto" w:sz="8" w:space="0"/>
              <w:right w:val="single" w:color="auto" w:sz="8" w:space="0"/>
            </w:tcBorders>
            <w:noWrap w:val="0"/>
            <w:vAlign w:val="top"/>
          </w:tcPr>
          <w:p w14:paraId="17DCA24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74.90</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2FB27F43">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99.87</w:t>
            </w:r>
          </w:p>
        </w:tc>
      </w:tr>
      <w:tr w14:paraId="7E8A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2BA0F64F">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Ni</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7EAA1850">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7.5</w:t>
            </w:r>
          </w:p>
        </w:tc>
        <w:tc>
          <w:tcPr>
            <w:tcW w:w="2088" w:type="dxa"/>
            <w:tcBorders>
              <w:top w:val="single" w:color="auto" w:sz="8" w:space="0"/>
              <w:left w:val="single" w:color="auto" w:sz="8" w:space="0"/>
              <w:bottom w:val="single" w:color="auto" w:sz="8" w:space="0"/>
              <w:right w:val="single" w:color="auto" w:sz="8" w:space="0"/>
            </w:tcBorders>
            <w:noWrap w:val="0"/>
            <w:vAlign w:val="top"/>
          </w:tcPr>
          <w:p w14:paraId="52E11BD4">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75.05</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7B8E5D47">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100.07</w:t>
            </w:r>
          </w:p>
        </w:tc>
      </w:tr>
      <w:tr w14:paraId="56AB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5AE3FCB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Sb</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3C7E04A2">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2.5</w:t>
            </w:r>
          </w:p>
        </w:tc>
        <w:tc>
          <w:tcPr>
            <w:tcW w:w="2088" w:type="dxa"/>
            <w:tcBorders>
              <w:top w:val="single" w:color="auto" w:sz="8" w:space="0"/>
              <w:left w:val="single" w:color="auto" w:sz="8" w:space="0"/>
              <w:bottom w:val="single" w:color="auto" w:sz="8" w:space="0"/>
              <w:right w:val="single" w:color="auto" w:sz="8" w:space="0"/>
            </w:tcBorders>
            <w:noWrap w:val="0"/>
            <w:vAlign w:val="top"/>
          </w:tcPr>
          <w:p w14:paraId="51CB1CA3">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75.06</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03FC02F5">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100.08</w:t>
            </w:r>
          </w:p>
        </w:tc>
      </w:tr>
      <w:tr w14:paraId="3C88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37866B1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Fe</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601D294E">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2</w:t>
            </w:r>
            <w:r>
              <w:rPr>
                <w:rFonts w:hint="eastAsia" w:ascii="宋体" w:hAnsi="宋体" w:cs="宋体"/>
                <w:bCs/>
                <w:color w:val="000000"/>
                <w:sz w:val="18"/>
                <w:szCs w:val="18"/>
                <w:lang w:val="en-US" w:eastAsia="zh-CN"/>
              </w:rPr>
              <w:t>.0</w:t>
            </w:r>
          </w:p>
        </w:tc>
        <w:tc>
          <w:tcPr>
            <w:tcW w:w="2088" w:type="dxa"/>
            <w:tcBorders>
              <w:top w:val="single" w:color="auto" w:sz="8" w:space="0"/>
              <w:left w:val="single" w:color="auto" w:sz="8" w:space="0"/>
              <w:bottom w:val="single" w:color="auto" w:sz="8" w:space="0"/>
              <w:right w:val="single" w:color="auto" w:sz="8" w:space="0"/>
            </w:tcBorders>
            <w:noWrap w:val="0"/>
            <w:vAlign w:val="top"/>
          </w:tcPr>
          <w:p w14:paraId="6C129375">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75.04</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263C9C60">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100.05</w:t>
            </w:r>
          </w:p>
        </w:tc>
      </w:tr>
      <w:tr w14:paraId="462A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3CA01000">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Mn</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17D4BD1C">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1</w:t>
            </w:r>
            <w:r>
              <w:rPr>
                <w:rFonts w:hint="eastAsia" w:ascii="宋体" w:hAnsi="宋体" w:cs="宋体"/>
                <w:bCs/>
                <w:color w:val="000000"/>
                <w:sz w:val="18"/>
                <w:szCs w:val="18"/>
                <w:vertAlign w:val="baseline"/>
                <w:lang w:val="en-US" w:eastAsia="zh-CN"/>
              </w:rPr>
              <w:t>.0</w:t>
            </w:r>
          </w:p>
        </w:tc>
        <w:tc>
          <w:tcPr>
            <w:tcW w:w="2088" w:type="dxa"/>
            <w:tcBorders>
              <w:top w:val="single" w:color="auto" w:sz="8" w:space="0"/>
              <w:left w:val="single" w:color="auto" w:sz="8" w:space="0"/>
              <w:bottom w:val="single" w:color="auto" w:sz="8" w:space="0"/>
              <w:right w:val="single" w:color="auto" w:sz="8" w:space="0"/>
            </w:tcBorders>
            <w:noWrap w:val="0"/>
            <w:vAlign w:val="top"/>
          </w:tcPr>
          <w:p w14:paraId="63A9751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75.02</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61A9D908">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100.03</w:t>
            </w:r>
          </w:p>
        </w:tc>
      </w:tr>
      <w:tr w14:paraId="32F8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09BD7C7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S</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2FB74884">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0.5</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5A6BD429">
            <w:pPr>
              <w:keepNext w:val="0"/>
              <w:keepLines w:val="0"/>
              <w:widowControl/>
              <w:suppressLineNumbers w:val="0"/>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 xml:space="preserve">75.08 </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105BB90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kern w:val="2"/>
                <w:sz w:val="18"/>
                <w:szCs w:val="18"/>
                <w:lang w:val="en-US" w:eastAsia="zh-CN" w:bidi="ar-SA"/>
              </w:rPr>
              <w:t>100.11</w:t>
            </w:r>
          </w:p>
        </w:tc>
      </w:tr>
      <w:tr w14:paraId="1E51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58E98B8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P</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46EEE560">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0.3</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47C532E3">
            <w:pPr>
              <w:keepNext w:val="0"/>
              <w:keepLines w:val="0"/>
              <w:widowControl/>
              <w:suppressLineNumbers w:val="0"/>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75.08 </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61C16CB0">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100.11</w:t>
            </w:r>
          </w:p>
        </w:tc>
      </w:tr>
      <w:tr w14:paraId="1C7B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6CB84EC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As</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55F3E979">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0.3</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14CC2D63">
            <w:pPr>
              <w:keepNext w:val="0"/>
              <w:keepLines w:val="0"/>
              <w:widowControl/>
              <w:suppressLineNumbers w:val="0"/>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75.08 </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24D9438F">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100.11</w:t>
            </w:r>
          </w:p>
        </w:tc>
      </w:tr>
      <w:tr w14:paraId="7E13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496E36A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Al</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096A0B7B">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0.1</w:t>
            </w:r>
          </w:p>
        </w:tc>
        <w:tc>
          <w:tcPr>
            <w:tcW w:w="2088" w:type="dxa"/>
            <w:tcBorders>
              <w:top w:val="single" w:color="auto" w:sz="8" w:space="0"/>
              <w:left w:val="single" w:color="auto" w:sz="8" w:space="0"/>
              <w:bottom w:val="single" w:color="auto" w:sz="8" w:space="0"/>
              <w:right w:val="single" w:color="auto" w:sz="8" w:space="0"/>
            </w:tcBorders>
            <w:noWrap w:val="0"/>
            <w:vAlign w:val="top"/>
          </w:tcPr>
          <w:p w14:paraId="5569D44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75.03</w:t>
            </w:r>
          </w:p>
        </w:tc>
        <w:tc>
          <w:tcPr>
            <w:tcW w:w="2236" w:type="dxa"/>
            <w:tcBorders>
              <w:top w:val="single" w:color="auto" w:sz="8" w:space="0"/>
              <w:left w:val="single" w:color="auto" w:sz="8" w:space="0"/>
              <w:bottom w:val="single" w:color="auto" w:sz="8" w:space="0"/>
              <w:right w:val="single" w:color="auto" w:sz="12" w:space="0"/>
            </w:tcBorders>
            <w:noWrap w:val="0"/>
            <w:vAlign w:val="top"/>
          </w:tcPr>
          <w:p w14:paraId="0F3A667E">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100.04</w:t>
            </w:r>
          </w:p>
        </w:tc>
      </w:tr>
      <w:tr w14:paraId="2326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12" w:space="0"/>
              <w:right w:val="single" w:color="auto" w:sz="8" w:space="0"/>
            </w:tcBorders>
            <w:noWrap w:val="0"/>
            <w:vAlign w:val="center"/>
          </w:tcPr>
          <w:p w14:paraId="1614C6D5">
            <w:pPr>
              <w:jc w:val="center"/>
              <w:rPr>
                <w:rFonts w:hint="eastAsia" w:ascii="宋体" w:hAnsi="宋体" w:eastAsia="宋体" w:cs="宋体"/>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混合元素</w:t>
            </w:r>
          </w:p>
        </w:tc>
        <w:tc>
          <w:tcPr>
            <w:tcW w:w="3036" w:type="dxa"/>
            <w:tcBorders>
              <w:top w:val="single" w:color="auto" w:sz="8" w:space="0"/>
              <w:left w:val="single" w:color="auto" w:sz="8" w:space="0"/>
              <w:bottom w:val="single" w:color="auto" w:sz="12" w:space="0"/>
              <w:right w:val="single" w:color="auto" w:sz="8" w:space="0"/>
            </w:tcBorders>
            <w:noWrap w:val="0"/>
            <w:vAlign w:val="top"/>
          </w:tcPr>
          <w:p w14:paraId="331629B4">
            <w:pPr>
              <w:jc w:val="center"/>
              <w:rPr>
                <w:rFonts w:hint="eastAsia" w:ascii="宋体" w:hAnsi="宋体" w:eastAsia="宋体" w:cs="宋体"/>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Cu：450、Zn：62.5、Sn：55、Ni：7.5、Sb：2.5、Fe：2、Mn：1、S：0.5、P：0.3、As：0.3、Al：0.1</w:t>
            </w:r>
          </w:p>
        </w:tc>
        <w:tc>
          <w:tcPr>
            <w:tcW w:w="2088" w:type="dxa"/>
            <w:tcBorders>
              <w:top w:val="single" w:color="auto" w:sz="8" w:space="0"/>
              <w:left w:val="single" w:color="auto" w:sz="8" w:space="0"/>
              <w:bottom w:val="single" w:color="auto" w:sz="12" w:space="0"/>
              <w:right w:val="single" w:color="auto" w:sz="8" w:space="0"/>
            </w:tcBorders>
            <w:noWrap w:val="0"/>
            <w:vAlign w:val="center"/>
          </w:tcPr>
          <w:p w14:paraId="2A2C4FBE">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75.02</w:t>
            </w:r>
          </w:p>
        </w:tc>
        <w:tc>
          <w:tcPr>
            <w:tcW w:w="2236" w:type="dxa"/>
            <w:tcBorders>
              <w:top w:val="single" w:color="auto" w:sz="8" w:space="0"/>
              <w:left w:val="single" w:color="auto" w:sz="8" w:space="0"/>
              <w:bottom w:val="single" w:color="auto" w:sz="12" w:space="0"/>
              <w:right w:val="single" w:color="auto" w:sz="12" w:space="0"/>
            </w:tcBorders>
            <w:noWrap w:val="0"/>
            <w:vAlign w:val="center"/>
          </w:tcPr>
          <w:p w14:paraId="09975702">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100.03</w:t>
            </w:r>
          </w:p>
        </w:tc>
      </w:tr>
    </w:tbl>
    <w:p w14:paraId="25823EA4">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p>
    <w:p w14:paraId="236166DE">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表10-5 各元素对铅测定的影响试验结果（大冶有色设计研究院有限公司）</w:t>
      </w:r>
    </w:p>
    <w:tbl>
      <w:tblPr>
        <w:tblStyle w:val="13"/>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036"/>
        <w:gridCol w:w="2088"/>
        <w:gridCol w:w="2236"/>
      </w:tblGrid>
      <w:tr w14:paraId="47F9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17" w:type="dxa"/>
            <w:tcBorders>
              <w:top w:val="single" w:color="auto" w:sz="12" w:space="0"/>
              <w:left w:val="single" w:color="auto" w:sz="12" w:space="0"/>
              <w:bottom w:val="single" w:color="auto" w:sz="8" w:space="0"/>
              <w:right w:val="single" w:color="auto" w:sz="8" w:space="0"/>
            </w:tcBorders>
            <w:noWrap w:val="0"/>
            <w:vAlign w:val="center"/>
          </w:tcPr>
          <w:p w14:paraId="1858FCA3">
            <w:pPr>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共存元素</w:t>
            </w:r>
          </w:p>
        </w:tc>
        <w:tc>
          <w:tcPr>
            <w:tcW w:w="3036" w:type="dxa"/>
            <w:tcBorders>
              <w:top w:val="single" w:color="auto" w:sz="12" w:space="0"/>
              <w:left w:val="single" w:color="auto" w:sz="8" w:space="0"/>
              <w:bottom w:val="single" w:color="auto" w:sz="8" w:space="0"/>
              <w:right w:val="single" w:color="auto" w:sz="8" w:space="0"/>
            </w:tcBorders>
            <w:noWrap w:val="0"/>
            <w:vAlign w:val="center"/>
          </w:tcPr>
          <w:p w14:paraId="783E33FC">
            <w:pPr>
              <w:jc w:val="center"/>
              <w:rPr>
                <w:rFonts w:hint="eastAsia" w:ascii="宋体" w:hAnsi="宋体" w:eastAsia="宋体" w:cs="宋体"/>
                <w:bCs/>
                <w:color w:val="000000"/>
                <w:sz w:val="21"/>
                <w:szCs w:val="21"/>
              </w:rPr>
            </w:pPr>
            <w:r>
              <w:rPr>
                <w:rFonts w:hint="eastAsia" w:ascii="宋体" w:hAnsi="宋体" w:eastAsia="宋体" w:cs="宋体"/>
                <w:bCs/>
                <w:color w:val="000000"/>
                <w:sz w:val="21"/>
                <w:szCs w:val="21"/>
              </w:rPr>
              <w:t>各元素加入量</w:t>
            </w:r>
            <w:r>
              <w:rPr>
                <w:rFonts w:hint="eastAsia" w:ascii="宋体" w:hAnsi="宋体" w:eastAsia="宋体" w:cs="宋体"/>
                <w:bCs/>
                <w:color w:val="000000"/>
                <w:sz w:val="21"/>
                <w:szCs w:val="21"/>
                <w:lang w:val="en-US" w:eastAsia="zh-CN"/>
              </w:rPr>
              <w:t>/</w:t>
            </w:r>
            <w:r>
              <w:rPr>
                <w:rFonts w:hint="eastAsia" w:ascii="宋体" w:hAnsi="宋体" w:eastAsia="宋体" w:cs="宋体"/>
                <w:bCs/>
                <w:color w:val="000000"/>
                <w:sz w:val="21"/>
                <w:szCs w:val="21"/>
              </w:rPr>
              <w:t>mg</w:t>
            </w:r>
          </w:p>
        </w:tc>
        <w:tc>
          <w:tcPr>
            <w:tcW w:w="2088" w:type="dxa"/>
            <w:tcBorders>
              <w:top w:val="single" w:color="auto" w:sz="12" w:space="0"/>
              <w:left w:val="single" w:color="auto" w:sz="8" w:space="0"/>
              <w:bottom w:val="single" w:color="auto" w:sz="8" w:space="0"/>
              <w:right w:val="single" w:color="auto" w:sz="8" w:space="0"/>
            </w:tcBorders>
            <w:noWrap w:val="0"/>
            <w:vAlign w:val="center"/>
          </w:tcPr>
          <w:p w14:paraId="6B41489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color w:val="000000"/>
                <w:szCs w:val="21"/>
                <w:vertAlign w:val="baseline"/>
                <w:lang w:val="en-US" w:eastAsia="zh-CN"/>
              </w:rPr>
            </w:pPr>
            <w:r>
              <w:rPr>
                <w:rFonts w:hint="eastAsia" w:ascii="宋体" w:hAnsi="宋体" w:eastAsia="宋体" w:cs="宋体"/>
                <w:bCs/>
                <w:color w:val="000000"/>
                <w:szCs w:val="21"/>
                <w:vertAlign w:val="baseline"/>
                <w:lang w:val="en-US" w:eastAsia="zh-CN"/>
              </w:rPr>
              <w:t>测得铅量/mg</w:t>
            </w:r>
          </w:p>
        </w:tc>
        <w:tc>
          <w:tcPr>
            <w:tcW w:w="2236" w:type="dxa"/>
            <w:tcBorders>
              <w:top w:val="single" w:color="auto" w:sz="12" w:space="0"/>
              <w:left w:val="single" w:color="auto" w:sz="8" w:space="0"/>
              <w:bottom w:val="single" w:color="auto" w:sz="8" w:space="0"/>
              <w:right w:val="single" w:color="auto" w:sz="12" w:space="0"/>
            </w:tcBorders>
            <w:noWrap w:val="0"/>
            <w:vAlign w:val="center"/>
          </w:tcPr>
          <w:p w14:paraId="75553B2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回收率/%</w:t>
            </w:r>
          </w:p>
        </w:tc>
      </w:tr>
      <w:tr w14:paraId="6239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noWrap w:val="0"/>
            <w:vAlign w:val="top"/>
          </w:tcPr>
          <w:p w14:paraId="27461914">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Cu</w:t>
            </w:r>
          </w:p>
        </w:tc>
        <w:tc>
          <w:tcPr>
            <w:tcW w:w="3036" w:type="dxa"/>
            <w:tcBorders>
              <w:top w:val="single" w:color="auto" w:sz="8" w:space="0"/>
              <w:left w:val="single" w:color="auto" w:sz="8" w:space="0"/>
              <w:bottom w:val="single" w:color="auto" w:sz="8" w:space="0"/>
              <w:right w:val="single" w:color="auto" w:sz="8" w:space="0"/>
            </w:tcBorders>
            <w:noWrap w:val="0"/>
            <w:vAlign w:val="top"/>
          </w:tcPr>
          <w:p w14:paraId="537CAA95">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450</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5F6E2B5B">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74.89</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04950D22">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99.85</w:t>
            </w:r>
          </w:p>
        </w:tc>
      </w:tr>
      <w:tr w14:paraId="406A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noWrap w:val="0"/>
            <w:vAlign w:val="top"/>
          </w:tcPr>
          <w:p w14:paraId="1745C2A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Zn</w:t>
            </w:r>
          </w:p>
        </w:tc>
        <w:tc>
          <w:tcPr>
            <w:tcW w:w="3036" w:type="dxa"/>
            <w:tcBorders>
              <w:top w:val="single" w:color="auto" w:sz="8" w:space="0"/>
              <w:left w:val="single" w:color="auto" w:sz="8" w:space="0"/>
              <w:bottom w:val="single" w:color="auto" w:sz="8" w:space="0"/>
              <w:right w:val="single" w:color="auto" w:sz="8" w:space="0"/>
            </w:tcBorders>
            <w:noWrap w:val="0"/>
            <w:vAlign w:val="top"/>
          </w:tcPr>
          <w:p w14:paraId="37DBE78E">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62.5</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4376D085">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75.01</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16B49791">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100.01</w:t>
            </w:r>
          </w:p>
        </w:tc>
      </w:tr>
      <w:tr w14:paraId="3599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noWrap w:val="0"/>
            <w:vAlign w:val="top"/>
          </w:tcPr>
          <w:p w14:paraId="56ECFB2D">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lang w:val="en-US" w:eastAsia="zh-CN"/>
              </w:rPr>
              <w:t>Sn</w:t>
            </w:r>
          </w:p>
        </w:tc>
        <w:tc>
          <w:tcPr>
            <w:tcW w:w="3036" w:type="dxa"/>
            <w:tcBorders>
              <w:top w:val="single" w:color="auto" w:sz="8" w:space="0"/>
              <w:left w:val="single" w:color="auto" w:sz="8" w:space="0"/>
              <w:bottom w:val="single" w:color="auto" w:sz="8" w:space="0"/>
              <w:right w:val="single" w:color="auto" w:sz="8" w:space="0"/>
            </w:tcBorders>
            <w:noWrap w:val="0"/>
            <w:vAlign w:val="top"/>
          </w:tcPr>
          <w:p w14:paraId="594FCC28">
            <w:pPr>
              <w:jc w:val="center"/>
              <w:rPr>
                <w:rFonts w:hint="default" w:ascii="宋体" w:hAnsi="宋体" w:eastAsia="宋体" w:cs="宋体"/>
                <w:bCs/>
                <w:color w:val="000000"/>
                <w:sz w:val="18"/>
                <w:szCs w:val="18"/>
                <w:lang w:val="en-US"/>
              </w:rPr>
            </w:pPr>
            <w:r>
              <w:rPr>
                <w:rFonts w:hint="eastAsia" w:ascii="宋体" w:hAnsi="宋体" w:eastAsia="宋体" w:cs="宋体"/>
                <w:bCs/>
                <w:color w:val="000000"/>
                <w:sz w:val="18"/>
                <w:szCs w:val="18"/>
                <w:lang w:val="en-US" w:eastAsia="zh-CN"/>
              </w:rPr>
              <w:t>55</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564820E2">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74.96</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1DEB43A5">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99.95</w:t>
            </w:r>
          </w:p>
        </w:tc>
      </w:tr>
      <w:tr w14:paraId="47D5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3586A839">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Ni</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7C0EF61A">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7.5</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4C3C7DF9">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74.95</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3568FDA6">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99.93</w:t>
            </w:r>
          </w:p>
        </w:tc>
      </w:tr>
      <w:tr w14:paraId="1D0B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194574C1">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Sb</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7C3BC81D">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2.5</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61A9F5EA">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75.02</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64C2234F">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100.03</w:t>
            </w:r>
          </w:p>
        </w:tc>
      </w:tr>
      <w:tr w14:paraId="1EE8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19DE3EF5">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Fe</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4320BABC">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2</w:t>
            </w:r>
            <w:r>
              <w:rPr>
                <w:rFonts w:hint="eastAsia" w:ascii="宋体" w:hAnsi="宋体" w:cs="宋体"/>
                <w:bCs/>
                <w:color w:val="000000"/>
                <w:sz w:val="18"/>
                <w:szCs w:val="18"/>
                <w:lang w:val="en-US" w:eastAsia="zh-CN"/>
              </w:rPr>
              <w:t>.0</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56B9ED73">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75.04</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205BA844">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100.05</w:t>
            </w:r>
          </w:p>
        </w:tc>
      </w:tr>
      <w:tr w14:paraId="6592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797402C2">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Mn</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28FF4911">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1</w:t>
            </w:r>
            <w:r>
              <w:rPr>
                <w:rFonts w:hint="eastAsia" w:ascii="宋体" w:hAnsi="宋体" w:cs="宋体"/>
                <w:bCs/>
                <w:color w:val="000000"/>
                <w:sz w:val="18"/>
                <w:szCs w:val="18"/>
                <w:vertAlign w:val="baseline"/>
                <w:lang w:val="en-US" w:eastAsia="zh-CN"/>
              </w:rPr>
              <w:t>.0</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5A1A40BA">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74.98</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0B70AC96">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99.97</w:t>
            </w:r>
          </w:p>
        </w:tc>
      </w:tr>
      <w:tr w14:paraId="35F1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0D00B418">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S</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097DEB3F">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lang w:val="en-US" w:eastAsia="zh-CN"/>
              </w:rPr>
              <w:t>0.5</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5BD26E12">
            <w:pPr>
              <w:keepNext w:val="0"/>
              <w:keepLines w:val="0"/>
              <w:widowControl/>
              <w:suppressLineNumbers w:val="0"/>
              <w:jc w:val="center"/>
              <w:textAlignment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74.97</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6C6B0E76">
            <w:pPr>
              <w:keepNext w:val="0"/>
              <w:keepLines w:val="0"/>
              <w:widowControl/>
              <w:suppressLineNumbers w:val="0"/>
              <w:jc w:val="center"/>
              <w:textAlignment w:val="top"/>
              <w:rPr>
                <w:rFonts w:hint="eastAsia" w:ascii="宋体" w:hAnsi="宋体" w:eastAsia="宋体" w:cs="宋体"/>
                <w:bCs/>
                <w:color w:val="000000"/>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99.96</w:t>
            </w:r>
          </w:p>
        </w:tc>
      </w:tr>
      <w:tr w14:paraId="2CA4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7B325DD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P</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52D05559">
            <w:pPr>
              <w:jc w:val="center"/>
              <w:rPr>
                <w:rFonts w:hint="default"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lang w:val="en-US" w:eastAsia="zh-CN"/>
              </w:rPr>
              <w:t>0.3</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0680D00B">
            <w:pPr>
              <w:keepNext w:val="0"/>
              <w:keepLines w:val="0"/>
              <w:widowControl/>
              <w:suppressLineNumbers w:val="0"/>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75.05</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2475C7A3">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100.07</w:t>
            </w:r>
          </w:p>
        </w:tc>
      </w:tr>
      <w:tr w14:paraId="6097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1E8FFDAE">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As</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6E40B6E6">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0.3</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718D7A82">
            <w:pPr>
              <w:keepNext w:val="0"/>
              <w:keepLines w:val="0"/>
              <w:widowControl/>
              <w:suppressLineNumbers w:val="0"/>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75.04</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23280FFD">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100.05</w:t>
            </w:r>
          </w:p>
        </w:tc>
      </w:tr>
      <w:tr w14:paraId="65E2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517" w:type="dxa"/>
            <w:tcBorders>
              <w:top w:val="single" w:color="auto" w:sz="8" w:space="0"/>
              <w:left w:val="single" w:color="auto" w:sz="12" w:space="0"/>
              <w:bottom w:val="single" w:color="auto" w:sz="8" w:space="0"/>
              <w:right w:val="single" w:color="auto" w:sz="8" w:space="0"/>
            </w:tcBorders>
            <w:shd w:val="clear" w:color="auto" w:fill="auto"/>
            <w:noWrap w:val="0"/>
            <w:vAlign w:val="top"/>
          </w:tcPr>
          <w:p w14:paraId="34215916">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Al</w:t>
            </w:r>
          </w:p>
        </w:tc>
        <w:tc>
          <w:tcPr>
            <w:tcW w:w="3036" w:type="dxa"/>
            <w:tcBorders>
              <w:top w:val="single" w:color="auto" w:sz="8" w:space="0"/>
              <w:left w:val="single" w:color="auto" w:sz="8" w:space="0"/>
              <w:bottom w:val="single" w:color="auto" w:sz="8" w:space="0"/>
              <w:right w:val="single" w:color="auto" w:sz="8" w:space="0"/>
            </w:tcBorders>
            <w:shd w:val="clear" w:color="auto" w:fill="auto"/>
            <w:noWrap w:val="0"/>
            <w:vAlign w:val="top"/>
          </w:tcPr>
          <w:p w14:paraId="53B63DDF">
            <w:pPr>
              <w:jc w:val="center"/>
              <w:rPr>
                <w:rFonts w:hint="default" w:ascii="宋体" w:hAnsi="宋体" w:eastAsia="宋体" w:cs="宋体"/>
                <w:color w:val="000000"/>
                <w:kern w:val="2"/>
                <w:sz w:val="18"/>
                <w:szCs w:val="18"/>
                <w:lang w:val="en-US" w:eastAsia="zh-CN" w:bidi="ar-SA"/>
              </w:rPr>
            </w:pPr>
            <w:r>
              <w:rPr>
                <w:rFonts w:hint="eastAsia" w:ascii="宋体" w:hAnsi="宋体" w:eastAsia="宋体" w:cs="宋体"/>
                <w:bCs/>
                <w:color w:val="000000"/>
                <w:sz w:val="18"/>
                <w:szCs w:val="18"/>
                <w:vertAlign w:val="baseline"/>
                <w:lang w:val="en-US" w:eastAsia="zh-CN"/>
              </w:rPr>
              <w:t>0.1</w:t>
            </w:r>
          </w:p>
        </w:tc>
        <w:tc>
          <w:tcPr>
            <w:tcW w:w="2088" w:type="dxa"/>
            <w:tcBorders>
              <w:top w:val="single" w:color="auto" w:sz="8" w:space="0"/>
              <w:left w:val="single" w:color="auto" w:sz="8" w:space="0"/>
              <w:bottom w:val="single" w:color="auto" w:sz="8" w:space="0"/>
              <w:right w:val="single" w:color="auto" w:sz="8" w:space="0"/>
            </w:tcBorders>
            <w:noWrap w:val="0"/>
            <w:vAlign w:val="center"/>
          </w:tcPr>
          <w:p w14:paraId="52DE0BC8">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74.97</w:t>
            </w:r>
          </w:p>
        </w:tc>
        <w:tc>
          <w:tcPr>
            <w:tcW w:w="2236" w:type="dxa"/>
            <w:tcBorders>
              <w:top w:val="single" w:color="auto" w:sz="8" w:space="0"/>
              <w:left w:val="single" w:color="auto" w:sz="8" w:space="0"/>
              <w:bottom w:val="single" w:color="auto" w:sz="8" w:space="0"/>
              <w:right w:val="single" w:color="auto" w:sz="12" w:space="0"/>
            </w:tcBorders>
            <w:noWrap w:val="0"/>
            <w:vAlign w:val="center"/>
          </w:tcPr>
          <w:p w14:paraId="03499A30">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99.96</w:t>
            </w:r>
          </w:p>
        </w:tc>
      </w:tr>
      <w:tr w14:paraId="2942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12" w:space="0"/>
              <w:right w:val="single" w:color="auto" w:sz="8" w:space="0"/>
            </w:tcBorders>
            <w:noWrap w:val="0"/>
            <w:vAlign w:val="center"/>
          </w:tcPr>
          <w:p w14:paraId="164BFF8F">
            <w:pPr>
              <w:jc w:val="center"/>
              <w:rPr>
                <w:rFonts w:hint="eastAsia" w:ascii="宋体" w:hAnsi="宋体" w:eastAsia="宋体" w:cs="宋体"/>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混合元素</w:t>
            </w:r>
          </w:p>
        </w:tc>
        <w:tc>
          <w:tcPr>
            <w:tcW w:w="3036" w:type="dxa"/>
            <w:tcBorders>
              <w:top w:val="single" w:color="auto" w:sz="8" w:space="0"/>
              <w:left w:val="single" w:color="auto" w:sz="8" w:space="0"/>
              <w:bottom w:val="single" w:color="auto" w:sz="12" w:space="0"/>
              <w:right w:val="single" w:color="auto" w:sz="8" w:space="0"/>
            </w:tcBorders>
            <w:noWrap w:val="0"/>
            <w:vAlign w:val="top"/>
          </w:tcPr>
          <w:p w14:paraId="24F27F45">
            <w:pPr>
              <w:jc w:val="center"/>
              <w:rPr>
                <w:rFonts w:hint="eastAsia" w:ascii="宋体" w:hAnsi="宋体" w:eastAsia="宋体" w:cs="宋体"/>
                <w:bCs/>
                <w:color w:val="000000"/>
                <w:sz w:val="18"/>
                <w:szCs w:val="18"/>
                <w:vertAlign w:val="baseline"/>
                <w:lang w:val="en-US" w:eastAsia="zh-CN"/>
              </w:rPr>
            </w:pPr>
            <w:r>
              <w:rPr>
                <w:rFonts w:hint="eastAsia" w:ascii="宋体" w:hAnsi="宋体" w:eastAsia="宋体" w:cs="宋体"/>
                <w:bCs/>
                <w:color w:val="000000"/>
                <w:sz w:val="18"/>
                <w:szCs w:val="18"/>
                <w:vertAlign w:val="baseline"/>
                <w:lang w:val="en-US" w:eastAsia="zh-CN"/>
              </w:rPr>
              <w:t>Cu：450、Zn：62.5、Sn：55、Ni：7.5、Sb：2.5、Fe：2、Mn：1、S：0.5、P：0.3、As：0.3、Al：0.1</w:t>
            </w:r>
          </w:p>
        </w:tc>
        <w:tc>
          <w:tcPr>
            <w:tcW w:w="2088" w:type="dxa"/>
            <w:tcBorders>
              <w:top w:val="single" w:color="auto" w:sz="8" w:space="0"/>
              <w:left w:val="single" w:color="auto" w:sz="8" w:space="0"/>
              <w:bottom w:val="single" w:color="auto" w:sz="12" w:space="0"/>
              <w:right w:val="single" w:color="auto" w:sz="8" w:space="0"/>
            </w:tcBorders>
            <w:noWrap w:val="0"/>
            <w:vAlign w:val="center"/>
          </w:tcPr>
          <w:p w14:paraId="161DF5B3">
            <w:pPr>
              <w:keepNext w:val="0"/>
              <w:keepLines w:val="0"/>
              <w:widowControl/>
              <w:suppressLineNumbers w:val="0"/>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75.02</w:t>
            </w:r>
          </w:p>
        </w:tc>
        <w:tc>
          <w:tcPr>
            <w:tcW w:w="2236" w:type="dxa"/>
            <w:tcBorders>
              <w:top w:val="single" w:color="auto" w:sz="8" w:space="0"/>
              <w:left w:val="single" w:color="auto" w:sz="8" w:space="0"/>
              <w:bottom w:val="single" w:color="auto" w:sz="12" w:space="0"/>
              <w:right w:val="single" w:color="auto" w:sz="12" w:space="0"/>
            </w:tcBorders>
            <w:noWrap w:val="0"/>
            <w:vAlign w:val="center"/>
          </w:tcPr>
          <w:p w14:paraId="5615D70E">
            <w:pPr>
              <w:keepNext w:val="0"/>
              <w:keepLines w:val="0"/>
              <w:widowControl/>
              <w:suppressLineNumbers w:val="0"/>
              <w:jc w:val="center"/>
              <w:textAlignment w:val="top"/>
              <w:rPr>
                <w:rFonts w:hint="eastAsia" w:ascii="宋体" w:hAnsi="宋体" w:eastAsia="宋体" w:cs="宋体"/>
                <w:bCs/>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100.03</w:t>
            </w:r>
          </w:p>
        </w:tc>
      </w:tr>
    </w:tbl>
    <w:p w14:paraId="1224E565">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表10-6 各元素对铅测定的影响试验结果（昆明冶金研究院有限公司）</w:t>
      </w:r>
    </w:p>
    <w:tbl>
      <w:tblPr>
        <w:tblStyle w:val="13"/>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3036"/>
        <w:gridCol w:w="2088"/>
        <w:gridCol w:w="2236"/>
      </w:tblGrid>
      <w:tr w14:paraId="5F2E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517" w:type="dxa"/>
            <w:tcBorders>
              <w:top w:val="single" w:color="auto" w:sz="12" w:space="0"/>
              <w:left w:val="single" w:color="auto" w:sz="12" w:space="0"/>
              <w:bottom w:val="single" w:color="auto" w:sz="8" w:space="0"/>
              <w:right w:val="single" w:color="auto" w:sz="8" w:space="0"/>
            </w:tcBorders>
            <w:vAlign w:val="center"/>
          </w:tcPr>
          <w:p w14:paraId="2D9DCADF">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共存元素</w:t>
            </w:r>
          </w:p>
        </w:tc>
        <w:tc>
          <w:tcPr>
            <w:tcW w:w="3036" w:type="dxa"/>
            <w:tcBorders>
              <w:top w:val="single" w:color="auto" w:sz="12" w:space="0"/>
              <w:left w:val="single" w:color="auto" w:sz="8" w:space="0"/>
              <w:bottom w:val="single" w:color="auto" w:sz="8" w:space="0"/>
              <w:right w:val="single" w:color="auto" w:sz="8" w:space="0"/>
            </w:tcBorders>
            <w:vAlign w:val="center"/>
          </w:tcPr>
          <w:p w14:paraId="197CA940">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各元素加入量/mg</w:t>
            </w:r>
          </w:p>
        </w:tc>
        <w:tc>
          <w:tcPr>
            <w:tcW w:w="2088" w:type="dxa"/>
            <w:tcBorders>
              <w:top w:val="single" w:color="auto" w:sz="12" w:space="0"/>
              <w:left w:val="single" w:color="auto" w:sz="8" w:space="0"/>
              <w:bottom w:val="single" w:color="auto" w:sz="8" w:space="0"/>
              <w:right w:val="single" w:color="auto" w:sz="8" w:space="0"/>
            </w:tcBorders>
            <w:vAlign w:val="center"/>
          </w:tcPr>
          <w:p w14:paraId="5E75C6BA">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测得铅量/mg</w:t>
            </w:r>
          </w:p>
        </w:tc>
        <w:tc>
          <w:tcPr>
            <w:tcW w:w="2236" w:type="dxa"/>
            <w:tcBorders>
              <w:top w:val="single" w:color="auto" w:sz="12" w:space="0"/>
              <w:left w:val="single" w:color="auto" w:sz="8" w:space="0"/>
              <w:bottom w:val="single" w:color="auto" w:sz="8" w:space="0"/>
              <w:right w:val="single" w:color="auto" w:sz="12" w:space="0"/>
            </w:tcBorders>
            <w:vAlign w:val="center"/>
          </w:tcPr>
          <w:p w14:paraId="6755BC89">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回收率/%</w:t>
            </w:r>
          </w:p>
        </w:tc>
      </w:tr>
      <w:tr w14:paraId="159E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2295287C">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Cu</w:t>
            </w:r>
          </w:p>
        </w:tc>
        <w:tc>
          <w:tcPr>
            <w:tcW w:w="3036" w:type="dxa"/>
            <w:tcBorders>
              <w:top w:val="single" w:color="auto" w:sz="8" w:space="0"/>
              <w:left w:val="single" w:color="auto" w:sz="8" w:space="0"/>
              <w:bottom w:val="single" w:color="auto" w:sz="8" w:space="0"/>
              <w:right w:val="single" w:color="auto" w:sz="8" w:space="0"/>
            </w:tcBorders>
          </w:tcPr>
          <w:p w14:paraId="4F3EE1D5">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450</w:t>
            </w:r>
          </w:p>
        </w:tc>
        <w:tc>
          <w:tcPr>
            <w:tcW w:w="2088" w:type="dxa"/>
            <w:tcBorders>
              <w:top w:val="single" w:color="auto" w:sz="8" w:space="0"/>
              <w:left w:val="single" w:color="auto" w:sz="8" w:space="0"/>
              <w:bottom w:val="single" w:color="auto" w:sz="8" w:space="0"/>
              <w:right w:val="single" w:color="auto" w:sz="8" w:space="0"/>
            </w:tcBorders>
          </w:tcPr>
          <w:p w14:paraId="3A6A787A">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75.09</w:t>
            </w:r>
          </w:p>
        </w:tc>
        <w:tc>
          <w:tcPr>
            <w:tcW w:w="2236" w:type="dxa"/>
            <w:tcBorders>
              <w:top w:val="single" w:color="auto" w:sz="8" w:space="0"/>
              <w:left w:val="single" w:color="auto" w:sz="8" w:space="0"/>
              <w:bottom w:val="single" w:color="auto" w:sz="8" w:space="0"/>
              <w:right w:val="single" w:color="auto" w:sz="12" w:space="0"/>
            </w:tcBorders>
          </w:tcPr>
          <w:p w14:paraId="219CC0D5">
            <w:pPr>
              <w:jc w:val="center"/>
              <w:rPr>
                <w:rFonts w:hint="eastAsia" w:ascii="宋体" w:hAnsi="宋体" w:eastAsia="宋体" w:cs="宋体"/>
                <w:bCs/>
                <w:color w:val="000000"/>
                <w:sz w:val="18"/>
                <w:szCs w:val="18"/>
                <w:lang w:eastAsia="zh-CN"/>
              </w:rPr>
            </w:pPr>
            <w:r>
              <w:rPr>
                <w:rFonts w:hint="eastAsia" w:ascii="宋体" w:hAnsi="宋体" w:eastAsia="宋体" w:cs="宋体"/>
                <w:bCs/>
                <w:color w:val="000000"/>
                <w:sz w:val="18"/>
                <w:szCs w:val="18"/>
              </w:rPr>
              <w:t>100.0</w:t>
            </w:r>
            <w:r>
              <w:rPr>
                <w:rFonts w:hint="eastAsia" w:ascii="宋体" w:hAnsi="宋体" w:eastAsia="宋体" w:cs="宋体"/>
                <w:bCs/>
                <w:color w:val="000000"/>
                <w:sz w:val="18"/>
                <w:szCs w:val="18"/>
                <w:lang w:val="en-US" w:eastAsia="zh-CN"/>
              </w:rPr>
              <w:t>1</w:t>
            </w:r>
          </w:p>
        </w:tc>
      </w:tr>
      <w:tr w14:paraId="672F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7764CC55">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Zn</w:t>
            </w:r>
          </w:p>
        </w:tc>
        <w:tc>
          <w:tcPr>
            <w:tcW w:w="3036" w:type="dxa"/>
            <w:tcBorders>
              <w:top w:val="single" w:color="auto" w:sz="8" w:space="0"/>
              <w:left w:val="single" w:color="auto" w:sz="8" w:space="0"/>
              <w:bottom w:val="single" w:color="auto" w:sz="8" w:space="0"/>
              <w:right w:val="single" w:color="auto" w:sz="8" w:space="0"/>
            </w:tcBorders>
          </w:tcPr>
          <w:p w14:paraId="70FFC872">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62.5</w:t>
            </w:r>
          </w:p>
        </w:tc>
        <w:tc>
          <w:tcPr>
            <w:tcW w:w="2088" w:type="dxa"/>
            <w:tcBorders>
              <w:top w:val="single" w:color="auto" w:sz="8" w:space="0"/>
              <w:left w:val="single" w:color="auto" w:sz="8" w:space="0"/>
              <w:bottom w:val="single" w:color="auto" w:sz="8" w:space="0"/>
              <w:right w:val="single" w:color="auto" w:sz="8" w:space="0"/>
            </w:tcBorders>
          </w:tcPr>
          <w:p w14:paraId="1FB9A917">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74.90</w:t>
            </w:r>
          </w:p>
        </w:tc>
        <w:tc>
          <w:tcPr>
            <w:tcW w:w="2236" w:type="dxa"/>
            <w:tcBorders>
              <w:top w:val="single" w:color="auto" w:sz="8" w:space="0"/>
              <w:left w:val="single" w:color="auto" w:sz="8" w:space="0"/>
              <w:bottom w:val="single" w:color="auto" w:sz="8" w:space="0"/>
              <w:right w:val="single" w:color="auto" w:sz="12" w:space="0"/>
            </w:tcBorders>
          </w:tcPr>
          <w:p w14:paraId="30988B95">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99.87</w:t>
            </w:r>
          </w:p>
        </w:tc>
      </w:tr>
      <w:tr w14:paraId="06FE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28C3F205">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Sn</w:t>
            </w:r>
          </w:p>
        </w:tc>
        <w:tc>
          <w:tcPr>
            <w:tcW w:w="3036" w:type="dxa"/>
            <w:tcBorders>
              <w:top w:val="single" w:color="auto" w:sz="8" w:space="0"/>
              <w:left w:val="single" w:color="auto" w:sz="8" w:space="0"/>
              <w:bottom w:val="single" w:color="auto" w:sz="8" w:space="0"/>
              <w:right w:val="single" w:color="auto" w:sz="8" w:space="0"/>
            </w:tcBorders>
          </w:tcPr>
          <w:p w14:paraId="00287BC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55</w:t>
            </w:r>
          </w:p>
        </w:tc>
        <w:tc>
          <w:tcPr>
            <w:tcW w:w="2088" w:type="dxa"/>
            <w:tcBorders>
              <w:top w:val="single" w:color="auto" w:sz="8" w:space="0"/>
              <w:left w:val="single" w:color="auto" w:sz="8" w:space="0"/>
              <w:bottom w:val="single" w:color="auto" w:sz="8" w:space="0"/>
              <w:right w:val="single" w:color="auto" w:sz="8" w:space="0"/>
            </w:tcBorders>
          </w:tcPr>
          <w:p w14:paraId="2C21C349">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74.</w:t>
            </w:r>
            <w:r>
              <w:rPr>
                <w:rFonts w:hint="eastAsia" w:ascii="宋体" w:hAnsi="宋体" w:eastAsia="宋体" w:cs="宋体"/>
                <w:bCs/>
                <w:color w:val="000000"/>
                <w:sz w:val="18"/>
                <w:szCs w:val="18"/>
                <w:lang w:val="en-US" w:eastAsia="zh-CN"/>
              </w:rPr>
              <w:t>89</w:t>
            </w:r>
          </w:p>
        </w:tc>
        <w:tc>
          <w:tcPr>
            <w:tcW w:w="2236" w:type="dxa"/>
            <w:tcBorders>
              <w:top w:val="single" w:color="auto" w:sz="8" w:space="0"/>
              <w:left w:val="single" w:color="auto" w:sz="8" w:space="0"/>
              <w:bottom w:val="single" w:color="auto" w:sz="8" w:space="0"/>
              <w:right w:val="single" w:color="auto" w:sz="12" w:space="0"/>
            </w:tcBorders>
          </w:tcPr>
          <w:p w14:paraId="264D8544">
            <w:pPr>
              <w:jc w:val="center"/>
              <w:rPr>
                <w:rFonts w:hint="eastAsia" w:ascii="宋体" w:hAnsi="宋体" w:eastAsia="宋体" w:cs="宋体"/>
                <w:bCs/>
                <w:color w:val="000000"/>
                <w:sz w:val="18"/>
                <w:szCs w:val="18"/>
                <w:lang w:eastAsia="zh-CN"/>
              </w:rPr>
            </w:pPr>
            <w:r>
              <w:rPr>
                <w:rFonts w:hint="eastAsia" w:ascii="宋体" w:hAnsi="宋体" w:eastAsia="宋体" w:cs="宋体"/>
                <w:bCs/>
                <w:color w:val="000000"/>
                <w:sz w:val="18"/>
                <w:szCs w:val="18"/>
              </w:rPr>
              <w:t>99.8</w:t>
            </w:r>
            <w:r>
              <w:rPr>
                <w:rFonts w:hint="eastAsia" w:ascii="宋体" w:hAnsi="宋体" w:eastAsia="宋体" w:cs="宋体"/>
                <w:bCs/>
                <w:color w:val="000000"/>
                <w:sz w:val="18"/>
                <w:szCs w:val="18"/>
                <w:lang w:val="en-US" w:eastAsia="zh-CN"/>
              </w:rPr>
              <w:t>6</w:t>
            </w:r>
          </w:p>
        </w:tc>
      </w:tr>
      <w:tr w14:paraId="229B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618FF447">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Ni</w:t>
            </w:r>
          </w:p>
        </w:tc>
        <w:tc>
          <w:tcPr>
            <w:tcW w:w="3036" w:type="dxa"/>
            <w:tcBorders>
              <w:top w:val="single" w:color="auto" w:sz="8" w:space="0"/>
              <w:left w:val="single" w:color="auto" w:sz="8" w:space="0"/>
              <w:bottom w:val="single" w:color="auto" w:sz="8" w:space="0"/>
              <w:right w:val="single" w:color="auto" w:sz="8" w:space="0"/>
            </w:tcBorders>
          </w:tcPr>
          <w:p w14:paraId="6A9B315D">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7.5</w:t>
            </w:r>
          </w:p>
        </w:tc>
        <w:tc>
          <w:tcPr>
            <w:tcW w:w="2088" w:type="dxa"/>
            <w:tcBorders>
              <w:top w:val="single" w:color="auto" w:sz="8" w:space="0"/>
              <w:left w:val="single" w:color="auto" w:sz="8" w:space="0"/>
              <w:bottom w:val="single" w:color="auto" w:sz="8" w:space="0"/>
              <w:right w:val="single" w:color="auto" w:sz="8" w:space="0"/>
            </w:tcBorders>
          </w:tcPr>
          <w:p w14:paraId="5EC1BA5D">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7</w:t>
            </w:r>
            <w:r>
              <w:rPr>
                <w:rFonts w:hint="eastAsia" w:ascii="宋体" w:hAnsi="宋体" w:eastAsia="宋体" w:cs="宋体"/>
                <w:bCs/>
                <w:color w:val="000000"/>
                <w:sz w:val="18"/>
                <w:szCs w:val="18"/>
                <w:lang w:val="en-US" w:eastAsia="zh-CN"/>
              </w:rPr>
              <w:t>4.92</w:t>
            </w:r>
          </w:p>
        </w:tc>
        <w:tc>
          <w:tcPr>
            <w:tcW w:w="2236" w:type="dxa"/>
            <w:tcBorders>
              <w:top w:val="single" w:color="auto" w:sz="8" w:space="0"/>
              <w:left w:val="single" w:color="auto" w:sz="8" w:space="0"/>
              <w:bottom w:val="single" w:color="auto" w:sz="8" w:space="0"/>
              <w:right w:val="single" w:color="auto" w:sz="12" w:space="0"/>
            </w:tcBorders>
          </w:tcPr>
          <w:p w14:paraId="49176C1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99.89</w:t>
            </w:r>
          </w:p>
        </w:tc>
      </w:tr>
      <w:tr w14:paraId="2982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38B39D72">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Sb</w:t>
            </w:r>
          </w:p>
        </w:tc>
        <w:tc>
          <w:tcPr>
            <w:tcW w:w="3036" w:type="dxa"/>
            <w:tcBorders>
              <w:top w:val="single" w:color="auto" w:sz="8" w:space="0"/>
              <w:left w:val="single" w:color="auto" w:sz="8" w:space="0"/>
              <w:bottom w:val="single" w:color="auto" w:sz="8" w:space="0"/>
              <w:right w:val="single" w:color="auto" w:sz="8" w:space="0"/>
            </w:tcBorders>
          </w:tcPr>
          <w:p w14:paraId="5DABF255">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2.5</w:t>
            </w:r>
          </w:p>
        </w:tc>
        <w:tc>
          <w:tcPr>
            <w:tcW w:w="2088" w:type="dxa"/>
            <w:tcBorders>
              <w:top w:val="single" w:color="auto" w:sz="8" w:space="0"/>
              <w:left w:val="single" w:color="auto" w:sz="8" w:space="0"/>
              <w:bottom w:val="single" w:color="auto" w:sz="8" w:space="0"/>
              <w:right w:val="single" w:color="auto" w:sz="8" w:space="0"/>
            </w:tcBorders>
          </w:tcPr>
          <w:p w14:paraId="287C9181">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75.</w:t>
            </w:r>
            <w:r>
              <w:rPr>
                <w:rFonts w:hint="eastAsia" w:ascii="宋体" w:hAnsi="宋体" w:eastAsia="宋体" w:cs="宋体"/>
                <w:bCs/>
                <w:color w:val="000000"/>
                <w:sz w:val="18"/>
                <w:szCs w:val="18"/>
                <w:lang w:val="en-US" w:eastAsia="zh-CN"/>
              </w:rPr>
              <w:t>10</w:t>
            </w:r>
          </w:p>
        </w:tc>
        <w:tc>
          <w:tcPr>
            <w:tcW w:w="2236" w:type="dxa"/>
            <w:tcBorders>
              <w:top w:val="single" w:color="auto" w:sz="8" w:space="0"/>
              <w:left w:val="single" w:color="auto" w:sz="8" w:space="0"/>
              <w:bottom w:val="single" w:color="auto" w:sz="8" w:space="0"/>
              <w:right w:val="single" w:color="auto" w:sz="12" w:space="0"/>
            </w:tcBorders>
          </w:tcPr>
          <w:p w14:paraId="4DE6C78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100.</w:t>
            </w:r>
            <w:r>
              <w:rPr>
                <w:rFonts w:hint="eastAsia" w:ascii="宋体" w:hAnsi="宋体" w:eastAsia="宋体" w:cs="宋体"/>
                <w:bCs/>
                <w:color w:val="000000"/>
                <w:sz w:val="18"/>
                <w:szCs w:val="18"/>
                <w:lang w:val="en-US" w:eastAsia="zh-CN"/>
              </w:rPr>
              <w:t>13</w:t>
            </w:r>
          </w:p>
        </w:tc>
      </w:tr>
      <w:tr w14:paraId="07DD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7F99AC9C">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Fe</w:t>
            </w:r>
          </w:p>
        </w:tc>
        <w:tc>
          <w:tcPr>
            <w:tcW w:w="3036" w:type="dxa"/>
            <w:tcBorders>
              <w:top w:val="single" w:color="auto" w:sz="8" w:space="0"/>
              <w:left w:val="single" w:color="auto" w:sz="8" w:space="0"/>
              <w:bottom w:val="single" w:color="auto" w:sz="8" w:space="0"/>
              <w:right w:val="single" w:color="auto" w:sz="8" w:space="0"/>
            </w:tcBorders>
          </w:tcPr>
          <w:p w14:paraId="457FDF92">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2.0</w:t>
            </w:r>
          </w:p>
        </w:tc>
        <w:tc>
          <w:tcPr>
            <w:tcW w:w="2088" w:type="dxa"/>
            <w:tcBorders>
              <w:top w:val="single" w:color="auto" w:sz="8" w:space="0"/>
              <w:left w:val="single" w:color="auto" w:sz="8" w:space="0"/>
              <w:bottom w:val="single" w:color="auto" w:sz="8" w:space="0"/>
              <w:right w:val="single" w:color="auto" w:sz="8" w:space="0"/>
            </w:tcBorders>
          </w:tcPr>
          <w:p w14:paraId="55B0CA77">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74.92</w:t>
            </w:r>
          </w:p>
        </w:tc>
        <w:tc>
          <w:tcPr>
            <w:tcW w:w="2236" w:type="dxa"/>
            <w:tcBorders>
              <w:top w:val="single" w:color="auto" w:sz="8" w:space="0"/>
              <w:left w:val="single" w:color="auto" w:sz="8" w:space="0"/>
              <w:bottom w:val="single" w:color="auto" w:sz="8" w:space="0"/>
              <w:right w:val="single" w:color="auto" w:sz="12" w:space="0"/>
            </w:tcBorders>
          </w:tcPr>
          <w:p w14:paraId="7A541CAE">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99.89</w:t>
            </w:r>
          </w:p>
        </w:tc>
      </w:tr>
      <w:tr w14:paraId="2E72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4D805B22">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Mn</w:t>
            </w:r>
          </w:p>
        </w:tc>
        <w:tc>
          <w:tcPr>
            <w:tcW w:w="3036" w:type="dxa"/>
            <w:tcBorders>
              <w:top w:val="single" w:color="auto" w:sz="8" w:space="0"/>
              <w:left w:val="single" w:color="auto" w:sz="8" w:space="0"/>
              <w:bottom w:val="single" w:color="auto" w:sz="8" w:space="0"/>
              <w:right w:val="single" w:color="auto" w:sz="8" w:space="0"/>
            </w:tcBorders>
          </w:tcPr>
          <w:p w14:paraId="50351040">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1.0</w:t>
            </w:r>
          </w:p>
        </w:tc>
        <w:tc>
          <w:tcPr>
            <w:tcW w:w="2088" w:type="dxa"/>
            <w:tcBorders>
              <w:top w:val="single" w:color="auto" w:sz="8" w:space="0"/>
              <w:left w:val="single" w:color="auto" w:sz="8" w:space="0"/>
              <w:bottom w:val="single" w:color="auto" w:sz="8" w:space="0"/>
              <w:right w:val="single" w:color="auto" w:sz="8" w:space="0"/>
            </w:tcBorders>
          </w:tcPr>
          <w:p w14:paraId="1EBD4C7B">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74.96</w:t>
            </w:r>
          </w:p>
        </w:tc>
        <w:tc>
          <w:tcPr>
            <w:tcW w:w="2236" w:type="dxa"/>
            <w:tcBorders>
              <w:top w:val="single" w:color="auto" w:sz="8" w:space="0"/>
              <w:left w:val="single" w:color="auto" w:sz="8" w:space="0"/>
              <w:bottom w:val="single" w:color="auto" w:sz="8" w:space="0"/>
              <w:right w:val="single" w:color="auto" w:sz="12" w:space="0"/>
            </w:tcBorders>
          </w:tcPr>
          <w:p w14:paraId="5F2BCD5E">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99.95</w:t>
            </w:r>
          </w:p>
        </w:tc>
      </w:tr>
      <w:tr w14:paraId="00A1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79FE17DE">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S</w:t>
            </w:r>
          </w:p>
        </w:tc>
        <w:tc>
          <w:tcPr>
            <w:tcW w:w="3036" w:type="dxa"/>
            <w:tcBorders>
              <w:top w:val="single" w:color="auto" w:sz="8" w:space="0"/>
              <w:left w:val="single" w:color="auto" w:sz="8" w:space="0"/>
              <w:bottom w:val="single" w:color="auto" w:sz="8" w:space="0"/>
              <w:right w:val="single" w:color="auto" w:sz="8" w:space="0"/>
            </w:tcBorders>
          </w:tcPr>
          <w:p w14:paraId="23E6939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0.5</w:t>
            </w:r>
          </w:p>
        </w:tc>
        <w:tc>
          <w:tcPr>
            <w:tcW w:w="2088" w:type="dxa"/>
            <w:tcBorders>
              <w:top w:val="single" w:color="auto" w:sz="8" w:space="0"/>
              <w:left w:val="single" w:color="auto" w:sz="8" w:space="0"/>
              <w:bottom w:val="single" w:color="auto" w:sz="8" w:space="0"/>
              <w:right w:val="single" w:color="auto" w:sz="8" w:space="0"/>
            </w:tcBorders>
            <w:vAlign w:val="center"/>
          </w:tcPr>
          <w:p w14:paraId="5FB7D526">
            <w:pPr>
              <w:widowControl/>
              <w:jc w:val="center"/>
              <w:textAlignment w:val="center"/>
              <w:rPr>
                <w:rFonts w:hint="eastAsia" w:ascii="宋体" w:hAnsi="宋体" w:eastAsia="宋体" w:cs="宋体"/>
                <w:bCs/>
                <w:color w:val="000000"/>
                <w:sz w:val="18"/>
                <w:szCs w:val="18"/>
              </w:rPr>
            </w:pPr>
            <w:r>
              <w:rPr>
                <w:rFonts w:hint="eastAsia" w:ascii="宋体" w:hAnsi="宋体" w:eastAsia="宋体" w:cs="宋体"/>
                <w:color w:val="000000"/>
                <w:kern w:val="0"/>
                <w:sz w:val="18"/>
                <w:szCs w:val="18"/>
                <w:lang w:bidi="ar"/>
              </w:rPr>
              <w:t>75.0</w:t>
            </w:r>
            <w:r>
              <w:rPr>
                <w:rFonts w:hint="eastAsia" w:ascii="宋体" w:hAnsi="宋体" w:eastAsia="宋体" w:cs="宋体"/>
                <w:color w:val="000000"/>
                <w:kern w:val="0"/>
                <w:sz w:val="18"/>
                <w:szCs w:val="18"/>
                <w:lang w:val="en-US" w:eastAsia="zh-CN" w:bidi="ar"/>
              </w:rPr>
              <w:t>0</w:t>
            </w:r>
            <w:r>
              <w:rPr>
                <w:rFonts w:hint="eastAsia" w:ascii="宋体" w:hAnsi="宋体" w:eastAsia="宋体" w:cs="宋体"/>
                <w:color w:val="000000"/>
                <w:kern w:val="0"/>
                <w:sz w:val="18"/>
                <w:szCs w:val="18"/>
                <w:lang w:bidi="ar"/>
              </w:rPr>
              <w:t xml:space="preserve"> </w:t>
            </w:r>
          </w:p>
        </w:tc>
        <w:tc>
          <w:tcPr>
            <w:tcW w:w="2236" w:type="dxa"/>
            <w:tcBorders>
              <w:top w:val="single" w:color="auto" w:sz="8" w:space="0"/>
              <w:left w:val="single" w:color="auto" w:sz="8" w:space="0"/>
              <w:bottom w:val="single" w:color="auto" w:sz="8" w:space="0"/>
              <w:right w:val="single" w:color="auto" w:sz="12" w:space="0"/>
            </w:tcBorders>
          </w:tcPr>
          <w:p w14:paraId="2A790AD7">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100.</w:t>
            </w:r>
            <w:r>
              <w:rPr>
                <w:rFonts w:hint="eastAsia" w:ascii="宋体" w:hAnsi="宋体" w:eastAsia="宋体" w:cs="宋体"/>
                <w:bCs/>
                <w:color w:val="000000"/>
                <w:sz w:val="18"/>
                <w:szCs w:val="18"/>
                <w:lang w:val="en-US" w:eastAsia="zh-CN"/>
              </w:rPr>
              <w:t>00</w:t>
            </w:r>
          </w:p>
        </w:tc>
      </w:tr>
      <w:tr w14:paraId="2960F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566FDD5C">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P</w:t>
            </w:r>
          </w:p>
        </w:tc>
        <w:tc>
          <w:tcPr>
            <w:tcW w:w="3036" w:type="dxa"/>
            <w:tcBorders>
              <w:top w:val="single" w:color="auto" w:sz="8" w:space="0"/>
              <w:left w:val="single" w:color="auto" w:sz="8" w:space="0"/>
              <w:bottom w:val="single" w:color="auto" w:sz="8" w:space="0"/>
              <w:right w:val="single" w:color="auto" w:sz="8" w:space="0"/>
            </w:tcBorders>
          </w:tcPr>
          <w:p w14:paraId="1C8C048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0.3</w:t>
            </w:r>
          </w:p>
        </w:tc>
        <w:tc>
          <w:tcPr>
            <w:tcW w:w="2088" w:type="dxa"/>
            <w:tcBorders>
              <w:top w:val="single" w:color="auto" w:sz="8" w:space="0"/>
              <w:left w:val="single" w:color="auto" w:sz="8" w:space="0"/>
              <w:bottom w:val="single" w:color="auto" w:sz="8" w:space="0"/>
              <w:right w:val="single" w:color="auto" w:sz="8" w:space="0"/>
            </w:tcBorders>
            <w:vAlign w:val="center"/>
          </w:tcPr>
          <w:p w14:paraId="4296F993">
            <w:pPr>
              <w:widowControl/>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color w:val="000000"/>
                <w:kern w:val="0"/>
                <w:sz w:val="18"/>
                <w:szCs w:val="18"/>
                <w:lang w:bidi="ar"/>
              </w:rPr>
              <w:t>75.0</w:t>
            </w:r>
            <w:r>
              <w:rPr>
                <w:rFonts w:hint="eastAsia" w:ascii="宋体" w:hAnsi="宋体" w:eastAsia="宋体" w:cs="宋体"/>
                <w:color w:val="000000"/>
                <w:kern w:val="0"/>
                <w:sz w:val="18"/>
                <w:szCs w:val="18"/>
                <w:lang w:val="en-US" w:eastAsia="zh-CN" w:bidi="ar"/>
              </w:rPr>
              <w:t>2</w:t>
            </w:r>
          </w:p>
        </w:tc>
        <w:tc>
          <w:tcPr>
            <w:tcW w:w="2236" w:type="dxa"/>
            <w:tcBorders>
              <w:top w:val="single" w:color="auto" w:sz="8" w:space="0"/>
              <w:left w:val="single" w:color="auto" w:sz="8" w:space="0"/>
              <w:bottom w:val="single" w:color="auto" w:sz="8" w:space="0"/>
              <w:right w:val="single" w:color="auto" w:sz="12" w:space="0"/>
            </w:tcBorders>
          </w:tcPr>
          <w:p w14:paraId="34F15545">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100.</w:t>
            </w:r>
            <w:r>
              <w:rPr>
                <w:rFonts w:hint="eastAsia" w:ascii="宋体" w:hAnsi="宋体" w:eastAsia="宋体" w:cs="宋体"/>
                <w:bCs/>
                <w:color w:val="000000"/>
                <w:sz w:val="18"/>
                <w:szCs w:val="18"/>
                <w:lang w:val="en-US" w:eastAsia="zh-CN"/>
              </w:rPr>
              <w:t>02</w:t>
            </w:r>
          </w:p>
        </w:tc>
      </w:tr>
      <w:tr w14:paraId="639F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8" w:space="0"/>
              <w:right w:val="single" w:color="auto" w:sz="8" w:space="0"/>
            </w:tcBorders>
          </w:tcPr>
          <w:p w14:paraId="08ABA8F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As</w:t>
            </w:r>
          </w:p>
        </w:tc>
        <w:tc>
          <w:tcPr>
            <w:tcW w:w="3036" w:type="dxa"/>
            <w:tcBorders>
              <w:top w:val="single" w:color="auto" w:sz="8" w:space="0"/>
              <w:left w:val="single" w:color="auto" w:sz="8" w:space="0"/>
              <w:bottom w:val="single" w:color="auto" w:sz="8" w:space="0"/>
              <w:right w:val="single" w:color="auto" w:sz="8" w:space="0"/>
            </w:tcBorders>
          </w:tcPr>
          <w:p w14:paraId="3C7E482D">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0.3</w:t>
            </w:r>
          </w:p>
        </w:tc>
        <w:tc>
          <w:tcPr>
            <w:tcW w:w="2088" w:type="dxa"/>
            <w:tcBorders>
              <w:top w:val="single" w:color="auto" w:sz="8" w:space="0"/>
              <w:left w:val="single" w:color="auto" w:sz="8" w:space="0"/>
              <w:bottom w:val="single" w:color="auto" w:sz="8" w:space="0"/>
              <w:right w:val="single" w:color="auto" w:sz="8" w:space="0"/>
            </w:tcBorders>
            <w:vAlign w:val="center"/>
          </w:tcPr>
          <w:p w14:paraId="53A3B984">
            <w:pPr>
              <w:widowControl/>
              <w:jc w:val="center"/>
              <w:textAlignment w:val="center"/>
              <w:rPr>
                <w:rFonts w:hint="eastAsia" w:ascii="宋体" w:hAnsi="宋体" w:eastAsia="宋体" w:cs="宋体"/>
                <w:bCs/>
                <w:color w:val="000000"/>
                <w:sz w:val="18"/>
                <w:szCs w:val="18"/>
                <w:lang w:val="en-US" w:eastAsia="zh-CN"/>
              </w:rPr>
            </w:pPr>
            <w:r>
              <w:rPr>
                <w:rFonts w:hint="eastAsia" w:ascii="宋体" w:hAnsi="宋体" w:eastAsia="宋体" w:cs="宋体"/>
                <w:color w:val="000000"/>
                <w:kern w:val="0"/>
                <w:sz w:val="18"/>
                <w:szCs w:val="18"/>
                <w:lang w:val="en-US" w:eastAsia="zh-CN" w:bidi="ar"/>
              </w:rPr>
              <w:t>74.96</w:t>
            </w:r>
          </w:p>
        </w:tc>
        <w:tc>
          <w:tcPr>
            <w:tcW w:w="2236" w:type="dxa"/>
            <w:tcBorders>
              <w:top w:val="single" w:color="auto" w:sz="8" w:space="0"/>
              <w:left w:val="single" w:color="auto" w:sz="8" w:space="0"/>
              <w:bottom w:val="single" w:color="auto" w:sz="8" w:space="0"/>
              <w:right w:val="single" w:color="auto" w:sz="12" w:space="0"/>
            </w:tcBorders>
          </w:tcPr>
          <w:p w14:paraId="4B10EE9E">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99.95</w:t>
            </w:r>
          </w:p>
        </w:tc>
      </w:tr>
      <w:tr w14:paraId="6E3A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517" w:type="dxa"/>
            <w:tcBorders>
              <w:top w:val="single" w:color="auto" w:sz="8" w:space="0"/>
              <w:left w:val="single" w:color="auto" w:sz="12" w:space="0"/>
              <w:bottom w:val="single" w:color="auto" w:sz="8" w:space="0"/>
              <w:right w:val="single" w:color="auto" w:sz="8" w:space="0"/>
            </w:tcBorders>
          </w:tcPr>
          <w:p w14:paraId="688D9A7D">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Al</w:t>
            </w:r>
          </w:p>
        </w:tc>
        <w:tc>
          <w:tcPr>
            <w:tcW w:w="3036" w:type="dxa"/>
            <w:tcBorders>
              <w:top w:val="single" w:color="auto" w:sz="8" w:space="0"/>
              <w:left w:val="single" w:color="auto" w:sz="8" w:space="0"/>
              <w:bottom w:val="single" w:color="auto" w:sz="8" w:space="0"/>
              <w:right w:val="single" w:color="auto" w:sz="8" w:space="0"/>
            </w:tcBorders>
          </w:tcPr>
          <w:p w14:paraId="1B6CA60C">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0.1</w:t>
            </w:r>
          </w:p>
        </w:tc>
        <w:tc>
          <w:tcPr>
            <w:tcW w:w="2088" w:type="dxa"/>
            <w:tcBorders>
              <w:top w:val="single" w:color="auto" w:sz="8" w:space="0"/>
              <w:left w:val="single" w:color="auto" w:sz="8" w:space="0"/>
              <w:bottom w:val="single" w:color="auto" w:sz="8" w:space="0"/>
              <w:right w:val="single" w:color="auto" w:sz="8" w:space="0"/>
            </w:tcBorders>
          </w:tcPr>
          <w:p w14:paraId="322ADEC5">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75.</w:t>
            </w:r>
            <w:r>
              <w:rPr>
                <w:rFonts w:hint="eastAsia" w:ascii="宋体" w:hAnsi="宋体" w:eastAsia="宋体" w:cs="宋体"/>
                <w:bCs/>
                <w:color w:val="000000"/>
                <w:sz w:val="18"/>
                <w:szCs w:val="18"/>
                <w:lang w:val="en-US" w:eastAsia="zh-CN"/>
              </w:rPr>
              <w:t>00</w:t>
            </w:r>
          </w:p>
        </w:tc>
        <w:tc>
          <w:tcPr>
            <w:tcW w:w="2236" w:type="dxa"/>
            <w:tcBorders>
              <w:top w:val="single" w:color="auto" w:sz="8" w:space="0"/>
              <w:left w:val="single" w:color="auto" w:sz="8" w:space="0"/>
              <w:bottom w:val="single" w:color="auto" w:sz="8" w:space="0"/>
              <w:right w:val="single" w:color="auto" w:sz="12" w:space="0"/>
            </w:tcBorders>
          </w:tcPr>
          <w:p w14:paraId="31B0FF30">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100.0</w:t>
            </w:r>
            <w:r>
              <w:rPr>
                <w:rFonts w:hint="eastAsia" w:ascii="宋体" w:hAnsi="宋体" w:eastAsia="宋体" w:cs="宋体"/>
                <w:bCs/>
                <w:color w:val="000000"/>
                <w:sz w:val="18"/>
                <w:szCs w:val="18"/>
                <w:lang w:val="en-US" w:eastAsia="zh-CN"/>
              </w:rPr>
              <w:t>0</w:t>
            </w:r>
          </w:p>
        </w:tc>
      </w:tr>
      <w:tr w14:paraId="2867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7" w:type="dxa"/>
            <w:tcBorders>
              <w:top w:val="single" w:color="auto" w:sz="8" w:space="0"/>
              <w:left w:val="single" w:color="auto" w:sz="12" w:space="0"/>
              <w:bottom w:val="single" w:color="auto" w:sz="12" w:space="0"/>
              <w:right w:val="single" w:color="auto" w:sz="8" w:space="0"/>
            </w:tcBorders>
            <w:vAlign w:val="center"/>
          </w:tcPr>
          <w:p w14:paraId="5A933E9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混合元素</w:t>
            </w:r>
          </w:p>
        </w:tc>
        <w:tc>
          <w:tcPr>
            <w:tcW w:w="3036" w:type="dxa"/>
            <w:tcBorders>
              <w:top w:val="single" w:color="auto" w:sz="8" w:space="0"/>
              <w:left w:val="single" w:color="auto" w:sz="8" w:space="0"/>
              <w:bottom w:val="single" w:color="auto" w:sz="12" w:space="0"/>
              <w:right w:val="single" w:color="auto" w:sz="8" w:space="0"/>
            </w:tcBorders>
          </w:tcPr>
          <w:p w14:paraId="5DD595F3">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Cu：450、Zn：62.5、Sn：55、Ni：7.5、Sb：2.5、Fe：2、Mn：1、S：0.5、P：0.3、As：0.3、Al：0.1</w:t>
            </w:r>
          </w:p>
        </w:tc>
        <w:tc>
          <w:tcPr>
            <w:tcW w:w="2088" w:type="dxa"/>
            <w:tcBorders>
              <w:top w:val="single" w:color="auto" w:sz="8" w:space="0"/>
              <w:left w:val="single" w:color="auto" w:sz="8" w:space="0"/>
              <w:bottom w:val="single" w:color="auto" w:sz="12" w:space="0"/>
              <w:right w:val="single" w:color="auto" w:sz="8" w:space="0"/>
            </w:tcBorders>
            <w:vAlign w:val="center"/>
          </w:tcPr>
          <w:p w14:paraId="65E67CB7">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74.96</w:t>
            </w:r>
          </w:p>
        </w:tc>
        <w:tc>
          <w:tcPr>
            <w:tcW w:w="2236" w:type="dxa"/>
            <w:tcBorders>
              <w:top w:val="single" w:color="auto" w:sz="8" w:space="0"/>
              <w:left w:val="single" w:color="auto" w:sz="8" w:space="0"/>
              <w:bottom w:val="single" w:color="auto" w:sz="12" w:space="0"/>
              <w:right w:val="single" w:color="auto" w:sz="12" w:space="0"/>
            </w:tcBorders>
            <w:vAlign w:val="center"/>
          </w:tcPr>
          <w:p w14:paraId="564B78D5">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99.95</w:t>
            </w:r>
          </w:p>
        </w:tc>
      </w:tr>
    </w:tbl>
    <w:p w14:paraId="51156298">
      <w:pPr>
        <w:keepNext w:val="0"/>
        <w:keepLines w:val="0"/>
        <w:pageBreakBefore w:val="0"/>
        <w:widowControl w:val="0"/>
        <w:kinsoku/>
        <w:wordWrap/>
        <w:overflowPunct/>
        <w:topLinePunct w:val="0"/>
        <w:autoSpaceDE/>
        <w:autoSpaceDN/>
        <w:bidi w:val="0"/>
        <w:adjustRightInd/>
        <w:snapToGrid/>
        <w:spacing w:after="157" w:afterLines="50"/>
        <w:ind w:firstLine="420"/>
        <w:jc w:val="center"/>
        <w:textAlignment w:val="auto"/>
        <w:rPr>
          <w:rFonts w:hint="eastAsia" w:ascii="黑体" w:hAnsi="黑体" w:eastAsia="黑体" w:cs="黑体"/>
          <w:bCs/>
          <w:color w:val="000000"/>
          <w:szCs w:val="21"/>
          <w:lang w:val="en-US" w:eastAsia="zh-CN"/>
        </w:rPr>
      </w:pPr>
    </w:p>
    <w:p w14:paraId="6DDE9840">
      <w:pPr>
        <w:keepNext w:val="0"/>
        <w:keepLines w:val="0"/>
        <w:pageBreakBefore w:val="0"/>
        <w:widowControl w:val="0"/>
        <w:kinsoku/>
        <w:wordWrap/>
        <w:overflowPunct/>
        <w:topLinePunct w:val="0"/>
        <w:autoSpaceDE/>
        <w:autoSpaceDN/>
        <w:bidi w:val="0"/>
        <w:adjustRightInd/>
        <w:snapToGrid/>
        <w:spacing w:after="157" w:afterLines="50"/>
        <w:ind w:firstLine="420" w:firstLineChars="200"/>
        <w:jc w:val="center"/>
        <w:textAlignment w:val="auto"/>
        <w:rPr>
          <w:rFonts w:hint="eastAsia" w:ascii="宋体" w:hAnsi="宋体" w:eastAsia="宋体" w:cs="宋体"/>
          <w:bCs/>
          <w:color w:val="000000"/>
          <w:szCs w:val="21"/>
          <w:vertAlign w:val="baseline"/>
          <w:lang w:val="en-US" w:eastAsia="zh-CN"/>
        </w:rPr>
      </w:pPr>
      <w:r>
        <w:rPr>
          <w:rFonts w:hint="eastAsia" w:ascii="宋体" w:hAnsi="宋体" w:eastAsia="宋体" w:cs="宋体"/>
          <w:bCs/>
          <w:color w:val="000000"/>
          <w:szCs w:val="21"/>
          <w:lang w:val="en-US" w:eastAsia="zh-CN"/>
        </w:rPr>
        <w:t>由以上试验结果可知，目前产品标准中常见共存元素及其混合元素的</w:t>
      </w:r>
      <w:r>
        <w:rPr>
          <w:rFonts w:hint="eastAsia" w:ascii="宋体" w:hAnsi="宋体" w:eastAsia="宋体" w:cs="宋体"/>
          <w:bCs/>
          <w:color w:val="000000"/>
          <w:szCs w:val="21"/>
          <w:vertAlign w:val="baseline"/>
          <w:lang w:val="en-US" w:eastAsia="zh-CN"/>
        </w:rPr>
        <w:t>可能最大含量，使</w:t>
      </w:r>
    </w:p>
    <w:p w14:paraId="2BD097A8">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default" w:ascii="黑体" w:hAnsi="黑体" w:eastAsia="黑体" w:cs="黑体"/>
          <w:bCs/>
          <w:color w:val="000000"/>
          <w:szCs w:val="21"/>
          <w:lang w:val="en-US" w:eastAsia="zh-CN"/>
        </w:rPr>
      </w:pPr>
      <w:r>
        <w:rPr>
          <w:rFonts w:hint="eastAsia" w:ascii="宋体" w:hAnsi="宋体" w:eastAsia="宋体" w:cs="宋体"/>
          <w:bCs/>
          <w:color w:val="000000"/>
          <w:szCs w:val="21"/>
          <w:vertAlign w:val="baseline"/>
          <w:lang w:val="en-US" w:eastAsia="zh-CN"/>
        </w:rPr>
        <w:t>用本方法进行试验，</w:t>
      </w:r>
      <w:r>
        <w:rPr>
          <w:rFonts w:hint="eastAsia" w:ascii="宋体" w:hAnsi="宋体" w:eastAsia="宋体" w:cs="宋体"/>
          <w:bCs/>
          <w:color w:val="000000"/>
          <w:szCs w:val="21"/>
          <w:lang w:val="en-US" w:eastAsia="zh-CN"/>
        </w:rPr>
        <w:t>对铅的测定无影响，本方法具有较好的抗干扰能力。</w:t>
      </w:r>
    </w:p>
    <w:p w14:paraId="4A09A2A1">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lang w:val="en-US" w:eastAsia="zh-CN"/>
        </w:rPr>
      </w:pPr>
      <w:r>
        <w:rPr>
          <w:rFonts w:hint="eastAsia" w:ascii="黑体" w:hAnsi="黑体" w:eastAsia="黑体" w:cs="黑体"/>
          <w:lang w:val="en-US" w:eastAsia="zh-CN"/>
        </w:rPr>
        <w:t>1.10  准确度试验</w:t>
      </w:r>
    </w:p>
    <w:p w14:paraId="2B7463A9">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r>
        <w:rPr>
          <w:rFonts w:hint="eastAsia" w:ascii="黑体" w:hAnsi="黑体" w:eastAsia="黑体" w:cs="黑体"/>
          <w:lang w:val="en-US" w:eastAsia="zh-CN"/>
        </w:rPr>
        <w:t xml:space="preserve">  </w:t>
      </w:r>
      <w:r>
        <w:rPr>
          <w:rFonts w:hint="eastAsia" w:ascii="宋体" w:hAnsi="宋体" w:eastAsia="宋体" w:cs="宋体"/>
          <w:bCs/>
          <w:color w:val="000000"/>
          <w:sz w:val="21"/>
          <w:szCs w:val="21"/>
          <w:lang w:val="en-US" w:eastAsia="zh-CN"/>
        </w:rPr>
        <w:t xml:space="preserve"> 采用青铜有证标准物质QPb3-1（GBW02139）、QPb3-3（GBW02140），以及对QPb3-4（合成样）、QPb3-5（合成样）样品加标考查本方法的准确度。试验结果见表11-1～11-6。</w:t>
      </w:r>
    </w:p>
    <w:p w14:paraId="5F04E807">
      <w:pPr>
        <w:ind w:firstLine="420" w:firstLineChars="200"/>
        <w:jc w:val="center"/>
        <w:outlineLvl w:val="0"/>
        <w:rPr>
          <w:rFonts w:hint="eastAsia" w:ascii="宋体" w:hAnsi="宋体" w:eastAsia="宋体" w:cs="宋体"/>
          <w:color w:val="000000"/>
          <w:kern w:val="0"/>
          <w:sz w:val="21"/>
          <w:szCs w:val="21"/>
        </w:rPr>
      </w:pPr>
    </w:p>
    <w:p w14:paraId="662C62CB">
      <w:pPr>
        <w:ind w:firstLine="420" w:firstLineChars="200"/>
        <w:jc w:val="center"/>
        <w:outlineLvl w:val="0"/>
        <w:rPr>
          <w:rFonts w:hint="eastAsia" w:ascii="黑体" w:hAnsi="黑体" w:eastAsia="黑体" w:cs="黑体"/>
          <w:kern w:val="0"/>
          <w:sz w:val="21"/>
          <w:szCs w:val="21"/>
          <w:lang w:val="en-US"/>
        </w:rPr>
      </w:pPr>
      <w:r>
        <w:rPr>
          <w:rFonts w:hint="eastAsia" w:ascii="黑体" w:hAnsi="黑体" w:eastAsia="黑体" w:cs="黑体"/>
          <w:color w:val="000000"/>
          <w:kern w:val="0"/>
          <w:sz w:val="21"/>
          <w:szCs w:val="21"/>
        </w:rPr>
        <w:t>表</w:t>
      </w:r>
      <w:r>
        <w:rPr>
          <w:rFonts w:hint="eastAsia" w:ascii="黑体" w:hAnsi="黑体" w:eastAsia="黑体" w:cs="黑体"/>
          <w:color w:val="000000"/>
          <w:kern w:val="0"/>
          <w:sz w:val="21"/>
          <w:szCs w:val="21"/>
          <w:lang w:val="en-US" w:eastAsia="zh-CN"/>
        </w:rPr>
        <w:t>11-1 准确度试验</w:t>
      </w:r>
      <w:r>
        <w:rPr>
          <w:rFonts w:hint="eastAsia" w:ascii="黑体" w:hAnsi="黑体" w:eastAsia="黑体" w:cs="黑体"/>
          <w:bCs/>
          <w:color w:val="000000"/>
          <w:szCs w:val="21"/>
          <w:lang w:val="en-US" w:eastAsia="zh-CN"/>
        </w:rPr>
        <w:t>（中铝洛阳铜加工有限公司）</w:t>
      </w:r>
    </w:p>
    <w:tbl>
      <w:tblPr>
        <w:tblStyle w:val="13"/>
        <w:tblW w:w="8946" w:type="dxa"/>
        <w:jc w:val="center"/>
        <w:tblLayout w:type="fixed"/>
        <w:tblCellMar>
          <w:top w:w="0" w:type="dxa"/>
          <w:left w:w="108" w:type="dxa"/>
          <w:bottom w:w="0" w:type="dxa"/>
          <w:right w:w="108" w:type="dxa"/>
        </w:tblCellMar>
      </w:tblPr>
      <w:tblGrid>
        <w:gridCol w:w="2440"/>
        <w:gridCol w:w="1689"/>
        <w:gridCol w:w="2272"/>
        <w:gridCol w:w="2545"/>
      </w:tblGrid>
      <w:tr w14:paraId="76BB9F8E">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4C970903">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样品编号</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4FCABD93">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lang w:eastAsia="zh-CN"/>
              </w:rPr>
              <w:t>铅</w:t>
            </w:r>
            <w:r>
              <w:rPr>
                <w:rFonts w:hint="eastAsia" w:ascii="宋体" w:hAnsi="宋体" w:eastAsia="宋体" w:cs="宋体"/>
                <w:b w:val="0"/>
                <w:color w:val="000000"/>
                <w:kern w:val="0"/>
                <w:sz w:val="18"/>
                <w:szCs w:val="18"/>
              </w:rPr>
              <w:t>加入量</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mg</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67B47B7F">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测定</w:t>
            </w:r>
            <w:r>
              <w:rPr>
                <w:rFonts w:hint="eastAsia" w:ascii="宋体" w:hAnsi="宋体" w:eastAsia="宋体" w:cs="宋体"/>
                <w:b w:val="0"/>
                <w:color w:val="000000"/>
                <w:kern w:val="0"/>
                <w:sz w:val="18"/>
                <w:szCs w:val="18"/>
                <w:lang w:eastAsia="zh-CN"/>
              </w:rPr>
              <w:t>铅</w:t>
            </w:r>
            <w:r>
              <w:rPr>
                <w:rFonts w:hint="eastAsia" w:ascii="宋体" w:hAnsi="宋体" w:eastAsia="宋体" w:cs="宋体"/>
                <w:b w:val="0"/>
                <w:color w:val="000000"/>
                <w:kern w:val="0"/>
                <w:sz w:val="18"/>
                <w:szCs w:val="18"/>
              </w:rPr>
              <w:t>含量</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mg</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5739B65A">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 xml:space="preserve">回收率 </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w:t>
            </w:r>
          </w:p>
        </w:tc>
      </w:tr>
      <w:tr w14:paraId="477D490A">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472F7F88">
            <w:pPr>
              <w:widowControl/>
              <w:jc w:val="center"/>
              <w:rPr>
                <w:rFonts w:hint="eastAsia" w:ascii="宋体" w:hAnsi="宋体" w:eastAsia="宋体" w:cs="宋体"/>
                <w:b w:val="0"/>
                <w:color w:val="000000"/>
                <w:kern w:val="0"/>
                <w:sz w:val="18"/>
                <w:szCs w:val="18"/>
              </w:rPr>
            </w:pPr>
            <w:r>
              <w:rPr>
                <w:rFonts w:hint="eastAsia" w:ascii="宋体" w:hAnsi="宋体" w:eastAsia="宋体" w:cs="宋体"/>
                <w:bCs/>
                <w:color w:val="000000"/>
                <w:sz w:val="18"/>
                <w:szCs w:val="18"/>
                <w:lang w:val="en-US" w:eastAsia="zh-CN"/>
              </w:rPr>
              <w:t>QPb3-4</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5F2E1961">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50.00</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15EB3725">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49.91</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7BC5A9BC">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99.82</w:t>
            </w:r>
          </w:p>
        </w:tc>
      </w:tr>
      <w:tr w14:paraId="660A6919">
        <w:tblPrEx>
          <w:tblCellMar>
            <w:top w:w="0" w:type="dxa"/>
            <w:left w:w="108" w:type="dxa"/>
            <w:bottom w:w="0" w:type="dxa"/>
            <w:right w:w="108" w:type="dxa"/>
          </w:tblCellMar>
        </w:tblPrEx>
        <w:trPr>
          <w:trHeight w:val="270" w:hRule="atLeast"/>
          <w:jc w:val="center"/>
        </w:trPr>
        <w:tc>
          <w:tcPr>
            <w:tcW w:w="2440" w:type="dxa"/>
            <w:tcBorders>
              <w:top w:val="single" w:color="000000" w:sz="4" w:space="0"/>
              <w:left w:val="single" w:color="000000" w:sz="12" w:space="0"/>
              <w:bottom w:val="single" w:color="auto" w:sz="12" w:space="0"/>
              <w:right w:val="single" w:color="000000" w:sz="4" w:space="0"/>
            </w:tcBorders>
            <w:shd w:val="clear" w:color="auto" w:fill="FFFFFF"/>
            <w:noWrap w:val="0"/>
            <w:vAlign w:val="center"/>
          </w:tcPr>
          <w:p w14:paraId="36F8E756">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QPb3-5</w:t>
            </w:r>
          </w:p>
        </w:tc>
        <w:tc>
          <w:tcPr>
            <w:tcW w:w="1689" w:type="dxa"/>
            <w:tcBorders>
              <w:top w:val="single" w:color="000000" w:sz="4" w:space="0"/>
              <w:left w:val="single" w:color="000000" w:sz="4" w:space="0"/>
              <w:bottom w:val="single" w:color="auto" w:sz="12" w:space="0"/>
              <w:right w:val="single" w:color="000000" w:sz="4" w:space="0"/>
            </w:tcBorders>
            <w:shd w:val="clear" w:color="auto" w:fill="FFFFFF"/>
            <w:noWrap w:val="0"/>
            <w:vAlign w:val="top"/>
          </w:tcPr>
          <w:p w14:paraId="1F402F2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64.00</w:t>
            </w:r>
          </w:p>
        </w:tc>
        <w:tc>
          <w:tcPr>
            <w:tcW w:w="2272" w:type="dxa"/>
            <w:tcBorders>
              <w:top w:val="single" w:color="000000" w:sz="4" w:space="0"/>
              <w:left w:val="single" w:color="000000" w:sz="4" w:space="0"/>
              <w:bottom w:val="single" w:color="auto" w:sz="12" w:space="0"/>
              <w:right w:val="single" w:color="000000" w:sz="4" w:space="0"/>
            </w:tcBorders>
            <w:shd w:val="clear" w:color="auto" w:fill="FFFFFF"/>
            <w:noWrap w:val="0"/>
            <w:vAlign w:val="center"/>
          </w:tcPr>
          <w:p w14:paraId="730E8610">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63.95</w:t>
            </w:r>
          </w:p>
        </w:tc>
        <w:tc>
          <w:tcPr>
            <w:tcW w:w="2545" w:type="dxa"/>
            <w:tcBorders>
              <w:top w:val="single" w:color="000000" w:sz="4" w:space="0"/>
              <w:left w:val="single" w:color="000000" w:sz="4" w:space="0"/>
              <w:bottom w:val="single" w:color="auto" w:sz="12" w:space="0"/>
              <w:right w:val="single" w:color="000000" w:sz="12" w:space="0"/>
            </w:tcBorders>
            <w:shd w:val="clear" w:color="auto" w:fill="FFFFFF"/>
            <w:noWrap w:val="0"/>
            <w:vAlign w:val="center"/>
          </w:tcPr>
          <w:p w14:paraId="7C7D8C80">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99.92</w:t>
            </w:r>
          </w:p>
        </w:tc>
      </w:tr>
      <w:tr w14:paraId="1ECCD73E">
        <w:tblPrEx>
          <w:tblCellMar>
            <w:top w:w="0" w:type="dxa"/>
            <w:left w:w="108" w:type="dxa"/>
            <w:bottom w:w="0" w:type="dxa"/>
            <w:right w:w="108" w:type="dxa"/>
          </w:tblCellMar>
        </w:tblPrEx>
        <w:trPr>
          <w:trHeight w:val="270" w:hRule="atLeast"/>
          <w:jc w:val="center"/>
        </w:trPr>
        <w:tc>
          <w:tcPr>
            <w:tcW w:w="2440" w:type="dxa"/>
            <w:tcBorders>
              <w:top w:val="single" w:color="auto" w:sz="12" w:space="0"/>
              <w:left w:val="single" w:color="auto" w:sz="12" w:space="0"/>
              <w:bottom w:val="single" w:color="auto" w:sz="4" w:space="0"/>
              <w:right w:val="single" w:color="auto" w:sz="4" w:space="0"/>
            </w:tcBorders>
            <w:shd w:val="clear" w:color="auto" w:fill="FFFFFF"/>
            <w:noWrap w:val="0"/>
            <w:vAlign w:val="center"/>
          </w:tcPr>
          <w:p w14:paraId="2CF8799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bCs/>
                <w:color w:val="000000"/>
                <w:sz w:val="18"/>
                <w:szCs w:val="18"/>
                <w:lang w:val="en-US" w:eastAsia="zh-CN"/>
              </w:rPr>
              <w:t>样品编号</w:t>
            </w:r>
          </w:p>
        </w:tc>
        <w:tc>
          <w:tcPr>
            <w:tcW w:w="1689" w:type="dxa"/>
            <w:tcBorders>
              <w:top w:val="single" w:color="auto" w:sz="12" w:space="0"/>
              <w:left w:val="single" w:color="auto" w:sz="4" w:space="0"/>
              <w:bottom w:val="single" w:color="auto" w:sz="4" w:space="0"/>
              <w:right w:val="single" w:color="auto" w:sz="4" w:space="0"/>
            </w:tcBorders>
            <w:shd w:val="clear" w:color="auto" w:fill="FFFFFF"/>
            <w:noWrap w:val="0"/>
            <w:vAlign w:val="top"/>
          </w:tcPr>
          <w:p w14:paraId="2BE3868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标准值</w:t>
            </w:r>
            <w:r>
              <w:rPr>
                <w:rFonts w:hint="eastAsia" w:ascii="宋体" w:hAnsi="宋体" w:eastAsia="宋体" w:cs="宋体"/>
                <w:b w:val="0"/>
                <w:color w:val="000000"/>
                <w:kern w:val="0"/>
                <w:sz w:val="18"/>
                <w:szCs w:val="18"/>
                <w:lang w:val="en-US" w:eastAsia="zh-CN"/>
              </w:rPr>
              <w:t>/%</w:t>
            </w:r>
          </w:p>
        </w:tc>
        <w:tc>
          <w:tcPr>
            <w:tcW w:w="2272" w:type="dxa"/>
            <w:tcBorders>
              <w:top w:val="single" w:color="auto" w:sz="12" w:space="0"/>
              <w:left w:val="single" w:color="auto" w:sz="4" w:space="0"/>
              <w:bottom w:val="single" w:color="auto" w:sz="4" w:space="0"/>
              <w:right w:val="single" w:color="auto" w:sz="4" w:space="0"/>
            </w:tcBorders>
            <w:shd w:val="clear" w:color="auto" w:fill="FFFFFF"/>
            <w:noWrap w:val="0"/>
            <w:vAlign w:val="center"/>
          </w:tcPr>
          <w:p w14:paraId="518EDCAC">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测定值/%</w:t>
            </w:r>
          </w:p>
        </w:tc>
        <w:tc>
          <w:tcPr>
            <w:tcW w:w="2545" w:type="dxa"/>
            <w:tcBorders>
              <w:top w:val="single" w:color="auto" w:sz="12" w:space="0"/>
              <w:left w:val="single" w:color="auto" w:sz="4" w:space="0"/>
              <w:bottom w:val="single" w:color="auto" w:sz="4" w:space="0"/>
              <w:right w:val="single" w:color="auto" w:sz="12" w:space="0"/>
            </w:tcBorders>
            <w:shd w:val="clear" w:color="auto" w:fill="FFFFFF"/>
            <w:noWrap w:val="0"/>
            <w:vAlign w:val="center"/>
          </w:tcPr>
          <w:p w14:paraId="119B85ED">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偏差/%</w:t>
            </w:r>
          </w:p>
        </w:tc>
      </w:tr>
      <w:tr w14:paraId="34FB843F">
        <w:tblPrEx>
          <w:tblCellMar>
            <w:top w:w="0" w:type="dxa"/>
            <w:left w:w="108" w:type="dxa"/>
            <w:bottom w:w="0" w:type="dxa"/>
            <w:right w:w="108" w:type="dxa"/>
          </w:tblCellMar>
        </w:tblPrEx>
        <w:trPr>
          <w:trHeight w:val="254" w:hRule="atLeast"/>
          <w:jc w:val="center"/>
        </w:trPr>
        <w:tc>
          <w:tcPr>
            <w:tcW w:w="2440" w:type="dxa"/>
            <w:tcBorders>
              <w:top w:val="single" w:color="auto" w:sz="4" w:space="0"/>
              <w:left w:val="single" w:color="auto" w:sz="12" w:space="0"/>
              <w:bottom w:val="single" w:color="auto" w:sz="4" w:space="0"/>
              <w:right w:val="single" w:color="auto" w:sz="4" w:space="0"/>
            </w:tcBorders>
            <w:shd w:val="clear" w:color="auto" w:fill="FFFFFF"/>
            <w:noWrap w:val="0"/>
            <w:vAlign w:val="center"/>
          </w:tcPr>
          <w:p w14:paraId="5FBBA73A">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GBW02139</w:t>
            </w:r>
          </w:p>
        </w:tc>
        <w:tc>
          <w:tcPr>
            <w:tcW w:w="168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D41F3BD">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6.16</w:t>
            </w:r>
          </w:p>
        </w:tc>
        <w:tc>
          <w:tcPr>
            <w:tcW w:w="227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5AC0355">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6.125</w:t>
            </w:r>
          </w:p>
        </w:tc>
        <w:tc>
          <w:tcPr>
            <w:tcW w:w="2545" w:type="dxa"/>
            <w:tcBorders>
              <w:top w:val="single" w:color="auto" w:sz="4" w:space="0"/>
              <w:left w:val="single" w:color="auto" w:sz="4" w:space="0"/>
              <w:bottom w:val="single" w:color="auto" w:sz="4" w:space="0"/>
              <w:right w:val="single" w:color="auto" w:sz="12" w:space="0"/>
            </w:tcBorders>
            <w:shd w:val="clear" w:color="auto" w:fill="FFFFFF"/>
            <w:noWrap w:val="0"/>
            <w:vAlign w:val="center"/>
          </w:tcPr>
          <w:p w14:paraId="0B9C520C">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-0.035</w:t>
            </w:r>
          </w:p>
        </w:tc>
      </w:tr>
      <w:tr w14:paraId="73CDAB8F">
        <w:tblPrEx>
          <w:tblCellMar>
            <w:top w:w="0" w:type="dxa"/>
            <w:left w:w="108" w:type="dxa"/>
            <w:bottom w:w="0" w:type="dxa"/>
            <w:right w:w="108" w:type="dxa"/>
          </w:tblCellMar>
        </w:tblPrEx>
        <w:trPr>
          <w:trHeight w:val="270" w:hRule="atLeast"/>
          <w:jc w:val="center"/>
        </w:trPr>
        <w:tc>
          <w:tcPr>
            <w:tcW w:w="2440" w:type="dxa"/>
            <w:tcBorders>
              <w:top w:val="single" w:color="auto" w:sz="4" w:space="0"/>
              <w:left w:val="single" w:color="auto" w:sz="12" w:space="0"/>
              <w:bottom w:val="single" w:color="auto" w:sz="12" w:space="0"/>
              <w:right w:val="single" w:color="auto" w:sz="4" w:space="0"/>
            </w:tcBorders>
            <w:shd w:val="clear" w:color="auto" w:fill="FFFFFF"/>
            <w:noWrap w:val="0"/>
            <w:vAlign w:val="center"/>
          </w:tcPr>
          <w:p w14:paraId="183D720C">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GBW02140</w:t>
            </w:r>
          </w:p>
        </w:tc>
        <w:tc>
          <w:tcPr>
            <w:tcW w:w="1689" w:type="dxa"/>
            <w:tcBorders>
              <w:top w:val="single" w:color="auto" w:sz="4" w:space="0"/>
              <w:left w:val="single" w:color="auto" w:sz="4" w:space="0"/>
              <w:bottom w:val="single" w:color="auto" w:sz="12" w:space="0"/>
              <w:right w:val="single" w:color="auto" w:sz="4" w:space="0"/>
            </w:tcBorders>
            <w:shd w:val="clear" w:color="auto" w:fill="FFFFFF"/>
            <w:noWrap w:val="0"/>
            <w:vAlign w:val="center"/>
          </w:tcPr>
          <w:p w14:paraId="5447C795">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17.62</w:t>
            </w:r>
          </w:p>
        </w:tc>
        <w:tc>
          <w:tcPr>
            <w:tcW w:w="2272" w:type="dxa"/>
            <w:tcBorders>
              <w:top w:val="single" w:color="auto" w:sz="4" w:space="0"/>
              <w:left w:val="single" w:color="auto" w:sz="4" w:space="0"/>
              <w:bottom w:val="single" w:color="auto" w:sz="12" w:space="0"/>
              <w:right w:val="single" w:color="auto" w:sz="4" w:space="0"/>
            </w:tcBorders>
            <w:shd w:val="clear" w:color="auto" w:fill="FFFFFF"/>
            <w:noWrap w:val="0"/>
            <w:vAlign w:val="center"/>
          </w:tcPr>
          <w:p w14:paraId="5D7151EB">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17.574</w:t>
            </w:r>
          </w:p>
        </w:tc>
        <w:tc>
          <w:tcPr>
            <w:tcW w:w="2545" w:type="dxa"/>
            <w:tcBorders>
              <w:top w:val="single" w:color="auto" w:sz="4" w:space="0"/>
              <w:left w:val="single" w:color="auto" w:sz="4" w:space="0"/>
              <w:bottom w:val="single" w:color="auto" w:sz="12" w:space="0"/>
              <w:right w:val="single" w:color="auto" w:sz="12" w:space="0"/>
            </w:tcBorders>
            <w:shd w:val="clear" w:color="auto" w:fill="FFFFFF"/>
            <w:noWrap w:val="0"/>
            <w:vAlign w:val="center"/>
          </w:tcPr>
          <w:p w14:paraId="3B031EC6">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-0.046</w:t>
            </w:r>
          </w:p>
        </w:tc>
      </w:tr>
    </w:tbl>
    <w:p w14:paraId="50ADF9A1">
      <w:pPr>
        <w:ind w:firstLine="420"/>
        <w:jc w:val="both"/>
        <w:rPr>
          <w:rFonts w:hint="default" w:cs="Times New Roman"/>
          <w:bCs/>
          <w:color w:val="000000"/>
          <w:szCs w:val="21"/>
          <w:lang w:val="en-US" w:eastAsia="zh-CN"/>
        </w:rPr>
      </w:pPr>
    </w:p>
    <w:p w14:paraId="62CBB93B">
      <w:pPr>
        <w:ind w:firstLine="420"/>
        <w:jc w:val="both"/>
        <w:rPr>
          <w:rFonts w:hint="eastAsia" w:ascii="宋体" w:hAnsi="宋体" w:eastAsia="宋体" w:cs="宋体"/>
          <w:bCs/>
          <w:color w:val="000000"/>
          <w:szCs w:val="21"/>
          <w:lang w:val="en-US" w:eastAsia="zh-CN"/>
        </w:rPr>
      </w:pPr>
      <w:r>
        <w:rPr>
          <w:rFonts w:hint="eastAsia" w:cs="Times New Roman"/>
          <w:bCs/>
          <w:color w:val="000000"/>
          <w:szCs w:val="21"/>
          <w:lang w:val="en-US" w:eastAsia="zh-CN"/>
        </w:rPr>
        <w:t xml:space="preserve"> </w:t>
      </w:r>
      <w:r>
        <w:rPr>
          <w:rFonts w:hint="eastAsia" w:ascii="宋体" w:hAnsi="宋体" w:eastAsia="宋体" w:cs="宋体"/>
          <w:bCs/>
          <w:color w:val="000000"/>
          <w:szCs w:val="21"/>
          <w:lang w:val="en-US" w:eastAsia="zh-CN"/>
        </w:rPr>
        <w:t>由表11-1结果可知，在测试合成样试验中，回收率在99.82%～99.92%之间，与有证标准样品标准值的偏差在-0.046%～-0.035%之间，证明本方法有较好的准确度。</w:t>
      </w:r>
      <w:r>
        <w:rPr>
          <w:rFonts w:hint="eastAsia" w:ascii="宋体" w:hAnsi="宋体" w:eastAsia="宋体" w:cs="宋体"/>
          <w:b w:val="0"/>
          <w:bCs/>
          <w:color w:val="auto"/>
          <w:sz w:val="21"/>
          <w:szCs w:val="21"/>
        </w:rPr>
        <w:t>结论与起草方一致</w:t>
      </w:r>
      <w:r>
        <w:rPr>
          <w:rFonts w:hint="eastAsia" w:ascii="宋体" w:hAnsi="宋体" w:eastAsia="宋体" w:cs="宋体"/>
          <w:b w:val="0"/>
          <w:bCs/>
          <w:color w:val="auto"/>
          <w:sz w:val="21"/>
          <w:szCs w:val="21"/>
          <w:lang w:eastAsia="zh-CN"/>
        </w:rPr>
        <w:t>。</w:t>
      </w:r>
    </w:p>
    <w:p w14:paraId="5BED7487">
      <w:pPr>
        <w:ind w:firstLine="420"/>
        <w:jc w:val="both"/>
        <w:rPr>
          <w:rFonts w:hint="eastAsia" w:ascii="宋体" w:hAnsi="宋体" w:eastAsia="宋体" w:cs="宋体"/>
          <w:bCs/>
          <w:color w:val="000000"/>
          <w:szCs w:val="21"/>
          <w:lang w:val="en-US" w:eastAsia="zh-CN"/>
        </w:rPr>
      </w:pPr>
    </w:p>
    <w:p w14:paraId="0C9725D9">
      <w:pPr>
        <w:ind w:firstLine="420"/>
        <w:jc w:val="center"/>
        <w:rPr>
          <w:rFonts w:hint="eastAsia" w:ascii="黑体" w:hAnsi="黑体" w:eastAsia="黑体" w:cs="黑体"/>
          <w:bCs/>
          <w:color w:val="000000"/>
          <w:szCs w:val="21"/>
          <w:lang w:val="en-US" w:eastAsia="zh-CN"/>
        </w:rPr>
      </w:pPr>
      <w:r>
        <w:rPr>
          <w:rFonts w:hint="eastAsia" w:ascii="黑体" w:hAnsi="黑体" w:eastAsia="黑体" w:cs="黑体"/>
          <w:color w:val="000000"/>
          <w:kern w:val="0"/>
          <w:sz w:val="21"/>
          <w:szCs w:val="21"/>
        </w:rPr>
        <w:t>表</w:t>
      </w:r>
      <w:r>
        <w:rPr>
          <w:rFonts w:hint="eastAsia" w:ascii="黑体" w:hAnsi="黑体" w:eastAsia="黑体" w:cs="黑体"/>
          <w:color w:val="000000"/>
          <w:kern w:val="0"/>
          <w:sz w:val="21"/>
          <w:szCs w:val="21"/>
          <w:lang w:val="en-US" w:eastAsia="zh-CN"/>
        </w:rPr>
        <w:t>11-2 准确度试验</w:t>
      </w:r>
      <w:r>
        <w:rPr>
          <w:rFonts w:hint="eastAsia" w:ascii="黑体" w:hAnsi="黑体" w:eastAsia="黑体" w:cs="黑体"/>
          <w:bCs/>
          <w:color w:val="000000"/>
          <w:szCs w:val="21"/>
          <w:lang w:val="en-US" w:eastAsia="zh-CN"/>
        </w:rPr>
        <w:t>（厦门双瑞材料研究院有限公司）</w:t>
      </w:r>
    </w:p>
    <w:tbl>
      <w:tblPr>
        <w:tblStyle w:val="13"/>
        <w:tblW w:w="8946" w:type="dxa"/>
        <w:jc w:val="center"/>
        <w:tblLayout w:type="fixed"/>
        <w:tblCellMar>
          <w:top w:w="0" w:type="dxa"/>
          <w:left w:w="108" w:type="dxa"/>
          <w:bottom w:w="0" w:type="dxa"/>
          <w:right w:w="108" w:type="dxa"/>
        </w:tblCellMar>
      </w:tblPr>
      <w:tblGrid>
        <w:gridCol w:w="2440"/>
        <w:gridCol w:w="1689"/>
        <w:gridCol w:w="2272"/>
        <w:gridCol w:w="2545"/>
      </w:tblGrid>
      <w:tr w14:paraId="3DD6CD95">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auto" w:sz="4" w:space="0"/>
              <w:right w:val="single" w:color="000000" w:sz="4" w:space="0"/>
              <w:tl2br w:val="nil"/>
            </w:tcBorders>
            <w:shd w:val="clear" w:color="auto" w:fill="FFFFFF"/>
            <w:vAlign w:val="center"/>
          </w:tcPr>
          <w:p w14:paraId="5DFF43C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样品编号</w:t>
            </w:r>
          </w:p>
        </w:tc>
        <w:tc>
          <w:tcPr>
            <w:tcW w:w="1689"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2A6927B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铅加入量/mg</w:t>
            </w:r>
          </w:p>
        </w:tc>
        <w:tc>
          <w:tcPr>
            <w:tcW w:w="2272" w:type="dxa"/>
            <w:tcBorders>
              <w:top w:val="single" w:color="000000" w:sz="12" w:space="0"/>
              <w:left w:val="single" w:color="000000" w:sz="4" w:space="0"/>
              <w:bottom w:val="single" w:color="auto" w:sz="4" w:space="0"/>
              <w:right w:val="single" w:color="000000" w:sz="4" w:space="0"/>
            </w:tcBorders>
            <w:shd w:val="clear" w:color="auto" w:fill="FFFFFF"/>
            <w:vAlign w:val="center"/>
          </w:tcPr>
          <w:p w14:paraId="7A41E79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测定铅含量/mg</w:t>
            </w:r>
          </w:p>
        </w:tc>
        <w:tc>
          <w:tcPr>
            <w:tcW w:w="2545" w:type="dxa"/>
            <w:tcBorders>
              <w:top w:val="single" w:color="000000" w:sz="12" w:space="0"/>
              <w:left w:val="single" w:color="000000" w:sz="4" w:space="0"/>
              <w:bottom w:val="single" w:color="auto" w:sz="4" w:space="0"/>
              <w:right w:val="single" w:color="000000" w:sz="12" w:space="0"/>
            </w:tcBorders>
            <w:shd w:val="clear" w:color="auto" w:fill="FFFFFF"/>
            <w:vAlign w:val="center"/>
          </w:tcPr>
          <w:p w14:paraId="08E085F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回收率 /%</w:t>
            </w:r>
          </w:p>
        </w:tc>
      </w:tr>
      <w:tr w14:paraId="558B6244">
        <w:tblPrEx>
          <w:tblCellMar>
            <w:top w:w="0" w:type="dxa"/>
            <w:left w:w="108" w:type="dxa"/>
            <w:bottom w:w="0" w:type="dxa"/>
            <w:right w:w="108" w:type="dxa"/>
          </w:tblCellMar>
        </w:tblPrEx>
        <w:trPr>
          <w:trHeight w:val="90" w:hRule="atLeast"/>
          <w:jc w:val="center"/>
        </w:trPr>
        <w:tc>
          <w:tcPr>
            <w:tcW w:w="2440" w:type="dxa"/>
            <w:tcBorders>
              <w:top w:val="single" w:color="auto" w:sz="4" w:space="0"/>
              <w:left w:val="single" w:color="000000" w:sz="12" w:space="0"/>
              <w:bottom w:val="single" w:color="000000" w:sz="4" w:space="0"/>
              <w:right w:val="single" w:color="000000" w:sz="4" w:space="0"/>
              <w:tl2br w:val="nil"/>
            </w:tcBorders>
            <w:shd w:val="clear" w:color="auto" w:fill="FFFFFF"/>
            <w:vAlign w:val="center"/>
          </w:tcPr>
          <w:p w14:paraId="73F53C3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GBW02139</w:t>
            </w:r>
          </w:p>
        </w:tc>
        <w:tc>
          <w:tcPr>
            <w:tcW w:w="1689"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5672AD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12</w:t>
            </w:r>
          </w:p>
        </w:tc>
        <w:tc>
          <w:tcPr>
            <w:tcW w:w="2272" w:type="dxa"/>
            <w:tcBorders>
              <w:top w:val="single" w:color="auto" w:sz="4" w:space="0"/>
              <w:left w:val="single" w:color="000000" w:sz="4" w:space="0"/>
              <w:bottom w:val="single" w:color="000000" w:sz="4" w:space="0"/>
              <w:right w:val="single" w:color="000000" w:sz="4" w:space="0"/>
            </w:tcBorders>
            <w:shd w:val="clear" w:color="auto" w:fill="FFFFFF"/>
            <w:vAlign w:val="center"/>
          </w:tcPr>
          <w:p w14:paraId="7068C31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11.97</w:t>
            </w:r>
          </w:p>
        </w:tc>
        <w:tc>
          <w:tcPr>
            <w:tcW w:w="2545" w:type="dxa"/>
            <w:tcBorders>
              <w:top w:val="single" w:color="auto" w:sz="4" w:space="0"/>
              <w:left w:val="single" w:color="000000" w:sz="4" w:space="0"/>
              <w:bottom w:val="single" w:color="000000" w:sz="4" w:space="0"/>
              <w:right w:val="single" w:color="000000" w:sz="12" w:space="0"/>
            </w:tcBorders>
            <w:shd w:val="clear" w:color="auto" w:fill="FFFFFF"/>
            <w:vAlign w:val="center"/>
          </w:tcPr>
          <w:p w14:paraId="6834D3F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99.75</w:t>
            </w:r>
          </w:p>
        </w:tc>
      </w:tr>
      <w:tr w14:paraId="350C0527">
        <w:tblPrEx>
          <w:tblCellMar>
            <w:top w:w="0" w:type="dxa"/>
            <w:left w:w="108" w:type="dxa"/>
            <w:bottom w:w="0" w:type="dxa"/>
            <w:right w:w="108" w:type="dxa"/>
          </w:tblCellMar>
        </w:tblPrEx>
        <w:trPr>
          <w:trHeight w:val="270" w:hRule="atLeast"/>
          <w:jc w:val="center"/>
        </w:trPr>
        <w:tc>
          <w:tcPr>
            <w:tcW w:w="2440" w:type="dxa"/>
            <w:tcBorders>
              <w:top w:val="single" w:color="000000" w:sz="4" w:space="0"/>
              <w:left w:val="single" w:color="000000" w:sz="12" w:space="0"/>
              <w:bottom w:val="single" w:color="auto" w:sz="12" w:space="0"/>
              <w:right w:val="single" w:color="000000" w:sz="4" w:space="0"/>
            </w:tcBorders>
            <w:shd w:val="clear" w:color="auto" w:fill="FFFFFF"/>
            <w:vAlign w:val="center"/>
          </w:tcPr>
          <w:p w14:paraId="1A3FB00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GBW02140</w:t>
            </w:r>
          </w:p>
        </w:tc>
        <w:tc>
          <w:tcPr>
            <w:tcW w:w="1689" w:type="dxa"/>
            <w:tcBorders>
              <w:top w:val="single" w:color="000000" w:sz="4" w:space="0"/>
              <w:left w:val="single" w:color="000000" w:sz="4" w:space="0"/>
              <w:bottom w:val="single" w:color="auto" w:sz="12" w:space="0"/>
              <w:right w:val="single" w:color="000000" w:sz="4" w:space="0"/>
            </w:tcBorders>
            <w:shd w:val="clear" w:color="auto" w:fill="FFFFFF"/>
          </w:tcPr>
          <w:p w14:paraId="319DC10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36</w:t>
            </w:r>
          </w:p>
        </w:tc>
        <w:tc>
          <w:tcPr>
            <w:tcW w:w="2272" w:type="dxa"/>
            <w:tcBorders>
              <w:top w:val="single" w:color="000000" w:sz="4" w:space="0"/>
              <w:left w:val="single" w:color="000000" w:sz="4" w:space="0"/>
              <w:bottom w:val="single" w:color="auto" w:sz="12" w:space="0"/>
              <w:right w:val="single" w:color="000000" w:sz="4" w:space="0"/>
            </w:tcBorders>
            <w:shd w:val="clear" w:color="auto" w:fill="FFFFFF"/>
            <w:vAlign w:val="center"/>
          </w:tcPr>
          <w:p w14:paraId="7CB134C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36.06</w:t>
            </w:r>
          </w:p>
        </w:tc>
        <w:tc>
          <w:tcPr>
            <w:tcW w:w="2545" w:type="dxa"/>
            <w:tcBorders>
              <w:top w:val="single" w:color="000000" w:sz="4" w:space="0"/>
              <w:left w:val="single" w:color="000000" w:sz="4" w:space="0"/>
              <w:bottom w:val="single" w:color="auto" w:sz="12" w:space="0"/>
              <w:right w:val="single" w:color="000000" w:sz="12" w:space="0"/>
            </w:tcBorders>
            <w:shd w:val="clear" w:color="auto" w:fill="FFFFFF"/>
            <w:vAlign w:val="center"/>
          </w:tcPr>
          <w:p w14:paraId="51C2360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100.17</w:t>
            </w:r>
          </w:p>
        </w:tc>
      </w:tr>
      <w:tr w14:paraId="032FF1AC">
        <w:tblPrEx>
          <w:tblCellMar>
            <w:top w:w="0" w:type="dxa"/>
            <w:left w:w="108" w:type="dxa"/>
            <w:bottom w:w="0" w:type="dxa"/>
            <w:right w:w="108" w:type="dxa"/>
          </w:tblCellMar>
        </w:tblPrEx>
        <w:trPr>
          <w:trHeight w:val="270" w:hRule="atLeast"/>
          <w:jc w:val="center"/>
        </w:trPr>
        <w:tc>
          <w:tcPr>
            <w:tcW w:w="2440" w:type="dxa"/>
            <w:tcBorders>
              <w:top w:val="single" w:color="auto" w:sz="12" w:space="0"/>
              <w:left w:val="single" w:color="auto" w:sz="12" w:space="0"/>
              <w:bottom w:val="single" w:color="auto" w:sz="4" w:space="0"/>
              <w:right w:val="single" w:color="auto" w:sz="4" w:space="0"/>
            </w:tcBorders>
            <w:shd w:val="clear" w:color="auto" w:fill="FFFFFF"/>
            <w:vAlign w:val="center"/>
          </w:tcPr>
          <w:p w14:paraId="2DF3D8B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样品编号</w:t>
            </w:r>
          </w:p>
        </w:tc>
        <w:tc>
          <w:tcPr>
            <w:tcW w:w="1689" w:type="dxa"/>
            <w:tcBorders>
              <w:top w:val="single" w:color="auto" w:sz="12" w:space="0"/>
              <w:left w:val="single" w:color="auto" w:sz="4" w:space="0"/>
              <w:bottom w:val="single" w:color="auto" w:sz="4" w:space="0"/>
              <w:right w:val="single" w:color="auto" w:sz="4" w:space="0"/>
            </w:tcBorders>
            <w:shd w:val="clear" w:color="auto" w:fill="FFFFFF"/>
          </w:tcPr>
          <w:p w14:paraId="423D688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标准值/%</w:t>
            </w:r>
          </w:p>
        </w:tc>
        <w:tc>
          <w:tcPr>
            <w:tcW w:w="2272" w:type="dxa"/>
            <w:tcBorders>
              <w:top w:val="single" w:color="auto" w:sz="12" w:space="0"/>
              <w:left w:val="single" w:color="auto" w:sz="4" w:space="0"/>
              <w:bottom w:val="single" w:color="auto" w:sz="4" w:space="0"/>
              <w:right w:val="single" w:color="auto" w:sz="4" w:space="0"/>
            </w:tcBorders>
            <w:shd w:val="clear" w:color="auto" w:fill="FFFFFF"/>
            <w:vAlign w:val="center"/>
          </w:tcPr>
          <w:p w14:paraId="464D2E7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测定值/%</w:t>
            </w:r>
          </w:p>
        </w:tc>
        <w:tc>
          <w:tcPr>
            <w:tcW w:w="2545" w:type="dxa"/>
            <w:tcBorders>
              <w:top w:val="single" w:color="auto" w:sz="12" w:space="0"/>
              <w:left w:val="single" w:color="auto" w:sz="4" w:space="0"/>
              <w:bottom w:val="single" w:color="auto" w:sz="4" w:space="0"/>
              <w:right w:val="single" w:color="auto" w:sz="12" w:space="0"/>
            </w:tcBorders>
            <w:shd w:val="clear" w:color="auto" w:fill="FFFFFF"/>
            <w:vAlign w:val="center"/>
          </w:tcPr>
          <w:p w14:paraId="4C83434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偏倚/%</w:t>
            </w:r>
          </w:p>
        </w:tc>
      </w:tr>
      <w:tr w14:paraId="293F7CAB">
        <w:tblPrEx>
          <w:tblCellMar>
            <w:top w:w="0" w:type="dxa"/>
            <w:left w:w="108" w:type="dxa"/>
            <w:bottom w:w="0" w:type="dxa"/>
            <w:right w:w="108" w:type="dxa"/>
          </w:tblCellMar>
        </w:tblPrEx>
        <w:trPr>
          <w:trHeight w:val="254" w:hRule="atLeast"/>
          <w:jc w:val="center"/>
        </w:trPr>
        <w:tc>
          <w:tcPr>
            <w:tcW w:w="2440" w:type="dxa"/>
            <w:tcBorders>
              <w:top w:val="single" w:color="auto" w:sz="4" w:space="0"/>
              <w:left w:val="single" w:color="auto" w:sz="12" w:space="0"/>
              <w:bottom w:val="single" w:color="auto" w:sz="4" w:space="0"/>
              <w:right w:val="single" w:color="auto" w:sz="4" w:space="0"/>
            </w:tcBorders>
            <w:shd w:val="clear" w:color="auto" w:fill="FFFFFF"/>
            <w:vAlign w:val="center"/>
          </w:tcPr>
          <w:p w14:paraId="23C7BC1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GBW02139</w:t>
            </w:r>
          </w:p>
        </w:tc>
        <w:tc>
          <w:tcPr>
            <w:tcW w:w="1689" w:type="dxa"/>
            <w:tcBorders>
              <w:top w:val="single" w:color="auto" w:sz="4" w:space="0"/>
              <w:left w:val="single" w:color="auto" w:sz="4" w:space="0"/>
              <w:bottom w:val="single" w:color="auto" w:sz="4" w:space="0"/>
              <w:right w:val="single" w:color="auto" w:sz="4" w:space="0"/>
            </w:tcBorders>
            <w:shd w:val="clear" w:color="auto" w:fill="FFFFFF"/>
            <w:vAlign w:val="center"/>
          </w:tcPr>
          <w:p w14:paraId="4938FE5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6.16</w:t>
            </w:r>
          </w:p>
        </w:tc>
        <w:tc>
          <w:tcPr>
            <w:tcW w:w="2272" w:type="dxa"/>
            <w:tcBorders>
              <w:top w:val="single" w:color="auto" w:sz="4" w:space="0"/>
              <w:left w:val="single" w:color="auto" w:sz="4" w:space="0"/>
              <w:bottom w:val="single" w:color="auto" w:sz="4" w:space="0"/>
              <w:right w:val="single" w:color="auto" w:sz="4" w:space="0"/>
            </w:tcBorders>
            <w:shd w:val="clear" w:color="auto" w:fill="FFFFFF"/>
            <w:vAlign w:val="center"/>
          </w:tcPr>
          <w:p w14:paraId="3DDBB5D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6.14</w:t>
            </w:r>
          </w:p>
        </w:tc>
        <w:tc>
          <w:tcPr>
            <w:tcW w:w="2545" w:type="dxa"/>
            <w:tcBorders>
              <w:top w:val="single" w:color="auto" w:sz="4" w:space="0"/>
              <w:left w:val="single" w:color="auto" w:sz="4" w:space="0"/>
              <w:bottom w:val="single" w:color="auto" w:sz="4" w:space="0"/>
              <w:right w:val="single" w:color="auto" w:sz="12" w:space="0"/>
            </w:tcBorders>
            <w:shd w:val="clear" w:color="auto" w:fill="FFFFFF"/>
            <w:vAlign w:val="center"/>
          </w:tcPr>
          <w:p w14:paraId="0EEF964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-0.02</w:t>
            </w:r>
          </w:p>
        </w:tc>
      </w:tr>
      <w:tr w14:paraId="31B43072">
        <w:tblPrEx>
          <w:tblCellMar>
            <w:top w:w="0" w:type="dxa"/>
            <w:left w:w="108" w:type="dxa"/>
            <w:bottom w:w="0" w:type="dxa"/>
            <w:right w:w="108" w:type="dxa"/>
          </w:tblCellMar>
        </w:tblPrEx>
        <w:trPr>
          <w:trHeight w:val="270" w:hRule="atLeast"/>
          <w:jc w:val="center"/>
        </w:trPr>
        <w:tc>
          <w:tcPr>
            <w:tcW w:w="2440" w:type="dxa"/>
            <w:tcBorders>
              <w:top w:val="single" w:color="auto" w:sz="4" w:space="0"/>
              <w:left w:val="single" w:color="auto" w:sz="12" w:space="0"/>
              <w:bottom w:val="single" w:color="auto" w:sz="12" w:space="0"/>
              <w:right w:val="single" w:color="auto" w:sz="4" w:space="0"/>
            </w:tcBorders>
            <w:shd w:val="clear" w:color="auto" w:fill="FFFFFF"/>
            <w:vAlign w:val="center"/>
          </w:tcPr>
          <w:p w14:paraId="5A98EFA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GBW02140</w:t>
            </w:r>
          </w:p>
        </w:tc>
        <w:tc>
          <w:tcPr>
            <w:tcW w:w="1689" w:type="dxa"/>
            <w:tcBorders>
              <w:top w:val="single" w:color="auto" w:sz="4" w:space="0"/>
              <w:left w:val="single" w:color="auto" w:sz="4" w:space="0"/>
              <w:bottom w:val="single" w:color="auto" w:sz="12" w:space="0"/>
              <w:right w:val="single" w:color="auto" w:sz="4" w:space="0"/>
            </w:tcBorders>
            <w:shd w:val="clear" w:color="auto" w:fill="FFFFFF"/>
            <w:vAlign w:val="center"/>
          </w:tcPr>
          <w:p w14:paraId="6F586B2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17.62</w:t>
            </w:r>
          </w:p>
        </w:tc>
        <w:tc>
          <w:tcPr>
            <w:tcW w:w="2272" w:type="dxa"/>
            <w:tcBorders>
              <w:top w:val="single" w:color="auto" w:sz="4" w:space="0"/>
              <w:left w:val="single" w:color="auto" w:sz="4" w:space="0"/>
              <w:bottom w:val="single" w:color="auto" w:sz="12" w:space="0"/>
              <w:right w:val="single" w:color="auto" w:sz="4" w:space="0"/>
            </w:tcBorders>
            <w:shd w:val="clear" w:color="auto" w:fill="FFFFFF"/>
            <w:vAlign w:val="center"/>
          </w:tcPr>
          <w:p w14:paraId="57EEF34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17.59</w:t>
            </w:r>
          </w:p>
        </w:tc>
        <w:tc>
          <w:tcPr>
            <w:tcW w:w="2545" w:type="dxa"/>
            <w:tcBorders>
              <w:top w:val="single" w:color="auto" w:sz="4" w:space="0"/>
              <w:left w:val="single" w:color="auto" w:sz="4" w:space="0"/>
              <w:bottom w:val="single" w:color="auto" w:sz="12" w:space="0"/>
              <w:right w:val="single" w:color="auto" w:sz="12" w:space="0"/>
            </w:tcBorders>
            <w:shd w:val="clear" w:color="auto" w:fill="FFFFFF"/>
            <w:vAlign w:val="center"/>
          </w:tcPr>
          <w:p w14:paraId="2BDFCBF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-0.03</w:t>
            </w:r>
          </w:p>
        </w:tc>
      </w:tr>
    </w:tbl>
    <w:p w14:paraId="6E883DA6">
      <w:pPr>
        <w:ind w:firstLine="420"/>
        <w:jc w:val="both"/>
        <w:rPr>
          <w:rFonts w:hint="eastAsia" w:ascii="黑体" w:hAnsi="黑体" w:eastAsia="宋体" w:cs="黑体"/>
          <w:bCs/>
          <w:color w:val="000000"/>
          <w:szCs w:val="21"/>
          <w:lang w:val="en-US" w:eastAsia="zh-CN"/>
        </w:rPr>
      </w:pPr>
      <w:r>
        <w:rPr>
          <w:rFonts w:ascii="Times New Roman" w:hAnsi="Times New Roman" w:eastAsia="宋体" w:cs="Times New Roman"/>
          <w:bCs/>
          <w:color w:val="000000"/>
          <w:szCs w:val="21"/>
        </w:rPr>
        <w:t>由表11</w:t>
      </w:r>
      <w:r>
        <w:rPr>
          <w:rFonts w:hint="eastAsia" w:ascii="Times New Roman" w:hAnsi="Times New Roman" w:eastAsia="宋体" w:cs="Times New Roman"/>
          <w:bCs/>
          <w:color w:val="000000"/>
          <w:szCs w:val="21"/>
          <w:lang w:val="en-US" w:eastAsia="zh-CN"/>
        </w:rPr>
        <w:t>-2</w:t>
      </w:r>
      <w:r>
        <w:rPr>
          <w:rFonts w:ascii="Times New Roman" w:hAnsi="Times New Roman" w:eastAsia="宋体" w:cs="Times New Roman"/>
          <w:bCs/>
          <w:color w:val="000000"/>
          <w:szCs w:val="21"/>
        </w:rPr>
        <w:t>结果可知，在正确度试验中，加标回收率在99.75%～100.17%之间，有证标准样品测定值与标准值相吻合，证明本方法有较好的正确度</w:t>
      </w:r>
      <w:r>
        <w:rPr>
          <w:rFonts w:hint="eastAsia" w:ascii="Times New Roman" w:hAnsi="Times New Roman" w:eastAsia="宋体" w:cs="Times New Roman"/>
          <w:bCs/>
          <w:color w:val="000000"/>
          <w:szCs w:val="21"/>
          <w:lang w:eastAsia="zh-CN"/>
        </w:rPr>
        <w:t>。</w:t>
      </w:r>
      <w:r>
        <w:rPr>
          <w:rFonts w:hint="eastAsia" w:ascii="宋体" w:hAnsi="宋体" w:eastAsia="宋体" w:cs="宋体"/>
          <w:b w:val="0"/>
          <w:bCs/>
          <w:color w:val="auto"/>
          <w:sz w:val="21"/>
          <w:szCs w:val="21"/>
        </w:rPr>
        <w:t>结论与起草方一致</w:t>
      </w:r>
      <w:r>
        <w:rPr>
          <w:rFonts w:hint="eastAsia" w:ascii="宋体" w:hAnsi="宋体" w:eastAsia="宋体" w:cs="宋体"/>
          <w:b w:val="0"/>
          <w:bCs/>
          <w:color w:val="auto"/>
          <w:sz w:val="21"/>
          <w:szCs w:val="21"/>
          <w:lang w:eastAsia="zh-CN"/>
        </w:rPr>
        <w:t>。</w:t>
      </w:r>
    </w:p>
    <w:p w14:paraId="53B3410B">
      <w:pPr>
        <w:ind w:firstLine="420"/>
        <w:jc w:val="both"/>
        <w:rPr>
          <w:rFonts w:hint="eastAsia" w:ascii="黑体" w:hAnsi="黑体" w:eastAsia="黑体" w:cs="黑体"/>
          <w:color w:val="000000"/>
          <w:kern w:val="0"/>
          <w:sz w:val="21"/>
          <w:szCs w:val="21"/>
        </w:rPr>
      </w:pPr>
    </w:p>
    <w:p w14:paraId="2C246528">
      <w:pPr>
        <w:ind w:firstLine="420"/>
        <w:jc w:val="center"/>
        <w:rPr>
          <w:rFonts w:hint="eastAsia" w:ascii="黑体" w:hAnsi="黑体" w:eastAsia="黑体" w:cs="黑体"/>
          <w:bCs/>
          <w:color w:val="000000"/>
          <w:szCs w:val="21"/>
          <w:lang w:val="en-US" w:eastAsia="zh-CN"/>
        </w:rPr>
      </w:pPr>
      <w:r>
        <w:rPr>
          <w:rFonts w:hint="eastAsia" w:ascii="黑体" w:hAnsi="黑体" w:eastAsia="黑体" w:cs="黑体"/>
          <w:color w:val="000000"/>
          <w:kern w:val="0"/>
          <w:sz w:val="21"/>
          <w:szCs w:val="21"/>
        </w:rPr>
        <w:t>表</w:t>
      </w:r>
      <w:r>
        <w:rPr>
          <w:rFonts w:hint="eastAsia" w:ascii="黑体" w:hAnsi="黑体" w:eastAsia="黑体" w:cs="黑体"/>
          <w:color w:val="000000"/>
          <w:kern w:val="0"/>
          <w:sz w:val="21"/>
          <w:szCs w:val="21"/>
          <w:lang w:val="en-US" w:eastAsia="zh-CN"/>
        </w:rPr>
        <w:t>11-3 准确度试验</w:t>
      </w:r>
      <w:r>
        <w:rPr>
          <w:rFonts w:hint="eastAsia" w:ascii="黑体" w:hAnsi="黑体" w:eastAsia="黑体" w:cs="黑体"/>
          <w:bCs/>
          <w:color w:val="000000"/>
          <w:szCs w:val="21"/>
          <w:lang w:val="en-US" w:eastAsia="zh-CN"/>
        </w:rPr>
        <w:t>（浙江省冶金产品质量检验站有限公司）</w:t>
      </w:r>
    </w:p>
    <w:tbl>
      <w:tblPr>
        <w:tblStyle w:val="13"/>
        <w:tblW w:w="8946" w:type="dxa"/>
        <w:jc w:val="center"/>
        <w:tblLayout w:type="fixed"/>
        <w:tblCellMar>
          <w:top w:w="0" w:type="dxa"/>
          <w:left w:w="108" w:type="dxa"/>
          <w:bottom w:w="0" w:type="dxa"/>
          <w:right w:w="108" w:type="dxa"/>
        </w:tblCellMar>
      </w:tblPr>
      <w:tblGrid>
        <w:gridCol w:w="2440"/>
        <w:gridCol w:w="1689"/>
        <w:gridCol w:w="2272"/>
        <w:gridCol w:w="2545"/>
      </w:tblGrid>
      <w:tr w14:paraId="51ED9DBF">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305A998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样品编号</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1EBF8E5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铅加入量/mg</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35C4FE25">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测定铅含量/mg</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6156970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回收率 /%</w:t>
            </w:r>
          </w:p>
        </w:tc>
      </w:tr>
      <w:tr w14:paraId="24F99893">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23C981EE">
            <w:pPr>
              <w:widowControl/>
              <w:jc w:val="center"/>
              <w:rPr>
                <w:rFonts w:hint="eastAsia" w:ascii="宋体" w:hAnsi="宋体" w:cs="宋体"/>
                <w:color w:val="000000"/>
                <w:kern w:val="0"/>
                <w:sz w:val="18"/>
                <w:szCs w:val="18"/>
              </w:rPr>
            </w:pPr>
            <w:r>
              <w:rPr>
                <w:rFonts w:hint="eastAsia" w:ascii="宋体" w:hAnsi="宋体" w:cs="宋体"/>
                <w:bCs/>
                <w:color w:val="000000"/>
                <w:sz w:val="18"/>
                <w:szCs w:val="18"/>
              </w:rPr>
              <w:t>QPb3-4</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048A3D4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50.00</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465CF6D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49.95</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7776D5E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99.90</w:t>
            </w:r>
          </w:p>
        </w:tc>
      </w:tr>
      <w:tr w14:paraId="72050076">
        <w:tblPrEx>
          <w:tblCellMar>
            <w:top w:w="0" w:type="dxa"/>
            <w:left w:w="108" w:type="dxa"/>
            <w:bottom w:w="0" w:type="dxa"/>
            <w:right w:w="108" w:type="dxa"/>
          </w:tblCellMar>
        </w:tblPrEx>
        <w:trPr>
          <w:trHeight w:val="270" w:hRule="atLeast"/>
          <w:jc w:val="center"/>
        </w:trPr>
        <w:tc>
          <w:tcPr>
            <w:tcW w:w="2440" w:type="dxa"/>
            <w:tcBorders>
              <w:top w:val="single" w:color="000000" w:sz="4" w:space="0"/>
              <w:left w:val="single" w:color="000000" w:sz="12" w:space="0"/>
              <w:bottom w:val="single" w:color="auto" w:sz="12" w:space="0"/>
              <w:right w:val="single" w:color="000000" w:sz="4" w:space="0"/>
            </w:tcBorders>
            <w:shd w:val="clear" w:color="auto" w:fill="FFFFFF"/>
            <w:vAlign w:val="center"/>
          </w:tcPr>
          <w:p w14:paraId="165F1127">
            <w:pPr>
              <w:jc w:val="center"/>
              <w:rPr>
                <w:rFonts w:hint="eastAsia" w:ascii="宋体" w:hAnsi="宋体" w:cs="宋体"/>
                <w:color w:val="000000"/>
                <w:sz w:val="18"/>
                <w:szCs w:val="18"/>
              </w:rPr>
            </w:pPr>
            <w:r>
              <w:rPr>
                <w:rFonts w:hint="eastAsia" w:ascii="宋体" w:hAnsi="宋体" w:cs="宋体"/>
                <w:bCs/>
                <w:color w:val="000000"/>
                <w:sz w:val="18"/>
                <w:szCs w:val="18"/>
              </w:rPr>
              <w:t>QPb3-5</w:t>
            </w:r>
          </w:p>
        </w:tc>
        <w:tc>
          <w:tcPr>
            <w:tcW w:w="1689" w:type="dxa"/>
            <w:tcBorders>
              <w:top w:val="single" w:color="000000" w:sz="4" w:space="0"/>
              <w:left w:val="single" w:color="000000" w:sz="4" w:space="0"/>
              <w:bottom w:val="single" w:color="auto" w:sz="12" w:space="0"/>
              <w:right w:val="single" w:color="000000" w:sz="4" w:space="0"/>
            </w:tcBorders>
            <w:shd w:val="clear" w:color="auto" w:fill="FFFFFF"/>
          </w:tcPr>
          <w:p w14:paraId="5821BF29">
            <w:pPr>
              <w:jc w:val="center"/>
              <w:rPr>
                <w:rFonts w:hint="eastAsia" w:ascii="宋体" w:hAnsi="宋体" w:cs="宋体"/>
                <w:color w:val="000000"/>
                <w:sz w:val="18"/>
                <w:szCs w:val="18"/>
              </w:rPr>
            </w:pPr>
            <w:r>
              <w:rPr>
                <w:rFonts w:hint="eastAsia" w:ascii="宋体" w:hAnsi="宋体" w:cs="宋体"/>
                <w:color w:val="000000"/>
                <w:sz w:val="18"/>
                <w:szCs w:val="18"/>
              </w:rPr>
              <w:t>64.00</w:t>
            </w:r>
          </w:p>
        </w:tc>
        <w:tc>
          <w:tcPr>
            <w:tcW w:w="2272" w:type="dxa"/>
            <w:tcBorders>
              <w:top w:val="single" w:color="000000" w:sz="4" w:space="0"/>
              <w:left w:val="single" w:color="000000" w:sz="4" w:space="0"/>
              <w:bottom w:val="single" w:color="auto" w:sz="12" w:space="0"/>
              <w:right w:val="single" w:color="000000" w:sz="4" w:space="0"/>
            </w:tcBorders>
            <w:shd w:val="clear" w:color="auto" w:fill="FFFFFF"/>
            <w:vAlign w:val="center"/>
          </w:tcPr>
          <w:p w14:paraId="21AF785D">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64.06</w:t>
            </w:r>
          </w:p>
        </w:tc>
        <w:tc>
          <w:tcPr>
            <w:tcW w:w="2545" w:type="dxa"/>
            <w:tcBorders>
              <w:top w:val="single" w:color="000000" w:sz="4" w:space="0"/>
              <w:left w:val="single" w:color="000000" w:sz="4" w:space="0"/>
              <w:bottom w:val="single" w:color="auto" w:sz="12" w:space="0"/>
              <w:right w:val="single" w:color="000000" w:sz="12" w:space="0"/>
            </w:tcBorders>
            <w:shd w:val="clear" w:color="auto" w:fill="FFFFFF"/>
            <w:vAlign w:val="center"/>
          </w:tcPr>
          <w:p w14:paraId="63A953E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100.09</w:t>
            </w:r>
          </w:p>
        </w:tc>
      </w:tr>
      <w:tr w14:paraId="4992D516">
        <w:tblPrEx>
          <w:tblCellMar>
            <w:top w:w="0" w:type="dxa"/>
            <w:left w:w="108" w:type="dxa"/>
            <w:bottom w:w="0" w:type="dxa"/>
            <w:right w:w="108" w:type="dxa"/>
          </w:tblCellMar>
        </w:tblPrEx>
        <w:trPr>
          <w:trHeight w:val="270" w:hRule="atLeast"/>
          <w:jc w:val="center"/>
        </w:trPr>
        <w:tc>
          <w:tcPr>
            <w:tcW w:w="2440" w:type="dxa"/>
            <w:tcBorders>
              <w:top w:val="single" w:color="auto" w:sz="12" w:space="0"/>
              <w:left w:val="single" w:color="auto" w:sz="12" w:space="0"/>
              <w:bottom w:val="single" w:color="auto" w:sz="4" w:space="0"/>
              <w:right w:val="single" w:color="auto" w:sz="4" w:space="0"/>
            </w:tcBorders>
            <w:shd w:val="clear" w:color="auto" w:fill="FFFFFF"/>
            <w:vAlign w:val="center"/>
          </w:tcPr>
          <w:p w14:paraId="44EFA182">
            <w:pPr>
              <w:jc w:val="center"/>
              <w:rPr>
                <w:rFonts w:hint="eastAsia" w:ascii="宋体" w:hAnsi="宋体" w:cs="宋体"/>
                <w:color w:val="000000"/>
                <w:sz w:val="18"/>
                <w:szCs w:val="18"/>
              </w:rPr>
            </w:pPr>
            <w:r>
              <w:rPr>
                <w:rFonts w:hint="eastAsia" w:ascii="宋体" w:hAnsi="宋体" w:cs="宋体"/>
                <w:bCs/>
                <w:color w:val="000000"/>
                <w:sz w:val="18"/>
                <w:szCs w:val="18"/>
              </w:rPr>
              <w:t>样品编号</w:t>
            </w:r>
          </w:p>
        </w:tc>
        <w:tc>
          <w:tcPr>
            <w:tcW w:w="1689" w:type="dxa"/>
            <w:tcBorders>
              <w:top w:val="single" w:color="auto" w:sz="12" w:space="0"/>
              <w:left w:val="single" w:color="auto" w:sz="4" w:space="0"/>
              <w:bottom w:val="single" w:color="auto" w:sz="4" w:space="0"/>
              <w:right w:val="single" w:color="auto" w:sz="4" w:space="0"/>
            </w:tcBorders>
            <w:shd w:val="clear" w:color="auto" w:fill="FFFFFF"/>
          </w:tcPr>
          <w:p w14:paraId="3813CEC5">
            <w:pPr>
              <w:jc w:val="center"/>
              <w:rPr>
                <w:rFonts w:hint="eastAsia" w:ascii="宋体" w:hAnsi="宋体" w:cs="宋体"/>
                <w:color w:val="000000"/>
                <w:sz w:val="18"/>
                <w:szCs w:val="18"/>
              </w:rPr>
            </w:pPr>
            <w:r>
              <w:rPr>
                <w:rFonts w:hint="eastAsia" w:ascii="宋体" w:hAnsi="宋体" w:cs="宋体"/>
                <w:color w:val="000000"/>
                <w:sz w:val="18"/>
                <w:szCs w:val="18"/>
              </w:rPr>
              <w:t>标准值</w:t>
            </w:r>
            <w:r>
              <w:rPr>
                <w:rFonts w:hint="eastAsia" w:ascii="宋体" w:hAnsi="宋体" w:cs="宋体"/>
                <w:color w:val="000000"/>
                <w:kern w:val="0"/>
                <w:sz w:val="18"/>
                <w:szCs w:val="18"/>
              </w:rPr>
              <w:t>/%</w:t>
            </w:r>
          </w:p>
        </w:tc>
        <w:tc>
          <w:tcPr>
            <w:tcW w:w="2272" w:type="dxa"/>
            <w:tcBorders>
              <w:top w:val="single" w:color="auto" w:sz="12" w:space="0"/>
              <w:left w:val="single" w:color="auto" w:sz="4" w:space="0"/>
              <w:bottom w:val="single" w:color="auto" w:sz="4" w:space="0"/>
              <w:right w:val="single" w:color="auto" w:sz="4" w:space="0"/>
            </w:tcBorders>
            <w:shd w:val="clear" w:color="auto" w:fill="FFFFFF"/>
            <w:vAlign w:val="center"/>
          </w:tcPr>
          <w:p w14:paraId="6AF02D8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测定值/%</w:t>
            </w:r>
          </w:p>
        </w:tc>
        <w:tc>
          <w:tcPr>
            <w:tcW w:w="2545" w:type="dxa"/>
            <w:tcBorders>
              <w:top w:val="single" w:color="auto" w:sz="12" w:space="0"/>
              <w:left w:val="single" w:color="auto" w:sz="4" w:space="0"/>
              <w:bottom w:val="single" w:color="auto" w:sz="4" w:space="0"/>
              <w:right w:val="single" w:color="auto" w:sz="12" w:space="0"/>
            </w:tcBorders>
            <w:shd w:val="clear" w:color="auto" w:fill="FFFFFF"/>
            <w:vAlign w:val="center"/>
          </w:tcPr>
          <w:p w14:paraId="1B0FD609">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偏差/%</w:t>
            </w:r>
          </w:p>
        </w:tc>
      </w:tr>
      <w:tr w14:paraId="1B1DBCA9">
        <w:tblPrEx>
          <w:tblCellMar>
            <w:top w:w="0" w:type="dxa"/>
            <w:left w:w="108" w:type="dxa"/>
            <w:bottom w:w="0" w:type="dxa"/>
            <w:right w:w="108" w:type="dxa"/>
          </w:tblCellMar>
        </w:tblPrEx>
        <w:trPr>
          <w:trHeight w:val="254" w:hRule="atLeast"/>
          <w:jc w:val="center"/>
        </w:trPr>
        <w:tc>
          <w:tcPr>
            <w:tcW w:w="2440" w:type="dxa"/>
            <w:tcBorders>
              <w:top w:val="single" w:color="auto" w:sz="4" w:space="0"/>
              <w:left w:val="single" w:color="auto" w:sz="12" w:space="0"/>
              <w:bottom w:val="single" w:color="auto" w:sz="4" w:space="0"/>
              <w:right w:val="single" w:color="auto" w:sz="4" w:space="0"/>
            </w:tcBorders>
            <w:shd w:val="clear" w:color="auto" w:fill="FFFFFF"/>
            <w:vAlign w:val="center"/>
          </w:tcPr>
          <w:p w14:paraId="21058137">
            <w:pPr>
              <w:jc w:val="center"/>
              <w:rPr>
                <w:rFonts w:hint="eastAsia" w:ascii="宋体" w:hAnsi="宋体" w:cs="宋体"/>
                <w:color w:val="000000"/>
                <w:sz w:val="18"/>
                <w:szCs w:val="18"/>
              </w:rPr>
            </w:pPr>
            <w:r>
              <w:rPr>
                <w:rFonts w:hint="eastAsia" w:ascii="宋体" w:hAnsi="宋体" w:cs="宋体"/>
                <w:bCs/>
                <w:color w:val="000000"/>
                <w:sz w:val="18"/>
                <w:szCs w:val="18"/>
              </w:rPr>
              <w:t>GBW02139</w:t>
            </w:r>
          </w:p>
        </w:tc>
        <w:tc>
          <w:tcPr>
            <w:tcW w:w="1689" w:type="dxa"/>
            <w:tcBorders>
              <w:top w:val="single" w:color="auto" w:sz="4" w:space="0"/>
              <w:left w:val="single" w:color="auto" w:sz="4" w:space="0"/>
              <w:bottom w:val="single" w:color="auto" w:sz="4" w:space="0"/>
              <w:right w:val="single" w:color="auto" w:sz="4" w:space="0"/>
            </w:tcBorders>
            <w:shd w:val="clear" w:color="auto" w:fill="FFFFFF"/>
            <w:vAlign w:val="center"/>
          </w:tcPr>
          <w:p w14:paraId="6B3AD4BF">
            <w:pPr>
              <w:jc w:val="center"/>
              <w:rPr>
                <w:rFonts w:hint="eastAsia" w:ascii="宋体" w:hAnsi="宋体" w:cs="宋体"/>
                <w:color w:val="000000"/>
                <w:sz w:val="18"/>
                <w:szCs w:val="18"/>
              </w:rPr>
            </w:pPr>
            <w:r>
              <w:rPr>
                <w:rFonts w:hint="eastAsia" w:ascii="宋体" w:hAnsi="宋体" w:cs="宋体"/>
                <w:color w:val="000000"/>
                <w:sz w:val="18"/>
                <w:szCs w:val="18"/>
              </w:rPr>
              <w:t>6.16</w:t>
            </w:r>
          </w:p>
        </w:tc>
        <w:tc>
          <w:tcPr>
            <w:tcW w:w="2272" w:type="dxa"/>
            <w:tcBorders>
              <w:top w:val="single" w:color="auto" w:sz="4" w:space="0"/>
              <w:left w:val="single" w:color="auto" w:sz="4" w:space="0"/>
              <w:bottom w:val="single" w:color="auto" w:sz="4" w:space="0"/>
              <w:right w:val="single" w:color="auto" w:sz="4" w:space="0"/>
            </w:tcBorders>
            <w:shd w:val="clear" w:color="auto" w:fill="FFFFFF"/>
            <w:vAlign w:val="center"/>
          </w:tcPr>
          <w:p w14:paraId="4B00A550">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6.118</w:t>
            </w:r>
          </w:p>
        </w:tc>
        <w:tc>
          <w:tcPr>
            <w:tcW w:w="2545" w:type="dxa"/>
            <w:tcBorders>
              <w:top w:val="single" w:color="auto" w:sz="4" w:space="0"/>
              <w:left w:val="single" w:color="auto" w:sz="4" w:space="0"/>
              <w:bottom w:val="single" w:color="auto" w:sz="4" w:space="0"/>
              <w:right w:val="single" w:color="auto" w:sz="12" w:space="0"/>
            </w:tcBorders>
            <w:shd w:val="clear" w:color="auto" w:fill="FFFFFF"/>
            <w:vAlign w:val="center"/>
          </w:tcPr>
          <w:p w14:paraId="72D2C6B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-0.042</w:t>
            </w:r>
          </w:p>
        </w:tc>
      </w:tr>
      <w:tr w14:paraId="6FCCEA11">
        <w:tblPrEx>
          <w:tblCellMar>
            <w:top w:w="0" w:type="dxa"/>
            <w:left w:w="108" w:type="dxa"/>
            <w:bottom w:w="0" w:type="dxa"/>
            <w:right w:w="108" w:type="dxa"/>
          </w:tblCellMar>
        </w:tblPrEx>
        <w:trPr>
          <w:trHeight w:val="270" w:hRule="atLeast"/>
          <w:jc w:val="center"/>
        </w:trPr>
        <w:tc>
          <w:tcPr>
            <w:tcW w:w="2440" w:type="dxa"/>
            <w:tcBorders>
              <w:top w:val="single" w:color="auto" w:sz="4" w:space="0"/>
              <w:left w:val="single" w:color="auto" w:sz="12" w:space="0"/>
              <w:bottom w:val="single" w:color="auto" w:sz="12" w:space="0"/>
              <w:right w:val="single" w:color="auto" w:sz="4" w:space="0"/>
            </w:tcBorders>
            <w:shd w:val="clear" w:color="auto" w:fill="FFFFFF"/>
            <w:vAlign w:val="center"/>
          </w:tcPr>
          <w:p w14:paraId="5EDB6E25">
            <w:pPr>
              <w:jc w:val="center"/>
              <w:rPr>
                <w:rFonts w:hint="eastAsia" w:ascii="宋体" w:hAnsi="宋体" w:cs="宋体"/>
                <w:bCs/>
                <w:color w:val="000000"/>
                <w:sz w:val="18"/>
                <w:szCs w:val="18"/>
              </w:rPr>
            </w:pPr>
            <w:r>
              <w:rPr>
                <w:rFonts w:hint="eastAsia" w:ascii="宋体" w:hAnsi="宋体" w:cs="宋体"/>
                <w:bCs/>
                <w:color w:val="000000"/>
                <w:sz w:val="18"/>
                <w:szCs w:val="18"/>
              </w:rPr>
              <w:t>GBW02140</w:t>
            </w:r>
          </w:p>
        </w:tc>
        <w:tc>
          <w:tcPr>
            <w:tcW w:w="1689" w:type="dxa"/>
            <w:tcBorders>
              <w:top w:val="single" w:color="auto" w:sz="4" w:space="0"/>
              <w:left w:val="single" w:color="auto" w:sz="4" w:space="0"/>
              <w:bottom w:val="single" w:color="auto" w:sz="12" w:space="0"/>
              <w:right w:val="single" w:color="auto" w:sz="4" w:space="0"/>
            </w:tcBorders>
            <w:shd w:val="clear" w:color="auto" w:fill="FFFFFF"/>
            <w:vAlign w:val="center"/>
          </w:tcPr>
          <w:p w14:paraId="231D579C">
            <w:pPr>
              <w:jc w:val="center"/>
              <w:rPr>
                <w:rFonts w:hint="eastAsia" w:ascii="宋体" w:hAnsi="宋体" w:cs="宋体"/>
                <w:color w:val="000000"/>
                <w:sz w:val="18"/>
                <w:szCs w:val="18"/>
              </w:rPr>
            </w:pPr>
            <w:r>
              <w:rPr>
                <w:rFonts w:hint="eastAsia" w:ascii="宋体" w:hAnsi="宋体" w:cs="宋体"/>
                <w:color w:val="000000"/>
                <w:sz w:val="18"/>
                <w:szCs w:val="18"/>
              </w:rPr>
              <w:t>17.62</w:t>
            </w:r>
          </w:p>
        </w:tc>
        <w:tc>
          <w:tcPr>
            <w:tcW w:w="2272" w:type="dxa"/>
            <w:tcBorders>
              <w:top w:val="single" w:color="auto" w:sz="4" w:space="0"/>
              <w:left w:val="single" w:color="auto" w:sz="4" w:space="0"/>
              <w:bottom w:val="single" w:color="auto" w:sz="12" w:space="0"/>
              <w:right w:val="single" w:color="auto" w:sz="4" w:space="0"/>
            </w:tcBorders>
            <w:shd w:val="clear" w:color="auto" w:fill="FFFFFF"/>
            <w:vAlign w:val="center"/>
          </w:tcPr>
          <w:p w14:paraId="37B6D12A">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17.590</w:t>
            </w:r>
          </w:p>
        </w:tc>
        <w:tc>
          <w:tcPr>
            <w:tcW w:w="2545" w:type="dxa"/>
            <w:tcBorders>
              <w:top w:val="single" w:color="auto" w:sz="4" w:space="0"/>
              <w:left w:val="single" w:color="auto" w:sz="4" w:space="0"/>
              <w:bottom w:val="single" w:color="auto" w:sz="12" w:space="0"/>
              <w:right w:val="single" w:color="auto" w:sz="12" w:space="0"/>
            </w:tcBorders>
            <w:shd w:val="clear" w:color="auto" w:fill="FFFFFF"/>
            <w:vAlign w:val="center"/>
          </w:tcPr>
          <w:p w14:paraId="7B831BC2">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-0.030</w:t>
            </w:r>
          </w:p>
        </w:tc>
      </w:tr>
    </w:tbl>
    <w:p w14:paraId="33DE49E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bCs/>
          <w:color w:val="000000"/>
          <w:szCs w:val="21"/>
          <w:lang w:eastAsia="zh-CN"/>
        </w:rPr>
      </w:pPr>
      <w:r>
        <w:rPr>
          <w:rFonts w:hint="eastAsia" w:ascii="宋体" w:hAnsi="宋体" w:cs="宋体"/>
          <w:bCs/>
          <w:color w:val="000000"/>
          <w:szCs w:val="21"/>
        </w:rPr>
        <w:t>由表</w:t>
      </w:r>
      <w:r>
        <w:rPr>
          <w:rFonts w:hint="eastAsia" w:ascii="宋体" w:hAnsi="宋体" w:cs="宋体"/>
          <w:bCs/>
          <w:color w:val="000000"/>
          <w:szCs w:val="21"/>
          <w:lang w:val="en-US" w:eastAsia="zh-CN"/>
        </w:rPr>
        <w:t>11-3</w:t>
      </w:r>
      <w:r>
        <w:rPr>
          <w:rFonts w:hint="eastAsia" w:ascii="宋体" w:hAnsi="宋体" w:cs="宋体"/>
          <w:bCs/>
          <w:color w:val="000000"/>
          <w:szCs w:val="21"/>
        </w:rPr>
        <w:t>结果可知，在测试合成样试验中，回收率在99.90%～100.09%之间，与有证标准样品标准值的偏差在-0.042%～-0.030%之间，证明本方法有较好的准确度。</w:t>
      </w:r>
      <w:r>
        <w:rPr>
          <w:rFonts w:hint="eastAsia" w:ascii="宋体" w:hAnsi="宋体" w:eastAsia="宋体" w:cs="宋体"/>
          <w:b w:val="0"/>
          <w:bCs/>
          <w:color w:val="auto"/>
          <w:sz w:val="21"/>
          <w:szCs w:val="21"/>
        </w:rPr>
        <w:t>结论与起草方一致</w:t>
      </w:r>
      <w:r>
        <w:rPr>
          <w:rFonts w:hint="eastAsia" w:ascii="宋体" w:hAnsi="宋体" w:eastAsia="宋体" w:cs="宋体"/>
          <w:b w:val="0"/>
          <w:bCs/>
          <w:color w:val="auto"/>
          <w:sz w:val="21"/>
          <w:szCs w:val="21"/>
          <w:lang w:eastAsia="zh-CN"/>
        </w:rPr>
        <w:t>。</w:t>
      </w:r>
    </w:p>
    <w:p w14:paraId="621D7F2E">
      <w:pPr>
        <w:ind w:firstLine="420"/>
        <w:jc w:val="center"/>
        <w:rPr>
          <w:rFonts w:hint="eastAsia" w:ascii="黑体" w:hAnsi="黑体" w:eastAsia="黑体" w:cs="黑体"/>
          <w:bCs/>
          <w:color w:val="000000"/>
          <w:szCs w:val="21"/>
          <w:lang w:val="en-US" w:eastAsia="zh-CN"/>
        </w:rPr>
      </w:pPr>
      <w:r>
        <w:rPr>
          <w:rFonts w:hint="eastAsia" w:ascii="黑体" w:hAnsi="黑体" w:eastAsia="黑体" w:cs="黑体"/>
          <w:color w:val="000000"/>
          <w:kern w:val="0"/>
          <w:sz w:val="21"/>
          <w:szCs w:val="21"/>
        </w:rPr>
        <w:t>表</w:t>
      </w:r>
      <w:r>
        <w:rPr>
          <w:rFonts w:hint="eastAsia" w:ascii="黑体" w:hAnsi="黑体" w:eastAsia="黑体" w:cs="黑体"/>
          <w:color w:val="000000"/>
          <w:kern w:val="0"/>
          <w:sz w:val="21"/>
          <w:szCs w:val="21"/>
          <w:lang w:val="en-US" w:eastAsia="zh-CN"/>
        </w:rPr>
        <w:t>11-4 准确度试验</w:t>
      </w:r>
      <w:r>
        <w:rPr>
          <w:rFonts w:hint="eastAsia" w:ascii="黑体" w:hAnsi="黑体" w:eastAsia="黑体" w:cs="黑体"/>
          <w:bCs/>
          <w:color w:val="000000"/>
          <w:szCs w:val="21"/>
          <w:lang w:val="en-US" w:eastAsia="zh-CN"/>
        </w:rPr>
        <w:t>（深圳市中金岭南有色金属股份有限公司）</w:t>
      </w:r>
    </w:p>
    <w:tbl>
      <w:tblPr>
        <w:tblStyle w:val="13"/>
        <w:tblW w:w="8946" w:type="dxa"/>
        <w:jc w:val="center"/>
        <w:tblLayout w:type="fixed"/>
        <w:tblCellMar>
          <w:top w:w="0" w:type="dxa"/>
          <w:left w:w="108" w:type="dxa"/>
          <w:bottom w:w="0" w:type="dxa"/>
          <w:right w:w="108" w:type="dxa"/>
        </w:tblCellMar>
      </w:tblPr>
      <w:tblGrid>
        <w:gridCol w:w="2440"/>
        <w:gridCol w:w="1689"/>
        <w:gridCol w:w="2272"/>
        <w:gridCol w:w="2545"/>
      </w:tblGrid>
      <w:tr w14:paraId="05B89271">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0F735250">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样品编号</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4075561C">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lang w:eastAsia="zh-CN"/>
              </w:rPr>
              <w:t>铅</w:t>
            </w:r>
            <w:r>
              <w:rPr>
                <w:rFonts w:hint="eastAsia" w:ascii="宋体" w:hAnsi="宋体" w:eastAsia="宋体" w:cs="宋体"/>
                <w:b w:val="0"/>
                <w:color w:val="000000"/>
                <w:kern w:val="0"/>
                <w:sz w:val="18"/>
                <w:szCs w:val="18"/>
              </w:rPr>
              <w:t>加入量</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mg</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0009E7C5">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测定</w:t>
            </w:r>
            <w:r>
              <w:rPr>
                <w:rFonts w:hint="eastAsia" w:ascii="宋体" w:hAnsi="宋体" w:eastAsia="宋体" w:cs="宋体"/>
                <w:b w:val="0"/>
                <w:color w:val="000000"/>
                <w:kern w:val="0"/>
                <w:sz w:val="18"/>
                <w:szCs w:val="18"/>
                <w:lang w:eastAsia="zh-CN"/>
              </w:rPr>
              <w:t>铅</w:t>
            </w:r>
            <w:r>
              <w:rPr>
                <w:rFonts w:hint="eastAsia" w:ascii="宋体" w:hAnsi="宋体" w:eastAsia="宋体" w:cs="宋体"/>
                <w:b w:val="0"/>
                <w:color w:val="000000"/>
                <w:kern w:val="0"/>
                <w:sz w:val="18"/>
                <w:szCs w:val="18"/>
              </w:rPr>
              <w:t>含量</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mg</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78BB15F2">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 xml:space="preserve">回收率 </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w:t>
            </w:r>
          </w:p>
        </w:tc>
      </w:tr>
      <w:tr w14:paraId="5EB14BA1">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4CC845C8">
            <w:pPr>
              <w:widowControl/>
              <w:jc w:val="center"/>
              <w:rPr>
                <w:rFonts w:hint="eastAsia" w:ascii="宋体" w:hAnsi="宋体" w:eastAsia="宋体" w:cs="宋体"/>
                <w:b w:val="0"/>
                <w:color w:val="000000"/>
                <w:kern w:val="0"/>
                <w:sz w:val="18"/>
                <w:szCs w:val="18"/>
              </w:rPr>
            </w:pPr>
            <w:r>
              <w:rPr>
                <w:rFonts w:hint="eastAsia" w:ascii="宋体" w:hAnsi="宋体" w:eastAsia="宋体" w:cs="宋体"/>
                <w:bCs/>
                <w:color w:val="000000"/>
                <w:sz w:val="18"/>
                <w:szCs w:val="18"/>
                <w:lang w:val="en-US" w:eastAsia="zh-CN"/>
              </w:rPr>
              <w:t>QPb3-4</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25768873">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50.00</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4ACBD373">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49.91</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3FE208C7">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99.82</w:t>
            </w:r>
          </w:p>
        </w:tc>
      </w:tr>
      <w:tr w14:paraId="32099214">
        <w:tblPrEx>
          <w:tblCellMar>
            <w:top w:w="0" w:type="dxa"/>
            <w:left w:w="108" w:type="dxa"/>
            <w:bottom w:w="0" w:type="dxa"/>
            <w:right w:w="108" w:type="dxa"/>
          </w:tblCellMar>
        </w:tblPrEx>
        <w:trPr>
          <w:trHeight w:val="270" w:hRule="atLeast"/>
          <w:jc w:val="center"/>
        </w:trPr>
        <w:tc>
          <w:tcPr>
            <w:tcW w:w="2440" w:type="dxa"/>
            <w:tcBorders>
              <w:top w:val="single" w:color="000000" w:sz="4" w:space="0"/>
              <w:left w:val="single" w:color="000000" w:sz="12" w:space="0"/>
              <w:bottom w:val="single" w:color="auto" w:sz="12" w:space="0"/>
              <w:right w:val="single" w:color="000000" w:sz="4" w:space="0"/>
            </w:tcBorders>
            <w:shd w:val="clear" w:color="auto" w:fill="FFFFFF"/>
            <w:noWrap w:val="0"/>
            <w:vAlign w:val="center"/>
          </w:tcPr>
          <w:p w14:paraId="25BFAC02">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QPb3-5</w:t>
            </w:r>
          </w:p>
        </w:tc>
        <w:tc>
          <w:tcPr>
            <w:tcW w:w="1689" w:type="dxa"/>
            <w:tcBorders>
              <w:top w:val="single" w:color="000000" w:sz="4" w:space="0"/>
              <w:left w:val="single" w:color="000000" w:sz="4" w:space="0"/>
              <w:bottom w:val="single" w:color="auto" w:sz="12" w:space="0"/>
              <w:right w:val="single" w:color="000000" w:sz="4" w:space="0"/>
            </w:tcBorders>
            <w:shd w:val="clear" w:color="auto" w:fill="FFFFFF"/>
            <w:noWrap w:val="0"/>
            <w:vAlign w:val="top"/>
          </w:tcPr>
          <w:p w14:paraId="55991FC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64.00</w:t>
            </w:r>
          </w:p>
        </w:tc>
        <w:tc>
          <w:tcPr>
            <w:tcW w:w="2272" w:type="dxa"/>
            <w:tcBorders>
              <w:top w:val="single" w:color="000000" w:sz="4" w:space="0"/>
              <w:left w:val="single" w:color="000000" w:sz="4" w:space="0"/>
              <w:bottom w:val="single" w:color="auto" w:sz="12" w:space="0"/>
              <w:right w:val="single" w:color="000000" w:sz="4" w:space="0"/>
            </w:tcBorders>
            <w:shd w:val="clear" w:color="auto" w:fill="FFFFFF"/>
            <w:noWrap w:val="0"/>
            <w:vAlign w:val="center"/>
          </w:tcPr>
          <w:p w14:paraId="52A1E18E">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63.95</w:t>
            </w:r>
          </w:p>
        </w:tc>
        <w:tc>
          <w:tcPr>
            <w:tcW w:w="2545" w:type="dxa"/>
            <w:tcBorders>
              <w:top w:val="single" w:color="000000" w:sz="4" w:space="0"/>
              <w:left w:val="single" w:color="000000" w:sz="4" w:space="0"/>
              <w:bottom w:val="single" w:color="auto" w:sz="12" w:space="0"/>
              <w:right w:val="single" w:color="000000" w:sz="12" w:space="0"/>
            </w:tcBorders>
            <w:shd w:val="clear" w:color="auto" w:fill="FFFFFF"/>
            <w:noWrap w:val="0"/>
            <w:vAlign w:val="center"/>
          </w:tcPr>
          <w:p w14:paraId="093CBE3D">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99.92</w:t>
            </w:r>
          </w:p>
        </w:tc>
      </w:tr>
      <w:tr w14:paraId="7B5E7831">
        <w:tblPrEx>
          <w:tblCellMar>
            <w:top w:w="0" w:type="dxa"/>
            <w:left w:w="108" w:type="dxa"/>
            <w:bottom w:w="0" w:type="dxa"/>
            <w:right w:w="108" w:type="dxa"/>
          </w:tblCellMar>
        </w:tblPrEx>
        <w:trPr>
          <w:trHeight w:val="270" w:hRule="atLeast"/>
          <w:jc w:val="center"/>
        </w:trPr>
        <w:tc>
          <w:tcPr>
            <w:tcW w:w="2440" w:type="dxa"/>
            <w:tcBorders>
              <w:top w:val="single" w:color="auto" w:sz="12" w:space="0"/>
              <w:left w:val="single" w:color="auto" w:sz="12" w:space="0"/>
              <w:bottom w:val="single" w:color="auto" w:sz="4" w:space="0"/>
              <w:right w:val="single" w:color="auto" w:sz="4" w:space="0"/>
            </w:tcBorders>
            <w:shd w:val="clear" w:color="auto" w:fill="FFFFFF"/>
            <w:noWrap w:val="0"/>
            <w:vAlign w:val="center"/>
          </w:tcPr>
          <w:p w14:paraId="1108B022">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bCs/>
                <w:color w:val="000000"/>
                <w:sz w:val="18"/>
                <w:szCs w:val="18"/>
                <w:lang w:val="en-US" w:eastAsia="zh-CN"/>
              </w:rPr>
              <w:t>样品编号</w:t>
            </w:r>
          </w:p>
        </w:tc>
        <w:tc>
          <w:tcPr>
            <w:tcW w:w="1689" w:type="dxa"/>
            <w:tcBorders>
              <w:top w:val="single" w:color="auto" w:sz="12" w:space="0"/>
              <w:left w:val="single" w:color="auto" w:sz="4" w:space="0"/>
              <w:bottom w:val="single" w:color="auto" w:sz="4" w:space="0"/>
              <w:right w:val="single" w:color="auto" w:sz="4" w:space="0"/>
            </w:tcBorders>
            <w:shd w:val="clear" w:color="auto" w:fill="FFFFFF"/>
            <w:noWrap w:val="0"/>
            <w:vAlign w:val="top"/>
          </w:tcPr>
          <w:p w14:paraId="43825548">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标准值</w:t>
            </w:r>
            <w:r>
              <w:rPr>
                <w:rFonts w:hint="eastAsia" w:ascii="宋体" w:hAnsi="宋体" w:eastAsia="宋体" w:cs="宋体"/>
                <w:b w:val="0"/>
                <w:color w:val="000000"/>
                <w:kern w:val="0"/>
                <w:sz w:val="18"/>
                <w:szCs w:val="18"/>
                <w:lang w:val="en-US" w:eastAsia="zh-CN"/>
              </w:rPr>
              <w:t>/%</w:t>
            </w:r>
          </w:p>
        </w:tc>
        <w:tc>
          <w:tcPr>
            <w:tcW w:w="2272" w:type="dxa"/>
            <w:tcBorders>
              <w:top w:val="single" w:color="auto" w:sz="12" w:space="0"/>
              <w:left w:val="single" w:color="auto" w:sz="4" w:space="0"/>
              <w:bottom w:val="single" w:color="auto" w:sz="4" w:space="0"/>
              <w:right w:val="single" w:color="auto" w:sz="4" w:space="0"/>
            </w:tcBorders>
            <w:shd w:val="clear" w:color="auto" w:fill="FFFFFF"/>
            <w:noWrap w:val="0"/>
            <w:vAlign w:val="center"/>
          </w:tcPr>
          <w:p w14:paraId="0F7EC0FA">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测定值/%</w:t>
            </w:r>
          </w:p>
        </w:tc>
        <w:tc>
          <w:tcPr>
            <w:tcW w:w="2545" w:type="dxa"/>
            <w:tcBorders>
              <w:top w:val="single" w:color="auto" w:sz="12" w:space="0"/>
              <w:left w:val="single" w:color="auto" w:sz="4" w:space="0"/>
              <w:bottom w:val="single" w:color="auto" w:sz="4" w:space="0"/>
              <w:right w:val="single" w:color="auto" w:sz="12" w:space="0"/>
            </w:tcBorders>
            <w:shd w:val="clear" w:color="auto" w:fill="FFFFFF"/>
            <w:noWrap w:val="0"/>
            <w:vAlign w:val="center"/>
          </w:tcPr>
          <w:p w14:paraId="6DE77FB2">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偏差/%</w:t>
            </w:r>
          </w:p>
        </w:tc>
      </w:tr>
      <w:tr w14:paraId="0F3ED90E">
        <w:tblPrEx>
          <w:tblCellMar>
            <w:top w:w="0" w:type="dxa"/>
            <w:left w:w="108" w:type="dxa"/>
            <w:bottom w:w="0" w:type="dxa"/>
            <w:right w:w="108" w:type="dxa"/>
          </w:tblCellMar>
        </w:tblPrEx>
        <w:trPr>
          <w:trHeight w:val="254" w:hRule="atLeast"/>
          <w:jc w:val="center"/>
        </w:trPr>
        <w:tc>
          <w:tcPr>
            <w:tcW w:w="2440" w:type="dxa"/>
            <w:tcBorders>
              <w:top w:val="single" w:color="auto" w:sz="4" w:space="0"/>
              <w:left w:val="single" w:color="auto" w:sz="12" w:space="0"/>
              <w:bottom w:val="single" w:color="auto" w:sz="4" w:space="0"/>
              <w:right w:val="single" w:color="auto" w:sz="4" w:space="0"/>
            </w:tcBorders>
            <w:shd w:val="clear" w:color="auto" w:fill="FFFFFF"/>
            <w:noWrap w:val="0"/>
            <w:vAlign w:val="center"/>
          </w:tcPr>
          <w:p w14:paraId="4447D755">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GBW02139</w:t>
            </w:r>
          </w:p>
        </w:tc>
        <w:tc>
          <w:tcPr>
            <w:tcW w:w="168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AA719F8">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6.16</w:t>
            </w:r>
          </w:p>
        </w:tc>
        <w:tc>
          <w:tcPr>
            <w:tcW w:w="227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A2722EF">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6.125</w:t>
            </w:r>
          </w:p>
        </w:tc>
        <w:tc>
          <w:tcPr>
            <w:tcW w:w="2545" w:type="dxa"/>
            <w:tcBorders>
              <w:top w:val="single" w:color="auto" w:sz="4" w:space="0"/>
              <w:left w:val="single" w:color="auto" w:sz="4" w:space="0"/>
              <w:bottom w:val="single" w:color="auto" w:sz="4" w:space="0"/>
              <w:right w:val="single" w:color="auto" w:sz="12" w:space="0"/>
            </w:tcBorders>
            <w:shd w:val="clear" w:color="auto" w:fill="FFFFFF"/>
            <w:noWrap w:val="0"/>
            <w:vAlign w:val="center"/>
          </w:tcPr>
          <w:p w14:paraId="71EEF565">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-0.035</w:t>
            </w:r>
          </w:p>
        </w:tc>
      </w:tr>
      <w:tr w14:paraId="4831983B">
        <w:tblPrEx>
          <w:tblCellMar>
            <w:top w:w="0" w:type="dxa"/>
            <w:left w:w="108" w:type="dxa"/>
            <w:bottom w:w="0" w:type="dxa"/>
            <w:right w:w="108" w:type="dxa"/>
          </w:tblCellMar>
        </w:tblPrEx>
        <w:trPr>
          <w:trHeight w:val="270" w:hRule="atLeast"/>
          <w:jc w:val="center"/>
        </w:trPr>
        <w:tc>
          <w:tcPr>
            <w:tcW w:w="2440" w:type="dxa"/>
            <w:tcBorders>
              <w:top w:val="single" w:color="auto" w:sz="4" w:space="0"/>
              <w:left w:val="single" w:color="auto" w:sz="12" w:space="0"/>
              <w:bottom w:val="single" w:color="auto" w:sz="12" w:space="0"/>
              <w:right w:val="single" w:color="auto" w:sz="4" w:space="0"/>
            </w:tcBorders>
            <w:shd w:val="clear" w:color="auto" w:fill="FFFFFF"/>
            <w:noWrap w:val="0"/>
            <w:vAlign w:val="center"/>
          </w:tcPr>
          <w:p w14:paraId="2EB7AED8">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GBW02140</w:t>
            </w:r>
          </w:p>
        </w:tc>
        <w:tc>
          <w:tcPr>
            <w:tcW w:w="1689" w:type="dxa"/>
            <w:tcBorders>
              <w:top w:val="single" w:color="auto" w:sz="4" w:space="0"/>
              <w:left w:val="single" w:color="auto" w:sz="4" w:space="0"/>
              <w:bottom w:val="single" w:color="auto" w:sz="12" w:space="0"/>
              <w:right w:val="single" w:color="auto" w:sz="4" w:space="0"/>
            </w:tcBorders>
            <w:shd w:val="clear" w:color="auto" w:fill="FFFFFF"/>
            <w:noWrap w:val="0"/>
            <w:vAlign w:val="center"/>
          </w:tcPr>
          <w:p w14:paraId="1C61129F">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17.62</w:t>
            </w:r>
          </w:p>
        </w:tc>
        <w:tc>
          <w:tcPr>
            <w:tcW w:w="2272" w:type="dxa"/>
            <w:tcBorders>
              <w:top w:val="single" w:color="auto" w:sz="4" w:space="0"/>
              <w:left w:val="single" w:color="auto" w:sz="4" w:space="0"/>
              <w:bottom w:val="single" w:color="auto" w:sz="12" w:space="0"/>
              <w:right w:val="single" w:color="auto" w:sz="4" w:space="0"/>
            </w:tcBorders>
            <w:shd w:val="clear" w:color="auto" w:fill="FFFFFF"/>
            <w:noWrap w:val="0"/>
            <w:vAlign w:val="center"/>
          </w:tcPr>
          <w:p w14:paraId="0F82C5C3">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17.574</w:t>
            </w:r>
          </w:p>
        </w:tc>
        <w:tc>
          <w:tcPr>
            <w:tcW w:w="2545" w:type="dxa"/>
            <w:tcBorders>
              <w:top w:val="single" w:color="auto" w:sz="4" w:space="0"/>
              <w:left w:val="single" w:color="auto" w:sz="4" w:space="0"/>
              <w:bottom w:val="single" w:color="auto" w:sz="12" w:space="0"/>
              <w:right w:val="single" w:color="auto" w:sz="12" w:space="0"/>
            </w:tcBorders>
            <w:shd w:val="clear" w:color="auto" w:fill="FFFFFF"/>
            <w:noWrap w:val="0"/>
            <w:vAlign w:val="center"/>
          </w:tcPr>
          <w:p w14:paraId="53AB070B">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-0.046</w:t>
            </w:r>
          </w:p>
        </w:tc>
      </w:tr>
    </w:tbl>
    <w:p w14:paraId="18E0C0DB">
      <w:pPr>
        <w:ind w:firstLine="420"/>
        <w:jc w:val="both"/>
        <w:rPr>
          <w:rFonts w:hint="eastAsia" w:ascii="黑体" w:hAnsi="黑体" w:eastAsia="宋体" w:cs="黑体"/>
          <w:bCs/>
          <w:color w:val="000000"/>
          <w:szCs w:val="21"/>
          <w:lang w:val="en-US" w:eastAsia="zh-CN"/>
        </w:rPr>
      </w:pPr>
      <w:r>
        <w:rPr>
          <w:rFonts w:hint="eastAsia" w:ascii="宋体" w:hAnsi="宋体" w:eastAsia="宋体" w:cs="宋体"/>
          <w:bCs/>
          <w:color w:val="000000"/>
          <w:szCs w:val="21"/>
          <w:lang w:val="en-US" w:eastAsia="zh-CN"/>
        </w:rPr>
        <w:t>由表11-4结果可知，在测试合成样试验中，回收率在99.82%～99.92%之间，与有证标准样品标准值的偏差在-0.046%～-0.035%之间，证明本方法有较好的准确度。</w:t>
      </w:r>
      <w:r>
        <w:rPr>
          <w:rFonts w:hint="eastAsia" w:ascii="宋体" w:hAnsi="宋体" w:eastAsia="宋体" w:cs="宋体"/>
          <w:b w:val="0"/>
          <w:bCs/>
          <w:color w:val="auto"/>
          <w:sz w:val="21"/>
          <w:szCs w:val="21"/>
        </w:rPr>
        <w:t>结论与起草方一致</w:t>
      </w:r>
      <w:r>
        <w:rPr>
          <w:rFonts w:hint="eastAsia" w:ascii="宋体" w:hAnsi="宋体" w:eastAsia="宋体" w:cs="宋体"/>
          <w:b w:val="0"/>
          <w:bCs/>
          <w:color w:val="auto"/>
          <w:sz w:val="21"/>
          <w:szCs w:val="21"/>
          <w:lang w:eastAsia="zh-CN"/>
        </w:rPr>
        <w:t>。</w:t>
      </w:r>
    </w:p>
    <w:p w14:paraId="6EE3322B">
      <w:pPr>
        <w:ind w:firstLine="420"/>
        <w:jc w:val="center"/>
        <w:rPr>
          <w:rFonts w:hint="eastAsia" w:ascii="黑体" w:hAnsi="黑体" w:eastAsia="黑体" w:cs="黑体"/>
          <w:bCs/>
          <w:color w:val="000000"/>
          <w:szCs w:val="21"/>
          <w:lang w:val="en-US" w:eastAsia="zh-CN"/>
        </w:rPr>
      </w:pPr>
      <w:r>
        <w:rPr>
          <w:rFonts w:hint="eastAsia" w:ascii="黑体" w:hAnsi="黑体" w:eastAsia="黑体" w:cs="黑体"/>
          <w:color w:val="000000"/>
          <w:kern w:val="0"/>
          <w:sz w:val="21"/>
          <w:szCs w:val="21"/>
        </w:rPr>
        <w:t>表</w:t>
      </w:r>
      <w:r>
        <w:rPr>
          <w:rFonts w:hint="eastAsia" w:ascii="黑体" w:hAnsi="黑体" w:eastAsia="黑体" w:cs="黑体"/>
          <w:color w:val="000000"/>
          <w:kern w:val="0"/>
          <w:sz w:val="21"/>
          <w:szCs w:val="21"/>
          <w:lang w:val="en-US" w:eastAsia="zh-CN"/>
        </w:rPr>
        <w:t>11-5 准确度试验</w:t>
      </w:r>
      <w:r>
        <w:rPr>
          <w:rFonts w:hint="eastAsia" w:ascii="黑体" w:hAnsi="黑体" w:eastAsia="黑体" w:cs="黑体"/>
          <w:bCs/>
          <w:color w:val="000000"/>
          <w:szCs w:val="21"/>
          <w:lang w:val="en-US" w:eastAsia="zh-CN"/>
        </w:rPr>
        <w:t>（大冶有色设计研究院有限公司）</w:t>
      </w:r>
    </w:p>
    <w:tbl>
      <w:tblPr>
        <w:tblStyle w:val="13"/>
        <w:tblW w:w="8946" w:type="dxa"/>
        <w:jc w:val="center"/>
        <w:tblLayout w:type="fixed"/>
        <w:tblCellMar>
          <w:top w:w="0" w:type="dxa"/>
          <w:left w:w="108" w:type="dxa"/>
          <w:bottom w:w="0" w:type="dxa"/>
          <w:right w:w="108" w:type="dxa"/>
        </w:tblCellMar>
      </w:tblPr>
      <w:tblGrid>
        <w:gridCol w:w="2440"/>
        <w:gridCol w:w="1689"/>
        <w:gridCol w:w="2272"/>
        <w:gridCol w:w="2545"/>
      </w:tblGrid>
      <w:tr w14:paraId="608AE451">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6834EE84">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样品编号</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4FE3845C">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lang w:eastAsia="zh-CN"/>
              </w:rPr>
              <w:t>铅</w:t>
            </w:r>
            <w:r>
              <w:rPr>
                <w:rFonts w:hint="eastAsia" w:ascii="宋体" w:hAnsi="宋体" w:eastAsia="宋体" w:cs="宋体"/>
                <w:b w:val="0"/>
                <w:color w:val="000000"/>
                <w:kern w:val="0"/>
                <w:sz w:val="18"/>
                <w:szCs w:val="18"/>
              </w:rPr>
              <w:t>加入量</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mg</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01F10187">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测定</w:t>
            </w:r>
            <w:r>
              <w:rPr>
                <w:rFonts w:hint="eastAsia" w:ascii="宋体" w:hAnsi="宋体" w:eastAsia="宋体" w:cs="宋体"/>
                <w:b w:val="0"/>
                <w:color w:val="000000"/>
                <w:kern w:val="0"/>
                <w:sz w:val="18"/>
                <w:szCs w:val="18"/>
                <w:lang w:eastAsia="zh-CN"/>
              </w:rPr>
              <w:t>铅</w:t>
            </w:r>
            <w:r>
              <w:rPr>
                <w:rFonts w:hint="eastAsia" w:ascii="宋体" w:hAnsi="宋体" w:eastAsia="宋体" w:cs="宋体"/>
                <w:b w:val="0"/>
                <w:color w:val="000000"/>
                <w:kern w:val="0"/>
                <w:sz w:val="18"/>
                <w:szCs w:val="18"/>
              </w:rPr>
              <w:t>含量</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mg</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4A014C83">
            <w:pPr>
              <w:widowControl/>
              <w:jc w:val="center"/>
              <w:rPr>
                <w:rFonts w:hint="eastAsia" w:ascii="宋体" w:hAnsi="宋体" w:eastAsia="宋体" w:cs="宋体"/>
                <w:b w:val="0"/>
                <w:color w:val="000000"/>
                <w:kern w:val="0"/>
                <w:sz w:val="18"/>
                <w:szCs w:val="18"/>
              </w:rPr>
            </w:pPr>
            <w:r>
              <w:rPr>
                <w:rFonts w:hint="eastAsia" w:ascii="宋体" w:hAnsi="宋体" w:eastAsia="宋体" w:cs="宋体"/>
                <w:b w:val="0"/>
                <w:color w:val="000000"/>
                <w:kern w:val="0"/>
                <w:sz w:val="18"/>
                <w:szCs w:val="18"/>
              </w:rPr>
              <w:t xml:space="preserve">回收率 </w:t>
            </w:r>
            <w:r>
              <w:rPr>
                <w:rFonts w:hint="eastAsia" w:ascii="宋体" w:hAnsi="宋体" w:eastAsia="宋体" w:cs="宋体"/>
                <w:b w:val="0"/>
                <w:color w:val="000000"/>
                <w:kern w:val="0"/>
                <w:sz w:val="18"/>
                <w:szCs w:val="18"/>
                <w:lang w:val="en-US" w:eastAsia="zh-CN"/>
              </w:rPr>
              <w:t>/</w:t>
            </w:r>
            <w:r>
              <w:rPr>
                <w:rFonts w:hint="eastAsia" w:ascii="宋体" w:hAnsi="宋体" w:eastAsia="宋体" w:cs="宋体"/>
                <w:b w:val="0"/>
                <w:color w:val="000000"/>
                <w:kern w:val="0"/>
                <w:sz w:val="18"/>
                <w:szCs w:val="18"/>
              </w:rPr>
              <w:t>%</w:t>
            </w:r>
          </w:p>
        </w:tc>
      </w:tr>
      <w:tr w14:paraId="461F97C2">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noWrap w:val="0"/>
            <w:vAlign w:val="center"/>
          </w:tcPr>
          <w:p w14:paraId="1D12B5D9">
            <w:pPr>
              <w:widowControl/>
              <w:jc w:val="center"/>
              <w:rPr>
                <w:rFonts w:hint="eastAsia" w:ascii="宋体" w:hAnsi="宋体" w:eastAsia="宋体" w:cs="宋体"/>
                <w:b w:val="0"/>
                <w:color w:val="000000"/>
                <w:kern w:val="0"/>
                <w:sz w:val="18"/>
                <w:szCs w:val="18"/>
              </w:rPr>
            </w:pPr>
            <w:r>
              <w:rPr>
                <w:rFonts w:hint="eastAsia" w:ascii="宋体" w:hAnsi="宋体" w:eastAsia="宋体" w:cs="宋体"/>
                <w:bCs/>
                <w:color w:val="000000"/>
                <w:sz w:val="18"/>
                <w:szCs w:val="18"/>
                <w:lang w:val="en-US" w:eastAsia="zh-CN"/>
              </w:rPr>
              <w:t>QPb3-4</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51E5FAF2">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50</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noWrap w:val="0"/>
            <w:vAlign w:val="center"/>
          </w:tcPr>
          <w:p w14:paraId="5E83D67D">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49.98 </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noWrap w:val="0"/>
            <w:vAlign w:val="center"/>
          </w:tcPr>
          <w:p w14:paraId="7AE65CE2">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99.96 </w:t>
            </w:r>
          </w:p>
        </w:tc>
      </w:tr>
      <w:tr w14:paraId="6DD2330B">
        <w:tblPrEx>
          <w:tblCellMar>
            <w:top w:w="0" w:type="dxa"/>
            <w:left w:w="108" w:type="dxa"/>
            <w:bottom w:w="0" w:type="dxa"/>
            <w:right w:w="108" w:type="dxa"/>
          </w:tblCellMar>
        </w:tblPrEx>
        <w:trPr>
          <w:trHeight w:val="270" w:hRule="atLeast"/>
          <w:jc w:val="center"/>
        </w:trPr>
        <w:tc>
          <w:tcPr>
            <w:tcW w:w="2440" w:type="dxa"/>
            <w:tcBorders>
              <w:top w:val="single" w:color="000000" w:sz="4" w:space="0"/>
              <w:left w:val="single" w:color="000000" w:sz="12" w:space="0"/>
              <w:bottom w:val="single" w:color="auto" w:sz="12" w:space="0"/>
              <w:right w:val="single" w:color="000000" w:sz="4" w:space="0"/>
            </w:tcBorders>
            <w:shd w:val="clear" w:color="auto" w:fill="FFFFFF"/>
            <w:noWrap w:val="0"/>
            <w:vAlign w:val="center"/>
          </w:tcPr>
          <w:p w14:paraId="5559A13F">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QPb3-5</w:t>
            </w:r>
          </w:p>
        </w:tc>
        <w:tc>
          <w:tcPr>
            <w:tcW w:w="1689" w:type="dxa"/>
            <w:tcBorders>
              <w:top w:val="single" w:color="000000" w:sz="4" w:space="0"/>
              <w:left w:val="single" w:color="000000" w:sz="4" w:space="0"/>
              <w:bottom w:val="single" w:color="auto" w:sz="12" w:space="0"/>
              <w:right w:val="single" w:color="000000" w:sz="4" w:space="0"/>
            </w:tcBorders>
            <w:shd w:val="clear" w:color="auto" w:fill="FFFFFF"/>
            <w:noWrap w:val="0"/>
            <w:vAlign w:val="top"/>
          </w:tcPr>
          <w:p w14:paraId="08B55830">
            <w:pPr>
              <w:keepNext w:val="0"/>
              <w:keepLines w:val="0"/>
              <w:widowControl/>
              <w:suppressLineNumbers w:val="0"/>
              <w:jc w:val="center"/>
              <w:textAlignment w:val="top"/>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64</w:t>
            </w:r>
          </w:p>
        </w:tc>
        <w:tc>
          <w:tcPr>
            <w:tcW w:w="2272" w:type="dxa"/>
            <w:tcBorders>
              <w:top w:val="single" w:color="000000" w:sz="4" w:space="0"/>
              <w:left w:val="single" w:color="000000" w:sz="4" w:space="0"/>
              <w:bottom w:val="single" w:color="auto" w:sz="12" w:space="0"/>
              <w:right w:val="single" w:color="000000" w:sz="4" w:space="0"/>
            </w:tcBorders>
            <w:shd w:val="clear" w:color="auto" w:fill="FFFFFF"/>
            <w:noWrap w:val="0"/>
            <w:vAlign w:val="center"/>
          </w:tcPr>
          <w:p w14:paraId="4F042B6F">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63.89 </w:t>
            </w:r>
          </w:p>
        </w:tc>
        <w:tc>
          <w:tcPr>
            <w:tcW w:w="2545" w:type="dxa"/>
            <w:tcBorders>
              <w:top w:val="single" w:color="000000" w:sz="4" w:space="0"/>
              <w:left w:val="single" w:color="000000" w:sz="4" w:space="0"/>
              <w:bottom w:val="single" w:color="auto" w:sz="12" w:space="0"/>
              <w:right w:val="single" w:color="000000" w:sz="12" w:space="0"/>
            </w:tcBorders>
            <w:shd w:val="clear" w:color="auto" w:fill="FFFFFF"/>
            <w:noWrap w:val="0"/>
            <w:vAlign w:val="center"/>
          </w:tcPr>
          <w:p w14:paraId="05B23C42">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99.83 </w:t>
            </w:r>
          </w:p>
        </w:tc>
      </w:tr>
      <w:tr w14:paraId="70811617">
        <w:tblPrEx>
          <w:tblCellMar>
            <w:top w:w="0" w:type="dxa"/>
            <w:left w:w="108" w:type="dxa"/>
            <w:bottom w:w="0" w:type="dxa"/>
            <w:right w:w="108" w:type="dxa"/>
          </w:tblCellMar>
        </w:tblPrEx>
        <w:trPr>
          <w:trHeight w:val="270" w:hRule="atLeast"/>
          <w:jc w:val="center"/>
        </w:trPr>
        <w:tc>
          <w:tcPr>
            <w:tcW w:w="2440" w:type="dxa"/>
            <w:tcBorders>
              <w:top w:val="single" w:color="auto" w:sz="12" w:space="0"/>
              <w:left w:val="single" w:color="auto" w:sz="12" w:space="0"/>
              <w:bottom w:val="single" w:color="auto" w:sz="4" w:space="0"/>
              <w:right w:val="single" w:color="auto" w:sz="4" w:space="0"/>
            </w:tcBorders>
            <w:shd w:val="clear" w:color="auto" w:fill="FFFFFF"/>
            <w:noWrap w:val="0"/>
            <w:vAlign w:val="center"/>
          </w:tcPr>
          <w:p w14:paraId="755D43F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bCs/>
                <w:color w:val="000000"/>
                <w:sz w:val="18"/>
                <w:szCs w:val="18"/>
                <w:lang w:val="en-US" w:eastAsia="zh-CN"/>
              </w:rPr>
              <w:t>样品编号</w:t>
            </w:r>
          </w:p>
        </w:tc>
        <w:tc>
          <w:tcPr>
            <w:tcW w:w="1689" w:type="dxa"/>
            <w:tcBorders>
              <w:top w:val="single" w:color="auto" w:sz="12" w:space="0"/>
              <w:left w:val="single" w:color="auto" w:sz="4" w:space="0"/>
              <w:bottom w:val="single" w:color="auto" w:sz="4" w:space="0"/>
              <w:right w:val="single" w:color="auto" w:sz="4" w:space="0"/>
            </w:tcBorders>
            <w:shd w:val="clear" w:color="auto" w:fill="FFFFFF"/>
            <w:noWrap w:val="0"/>
            <w:vAlign w:val="top"/>
          </w:tcPr>
          <w:p w14:paraId="3F24BC6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标准值</w:t>
            </w:r>
            <w:r>
              <w:rPr>
                <w:rFonts w:hint="eastAsia" w:ascii="宋体" w:hAnsi="宋体" w:eastAsia="宋体" w:cs="宋体"/>
                <w:b w:val="0"/>
                <w:color w:val="000000"/>
                <w:kern w:val="0"/>
                <w:sz w:val="18"/>
                <w:szCs w:val="18"/>
                <w:lang w:val="en-US" w:eastAsia="zh-CN"/>
              </w:rPr>
              <w:t>/%</w:t>
            </w:r>
          </w:p>
        </w:tc>
        <w:tc>
          <w:tcPr>
            <w:tcW w:w="2272" w:type="dxa"/>
            <w:tcBorders>
              <w:top w:val="single" w:color="auto" w:sz="12" w:space="0"/>
              <w:left w:val="single" w:color="auto" w:sz="4" w:space="0"/>
              <w:bottom w:val="single" w:color="auto" w:sz="4" w:space="0"/>
              <w:right w:val="single" w:color="auto" w:sz="4" w:space="0"/>
            </w:tcBorders>
            <w:shd w:val="clear" w:color="auto" w:fill="FFFFFF"/>
            <w:noWrap w:val="0"/>
            <w:vAlign w:val="center"/>
          </w:tcPr>
          <w:p w14:paraId="6A2A653B">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测定值/%</w:t>
            </w:r>
          </w:p>
        </w:tc>
        <w:tc>
          <w:tcPr>
            <w:tcW w:w="2545" w:type="dxa"/>
            <w:tcBorders>
              <w:top w:val="single" w:color="auto" w:sz="12" w:space="0"/>
              <w:left w:val="single" w:color="auto" w:sz="4" w:space="0"/>
              <w:bottom w:val="single" w:color="auto" w:sz="4" w:space="0"/>
              <w:right w:val="single" w:color="auto" w:sz="12" w:space="0"/>
            </w:tcBorders>
            <w:shd w:val="clear" w:color="auto" w:fill="FFFFFF"/>
            <w:noWrap w:val="0"/>
            <w:vAlign w:val="center"/>
          </w:tcPr>
          <w:p w14:paraId="3D9BBFF4">
            <w:pPr>
              <w:widowControl/>
              <w:jc w:val="center"/>
              <w:rPr>
                <w:rFonts w:hint="eastAsia" w:ascii="宋体" w:hAnsi="宋体" w:eastAsia="宋体" w:cs="宋体"/>
                <w:b w:val="0"/>
                <w:color w:val="000000"/>
                <w:kern w:val="0"/>
                <w:sz w:val="18"/>
                <w:szCs w:val="18"/>
                <w:lang w:val="en-US" w:eastAsia="zh-CN"/>
              </w:rPr>
            </w:pPr>
            <w:r>
              <w:rPr>
                <w:rFonts w:hint="eastAsia" w:ascii="宋体" w:hAnsi="宋体" w:eastAsia="宋体" w:cs="宋体"/>
                <w:b w:val="0"/>
                <w:color w:val="000000"/>
                <w:kern w:val="0"/>
                <w:sz w:val="18"/>
                <w:szCs w:val="18"/>
                <w:lang w:val="en-US" w:eastAsia="zh-CN"/>
              </w:rPr>
              <w:t>偏差/%</w:t>
            </w:r>
          </w:p>
        </w:tc>
      </w:tr>
      <w:tr w14:paraId="081E8B07">
        <w:tblPrEx>
          <w:tblCellMar>
            <w:top w:w="0" w:type="dxa"/>
            <w:left w:w="108" w:type="dxa"/>
            <w:bottom w:w="0" w:type="dxa"/>
            <w:right w:w="108" w:type="dxa"/>
          </w:tblCellMar>
        </w:tblPrEx>
        <w:trPr>
          <w:trHeight w:val="254" w:hRule="atLeast"/>
          <w:jc w:val="center"/>
        </w:trPr>
        <w:tc>
          <w:tcPr>
            <w:tcW w:w="2440" w:type="dxa"/>
            <w:tcBorders>
              <w:top w:val="single" w:color="auto" w:sz="4" w:space="0"/>
              <w:left w:val="single" w:color="auto" w:sz="12" w:space="0"/>
              <w:bottom w:val="single" w:color="auto" w:sz="4" w:space="0"/>
              <w:right w:val="single" w:color="auto" w:sz="4" w:space="0"/>
            </w:tcBorders>
            <w:shd w:val="clear" w:color="auto" w:fill="FFFFFF"/>
            <w:noWrap w:val="0"/>
            <w:vAlign w:val="center"/>
          </w:tcPr>
          <w:p w14:paraId="6C99FFF0">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GBW02139</w:t>
            </w:r>
          </w:p>
        </w:tc>
        <w:tc>
          <w:tcPr>
            <w:tcW w:w="168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F1530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6.16</w:t>
            </w:r>
          </w:p>
        </w:tc>
        <w:tc>
          <w:tcPr>
            <w:tcW w:w="227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7A7A2A8">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6.12</w:t>
            </w:r>
          </w:p>
        </w:tc>
        <w:tc>
          <w:tcPr>
            <w:tcW w:w="2545" w:type="dxa"/>
            <w:tcBorders>
              <w:top w:val="single" w:color="auto" w:sz="4" w:space="0"/>
              <w:left w:val="single" w:color="auto" w:sz="4" w:space="0"/>
              <w:bottom w:val="single" w:color="auto" w:sz="4" w:space="0"/>
              <w:right w:val="single" w:color="auto" w:sz="12" w:space="0"/>
            </w:tcBorders>
            <w:shd w:val="clear" w:color="auto" w:fill="FFFFFF"/>
            <w:noWrap w:val="0"/>
            <w:vAlign w:val="center"/>
          </w:tcPr>
          <w:p w14:paraId="3CA3FBAB">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-0.04</w:t>
            </w:r>
          </w:p>
        </w:tc>
      </w:tr>
      <w:tr w14:paraId="31531D70">
        <w:tblPrEx>
          <w:tblCellMar>
            <w:top w:w="0" w:type="dxa"/>
            <w:left w:w="108" w:type="dxa"/>
            <w:bottom w:w="0" w:type="dxa"/>
            <w:right w:w="108" w:type="dxa"/>
          </w:tblCellMar>
        </w:tblPrEx>
        <w:trPr>
          <w:trHeight w:val="270" w:hRule="atLeast"/>
          <w:jc w:val="center"/>
        </w:trPr>
        <w:tc>
          <w:tcPr>
            <w:tcW w:w="2440" w:type="dxa"/>
            <w:tcBorders>
              <w:top w:val="single" w:color="auto" w:sz="4" w:space="0"/>
              <w:left w:val="single" w:color="auto" w:sz="12" w:space="0"/>
              <w:bottom w:val="single" w:color="auto" w:sz="12" w:space="0"/>
              <w:right w:val="single" w:color="auto" w:sz="4" w:space="0"/>
            </w:tcBorders>
            <w:shd w:val="clear" w:color="auto" w:fill="FFFFFF"/>
            <w:noWrap w:val="0"/>
            <w:vAlign w:val="center"/>
          </w:tcPr>
          <w:p w14:paraId="04D53C25">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GBW02140</w:t>
            </w:r>
          </w:p>
        </w:tc>
        <w:tc>
          <w:tcPr>
            <w:tcW w:w="1689" w:type="dxa"/>
            <w:tcBorders>
              <w:top w:val="single" w:color="auto" w:sz="4" w:space="0"/>
              <w:left w:val="single" w:color="auto" w:sz="4" w:space="0"/>
              <w:bottom w:val="single" w:color="auto" w:sz="12" w:space="0"/>
              <w:right w:val="single" w:color="auto" w:sz="4" w:space="0"/>
            </w:tcBorders>
            <w:shd w:val="clear" w:color="auto" w:fill="FFFFFF"/>
            <w:noWrap w:val="0"/>
            <w:vAlign w:val="center"/>
          </w:tcPr>
          <w:p w14:paraId="73319F0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17.62</w:t>
            </w:r>
          </w:p>
        </w:tc>
        <w:tc>
          <w:tcPr>
            <w:tcW w:w="2272" w:type="dxa"/>
            <w:tcBorders>
              <w:top w:val="single" w:color="auto" w:sz="4" w:space="0"/>
              <w:left w:val="single" w:color="auto" w:sz="4" w:space="0"/>
              <w:bottom w:val="single" w:color="auto" w:sz="12" w:space="0"/>
              <w:right w:val="single" w:color="auto" w:sz="4" w:space="0"/>
            </w:tcBorders>
            <w:shd w:val="clear" w:color="auto" w:fill="FFFFFF"/>
            <w:noWrap w:val="0"/>
            <w:vAlign w:val="center"/>
          </w:tcPr>
          <w:p w14:paraId="1FE43BEA">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17.63</w:t>
            </w:r>
          </w:p>
        </w:tc>
        <w:tc>
          <w:tcPr>
            <w:tcW w:w="2545" w:type="dxa"/>
            <w:tcBorders>
              <w:top w:val="single" w:color="auto" w:sz="4" w:space="0"/>
              <w:left w:val="single" w:color="auto" w:sz="4" w:space="0"/>
              <w:bottom w:val="single" w:color="auto" w:sz="12" w:space="0"/>
              <w:right w:val="single" w:color="auto" w:sz="12" w:space="0"/>
            </w:tcBorders>
            <w:shd w:val="clear" w:color="auto" w:fill="FFFFFF"/>
            <w:noWrap w:val="0"/>
            <w:vAlign w:val="center"/>
          </w:tcPr>
          <w:p w14:paraId="0B9D37EA">
            <w:pPr>
              <w:keepNext w:val="0"/>
              <w:keepLines w:val="0"/>
              <w:widowControl/>
              <w:suppressLineNumbers w:val="0"/>
              <w:jc w:val="center"/>
              <w:textAlignment w:val="center"/>
              <w:rPr>
                <w:rFonts w:hint="eastAsia" w:ascii="宋体" w:hAnsi="宋体" w:eastAsia="宋体" w:cs="宋体"/>
                <w:b w:val="0"/>
                <w:color w:val="00000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w:t>
            </w:r>
          </w:p>
        </w:tc>
      </w:tr>
    </w:tbl>
    <w:p w14:paraId="46E57793">
      <w:pPr>
        <w:ind w:firstLine="420"/>
        <w:jc w:val="both"/>
        <w:rPr>
          <w:rFonts w:hint="eastAsia" w:ascii="黑体" w:hAnsi="黑体" w:eastAsia="宋体" w:cs="黑体"/>
          <w:bCs/>
          <w:color w:val="000000"/>
          <w:szCs w:val="21"/>
          <w:lang w:val="en-US" w:eastAsia="zh-CN"/>
        </w:rPr>
      </w:pPr>
      <w:r>
        <w:rPr>
          <w:rFonts w:hint="eastAsia" w:ascii="宋体" w:hAnsi="宋体" w:eastAsia="宋体" w:cs="宋体"/>
          <w:bCs/>
          <w:color w:val="000000"/>
          <w:szCs w:val="21"/>
          <w:lang w:val="en-US" w:eastAsia="zh-CN"/>
        </w:rPr>
        <w:t>由表11-5结果可知，在测试合成样试验中，回收率在99.8</w:t>
      </w:r>
      <w:r>
        <w:rPr>
          <w:rFonts w:hint="eastAsia" w:ascii="宋体" w:hAnsi="宋体" w:cs="宋体"/>
          <w:bCs/>
          <w:color w:val="000000"/>
          <w:szCs w:val="21"/>
          <w:lang w:val="en-US" w:eastAsia="zh-CN"/>
        </w:rPr>
        <w:t>3</w:t>
      </w:r>
      <w:r>
        <w:rPr>
          <w:rFonts w:hint="eastAsia" w:ascii="宋体" w:hAnsi="宋体" w:eastAsia="宋体" w:cs="宋体"/>
          <w:bCs/>
          <w:color w:val="000000"/>
          <w:szCs w:val="21"/>
          <w:lang w:val="en-US" w:eastAsia="zh-CN"/>
        </w:rPr>
        <w:t>%～99.9</w:t>
      </w:r>
      <w:r>
        <w:rPr>
          <w:rFonts w:hint="eastAsia" w:ascii="宋体" w:hAnsi="宋体" w:cs="宋体"/>
          <w:bCs/>
          <w:color w:val="000000"/>
          <w:szCs w:val="21"/>
          <w:lang w:val="en-US" w:eastAsia="zh-CN"/>
        </w:rPr>
        <w:t>6</w:t>
      </w:r>
      <w:r>
        <w:rPr>
          <w:rFonts w:hint="eastAsia" w:ascii="宋体" w:hAnsi="宋体" w:eastAsia="宋体" w:cs="宋体"/>
          <w:bCs/>
          <w:color w:val="000000"/>
          <w:szCs w:val="21"/>
          <w:lang w:val="en-US" w:eastAsia="zh-CN"/>
        </w:rPr>
        <w:t>%之间，与有证标准样品标准值的偏差在-0.04%～</w:t>
      </w:r>
      <w:r>
        <w:rPr>
          <w:rFonts w:hint="eastAsia" w:ascii="宋体" w:hAnsi="宋体" w:cs="宋体"/>
          <w:bCs/>
          <w:color w:val="000000"/>
          <w:szCs w:val="21"/>
          <w:lang w:val="en-US" w:eastAsia="zh-CN"/>
        </w:rPr>
        <w:t>0.01</w:t>
      </w:r>
      <w:r>
        <w:rPr>
          <w:rFonts w:hint="eastAsia" w:ascii="宋体" w:hAnsi="宋体" w:eastAsia="宋体" w:cs="宋体"/>
          <w:bCs/>
          <w:color w:val="000000"/>
          <w:szCs w:val="21"/>
          <w:lang w:val="en-US" w:eastAsia="zh-CN"/>
        </w:rPr>
        <w:t>%之间，证明本方法有较好的准确度。</w:t>
      </w:r>
      <w:r>
        <w:rPr>
          <w:rFonts w:hint="eastAsia" w:ascii="宋体" w:hAnsi="宋体" w:eastAsia="宋体" w:cs="宋体"/>
          <w:b w:val="0"/>
          <w:bCs/>
          <w:color w:val="auto"/>
          <w:sz w:val="21"/>
          <w:szCs w:val="21"/>
        </w:rPr>
        <w:t>结论与起草方一致</w:t>
      </w:r>
      <w:r>
        <w:rPr>
          <w:rFonts w:hint="eastAsia" w:ascii="宋体" w:hAnsi="宋体" w:eastAsia="宋体" w:cs="宋体"/>
          <w:b w:val="0"/>
          <w:bCs/>
          <w:color w:val="auto"/>
          <w:sz w:val="21"/>
          <w:szCs w:val="21"/>
          <w:lang w:eastAsia="zh-CN"/>
        </w:rPr>
        <w:t>。</w:t>
      </w:r>
    </w:p>
    <w:p w14:paraId="548B822B">
      <w:pPr>
        <w:ind w:firstLine="420"/>
        <w:jc w:val="center"/>
        <w:rPr>
          <w:rFonts w:hint="eastAsia" w:ascii="黑体" w:hAnsi="黑体" w:eastAsia="黑体" w:cs="黑体"/>
          <w:bCs/>
          <w:color w:val="000000"/>
          <w:szCs w:val="21"/>
          <w:lang w:val="en-US" w:eastAsia="zh-CN"/>
        </w:rPr>
      </w:pPr>
      <w:r>
        <w:rPr>
          <w:rFonts w:hint="eastAsia" w:ascii="黑体" w:hAnsi="黑体" w:eastAsia="黑体" w:cs="黑体"/>
          <w:color w:val="000000"/>
          <w:kern w:val="0"/>
          <w:sz w:val="21"/>
          <w:szCs w:val="21"/>
        </w:rPr>
        <w:t>表</w:t>
      </w:r>
      <w:r>
        <w:rPr>
          <w:rFonts w:hint="eastAsia" w:ascii="黑体" w:hAnsi="黑体" w:eastAsia="黑体" w:cs="黑体"/>
          <w:color w:val="000000"/>
          <w:kern w:val="0"/>
          <w:sz w:val="21"/>
          <w:szCs w:val="21"/>
          <w:lang w:val="en-US" w:eastAsia="zh-CN"/>
        </w:rPr>
        <w:t>11-6 准确度试验</w:t>
      </w:r>
      <w:r>
        <w:rPr>
          <w:rFonts w:hint="eastAsia" w:ascii="黑体" w:hAnsi="黑体" w:eastAsia="黑体" w:cs="黑体"/>
          <w:bCs/>
          <w:color w:val="000000"/>
          <w:szCs w:val="21"/>
          <w:lang w:val="en-US" w:eastAsia="zh-CN"/>
        </w:rPr>
        <w:t>（昆明冶金研究院有限公司）</w:t>
      </w:r>
    </w:p>
    <w:tbl>
      <w:tblPr>
        <w:tblStyle w:val="13"/>
        <w:tblW w:w="8946" w:type="dxa"/>
        <w:jc w:val="center"/>
        <w:tblLayout w:type="fixed"/>
        <w:tblCellMar>
          <w:top w:w="0" w:type="dxa"/>
          <w:left w:w="108" w:type="dxa"/>
          <w:bottom w:w="0" w:type="dxa"/>
          <w:right w:w="108" w:type="dxa"/>
        </w:tblCellMar>
      </w:tblPr>
      <w:tblGrid>
        <w:gridCol w:w="2440"/>
        <w:gridCol w:w="1689"/>
        <w:gridCol w:w="2272"/>
        <w:gridCol w:w="2545"/>
      </w:tblGrid>
      <w:tr w14:paraId="747499A0">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085481A6">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样品编号</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2CFE6E9C">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铅加入量/mg</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37E61E1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测定铅含量/mg</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121CC314">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回收率 /%</w:t>
            </w:r>
          </w:p>
        </w:tc>
      </w:tr>
      <w:tr w14:paraId="1AD30A7A">
        <w:tblPrEx>
          <w:tblCellMar>
            <w:top w:w="0" w:type="dxa"/>
            <w:left w:w="108" w:type="dxa"/>
            <w:bottom w:w="0" w:type="dxa"/>
            <w:right w:w="108" w:type="dxa"/>
          </w:tblCellMar>
        </w:tblPrEx>
        <w:trPr>
          <w:trHeight w:val="90" w:hRule="atLeast"/>
          <w:jc w:val="center"/>
        </w:trPr>
        <w:tc>
          <w:tcPr>
            <w:tcW w:w="2440" w:type="dxa"/>
            <w:tcBorders>
              <w:top w:val="single" w:color="000000" w:sz="12" w:space="0"/>
              <w:left w:val="single" w:color="000000" w:sz="12" w:space="0"/>
              <w:bottom w:val="single" w:color="000000" w:sz="4" w:space="0"/>
              <w:right w:val="single" w:color="000000" w:sz="4" w:space="0"/>
              <w:tl2br w:val="nil"/>
            </w:tcBorders>
            <w:shd w:val="clear" w:color="auto" w:fill="FFFFFF"/>
            <w:vAlign w:val="center"/>
          </w:tcPr>
          <w:p w14:paraId="38367447">
            <w:pPr>
              <w:widowControl/>
              <w:jc w:val="center"/>
              <w:rPr>
                <w:rFonts w:hint="eastAsia" w:ascii="宋体" w:hAnsi="宋体" w:cs="宋体"/>
                <w:color w:val="000000"/>
                <w:kern w:val="0"/>
                <w:sz w:val="18"/>
                <w:szCs w:val="18"/>
              </w:rPr>
            </w:pPr>
            <w:r>
              <w:rPr>
                <w:rFonts w:hint="eastAsia" w:ascii="宋体" w:hAnsi="宋体" w:cs="宋体"/>
                <w:bCs/>
                <w:color w:val="000000"/>
                <w:sz w:val="18"/>
                <w:szCs w:val="18"/>
              </w:rPr>
              <w:t>QPb3-4</w:t>
            </w:r>
          </w:p>
        </w:tc>
        <w:tc>
          <w:tcPr>
            <w:tcW w:w="1689"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1C17AA07">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50.00</w:t>
            </w:r>
          </w:p>
        </w:tc>
        <w:tc>
          <w:tcPr>
            <w:tcW w:w="2272" w:type="dxa"/>
            <w:tcBorders>
              <w:top w:val="single" w:color="000000" w:sz="12" w:space="0"/>
              <w:left w:val="single" w:color="000000" w:sz="4" w:space="0"/>
              <w:bottom w:val="single" w:color="000000" w:sz="4" w:space="0"/>
              <w:right w:val="single" w:color="000000" w:sz="4" w:space="0"/>
            </w:tcBorders>
            <w:shd w:val="clear" w:color="auto" w:fill="FFFFFF"/>
            <w:vAlign w:val="center"/>
          </w:tcPr>
          <w:p w14:paraId="52E2870A">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49.93</w:t>
            </w:r>
          </w:p>
        </w:tc>
        <w:tc>
          <w:tcPr>
            <w:tcW w:w="2545" w:type="dxa"/>
            <w:tcBorders>
              <w:top w:val="single" w:color="000000" w:sz="12" w:space="0"/>
              <w:left w:val="single" w:color="000000" w:sz="4" w:space="0"/>
              <w:bottom w:val="single" w:color="000000" w:sz="4" w:space="0"/>
              <w:right w:val="single" w:color="000000" w:sz="12" w:space="0"/>
            </w:tcBorders>
            <w:shd w:val="clear" w:color="auto" w:fill="FFFFFF"/>
            <w:vAlign w:val="center"/>
          </w:tcPr>
          <w:p w14:paraId="576362D3">
            <w:pPr>
              <w:widowControl/>
              <w:jc w:val="center"/>
              <w:rPr>
                <w:rFonts w:hint="eastAsia" w:ascii="宋体" w:hAnsi="宋体" w:eastAsia="宋体" w:cs="宋体"/>
                <w:color w:val="000000"/>
                <w:kern w:val="0"/>
                <w:sz w:val="18"/>
                <w:szCs w:val="18"/>
                <w:lang w:eastAsia="zh-CN"/>
              </w:rPr>
            </w:pPr>
            <w:r>
              <w:rPr>
                <w:rFonts w:hint="eastAsia" w:ascii="宋体" w:hAnsi="宋体" w:cs="宋体"/>
                <w:color w:val="000000"/>
                <w:kern w:val="0"/>
                <w:sz w:val="18"/>
                <w:szCs w:val="18"/>
              </w:rPr>
              <w:t>99.8</w:t>
            </w:r>
            <w:r>
              <w:rPr>
                <w:rFonts w:hint="eastAsia" w:ascii="宋体" w:hAnsi="宋体" w:cs="宋体"/>
                <w:color w:val="000000"/>
                <w:kern w:val="0"/>
                <w:sz w:val="18"/>
                <w:szCs w:val="18"/>
                <w:lang w:val="en-US" w:eastAsia="zh-CN"/>
              </w:rPr>
              <w:t>6</w:t>
            </w:r>
          </w:p>
        </w:tc>
      </w:tr>
      <w:tr w14:paraId="013EA4AB">
        <w:tblPrEx>
          <w:tblCellMar>
            <w:top w:w="0" w:type="dxa"/>
            <w:left w:w="108" w:type="dxa"/>
            <w:bottom w:w="0" w:type="dxa"/>
            <w:right w:w="108" w:type="dxa"/>
          </w:tblCellMar>
        </w:tblPrEx>
        <w:trPr>
          <w:trHeight w:val="270" w:hRule="atLeast"/>
          <w:jc w:val="center"/>
        </w:trPr>
        <w:tc>
          <w:tcPr>
            <w:tcW w:w="2440" w:type="dxa"/>
            <w:tcBorders>
              <w:top w:val="single" w:color="000000" w:sz="4" w:space="0"/>
              <w:left w:val="single" w:color="000000" w:sz="12" w:space="0"/>
              <w:bottom w:val="single" w:color="auto" w:sz="12" w:space="0"/>
              <w:right w:val="single" w:color="000000" w:sz="4" w:space="0"/>
            </w:tcBorders>
            <w:shd w:val="clear" w:color="auto" w:fill="FFFFFF"/>
            <w:vAlign w:val="center"/>
          </w:tcPr>
          <w:p w14:paraId="2D45AB49">
            <w:pPr>
              <w:jc w:val="center"/>
              <w:rPr>
                <w:rFonts w:hint="eastAsia" w:ascii="宋体" w:hAnsi="宋体" w:cs="宋体"/>
                <w:color w:val="000000"/>
                <w:sz w:val="18"/>
                <w:szCs w:val="18"/>
              </w:rPr>
            </w:pPr>
            <w:r>
              <w:rPr>
                <w:rFonts w:hint="eastAsia" w:ascii="宋体" w:hAnsi="宋体" w:cs="宋体"/>
                <w:bCs/>
                <w:color w:val="000000"/>
                <w:sz w:val="18"/>
                <w:szCs w:val="18"/>
              </w:rPr>
              <w:t>QPb3-5</w:t>
            </w:r>
          </w:p>
        </w:tc>
        <w:tc>
          <w:tcPr>
            <w:tcW w:w="1689" w:type="dxa"/>
            <w:tcBorders>
              <w:top w:val="single" w:color="000000" w:sz="4" w:space="0"/>
              <w:left w:val="single" w:color="000000" w:sz="4" w:space="0"/>
              <w:bottom w:val="single" w:color="auto" w:sz="12" w:space="0"/>
              <w:right w:val="single" w:color="000000" w:sz="4" w:space="0"/>
            </w:tcBorders>
            <w:shd w:val="clear" w:color="auto" w:fill="FFFFFF"/>
          </w:tcPr>
          <w:p w14:paraId="64C8D580">
            <w:pPr>
              <w:jc w:val="center"/>
              <w:rPr>
                <w:rFonts w:hint="eastAsia" w:ascii="宋体" w:hAnsi="宋体" w:cs="宋体"/>
                <w:color w:val="000000"/>
                <w:sz w:val="18"/>
                <w:szCs w:val="18"/>
              </w:rPr>
            </w:pPr>
            <w:r>
              <w:rPr>
                <w:rFonts w:hint="eastAsia" w:ascii="宋体" w:hAnsi="宋体" w:cs="宋体"/>
                <w:color w:val="000000"/>
                <w:sz w:val="18"/>
                <w:szCs w:val="18"/>
              </w:rPr>
              <w:t>64.00</w:t>
            </w:r>
          </w:p>
        </w:tc>
        <w:tc>
          <w:tcPr>
            <w:tcW w:w="2272" w:type="dxa"/>
            <w:tcBorders>
              <w:top w:val="single" w:color="000000" w:sz="4" w:space="0"/>
              <w:left w:val="single" w:color="000000" w:sz="4" w:space="0"/>
              <w:bottom w:val="single" w:color="auto" w:sz="12" w:space="0"/>
              <w:right w:val="single" w:color="000000" w:sz="4" w:space="0"/>
            </w:tcBorders>
            <w:shd w:val="clear" w:color="auto" w:fill="FFFFFF"/>
            <w:vAlign w:val="center"/>
          </w:tcPr>
          <w:p w14:paraId="07B3825E">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63.92</w:t>
            </w:r>
          </w:p>
        </w:tc>
        <w:tc>
          <w:tcPr>
            <w:tcW w:w="2545" w:type="dxa"/>
            <w:tcBorders>
              <w:top w:val="single" w:color="000000" w:sz="4" w:space="0"/>
              <w:left w:val="single" w:color="000000" w:sz="4" w:space="0"/>
              <w:bottom w:val="single" w:color="auto" w:sz="12" w:space="0"/>
              <w:right w:val="single" w:color="000000" w:sz="12" w:space="0"/>
            </w:tcBorders>
            <w:shd w:val="clear" w:color="auto" w:fill="FFFFFF"/>
            <w:vAlign w:val="center"/>
          </w:tcPr>
          <w:p w14:paraId="0C9D1516">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99.88</w:t>
            </w:r>
          </w:p>
        </w:tc>
      </w:tr>
      <w:tr w14:paraId="4A329021">
        <w:tblPrEx>
          <w:tblCellMar>
            <w:top w:w="0" w:type="dxa"/>
            <w:left w:w="108" w:type="dxa"/>
            <w:bottom w:w="0" w:type="dxa"/>
            <w:right w:w="108" w:type="dxa"/>
          </w:tblCellMar>
        </w:tblPrEx>
        <w:trPr>
          <w:trHeight w:val="270" w:hRule="atLeast"/>
          <w:jc w:val="center"/>
        </w:trPr>
        <w:tc>
          <w:tcPr>
            <w:tcW w:w="2440" w:type="dxa"/>
            <w:tcBorders>
              <w:top w:val="single" w:color="auto" w:sz="12" w:space="0"/>
              <w:left w:val="single" w:color="auto" w:sz="12" w:space="0"/>
              <w:bottom w:val="single" w:color="auto" w:sz="4" w:space="0"/>
              <w:right w:val="single" w:color="auto" w:sz="4" w:space="0"/>
            </w:tcBorders>
            <w:shd w:val="clear" w:color="auto" w:fill="FFFFFF"/>
            <w:vAlign w:val="center"/>
          </w:tcPr>
          <w:p w14:paraId="5B3FE606">
            <w:pPr>
              <w:jc w:val="center"/>
              <w:rPr>
                <w:rFonts w:hint="eastAsia" w:ascii="宋体" w:hAnsi="宋体" w:cs="宋体"/>
                <w:color w:val="000000"/>
                <w:sz w:val="18"/>
                <w:szCs w:val="18"/>
              </w:rPr>
            </w:pPr>
            <w:r>
              <w:rPr>
                <w:rFonts w:hint="eastAsia" w:ascii="宋体" w:hAnsi="宋体" w:cs="宋体"/>
                <w:bCs/>
                <w:color w:val="000000"/>
                <w:sz w:val="18"/>
                <w:szCs w:val="18"/>
              </w:rPr>
              <w:t>样品编号</w:t>
            </w:r>
          </w:p>
        </w:tc>
        <w:tc>
          <w:tcPr>
            <w:tcW w:w="1689" w:type="dxa"/>
            <w:tcBorders>
              <w:top w:val="single" w:color="auto" w:sz="12" w:space="0"/>
              <w:left w:val="single" w:color="auto" w:sz="4" w:space="0"/>
              <w:bottom w:val="single" w:color="auto" w:sz="4" w:space="0"/>
              <w:right w:val="single" w:color="auto" w:sz="4" w:space="0"/>
            </w:tcBorders>
            <w:shd w:val="clear" w:color="auto" w:fill="FFFFFF"/>
          </w:tcPr>
          <w:p w14:paraId="3D684CF9">
            <w:pPr>
              <w:jc w:val="center"/>
              <w:rPr>
                <w:rFonts w:hint="eastAsia" w:ascii="宋体" w:hAnsi="宋体" w:cs="宋体"/>
                <w:color w:val="000000"/>
                <w:sz w:val="18"/>
                <w:szCs w:val="18"/>
              </w:rPr>
            </w:pPr>
            <w:r>
              <w:rPr>
                <w:rFonts w:hint="eastAsia" w:ascii="宋体" w:hAnsi="宋体" w:cs="宋体"/>
                <w:color w:val="000000"/>
                <w:sz w:val="18"/>
                <w:szCs w:val="18"/>
              </w:rPr>
              <w:t>标准值</w:t>
            </w:r>
            <w:r>
              <w:rPr>
                <w:rFonts w:hint="eastAsia" w:ascii="宋体" w:hAnsi="宋体" w:cs="宋体"/>
                <w:color w:val="000000"/>
                <w:kern w:val="0"/>
                <w:sz w:val="18"/>
                <w:szCs w:val="18"/>
              </w:rPr>
              <w:t>/%</w:t>
            </w:r>
          </w:p>
        </w:tc>
        <w:tc>
          <w:tcPr>
            <w:tcW w:w="2272" w:type="dxa"/>
            <w:tcBorders>
              <w:top w:val="single" w:color="auto" w:sz="12" w:space="0"/>
              <w:left w:val="single" w:color="auto" w:sz="4" w:space="0"/>
              <w:bottom w:val="single" w:color="auto" w:sz="4" w:space="0"/>
              <w:right w:val="single" w:color="auto" w:sz="4" w:space="0"/>
            </w:tcBorders>
            <w:shd w:val="clear" w:color="auto" w:fill="FFFFFF"/>
            <w:vAlign w:val="center"/>
          </w:tcPr>
          <w:p w14:paraId="655DB4C3">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测定值/%</w:t>
            </w:r>
          </w:p>
        </w:tc>
        <w:tc>
          <w:tcPr>
            <w:tcW w:w="2545" w:type="dxa"/>
            <w:tcBorders>
              <w:top w:val="single" w:color="auto" w:sz="12" w:space="0"/>
              <w:left w:val="single" w:color="auto" w:sz="4" w:space="0"/>
              <w:bottom w:val="single" w:color="auto" w:sz="4" w:space="0"/>
              <w:right w:val="single" w:color="auto" w:sz="12" w:space="0"/>
            </w:tcBorders>
            <w:shd w:val="clear" w:color="auto" w:fill="FFFFFF"/>
            <w:vAlign w:val="center"/>
          </w:tcPr>
          <w:p w14:paraId="56EC818B">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偏差/%</w:t>
            </w:r>
          </w:p>
        </w:tc>
      </w:tr>
      <w:tr w14:paraId="507ED5B5">
        <w:tblPrEx>
          <w:tblCellMar>
            <w:top w:w="0" w:type="dxa"/>
            <w:left w:w="108" w:type="dxa"/>
            <w:bottom w:w="0" w:type="dxa"/>
            <w:right w:w="108" w:type="dxa"/>
          </w:tblCellMar>
        </w:tblPrEx>
        <w:trPr>
          <w:trHeight w:val="254" w:hRule="atLeast"/>
          <w:jc w:val="center"/>
        </w:trPr>
        <w:tc>
          <w:tcPr>
            <w:tcW w:w="2440" w:type="dxa"/>
            <w:tcBorders>
              <w:top w:val="single" w:color="auto" w:sz="4" w:space="0"/>
              <w:left w:val="single" w:color="auto" w:sz="12" w:space="0"/>
              <w:bottom w:val="single" w:color="auto" w:sz="4" w:space="0"/>
              <w:right w:val="single" w:color="auto" w:sz="4" w:space="0"/>
            </w:tcBorders>
            <w:shd w:val="clear" w:color="auto" w:fill="FFFFFF"/>
            <w:vAlign w:val="center"/>
          </w:tcPr>
          <w:p w14:paraId="10D02BA4">
            <w:pPr>
              <w:jc w:val="center"/>
              <w:rPr>
                <w:rFonts w:hint="eastAsia" w:ascii="宋体" w:hAnsi="宋体" w:cs="宋体"/>
                <w:color w:val="000000"/>
                <w:sz w:val="18"/>
                <w:szCs w:val="18"/>
              </w:rPr>
            </w:pPr>
            <w:r>
              <w:rPr>
                <w:rFonts w:hint="eastAsia" w:ascii="宋体" w:hAnsi="宋体" w:cs="宋体"/>
                <w:bCs/>
                <w:color w:val="000000"/>
                <w:sz w:val="18"/>
                <w:szCs w:val="18"/>
              </w:rPr>
              <w:t>GBW02139</w:t>
            </w:r>
          </w:p>
        </w:tc>
        <w:tc>
          <w:tcPr>
            <w:tcW w:w="1689" w:type="dxa"/>
            <w:tcBorders>
              <w:top w:val="single" w:color="auto" w:sz="4" w:space="0"/>
              <w:left w:val="single" w:color="auto" w:sz="4" w:space="0"/>
              <w:bottom w:val="single" w:color="auto" w:sz="4" w:space="0"/>
              <w:right w:val="single" w:color="auto" w:sz="4" w:space="0"/>
            </w:tcBorders>
            <w:shd w:val="clear" w:color="auto" w:fill="FFFFFF"/>
            <w:vAlign w:val="center"/>
          </w:tcPr>
          <w:p w14:paraId="1D26EA67">
            <w:pPr>
              <w:jc w:val="center"/>
              <w:rPr>
                <w:rFonts w:hint="eastAsia" w:ascii="宋体" w:hAnsi="宋体" w:cs="宋体"/>
                <w:color w:val="000000"/>
                <w:sz w:val="18"/>
                <w:szCs w:val="18"/>
              </w:rPr>
            </w:pPr>
            <w:r>
              <w:rPr>
                <w:rFonts w:hint="eastAsia" w:ascii="宋体" w:hAnsi="宋体" w:cs="宋体"/>
                <w:color w:val="000000"/>
                <w:sz w:val="18"/>
                <w:szCs w:val="18"/>
              </w:rPr>
              <w:t>6.16</w:t>
            </w:r>
          </w:p>
        </w:tc>
        <w:tc>
          <w:tcPr>
            <w:tcW w:w="2272" w:type="dxa"/>
            <w:tcBorders>
              <w:top w:val="single" w:color="auto" w:sz="4" w:space="0"/>
              <w:left w:val="single" w:color="auto" w:sz="4" w:space="0"/>
              <w:bottom w:val="single" w:color="auto" w:sz="4" w:space="0"/>
              <w:right w:val="single" w:color="auto" w:sz="4" w:space="0"/>
            </w:tcBorders>
            <w:shd w:val="clear" w:color="auto" w:fill="FFFFFF"/>
            <w:vAlign w:val="center"/>
          </w:tcPr>
          <w:p w14:paraId="78FB3141">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6.</w:t>
            </w:r>
            <w:r>
              <w:rPr>
                <w:rFonts w:hint="eastAsia" w:ascii="宋体" w:hAnsi="宋体" w:cs="宋体"/>
                <w:color w:val="000000"/>
                <w:kern w:val="0"/>
                <w:sz w:val="18"/>
                <w:szCs w:val="18"/>
                <w:lang w:val="en-US" w:eastAsia="zh-CN"/>
              </w:rPr>
              <w:t>105</w:t>
            </w:r>
          </w:p>
        </w:tc>
        <w:tc>
          <w:tcPr>
            <w:tcW w:w="2545" w:type="dxa"/>
            <w:tcBorders>
              <w:top w:val="single" w:color="auto" w:sz="4" w:space="0"/>
              <w:left w:val="single" w:color="auto" w:sz="4" w:space="0"/>
              <w:bottom w:val="single" w:color="auto" w:sz="4" w:space="0"/>
              <w:right w:val="single" w:color="auto" w:sz="12" w:space="0"/>
            </w:tcBorders>
            <w:shd w:val="clear" w:color="auto" w:fill="FFFFFF"/>
            <w:vAlign w:val="center"/>
          </w:tcPr>
          <w:p w14:paraId="579D8186">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-0.</w:t>
            </w:r>
            <w:r>
              <w:rPr>
                <w:rFonts w:hint="eastAsia" w:ascii="宋体" w:hAnsi="宋体" w:cs="宋体"/>
                <w:color w:val="000000"/>
                <w:kern w:val="0"/>
                <w:sz w:val="18"/>
                <w:szCs w:val="18"/>
                <w:lang w:val="en-US" w:eastAsia="zh-CN"/>
              </w:rPr>
              <w:t>025</w:t>
            </w:r>
          </w:p>
        </w:tc>
      </w:tr>
      <w:tr w14:paraId="0FED966A">
        <w:tblPrEx>
          <w:tblCellMar>
            <w:top w:w="0" w:type="dxa"/>
            <w:left w:w="108" w:type="dxa"/>
            <w:bottom w:w="0" w:type="dxa"/>
            <w:right w:w="108" w:type="dxa"/>
          </w:tblCellMar>
        </w:tblPrEx>
        <w:trPr>
          <w:trHeight w:val="270" w:hRule="atLeast"/>
          <w:jc w:val="center"/>
        </w:trPr>
        <w:tc>
          <w:tcPr>
            <w:tcW w:w="2440" w:type="dxa"/>
            <w:tcBorders>
              <w:top w:val="single" w:color="auto" w:sz="4" w:space="0"/>
              <w:left w:val="single" w:color="auto" w:sz="12" w:space="0"/>
              <w:bottom w:val="single" w:color="auto" w:sz="12" w:space="0"/>
              <w:right w:val="single" w:color="auto" w:sz="4" w:space="0"/>
            </w:tcBorders>
            <w:shd w:val="clear" w:color="auto" w:fill="FFFFFF"/>
            <w:vAlign w:val="center"/>
          </w:tcPr>
          <w:p w14:paraId="2CD96D67">
            <w:pPr>
              <w:jc w:val="center"/>
              <w:rPr>
                <w:rFonts w:hint="eastAsia" w:ascii="宋体" w:hAnsi="宋体" w:cs="宋体"/>
                <w:bCs/>
                <w:color w:val="000000"/>
                <w:sz w:val="18"/>
                <w:szCs w:val="18"/>
              </w:rPr>
            </w:pPr>
            <w:r>
              <w:rPr>
                <w:rFonts w:hint="eastAsia" w:ascii="宋体" w:hAnsi="宋体" w:cs="宋体"/>
                <w:bCs/>
                <w:color w:val="000000"/>
                <w:sz w:val="18"/>
                <w:szCs w:val="18"/>
              </w:rPr>
              <w:t>GBW02140</w:t>
            </w:r>
          </w:p>
        </w:tc>
        <w:tc>
          <w:tcPr>
            <w:tcW w:w="1689" w:type="dxa"/>
            <w:tcBorders>
              <w:top w:val="single" w:color="auto" w:sz="4" w:space="0"/>
              <w:left w:val="single" w:color="auto" w:sz="4" w:space="0"/>
              <w:bottom w:val="single" w:color="auto" w:sz="12" w:space="0"/>
              <w:right w:val="single" w:color="auto" w:sz="4" w:space="0"/>
            </w:tcBorders>
            <w:shd w:val="clear" w:color="auto" w:fill="FFFFFF"/>
            <w:vAlign w:val="center"/>
          </w:tcPr>
          <w:p w14:paraId="2C46CA6E">
            <w:pPr>
              <w:jc w:val="center"/>
              <w:rPr>
                <w:rFonts w:hint="eastAsia" w:ascii="宋体" w:hAnsi="宋体" w:cs="宋体"/>
                <w:color w:val="000000"/>
                <w:sz w:val="18"/>
                <w:szCs w:val="18"/>
              </w:rPr>
            </w:pPr>
            <w:r>
              <w:rPr>
                <w:rFonts w:hint="eastAsia" w:ascii="宋体" w:hAnsi="宋体" w:cs="宋体"/>
                <w:color w:val="000000"/>
                <w:sz w:val="18"/>
                <w:szCs w:val="18"/>
              </w:rPr>
              <w:t>17.62</w:t>
            </w:r>
          </w:p>
        </w:tc>
        <w:tc>
          <w:tcPr>
            <w:tcW w:w="2272" w:type="dxa"/>
            <w:tcBorders>
              <w:top w:val="single" w:color="auto" w:sz="4" w:space="0"/>
              <w:left w:val="single" w:color="auto" w:sz="4" w:space="0"/>
              <w:bottom w:val="single" w:color="auto" w:sz="12" w:space="0"/>
              <w:right w:val="single" w:color="auto" w:sz="4" w:space="0"/>
            </w:tcBorders>
            <w:shd w:val="clear" w:color="auto" w:fill="FFFFFF"/>
            <w:vAlign w:val="center"/>
          </w:tcPr>
          <w:p w14:paraId="32D0B8C6">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17.</w:t>
            </w:r>
            <w:r>
              <w:rPr>
                <w:rFonts w:hint="eastAsia" w:ascii="宋体" w:hAnsi="宋体" w:cs="宋体"/>
                <w:color w:val="000000"/>
                <w:kern w:val="0"/>
                <w:sz w:val="18"/>
                <w:szCs w:val="18"/>
                <w:lang w:val="en-US" w:eastAsia="zh-CN"/>
              </w:rPr>
              <w:t>550</w:t>
            </w:r>
          </w:p>
        </w:tc>
        <w:tc>
          <w:tcPr>
            <w:tcW w:w="2545" w:type="dxa"/>
            <w:tcBorders>
              <w:top w:val="single" w:color="auto" w:sz="4" w:space="0"/>
              <w:left w:val="single" w:color="auto" w:sz="4" w:space="0"/>
              <w:bottom w:val="single" w:color="auto" w:sz="12" w:space="0"/>
              <w:right w:val="single" w:color="auto" w:sz="12" w:space="0"/>
            </w:tcBorders>
            <w:shd w:val="clear" w:color="auto" w:fill="FFFFFF"/>
            <w:vAlign w:val="center"/>
          </w:tcPr>
          <w:p w14:paraId="0C4D6377">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rPr>
              <w:t>-0.0</w:t>
            </w:r>
            <w:r>
              <w:rPr>
                <w:rFonts w:hint="eastAsia" w:ascii="宋体" w:hAnsi="宋体" w:cs="宋体"/>
                <w:color w:val="000000"/>
                <w:kern w:val="0"/>
                <w:sz w:val="18"/>
                <w:szCs w:val="18"/>
                <w:lang w:val="en-US" w:eastAsia="zh-CN"/>
              </w:rPr>
              <w:t>70</w:t>
            </w:r>
          </w:p>
        </w:tc>
      </w:tr>
    </w:tbl>
    <w:p w14:paraId="553B7C4F">
      <w:pPr>
        <w:ind w:firstLine="420"/>
        <w:jc w:val="center"/>
        <w:rPr>
          <w:rFonts w:hint="eastAsia" w:ascii="宋体" w:hAnsi="宋体" w:cs="宋体"/>
          <w:bCs/>
          <w:color w:val="000000"/>
          <w:szCs w:val="21"/>
        </w:rPr>
      </w:pPr>
      <w:r>
        <w:rPr>
          <w:rFonts w:hint="eastAsia" w:ascii="宋体" w:hAnsi="宋体" w:cs="宋体"/>
          <w:bCs/>
          <w:color w:val="000000"/>
          <w:szCs w:val="21"/>
        </w:rPr>
        <w:t>由表</w:t>
      </w:r>
      <w:r>
        <w:rPr>
          <w:rFonts w:hint="eastAsia" w:ascii="宋体" w:hAnsi="宋体" w:cs="宋体"/>
          <w:bCs/>
          <w:color w:val="000000"/>
          <w:szCs w:val="21"/>
          <w:lang w:val="en-US" w:eastAsia="zh-CN"/>
        </w:rPr>
        <w:t>11-</w:t>
      </w:r>
      <w:r>
        <w:rPr>
          <w:rFonts w:hint="eastAsia" w:ascii="宋体" w:hAnsi="宋体" w:cs="宋体"/>
          <w:bCs/>
          <w:color w:val="000000"/>
          <w:szCs w:val="21"/>
        </w:rPr>
        <w:t>6结果可知，在测试合成样试验中，回收率在99.8</w:t>
      </w:r>
      <w:r>
        <w:rPr>
          <w:rFonts w:hint="eastAsia" w:ascii="宋体" w:hAnsi="宋体" w:cs="宋体"/>
          <w:bCs/>
          <w:color w:val="000000"/>
          <w:szCs w:val="21"/>
          <w:lang w:val="en-US" w:eastAsia="zh-CN"/>
        </w:rPr>
        <w:t>6</w:t>
      </w:r>
      <w:r>
        <w:rPr>
          <w:rFonts w:hint="eastAsia" w:ascii="宋体" w:hAnsi="宋体" w:cs="宋体"/>
          <w:bCs/>
          <w:color w:val="000000"/>
          <w:szCs w:val="21"/>
        </w:rPr>
        <w:t>%～99.</w:t>
      </w:r>
      <w:r>
        <w:rPr>
          <w:rFonts w:hint="eastAsia" w:ascii="宋体" w:hAnsi="宋体" w:cs="宋体"/>
          <w:bCs/>
          <w:color w:val="000000"/>
          <w:szCs w:val="21"/>
          <w:lang w:val="en-US" w:eastAsia="zh-CN"/>
        </w:rPr>
        <w:t>88</w:t>
      </w:r>
      <w:r>
        <w:rPr>
          <w:rFonts w:hint="eastAsia" w:ascii="宋体" w:hAnsi="宋体" w:cs="宋体"/>
          <w:bCs/>
          <w:color w:val="000000"/>
          <w:szCs w:val="21"/>
        </w:rPr>
        <w:t>%之间，与有证标</w:t>
      </w:r>
    </w:p>
    <w:p w14:paraId="2348A743">
      <w:pPr>
        <w:jc w:val="both"/>
        <w:rPr>
          <w:rFonts w:hint="eastAsia" w:ascii="黑体" w:hAnsi="黑体" w:eastAsia="宋体" w:cs="黑体"/>
          <w:bCs/>
          <w:color w:val="000000"/>
          <w:szCs w:val="21"/>
          <w:lang w:val="en-US" w:eastAsia="zh-CN"/>
        </w:rPr>
      </w:pPr>
      <w:r>
        <w:rPr>
          <w:rFonts w:hint="eastAsia" w:ascii="宋体" w:hAnsi="宋体" w:cs="宋体"/>
          <w:bCs/>
          <w:color w:val="000000"/>
          <w:szCs w:val="21"/>
        </w:rPr>
        <w:t>准样品标准值的偏差在-0.0</w:t>
      </w:r>
      <w:r>
        <w:rPr>
          <w:rFonts w:hint="eastAsia" w:ascii="宋体" w:hAnsi="宋体" w:cs="宋体"/>
          <w:bCs/>
          <w:color w:val="000000"/>
          <w:szCs w:val="21"/>
          <w:lang w:val="en-US" w:eastAsia="zh-CN"/>
        </w:rPr>
        <w:t>70</w:t>
      </w:r>
      <w:r>
        <w:rPr>
          <w:rFonts w:hint="eastAsia" w:ascii="宋体" w:hAnsi="宋体" w:cs="宋体"/>
          <w:bCs/>
          <w:color w:val="000000"/>
          <w:szCs w:val="21"/>
        </w:rPr>
        <w:t>%～-0.0</w:t>
      </w:r>
      <w:r>
        <w:rPr>
          <w:rFonts w:hint="eastAsia" w:ascii="宋体" w:hAnsi="宋体" w:cs="宋体"/>
          <w:bCs/>
          <w:color w:val="000000"/>
          <w:szCs w:val="21"/>
          <w:lang w:val="en-US" w:eastAsia="zh-CN"/>
        </w:rPr>
        <w:t>2</w:t>
      </w:r>
      <w:r>
        <w:rPr>
          <w:rFonts w:hint="eastAsia" w:ascii="宋体" w:hAnsi="宋体" w:cs="宋体"/>
          <w:bCs/>
          <w:color w:val="000000"/>
          <w:szCs w:val="21"/>
        </w:rPr>
        <w:t>5%之间，证明本方法有较好的准确度。</w:t>
      </w:r>
      <w:r>
        <w:rPr>
          <w:rFonts w:hint="eastAsia" w:ascii="宋体" w:hAnsi="宋体" w:eastAsia="宋体" w:cs="宋体"/>
          <w:b w:val="0"/>
          <w:bCs/>
          <w:color w:val="auto"/>
          <w:sz w:val="21"/>
          <w:szCs w:val="21"/>
        </w:rPr>
        <w:t>结论与起草方一致</w:t>
      </w:r>
      <w:r>
        <w:rPr>
          <w:rFonts w:hint="eastAsia" w:ascii="宋体" w:hAnsi="宋体" w:eastAsia="宋体" w:cs="宋体"/>
          <w:b w:val="0"/>
          <w:bCs/>
          <w:color w:val="auto"/>
          <w:sz w:val="21"/>
          <w:szCs w:val="21"/>
          <w:lang w:eastAsia="zh-CN"/>
        </w:rPr>
        <w:t>。</w:t>
      </w:r>
    </w:p>
    <w:p w14:paraId="4E81A4F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bCs/>
          <w:color w:val="000000"/>
          <w:szCs w:val="21"/>
          <w:vertAlign w:val="baseline"/>
          <w:lang w:val="en-US" w:eastAsia="zh-CN"/>
        </w:rPr>
      </w:pPr>
    </w:p>
    <w:p w14:paraId="29E71B05">
      <w:pPr>
        <w:keepNext w:val="0"/>
        <w:keepLines w:val="0"/>
        <w:pageBreakBefore w:val="0"/>
        <w:kinsoku/>
        <w:wordWrap/>
        <w:overflowPunct/>
        <w:topLinePunct w:val="0"/>
        <w:bidi w:val="0"/>
        <w:snapToGrid/>
        <w:spacing w:line="400" w:lineRule="exact"/>
        <w:jc w:val="left"/>
        <w:rPr>
          <w:rFonts w:hint="eastAsia" w:ascii="黑体" w:hAnsi="黑体" w:eastAsia="黑体" w:cs="黑体"/>
          <w:b w:val="0"/>
          <w:bCs w:val="0"/>
          <w:color w:val="000000"/>
          <w:sz w:val="21"/>
          <w:szCs w:val="21"/>
          <w:highlight w:val="none"/>
        </w:rPr>
      </w:pPr>
      <w:bookmarkStart w:id="1" w:name="_Toc29498"/>
      <w:r>
        <w:rPr>
          <w:rFonts w:hint="eastAsia" w:ascii="黑体" w:hAnsi="黑体" w:eastAsia="黑体" w:cs="黑体"/>
          <w:b w:val="0"/>
          <w:bCs w:val="0"/>
          <w:color w:val="000000"/>
          <w:sz w:val="21"/>
          <w:szCs w:val="21"/>
          <w:highlight w:val="none"/>
          <w:lang w:val="en-US" w:eastAsia="zh-CN"/>
        </w:rPr>
        <w:t>1</w:t>
      </w:r>
      <w:r>
        <w:rPr>
          <w:rFonts w:hint="eastAsia" w:ascii="黑体" w:hAnsi="黑体" w:eastAsia="黑体" w:cs="黑体"/>
          <w:b w:val="0"/>
          <w:bCs w:val="0"/>
          <w:color w:val="000000"/>
          <w:sz w:val="21"/>
          <w:szCs w:val="21"/>
          <w:highlight w:val="none"/>
        </w:rPr>
        <w:t>.</w:t>
      </w:r>
      <w:r>
        <w:rPr>
          <w:rFonts w:hint="eastAsia" w:ascii="黑体" w:hAnsi="黑体" w:eastAsia="黑体" w:cs="黑体"/>
          <w:b w:val="0"/>
          <w:bCs w:val="0"/>
          <w:color w:val="000000"/>
          <w:sz w:val="21"/>
          <w:szCs w:val="21"/>
          <w:highlight w:val="none"/>
          <w:lang w:val="en-US" w:eastAsia="zh-CN"/>
        </w:rPr>
        <w:t>11</w:t>
      </w:r>
      <w:r>
        <w:rPr>
          <w:rFonts w:hint="eastAsia" w:ascii="黑体" w:hAnsi="黑体" w:eastAsia="黑体" w:cs="黑体"/>
          <w:b w:val="0"/>
          <w:bCs w:val="0"/>
          <w:color w:val="000000"/>
          <w:sz w:val="21"/>
          <w:szCs w:val="21"/>
          <w:highlight w:val="none"/>
        </w:rPr>
        <w:t xml:space="preserve"> 精密度试验</w:t>
      </w:r>
    </w:p>
    <w:p w14:paraId="38E761C9">
      <w:pPr>
        <w:keepNext w:val="0"/>
        <w:keepLines w:val="0"/>
        <w:pageBreakBefore w:val="0"/>
        <w:kinsoku/>
        <w:wordWrap/>
        <w:overflowPunct/>
        <w:topLinePunct w:val="0"/>
        <w:bidi w:val="0"/>
        <w:snapToGrid/>
        <w:spacing w:line="400" w:lineRule="exact"/>
        <w:jc w:val="left"/>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 xml:space="preserve">   </w:t>
      </w:r>
      <w:r>
        <w:rPr>
          <w:rFonts w:hint="eastAsia" w:ascii="宋体" w:hAnsi="宋体" w:eastAsia="宋体" w:cs="宋体"/>
          <w:color w:val="000000"/>
          <w:sz w:val="21"/>
          <w:szCs w:val="21"/>
          <w:highlight w:val="none"/>
        </w:rPr>
        <w:t>按照试验方法对</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个</w:t>
      </w:r>
      <w:r>
        <w:rPr>
          <w:rFonts w:hint="eastAsia" w:ascii="宋体" w:hAnsi="宋体" w:eastAsia="宋体" w:cs="宋体"/>
          <w:color w:val="000000"/>
          <w:sz w:val="21"/>
          <w:szCs w:val="21"/>
          <w:highlight w:val="none"/>
          <w:lang w:val="en-US" w:eastAsia="zh-CN"/>
        </w:rPr>
        <w:t>铅</w:t>
      </w:r>
      <w:r>
        <w:rPr>
          <w:rFonts w:hint="eastAsia" w:ascii="宋体" w:hAnsi="宋体" w:eastAsia="宋体" w:cs="宋体"/>
          <w:color w:val="000000"/>
          <w:sz w:val="21"/>
          <w:szCs w:val="21"/>
          <w:highlight w:val="none"/>
        </w:rPr>
        <w:t>含量不同的样品</w:t>
      </w:r>
      <w:r>
        <w:rPr>
          <w:rFonts w:hint="eastAsia" w:ascii="宋体" w:hAnsi="宋体" w:eastAsia="宋体" w:cs="宋体"/>
          <w:color w:val="000000"/>
          <w:sz w:val="21"/>
          <w:szCs w:val="21"/>
          <w:highlight w:val="none"/>
          <w:lang w:eastAsia="zh-CN"/>
        </w:rPr>
        <w:t>分别独立</w:t>
      </w:r>
      <w:r>
        <w:rPr>
          <w:rFonts w:hint="eastAsia" w:ascii="宋体" w:hAnsi="宋体" w:eastAsia="宋体" w:cs="宋体"/>
          <w:color w:val="000000"/>
          <w:sz w:val="21"/>
          <w:szCs w:val="21"/>
          <w:highlight w:val="none"/>
        </w:rPr>
        <w:t>进行7次测定，计算平均值及相对标准偏差，结果见表1</w:t>
      </w:r>
      <w:r>
        <w:rPr>
          <w:rFonts w:hint="eastAsia" w:ascii="宋体" w:hAnsi="宋体" w:eastAsia="宋体" w:cs="宋体"/>
          <w:color w:val="000000"/>
          <w:sz w:val="21"/>
          <w:szCs w:val="21"/>
          <w:highlight w:val="none"/>
          <w:lang w:val="en-US" w:eastAsia="zh-CN"/>
        </w:rPr>
        <w:t>2-1</w:t>
      </w:r>
      <w:r>
        <w:rPr>
          <w:rFonts w:hint="default" w:ascii="Times New Roman" w:hAnsi="Times New Roman" w:eastAsia="宋体" w:cs="Times New Roman"/>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12-12</w:t>
      </w:r>
      <w:r>
        <w:rPr>
          <w:rFonts w:hint="eastAsia" w:ascii="宋体" w:hAnsi="宋体" w:eastAsia="宋体" w:cs="宋体"/>
          <w:color w:val="000000"/>
          <w:sz w:val="21"/>
          <w:szCs w:val="21"/>
          <w:highlight w:val="none"/>
        </w:rPr>
        <w:t>。</w:t>
      </w:r>
    </w:p>
    <w:p w14:paraId="2649D414">
      <w:pPr>
        <w:keepNext w:val="0"/>
        <w:keepLines w:val="0"/>
        <w:pageBreakBefore w:val="0"/>
        <w:kinsoku/>
        <w:wordWrap/>
        <w:overflowPunct/>
        <w:topLinePunct w:val="0"/>
        <w:bidi w:val="0"/>
        <w:snapToGrid/>
        <w:spacing w:line="400" w:lineRule="exact"/>
        <w:jc w:val="center"/>
        <w:rPr>
          <w:rFonts w:hint="eastAsia" w:ascii="黑体" w:hAnsi="黑体" w:eastAsia="黑体" w:cs="黑体"/>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2-1</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Cs w:val="21"/>
          <w:lang w:val="en-US" w:eastAsia="zh-CN"/>
        </w:rPr>
        <w:t>（中铝洛阳铜加工有限公司）</w:t>
      </w:r>
    </w:p>
    <w:tbl>
      <w:tblPr>
        <w:tblStyle w:val="13"/>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255"/>
        <w:gridCol w:w="4714"/>
        <w:gridCol w:w="1022"/>
        <w:gridCol w:w="1055"/>
        <w:gridCol w:w="1168"/>
      </w:tblGrid>
      <w:tr w14:paraId="76E7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255" w:type="dxa"/>
            <w:tcBorders>
              <w:top w:val="single" w:color="auto" w:sz="12" w:space="0"/>
              <w:left w:val="single" w:color="auto" w:sz="12" w:space="0"/>
            </w:tcBorders>
            <w:noWrap w:val="0"/>
            <w:vAlign w:val="center"/>
          </w:tcPr>
          <w:p w14:paraId="6E21E43B">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样品编号</w:t>
            </w:r>
          </w:p>
        </w:tc>
        <w:tc>
          <w:tcPr>
            <w:tcW w:w="4714" w:type="dxa"/>
            <w:tcBorders>
              <w:top w:val="single" w:color="auto" w:sz="12" w:space="0"/>
              <w:bottom w:val="single" w:color="auto" w:sz="4" w:space="0"/>
            </w:tcBorders>
            <w:noWrap w:val="0"/>
            <w:vAlign w:val="center"/>
          </w:tcPr>
          <w:p w14:paraId="38CFE645">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 xml:space="preserve">测定结果/ % </w:t>
            </w:r>
          </w:p>
        </w:tc>
        <w:tc>
          <w:tcPr>
            <w:tcW w:w="1022" w:type="dxa"/>
            <w:tcBorders>
              <w:top w:val="single" w:color="auto" w:sz="12" w:space="0"/>
            </w:tcBorders>
            <w:noWrap w:val="0"/>
            <w:vAlign w:val="center"/>
          </w:tcPr>
          <w:p w14:paraId="513BD74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平均值/ %</w:t>
            </w:r>
          </w:p>
        </w:tc>
        <w:tc>
          <w:tcPr>
            <w:tcW w:w="1055" w:type="dxa"/>
            <w:tcBorders>
              <w:top w:val="single" w:color="auto" w:sz="12" w:space="0"/>
            </w:tcBorders>
            <w:noWrap w:val="0"/>
            <w:vAlign w:val="center"/>
          </w:tcPr>
          <w:p w14:paraId="5D94F370">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w:t>
            </w:r>
          </w:p>
          <w:p w14:paraId="4CEF7ADC">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偏差/%</w:t>
            </w:r>
          </w:p>
        </w:tc>
        <w:tc>
          <w:tcPr>
            <w:tcW w:w="1168" w:type="dxa"/>
            <w:tcBorders>
              <w:top w:val="single" w:color="auto" w:sz="12" w:space="0"/>
              <w:right w:val="single" w:color="auto" w:sz="12" w:space="0"/>
            </w:tcBorders>
            <w:noWrap w:val="0"/>
            <w:vAlign w:val="center"/>
          </w:tcPr>
          <w:p w14:paraId="04E0524F">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RSD/</w:t>
            </w:r>
          </w:p>
          <w:p w14:paraId="10F87B2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w:t>
            </w:r>
          </w:p>
        </w:tc>
      </w:tr>
      <w:tr w14:paraId="47B9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left w:val="single" w:color="auto" w:sz="12" w:space="0"/>
              <w:right w:val="single" w:color="auto" w:sz="4" w:space="0"/>
            </w:tcBorders>
            <w:noWrap w:val="0"/>
            <w:vAlign w:val="center"/>
          </w:tcPr>
          <w:p w14:paraId="165689DA">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QPb3-1</w:t>
            </w:r>
          </w:p>
        </w:tc>
        <w:tc>
          <w:tcPr>
            <w:tcW w:w="4714" w:type="dxa"/>
            <w:tcBorders>
              <w:top w:val="single" w:color="auto" w:sz="4" w:space="0"/>
              <w:left w:val="single" w:color="auto" w:sz="4" w:space="0"/>
              <w:bottom w:val="single" w:color="auto" w:sz="4" w:space="0"/>
              <w:right w:val="nil"/>
            </w:tcBorders>
            <w:noWrap w:val="0"/>
            <w:vAlign w:val="center"/>
          </w:tcPr>
          <w:p w14:paraId="483C751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6.109，6.093，6.149，6.092，6.148，6.132，6.151</w:t>
            </w:r>
          </w:p>
        </w:tc>
        <w:tc>
          <w:tcPr>
            <w:tcW w:w="1022" w:type="dxa"/>
            <w:tcBorders>
              <w:left w:val="single" w:color="auto" w:sz="4" w:space="0"/>
            </w:tcBorders>
            <w:noWrap w:val="0"/>
            <w:vAlign w:val="center"/>
          </w:tcPr>
          <w:p w14:paraId="77E2A87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6.125</w:t>
            </w:r>
          </w:p>
        </w:tc>
        <w:tc>
          <w:tcPr>
            <w:tcW w:w="1055" w:type="dxa"/>
            <w:noWrap w:val="0"/>
            <w:vAlign w:val="center"/>
          </w:tcPr>
          <w:p w14:paraId="3970D65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0.027</w:t>
            </w:r>
          </w:p>
        </w:tc>
        <w:tc>
          <w:tcPr>
            <w:tcW w:w="1168" w:type="dxa"/>
            <w:tcBorders>
              <w:right w:val="single" w:color="auto" w:sz="12" w:space="0"/>
            </w:tcBorders>
            <w:noWrap w:val="0"/>
            <w:vAlign w:val="center"/>
          </w:tcPr>
          <w:p w14:paraId="545E732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0.43</w:t>
            </w:r>
          </w:p>
        </w:tc>
      </w:tr>
      <w:tr w14:paraId="6799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left w:val="single" w:color="auto" w:sz="12" w:space="0"/>
              <w:right w:val="single" w:color="auto" w:sz="4" w:space="0"/>
            </w:tcBorders>
            <w:noWrap w:val="0"/>
            <w:vAlign w:val="center"/>
          </w:tcPr>
          <w:p w14:paraId="6DC968F5">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QPb3-2</w:t>
            </w:r>
          </w:p>
        </w:tc>
        <w:tc>
          <w:tcPr>
            <w:tcW w:w="4714" w:type="dxa"/>
            <w:tcBorders>
              <w:top w:val="single" w:color="auto" w:sz="4" w:space="0"/>
              <w:left w:val="single" w:color="auto" w:sz="4" w:space="0"/>
              <w:bottom w:val="single" w:color="auto" w:sz="4" w:space="0"/>
              <w:right w:val="nil"/>
            </w:tcBorders>
            <w:noWrap w:val="0"/>
            <w:vAlign w:val="center"/>
          </w:tcPr>
          <w:p w14:paraId="42DDFBF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8.822，8.822，8.823，8.843，8.885，8.832，8.866</w:t>
            </w:r>
          </w:p>
        </w:tc>
        <w:tc>
          <w:tcPr>
            <w:tcW w:w="1022" w:type="dxa"/>
            <w:tcBorders>
              <w:left w:val="single" w:color="auto" w:sz="4" w:space="0"/>
            </w:tcBorders>
            <w:noWrap w:val="0"/>
            <w:vAlign w:val="center"/>
          </w:tcPr>
          <w:p w14:paraId="590E808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8.842</w:t>
            </w:r>
          </w:p>
        </w:tc>
        <w:tc>
          <w:tcPr>
            <w:tcW w:w="1055" w:type="dxa"/>
            <w:noWrap w:val="0"/>
            <w:vAlign w:val="center"/>
          </w:tcPr>
          <w:p w14:paraId="5C649695">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0.025</w:t>
            </w:r>
          </w:p>
        </w:tc>
        <w:tc>
          <w:tcPr>
            <w:tcW w:w="1168" w:type="dxa"/>
            <w:tcBorders>
              <w:right w:val="single" w:color="auto" w:sz="12" w:space="0"/>
            </w:tcBorders>
            <w:noWrap w:val="0"/>
            <w:vAlign w:val="center"/>
          </w:tcPr>
          <w:p w14:paraId="1256C627">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0.28</w:t>
            </w:r>
          </w:p>
        </w:tc>
      </w:tr>
      <w:tr w14:paraId="0045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left w:val="single" w:color="auto" w:sz="12" w:space="0"/>
              <w:right w:val="single" w:color="auto" w:sz="4" w:space="0"/>
            </w:tcBorders>
            <w:noWrap w:val="0"/>
            <w:vAlign w:val="center"/>
          </w:tcPr>
          <w:p w14:paraId="3B0553EB">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QPb3-3</w:t>
            </w:r>
          </w:p>
        </w:tc>
        <w:tc>
          <w:tcPr>
            <w:tcW w:w="4714" w:type="dxa"/>
            <w:tcBorders>
              <w:top w:val="single" w:color="auto" w:sz="4" w:space="0"/>
              <w:left w:val="single" w:color="auto" w:sz="4" w:space="0"/>
              <w:bottom w:val="single" w:color="auto" w:sz="4" w:space="0"/>
              <w:right w:val="nil"/>
            </w:tcBorders>
            <w:noWrap w:val="0"/>
            <w:vAlign w:val="center"/>
          </w:tcPr>
          <w:p w14:paraId="4E0239E0">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17.594，17.591，17.570，17.592，17.554，17.573，17.547</w:t>
            </w:r>
          </w:p>
        </w:tc>
        <w:tc>
          <w:tcPr>
            <w:tcW w:w="1022" w:type="dxa"/>
            <w:tcBorders>
              <w:left w:val="single" w:color="auto" w:sz="4" w:space="0"/>
            </w:tcBorders>
            <w:noWrap w:val="0"/>
            <w:vAlign w:val="center"/>
          </w:tcPr>
          <w:p w14:paraId="5B13ECE8">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17.574</w:t>
            </w:r>
          </w:p>
        </w:tc>
        <w:tc>
          <w:tcPr>
            <w:tcW w:w="1055" w:type="dxa"/>
            <w:noWrap w:val="0"/>
            <w:vAlign w:val="center"/>
          </w:tcPr>
          <w:p w14:paraId="4D704B8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0.019</w:t>
            </w:r>
          </w:p>
        </w:tc>
        <w:tc>
          <w:tcPr>
            <w:tcW w:w="1168" w:type="dxa"/>
            <w:tcBorders>
              <w:right w:val="single" w:color="auto" w:sz="12" w:space="0"/>
            </w:tcBorders>
            <w:noWrap w:val="0"/>
            <w:vAlign w:val="center"/>
          </w:tcPr>
          <w:p w14:paraId="7A3A04D4">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0.11</w:t>
            </w:r>
          </w:p>
        </w:tc>
      </w:tr>
      <w:tr w14:paraId="7546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left w:val="single" w:color="auto" w:sz="12" w:space="0"/>
              <w:right w:val="single" w:color="auto" w:sz="4" w:space="0"/>
            </w:tcBorders>
            <w:noWrap w:val="0"/>
            <w:vAlign w:val="center"/>
          </w:tcPr>
          <w:p w14:paraId="19B9362A">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QPb3-4</w:t>
            </w:r>
          </w:p>
          <w:p w14:paraId="00C1124E">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（合成样）</w:t>
            </w:r>
          </w:p>
        </w:tc>
        <w:tc>
          <w:tcPr>
            <w:tcW w:w="4714" w:type="dxa"/>
            <w:tcBorders>
              <w:top w:val="single" w:color="auto" w:sz="4" w:space="0"/>
              <w:left w:val="single" w:color="auto" w:sz="4" w:space="0"/>
              <w:bottom w:val="single" w:color="auto" w:sz="4" w:space="0"/>
              <w:right w:val="nil"/>
            </w:tcBorders>
            <w:noWrap w:val="0"/>
            <w:vAlign w:val="center"/>
          </w:tcPr>
          <w:p w14:paraId="0CF8EE55">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24.933，24.980，24.934，24.950，24.930，25.001，24.965</w:t>
            </w:r>
          </w:p>
        </w:tc>
        <w:tc>
          <w:tcPr>
            <w:tcW w:w="1022" w:type="dxa"/>
            <w:tcBorders>
              <w:left w:val="single" w:color="auto" w:sz="4" w:space="0"/>
            </w:tcBorders>
            <w:noWrap w:val="0"/>
            <w:vAlign w:val="center"/>
          </w:tcPr>
          <w:p w14:paraId="6C375D5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24.956</w:t>
            </w:r>
          </w:p>
        </w:tc>
        <w:tc>
          <w:tcPr>
            <w:tcW w:w="1055" w:type="dxa"/>
            <w:noWrap w:val="0"/>
            <w:vAlign w:val="center"/>
          </w:tcPr>
          <w:p w14:paraId="70F6BD88">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0.027</w:t>
            </w:r>
          </w:p>
        </w:tc>
        <w:tc>
          <w:tcPr>
            <w:tcW w:w="1168" w:type="dxa"/>
            <w:tcBorders>
              <w:right w:val="single" w:color="auto" w:sz="12" w:space="0"/>
            </w:tcBorders>
            <w:noWrap w:val="0"/>
            <w:vAlign w:val="center"/>
          </w:tcPr>
          <w:p w14:paraId="71F13FD3">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0.11</w:t>
            </w:r>
          </w:p>
        </w:tc>
      </w:tr>
      <w:tr w14:paraId="03FA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left w:val="single" w:color="auto" w:sz="12" w:space="0"/>
              <w:bottom w:val="single" w:color="auto" w:sz="12" w:space="0"/>
              <w:right w:val="single" w:color="auto" w:sz="4" w:space="0"/>
            </w:tcBorders>
            <w:noWrap w:val="0"/>
            <w:vAlign w:val="center"/>
          </w:tcPr>
          <w:p w14:paraId="4A1D536F">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QPb3-5</w:t>
            </w:r>
          </w:p>
          <w:p w14:paraId="4867764F">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（合成样）</w:t>
            </w:r>
          </w:p>
        </w:tc>
        <w:tc>
          <w:tcPr>
            <w:tcW w:w="4714" w:type="dxa"/>
            <w:tcBorders>
              <w:top w:val="single" w:color="auto" w:sz="4" w:space="0"/>
              <w:left w:val="single" w:color="auto" w:sz="4" w:space="0"/>
              <w:bottom w:val="single" w:color="auto" w:sz="12" w:space="0"/>
              <w:right w:val="nil"/>
            </w:tcBorders>
            <w:noWrap w:val="0"/>
            <w:vAlign w:val="center"/>
          </w:tcPr>
          <w:p w14:paraId="3FEFA463">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31.958，31.974，31.971，31.933，31.982，31.995，31.998</w:t>
            </w:r>
          </w:p>
        </w:tc>
        <w:tc>
          <w:tcPr>
            <w:tcW w:w="1022" w:type="dxa"/>
            <w:tcBorders>
              <w:left w:val="single" w:color="auto" w:sz="4" w:space="0"/>
              <w:bottom w:val="single" w:color="auto" w:sz="12" w:space="0"/>
            </w:tcBorders>
            <w:noWrap w:val="0"/>
            <w:vAlign w:val="center"/>
          </w:tcPr>
          <w:p w14:paraId="07A2585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31.973</w:t>
            </w:r>
          </w:p>
        </w:tc>
        <w:tc>
          <w:tcPr>
            <w:tcW w:w="1055" w:type="dxa"/>
            <w:tcBorders>
              <w:bottom w:val="single" w:color="auto" w:sz="12" w:space="0"/>
            </w:tcBorders>
            <w:noWrap w:val="0"/>
            <w:vAlign w:val="center"/>
          </w:tcPr>
          <w:p w14:paraId="0D38041F">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0.022</w:t>
            </w:r>
          </w:p>
        </w:tc>
        <w:tc>
          <w:tcPr>
            <w:tcW w:w="1168" w:type="dxa"/>
            <w:tcBorders>
              <w:bottom w:val="single" w:color="auto" w:sz="12" w:space="0"/>
              <w:right w:val="single" w:color="auto" w:sz="12" w:space="0"/>
            </w:tcBorders>
            <w:noWrap w:val="0"/>
            <w:vAlign w:val="center"/>
          </w:tcPr>
          <w:p w14:paraId="0B510C3B">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0.070</w:t>
            </w:r>
          </w:p>
        </w:tc>
      </w:tr>
    </w:tbl>
    <w:p w14:paraId="5AFCD5DE">
      <w:pPr>
        <w:pStyle w:val="8"/>
        <w:rPr>
          <w:rFonts w:hint="eastAsia" w:ascii="宋体" w:hAnsi="宋体" w:eastAsia="宋体" w:cs="宋体"/>
          <w:color w:val="auto"/>
          <w:sz w:val="21"/>
          <w:szCs w:val="21"/>
          <w:highlight w:val="none"/>
          <w:lang w:val="en-US" w:eastAsia="zh-CN"/>
        </w:rPr>
      </w:pPr>
    </w:p>
    <w:p w14:paraId="6634D958">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000000"/>
          <w:sz w:val="21"/>
          <w:szCs w:val="21"/>
          <w:lang w:val="en-US" w:eastAsia="zh-CN"/>
        </w:rPr>
        <w:t>表11结果表明，用本方法对5个不同铅含量铜合金试样进行精密度试验，相对标准偏差在0.070%～0.43%之间，方法精密度能满足检测需求。</w:t>
      </w:r>
    </w:p>
    <w:p w14:paraId="5C9CAC15">
      <w:pPr>
        <w:pStyle w:val="8"/>
        <w:rPr>
          <w:rFonts w:hint="eastAsia" w:ascii="黑体" w:hAnsi="黑体" w:eastAsia="黑体" w:cs="黑体"/>
          <w:b w:val="0"/>
          <w:bCs w:val="0"/>
          <w:color w:val="000000"/>
          <w:sz w:val="21"/>
          <w:szCs w:val="21"/>
          <w:highlight w:val="none"/>
        </w:rPr>
      </w:pPr>
    </w:p>
    <w:p w14:paraId="43747837">
      <w:pPr>
        <w:pStyle w:val="8"/>
        <w:jc w:val="center"/>
        <w:rPr>
          <w:rFonts w:hint="eastAsia" w:ascii="黑体" w:hAnsi="黑体" w:eastAsia="黑体" w:cs="黑体"/>
          <w:sz w:val="21"/>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2-2</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（厦门双瑞材料研究院有限公司）</w:t>
      </w:r>
    </w:p>
    <w:tbl>
      <w:tblPr>
        <w:tblStyle w:val="13"/>
        <w:tblW w:w="51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91"/>
        <w:gridCol w:w="4726"/>
        <w:gridCol w:w="868"/>
        <w:gridCol w:w="898"/>
        <w:gridCol w:w="995"/>
      </w:tblGrid>
      <w:tr w14:paraId="6B65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686" w:type="pct"/>
            <w:tcBorders>
              <w:top w:val="single" w:color="auto" w:sz="12" w:space="0"/>
              <w:left w:val="single" w:color="auto" w:sz="12" w:space="0"/>
            </w:tcBorders>
            <w:vAlign w:val="center"/>
          </w:tcPr>
          <w:p w14:paraId="7EB9611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样品编号</w:t>
            </w:r>
          </w:p>
        </w:tc>
        <w:tc>
          <w:tcPr>
            <w:tcW w:w="2722" w:type="pct"/>
            <w:tcBorders>
              <w:top w:val="single" w:color="auto" w:sz="12" w:space="0"/>
              <w:bottom w:val="single" w:color="auto" w:sz="4" w:space="0"/>
            </w:tcBorders>
            <w:vAlign w:val="center"/>
          </w:tcPr>
          <w:p w14:paraId="1BAB377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测定结果/ % </w:t>
            </w:r>
          </w:p>
        </w:tc>
        <w:tc>
          <w:tcPr>
            <w:tcW w:w="500" w:type="pct"/>
            <w:tcBorders>
              <w:top w:val="single" w:color="auto" w:sz="12" w:space="0"/>
            </w:tcBorders>
            <w:vAlign w:val="center"/>
          </w:tcPr>
          <w:p w14:paraId="3DF273E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平均值/ %</w:t>
            </w:r>
          </w:p>
        </w:tc>
        <w:tc>
          <w:tcPr>
            <w:tcW w:w="517" w:type="pct"/>
            <w:tcBorders>
              <w:top w:val="single" w:color="auto" w:sz="12" w:space="0"/>
            </w:tcBorders>
            <w:vAlign w:val="center"/>
          </w:tcPr>
          <w:p w14:paraId="0BD216E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标准</w:t>
            </w:r>
          </w:p>
          <w:p w14:paraId="0F75B06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偏差/%</w:t>
            </w:r>
          </w:p>
        </w:tc>
        <w:tc>
          <w:tcPr>
            <w:tcW w:w="573" w:type="pct"/>
            <w:tcBorders>
              <w:top w:val="single" w:color="auto" w:sz="12" w:space="0"/>
              <w:right w:val="single" w:color="auto" w:sz="12" w:space="0"/>
            </w:tcBorders>
            <w:vAlign w:val="center"/>
          </w:tcPr>
          <w:p w14:paraId="156E7E2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RSD/</w:t>
            </w:r>
          </w:p>
          <w:p w14:paraId="1B411E3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r>
      <w:tr w14:paraId="5B86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86" w:type="pct"/>
            <w:tcBorders>
              <w:left w:val="single" w:color="auto" w:sz="12" w:space="0"/>
              <w:right w:val="single" w:color="auto" w:sz="4" w:space="0"/>
            </w:tcBorders>
            <w:vAlign w:val="center"/>
          </w:tcPr>
          <w:p w14:paraId="39FE6EE9">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QPb3-1</w:t>
            </w:r>
          </w:p>
        </w:tc>
        <w:tc>
          <w:tcPr>
            <w:tcW w:w="2722" w:type="pct"/>
            <w:tcBorders>
              <w:top w:val="single" w:color="auto" w:sz="4" w:space="0"/>
              <w:left w:val="single" w:color="auto" w:sz="4" w:space="0"/>
              <w:bottom w:val="single" w:color="auto" w:sz="4" w:space="0"/>
              <w:right w:val="nil"/>
            </w:tcBorders>
            <w:vAlign w:val="center"/>
          </w:tcPr>
          <w:p w14:paraId="607AFE52">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6.172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6.165</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6.156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6.103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6.102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6.161</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6.128</w:t>
            </w:r>
          </w:p>
        </w:tc>
        <w:tc>
          <w:tcPr>
            <w:tcW w:w="500" w:type="pct"/>
            <w:tcBorders>
              <w:left w:val="single" w:color="auto" w:sz="4" w:space="0"/>
            </w:tcBorders>
            <w:vAlign w:val="center"/>
          </w:tcPr>
          <w:p w14:paraId="7EF366C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6.141</w:t>
            </w:r>
          </w:p>
        </w:tc>
        <w:tc>
          <w:tcPr>
            <w:tcW w:w="517" w:type="pct"/>
            <w:vAlign w:val="center"/>
          </w:tcPr>
          <w:p w14:paraId="57261D3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0.030</w:t>
            </w:r>
          </w:p>
        </w:tc>
        <w:tc>
          <w:tcPr>
            <w:tcW w:w="573" w:type="pct"/>
            <w:tcBorders>
              <w:right w:val="single" w:color="auto" w:sz="12" w:space="0"/>
            </w:tcBorders>
            <w:vAlign w:val="center"/>
          </w:tcPr>
          <w:p w14:paraId="78FAA3E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0.48</w:t>
            </w:r>
          </w:p>
        </w:tc>
      </w:tr>
      <w:tr w14:paraId="1F4F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86" w:type="pct"/>
            <w:tcBorders>
              <w:left w:val="single" w:color="auto" w:sz="12" w:space="0"/>
              <w:right w:val="single" w:color="auto" w:sz="4" w:space="0"/>
            </w:tcBorders>
            <w:vAlign w:val="center"/>
          </w:tcPr>
          <w:p w14:paraId="68FF0ED8">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QPb3-2</w:t>
            </w:r>
          </w:p>
        </w:tc>
        <w:tc>
          <w:tcPr>
            <w:tcW w:w="2722" w:type="pct"/>
            <w:tcBorders>
              <w:top w:val="single" w:color="auto" w:sz="4" w:space="0"/>
              <w:left w:val="single" w:color="auto" w:sz="4" w:space="0"/>
              <w:bottom w:val="single" w:color="auto" w:sz="4" w:space="0"/>
              <w:right w:val="nil"/>
            </w:tcBorders>
            <w:vAlign w:val="center"/>
          </w:tcPr>
          <w:p w14:paraId="0B777581">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8.792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8.887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8.873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8.841</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8.897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8.852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8.854</w:t>
            </w:r>
          </w:p>
        </w:tc>
        <w:tc>
          <w:tcPr>
            <w:tcW w:w="500" w:type="pct"/>
            <w:tcBorders>
              <w:left w:val="single" w:color="auto" w:sz="4" w:space="0"/>
            </w:tcBorders>
            <w:vAlign w:val="center"/>
          </w:tcPr>
          <w:p w14:paraId="7997641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8.857</w:t>
            </w:r>
          </w:p>
        </w:tc>
        <w:tc>
          <w:tcPr>
            <w:tcW w:w="517" w:type="pct"/>
            <w:vAlign w:val="center"/>
          </w:tcPr>
          <w:p w14:paraId="4FBD72E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0.035</w:t>
            </w:r>
          </w:p>
        </w:tc>
        <w:tc>
          <w:tcPr>
            <w:tcW w:w="573" w:type="pct"/>
            <w:tcBorders>
              <w:right w:val="single" w:color="auto" w:sz="12" w:space="0"/>
            </w:tcBorders>
            <w:vAlign w:val="center"/>
          </w:tcPr>
          <w:p w14:paraId="2043E64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0.39</w:t>
            </w:r>
          </w:p>
        </w:tc>
      </w:tr>
      <w:tr w14:paraId="039F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86" w:type="pct"/>
            <w:tcBorders>
              <w:left w:val="single" w:color="auto" w:sz="12" w:space="0"/>
              <w:right w:val="single" w:color="auto" w:sz="4" w:space="0"/>
            </w:tcBorders>
            <w:vAlign w:val="center"/>
          </w:tcPr>
          <w:p w14:paraId="0A297E89">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QPb3-3</w:t>
            </w:r>
          </w:p>
        </w:tc>
        <w:tc>
          <w:tcPr>
            <w:tcW w:w="2722" w:type="pct"/>
            <w:tcBorders>
              <w:top w:val="single" w:color="auto" w:sz="4" w:space="0"/>
              <w:left w:val="single" w:color="auto" w:sz="4" w:space="0"/>
              <w:bottom w:val="single" w:color="auto" w:sz="4" w:space="0"/>
              <w:right w:val="nil"/>
            </w:tcBorders>
            <w:vAlign w:val="center"/>
          </w:tcPr>
          <w:p w14:paraId="41A29D8B">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17.647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17.612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17.644</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17.544</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17.582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17.576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17.532</w:t>
            </w:r>
          </w:p>
        </w:tc>
        <w:tc>
          <w:tcPr>
            <w:tcW w:w="500" w:type="pct"/>
            <w:tcBorders>
              <w:left w:val="single" w:color="auto" w:sz="4" w:space="0"/>
            </w:tcBorders>
            <w:vAlign w:val="center"/>
          </w:tcPr>
          <w:p w14:paraId="2E5F884D">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17.591</w:t>
            </w:r>
          </w:p>
        </w:tc>
        <w:tc>
          <w:tcPr>
            <w:tcW w:w="517" w:type="pct"/>
            <w:vAlign w:val="center"/>
          </w:tcPr>
          <w:p w14:paraId="39B3DD41">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0.045</w:t>
            </w:r>
          </w:p>
        </w:tc>
        <w:tc>
          <w:tcPr>
            <w:tcW w:w="573" w:type="pct"/>
            <w:tcBorders>
              <w:right w:val="single" w:color="auto" w:sz="12" w:space="0"/>
            </w:tcBorders>
            <w:vAlign w:val="center"/>
          </w:tcPr>
          <w:p w14:paraId="31A57C9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0.26</w:t>
            </w:r>
          </w:p>
        </w:tc>
      </w:tr>
      <w:tr w14:paraId="5114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86" w:type="pct"/>
            <w:tcBorders>
              <w:left w:val="single" w:color="auto" w:sz="12" w:space="0"/>
              <w:right w:val="single" w:color="auto" w:sz="4" w:space="0"/>
            </w:tcBorders>
            <w:vAlign w:val="center"/>
          </w:tcPr>
          <w:p w14:paraId="0D49737C">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QPb3-4</w:t>
            </w:r>
          </w:p>
          <w:p w14:paraId="11819AA6">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（合成样）</w:t>
            </w:r>
          </w:p>
        </w:tc>
        <w:tc>
          <w:tcPr>
            <w:tcW w:w="2722" w:type="pct"/>
            <w:tcBorders>
              <w:top w:val="single" w:color="auto" w:sz="4" w:space="0"/>
              <w:left w:val="single" w:color="auto" w:sz="4" w:space="0"/>
              <w:bottom w:val="single" w:color="auto" w:sz="4" w:space="0"/>
              <w:right w:val="nil"/>
            </w:tcBorders>
            <w:vAlign w:val="center"/>
          </w:tcPr>
          <w:p w14:paraId="65BCFD8A">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25.113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24.966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24.911</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25.160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25.110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25.134</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25.082</w:t>
            </w:r>
          </w:p>
        </w:tc>
        <w:tc>
          <w:tcPr>
            <w:tcW w:w="500" w:type="pct"/>
            <w:tcBorders>
              <w:left w:val="single" w:color="auto" w:sz="4" w:space="0"/>
            </w:tcBorders>
            <w:vAlign w:val="center"/>
          </w:tcPr>
          <w:p w14:paraId="11F1C3B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25.068</w:t>
            </w:r>
          </w:p>
        </w:tc>
        <w:tc>
          <w:tcPr>
            <w:tcW w:w="517" w:type="pct"/>
            <w:vAlign w:val="center"/>
          </w:tcPr>
          <w:p w14:paraId="3B35906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0.093</w:t>
            </w:r>
          </w:p>
        </w:tc>
        <w:tc>
          <w:tcPr>
            <w:tcW w:w="573" w:type="pct"/>
            <w:tcBorders>
              <w:right w:val="single" w:color="auto" w:sz="12" w:space="0"/>
            </w:tcBorders>
            <w:vAlign w:val="center"/>
          </w:tcPr>
          <w:p w14:paraId="2DCF9E6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0.37</w:t>
            </w:r>
          </w:p>
        </w:tc>
      </w:tr>
      <w:tr w14:paraId="40C0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686" w:type="pct"/>
            <w:tcBorders>
              <w:left w:val="single" w:color="auto" w:sz="12" w:space="0"/>
              <w:bottom w:val="single" w:color="auto" w:sz="12" w:space="0"/>
              <w:right w:val="single" w:color="auto" w:sz="4" w:space="0"/>
            </w:tcBorders>
            <w:vAlign w:val="center"/>
          </w:tcPr>
          <w:p w14:paraId="530BFBC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QPb3-5</w:t>
            </w:r>
          </w:p>
          <w:p w14:paraId="362E7268">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（合成样）</w:t>
            </w:r>
          </w:p>
        </w:tc>
        <w:tc>
          <w:tcPr>
            <w:tcW w:w="2722" w:type="pct"/>
            <w:tcBorders>
              <w:top w:val="single" w:color="auto" w:sz="4" w:space="0"/>
              <w:left w:val="single" w:color="auto" w:sz="4" w:space="0"/>
              <w:bottom w:val="single" w:color="auto" w:sz="12" w:space="0"/>
              <w:right w:val="nil"/>
            </w:tcBorders>
            <w:vAlign w:val="center"/>
          </w:tcPr>
          <w:p w14:paraId="555483A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31.909</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31.980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32.119</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32.057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31.971</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32.062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32.129</w:t>
            </w:r>
          </w:p>
        </w:tc>
        <w:tc>
          <w:tcPr>
            <w:tcW w:w="500" w:type="pct"/>
            <w:tcBorders>
              <w:left w:val="single" w:color="auto" w:sz="4" w:space="0"/>
              <w:bottom w:val="single" w:color="auto" w:sz="12" w:space="0"/>
            </w:tcBorders>
            <w:vAlign w:val="center"/>
          </w:tcPr>
          <w:p w14:paraId="2689F4D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32.032</w:t>
            </w:r>
          </w:p>
        </w:tc>
        <w:tc>
          <w:tcPr>
            <w:tcW w:w="517" w:type="pct"/>
            <w:tcBorders>
              <w:bottom w:val="single" w:color="auto" w:sz="12" w:space="0"/>
            </w:tcBorders>
            <w:vAlign w:val="center"/>
          </w:tcPr>
          <w:p w14:paraId="6E67997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0.0817</w:t>
            </w:r>
          </w:p>
        </w:tc>
        <w:tc>
          <w:tcPr>
            <w:tcW w:w="573" w:type="pct"/>
            <w:tcBorders>
              <w:bottom w:val="single" w:color="auto" w:sz="12" w:space="0"/>
              <w:right w:val="single" w:color="auto" w:sz="12" w:space="0"/>
            </w:tcBorders>
            <w:vAlign w:val="center"/>
          </w:tcPr>
          <w:p w14:paraId="3DF8CA5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0.26</w:t>
            </w:r>
          </w:p>
        </w:tc>
      </w:tr>
    </w:tbl>
    <w:p w14:paraId="2CCC6B1A">
      <w:pPr>
        <w:pStyle w:val="8"/>
        <w:jc w:val="center"/>
        <w:rPr>
          <w:rFonts w:hint="eastAsia" w:ascii="黑体" w:hAnsi="黑体" w:eastAsia="黑体" w:cs="黑体"/>
          <w:sz w:val="21"/>
          <w:szCs w:val="21"/>
          <w:lang w:val="en-US" w:eastAsia="zh-CN"/>
        </w:rPr>
      </w:pPr>
    </w:p>
    <w:p w14:paraId="5FBC62BF">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rPr>
        <w:t>表12</w:t>
      </w:r>
      <w:r>
        <w:rPr>
          <w:rFonts w:hint="eastAsia" w:ascii="宋体" w:hAnsi="宋体" w:eastAsia="宋体" w:cs="宋体"/>
          <w:bCs/>
          <w:color w:val="000000"/>
          <w:sz w:val="21"/>
          <w:szCs w:val="21"/>
          <w:lang w:val="en-US" w:eastAsia="zh-CN"/>
        </w:rPr>
        <w:t>-2</w:t>
      </w:r>
      <w:r>
        <w:rPr>
          <w:rFonts w:hint="eastAsia" w:ascii="宋体" w:hAnsi="宋体" w:eastAsia="宋体" w:cs="宋体"/>
          <w:bCs/>
          <w:color w:val="000000"/>
          <w:sz w:val="21"/>
          <w:szCs w:val="21"/>
        </w:rPr>
        <w:t>结果表明，用本方法对5个不同铅含量铜合金试样进行精密度试验，相对标准偏差在0.26%～0.48%之间，方法精密度能满足检测需求</w:t>
      </w:r>
      <w:r>
        <w:rPr>
          <w:rFonts w:hint="eastAsia" w:ascii="宋体" w:hAnsi="宋体" w:eastAsia="宋体" w:cs="宋体"/>
          <w:bCs/>
          <w:color w:val="000000"/>
          <w:sz w:val="21"/>
          <w:szCs w:val="21"/>
          <w:lang w:eastAsia="zh-CN"/>
        </w:rPr>
        <w:t>。结论与起草方一致。</w:t>
      </w:r>
    </w:p>
    <w:p w14:paraId="0EBD3B1F">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bCs/>
          <w:color w:val="000000"/>
          <w:sz w:val="21"/>
          <w:szCs w:val="21"/>
          <w:lang w:eastAsia="zh-CN"/>
        </w:rPr>
      </w:pPr>
    </w:p>
    <w:p w14:paraId="3AC49338">
      <w:pPr>
        <w:pStyle w:val="8"/>
        <w:keepNext w:val="0"/>
        <w:keepLines w:val="0"/>
        <w:pageBreakBefore w:val="0"/>
        <w:widowControl w:val="0"/>
        <w:kinsoku/>
        <w:wordWrap/>
        <w:overflowPunct/>
        <w:topLinePunct w:val="0"/>
        <w:autoSpaceDE/>
        <w:autoSpaceDN/>
        <w:bidi w:val="0"/>
        <w:adjustRightInd/>
        <w:snapToGrid w:val="0"/>
        <w:ind w:firstLine="420" w:firstLineChars="200"/>
        <w:jc w:val="center"/>
        <w:textAlignment w:val="auto"/>
        <w:rPr>
          <w:rFonts w:hint="eastAsia" w:ascii="黑体" w:hAnsi="黑体" w:eastAsia="黑体" w:cs="黑体"/>
          <w:sz w:val="21"/>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2-3</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（浙江省冶金产品质量检验站有限公司）</w:t>
      </w:r>
    </w:p>
    <w:p w14:paraId="1EBECF73">
      <w:pPr>
        <w:pStyle w:val="8"/>
        <w:keepNext w:val="0"/>
        <w:keepLines w:val="0"/>
        <w:pageBreakBefore w:val="0"/>
        <w:widowControl w:val="0"/>
        <w:kinsoku/>
        <w:wordWrap/>
        <w:overflowPunct/>
        <w:topLinePunct w:val="0"/>
        <w:autoSpaceDE/>
        <w:autoSpaceDN/>
        <w:bidi w:val="0"/>
        <w:adjustRightInd/>
        <w:snapToGrid w:val="0"/>
        <w:ind w:firstLine="420" w:firstLineChars="200"/>
        <w:jc w:val="center"/>
        <w:textAlignment w:val="auto"/>
        <w:rPr>
          <w:rFonts w:hint="eastAsia" w:ascii="黑体" w:hAnsi="黑体" w:eastAsia="黑体" w:cs="黑体"/>
          <w:sz w:val="21"/>
          <w:szCs w:val="21"/>
          <w:lang w:val="en-US" w:eastAsia="zh-CN"/>
        </w:rPr>
      </w:pPr>
    </w:p>
    <w:tbl>
      <w:tblPr>
        <w:tblStyle w:val="13"/>
        <w:tblW w:w="92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55"/>
        <w:gridCol w:w="4714"/>
        <w:gridCol w:w="1022"/>
        <w:gridCol w:w="1055"/>
        <w:gridCol w:w="1168"/>
      </w:tblGrid>
      <w:tr w14:paraId="2ADA1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255" w:type="dxa"/>
            <w:vAlign w:val="center"/>
          </w:tcPr>
          <w:p w14:paraId="1DB39DD1">
            <w:pPr>
              <w:jc w:val="center"/>
              <w:rPr>
                <w:rFonts w:hint="eastAsia" w:ascii="宋体" w:hAnsi="宋体" w:cs="宋体"/>
                <w:color w:val="000000"/>
                <w:sz w:val="18"/>
                <w:szCs w:val="18"/>
              </w:rPr>
            </w:pPr>
            <w:r>
              <w:rPr>
                <w:rFonts w:hint="eastAsia" w:ascii="宋体" w:hAnsi="宋体" w:cs="宋体"/>
                <w:color w:val="000000"/>
                <w:sz w:val="18"/>
                <w:szCs w:val="18"/>
              </w:rPr>
              <w:t>样品编号</w:t>
            </w:r>
          </w:p>
        </w:tc>
        <w:tc>
          <w:tcPr>
            <w:tcW w:w="4714" w:type="dxa"/>
            <w:tcBorders>
              <w:bottom w:val="single" w:color="auto" w:sz="4" w:space="0"/>
            </w:tcBorders>
            <w:vAlign w:val="center"/>
          </w:tcPr>
          <w:p w14:paraId="0EBA0D22">
            <w:pPr>
              <w:jc w:val="center"/>
              <w:rPr>
                <w:rFonts w:hint="eastAsia" w:ascii="宋体" w:hAnsi="宋体" w:cs="宋体"/>
                <w:color w:val="000000"/>
                <w:sz w:val="18"/>
                <w:szCs w:val="18"/>
              </w:rPr>
            </w:pPr>
            <w:r>
              <w:rPr>
                <w:rFonts w:hint="eastAsia" w:ascii="宋体" w:hAnsi="宋体" w:cs="宋体"/>
                <w:color w:val="000000"/>
                <w:sz w:val="18"/>
                <w:szCs w:val="18"/>
              </w:rPr>
              <w:t xml:space="preserve">测定结果/ % </w:t>
            </w:r>
          </w:p>
        </w:tc>
        <w:tc>
          <w:tcPr>
            <w:tcW w:w="1022" w:type="dxa"/>
            <w:vAlign w:val="center"/>
          </w:tcPr>
          <w:p w14:paraId="1296794B">
            <w:pPr>
              <w:jc w:val="center"/>
              <w:rPr>
                <w:rFonts w:hint="eastAsia" w:ascii="宋体" w:hAnsi="宋体" w:cs="宋体"/>
                <w:color w:val="000000"/>
                <w:sz w:val="18"/>
                <w:szCs w:val="18"/>
              </w:rPr>
            </w:pPr>
            <w:r>
              <w:rPr>
                <w:rFonts w:hint="eastAsia" w:ascii="宋体" w:hAnsi="宋体" w:cs="宋体"/>
                <w:color w:val="000000"/>
                <w:sz w:val="18"/>
                <w:szCs w:val="18"/>
              </w:rPr>
              <w:t>平均值/ %</w:t>
            </w:r>
          </w:p>
        </w:tc>
        <w:tc>
          <w:tcPr>
            <w:tcW w:w="1055" w:type="dxa"/>
            <w:vAlign w:val="center"/>
          </w:tcPr>
          <w:p w14:paraId="31B7DE9B">
            <w:pPr>
              <w:jc w:val="center"/>
              <w:rPr>
                <w:rFonts w:hint="eastAsia" w:ascii="宋体" w:hAnsi="宋体" w:cs="宋体"/>
                <w:color w:val="000000"/>
                <w:sz w:val="18"/>
                <w:szCs w:val="18"/>
              </w:rPr>
            </w:pPr>
            <w:r>
              <w:rPr>
                <w:rFonts w:hint="eastAsia" w:ascii="宋体" w:hAnsi="宋体" w:cs="宋体"/>
                <w:color w:val="000000"/>
                <w:sz w:val="18"/>
                <w:szCs w:val="18"/>
              </w:rPr>
              <w:t>标准</w:t>
            </w:r>
          </w:p>
          <w:p w14:paraId="75E3A829">
            <w:pPr>
              <w:jc w:val="center"/>
              <w:rPr>
                <w:rFonts w:hint="eastAsia" w:ascii="宋体" w:hAnsi="宋体" w:cs="宋体"/>
                <w:color w:val="000000"/>
                <w:sz w:val="18"/>
                <w:szCs w:val="18"/>
              </w:rPr>
            </w:pPr>
            <w:r>
              <w:rPr>
                <w:rFonts w:hint="eastAsia" w:ascii="宋体" w:hAnsi="宋体" w:cs="宋体"/>
                <w:color w:val="000000"/>
                <w:sz w:val="18"/>
                <w:szCs w:val="18"/>
              </w:rPr>
              <w:t>偏差/%</w:t>
            </w:r>
          </w:p>
        </w:tc>
        <w:tc>
          <w:tcPr>
            <w:tcW w:w="1168" w:type="dxa"/>
            <w:vAlign w:val="center"/>
          </w:tcPr>
          <w:p w14:paraId="39B73484">
            <w:pPr>
              <w:jc w:val="center"/>
              <w:rPr>
                <w:rFonts w:hint="eastAsia" w:ascii="宋体" w:hAnsi="宋体" w:cs="宋体"/>
                <w:color w:val="000000"/>
                <w:sz w:val="18"/>
                <w:szCs w:val="18"/>
              </w:rPr>
            </w:pPr>
            <w:r>
              <w:rPr>
                <w:rFonts w:hint="eastAsia" w:ascii="宋体" w:hAnsi="宋体" w:cs="宋体"/>
                <w:color w:val="000000"/>
                <w:sz w:val="18"/>
                <w:szCs w:val="18"/>
              </w:rPr>
              <w:t>RSD/</w:t>
            </w:r>
          </w:p>
          <w:p w14:paraId="44667D1A">
            <w:pPr>
              <w:jc w:val="center"/>
              <w:rPr>
                <w:rFonts w:hint="eastAsia" w:ascii="宋体" w:hAnsi="宋体" w:cs="宋体"/>
                <w:color w:val="000000"/>
                <w:sz w:val="18"/>
                <w:szCs w:val="18"/>
              </w:rPr>
            </w:pPr>
            <w:r>
              <w:rPr>
                <w:rFonts w:hint="eastAsia" w:ascii="宋体" w:hAnsi="宋体" w:cs="宋体"/>
                <w:color w:val="000000"/>
                <w:sz w:val="18"/>
                <w:szCs w:val="18"/>
              </w:rPr>
              <w:t>%</w:t>
            </w:r>
          </w:p>
        </w:tc>
      </w:tr>
      <w:tr w14:paraId="7F087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0CA77CF2">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QPb3-1</w:t>
            </w:r>
          </w:p>
        </w:tc>
        <w:tc>
          <w:tcPr>
            <w:tcW w:w="4714" w:type="dxa"/>
            <w:tcBorders>
              <w:top w:val="single" w:color="auto" w:sz="4" w:space="0"/>
              <w:left w:val="single" w:color="auto" w:sz="4" w:space="0"/>
              <w:bottom w:val="single" w:color="auto" w:sz="4" w:space="0"/>
              <w:right w:val="nil"/>
            </w:tcBorders>
            <w:vAlign w:val="center"/>
          </w:tcPr>
          <w:p w14:paraId="1071190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6.157，6.155，6.128，6.118，6.101，6.101，6.064</w:t>
            </w:r>
          </w:p>
        </w:tc>
        <w:tc>
          <w:tcPr>
            <w:tcW w:w="1022" w:type="dxa"/>
            <w:tcBorders>
              <w:left w:val="single" w:color="auto" w:sz="4" w:space="0"/>
            </w:tcBorders>
            <w:vAlign w:val="center"/>
          </w:tcPr>
          <w:p w14:paraId="5DDA9FA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6.118</w:t>
            </w:r>
          </w:p>
        </w:tc>
        <w:tc>
          <w:tcPr>
            <w:tcW w:w="1055" w:type="dxa"/>
            <w:vAlign w:val="center"/>
          </w:tcPr>
          <w:p w14:paraId="272A94C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0.033</w:t>
            </w:r>
          </w:p>
        </w:tc>
        <w:tc>
          <w:tcPr>
            <w:tcW w:w="1168" w:type="dxa"/>
            <w:vAlign w:val="center"/>
          </w:tcPr>
          <w:p w14:paraId="279AF72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0.54</w:t>
            </w:r>
          </w:p>
        </w:tc>
      </w:tr>
      <w:tr w14:paraId="54E55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01E3108C">
            <w:pPr>
              <w:jc w:val="center"/>
              <w:rPr>
                <w:rFonts w:hint="eastAsia" w:ascii="宋体" w:hAnsi="宋体" w:eastAsia="宋体" w:cs="宋体"/>
                <w:color w:val="000000" w:themeColor="text1"/>
                <w:sz w:val="18"/>
                <w:szCs w:val="18"/>
              </w:rPr>
            </w:pPr>
            <w:r>
              <w:rPr>
                <w:rFonts w:hint="eastAsia" w:ascii="宋体" w:hAnsi="宋体" w:eastAsia="宋体" w:cs="宋体"/>
                <w:bCs/>
                <w:color w:val="000000" w:themeColor="text1"/>
                <w:sz w:val="18"/>
                <w:szCs w:val="18"/>
              </w:rPr>
              <w:t>QPb3-2</w:t>
            </w:r>
          </w:p>
        </w:tc>
        <w:tc>
          <w:tcPr>
            <w:tcW w:w="4714" w:type="dxa"/>
            <w:tcBorders>
              <w:top w:val="single" w:color="auto" w:sz="4" w:space="0"/>
              <w:left w:val="single" w:color="auto" w:sz="4" w:space="0"/>
              <w:bottom w:val="single" w:color="auto" w:sz="4" w:space="0"/>
              <w:right w:val="nil"/>
            </w:tcBorders>
            <w:vAlign w:val="center"/>
          </w:tcPr>
          <w:p w14:paraId="7EFE89B8">
            <w:pPr>
              <w:jc w:val="center"/>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rPr>
              <w:t>8.824，8.861，8.863，8.83</w:t>
            </w:r>
            <w:r>
              <w:rPr>
                <w:rFonts w:hint="eastAsia" w:ascii="宋体" w:hAnsi="宋体" w:eastAsia="宋体" w:cs="宋体"/>
                <w:color w:val="000000" w:themeColor="text1"/>
                <w:sz w:val="18"/>
                <w:szCs w:val="18"/>
                <w:lang w:val="en-US" w:eastAsia="zh-CN"/>
              </w:rPr>
              <w:t>0</w:t>
            </w:r>
            <w:r>
              <w:rPr>
                <w:rFonts w:hint="eastAsia" w:ascii="宋体" w:hAnsi="宋体" w:eastAsia="宋体" w:cs="宋体"/>
                <w:color w:val="000000" w:themeColor="text1"/>
                <w:sz w:val="18"/>
                <w:szCs w:val="18"/>
              </w:rPr>
              <w:t>，8.852，8.863，8.881</w:t>
            </w:r>
          </w:p>
        </w:tc>
        <w:tc>
          <w:tcPr>
            <w:tcW w:w="1022" w:type="dxa"/>
            <w:tcBorders>
              <w:left w:val="single" w:color="auto" w:sz="4" w:space="0"/>
            </w:tcBorders>
            <w:vAlign w:val="center"/>
          </w:tcPr>
          <w:p w14:paraId="05F6674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8.853</w:t>
            </w:r>
          </w:p>
        </w:tc>
        <w:tc>
          <w:tcPr>
            <w:tcW w:w="1055" w:type="dxa"/>
            <w:vAlign w:val="center"/>
          </w:tcPr>
          <w:p w14:paraId="58E432DB">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0.020</w:t>
            </w:r>
          </w:p>
        </w:tc>
        <w:tc>
          <w:tcPr>
            <w:tcW w:w="1168" w:type="dxa"/>
            <w:vAlign w:val="center"/>
          </w:tcPr>
          <w:p w14:paraId="457FDA4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0.23</w:t>
            </w:r>
          </w:p>
        </w:tc>
      </w:tr>
      <w:tr w14:paraId="1B8E60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7CBA4AD9">
            <w:pPr>
              <w:jc w:val="center"/>
              <w:rPr>
                <w:rFonts w:hint="eastAsia" w:ascii="宋体" w:hAnsi="宋体" w:eastAsia="宋体" w:cs="宋体"/>
                <w:color w:val="000000" w:themeColor="text1"/>
                <w:sz w:val="18"/>
                <w:szCs w:val="18"/>
              </w:rPr>
            </w:pPr>
            <w:r>
              <w:rPr>
                <w:rFonts w:hint="eastAsia" w:ascii="宋体" w:hAnsi="宋体" w:eastAsia="宋体" w:cs="宋体"/>
                <w:bCs/>
                <w:color w:val="000000" w:themeColor="text1"/>
                <w:sz w:val="18"/>
                <w:szCs w:val="18"/>
              </w:rPr>
              <w:t>QPb3-3</w:t>
            </w:r>
          </w:p>
        </w:tc>
        <w:tc>
          <w:tcPr>
            <w:tcW w:w="4714" w:type="dxa"/>
            <w:tcBorders>
              <w:top w:val="single" w:color="auto" w:sz="4" w:space="0"/>
              <w:left w:val="single" w:color="auto" w:sz="4" w:space="0"/>
              <w:bottom w:val="single" w:color="auto" w:sz="4" w:space="0"/>
              <w:right w:val="nil"/>
            </w:tcBorders>
            <w:vAlign w:val="center"/>
          </w:tcPr>
          <w:p w14:paraId="11D673C6">
            <w:pPr>
              <w:jc w:val="center"/>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rPr>
              <w:t>17.537，17.611，17.579，17.654，17.606，17.552，17.588</w:t>
            </w:r>
          </w:p>
        </w:tc>
        <w:tc>
          <w:tcPr>
            <w:tcW w:w="1022" w:type="dxa"/>
            <w:tcBorders>
              <w:left w:val="single" w:color="auto" w:sz="4" w:space="0"/>
            </w:tcBorders>
            <w:vAlign w:val="center"/>
          </w:tcPr>
          <w:p w14:paraId="6B24400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17.590</w:t>
            </w:r>
          </w:p>
        </w:tc>
        <w:tc>
          <w:tcPr>
            <w:tcW w:w="1055" w:type="dxa"/>
            <w:vAlign w:val="center"/>
          </w:tcPr>
          <w:p w14:paraId="68B9493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0.039</w:t>
            </w:r>
          </w:p>
        </w:tc>
        <w:tc>
          <w:tcPr>
            <w:tcW w:w="1168" w:type="dxa"/>
            <w:vAlign w:val="center"/>
          </w:tcPr>
          <w:p w14:paraId="273AF32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0.22</w:t>
            </w:r>
          </w:p>
        </w:tc>
      </w:tr>
      <w:tr w14:paraId="23478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402B39CD">
            <w:pPr>
              <w:jc w:val="center"/>
              <w:rPr>
                <w:rFonts w:hint="eastAsia" w:ascii="宋体" w:hAnsi="宋体" w:eastAsia="宋体" w:cs="宋体"/>
                <w:bCs/>
                <w:color w:val="000000" w:themeColor="text1"/>
                <w:sz w:val="18"/>
                <w:szCs w:val="18"/>
              </w:rPr>
            </w:pPr>
            <w:r>
              <w:rPr>
                <w:rFonts w:hint="eastAsia" w:ascii="宋体" w:hAnsi="宋体" w:eastAsia="宋体" w:cs="宋体"/>
                <w:bCs/>
                <w:color w:val="000000" w:themeColor="text1"/>
                <w:sz w:val="18"/>
                <w:szCs w:val="18"/>
              </w:rPr>
              <w:t>QPb3-4</w:t>
            </w:r>
          </w:p>
          <w:p w14:paraId="5555454A">
            <w:pPr>
              <w:jc w:val="center"/>
              <w:rPr>
                <w:rFonts w:hint="eastAsia" w:ascii="宋体" w:hAnsi="宋体" w:eastAsia="宋体" w:cs="宋体"/>
                <w:color w:val="000000" w:themeColor="text1"/>
                <w:sz w:val="18"/>
                <w:szCs w:val="18"/>
              </w:rPr>
            </w:pPr>
            <w:r>
              <w:rPr>
                <w:rFonts w:hint="eastAsia" w:ascii="宋体" w:hAnsi="宋体" w:eastAsia="宋体" w:cs="宋体"/>
                <w:bCs/>
                <w:color w:val="000000" w:themeColor="text1"/>
                <w:sz w:val="18"/>
                <w:szCs w:val="18"/>
              </w:rPr>
              <w:t>（合成样）</w:t>
            </w:r>
          </w:p>
        </w:tc>
        <w:tc>
          <w:tcPr>
            <w:tcW w:w="4714" w:type="dxa"/>
            <w:tcBorders>
              <w:top w:val="single" w:color="auto" w:sz="4" w:space="0"/>
              <w:left w:val="single" w:color="auto" w:sz="4" w:space="0"/>
              <w:bottom w:val="single" w:color="auto" w:sz="4" w:space="0"/>
              <w:right w:val="nil"/>
            </w:tcBorders>
            <w:vAlign w:val="center"/>
          </w:tcPr>
          <w:p w14:paraId="434FFD3A">
            <w:pPr>
              <w:jc w:val="center"/>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rPr>
              <w:t>24.887，25.018，24.891，24.947，24.993，24.88，24.952</w:t>
            </w:r>
          </w:p>
        </w:tc>
        <w:tc>
          <w:tcPr>
            <w:tcW w:w="1022" w:type="dxa"/>
            <w:tcBorders>
              <w:left w:val="single" w:color="auto" w:sz="4" w:space="0"/>
            </w:tcBorders>
            <w:vAlign w:val="center"/>
          </w:tcPr>
          <w:p w14:paraId="6EB26FA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24.938</w:t>
            </w:r>
          </w:p>
        </w:tc>
        <w:tc>
          <w:tcPr>
            <w:tcW w:w="1055" w:type="dxa"/>
            <w:vAlign w:val="center"/>
          </w:tcPr>
          <w:p w14:paraId="4E71AAB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0.055</w:t>
            </w:r>
          </w:p>
        </w:tc>
        <w:tc>
          <w:tcPr>
            <w:tcW w:w="1168" w:type="dxa"/>
            <w:vAlign w:val="center"/>
          </w:tcPr>
          <w:p w14:paraId="79AE001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0.22</w:t>
            </w:r>
          </w:p>
        </w:tc>
      </w:tr>
      <w:tr w14:paraId="67211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0ABE24C8">
            <w:pPr>
              <w:jc w:val="center"/>
              <w:rPr>
                <w:rFonts w:hint="eastAsia" w:ascii="宋体" w:hAnsi="宋体" w:eastAsia="宋体" w:cs="宋体"/>
                <w:bCs/>
                <w:color w:val="000000" w:themeColor="text1"/>
                <w:sz w:val="18"/>
                <w:szCs w:val="18"/>
              </w:rPr>
            </w:pPr>
            <w:r>
              <w:rPr>
                <w:rFonts w:hint="eastAsia" w:ascii="宋体" w:hAnsi="宋体" w:eastAsia="宋体" w:cs="宋体"/>
                <w:bCs/>
                <w:color w:val="000000" w:themeColor="text1"/>
                <w:sz w:val="18"/>
                <w:szCs w:val="18"/>
              </w:rPr>
              <w:t>QPb3-5</w:t>
            </w:r>
          </w:p>
          <w:p w14:paraId="3B95CA3F">
            <w:pPr>
              <w:jc w:val="center"/>
              <w:rPr>
                <w:rFonts w:hint="eastAsia" w:ascii="宋体" w:hAnsi="宋体" w:eastAsia="宋体" w:cs="宋体"/>
                <w:bCs/>
                <w:color w:val="000000" w:themeColor="text1"/>
                <w:sz w:val="18"/>
                <w:szCs w:val="18"/>
              </w:rPr>
            </w:pPr>
            <w:r>
              <w:rPr>
                <w:rFonts w:hint="eastAsia" w:ascii="宋体" w:hAnsi="宋体" w:eastAsia="宋体" w:cs="宋体"/>
                <w:bCs/>
                <w:color w:val="000000" w:themeColor="text1"/>
                <w:sz w:val="18"/>
                <w:szCs w:val="18"/>
              </w:rPr>
              <w:t>（合成样）</w:t>
            </w:r>
          </w:p>
        </w:tc>
        <w:tc>
          <w:tcPr>
            <w:tcW w:w="4714" w:type="dxa"/>
            <w:tcBorders>
              <w:top w:val="single" w:color="auto" w:sz="4" w:space="0"/>
              <w:left w:val="single" w:color="auto" w:sz="4" w:space="0"/>
              <w:right w:val="nil"/>
            </w:tcBorders>
            <w:vAlign w:val="center"/>
          </w:tcPr>
          <w:p w14:paraId="7C7CB890">
            <w:pPr>
              <w:jc w:val="center"/>
              <w:rPr>
                <w:rFonts w:hint="eastAsia" w:ascii="宋体" w:hAnsi="宋体" w:eastAsia="宋体" w:cs="宋体"/>
                <w:color w:val="000000" w:themeColor="text1"/>
                <w:sz w:val="18"/>
                <w:szCs w:val="18"/>
              </w:rPr>
            </w:pPr>
            <w:r>
              <w:rPr>
                <w:rFonts w:hint="eastAsia" w:ascii="宋体" w:hAnsi="宋体" w:eastAsia="宋体" w:cs="宋体"/>
                <w:color w:val="000000" w:themeColor="text1"/>
                <w:sz w:val="18"/>
                <w:szCs w:val="18"/>
              </w:rPr>
              <w:t>31.958，31.915，32.019，32.011，31.922，32.078，31.912</w:t>
            </w:r>
          </w:p>
        </w:tc>
        <w:tc>
          <w:tcPr>
            <w:tcW w:w="1022" w:type="dxa"/>
            <w:tcBorders>
              <w:left w:val="single" w:color="auto" w:sz="4" w:space="0"/>
            </w:tcBorders>
            <w:vAlign w:val="center"/>
          </w:tcPr>
          <w:p w14:paraId="57C158C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31.974</w:t>
            </w:r>
          </w:p>
        </w:tc>
        <w:tc>
          <w:tcPr>
            <w:tcW w:w="1055" w:type="dxa"/>
            <w:vAlign w:val="center"/>
          </w:tcPr>
          <w:p w14:paraId="2F78D7A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0.064</w:t>
            </w:r>
          </w:p>
        </w:tc>
        <w:tc>
          <w:tcPr>
            <w:tcW w:w="1168" w:type="dxa"/>
            <w:vAlign w:val="center"/>
          </w:tcPr>
          <w:p w14:paraId="49F56B4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0.20</w:t>
            </w:r>
          </w:p>
        </w:tc>
      </w:tr>
    </w:tbl>
    <w:p w14:paraId="67F99A74">
      <w:pPr>
        <w:pStyle w:val="8"/>
        <w:keepNext w:val="0"/>
        <w:keepLines w:val="0"/>
        <w:pageBreakBefore w:val="0"/>
        <w:widowControl w:val="0"/>
        <w:kinsoku/>
        <w:wordWrap/>
        <w:overflowPunct/>
        <w:topLinePunct w:val="0"/>
        <w:autoSpaceDE/>
        <w:autoSpaceDN/>
        <w:bidi w:val="0"/>
        <w:adjustRightInd/>
        <w:snapToGrid w:val="0"/>
        <w:ind w:firstLine="420" w:firstLineChars="200"/>
        <w:jc w:val="center"/>
        <w:textAlignment w:val="auto"/>
        <w:rPr>
          <w:rFonts w:hint="eastAsia" w:ascii="黑体" w:hAnsi="黑体" w:eastAsia="黑体" w:cs="黑体"/>
          <w:sz w:val="21"/>
          <w:szCs w:val="21"/>
          <w:lang w:val="en-US" w:eastAsia="zh-CN"/>
        </w:rPr>
      </w:pPr>
    </w:p>
    <w:p w14:paraId="1CCBD1AE">
      <w:pPr>
        <w:pStyle w:val="8"/>
        <w:keepNext w:val="0"/>
        <w:keepLines w:val="0"/>
        <w:pageBreakBefore w:val="0"/>
        <w:widowControl w:val="0"/>
        <w:kinsoku/>
        <w:wordWrap/>
        <w:overflowPunct/>
        <w:topLinePunct w:val="0"/>
        <w:autoSpaceDE/>
        <w:autoSpaceDN/>
        <w:bidi w:val="0"/>
        <w:adjustRightInd/>
        <w:snapToGrid w:val="0"/>
        <w:ind w:firstLine="420" w:firstLineChars="200"/>
        <w:jc w:val="center"/>
        <w:textAlignment w:val="auto"/>
        <w:rPr>
          <w:rFonts w:hint="eastAsia" w:ascii="宋体" w:hAnsi="宋体" w:eastAsia="宋体" w:cs="宋体"/>
          <w:bCs/>
          <w:color w:val="000000"/>
          <w:sz w:val="21"/>
          <w:szCs w:val="21"/>
        </w:rPr>
      </w:pPr>
      <w:r>
        <w:rPr>
          <w:rFonts w:hint="eastAsia" w:ascii="宋体" w:hAnsi="宋体" w:eastAsia="宋体" w:cs="宋体"/>
          <w:bCs/>
          <w:color w:val="000000"/>
          <w:sz w:val="21"/>
          <w:szCs w:val="21"/>
        </w:rPr>
        <w:t>表</w:t>
      </w:r>
      <w:r>
        <w:rPr>
          <w:rFonts w:hint="eastAsia" w:ascii="宋体" w:hAnsi="宋体" w:eastAsia="宋体" w:cs="宋体"/>
          <w:bCs/>
          <w:color w:val="000000"/>
          <w:sz w:val="21"/>
          <w:szCs w:val="21"/>
          <w:lang w:val="en-US" w:eastAsia="zh-CN"/>
        </w:rPr>
        <w:t>12-3</w:t>
      </w:r>
      <w:r>
        <w:rPr>
          <w:rFonts w:hint="eastAsia" w:ascii="宋体" w:hAnsi="宋体" w:eastAsia="宋体" w:cs="宋体"/>
          <w:bCs/>
          <w:color w:val="000000"/>
          <w:sz w:val="21"/>
          <w:szCs w:val="21"/>
        </w:rPr>
        <w:t>结果表明，用本方法对5个不同铅含量铜合金试样进行精密度试验，相对标准</w:t>
      </w:r>
    </w:p>
    <w:p w14:paraId="50F0063F">
      <w:pPr>
        <w:pStyle w:val="8"/>
        <w:keepNext w:val="0"/>
        <w:keepLines w:val="0"/>
        <w:pageBreakBefore w:val="0"/>
        <w:widowControl w:val="0"/>
        <w:kinsoku/>
        <w:wordWrap/>
        <w:overflowPunct/>
        <w:topLinePunct w:val="0"/>
        <w:autoSpaceDE/>
        <w:autoSpaceDN/>
        <w:bidi w:val="0"/>
        <w:adjustRightInd/>
        <w:snapToGrid w:val="0"/>
        <w:jc w:val="both"/>
        <w:textAlignment w:val="auto"/>
        <w:rPr>
          <w:rFonts w:hint="eastAsia" w:ascii="黑体" w:hAnsi="黑体" w:eastAsia="黑体" w:cs="黑体"/>
          <w:b w:val="0"/>
          <w:bCs w:val="0"/>
          <w:color w:val="000000"/>
          <w:sz w:val="21"/>
          <w:szCs w:val="21"/>
          <w:highlight w:val="none"/>
        </w:rPr>
      </w:pPr>
      <w:r>
        <w:rPr>
          <w:rFonts w:hint="eastAsia" w:ascii="宋体" w:hAnsi="宋体" w:eastAsia="宋体" w:cs="宋体"/>
          <w:bCs/>
          <w:color w:val="000000"/>
          <w:sz w:val="21"/>
          <w:szCs w:val="21"/>
        </w:rPr>
        <w:t>偏差在0.20%～0.54%之间，方法精密度能满足检测需求</w:t>
      </w:r>
      <w:r>
        <w:rPr>
          <w:rFonts w:hint="eastAsia" w:ascii="宋体" w:hAnsi="宋体" w:eastAsia="宋体" w:cs="宋体"/>
          <w:bCs/>
          <w:color w:val="000000"/>
          <w:sz w:val="21"/>
          <w:szCs w:val="21"/>
          <w:lang w:eastAsia="zh-CN"/>
        </w:rPr>
        <w:t>。结论与起草方一致。</w:t>
      </w:r>
    </w:p>
    <w:p w14:paraId="4113A088">
      <w:pPr>
        <w:pStyle w:val="8"/>
        <w:keepNext w:val="0"/>
        <w:keepLines w:val="0"/>
        <w:pageBreakBefore w:val="0"/>
        <w:widowControl w:val="0"/>
        <w:kinsoku/>
        <w:wordWrap/>
        <w:overflowPunct/>
        <w:topLinePunct w:val="0"/>
        <w:autoSpaceDE/>
        <w:autoSpaceDN/>
        <w:bidi w:val="0"/>
        <w:adjustRightInd/>
        <w:snapToGrid w:val="0"/>
        <w:ind w:firstLine="420" w:firstLineChars="200"/>
        <w:jc w:val="center"/>
        <w:textAlignment w:val="auto"/>
        <w:rPr>
          <w:rFonts w:hint="eastAsia" w:ascii="黑体" w:hAnsi="黑体" w:eastAsia="黑体" w:cs="黑体"/>
          <w:b w:val="0"/>
          <w:bCs w:val="0"/>
          <w:color w:val="000000"/>
          <w:sz w:val="21"/>
          <w:szCs w:val="21"/>
          <w:highlight w:val="none"/>
        </w:rPr>
      </w:pPr>
    </w:p>
    <w:p w14:paraId="076A0236">
      <w:pPr>
        <w:pStyle w:val="8"/>
        <w:keepNext w:val="0"/>
        <w:keepLines w:val="0"/>
        <w:pageBreakBefore w:val="0"/>
        <w:widowControl w:val="0"/>
        <w:kinsoku/>
        <w:wordWrap/>
        <w:overflowPunct/>
        <w:topLinePunct w:val="0"/>
        <w:autoSpaceDE/>
        <w:autoSpaceDN/>
        <w:bidi w:val="0"/>
        <w:adjustRightInd/>
        <w:snapToGrid w:val="0"/>
        <w:ind w:firstLine="420" w:firstLineChars="200"/>
        <w:jc w:val="center"/>
        <w:textAlignment w:val="auto"/>
        <w:rPr>
          <w:rFonts w:hint="eastAsia" w:ascii="宋体" w:hAnsi="宋体" w:eastAsia="宋体" w:cs="宋体"/>
          <w:bCs/>
          <w:color w:val="000000"/>
          <w:sz w:val="21"/>
          <w:szCs w:val="21"/>
          <w:lang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2-4</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（深圳市中金岭南有色金属股份有限公司）</w:t>
      </w:r>
    </w:p>
    <w:p w14:paraId="10B22211">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bCs/>
          <w:color w:val="000000"/>
          <w:sz w:val="21"/>
          <w:szCs w:val="21"/>
          <w:lang w:eastAsia="zh-CN"/>
        </w:rPr>
      </w:pPr>
    </w:p>
    <w:tbl>
      <w:tblPr>
        <w:tblStyle w:val="13"/>
        <w:tblW w:w="92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55"/>
        <w:gridCol w:w="4714"/>
        <w:gridCol w:w="1022"/>
        <w:gridCol w:w="1055"/>
        <w:gridCol w:w="1168"/>
      </w:tblGrid>
      <w:tr w14:paraId="54E66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255" w:type="dxa"/>
            <w:noWrap w:val="0"/>
            <w:vAlign w:val="center"/>
          </w:tcPr>
          <w:p w14:paraId="36D035A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样品编号</w:t>
            </w:r>
          </w:p>
        </w:tc>
        <w:tc>
          <w:tcPr>
            <w:tcW w:w="4714" w:type="dxa"/>
            <w:tcBorders>
              <w:bottom w:val="single" w:color="auto" w:sz="4" w:space="0"/>
            </w:tcBorders>
            <w:noWrap w:val="0"/>
            <w:vAlign w:val="center"/>
          </w:tcPr>
          <w:p w14:paraId="4701E92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 xml:space="preserve">测定结果/ % </w:t>
            </w:r>
          </w:p>
        </w:tc>
        <w:tc>
          <w:tcPr>
            <w:tcW w:w="1022" w:type="dxa"/>
            <w:noWrap w:val="0"/>
            <w:vAlign w:val="center"/>
          </w:tcPr>
          <w:p w14:paraId="3EA37D16">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平均值/ %</w:t>
            </w:r>
          </w:p>
        </w:tc>
        <w:tc>
          <w:tcPr>
            <w:tcW w:w="1055" w:type="dxa"/>
            <w:noWrap w:val="0"/>
            <w:vAlign w:val="center"/>
          </w:tcPr>
          <w:p w14:paraId="5EA374A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w:t>
            </w:r>
          </w:p>
          <w:p w14:paraId="63FB2EE0">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偏差/%</w:t>
            </w:r>
          </w:p>
        </w:tc>
        <w:tc>
          <w:tcPr>
            <w:tcW w:w="1168" w:type="dxa"/>
            <w:noWrap w:val="0"/>
            <w:vAlign w:val="center"/>
          </w:tcPr>
          <w:p w14:paraId="3DECCDCF">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RSD/</w:t>
            </w:r>
          </w:p>
          <w:p w14:paraId="36287198">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w:t>
            </w:r>
          </w:p>
        </w:tc>
      </w:tr>
      <w:tr w14:paraId="71D8A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7D72A1C7">
            <w:pPr>
              <w:jc w:val="center"/>
              <w:rPr>
                <w:rFonts w:hint="eastAsia" w:ascii="宋体" w:hAnsi="宋体" w:eastAsia="宋体" w:cs="宋体"/>
                <w:b w:val="0"/>
                <w:color w:val="auto"/>
                <w:sz w:val="18"/>
                <w:szCs w:val="18"/>
                <w:lang w:val="en-US" w:eastAsia="zh-CN"/>
              </w:rPr>
            </w:pPr>
            <w:r>
              <w:rPr>
                <w:rFonts w:hint="eastAsia" w:ascii="宋体" w:hAnsi="宋体" w:eastAsia="宋体" w:cs="宋体"/>
                <w:bCs/>
                <w:color w:val="auto"/>
                <w:sz w:val="18"/>
                <w:szCs w:val="18"/>
                <w:lang w:val="en-US" w:eastAsia="zh-CN"/>
              </w:rPr>
              <w:t>QPb3-1</w:t>
            </w:r>
          </w:p>
        </w:tc>
        <w:tc>
          <w:tcPr>
            <w:tcW w:w="4714" w:type="dxa"/>
            <w:tcBorders>
              <w:top w:val="single" w:color="auto" w:sz="4" w:space="0"/>
              <w:left w:val="single" w:color="auto" w:sz="4" w:space="0"/>
              <w:bottom w:val="single" w:color="auto" w:sz="4" w:space="0"/>
              <w:right w:val="nil"/>
            </w:tcBorders>
            <w:noWrap w:val="0"/>
            <w:vAlign w:val="center"/>
          </w:tcPr>
          <w:p w14:paraId="058F9DD1">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6.13，6.17，6.22，6.22，6.18，6.19，6.18</w:t>
            </w:r>
          </w:p>
        </w:tc>
        <w:tc>
          <w:tcPr>
            <w:tcW w:w="1022" w:type="dxa"/>
            <w:tcBorders>
              <w:left w:val="single" w:color="auto" w:sz="4" w:space="0"/>
            </w:tcBorders>
            <w:noWrap w:val="0"/>
            <w:vAlign w:val="center"/>
          </w:tcPr>
          <w:p w14:paraId="6EEFEBE3">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6.18</w:t>
            </w:r>
          </w:p>
        </w:tc>
        <w:tc>
          <w:tcPr>
            <w:tcW w:w="1055" w:type="dxa"/>
            <w:noWrap w:val="0"/>
            <w:vAlign w:val="center"/>
          </w:tcPr>
          <w:p w14:paraId="44FD5194">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0.0292</w:t>
            </w:r>
          </w:p>
        </w:tc>
        <w:tc>
          <w:tcPr>
            <w:tcW w:w="1168" w:type="dxa"/>
            <w:noWrap w:val="0"/>
            <w:vAlign w:val="center"/>
          </w:tcPr>
          <w:p w14:paraId="075B674D">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0.472</w:t>
            </w:r>
          </w:p>
        </w:tc>
      </w:tr>
      <w:tr w14:paraId="48AC8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2BC49292">
            <w:pPr>
              <w:jc w:val="center"/>
              <w:rPr>
                <w:rFonts w:hint="eastAsia" w:ascii="宋体" w:hAnsi="宋体" w:eastAsia="宋体" w:cs="宋体"/>
                <w:b w:val="0"/>
                <w:color w:val="auto"/>
                <w:sz w:val="18"/>
                <w:szCs w:val="18"/>
                <w:lang w:val="en-US" w:eastAsia="zh-CN"/>
              </w:rPr>
            </w:pPr>
            <w:r>
              <w:rPr>
                <w:rFonts w:hint="eastAsia" w:ascii="宋体" w:hAnsi="宋体" w:eastAsia="宋体" w:cs="宋体"/>
                <w:bCs/>
                <w:color w:val="auto"/>
                <w:sz w:val="18"/>
                <w:szCs w:val="18"/>
                <w:lang w:val="en-US" w:eastAsia="zh-CN"/>
              </w:rPr>
              <w:t>QPb3-2</w:t>
            </w:r>
          </w:p>
        </w:tc>
        <w:tc>
          <w:tcPr>
            <w:tcW w:w="4714" w:type="dxa"/>
            <w:tcBorders>
              <w:top w:val="single" w:color="auto" w:sz="4" w:space="0"/>
              <w:left w:val="single" w:color="auto" w:sz="4" w:space="0"/>
              <w:bottom w:val="single" w:color="auto" w:sz="4" w:space="0"/>
              <w:right w:val="nil"/>
            </w:tcBorders>
            <w:noWrap w:val="0"/>
            <w:vAlign w:val="center"/>
          </w:tcPr>
          <w:p w14:paraId="4BC3CF60">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8.79，8.83，8.85，8.85，8.83，8.85，8.86</w:t>
            </w:r>
          </w:p>
        </w:tc>
        <w:tc>
          <w:tcPr>
            <w:tcW w:w="1022" w:type="dxa"/>
            <w:tcBorders>
              <w:left w:val="single" w:color="auto" w:sz="4" w:space="0"/>
            </w:tcBorders>
            <w:noWrap w:val="0"/>
            <w:vAlign w:val="center"/>
          </w:tcPr>
          <w:p w14:paraId="569515D5">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8.84</w:t>
            </w:r>
          </w:p>
        </w:tc>
        <w:tc>
          <w:tcPr>
            <w:tcW w:w="1055" w:type="dxa"/>
            <w:noWrap w:val="0"/>
            <w:vAlign w:val="center"/>
          </w:tcPr>
          <w:p w14:paraId="5BDC4255">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0.0250</w:t>
            </w:r>
          </w:p>
        </w:tc>
        <w:tc>
          <w:tcPr>
            <w:tcW w:w="1168" w:type="dxa"/>
            <w:noWrap w:val="0"/>
            <w:vAlign w:val="center"/>
          </w:tcPr>
          <w:p w14:paraId="1DEDAFCB">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0.283</w:t>
            </w:r>
          </w:p>
        </w:tc>
      </w:tr>
      <w:tr w14:paraId="5B88E7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54927F22">
            <w:pPr>
              <w:jc w:val="center"/>
              <w:rPr>
                <w:rFonts w:hint="eastAsia" w:ascii="宋体" w:hAnsi="宋体" w:eastAsia="宋体" w:cs="宋体"/>
                <w:b w:val="0"/>
                <w:color w:val="auto"/>
                <w:sz w:val="18"/>
                <w:szCs w:val="18"/>
                <w:lang w:val="en-US" w:eastAsia="zh-CN"/>
              </w:rPr>
            </w:pPr>
            <w:r>
              <w:rPr>
                <w:rFonts w:hint="eastAsia" w:ascii="宋体" w:hAnsi="宋体" w:eastAsia="宋体" w:cs="宋体"/>
                <w:bCs/>
                <w:color w:val="auto"/>
                <w:sz w:val="18"/>
                <w:szCs w:val="18"/>
                <w:lang w:val="en-US" w:eastAsia="zh-CN"/>
              </w:rPr>
              <w:t>QPb3-3</w:t>
            </w:r>
          </w:p>
        </w:tc>
        <w:tc>
          <w:tcPr>
            <w:tcW w:w="4714" w:type="dxa"/>
            <w:tcBorders>
              <w:top w:val="single" w:color="auto" w:sz="4" w:space="0"/>
              <w:left w:val="single" w:color="auto" w:sz="4" w:space="0"/>
              <w:bottom w:val="single" w:color="auto" w:sz="4" w:space="0"/>
              <w:right w:val="nil"/>
            </w:tcBorders>
            <w:noWrap w:val="0"/>
            <w:vAlign w:val="center"/>
          </w:tcPr>
          <w:p w14:paraId="527A51C2">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17.58，17.62，17.60，17.65，17.60，17.56，17.56</w:t>
            </w:r>
          </w:p>
        </w:tc>
        <w:tc>
          <w:tcPr>
            <w:tcW w:w="1022" w:type="dxa"/>
            <w:tcBorders>
              <w:left w:val="single" w:color="auto" w:sz="4" w:space="0"/>
            </w:tcBorders>
            <w:noWrap w:val="0"/>
            <w:vAlign w:val="center"/>
          </w:tcPr>
          <w:p w14:paraId="5EABBA95">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17.59</w:t>
            </w:r>
          </w:p>
        </w:tc>
        <w:tc>
          <w:tcPr>
            <w:tcW w:w="1055" w:type="dxa"/>
            <w:noWrap w:val="0"/>
            <w:vAlign w:val="center"/>
          </w:tcPr>
          <w:p w14:paraId="0B481D9B">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0.0316</w:t>
            </w:r>
          </w:p>
        </w:tc>
        <w:tc>
          <w:tcPr>
            <w:tcW w:w="1168" w:type="dxa"/>
            <w:noWrap w:val="0"/>
            <w:vAlign w:val="center"/>
          </w:tcPr>
          <w:p w14:paraId="294EBFC5">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0.180</w:t>
            </w:r>
          </w:p>
        </w:tc>
      </w:tr>
      <w:tr w14:paraId="02746B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4EBFCD9B">
            <w:pPr>
              <w:jc w:val="center"/>
              <w:rPr>
                <w:rFonts w:hint="eastAsia"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QPb3-4</w:t>
            </w:r>
          </w:p>
          <w:p w14:paraId="68C68D61">
            <w:pPr>
              <w:jc w:val="center"/>
              <w:rPr>
                <w:rFonts w:hint="eastAsia" w:ascii="宋体" w:hAnsi="宋体" w:eastAsia="宋体" w:cs="宋体"/>
                <w:b w:val="0"/>
                <w:color w:val="auto"/>
                <w:sz w:val="18"/>
                <w:szCs w:val="18"/>
                <w:lang w:val="en-US" w:eastAsia="zh-CN"/>
              </w:rPr>
            </w:pPr>
            <w:r>
              <w:rPr>
                <w:rFonts w:hint="eastAsia" w:ascii="宋体" w:hAnsi="宋体" w:eastAsia="宋体" w:cs="宋体"/>
                <w:bCs/>
                <w:color w:val="auto"/>
                <w:sz w:val="18"/>
                <w:szCs w:val="18"/>
                <w:lang w:val="en-US" w:eastAsia="zh-CN"/>
              </w:rPr>
              <w:t>（合成样）</w:t>
            </w:r>
          </w:p>
        </w:tc>
        <w:tc>
          <w:tcPr>
            <w:tcW w:w="4714" w:type="dxa"/>
            <w:tcBorders>
              <w:top w:val="single" w:color="auto" w:sz="4" w:space="0"/>
              <w:left w:val="single" w:color="auto" w:sz="4" w:space="0"/>
              <w:bottom w:val="single" w:color="auto" w:sz="4" w:space="0"/>
              <w:right w:val="nil"/>
            </w:tcBorders>
            <w:noWrap w:val="0"/>
            <w:vAlign w:val="center"/>
          </w:tcPr>
          <w:p w14:paraId="3E29DAE0">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24.98，25.01，25.00，25.00，24.97，24.98，25.00</w:t>
            </w:r>
          </w:p>
        </w:tc>
        <w:tc>
          <w:tcPr>
            <w:tcW w:w="1022" w:type="dxa"/>
            <w:tcBorders>
              <w:left w:val="single" w:color="auto" w:sz="4" w:space="0"/>
            </w:tcBorders>
            <w:noWrap w:val="0"/>
            <w:vAlign w:val="center"/>
          </w:tcPr>
          <w:p w14:paraId="25084107">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24.99</w:t>
            </w:r>
          </w:p>
        </w:tc>
        <w:tc>
          <w:tcPr>
            <w:tcW w:w="1055" w:type="dxa"/>
            <w:noWrap w:val="0"/>
            <w:vAlign w:val="center"/>
          </w:tcPr>
          <w:p w14:paraId="5F5F597B">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0.0155</w:t>
            </w:r>
          </w:p>
        </w:tc>
        <w:tc>
          <w:tcPr>
            <w:tcW w:w="1168" w:type="dxa"/>
            <w:noWrap w:val="0"/>
            <w:vAlign w:val="center"/>
          </w:tcPr>
          <w:p w14:paraId="69D76262">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0.062</w:t>
            </w:r>
          </w:p>
        </w:tc>
      </w:tr>
      <w:tr w14:paraId="39CA31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265E6C89">
            <w:pPr>
              <w:jc w:val="center"/>
              <w:rPr>
                <w:rFonts w:hint="eastAsia"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QPb3-5</w:t>
            </w:r>
          </w:p>
          <w:p w14:paraId="6EF1F65F">
            <w:pPr>
              <w:jc w:val="center"/>
              <w:rPr>
                <w:rFonts w:hint="eastAsia" w:ascii="宋体" w:hAnsi="宋体" w:eastAsia="宋体" w:cs="宋体"/>
                <w:bCs/>
                <w:color w:val="auto"/>
                <w:sz w:val="18"/>
                <w:szCs w:val="18"/>
                <w:lang w:val="en-US" w:eastAsia="zh-CN"/>
              </w:rPr>
            </w:pPr>
            <w:r>
              <w:rPr>
                <w:rFonts w:hint="eastAsia" w:ascii="宋体" w:hAnsi="宋体" w:eastAsia="宋体" w:cs="宋体"/>
                <w:bCs/>
                <w:color w:val="auto"/>
                <w:sz w:val="18"/>
                <w:szCs w:val="18"/>
                <w:lang w:val="en-US" w:eastAsia="zh-CN"/>
              </w:rPr>
              <w:t>（合成样）</w:t>
            </w:r>
          </w:p>
        </w:tc>
        <w:tc>
          <w:tcPr>
            <w:tcW w:w="4714" w:type="dxa"/>
            <w:tcBorders>
              <w:top w:val="single" w:color="auto" w:sz="4" w:space="0"/>
              <w:left w:val="single" w:color="auto" w:sz="4" w:space="0"/>
              <w:right w:val="nil"/>
            </w:tcBorders>
            <w:noWrap w:val="0"/>
            <w:vAlign w:val="center"/>
          </w:tcPr>
          <w:p w14:paraId="1192EFD8">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31.92，31.91，32.01，32.00，32.01，31.98，31.96</w:t>
            </w:r>
          </w:p>
        </w:tc>
        <w:tc>
          <w:tcPr>
            <w:tcW w:w="1022" w:type="dxa"/>
            <w:tcBorders>
              <w:left w:val="single" w:color="auto" w:sz="4" w:space="0"/>
            </w:tcBorders>
            <w:noWrap w:val="0"/>
            <w:vAlign w:val="center"/>
          </w:tcPr>
          <w:p w14:paraId="2C52F106">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31.97</w:t>
            </w:r>
          </w:p>
        </w:tc>
        <w:tc>
          <w:tcPr>
            <w:tcW w:w="1055" w:type="dxa"/>
            <w:noWrap w:val="0"/>
            <w:vAlign w:val="center"/>
          </w:tcPr>
          <w:p w14:paraId="1C23A848">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0.0385</w:t>
            </w:r>
          </w:p>
        </w:tc>
        <w:tc>
          <w:tcPr>
            <w:tcW w:w="1168" w:type="dxa"/>
            <w:noWrap w:val="0"/>
            <w:vAlign w:val="center"/>
          </w:tcPr>
          <w:p w14:paraId="4C1968E2">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0.121</w:t>
            </w:r>
          </w:p>
        </w:tc>
      </w:tr>
    </w:tbl>
    <w:p w14:paraId="01BFB0E4">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eastAsia="宋体" w:cs="宋体"/>
          <w:bCs/>
          <w:color w:val="000000"/>
          <w:sz w:val="21"/>
          <w:szCs w:val="21"/>
          <w:lang w:eastAsia="zh-CN"/>
        </w:rPr>
      </w:pPr>
    </w:p>
    <w:p w14:paraId="724034A1">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表12-4结果表明，用本方法对5个不同铅含量铜合金试样进行精密度试验，相对标准偏差在0.070%～0.43%之间，方法精密度能满足检测需求。</w:t>
      </w:r>
      <w:r>
        <w:rPr>
          <w:rFonts w:hint="eastAsia" w:ascii="宋体" w:hAnsi="宋体" w:eastAsia="宋体" w:cs="宋体"/>
          <w:bCs/>
          <w:color w:val="000000"/>
          <w:sz w:val="21"/>
          <w:szCs w:val="21"/>
          <w:lang w:eastAsia="zh-CN"/>
        </w:rPr>
        <w:t>结论与起草方一致。</w:t>
      </w:r>
    </w:p>
    <w:p w14:paraId="2F2EEBBD">
      <w:pPr>
        <w:pStyle w:val="8"/>
        <w:rPr>
          <w:rFonts w:hint="eastAsia" w:ascii="宋体" w:hAnsi="宋体" w:eastAsia="宋体" w:cs="宋体"/>
          <w:color w:val="auto"/>
          <w:sz w:val="21"/>
          <w:szCs w:val="21"/>
          <w:highlight w:val="none"/>
          <w:lang w:val="en-US" w:eastAsia="zh-CN"/>
        </w:rPr>
      </w:pPr>
    </w:p>
    <w:p w14:paraId="58950974">
      <w:pPr>
        <w:pStyle w:val="8"/>
        <w:jc w:val="center"/>
        <w:rPr>
          <w:rFonts w:hint="eastAsia" w:ascii="黑体" w:hAnsi="黑体" w:eastAsia="黑体" w:cs="黑体"/>
          <w:sz w:val="21"/>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2-5</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（大冶有色设计研究院有限公司）</w:t>
      </w:r>
    </w:p>
    <w:p w14:paraId="39AE779A">
      <w:pPr>
        <w:pStyle w:val="8"/>
        <w:jc w:val="center"/>
        <w:rPr>
          <w:rFonts w:hint="eastAsia" w:ascii="黑体" w:hAnsi="黑体" w:eastAsia="黑体" w:cs="黑体"/>
          <w:sz w:val="21"/>
          <w:szCs w:val="21"/>
          <w:lang w:val="en-US" w:eastAsia="zh-CN"/>
        </w:rPr>
      </w:pPr>
    </w:p>
    <w:tbl>
      <w:tblPr>
        <w:tblStyle w:val="13"/>
        <w:tblW w:w="92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55"/>
        <w:gridCol w:w="4714"/>
        <w:gridCol w:w="1022"/>
        <w:gridCol w:w="1055"/>
        <w:gridCol w:w="1168"/>
      </w:tblGrid>
      <w:tr w14:paraId="32D707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255" w:type="dxa"/>
            <w:noWrap w:val="0"/>
            <w:vAlign w:val="center"/>
          </w:tcPr>
          <w:p w14:paraId="74FEE6BD">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样品编号</w:t>
            </w:r>
          </w:p>
        </w:tc>
        <w:tc>
          <w:tcPr>
            <w:tcW w:w="4714" w:type="dxa"/>
            <w:tcBorders>
              <w:bottom w:val="single" w:color="auto" w:sz="4" w:space="0"/>
            </w:tcBorders>
            <w:noWrap w:val="0"/>
            <w:vAlign w:val="center"/>
          </w:tcPr>
          <w:p w14:paraId="7CDB78C2">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 xml:space="preserve">测定结果/ % </w:t>
            </w:r>
          </w:p>
        </w:tc>
        <w:tc>
          <w:tcPr>
            <w:tcW w:w="1022" w:type="dxa"/>
            <w:noWrap w:val="0"/>
            <w:vAlign w:val="center"/>
          </w:tcPr>
          <w:p w14:paraId="258B59BB">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平均值/ %</w:t>
            </w:r>
          </w:p>
        </w:tc>
        <w:tc>
          <w:tcPr>
            <w:tcW w:w="1055" w:type="dxa"/>
            <w:noWrap w:val="0"/>
            <w:vAlign w:val="center"/>
          </w:tcPr>
          <w:p w14:paraId="18BAFD9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w:t>
            </w:r>
          </w:p>
          <w:p w14:paraId="7697B39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偏差/%</w:t>
            </w:r>
          </w:p>
        </w:tc>
        <w:tc>
          <w:tcPr>
            <w:tcW w:w="1168" w:type="dxa"/>
            <w:noWrap w:val="0"/>
            <w:vAlign w:val="center"/>
          </w:tcPr>
          <w:p w14:paraId="7FA97BC2">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RSD/</w:t>
            </w:r>
          </w:p>
          <w:p w14:paraId="08BD316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w:t>
            </w:r>
          </w:p>
        </w:tc>
      </w:tr>
      <w:tr w14:paraId="13396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662C172B">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QPb3-1</w:t>
            </w:r>
          </w:p>
        </w:tc>
        <w:tc>
          <w:tcPr>
            <w:tcW w:w="4714" w:type="dxa"/>
            <w:tcBorders>
              <w:top w:val="single" w:color="auto" w:sz="4" w:space="0"/>
              <w:left w:val="single" w:color="auto" w:sz="4" w:space="0"/>
              <w:bottom w:val="single" w:color="auto" w:sz="4" w:space="0"/>
              <w:right w:val="nil"/>
            </w:tcBorders>
            <w:noWrap w:val="0"/>
            <w:vAlign w:val="center"/>
          </w:tcPr>
          <w:p w14:paraId="237FC252">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6.167，6.183，6.102，6.108，6.138，6.146，6.127</w:t>
            </w:r>
          </w:p>
        </w:tc>
        <w:tc>
          <w:tcPr>
            <w:tcW w:w="1022" w:type="dxa"/>
            <w:tcBorders>
              <w:left w:val="single" w:color="auto" w:sz="4" w:space="0"/>
            </w:tcBorders>
            <w:noWrap w:val="0"/>
            <w:vAlign w:val="center"/>
          </w:tcPr>
          <w:p w14:paraId="2FC493A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6.139</w:t>
            </w:r>
          </w:p>
        </w:tc>
        <w:tc>
          <w:tcPr>
            <w:tcW w:w="1055" w:type="dxa"/>
            <w:noWrap w:val="0"/>
            <w:vAlign w:val="center"/>
          </w:tcPr>
          <w:p w14:paraId="6F02375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0.030</w:t>
            </w:r>
          </w:p>
        </w:tc>
        <w:tc>
          <w:tcPr>
            <w:tcW w:w="1168" w:type="dxa"/>
            <w:noWrap w:val="0"/>
            <w:vAlign w:val="center"/>
          </w:tcPr>
          <w:p w14:paraId="091B9393">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0.48</w:t>
            </w:r>
          </w:p>
        </w:tc>
      </w:tr>
      <w:tr w14:paraId="0454F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1BF92987">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QPb3-2</w:t>
            </w:r>
          </w:p>
        </w:tc>
        <w:tc>
          <w:tcPr>
            <w:tcW w:w="4714" w:type="dxa"/>
            <w:tcBorders>
              <w:top w:val="single" w:color="auto" w:sz="4" w:space="0"/>
              <w:left w:val="single" w:color="auto" w:sz="4" w:space="0"/>
              <w:bottom w:val="single" w:color="auto" w:sz="4" w:space="0"/>
              <w:right w:val="nil"/>
            </w:tcBorders>
            <w:noWrap w:val="0"/>
            <w:vAlign w:val="center"/>
          </w:tcPr>
          <w:p w14:paraId="2CD33F7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 xml:space="preserve">8.812，8.861，8.855，8.844，8.819，8.858，8.836 </w:t>
            </w:r>
          </w:p>
        </w:tc>
        <w:tc>
          <w:tcPr>
            <w:tcW w:w="1022" w:type="dxa"/>
            <w:tcBorders>
              <w:left w:val="single" w:color="auto" w:sz="4" w:space="0"/>
            </w:tcBorders>
            <w:noWrap w:val="0"/>
            <w:vAlign w:val="center"/>
          </w:tcPr>
          <w:p w14:paraId="0ECCB97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8.841</w:t>
            </w:r>
          </w:p>
        </w:tc>
        <w:tc>
          <w:tcPr>
            <w:tcW w:w="1055" w:type="dxa"/>
            <w:noWrap w:val="0"/>
            <w:vAlign w:val="center"/>
          </w:tcPr>
          <w:p w14:paraId="68C5605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0.025</w:t>
            </w:r>
          </w:p>
        </w:tc>
        <w:tc>
          <w:tcPr>
            <w:tcW w:w="1168" w:type="dxa"/>
            <w:noWrap w:val="0"/>
            <w:vAlign w:val="center"/>
          </w:tcPr>
          <w:p w14:paraId="3139D6C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0.28</w:t>
            </w:r>
          </w:p>
        </w:tc>
      </w:tr>
      <w:tr w14:paraId="28EAB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31C47DEF">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QPb3-3</w:t>
            </w:r>
          </w:p>
        </w:tc>
        <w:tc>
          <w:tcPr>
            <w:tcW w:w="4714" w:type="dxa"/>
            <w:tcBorders>
              <w:top w:val="single" w:color="auto" w:sz="4" w:space="0"/>
              <w:left w:val="single" w:color="auto" w:sz="4" w:space="0"/>
              <w:bottom w:val="single" w:color="auto" w:sz="4" w:space="0"/>
              <w:right w:val="nil"/>
            </w:tcBorders>
            <w:noWrap w:val="0"/>
            <w:vAlign w:val="center"/>
          </w:tcPr>
          <w:p w14:paraId="3740633D">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17.524，17.503，17.482，17.530，17.523，17.494，17.488</w:t>
            </w:r>
          </w:p>
        </w:tc>
        <w:tc>
          <w:tcPr>
            <w:tcW w:w="1022" w:type="dxa"/>
            <w:tcBorders>
              <w:left w:val="single" w:color="auto" w:sz="4" w:space="0"/>
            </w:tcBorders>
            <w:noWrap w:val="0"/>
            <w:vAlign w:val="center"/>
          </w:tcPr>
          <w:p w14:paraId="31E6AF7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17.506</w:t>
            </w:r>
          </w:p>
        </w:tc>
        <w:tc>
          <w:tcPr>
            <w:tcW w:w="1055" w:type="dxa"/>
            <w:noWrap w:val="0"/>
            <w:vAlign w:val="center"/>
          </w:tcPr>
          <w:p w14:paraId="2894682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0.019</w:t>
            </w:r>
          </w:p>
        </w:tc>
        <w:tc>
          <w:tcPr>
            <w:tcW w:w="1168" w:type="dxa"/>
            <w:noWrap w:val="0"/>
            <w:vAlign w:val="center"/>
          </w:tcPr>
          <w:p w14:paraId="11D8064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0.11</w:t>
            </w:r>
          </w:p>
        </w:tc>
      </w:tr>
      <w:tr w14:paraId="3373B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5C5A3135">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QPb3-4</w:t>
            </w:r>
          </w:p>
          <w:p w14:paraId="6B884DBD">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（合成样）</w:t>
            </w:r>
          </w:p>
        </w:tc>
        <w:tc>
          <w:tcPr>
            <w:tcW w:w="4714" w:type="dxa"/>
            <w:tcBorders>
              <w:top w:val="single" w:color="auto" w:sz="4" w:space="0"/>
              <w:left w:val="single" w:color="auto" w:sz="4" w:space="0"/>
              <w:bottom w:val="single" w:color="auto" w:sz="4" w:space="0"/>
              <w:right w:val="nil"/>
            </w:tcBorders>
            <w:noWrap w:val="0"/>
            <w:vAlign w:val="center"/>
          </w:tcPr>
          <w:p w14:paraId="3196B054">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24.945，24.935，24.947，24.936，24.938，24.940，24.941</w:t>
            </w:r>
          </w:p>
        </w:tc>
        <w:tc>
          <w:tcPr>
            <w:tcW w:w="1022" w:type="dxa"/>
            <w:tcBorders>
              <w:left w:val="single" w:color="auto" w:sz="4" w:space="0"/>
            </w:tcBorders>
            <w:noWrap w:val="0"/>
            <w:vAlign w:val="center"/>
          </w:tcPr>
          <w:p w14:paraId="01CC277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24.940</w:t>
            </w:r>
          </w:p>
        </w:tc>
        <w:tc>
          <w:tcPr>
            <w:tcW w:w="1055" w:type="dxa"/>
            <w:noWrap w:val="0"/>
            <w:vAlign w:val="center"/>
          </w:tcPr>
          <w:p w14:paraId="0619DB1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0.027</w:t>
            </w:r>
          </w:p>
        </w:tc>
        <w:tc>
          <w:tcPr>
            <w:tcW w:w="1168" w:type="dxa"/>
            <w:noWrap w:val="0"/>
            <w:vAlign w:val="center"/>
          </w:tcPr>
          <w:p w14:paraId="4915D32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0.11</w:t>
            </w:r>
          </w:p>
        </w:tc>
      </w:tr>
      <w:tr w14:paraId="6C3C18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noWrap w:val="0"/>
            <w:vAlign w:val="center"/>
          </w:tcPr>
          <w:p w14:paraId="5F6F2DFD">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QPb3-5</w:t>
            </w:r>
          </w:p>
          <w:p w14:paraId="210FBA78">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（合成样）</w:t>
            </w:r>
          </w:p>
        </w:tc>
        <w:tc>
          <w:tcPr>
            <w:tcW w:w="4714" w:type="dxa"/>
            <w:tcBorders>
              <w:top w:val="single" w:color="auto" w:sz="4" w:space="0"/>
              <w:left w:val="single" w:color="auto" w:sz="4" w:space="0"/>
              <w:right w:val="nil"/>
            </w:tcBorders>
            <w:noWrap w:val="0"/>
            <w:vAlign w:val="center"/>
          </w:tcPr>
          <w:p w14:paraId="5C41133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32.068，32.006，31.987，31.996，32.071，32.048，31.977</w:t>
            </w:r>
          </w:p>
        </w:tc>
        <w:tc>
          <w:tcPr>
            <w:tcW w:w="1022" w:type="dxa"/>
            <w:tcBorders>
              <w:left w:val="single" w:color="auto" w:sz="4" w:space="0"/>
            </w:tcBorders>
            <w:noWrap w:val="0"/>
            <w:vAlign w:val="center"/>
          </w:tcPr>
          <w:p w14:paraId="104AA09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32.022</w:t>
            </w:r>
          </w:p>
        </w:tc>
        <w:tc>
          <w:tcPr>
            <w:tcW w:w="1055" w:type="dxa"/>
            <w:noWrap w:val="0"/>
            <w:vAlign w:val="center"/>
          </w:tcPr>
          <w:p w14:paraId="38D7260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0.022</w:t>
            </w:r>
          </w:p>
        </w:tc>
        <w:tc>
          <w:tcPr>
            <w:tcW w:w="1168" w:type="dxa"/>
            <w:noWrap w:val="0"/>
            <w:vAlign w:val="center"/>
          </w:tcPr>
          <w:p w14:paraId="4304885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0.070</w:t>
            </w:r>
          </w:p>
        </w:tc>
      </w:tr>
    </w:tbl>
    <w:p w14:paraId="11AC804A">
      <w:pPr>
        <w:pStyle w:val="8"/>
        <w:jc w:val="both"/>
        <w:rPr>
          <w:rFonts w:hint="eastAsia" w:ascii="黑体" w:hAnsi="黑体" w:eastAsia="黑体" w:cs="黑体"/>
          <w:sz w:val="21"/>
          <w:szCs w:val="21"/>
          <w:lang w:val="en-US" w:eastAsia="zh-CN"/>
        </w:rPr>
      </w:pPr>
    </w:p>
    <w:p w14:paraId="198492E7">
      <w:pPr>
        <w:pStyle w:val="8"/>
        <w:keepNext w:val="0"/>
        <w:keepLines w:val="0"/>
        <w:pageBreakBefore w:val="0"/>
        <w:widowControl w:val="0"/>
        <w:kinsoku/>
        <w:wordWrap/>
        <w:overflowPunct/>
        <w:topLinePunct w:val="0"/>
        <w:autoSpaceDE/>
        <w:autoSpaceDN/>
        <w:bidi w:val="0"/>
        <w:adjustRightInd/>
        <w:snapToGrid w:val="0"/>
        <w:ind w:firstLine="420" w:firstLineChars="200"/>
        <w:jc w:val="center"/>
        <w:textAlignment w:val="auto"/>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表12-5结果表明，用本方法对5个不同铅含量铜合金试样进行精密度试验，相对标准</w:t>
      </w:r>
    </w:p>
    <w:p w14:paraId="034EDC4C">
      <w:pPr>
        <w:pStyle w:val="8"/>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bCs/>
          <w:color w:val="000000"/>
          <w:sz w:val="21"/>
          <w:szCs w:val="21"/>
          <w:lang w:eastAsia="zh-CN"/>
        </w:rPr>
      </w:pPr>
      <w:r>
        <w:rPr>
          <w:rFonts w:hint="eastAsia" w:ascii="宋体" w:hAnsi="宋体" w:eastAsia="宋体" w:cs="宋体"/>
          <w:bCs/>
          <w:color w:val="000000"/>
          <w:sz w:val="21"/>
          <w:szCs w:val="21"/>
          <w:lang w:val="en-US" w:eastAsia="zh-CN"/>
        </w:rPr>
        <w:t>偏差在0.070%～0.4</w:t>
      </w:r>
      <w:r>
        <w:rPr>
          <w:rFonts w:hint="eastAsia" w:ascii="宋体" w:hAnsi="宋体" w:cs="宋体"/>
          <w:bCs/>
          <w:color w:val="000000"/>
          <w:sz w:val="21"/>
          <w:szCs w:val="21"/>
          <w:lang w:val="en-US" w:eastAsia="zh-CN"/>
        </w:rPr>
        <w:t>8</w:t>
      </w:r>
      <w:r>
        <w:rPr>
          <w:rFonts w:hint="eastAsia" w:ascii="宋体" w:hAnsi="宋体" w:eastAsia="宋体" w:cs="宋体"/>
          <w:bCs/>
          <w:color w:val="000000"/>
          <w:sz w:val="21"/>
          <w:szCs w:val="21"/>
          <w:lang w:val="en-US" w:eastAsia="zh-CN"/>
        </w:rPr>
        <w:t>%之间，方法精密度能满足检测需求。</w:t>
      </w:r>
      <w:r>
        <w:rPr>
          <w:rFonts w:hint="eastAsia" w:ascii="宋体" w:hAnsi="宋体" w:eastAsia="宋体" w:cs="宋体"/>
          <w:bCs/>
          <w:color w:val="000000"/>
          <w:sz w:val="21"/>
          <w:szCs w:val="21"/>
          <w:lang w:eastAsia="zh-CN"/>
        </w:rPr>
        <w:t>结论与起草方一致。</w:t>
      </w:r>
    </w:p>
    <w:p w14:paraId="52DF3DE4">
      <w:pPr>
        <w:pStyle w:val="8"/>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bCs/>
          <w:color w:val="000000"/>
          <w:sz w:val="21"/>
          <w:szCs w:val="21"/>
          <w:lang w:eastAsia="zh-CN"/>
        </w:rPr>
      </w:pPr>
    </w:p>
    <w:p w14:paraId="43569136">
      <w:pPr>
        <w:pStyle w:val="8"/>
        <w:keepNext w:val="0"/>
        <w:keepLines w:val="0"/>
        <w:pageBreakBefore w:val="0"/>
        <w:widowControl w:val="0"/>
        <w:kinsoku/>
        <w:wordWrap/>
        <w:overflowPunct/>
        <w:topLinePunct w:val="0"/>
        <w:autoSpaceDE/>
        <w:autoSpaceDN/>
        <w:bidi w:val="0"/>
        <w:adjustRightInd/>
        <w:snapToGrid w:val="0"/>
        <w:jc w:val="center"/>
        <w:textAlignment w:val="auto"/>
        <w:rPr>
          <w:rFonts w:hint="default" w:ascii="黑体" w:hAnsi="黑体" w:eastAsia="黑体" w:cs="黑体"/>
          <w:sz w:val="21"/>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2-6</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（昆明冶金研究院有限公司）</w:t>
      </w:r>
    </w:p>
    <w:tbl>
      <w:tblPr>
        <w:tblStyle w:val="13"/>
        <w:tblW w:w="92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55"/>
        <w:gridCol w:w="4714"/>
        <w:gridCol w:w="1022"/>
        <w:gridCol w:w="1055"/>
        <w:gridCol w:w="1168"/>
      </w:tblGrid>
      <w:tr w14:paraId="3B944C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255" w:type="dxa"/>
            <w:vAlign w:val="center"/>
          </w:tcPr>
          <w:p w14:paraId="745FFFB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样品编号</w:t>
            </w:r>
          </w:p>
        </w:tc>
        <w:tc>
          <w:tcPr>
            <w:tcW w:w="4714" w:type="dxa"/>
            <w:tcBorders>
              <w:bottom w:val="single" w:color="auto" w:sz="4" w:space="0"/>
            </w:tcBorders>
            <w:vAlign w:val="center"/>
          </w:tcPr>
          <w:p w14:paraId="21E22DF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测定结果/ % </w:t>
            </w:r>
          </w:p>
        </w:tc>
        <w:tc>
          <w:tcPr>
            <w:tcW w:w="1022" w:type="dxa"/>
            <w:vAlign w:val="center"/>
          </w:tcPr>
          <w:p w14:paraId="7D09CA1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平均值/ %</w:t>
            </w:r>
          </w:p>
        </w:tc>
        <w:tc>
          <w:tcPr>
            <w:tcW w:w="1055" w:type="dxa"/>
            <w:vAlign w:val="center"/>
          </w:tcPr>
          <w:p w14:paraId="7B9A0BF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标准</w:t>
            </w:r>
          </w:p>
          <w:p w14:paraId="5FCA3DF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偏差/%</w:t>
            </w:r>
          </w:p>
        </w:tc>
        <w:tc>
          <w:tcPr>
            <w:tcW w:w="1168" w:type="dxa"/>
            <w:vAlign w:val="center"/>
          </w:tcPr>
          <w:p w14:paraId="6CB876A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RSD/</w:t>
            </w:r>
          </w:p>
          <w:p w14:paraId="7BAD1F3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w:t>
            </w:r>
          </w:p>
        </w:tc>
      </w:tr>
      <w:tr w14:paraId="2782BB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4337DB9B">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QPb3-1</w:t>
            </w:r>
          </w:p>
        </w:tc>
        <w:tc>
          <w:tcPr>
            <w:tcW w:w="4714" w:type="dxa"/>
            <w:tcBorders>
              <w:top w:val="single" w:color="auto" w:sz="4" w:space="0"/>
              <w:left w:val="single" w:color="auto" w:sz="4" w:space="0"/>
              <w:bottom w:val="single" w:color="auto" w:sz="4" w:space="0"/>
              <w:right w:val="nil"/>
            </w:tcBorders>
            <w:vAlign w:val="center"/>
          </w:tcPr>
          <w:p w14:paraId="50F0AD90">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w:t>
            </w:r>
            <w:r>
              <w:rPr>
                <w:rFonts w:hint="eastAsia" w:ascii="宋体" w:hAnsi="宋体" w:eastAsia="宋体" w:cs="宋体"/>
                <w:color w:val="000000"/>
                <w:sz w:val="18"/>
                <w:szCs w:val="18"/>
                <w:lang w:val="en-US" w:eastAsia="zh-CN"/>
              </w:rPr>
              <w:t>175</w:t>
            </w:r>
            <w:r>
              <w:rPr>
                <w:rFonts w:hint="eastAsia" w:ascii="宋体" w:hAnsi="宋体" w:eastAsia="宋体" w:cs="宋体"/>
                <w:color w:val="000000"/>
                <w:sz w:val="18"/>
                <w:szCs w:val="18"/>
              </w:rPr>
              <w:t>，6.</w:t>
            </w:r>
            <w:r>
              <w:rPr>
                <w:rFonts w:hint="eastAsia" w:ascii="宋体" w:hAnsi="宋体" w:eastAsia="宋体" w:cs="宋体"/>
                <w:color w:val="000000"/>
                <w:sz w:val="18"/>
                <w:szCs w:val="18"/>
                <w:lang w:val="en-US" w:eastAsia="zh-CN"/>
              </w:rPr>
              <w:t>124</w:t>
            </w:r>
            <w:r>
              <w:rPr>
                <w:rFonts w:hint="eastAsia" w:ascii="宋体" w:hAnsi="宋体" w:eastAsia="宋体" w:cs="宋体"/>
                <w:color w:val="000000"/>
                <w:sz w:val="18"/>
                <w:szCs w:val="18"/>
              </w:rPr>
              <w:t>，6.</w:t>
            </w:r>
            <w:r>
              <w:rPr>
                <w:rFonts w:hint="eastAsia" w:ascii="宋体" w:hAnsi="宋体" w:eastAsia="宋体" w:cs="宋体"/>
                <w:color w:val="000000"/>
                <w:sz w:val="18"/>
                <w:szCs w:val="18"/>
                <w:lang w:val="en-US" w:eastAsia="zh-CN"/>
              </w:rPr>
              <w:t>09</w:t>
            </w:r>
            <w:r>
              <w:rPr>
                <w:rFonts w:hint="eastAsia" w:ascii="宋体" w:hAnsi="宋体" w:eastAsia="宋体" w:cs="宋体"/>
                <w:color w:val="000000"/>
                <w:sz w:val="18"/>
                <w:szCs w:val="18"/>
              </w:rPr>
              <w:t>9，6.</w:t>
            </w:r>
            <w:r>
              <w:rPr>
                <w:rFonts w:hint="eastAsia" w:ascii="宋体" w:hAnsi="宋体" w:eastAsia="宋体" w:cs="宋体"/>
                <w:color w:val="000000"/>
                <w:sz w:val="18"/>
                <w:szCs w:val="18"/>
                <w:lang w:val="en-US" w:eastAsia="zh-CN"/>
              </w:rPr>
              <w:t>075</w:t>
            </w:r>
            <w:r>
              <w:rPr>
                <w:rFonts w:hint="eastAsia" w:ascii="宋体" w:hAnsi="宋体" w:eastAsia="宋体" w:cs="宋体"/>
                <w:color w:val="000000"/>
                <w:sz w:val="18"/>
                <w:szCs w:val="18"/>
              </w:rPr>
              <w:t>，6.1</w:t>
            </w:r>
            <w:r>
              <w:rPr>
                <w:rFonts w:hint="eastAsia" w:ascii="宋体" w:hAnsi="宋体" w:eastAsia="宋体" w:cs="宋体"/>
                <w:color w:val="000000"/>
                <w:sz w:val="18"/>
                <w:szCs w:val="18"/>
                <w:lang w:val="en-US" w:eastAsia="zh-CN"/>
              </w:rPr>
              <w:t>27</w:t>
            </w:r>
            <w:r>
              <w:rPr>
                <w:rFonts w:hint="eastAsia" w:ascii="宋体" w:hAnsi="宋体" w:eastAsia="宋体" w:cs="宋体"/>
                <w:color w:val="000000"/>
                <w:sz w:val="18"/>
                <w:szCs w:val="18"/>
              </w:rPr>
              <w:t>，6.</w:t>
            </w:r>
            <w:r>
              <w:rPr>
                <w:rFonts w:hint="eastAsia" w:ascii="宋体" w:hAnsi="宋体" w:eastAsia="宋体" w:cs="宋体"/>
                <w:color w:val="000000"/>
                <w:sz w:val="18"/>
                <w:szCs w:val="18"/>
                <w:lang w:val="en-US" w:eastAsia="zh-CN"/>
              </w:rPr>
              <w:t>115</w:t>
            </w:r>
            <w:r>
              <w:rPr>
                <w:rFonts w:hint="eastAsia" w:ascii="宋体" w:hAnsi="宋体" w:eastAsia="宋体" w:cs="宋体"/>
                <w:color w:val="000000"/>
                <w:sz w:val="18"/>
                <w:szCs w:val="18"/>
              </w:rPr>
              <w:t>，6.</w:t>
            </w:r>
            <w:r>
              <w:rPr>
                <w:rFonts w:hint="eastAsia" w:ascii="宋体" w:hAnsi="宋体" w:eastAsia="宋体" w:cs="宋体"/>
                <w:color w:val="000000"/>
                <w:sz w:val="18"/>
                <w:szCs w:val="18"/>
                <w:lang w:val="en-US" w:eastAsia="zh-CN"/>
              </w:rPr>
              <w:t>09</w:t>
            </w:r>
            <w:r>
              <w:rPr>
                <w:rFonts w:hint="eastAsia" w:ascii="宋体" w:hAnsi="宋体" w:eastAsia="宋体" w:cs="宋体"/>
                <w:color w:val="000000"/>
                <w:sz w:val="18"/>
                <w:szCs w:val="18"/>
              </w:rPr>
              <w:t>1</w:t>
            </w:r>
          </w:p>
        </w:tc>
        <w:tc>
          <w:tcPr>
            <w:tcW w:w="1022" w:type="dxa"/>
            <w:tcBorders>
              <w:left w:val="single" w:color="auto" w:sz="4" w:space="0"/>
            </w:tcBorders>
            <w:vAlign w:val="center"/>
          </w:tcPr>
          <w:p w14:paraId="3C3F4880">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6.115</w:t>
            </w:r>
          </w:p>
        </w:tc>
        <w:tc>
          <w:tcPr>
            <w:tcW w:w="1055" w:type="dxa"/>
            <w:vAlign w:val="center"/>
          </w:tcPr>
          <w:p w14:paraId="62CD3283">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0.032</w:t>
            </w:r>
          </w:p>
        </w:tc>
        <w:tc>
          <w:tcPr>
            <w:tcW w:w="1168" w:type="dxa"/>
            <w:vAlign w:val="center"/>
          </w:tcPr>
          <w:p w14:paraId="7517A78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0.53</w:t>
            </w:r>
          </w:p>
        </w:tc>
      </w:tr>
      <w:tr w14:paraId="4AB78A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5D4D3B54">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QPb3-2</w:t>
            </w:r>
          </w:p>
        </w:tc>
        <w:tc>
          <w:tcPr>
            <w:tcW w:w="4714" w:type="dxa"/>
            <w:tcBorders>
              <w:top w:val="single" w:color="auto" w:sz="4" w:space="0"/>
              <w:left w:val="single" w:color="auto" w:sz="4" w:space="0"/>
              <w:bottom w:val="single" w:color="auto" w:sz="4" w:space="0"/>
              <w:right w:val="nil"/>
            </w:tcBorders>
            <w:vAlign w:val="center"/>
          </w:tcPr>
          <w:p w14:paraId="76E9EC2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8.</w:t>
            </w:r>
            <w:r>
              <w:rPr>
                <w:rFonts w:hint="eastAsia" w:ascii="宋体" w:hAnsi="宋体" w:eastAsia="宋体" w:cs="宋体"/>
                <w:color w:val="000000"/>
                <w:sz w:val="18"/>
                <w:szCs w:val="18"/>
                <w:lang w:val="en-US" w:eastAsia="zh-CN"/>
              </w:rPr>
              <w:t>844</w:t>
            </w:r>
            <w:r>
              <w:rPr>
                <w:rFonts w:hint="eastAsia" w:ascii="宋体" w:hAnsi="宋体" w:eastAsia="宋体" w:cs="宋体"/>
                <w:color w:val="000000"/>
                <w:sz w:val="18"/>
                <w:szCs w:val="18"/>
              </w:rPr>
              <w:t>，8.</w:t>
            </w:r>
            <w:r>
              <w:rPr>
                <w:rFonts w:hint="eastAsia" w:ascii="宋体" w:hAnsi="宋体" w:eastAsia="宋体" w:cs="宋体"/>
                <w:color w:val="000000"/>
                <w:sz w:val="18"/>
                <w:szCs w:val="18"/>
                <w:lang w:val="en-US" w:eastAsia="zh-CN"/>
              </w:rPr>
              <w:t>799</w:t>
            </w:r>
            <w:r>
              <w:rPr>
                <w:rFonts w:hint="eastAsia" w:ascii="宋体" w:hAnsi="宋体" w:eastAsia="宋体" w:cs="宋体"/>
                <w:color w:val="000000"/>
                <w:sz w:val="18"/>
                <w:szCs w:val="18"/>
              </w:rPr>
              <w:t>，8.</w:t>
            </w:r>
            <w:r>
              <w:rPr>
                <w:rFonts w:hint="eastAsia" w:ascii="宋体" w:hAnsi="宋体" w:eastAsia="宋体" w:cs="宋体"/>
                <w:color w:val="000000"/>
                <w:sz w:val="18"/>
                <w:szCs w:val="18"/>
                <w:lang w:val="en-US" w:eastAsia="zh-CN"/>
              </w:rPr>
              <w:t>828</w:t>
            </w:r>
            <w:r>
              <w:rPr>
                <w:rFonts w:hint="eastAsia" w:ascii="宋体" w:hAnsi="宋体" w:eastAsia="宋体" w:cs="宋体"/>
                <w:color w:val="000000"/>
                <w:sz w:val="18"/>
                <w:szCs w:val="18"/>
              </w:rPr>
              <w:t>，8.8</w:t>
            </w:r>
            <w:r>
              <w:rPr>
                <w:rFonts w:hint="eastAsia" w:ascii="宋体" w:hAnsi="宋体" w:eastAsia="宋体" w:cs="宋体"/>
                <w:color w:val="000000"/>
                <w:sz w:val="18"/>
                <w:szCs w:val="18"/>
                <w:lang w:val="en-US" w:eastAsia="zh-CN"/>
              </w:rPr>
              <w:t>23</w:t>
            </w:r>
            <w:r>
              <w:rPr>
                <w:rFonts w:hint="eastAsia" w:ascii="宋体" w:hAnsi="宋体" w:eastAsia="宋体" w:cs="宋体"/>
                <w:color w:val="000000"/>
                <w:sz w:val="18"/>
                <w:szCs w:val="18"/>
              </w:rPr>
              <w:t>，8.</w:t>
            </w:r>
            <w:r>
              <w:rPr>
                <w:rFonts w:hint="eastAsia" w:ascii="宋体" w:hAnsi="宋体" w:eastAsia="宋体" w:cs="宋体"/>
                <w:color w:val="000000"/>
                <w:sz w:val="18"/>
                <w:szCs w:val="18"/>
                <w:lang w:val="en-US" w:eastAsia="zh-CN"/>
              </w:rPr>
              <w:t>90</w:t>
            </w:r>
            <w:r>
              <w:rPr>
                <w:rFonts w:hint="eastAsia" w:ascii="宋体" w:hAnsi="宋体" w:eastAsia="宋体" w:cs="宋体"/>
                <w:color w:val="000000"/>
                <w:sz w:val="18"/>
                <w:szCs w:val="18"/>
              </w:rPr>
              <w:t>5，8.</w:t>
            </w:r>
            <w:r>
              <w:rPr>
                <w:rFonts w:hint="eastAsia" w:ascii="宋体" w:hAnsi="宋体" w:eastAsia="宋体" w:cs="宋体"/>
                <w:color w:val="000000"/>
                <w:sz w:val="18"/>
                <w:szCs w:val="18"/>
                <w:lang w:val="en-US" w:eastAsia="zh-CN"/>
              </w:rPr>
              <w:t>858</w:t>
            </w:r>
            <w:r>
              <w:rPr>
                <w:rFonts w:hint="eastAsia" w:ascii="宋体" w:hAnsi="宋体" w:eastAsia="宋体" w:cs="宋体"/>
                <w:color w:val="000000"/>
                <w:sz w:val="18"/>
                <w:szCs w:val="18"/>
              </w:rPr>
              <w:t>，8.866</w:t>
            </w:r>
          </w:p>
        </w:tc>
        <w:tc>
          <w:tcPr>
            <w:tcW w:w="1022" w:type="dxa"/>
            <w:tcBorders>
              <w:left w:val="single" w:color="auto" w:sz="4" w:space="0"/>
            </w:tcBorders>
            <w:vAlign w:val="center"/>
          </w:tcPr>
          <w:p w14:paraId="0716019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8.846</w:t>
            </w:r>
          </w:p>
        </w:tc>
        <w:tc>
          <w:tcPr>
            <w:tcW w:w="1055" w:type="dxa"/>
            <w:vAlign w:val="center"/>
          </w:tcPr>
          <w:p w14:paraId="7248D5B3">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0.034</w:t>
            </w:r>
          </w:p>
        </w:tc>
        <w:tc>
          <w:tcPr>
            <w:tcW w:w="1168" w:type="dxa"/>
            <w:vAlign w:val="center"/>
          </w:tcPr>
          <w:p w14:paraId="6F3B22E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0.39</w:t>
            </w:r>
          </w:p>
        </w:tc>
      </w:tr>
      <w:tr w14:paraId="634385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7E5B9187">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QPb3-3</w:t>
            </w:r>
          </w:p>
        </w:tc>
        <w:tc>
          <w:tcPr>
            <w:tcW w:w="4714" w:type="dxa"/>
            <w:tcBorders>
              <w:top w:val="single" w:color="auto" w:sz="4" w:space="0"/>
              <w:left w:val="single" w:color="auto" w:sz="4" w:space="0"/>
              <w:bottom w:val="single" w:color="auto" w:sz="4" w:space="0"/>
              <w:right w:val="nil"/>
            </w:tcBorders>
            <w:vAlign w:val="center"/>
          </w:tcPr>
          <w:p w14:paraId="19EAD9C9">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17.</w:t>
            </w:r>
            <w:r>
              <w:rPr>
                <w:rFonts w:hint="eastAsia" w:ascii="宋体" w:hAnsi="宋体" w:eastAsia="宋体" w:cs="宋体"/>
                <w:color w:val="000000"/>
                <w:sz w:val="18"/>
                <w:szCs w:val="18"/>
                <w:lang w:val="en-US" w:eastAsia="zh-CN"/>
              </w:rPr>
              <w:t>585</w:t>
            </w:r>
            <w:r>
              <w:rPr>
                <w:rFonts w:hint="eastAsia" w:ascii="宋体" w:hAnsi="宋体" w:eastAsia="宋体" w:cs="宋体"/>
                <w:color w:val="000000"/>
                <w:sz w:val="18"/>
                <w:szCs w:val="18"/>
              </w:rPr>
              <w:t>，17.</w:t>
            </w:r>
            <w:r>
              <w:rPr>
                <w:rFonts w:hint="eastAsia" w:ascii="宋体" w:hAnsi="宋体" w:eastAsia="宋体" w:cs="宋体"/>
                <w:color w:val="000000"/>
                <w:sz w:val="18"/>
                <w:szCs w:val="18"/>
                <w:lang w:val="en-US" w:eastAsia="zh-CN"/>
              </w:rPr>
              <w:t>580</w:t>
            </w:r>
            <w:r>
              <w:rPr>
                <w:rFonts w:hint="eastAsia" w:ascii="宋体" w:hAnsi="宋体" w:eastAsia="宋体" w:cs="宋体"/>
                <w:color w:val="000000"/>
                <w:sz w:val="18"/>
                <w:szCs w:val="18"/>
              </w:rPr>
              <w:t>，17.5</w:t>
            </w:r>
            <w:r>
              <w:rPr>
                <w:rFonts w:hint="eastAsia" w:ascii="宋体" w:hAnsi="宋体" w:eastAsia="宋体" w:cs="宋体"/>
                <w:color w:val="000000"/>
                <w:sz w:val="18"/>
                <w:szCs w:val="18"/>
                <w:lang w:val="en-US" w:eastAsia="zh-CN"/>
              </w:rPr>
              <w:t>82</w:t>
            </w:r>
            <w:r>
              <w:rPr>
                <w:rFonts w:hint="eastAsia" w:ascii="宋体" w:hAnsi="宋体" w:eastAsia="宋体" w:cs="宋体"/>
                <w:color w:val="000000"/>
                <w:sz w:val="18"/>
                <w:szCs w:val="18"/>
              </w:rPr>
              <w:t>，17.</w:t>
            </w:r>
            <w:r>
              <w:rPr>
                <w:rFonts w:hint="eastAsia" w:ascii="宋体" w:hAnsi="宋体" w:eastAsia="宋体" w:cs="宋体"/>
                <w:color w:val="000000"/>
                <w:sz w:val="18"/>
                <w:szCs w:val="18"/>
                <w:lang w:val="en-US" w:eastAsia="zh-CN"/>
              </w:rPr>
              <w:t>487</w:t>
            </w:r>
            <w:r>
              <w:rPr>
                <w:rFonts w:hint="eastAsia" w:ascii="宋体" w:hAnsi="宋体" w:eastAsia="宋体" w:cs="宋体"/>
                <w:color w:val="000000"/>
                <w:sz w:val="18"/>
                <w:szCs w:val="18"/>
              </w:rPr>
              <w:t>，17.</w:t>
            </w:r>
            <w:r>
              <w:rPr>
                <w:rFonts w:hint="eastAsia" w:ascii="宋体" w:hAnsi="宋体" w:eastAsia="宋体" w:cs="宋体"/>
                <w:color w:val="000000"/>
                <w:sz w:val="18"/>
                <w:szCs w:val="18"/>
                <w:lang w:val="en-US" w:eastAsia="zh-CN"/>
              </w:rPr>
              <w:t>608</w:t>
            </w:r>
            <w:r>
              <w:rPr>
                <w:rFonts w:hint="eastAsia" w:ascii="宋体" w:hAnsi="宋体" w:eastAsia="宋体" w:cs="宋体"/>
                <w:color w:val="000000"/>
                <w:sz w:val="18"/>
                <w:szCs w:val="18"/>
              </w:rPr>
              <w:t>，17.</w:t>
            </w:r>
            <w:r>
              <w:rPr>
                <w:rFonts w:hint="eastAsia" w:ascii="宋体" w:hAnsi="宋体" w:eastAsia="宋体" w:cs="宋体"/>
                <w:color w:val="000000"/>
                <w:sz w:val="18"/>
                <w:szCs w:val="18"/>
                <w:lang w:val="en-US" w:eastAsia="zh-CN"/>
              </w:rPr>
              <w:t>489</w:t>
            </w:r>
            <w:r>
              <w:rPr>
                <w:rFonts w:hint="eastAsia" w:ascii="宋体" w:hAnsi="宋体" w:eastAsia="宋体" w:cs="宋体"/>
                <w:color w:val="000000"/>
                <w:sz w:val="18"/>
                <w:szCs w:val="18"/>
              </w:rPr>
              <w:t>，17.</w:t>
            </w:r>
            <w:r>
              <w:rPr>
                <w:rFonts w:hint="eastAsia" w:ascii="宋体" w:hAnsi="宋体" w:eastAsia="宋体" w:cs="宋体"/>
                <w:color w:val="000000"/>
                <w:sz w:val="18"/>
                <w:szCs w:val="18"/>
                <w:lang w:val="en-US" w:eastAsia="zh-CN"/>
              </w:rPr>
              <w:t>499</w:t>
            </w:r>
          </w:p>
        </w:tc>
        <w:tc>
          <w:tcPr>
            <w:tcW w:w="1022" w:type="dxa"/>
            <w:tcBorders>
              <w:left w:val="single" w:color="auto" w:sz="4" w:space="0"/>
            </w:tcBorders>
            <w:vAlign w:val="center"/>
          </w:tcPr>
          <w:p w14:paraId="61B1C3A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17.547</w:t>
            </w:r>
          </w:p>
        </w:tc>
        <w:tc>
          <w:tcPr>
            <w:tcW w:w="1055" w:type="dxa"/>
            <w:vAlign w:val="center"/>
          </w:tcPr>
          <w:p w14:paraId="7BAC542E">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0.045</w:t>
            </w:r>
          </w:p>
        </w:tc>
        <w:tc>
          <w:tcPr>
            <w:tcW w:w="1168" w:type="dxa"/>
            <w:vAlign w:val="center"/>
          </w:tcPr>
          <w:p w14:paraId="1D26597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0.26</w:t>
            </w:r>
          </w:p>
        </w:tc>
      </w:tr>
      <w:tr w14:paraId="2B60F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306158FF">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QPb3-4</w:t>
            </w:r>
          </w:p>
          <w:p w14:paraId="219FF84B">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（合成样）</w:t>
            </w:r>
          </w:p>
        </w:tc>
        <w:tc>
          <w:tcPr>
            <w:tcW w:w="4714" w:type="dxa"/>
            <w:tcBorders>
              <w:top w:val="single" w:color="auto" w:sz="4" w:space="0"/>
              <w:left w:val="single" w:color="auto" w:sz="4" w:space="0"/>
              <w:bottom w:val="single" w:color="auto" w:sz="4" w:space="0"/>
              <w:right w:val="nil"/>
            </w:tcBorders>
            <w:vAlign w:val="center"/>
          </w:tcPr>
          <w:p w14:paraId="11051DEE">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24.</w:t>
            </w:r>
            <w:r>
              <w:rPr>
                <w:rFonts w:hint="eastAsia" w:ascii="宋体" w:hAnsi="宋体" w:eastAsia="宋体" w:cs="宋体"/>
                <w:color w:val="000000"/>
                <w:sz w:val="18"/>
                <w:szCs w:val="18"/>
                <w:lang w:val="en-US" w:eastAsia="zh-CN"/>
              </w:rPr>
              <w:t>898</w:t>
            </w:r>
            <w:r>
              <w:rPr>
                <w:rFonts w:hint="eastAsia" w:ascii="宋体" w:hAnsi="宋体" w:eastAsia="宋体" w:cs="宋体"/>
                <w:color w:val="000000"/>
                <w:sz w:val="18"/>
                <w:szCs w:val="18"/>
              </w:rPr>
              <w:t>，24.9</w:t>
            </w:r>
            <w:r>
              <w:rPr>
                <w:rFonts w:hint="eastAsia" w:ascii="宋体" w:hAnsi="宋体" w:eastAsia="宋体" w:cs="宋体"/>
                <w:color w:val="000000"/>
                <w:sz w:val="18"/>
                <w:szCs w:val="18"/>
                <w:lang w:val="en-US" w:eastAsia="zh-CN"/>
              </w:rPr>
              <w:t>98</w:t>
            </w:r>
            <w:r>
              <w:rPr>
                <w:rFonts w:hint="eastAsia" w:ascii="宋体" w:hAnsi="宋体" w:eastAsia="宋体" w:cs="宋体"/>
                <w:color w:val="000000"/>
                <w:sz w:val="18"/>
                <w:szCs w:val="18"/>
              </w:rPr>
              <w:t>，24.9</w:t>
            </w:r>
            <w:r>
              <w:rPr>
                <w:rFonts w:hint="eastAsia" w:ascii="宋体" w:hAnsi="宋体" w:eastAsia="宋体" w:cs="宋体"/>
                <w:color w:val="000000"/>
                <w:sz w:val="18"/>
                <w:szCs w:val="18"/>
                <w:lang w:val="en-US" w:eastAsia="zh-CN"/>
              </w:rPr>
              <w:t>44</w:t>
            </w:r>
            <w:r>
              <w:rPr>
                <w:rFonts w:hint="eastAsia" w:ascii="宋体" w:hAnsi="宋体" w:eastAsia="宋体" w:cs="宋体"/>
                <w:color w:val="000000"/>
                <w:sz w:val="18"/>
                <w:szCs w:val="18"/>
              </w:rPr>
              <w:t>，24.950，24.9</w:t>
            </w:r>
            <w:r>
              <w:rPr>
                <w:rFonts w:hint="eastAsia" w:ascii="宋体" w:hAnsi="宋体" w:eastAsia="宋体" w:cs="宋体"/>
                <w:color w:val="000000"/>
                <w:sz w:val="18"/>
                <w:szCs w:val="18"/>
                <w:lang w:val="en-US" w:eastAsia="zh-CN"/>
              </w:rPr>
              <w:t>95</w:t>
            </w:r>
            <w:r>
              <w:rPr>
                <w:rFonts w:hint="eastAsia" w:ascii="宋体" w:hAnsi="宋体" w:eastAsia="宋体" w:cs="宋体"/>
                <w:color w:val="000000"/>
                <w:sz w:val="18"/>
                <w:szCs w:val="18"/>
              </w:rPr>
              <w:t>，2</w:t>
            </w:r>
            <w:r>
              <w:rPr>
                <w:rFonts w:hint="eastAsia" w:ascii="宋体" w:hAnsi="宋体" w:eastAsia="宋体" w:cs="宋体"/>
                <w:color w:val="000000"/>
                <w:sz w:val="18"/>
                <w:szCs w:val="18"/>
                <w:lang w:val="en-US" w:eastAsia="zh-CN"/>
              </w:rPr>
              <w:t>4</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899</w:t>
            </w:r>
            <w:r>
              <w:rPr>
                <w:rFonts w:hint="eastAsia" w:ascii="宋体" w:hAnsi="宋体" w:eastAsia="宋体" w:cs="宋体"/>
                <w:color w:val="000000"/>
                <w:sz w:val="18"/>
                <w:szCs w:val="18"/>
              </w:rPr>
              <w:t>，24.9</w:t>
            </w:r>
            <w:r>
              <w:rPr>
                <w:rFonts w:hint="eastAsia" w:ascii="宋体" w:hAnsi="宋体" w:eastAsia="宋体" w:cs="宋体"/>
                <w:color w:val="000000"/>
                <w:sz w:val="18"/>
                <w:szCs w:val="18"/>
                <w:lang w:val="en-US" w:eastAsia="zh-CN"/>
              </w:rPr>
              <w:t>55</w:t>
            </w:r>
          </w:p>
        </w:tc>
        <w:tc>
          <w:tcPr>
            <w:tcW w:w="1022" w:type="dxa"/>
            <w:tcBorders>
              <w:left w:val="single" w:color="auto" w:sz="4" w:space="0"/>
            </w:tcBorders>
            <w:vAlign w:val="center"/>
          </w:tcPr>
          <w:p w14:paraId="0C59EE48">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24.948</w:t>
            </w:r>
          </w:p>
        </w:tc>
        <w:tc>
          <w:tcPr>
            <w:tcW w:w="1055" w:type="dxa"/>
            <w:vAlign w:val="center"/>
          </w:tcPr>
          <w:p w14:paraId="71170A2F">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0.041</w:t>
            </w:r>
          </w:p>
        </w:tc>
        <w:tc>
          <w:tcPr>
            <w:tcW w:w="1168" w:type="dxa"/>
            <w:vAlign w:val="center"/>
          </w:tcPr>
          <w:p w14:paraId="1BEE9899">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0.16</w:t>
            </w:r>
          </w:p>
        </w:tc>
      </w:tr>
      <w:tr w14:paraId="3EF092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4139BAA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QPb3-5</w:t>
            </w:r>
          </w:p>
          <w:p w14:paraId="5EBB07EA">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（合成样）</w:t>
            </w:r>
          </w:p>
        </w:tc>
        <w:tc>
          <w:tcPr>
            <w:tcW w:w="4714" w:type="dxa"/>
            <w:tcBorders>
              <w:top w:val="single" w:color="auto" w:sz="4" w:space="0"/>
              <w:left w:val="single" w:color="auto" w:sz="4" w:space="0"/>
              <w:right w:val="nil"/>
            </w:tcBorders>
            <w:vAlign w:val="center"/>
          </w:tcPr>
          <w:p w14:paraId="482B750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rPr>
              <w:t>31.9</w:t>
            </w:r>
            <w:r>
              <w:rPr>
                <w:rFonts w:hint="eastAsia" w:ascii="宋体" w:hAnsi="宋体" w:eastAsia="宋体" w:cs="宋体"/>
                <w:color w:val="000000"/>
                <w:sz w:val="18"/>
                <w:szCs w:val="18"/>
                <w:lang w:val="en-US" w:eastAsia="zh-CN"/>
              </w:rPr>
              <w:t>60</w:t>
            </w:r>
            <w:r>
              <w:rPr>
                <w:rFonts w:hint="eastAsia" w:ascii="宋体" w:hAnsi="宋体" w:eastAsia="宋体" w:cs="宋体"/>
                <w:color w:val="000000"/>
                <w:sz w:val="18"/>
                <w:szCs w:val="18"/>
              </w:rPr>
              <w:t>，31.9</w:t>
            </w:r>
            <w:r>
              <w:rPr>
                <w:rFonts w:hint="eastAsia" w:ascii="宋体" w:hAnsi="宋体" w:eastAsia="宋体" w:cs="宋体"/>
                <w:color w:val="000000"/>
                <w:sz w:val="18"/>
                <w:szCs w:val="18"/>
                <w:lang w:val="en-US" w:eastAsia="zh-CN"/>
              </w:rPr>
              <w:t>69</w:t>
            </w:r>
            <w:r>
              <w:rPr>
                <w:rFonts w:hint="eastAsia" w:ascii="宋体" w:hAnsi="宋体" w:eastAsia="宋体" w:cs="宋体"/>
                <w:color w:val="000000"/>
                <w:sz w:val="18"/>
                <w:szCs w:val="18"/>
              </w:rPr>
              <w:t>，31.9</w:t>
            </w:r>
            <w:r>
              <w:rPr>
                <w:rFonts w:hint="eastAsia" w:ascii="宋体" w:hAnsi="宋体" w:eastAsia="宋体" w:cs="宋体"/>
                <w:color w:val="000000"/>
                <w:sz w:val="18"/>
                <w:szCs w:val="18"/>
                <w:lang w:val="en-US" w:eastAsia="zh-CN"/>
              </w:rPr>
              <w:t>89</w:t>
            </w:r>
            <w:r>
              <w:rPr>
                <w:rFonts w:hint="eastAsia" w:ascii="宋体" w:hAnsi="宋体" w:eastAsia="宋体" w:cs="宋体"/>
                <w:color w:val="000000"/>
                <w:sz w:val="18"/>
                <w:szCs w:val="18"/>
              </w:rPr>
              <w:t>，31.9</w:t>
            </w:r>
            <w:r>
              <w:rPr>
                <w:rFonts w:hint="eastAsia" w:ascii="宋体" w:hAnsi="宋体" w:eastAsia="宋体" w:cs="宋体"/>
                <w:color w:val="000000"/>
                <w:sz w:val="18"/>
                <w:szCs w:val="18"/>
                <w:lang w:val="en-US" w:eastAsia="zh-CN"/>
              </w:rPr>
              <w:t>77</w:t>
            </w:r>
            <w:r>
              <w:rPr>
                <w:rFonts w:hint="eastAsia" w:ascii="宋体" w:hAnsi="宋体" w:eastAsia="宋体" w:cs="宋体"/>
                <w:color w:val="000000"/>
                <w:sz w:val="18"/>
                <w:szCs w:val="18"/>
              </w:rPr>
              <w:t>，31.9</w:t>
            </w:r>
            <w:r>
              <w:rPr>
                <w:rFonts w:hint="eastAsia" w:ascii="宋体" w:hAnsi="宋体" w:eastAsia="宋体" w:cs="宋体"/>
                <w:color w:val="000000"/>
                <w:sz w:val="18"/>
                <w:szCs w:val="18"/>
                <w:lang w:val="en-US" w:eastAsia="zh-CN"/>
              </w:rPr>
              <w:t>68</w:t>
            </w:r>
            <w:r>
              <w:rPr>
                <w:rFonts w:hint="eastAsia" w:ascii="宋体" w:hAnsi="宋体" w:eastAsia="宋体" w:cs="宋体"/>
                <w:color w:val="000000"/>
                <w:sz w:val="18"/>
                <w:szCs w:val="18"/>
              </w:rPr>
              <w:t>，31.9</w:t>
            </w:r>
            <w:r>
              <w:rPr>
                <w:rFonts w:hint="eastAsia" w:ascii="宋体" w:hAnsi="宋体" w:eastAsia="宋体" w:cs="宋体"/>
                <w:color w:val="000000"/>
                <w:sz w:val="18"/>
                <w:szCs w:val="18"/>
                <w:lang w:val="en-US" w:eastAsia="zh-CN"/>
              </w:rPr>
              <w:t>82</w:t>
            </w:r>
            <w:r>
              <w:rPr>
                <w:rFonts w:hint="eastAsia" w:ascii="宋体" w:hAnsi="宋体" w:eastAsia="宋体" w:cs="宋体"/>
                <w:color w:val="000000"/>
                <w:sz w:val="18"/>
                <w:szCs w:val="18"/>
              </w:rPr>
              <w:t>，</w:t>
            </w:r>
            <w:r>
              <w:rPr>
                <w:rFonts w:hint="eastAsia" w:ascii="宋体" w:hAnsi="宋体" w:eastAsia="宋体" w:cs="宋体"/>
                <w:color w:val="000000"/>
                <w:sz w:val="18"/>
                <w:szCs w:val="18"/>
                <w:lang w:val="en-US" w:eastAsia="zh-CN"/>
              </w:rPr>
              <w:t>31.881</w:t>
            </w:r>
          </w:p>
        </w:tc>
        <w:tc>
          <w:tcPr>
            <w:tcW w:w="1022" w:type="dxa"/>
            <w:tcBorders>
              <w:left w:val="single" w:color="auto" w:sz="4" w:space="0"/>
            </w:tcBorders>
            <w:vAlign w:val="center"/>
          </w:tcPr>
          <w:p w14:paraId="463538ED">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31.961</w:t>
            </w:r>
          </w:p>
        </w:tc>
        <w:tc>
          <w:tcPr>
            <w:tcW w:w="1055" w:type="dxa"/>
            <w:vAlign w:val="center"/>
          </w:tcPr>
          <w:p w14:paraId="02D5BC76">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0.039</w:t>
            </w:r>
          </w:p>
        </w:tc>
        <w:tc>
          <w:tcPr>
            <w:tcW w:w="1168" w:type="dxa"/>
            <w:vAlign w:val="center"/>
          </w:tcPr>
          <w:p w14:paraId="5CAB9E9B">
            <w:pPr>
              <w:jc w:val="center"/>
              <w:rPr>
                <w:rFonts w:hint="eastAsia" w:ascii="宋体" w:hAnsi="宋体" w:eastAsia="宋体" w:cs="宋体"/>
                <w:color w:val="000000"/>
                <w:sz w:val="18"/>
                <w:szCs w:val="18"/>
                <w:lang w:val="en-US" w:eastAsia="zh-CN"/>
              </w:rPr>
            </w:pPr>
            <w:r>
              <w:rPr>
                <w:rFonts w:hint="eastAsia" w:ascii="宋体" w:hAnsi="宋体" w:eastAsia="宋体" w:cs="宋体"/>
                <w:color w:val="000000"/>
                <w:sz w:val="18"/>
                <w:szCs w:val="18"/>
                <w:lang w:val="en-US" w:eastAsia="zh-CN"/>
              </w:rPr>
              <w:t>0.12</w:t>
            </w:r>
          </w:p>
        </w:tc>
      </w:tr>
    </w:tbl>
    <w:p w14:paraId="494A4D4C">
      <w:pPr>
        <w:pStyle w:val="8"/>
        <w:jc w:val="both"/>
        <w:rPr>
          <w:rFonts w:hint="eastAsia" w:ascii="黑体" w:hAnsi="黑体" w:eastAsia="黑体" w:cs="黑体"/>
          <w:sz w:val="21"/>
          <w:szCs w:val="21"/>
          <w:lang w:val="en-US" w:eastAsia="zh-CN"/>
        </w:rPr>
      </w:pPr>
    </w:p>
    <w:p w14:paraId="65D334AF">
      <w:pPr>
        <w:ind w:firstLine="420"/>
        <w:rPr>
          <w:rFonts w:hint="eastAsia" w:ascii="宋体" w:hAnsi="宋体" w:cs="宋体"/>
          <w:bCs/>
          <w:color w:val="000000"/>
          <w:szCs w:val="21"/>
        </w:rPr>
      </w:pPr>
      <w:r>
        <w:rPr>
          <w:rFonts w:hint="eastAsia" w:ascii="宋体" w:hAnsi="宋体" w:cs="宋体"/>
          <w:bCs/>
          <w:color w:val="000000"/>
          <w:szCs w:val="21"/>
        </w:rPr>
        <w:t>表1</w:t>
      </w:r>
      <w:r>
        <w:rPr>
          <w:rFonts w:hint="eastAsia" w:ascii="宋体" w:hAnsi="宋体" w:cs="宋体"/>
          <w:bCs/>
          <w:color w:val="000000"/>
          <w:szCs w:val="21"/>
          <w:lang w:val="en-US" w:eastAsia="zh-CN"/>
        </w:rPr>
        <w:t>2-6</w:t>
      </w:r>
      <w:r>
        <w:rPr>
          <w:rFonts w:hint="eastAsia" w:ascii="宋体" w:hAnsi="宋体" w:cs="宋体"/>
          <w:bCs/>
          <w:color w:val="000000"/>
          <w:szCs w:val="21"/>
        </w:rPr>
        <w:t>结果表明，用本方法对5个不同铅含量铜合金试样进行精密度试验，相对标准偏差在0.</w:t>
      </w:r>
      <w:r>
        <w:rPr>
          <w:rFonts w:hint="eastAsia" w:ascii="宋体" w:hAnsi="宋体" w:cs="宋体"/>
          <w:bCs/>
          <w:color w:val="000000"/>
          <w:szCs w:val="21"/>
          <w:lang w:val="en-US" w:eastAsia="zh-CN"/>
        </w:rPr>
        <w:t>12</w:t>
      </w:r>
      <w:r>
        <w:rPr>
          <w:rFonts w:hint="eastAsia" w:ascii="宋体" w:hAnsi="宋体" w:cs="宋体"/>
          <w:bCs/>
          <w:color w:val="000000"/>
          <w:szCs w:val="21"/>
        </w:rPr>
        <w:t>%～0.</w:t>
      </w:r>
      <w:r>
        <w:rPr>
          <w:rFonts w:hint="eastAsia" w:ascii="宋体" w:hAnsi="宋体" w:cs="宋体"/>
          <w:bCs/>
          <w:color w:val="000000"/>
          <w:szCs w:val="21"/>
          <w:lang w:val="en-US" w:eastAsia="zh-CN"/>
        </w:rPr>
        <w:t>53</w:t>
      </w:r>
      <w:r>
        <w:rPr>
          <w:rFonts w:hint="eastAsia" w:ascii="宋体" w:hAnsi="宋体" w:cs="宋体"/>
          <w:bCs/>
          <w:color w:val="000000"/>
          <w:szCs w:val="21"/>
        </w:rPr>
        <w:t>%之间，方法精密度能满足检测需求。</w:t>
      </w:r>
      <w:r>
        <w:rPr>
          <w:rFonts w:hint="eastAsia" w:ascii="宋体" w:hAnsi="宋体" w:eastAsia="宋体" w:cs="宋体"/>
          <w:bCs/>
          <w:color w:val="000000"/>
          <w:sz w:val="21"/>
          <w:szCs w:val="21"/>
          <w:lang w:eastAsia="zh-CN"/>
        </w:rPr>
        <w:t>结论与起草方一致。</w:t>
      </w:r>
    </w:p>
    <w:p w14:paraId="2CC92434">
      <w:pPr>
        <w:ind w:firstLine="420"/>
        <w:rPr>
          <w:rFonts w:hint="eastAsia" w:ascii="宋体" w:hAnsi="宋体" w:cs="宋体"/>
          <w:bCs/>
          <w:color w:val="000000"/>
          <w:szCs w:val="21"/>
        </w:rPr>
      </w:pPr>
    </w:p>
    <w:p w14:paraId="4EEBAAAA">
      <w:pPr>
        <w:ind w:firstLine="420"/>
        <w:jc w:val="center"/>
        <w:rPr>
          <w:rFonts w:hint="eastAsia" w:ascii="黑体" w:hAnsi="黑体" w:eastAsia="黑体" w:cs="黑体"/>
          <w:sz w:val="21"/>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2-7</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（中国有色桂林矿产地质研究院有限公司）</w:t>
      </w:r>
    </w:p>
    <w:tbl>
      <w:tblPr>
        <w:tblStyle w:val="13"/>
        <w:tblW w:w="92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55"/>
        <w:gridCol w:w="4714"/>
        <w:gridCol w:w="1022"/>
        <w:gridCol w:w="1055"/>
        <w:gridCol w:w="1168"/>
      </w:tblGrid>
      <w:tr w14:paraId="743DA6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255" w:type="dxa"/>
            <w:vAlign w:val="center"/>
          </w:tcPr>
          <w:p w14:paraId="75A87376">
            <w:pPr>
              <w:jc w:val="center"/>
              <w:rPr>
                <w:rFonts w:hint="eastAsia" w:ascii="宋体" w:hAnsi="宋体" w:cs="宋体"/>
                <w:color w:val="000000"/>
                <w:sz w:val="18"/>
                <w:szCs w:val="18"/>
              </w:rPr>
            </w:pPr>
            <w:r>
              <w:rPr>
                <w:rFonts w:hint="eastAsia" w:ascii="宋体" w:hAnsi="宋体" w:cs="宋体"/>
                <w:color w:val="000000"/>
                <w:sz w:val="18"/>
                <w:szCs w:val="18"/>
              </w:rPr>
              <w:t>样品编号</w:t>
            </w:r>
          </w:p>
        </w:tc>
        <w:tc>
          <w:tcPr>
            <w:tcW w:w="4714" w:type="dxa"/>
            <w:tcBorders>
              <w:bottom w:val="single" w:color="auto" w:sz="4" w:space="0"/>
            </w:tcBorders>
            <w:vAlign w:val="center"/>
          </w:tcPr>
          <w:p w14:paraId="2A6049BA">
            <w:pPr>
              <w:jc w:val="center"/>
              <w:rPr>
                <w:rFonts w:hint="eastAsia" w:ascii="宋体" w:hAnsi="宋体" w:cs="宋体"/>
                <w:color w:val="000000"/>
                <w:sz w:val="18"/>
                <w:szCs w:val="18"/>
              </w:rPr>
            </w:pPr>
            <w:r>
              <w:rPr>
                <w:rFonts w:hint="eastAsia" w:ascii="宋体" w:hAnsi="宋体" w:cs="宋体"/>
                <w:color w:val="000000"/>
                <w:sz w:val="18"/>
                <w:szCs w:val="18"/>
              </w:rPr>
              <w:t xml:space="preserve">测定结果/ % </w:t>
            </w:r>
          </w:p>
        </w:tc>
        <w:tc>
          <w:tcPr>
            <w:tcW w:w="1022" w:type="dxa"/>
            <w:vAlign w:val="center"/>
          </w:tcPr>
          <w:p w14:paraId="7C41E4DB">
            <w:pPr>
              <w:jc w:val="center"/>
              <w:rPr>
                <w:rFonts w:hint="eastAsia" w:ascii="宋体" w:hAnsi="宋体" w:cs="宋体"/>
                <w:color w:val="000000"/>
                <w:sz w:val="18"/>
                <w:szCs w:val="18"/>
              </w:rPr>
            </w:pPr>
            <w:r>
              <w:rPr>
                <w:rFonts w:hint="eastAsia" w:ascii="宋体" w:hAnsi="宋体" w:cs="宋体"/>
                <w:color w:val="000000"/>
                <w:sz w:val="18"/>
                <w:szCs w:val="18"/>
              </w:rPr>
              <w:t>平均值/ %</w:t>
            </w:r>
          </w:p>
        </w:tc>
        <w:tc>
          <w:tcPr>
            <w:tcW w:w="1055" w:type="dxa"/>
            <w:vAlign w:val="center"/>
          </w:tcPr>
          <w:p w14:paraId="5CAFF099">
            <w:pPr>
              <w:jc w:val="center"/>
              <w:rPr>
                <w:rFonts w:hint="eastAsia" w:ascii="宋体" w:hAnsi="宋体" w:cs="宋体"/>
                <w:color w:val="000000"/>
                <w:sz w:val="18"/>
                <w:szCs w:val="18"/>
              </w:rPr>
            </w:pPr>
            <w:r>
              <w:rPr>
                <w:rFonts w:hint="eastAsia" w:ascii="宋体" w:hAnsi="宋体" w:cs="宋体"/>
                <w:color w:val="000000"/>
                <w:sz w:val="18"/>
                <w:szCs w:val="18"/>
              </w:rPr>
              <w:t>标准</w:t>
            </w:r>
          </w:p>
          <w:p w14:paraId="253C17F4">
            <w:pPr>
              <w:jc w:val="center"/>
              <w:rPr>
                <w:rFonts w:hint="eastAsia" w:ascii="宋体" w:hAnsi="宋体" w:cs="宋体"/>
                <w:color w:val="000000"/>
                <w:sz w:val="18"/>
                <w:szCs w:val="18"/>
              </w:rPr>
            </w:pPr>
            <w:r>
              <w:rPr>
                <w:rFonts w:hint="eastAsia" w:ascii="宋体" w:hAnsi="宋体" w:cs="宋体"/>
                <w:color w:val="000000"/>
                <w:sz w:val="18"/>
                <w:szCs w:val="18"/>
              </w:rPr>
              <w:t>偏差/%</w:t>
            </w:r>
          </w:p>
        </w:tc>
        <w:tc>
          <w:tcPr>
            <w:tcW w:w="1168" w:type="dxa"/>
            <w:vAlign w:val="center"/>
          </w:tcPr>
          <w:p w14:paraId="74393E41">
            <w:pPr>
              <w:jc w:val="center"/>
              <w:rPr>
                <w:rFonts w:hint="eastAsia" w:ascii="宋体" w:hAnsi="宋体" w:cs="宋体"/>
                <w:color w:val="000000"/>
                <w:sz w:val="18"/>
                <w:szCs w:val="18"/>
              </w:rPr>
            </w:pPr>
            <w:r>
              <w:rPr>
                <w:rFonts w:hint="eastAsia" w:ascii="宋体" w:hAnsi="宋体" w:cs="宋体"/>
                <w:color w:val="000000"/>
                <w:sz w:val="18"/>
                <w:szCs w:val="18"/>
              </w:rPr>
              <w:t>RSD/</w:t>
            </w:r>
          </w:p>
          <w:p w14:paraId="455621BE">
            <w:pPr>
              <w:jc w:val="center"/>
              <w:rPr>
                <w:rFonts w:hint="eastAsia" w:ascii="宋体" w:hAnsi="宋体" w:cs="宋体"/>
                <w:color w:val="000000"/>
                <w:sz w:val="18"/>
                <w:szCs w:val="18"/>
              </w:rPr>
            </w:pPr>
            <w:r>
              <w:rPr>
                <w:rFonts w:hint="eastAsia" w:ascii="宋体" w:hAnsi="宋体" w:cs="宋体"/>
                <w:color w:val="000000"/>
                <w:sz w:val="18"/>
                <w:szCs w:val="18"/>
              </w:rPr>
              <w:t>%</w:t>
            </w:r>
          </w:p>
        </w:tc>
      </w:tr>
      <w:tr w14:paraId="32F02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79E41DB0">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QPb3-1</w:t>
            </w:r>
          </w:p>
        </w:tc>
        <w:tc>
          <w:tcPr>
            <w:tcW w:w="4714" w:type="dxa"/>
            <w:tcBorders>
              <w:top w:val="single" w:color="auto" w:sz="4" w:space="0"/>
              <w:left w:val="single" w:color="auto" w:sz="4" w:space="0"/>
              <w:bottom w:val="single" w:color="auto" w:sz="4" w:space="0"/>
              <w:right w:val="nil"/>
            </w:tcBorders>
            <w:vAlign w:val="center"/>
          </w:tcPr>
          <w:p w14:paraId="528108EB">
            <w:pPr>
              <w:jc w:val="center"/>
              <w:rPr>
                <w:rFonts w:hint="eastAsia" w:ascii="宋体" w:hAnsi="宋体" w:eastAsia="宋体" w:cs="宋体"/>
                <w:color w:val="000000"/>
                <w:sz w:val="18"/>
                <w:szCs w:val="18"/>
                <w:lang w:eastAsia="zh-CN"/>
              </w:rPr>
            </w:pPr>
            <w:r>
              <w:rPr>
                <w:rFonts w:hint="eastAsia" w:ascii="宋体" w:hAnsi="宋体" w:eastAsia="宋体" w:cs="宋体"/>
                <w:sz w:val="18"/>
                <w:szCs w:val="18"/>
              </w:rPr>
              <w:t>6.164</w:t>
            </w:r>
            <w:r>
              <w:rPr>
                <w:rFonts w:hint="eastAsia" w:ascii="宋体" w:hAnsi="宋体" w:eastAsia="宋体" w:cs="宋体"/>
                <w:sz w:val="18"/>
                <w:szCs w:val="18"/>
                <w:lang w:eastAsia="zh-CN"/>
              </w:rPr>
              <w:t>，</w:t>
            </w:r>
            <w:r>
              <w:rPr>
                <w:rFonts w:hint="eastAsia" w:ascii="宋体" w:hAnsi="宋体" w:eastAsia="宋体" w:cs="宋体"/>
                <w:sz w:val="18"/>
                <w:szCs w:val="18"/>
              </w:rPr>
              <w:t>6.145</w:t>
            </w:r>
            <w:r>
              <w:rPr>
                <w:rFonts w:hint="eastAsia" w:ascii="宋体" w:hAnsi="宋体" w:eastAsia="宋体" w:cs="宋体"/>
                <w:sz w:val="18"/>
                <w:szCs w:val="18"/>
                <w:lang w:eastAsia="zh-CN"/>
              </w:rPr>
              <w:t>，</w:t>
            </w:r>
            <w:r>
              <w:rPr>
                <w:rFonts w:hint="eastAsia" w:ascii="宋体" w:hAnsi="宋体" w:eastAsia="宋体" w:cs="宋体"/>
                <w:sz w:val="18"/>
                <w:szCs w:val="18"/>
              </w:rPr>
              <w:t>6.132</w:t>
            </w:r>
            <w:r>
              <w:rPr>
                <w:rFonts w:hint="eastAsia" w:ascii="宋体" w:hAnsi="宋体" w:eastAsia="宋体" w:cs="宋体"/>
                <w:sz w:val="18"/>
                <w:szCs w:val="18"/>
                <w:lang w:eastAsia="zh-CN"/>
              </w:rPr>
              <w:t>，</w:t>
            </w:r>
            <w:r>
              <w:rPr>
                <w:rFonts w:hint="eastAsia" w:ascii="宋体" w:hAnsi="宋体" w:eastAsia="宋体" w:cs="宋体"/>
                <w:sz w:val="18"/>
                <w:szCs w:val="18"/>
              </w:rPr>
              <w:t>6.14</w:t>
            </w:r>
            <w:r>
              <w:rPr>
                <w:rFonts w:hint="eastAsia" w:ascii="宋体" w:hAnsi="宋体" w:eastAsia="宋体" w:cs="宋体"/>
                <w:sz w:val="18"/>
                <w:szCs w:val="18"/>
                <w:lang w:val="en-US" w:eastAsia="zh-CN"/>
              </w:rPr>
              <w:t>0</w:t>
            </w:r>
            <w:r>
              <w:rPr>
                <w:rFonts w:hint="eastAsia" w:ascii="宋体" w:hAnsi="宋体" w:eastAsia="宋体" w:cs="宋体"/>
                <w:sz w:val="18"/>
                <w:szCs w:val="18"/>
                <w:lang w:eastAsia="zh-CN"/>
              </w:rPr>
              <w:t>，</w:t>
            </w:r>
            <w:r>
              <w:rPr>
                <w:rFonts w:hint="eastAsia" w:ascii="宋体" w:hAnsi="宋体" w:eastAsia="宋体" w:cs="宋体"/>
                <w:sz w:val="18"/>
                <w:szCs w:val="18"/>
              </w:rPr>
              <w:t>6.094</w:t>
            </w:r>
            <w:r>
              <w:rPr>
                <w:rFonts w:hint="eastAsia" w:ascii="宋体" w:hAnsi="宋体" w:eastAsia="宋体" w:cs="宋体"/>
                <w:sz w:val="18"/>
                <w:szCs w:val="18"/>
                <w:lang w:eastAsia="zh-CN"/>
              </w:rPr>
              <w:t>，</w:t>
            </w:r>
            <w:r>
              <w:rPr>
                <w:rFonts w:hint="eastAsia" w:ascii="宋体" w:hAnsi="宋体" w:eastAsia="宋体" w:cs="宋体"/>
                <w:sz w:val="18"/>
                <w:szCs w:val="18"/>
              </w:rPr>
              <w:t>6.125</w:t>
            </w:r>
            <w:r>
              <w:rPr>
                <w:rFonts w:hint="eastAsia" w:ascii="宋体" w:hAnsi="宋体" w:eastAsia="宋体" w:cs="宋体"/>
                <w:sz w:val="18"/>
                <w:szCs w:val="18"/>
                <w:lang w:eastAsia="zh-CN"/>
              </w:rPr>
              <w:t>，</w:t>
            </w:r>
            <w:r>
              <w:rPr>
                <w:rFonts w:hint="eastAsia" w:ascii="宋体" w:hAnsi="宋体" w:eastAsia="宋体" w:cs="宋体"/>
                <w:sz w:val="18"/>
                <w:szCs w:val="18"/>
              </w:rPr>
              <w:t>6.098</w:t>
            </w:r>
          </w:p>
        </w:tc>
        <w:tc>
          <w:tcPr>
            <w:tcW w:w="1022" w:type="dxa"/>
            <w:tcBorders>
              <w:left w:val="single" w:color="auto" w:sz="4" w:space="0"/>
            </w:tcBorders>
            <w:vAlign w:val="center"/>
          </w:tcPr>
          <w:p w14:paraId="7BC470BA">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6.128</w:t>
            </w:r>
          </w:p>
        </w:tc>
        <w:tc>
          <w:tcPr>
            <w:tcW w:w="1055" w:type="dxa"/>
            <w:vAlign w:val="center"/>
          </w:tcPr>
          <w:p w14:paraId="45DA2A36">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0.025</w:t>
            </w:r>
          </w:p>
        </w:tc>
        <w:tc>
          <w:tcPr>
            <w:tcW w:w="1168" w:type="dxa"/>
            <w:vAlign w:val="center"/>
          </w:tcPr>
          <w:p w14:paraId="553E3517">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0.41</w:t>
            </w:r>
          </w:p>
        </w:tc>
      </w:tr>
      <w:tr w14:paraId="67FC4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0FF737D4">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QPb3-2</w:t>
            </w:r>
          </w:p>
        </w:tc>
        <w:tc>
          <w:tcPr>
            <w:tcW w:w="4714" w:type="dxa"/>
            <w:tcBorders>
              <w:top w:val="single" w:color="auto" w:sz="4" w:space="0"/>
              <w:left w:val="single" w:color="auto" w:sz="4" w:space="0"/>
              <w:bottom w:val="single" w:color="auto" w:sz="4" w:space="0"/>
              <w:right w:val="nil"/>
            </w:tcBorders>
            <w:vAlign w:val="center"/>
          </w:tcPr>
          <w:p w14:paraId="7BC53329">
            <w:pPr>
              <w:jc w:val="center"/>
              <w:rPr>
                <w:rFonts w:hint="eastAsia" w:ascii="宋体" w:hAnsi="宋体" w:eastAsia="宋体" w:cs="宋体"/>
                <w:color w:val="000000"/>
                <w:sz w:val="18"/>
                <w:szCs w:val="18"/>
              </w:rPr>
            </w:pPr>
            <w:r>
              <w:rPr>
                <w:rFonts w:hint="eastAsia" w:ascii="宋体" w:hAnsi="宋体" w:eastAsia="宋体" w:cs="宋体"/>
                <w:sz w:val="18"/>
                <w:szCs w:val="18"/>
              </w:rPr>
              <w:t>8.904</w:t>
            </w:r>
            <w:r>
              <w:rPr>
                <w:rFonts w:hint="eastAsia" w:ascii="宋体" w:hAnsi="宋体" w:eastAsia="宋体" w:cs="宋体"/>
                <w:sz w:val="18"/>
                <w:szCs w:val="18"/>
                <w:lang w:eastAsia="zh-CN"/>
              </w:rPr>
              <w:t>，</w:t>
            </w:r>
            <w:r>
              <w:rPr>
                <w:rFonts w:hint="eastAsia" w:ascii="宋体" w:hAnsi="宋体" w:eastAsia="宋体" w:cs="宋体"/>
                <w:sz w:val="18"/>
                <w:szCs w:val="18"/>
              </w:rPr>
              <w:t>8.861</w:t>
            </w:r>
            <w:r>
              <w:rPr>
                <w:rFonts w:hint="eastAsia" w:ascii="宋体" w:hAnsi="宋体" w:eastAsia="宋体" w:cs="宋体"/>
                <w:sz w:val="18"/>
                <w:szCs w:val="18"/>
                <w:lang w:eastAsia="zh-CN"/>
              </w:rPr>
              <w:t>，</w:t>
            </w:r>
            <w:r>
              <w:rPr>
                <w:rFonts w:hint="eastAsia" w:ascii="宋体" w:hAnsi="宋体" w:eastAsia="宋体" w:cs="宋体"/>
                <w:sz w:val="18"/>
                <w:szCs w:val="18"/>
              </w:rPr>
              <w:t>8.852</w:t>
            </w:r>
            <w:r>
              <w:rPr>
                <w:rFonts w:hint="eastAsia" w:ascii="宋体" w:hAnsi="宋体" w:eastAsia="宋体" w:cs="宋体"/>
                <w:sz w:val="18"/>
                <w:szCs w:val="18"/>
                <w:lang w:eastAsia="zh-CN"/>
              </w:rPr>
              <w:t>，</w:t>
            </w:r>
            <w:r>
              <w:rPr>
                <w:rFonts w:hint="eastAsia" w:ascii="宋体" w:hAnsi="宋体" w:eastAsia="宋体" w:cs="宋体"/>
                <w:sz w:val="18"/>
                <w:szCs w:val="18"/>
              </w:rPr>
              <w:t>8.848</w:t>
            </w:r>
            <w:r>
              <w:rPr>
                <w:rFonts w:hint="eastAsia" w:ascii="宋体" w:hAnsi="宋体" w:eastAsia="宋体" w:cs="宋体"/>
                <w:sz w:val="18"/>
                <w:szCs w:val="18"/>
                <w:lang w:eastAsia="zh-CN"/>
              </w:rPr>
              <w:t>，</w:t>
            </w:r>
            <w:r>
              <w:rPr>
                <w:rFonts w:hint="eastAsia" w:ascii="宋体" w:hAnsi="宋体" w:eastAsia="宋体" w:cs="宋体"/>
                <w:sz w:val="18"/>
                <w:szCs w:val="18"/>
              </w:rPr>
              <w:t>8.832</w:t>
            </w:r>
            <w:r>
              <w:rPr>
                <w:rFonts w:hint="eastAsia" w:ascii="宋体" w:hAnsi="宋体" w:eastAsia="宋体" w:cs="宋体"/>
                <w:sz w:val="18"/>
                <w:szCs w:val="18"/>
                <w:lang w:eastAsia="zh-CN"/>
              </w:rPr>
              <w:t>，</w:t>
            </w:r>
            <w:r>
              <w:rPr>
                <w:rFonts w:hint="eastAsia" w:ascii="宋体" w:hAnsi="宋体" w:eastAsia="宋体" w:cs="宋体"/>
                <w:sz w:val="18"/>
                <w:szCs w:val="18"/>
              </w:rPr>
              <w:t>8.866</w:t>
            </w:r>
            <w:r>
              <w:rPr>
                <w:rFonts w:hint="eastAsia" w:ascii="宋体" w:hAnsi="宋体" w:eastAsia="宋体" w:cs="宋体"/>
                <w:sz w:val="18"/>
                <w:szCs w:val="18"/>
                <w:lang w:eastAsia="zh-CN"/>
              </w:rPr>
              <w:t>，</w:t>
            </w:r>
            <w:r>
              <w:rPr>
                <w:rFonts w:hint="eastAsia" w:ascii="宋体" w:hAnsi="宋体" w:eastAsia="宋体" w:cs="宋体"/>
                <w:sz w:val="18"/>
                <w:szCs w:val="18"/>
              </w:rPr>
              <w:t>8.846</w:t>
            </w:r>
          </w:p>
        </w:tc>
        <w:tc>
          <w:tcPr>
            <w:tcW w:w="1022" w:type="dxa"/>
            <w:tcBorders>
              <w:left w:val="single" w:color="auto" w:sz="4" w:space="0"/>
            </w:tcBorders>
            <w:vAlign w:val="center"/>
          </w:tcPr>
          <w:p w14:paraId="73661D94">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8.858</w:t>
            </w:r>
          </w:p>
        </w:tc>
        <w:tc>
          <w:tcPr>
            <w:tcW w:w="1055" w:type="dxa"/>
            <w:vAlign w:val="center"/>
          </w:tcPr>
          <w:p w14:paraId="52EDB169">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0.023</w:t>
            </w:r>
          </w:p>
        </w:tc>
        <w:tc>
          <w:tcPr>
            <w:tcW w:w="1168" w:type="dxa"/>
            <w:vAlign w:val="center"/>
          </w:tcPr>
          <w:p w14:paraId="7155AD9D">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0.26</w:t>
            </w:r>
          </w:p>
        </w:tc>
      </w:tr>
      <w:tr w14:paraId="5A7FC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1DE177A7">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QPb3-3</w:t>
            </w:r>
          </w:p>
        </w:tc>
        <w:tc>
          <w:tcPr>
            <w:tcW w:w="4714" w:type="dxa"/>
            <w:tcBorders>
              <w:top w:val="single" w:color="auto" w:sz="4" w:space="0"/>
              <w:left w:val="single" w:color="auto" w:sz="4" w:space="0"/>
              <w:bottom w:val="single" w:color="auto" w:sz="4" w:space="0"/>
              <w:right w:val="nil"/>
            </w:tcBorders>
            <w:vAlign w:val="center"/>
          </w:tcPr>
          <w:p w14:paraId="0330528E">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17.598</w:t>
            </w:r>
            <w:r>
              <w:rPr>
                <w:rFonts w:hint="eastAsia" w:ascii="宋体" w:hAnsi="宋体" w:eastAsia="宋体" w:cs="宋体"/>
                <w:sz w:val="18"/>
                <w:szCs w:val="18"/>
                <w:lang w:eastAsia="zh-CN"/>
              </w:rPr>
              <w:t>，</w:t>
            </w:r>
            <w:r>
              <w:rPr>
                <w:rFonts w:hint="eastAsia" w:ascii="宋体" w:hAnsi="宋体" w:eastAsia="宋体" w:cs="宋体"/>
                <w:sz w:val="18"/>
                <w:szCs w:val="18"/>
              </w:rPr>
              <w:t>17.584</w:t>
            </w:r>
            <w:r>
              <w:rPr>
                <w:rFonts w:hint="eastAsia" w:ascii="宋体" w:hAnsi="宋体" w:eastAsia="宋体" w:cs="宋体"/>
                <w:sz w:val="18"/>
                <w:szCs w:val="18"/>
                <w:lang w:eastAsia="zh-CN"/>
              </w:rPr>
              <w:t>，</w:t>
            </w:r>
            <w:r>
              <w:rPr>
                <w:rFonts w:hint="eastAsia" w:ascii="宋体" w:hAnsi="宋体" w:eastAsia="宋体" w:cs="宋体"/>
                <w:sz w:val="18"/>
                <w:szCs w:val="18"/>
              </w:rPr>
              <w:t>17.578</w:t>
            </w:r>
            <w:r>
              <w:rPr>
                <w:rFonts w:hint="eastAsia" w:ascii="宋体" w:hAnsi="宋体" w:eastAsia="宋体" w:cs="宋体"/>
                <w:sz w:val="18"/>
                <w:szCs w:val="18"/>
                <w:lang w:eastAsia="zh-CN"/>
              </w:rPr>
              <w:t>，</w:t>
            </w:r>
            <w:r>
              <w:rPr>
                <w:rFonts w:hint="eastAsia" w:ascii="宋体" w:hAnsi="宋体" w:eastAsia="宋体" w:cs="宋体"/>
                <w:sz w:val="18"/>
                <w:szCs w:val="18"/>
              </w:rPr>
              <w:t>17.605</w:t>
            </w:r>
            <w:r>
              <w:rPr>
                <w:rFonts w:hint="eastAsia" w:ascii="宋体" w:hAnsi="宋体" w:eastAsia="宋体" w:cs="宋体"/>
                <w:sz w:val="18"/>
                <w:szCs w:val="18"/>
                <w:lang w:eastAsia="zh-CN"/>
              </w:rPr>
              <w:t>，</w:t>
            </w:r>
            <w:r>
              <w:rPr>
                <w:rFonts w:hint="eastAsia" w:ascii="宋体" w:hAnsi="宋体" w:eastAsia="宋体" w:cs="宋体"/>
                <w:sz w:val="18"/>
                <w:szCs w:val="18"/>
              </w:rPr>
              <w:t>17.611</w:t>
            </w:r>
            <w:r>
              <w:rPr>
                <w:rFonts w:hint="eastAsia" w:ascii="宋体" w:hAnsi="宋体" w:eastAsia="宋体" w:cs="宋体"/>
                <w:sz w:val="18"/>
                <w:szCs w:val="18"/>
                <w:lang w:eastAsia="zh-CN"/>
              </w:rPr>
              <w:t>，</w:t>
            </w:r>
            <w:r>
              <w:rPr>
                <w:rFonts w:hint="eastAsia" w:ascii="宋体" w:hAnsi="宋体" w:eastAsia="宋体" w:cs="宋体"/>
                <w:sz w:val="18"/>
                <w:szCs w:val="18"/>
              </w:rPr>
              <w:t>17.582</w:t>
            </w:r>
            <w:r>
              <w:rPr>
                <w:rFonts w:hint="eastAsia" w:ascii="宋体" w:hAnsi="宋体" w:eastAsia="宋体" w:cs="宋体"/>
                <w:sz w:val="18"/>
                <w:szCs w:val="18"/>
                <w:lang w:eastAsia="zh-CN"/>
              </w:rPr>
              <w:t>，</w:t>
            </w:r>
            <w:r>
              <w:rPr>
                <w:rFonts w:hint="eastAsia" w:ascii="宋体" w:hAnsi="宋体" w:eastAsia="宋体" w:cs="宋体"/>
                <w:sz w:val="18"/>
                <w:szCs w:val="18"/>
              </w:rPr>
              <w:t>17.586</w:t>
            </w:r>
          </w:p>
        </w:tc>
        <w:tc>
          <w:tcPr>
            <w:tcW w:w="1022" w:type="dxa"/>
            <w:tcBorders>
              <w:left w:val="single" w:color="auto" w:sz="4" w:space="0"/>
            </w:tcBorders>
            <w:vAlign w:val="center"/>
          </w:tcPr>
          <w:p w14:paraId="1DE74516">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17.592</w:t>
            </w:r>
          </w:p>
        </w:tc>
        <w:tc>
          <w:tcPr>
            <w:tcW w:w="1055" w:type="dxa"/>
            <w:vAlign w:val="center"/>
          </w:tcPr>
          <w:p w14:paraId="1832673A">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0.013</w:t>
            </w:r>
          </w:p>
        </w:tc>
        <w:tc>
          <w:tcPr>
            <w:tcW w:w="1168" w:type="dxa"/>
            <w:vAlign w:val="center"/>
          </w:tcPr>
          <w:p w14:paraId="4BE9BD29">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0.072</w:t>
            </w:r>
          </w:p>
        </w:tc>
      </w:tr>
      <w:tr w14:paraId="66E03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49AAE5DD">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QPb3-4</w:t>
            </w:r>
          </w:p>
          <w:p w14:paraId="66CF218B">
            <w:pPr>
              <w:jc w:val="center"/>
              <w:rPr>
                <w:rFonts w:hint="eastAsia" w:ascii="宋体" w:hAnsi="宋体" w:eastAsia="宋体" w:cs="宋体"/>
                <w:color w:val="000000"/>
                <w:sz w:val="18"/>
                <w:szCs w:val="18"/>
              </w:rPr>
            </w:pPr>
            <w:r>
              <w:rPr>
                <w:rFonts w:hint="eastAsia" w:ascii="宋体" w:hAnsi="宋体" w:eastAsia="宋体" w:cs="宋体"/>
                <w:bCs/>
                <w:color w:val="000000"/>
                <w:sz w:val="18"/>
                <w:szCs w:val="18"/>
              </w:rPr>
              <w:t>（合成样）</w:t>
            </w:r>
          </w:p>
        </w:tc>
        <w:tc>
          <w:tcPr>
            <w:tcW w:w="4714" w:type="dxa"/>
            <w:tcBorders>
              <w:top w:val="single" w:color="auto" w:sz="4" w:space="0"/>
              <w:left w:val="single" w:color="auto" w:sz="4" w:space="0"/>
              <w:bottom w:val="single" w:color="auto" w:sz="4" w:space="0"/>
              <w:right w:val="nil"/>
            </w:tcBorders>
            <w:vAlign w:val="center"/>
          </w:tcPr>
          <w:p w14:paraId="23EF0238">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24.988</w:t>
            </w:r>
            <w:r>
              <w:rPr>
                <w:rFonts w:hint="eastAsia" w:ascii="宋体" w:hAnsi="宋体" w:eastAsia="宋体" w:cs="宋体"/>
                <w:sz w:val="18"/>
                <w:szCs w:val="18"/>
                <w:lang w:eastAsia="zh-CN"/>
              </w:rPr>
              <w:t>，</w:t>
            </w:r>
            <w:r>
              <w:rPr>
                <w:rFonts w:hint="eastAsia" w:ascii="宋体" w:hAnsi="宋体" w:eastAsia="宋体" w:cs="宋体"/>
                <w:sz w:val="18"/>
                <w:szCs w:val="18"/>
              </w:rPr>
              <w:t>24.962</w:t>
            </w:r>
            <w:r>
              <w:rPr>
                <w:rFonts w:hint="eastAsia" w:ascii="宋体" w:hAnsi="宋体" w:eastAsia="宋体" w:cs="宋体"/>
                <w:sz w:val="18"/>
                <w:szCs w:val="18"/>
                <w:lang w:eastAsia="zh-CN"/>
              </w:rPr>
              <w:t>，</w:t>
            </w:r>
            <w:r>
              <w:rPr>
                <w:rFonts w:hint="eastAsia" w:ascii="宋体" w:hAnsi="宋体" w:eastAsia="宋体" w:cs="宋体"/>
                <w:sz w:val="18"/>
                <w:szCs w:val="18"/>
              </w:rPr>
              <w:t>24.948</w:t>
            </w:r>
            <w:r>
              <w:rPr>
                <w:rFonts w:hint="eastAsia" w:ascii="宋体" w:hAnsi="宋体" w:eastAsia="宋体" w:cs="宋体"/>
                <w:sz w:val="18"/>
                <w:szCs w:val="18"/>
                <w:lang w:eastAsia="zh-CN"/>
              </w:rPr>
              <w:t>，</w:t>
            </w:r>
            <w:r>
              <w:rPr>
                <w:rFonts w:hint="eastAsia" w:ascii="宋体" w:hAnsi="宋体" w:eastAsia="宋体" w:cs="宋体"/>
                <w:sz w:val="18"/>
                <w:szCs w:val="18"/>
              </w:rPr>
              <w:t>24.950</w:t>
            </w:r>
            <w:r>
              <w:rPr>
                <w:rFonts w:hint="eastAsia" w:ascii="宋体" w:hAnsi="宋体" w:eastAsia="宋体" w:cs="宋体"/>
                <w:sz w:val="18"/>
                <w:szCs w:val="18"/>
                <w:lang w:eastAsia="zh-CN"/>
              </w:rPr>
              <w:t>，</w:t>
            </w:r>
            <w:r>
              <w:rPr>
                <w:rFonts w:hint="eastAsia" w:ascii="宋体" w:hAnsi="宋体" w:eastAsia="宋体" w:cs="宋体"/>
                <w:sz w:val="18"/>
                <w:szCs w:val="18"/>
              </w:rPr>
              <w:t>24.965</w:t>
            </w:r>
            <w:r>
              <w:rPr>
                <w:rFonts w:hint="eastAsia" w:ascii="宋体" w:hAnsi="宋体" w:eastAsia="宋体" w:cs="宋体"/>
                <w:sz w:val="18"/>
                <w:szCs w:val="18"/>
                <w:lang w:eastAsia="zh-CN"/>
              </w:rPr>
              <w:t>，</w:t>
            </w:r>
            <w:r>
              <w:rPr>
                <w:rFonts w:hint="eastAsia" w:ascii="宋体" w:hAnsi="宋体" w:eastAsia="宋体" w:cs="宋体"/>
                <w:sz w:val="18"/>
                <w:szCs w:val="18"/>
              </w:rPr>
              <w:t>24.938</w:t>
            </w:r>
            <w:r>
              <w:rPr>
                <w:rFonts w:hint="eastAsia" w:ascii="宋体" w:hAnsi="宋体" w:eastAsia="宋体" w:cs="宋体"/>
                <w:sz w:val="18"/>
                <w:szCs w:val="18"/>
                <w:lang w:eastAsia="zh-CN"/>
              </w:rPr>
              <w:t>，</w:t>
            </w:r>
            <w:r>
              <w:rPr>
                <w:rFonts w:hint="eastAsia" w:ascii="宋体" w:hAnsi="宋体" w:eastAsia="宋体" w:cs="宋体"/>
                <w:sz w:val="18"/>
                <w:szCs w:val="18"/>
              </w:rPr>
              <w:t>24.945</w:t>
            </w:r>
          </w:p>
        </w:tc>
        <w:tc>
          <w:tcPr>
            <w:tcW w:w="1022" w:type="dxa"/>
            <w:tcBorders>
              <w:left w:val="single" w:color="auto" w:sz="4" w:space="0"/>
            </w:tcBorders>
            <w:vAlign w:val="center"/>
          </w:tcPr>
          <w:p w14:paraId="45F91709">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24.957</w:t>
            </w:r>
          </w:p>
        </w:tc>
        <w:tc>
          <w:tcPr>
            <w:tcW w:w="1055" w:type="dxa"/>
            <w:vAlign w:val="center"/>
          </w:tcPr>
          <w:p w14:paraId="7FC53B97">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0.017</w:t>
            </w:r>
          </w:p>
        </w:tc>
        <w:tc>
          <w:tcPr>
            <w:tcW w:w="1168" w:type="dxa"/>
            <w:vAlign w:val="center"/>
          </w:tcPr>
          <w:p w14:paraId="45337406">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0.067</w:t>
            </w:r>
          </w:p>
        </w:tc>
      </w:tr>
      <w:tr w14:paraId="702FE7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65452BA2">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QPb3-5</w:t>
            </w:r>
          </w:p>
          <w:p w14:paraId="4F59F5F0">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（合成样）</w:t>
            </w:r>
          </w:p>
        </w:tc>
        <w:tc>
          <w:tcPr>
            <w:tcW w:w="4714" w:type="dxa"/>
            <w:tcBorders>
              <w:top w:val="single" w:color="auto" w:sz="4" w:space="0"/>
              <w:left w:val="single" w:color="auto" w:sz="4" w:space="0"/>
              <w:right w:val="nil"/>
            </w:tcBorders>
            <w:vAlign w:val="center"/>
          </w:tcPr>
          <w:p w14:paraId="23F132A1">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31.985</w:t>
            </w:r>
            <w:r>
              <w:rPr>
                <w:rFonts w:hint="eastAsia" w:ascii="宋体" w:hAnsi="宋体" w:eastAsia="宋体" w:cs="宋体"/>
                <w:sz w:val="18"/>
                <w:szCs w:val="18"/>
                <w:lang w:eastAsia="zh-CN"/>
              </w:rPr>
              <w:t>，</w:t>
            </w:r>
            <w:r>
              <w:rPr>
                <w:rFonts w:hint="eastAsia" w:ascii="宋体" w:hAnsi="宋体" w:eastAsia="宋体" w:cs="宋体"/>
                <w:sz w:val="18"/>
                <w:szCs w:val="18"/>
              </w:rPr>
              <w:t>31.968</w:t>
            </w:r>
            <w:r>
              <w:rPr>
                <w:rFonts w:hint="eastAsia" w:ascii="宋体" w:hAnsi="宋体" w:eastAsia="宋体" w:cs="宋体"/>
                <w:sz w:val="18"/>
                <w:szCs w:val="18"/>
                <w:lang w:eastAsia="zh-CN"/>
              </w:rPr>
              <w:t>，</w:t>
            </w:r>
            <w:r>
              <w:rPr>
                <w:rFonts w:hint="eastAsia" w:ascii="宋体" w:hAnsi="宋体" w:eastAsia="宋体" w:cs="宋体"/>
                <w:sz w:val="18"/>
                <w:szCs w:val="18"/>
              </w:rPr>
              <w:t>31.998</w:t>
            </w:r>
            <w:r>
              <w:rPr>
                <w:rFonts w:hint="eastAsia" w:ascii="宋体" w:hAnsi="宋体" w:eastAsia="宋体" w:cs="宋体"/>
                <w:sz w:val="18"/>
                <w:szCs w:val="18"/>
                <w:lang w:eastAsia="zh-CN"/>
              </w:rPr>
              <w:t>，</w:t>
            </w:r>
            <w:r>
              <w:rPr>
                <w:rFonts w:hint="eastAsia" w:ascii="宋体" w:hAnsi="宋体" w:eastAsia="宋体" w:cs="宋体"/>
                <w:sz w:val="18"/>
                <w:szCs w:val="18"/>
              </w:rPr>
              <w:t>31.975</w:t>
            </w:r>
            <w:r>
              <w:rPr>
                <w:rFonts w:hint="eastAsia" w:ascii="宋体" w:hAnsi="宋体" w:eastAsia="宋体" w:cs="宋体"/>
                <w:sz w:val="18"/>
                <w:szCs w:val="18"/>
                <w:lang w:eastAsia="zh-CN"/>
              </w:rPr>
              <w:t>，</w:t>
            </w:r>
            <w:r>
              <w:rPr>
                <w:rFonts w:hint="eastAsia" w:ascii="宋体" w:hAnsi="宋体" w:eastAsia="宋体" w:cs="宋体"/>
                <w:sz w:val="18"/>
                <w:szCs w:val="18"/>
              </w:rPr>
              <w:t>31.972</w:t>
            </w:r>
            <w:r>
              <w:rPr>
                <w:rFonts w:hint="eastAsia" w:ascii="宋体" w:hAnsi="宋体" w:eastAsia="宋体" w:cs="宋体"/>
                <w:sz w:val="18"/>
                <w:szCs w:val="18"/>
                <w:lang w:eastAsia="zh-CN"/>
              </w:rPr>
              <w:t>，</w:t>
            </w:r>
            <w:r>
              <w:rPr>
                <w:rFonts w:hint="eastAsia" w:ascii="宋体" w:hAnsi="宋体" w:eastAsia="宋体" w:cs="宋体"/>
                <w:sz w:val="18"/>
                <w:szCs w:val="18"/>
              </w:rPr>
              <w:t>31.981</w:t>
            </w:r>
            <w:r>
              <w:rPr>
                <w:rFonts w:hint="eastAsia" w:ascii="宋体" w:hAnsi="宋体" w:eastAsia="宋体" w:cs="宋体"/>
                <w:sz w:val="18"/>
                <w:szCs w:val="18"/>
                <w:lang w:eastAsia="zh-CN"/>
              </w:rPr>
              <w:t>，</w:t>
            </w:r>
            <w:r>
              <w:rPr>
                <w:rFonts w:hint="eastAsia" w:ascii="宋体" w:hAnsi="宋体" w:eastAsia="宋体" w:cs="宋体"/>
                <w:sz w:val="18"/>
                <w:szCs w:val="18"/>
              </w:rPr>
              <w:t>31.95</w:t>
            </w:r>
            <w:r>
              <w:rPr>
                <w:rFonts w:hint="eastAsia" w:ascii="宋体" w:hAnsi="宋体" w:eastAsia="宋体" w:cs="宋体"/>
                <w:sz w:val="18"/>
                <w:szCs w:val="18"/>
                <w:lang w:val="en-US" w:eastAsia="zh-CN"/>
              </w:rPr>
              <w:t>0</w:t>
            </w:r>
          </w:p>
        </w:tc>
        <w:tc>
          <w:tcPr>
            <w:tcW w:w="1022" w:type="dxa"/>
            <w:tcBorders>
              <w:left w:val="single" w:color="auto" w:sz="4" w:space="0"/>
            </w:tcBorders>
            <w:vAlign w:val="center"/>
          </w:tcPr>
          <w:p w14:paraId="5618EA6F">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31.976</w:t>
            </w:r>
          </w:p>
        </w:tc>
        <w:tc>
          <w:tcPr>
            <w:tcW w:w="1055" w:type="dxa"/>
            <w:vAlign w:val="center"/>
          </w:tcPr>
          <w:p w14:paraId="3F1FCB4C">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0.015</w:t>
            </w:r>
          </w:p>
        </w:tc>
        <w:tc>
          <w:tcPr>
            <w:tcW w:w="1168" w:type="dxa"/>
            <w:vAlign w:val="center"/>
          </w:tcPr>
          <w:p w14:paraId="247AEA4A">
            <w:pPr>
              <w:jc w:val="center"/>
              <w:rPr>
                <w:rFonts w:hint="eastAsia" w:ascii="宋体" w:hAnsi="宋体" w:eastAsia="宋体" w:cs="宋体"/>
                <w:color w:val="000000"/>
                <w:sz w:val="18"/>
                <w:szCs w:val="18"/>
                <w:lang w:val="en-US" w:eastAsia="zh-CN"/>
              </w:rPr>
            </w:pPr>
            <w:r>
              <w:rPr>
                <w:rFonts w:hint="eastAsia" w:ascii="宋体" w:hAnsi="宋体" w:eastAsia="宋体" w:cs="宋体"/>
                <w:sz w:val="18"/>
                <w:szCs w:val="18"/>
              </w:rPr>
              <w:t>0.047</w:t>
            </w:r>
          </w:p>
        </w:tc>
      </w:tr>
    </w:tbl>
    <w:p w14:paraId="369017B4">
      <w:pPr>
        <w:pStyle w:val="4"/>
        <w:rPr>
          <w:rFonts w:hint="eastAsia" w:ascii="黑体" w:hAnsi="黑体" w:eastAsia="黑体" w:cs="黑体"/>
          <w:sz w:val="21"/>
          <w:szCs w:val="21"/>
          <w:lang w:val="en-US" w:eastAsia="zh-CN"/>
        </w:rPr>
      </w:pPr>
    </w:p>
    <w:p w14:paraId="24EA6F94">
      <w:pPr>
        <w:ind w:firstLine="420"/>
        <w:rPr>
          <w:rFonts w:hint="eastAsia" w:ascii="宋体" w:hAnsi="宋体" w:eastAsia="宋体" w:cs="宋体"/>
          <w:bCs/>
          <w:color w:val="000000"/>
          <w:sz w:val="21"/>
          <w:szCs w:val="21"/>
          <w:lang w:val="en-US" w:eastAsia="zh-CN"/>
        </w:rPr>
      </w:pPr>
      <w:r>
        <w:rPr>
          <w:rFonts w:hint="eastAsia" w:ascii="宋体" w:hAnsi="宋体" w:cs="宋体"/>
          <w:bCs/>
          <w:color w:val="000000"/>
          <w:szCs w:val="21"/>
        </w:rPr>
        <w:t>表1</w:t>
      </w:r>
      <w:r>
        <w:rPr>
          <w:rFonts w:hint="eastAsia" w:ascii="宋体" w:hAnsi="宋体" w:cs="宋体"/>
          <w:bCs/>
          <w:color w:val="000000"/>
          <w:szCs w:val="21"/>
          <w:lang w:val="en-US" w:eastAsia="zh-CN"/>
        </w:rPr>
        <w:t>2-7</w:t>
      </w:r>
      <w:r>
        <w:rPr>
          <w:rFonts w:hint="eastAsia" w:ascii="宋体" w:hAnsi="宋体" w:cs="宋体"/>
          <w:bCs/>
          <w:color w:val="000000"/>
          <w:szCs w:val="21"/>
        </w:rPr>
        <w:t>结果表明，</w:t>
      </w:r>
      <w:r>
        <w:rPr>
          <w:rFonts w:hint="eastAsia" w:ascii="宋体" w:hAnsi="宋体" w:eastAsia="宋体" w:cs="宋体"/>
          <w:sz w:val="21"/>
          <w:szCs w:val="21"/>
        </w:rPr>
        <w:t>使用滴定法对5个样品铅进行精密度实验， 实测值和理论值基本一致，结果相对标准偏差在分别在0.047%~0.41%之间。适用于铜及铜合金中铅含量的测定</w:t>
      </w:r>
      <w:r>
        <w:rPr>
          <w:rFonts w:hint="eastAsia" w:ascii="宋体" w:hAnsi="宋体" w:eastAsia="宋体" w:cs="宋体"/>
          <w:sz w:val="21"/>
          <w:szCs w:val="21"/>
          <w:lang w:eastAsia="zh-CN"/>
        </w:rPr>
        <w:t>。</w:t>
      </w:r>
      <w:r>
        <w:rPr>
          <w:rFonts w:hint="eastAsia" w:ascii="宋体" w:hAnsi="宋体" w:eastAsia="宋体" w:cs="宋体"/>
          <w:bCs/>
          <w:color w:val="000000"/>
          <w:sz w:val="21"/>
          <w:szCs w:val="21"/>
          <w:lang w:eastAsia="zh-CN"/>
        </w:rPr>
        <w:t>结论与起草方一致。</w:t>
      </w:r>
    </w:p>
    <w:p w14:paraId="23A38D00">
      <w:pPr>
        <w:ind w:firstLine="420"/>
        <w:rPr>
          <w:rFonts w:hint="eastAsia" w:ascii="宋体" w:hAnsi="宋体" w:cs="宋体"/>
          <w:bCs/>
          <w:color w:val="000000"/>
          <w:szCs w:val="21"/>
        </w:rPr>
      </w:pPr>
    </w:p>
    <w:p w14:paraId="3BCB5A84">
      <w:pPr>
        <w:ind w:firstLine="420"/>
        <w:jc w:val="center"/>
        <w:rPr>
          <w:rFonts w:hint="eastAsia" w:ascii="黑体" w:hAnsi="黑体" w:eastAsia="黑体" w:cs="黑体"/>
          <w:sz w:val="21"/>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2-8</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（北京有色金属与稀土应用研究所有限公司）</w:t>
      </w:r>
    </w:p>
    <w:tbl>
      <w:tblPr>
        <w:tblStyle w:val="13"/>
        <w:tblW w:w="92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55"/>
        <w:gridCol w:w="4714"/>
        <w:gridCol w:w="1022"/>
        <w:gridCol w:w="1055"/>
        <w:gridCol w:w="1168"/>
      </w:tblGrid>
      <w:tr w14:paraId="68608B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255" w:type="dxa"/>
            <w:vAlign w:val="center"/>
          </w:tcPr>
          <w:p w14:paraId="0C766128">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样品编号</w:t>
            </w:r>
          </w:p>
        </w:tc>
        <w:tc>
          <w:tcPr>
            <w:tcW w:w="4714" w:type="dxa"/>
            <w:tcBorders>
              <w:bottom w:val="single" w:color="auto" w:sz="4" w:space="0"/>
            </w:tcBorders>
            <w:vAlign w:val="center"/>
          </w:tcPr>
          <w:p w14:paraId="16685C0C">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 xml:space="preserve">测定结果/ % </w:t>
            </w:r>
          </w:p>
        </w:tc>
        <w:tc>
          <w:tcPr>
            <w:tcW w:w="1022" w:type="dxa"/>
            <w:vAlign w:val="center"/>
          </w:tcPr>
          <w:p w14:paraId="60425173">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平均值/ %</w:t>
            </w:r>
          </w:p>
        </w:tc>
        <w:tc>
          <w:tcPr>
            <w:tcW w:w="1055" w:type="dxa"/>
            <w:vAlign w:val="center"/>
          </w:tcPr>
          <w:p w14:paraId="1384023C">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w:t>
            </w:r>
          </w:p>
          <w:p w14:paraId="72AE028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偏差/%</w:t>
            </w:r>
          </w:p>
        </w:tc>
        <w:tc>
          <w:tcPr>
            <w:tcW w:w="1168" w:type="dxa"/>
            <w:vAlign w:val="center"/>
          </w:tcPr>
          <w:p w14:paraId="734FAB32">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RSD/</w:t>
            </w:r>
          </w:p>
          <w:p w14:paraId="49AF7F9C">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w:t>
            </w:r>
          </w:p>
        </w:tc>
      </w:tr>
      <w:tr w14:paraId="4C064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2497CD2E">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QPb3-1</w:t>
            </w:r>
          </w:p>
        </w:tc>
        <w:tc>
          <w:tcPr>
            <w:tcW w:w="4714" w:type="dxa"/>
            <w:tcBorders>
              <w:top w:val="single" w:color="auto" w:sz="4" w:space="0"/>
              <w:left w:val="single" w:color="auto" w:sz="4" w:space="0"/>
              <w:bottom w:val="single" w:color="auto" w:sz="4" w:space="0"/>
              <w:right w:val="nil"/>
            </w:tcBorders>
            <w:vAlign w:val="center"/>
          </w:tcPr>
          <w:p w14:paraId="2BFF8886">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6.064、6.122、6.130、6.145、6.163、6.154、6.154</w:t>
            </w:r>
          </w:p>
        </w:tc>
        <w:tc>
          <w:tcPr>
            <w:tcW w:w="1022" w:type="dxa"/>
            <w:tcBorders>
              <w:left w:val="single" w:color="auto" w:sz="4" w:space="0"/>
            </w:tcBorders>
            <w:vAlign w:val="center"/>
          </w:tcPr>
          <w:p w14:paraId="6445F013">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6.132</w:t>
            </w:r>
          </w:p>
        </w:tc>
        <w:tc>
          <w:tcPr>
            <w:tcW w:w="1055" w:type="dxa"/>
            <w:vAlign w:val="center"/>
          </w:tcPr>
          <w:p w14:paraId="219ACC95">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0.034</w:t>
            </w:r>
          </w:p>
        </w:tc>
        <w:tc>
          <w:tcPr>
            <w:tcW w:w="1168" w:type="dxa"/>
            <w:vAlign w:val="center"/>
          </w:tcPr>
          <w:p w14:paraId="26590F3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w:t>
            </w:r>
            <w:r>
              <w:rPr>
                <w:rFonts w:hint="eastAsia" w:ascii="宋体" w:hAnsi="宋体" w:cs="宋体"/>
                <w:b w:val="0"/>
                <w:color w:val="000000"/>
                <w:sz w:val="18"/>
                <w:szCs w:val="18"/>
                <w:lang w:val="en-US" w:eastAsia="zh-CN"/>
              </w:rPr>
              <w:t>55</w:t>
            </w:r>
          </w:p>
        </w:tc>
      </w:tr>
      <w:tr w14:paraId="5CE63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31EA8306">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QPb3-2</w:t>
            </w:r>
          </w:p>
        </w:tc>
        <w:tc>
          <w:tcPr>
            <w:tcW w:w="4714" w:type="dxa"/>
            <w:tcBorders>
              <w:top w:val="single" w:color="auto" w:sz="4" w:space="0"/>
              <w:left w:val="single" w:color="auto" w:sz="4" w:space="0"/>
              <w:bottom w:val="single" w:color="auto" w:sz="4" w:space="0"/>
              <w:right w:val="nil"/>
            </w:tcBorders>
            <w:vAlign w:val="center"/>
          </w:tcPr>
          <w:p w14:paraId="119670CF">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8.810、8.851、8.864、8.868、8.847、8.843、8.836</w:t>
            </w:r>
          </w:p>
        </w:tc>
        <w:tc>
          <w:tcPr>
            <w:tcW w:w="1022" w:type="dxa"/>
            <w:tcBorders>
              <w:left w:val="single" w:color="auto" w:sz="4" w:space="0"/>
            </w:tcBorders>
            <w:vAlign w:val="center"/>
          </w:tcPr>
          <w:p w14:paraId="475C8C71">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8.456</w:t>
            </w:r>
          </w:p>
        </w:tc>
        <w:tc>
          <w:tcPr>
            <w:tcW w:w="1055" w:type="dxa"/>
            <w:vAlign w:val="center"/>
          </w:tcPr>
          <w:p w14:paraId="7BFD1E17">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0.019</w:t>
            </w:r>
          </w:p>
        </w:tc>
        <w:tc>
          <w:tcPr>
            <w:tcW w:w="1168" w:type="dxa"/>
            <w:vAlign w:val="center"/>
          </w:tcPr>
          <w:p w14:paraId="6316D6E1">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0.22</w:t>
            </w:r>
          </w:p>
        </w:tc>
      </w:tr>
      <w:tr w14:paraId="0D2B83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406F350D">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QPb3-3</w:t>
            </w:r>
          </w:p>
        </w:tc>
        <w:tc>
          <w:tcPr>
            <w:tcW w:w="4714" w:type="dxa"/>
            <w:tcBorders>
              <w:top w:val="single" w:color="auto" w:sz="4" w:space="0"/>
              <w:left w:val="single" w:color="auto" w:sz="4" w:space="0"/>
              <w:bottom w:val="single" w:color="auto" w:sz="4" w:space="0"/>
              <w:right w:val="nil"/>
            </w:tcBorders>
            <w:vAlign w:val="center"/>
          </w:tcPr>
          <w:p w14:paraId="0EAD84D5">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17.552、17.597、17.584、17.566、17.565、17.567、17.573</w:t>
            </w:r>
          </w:p>
        </w:tc>
        <w:tc>
          <w:tcPr>
            <w:tcW w:w="1022" w:type="dxa"/>
            <w:tcBorders>
              <w:left w:val="single" w:color="auto" w:sz="4" w:space="0"/>
            </w:tcBorders>
            <w:vAlign w:val="center"/>
          </w:tcPr>
          <w:p w14:paraId="65E08833">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17.585</w:t>
            </w:r>
          </w:p>
        </w:tc>
        <w:tc>
          <w:tcPr>
            <w:tcW w:w="1055" w:type="dxa"/>
            <w:vAlign w:val="center"/>
          </w:tcPr>
          <w:p w14:paraId="241FA0E8">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0.034</w:t>
            </w:r>
          </w:p>
        </w:tc>
        <w:tc>
          <w:tcPr>
            <w:tcW w:w="1168" w:type="dxa"/>
            <w:vAlign w:val="center"/>
          </w:tcPr>
          <w:p w14:paraId="6FD415F0">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0.19</w:t>
            </w:r>
          </w:p>
        </w:tc>
      </w:tr>
      <w:tr w14:paraId="791EF2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71687814">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QPb3-4</w:t>
            </w:r>
          </w:p>
          <w:p w14:paraId="2BB40AC3">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（合成样）</w:t>
            </w:r>
          </w:p>
        </w:tc>
        <w:tc>
          <w:tcPr>
            <w:tcW w:w="4714" w:type="dxa"/>
            <w:tcBorders>
              <w:top w:val="single" w:color="auto" w:sz="4" w:space="0"/>
              <w:left w:val="single" w:color="auto" w:sz="4" w:space="0"/>
              <w:bottom w:val="single" w:color="auto" w:sz="4" w:space="0"/>
              <w:right w:val="nil"/>
            </w:tcBorders>
            <w:vAlign w:val="center"/>
          </w:tcPr>
          <w:p w14:paraId="11B48CB3">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24.921、24.921、24.933、24.992、24.992、24.933、24.945</w:t>
            </w:r>
          </w:p>
        </w:tc>
        <w:tc>
          <w:tcPr>
            <w:tcW w:w="1022" w:type="dxa"/>
            <w:tcBorders>
              <w:left w:val="single" w:color="auto" w:sz="4" w:space="0"/>
            </w:tcBorders>
            <w:vAlign w:val="center"/>
          </w:tcPr>
          <w:p w14:paraId="5E2BFF9C">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24.948</w:t>
            </w:r>
          </w:p>
        </w:tc>
        <w:tc>
          <w:tcPr>
            <w:tcW w:w="1055" w:type="dxa"/>
            <w:vAlign w:val="center"/>
          </w:tcPr>
          <w:p w14:paraId="51DA2A33">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0.031</w:t>
            </w:r>
          </w:p>
        </w:tc>
        <w:tc>
          <w:tcPr>
            <w:tcW w:w="1168" w:type="dxa"/>
            <w:vAlign w:val="center"/>
          </w:tcPr>
          <w:p w14:paraId="6288FA5D">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0.12</w:t>
            </w:r>
          </w:p>
        </w:tc>
      </w:tr>
      <w:tr w14:paraId="5EB98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65C3A704">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QPb3-5</w:t>
            </w:r>
          </w:p>
          <w:p w14:paraId="45CC1D98">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（合成样）</w:t>
            </w:r>
          </w:p>
        </w:tc>
        <w:tc>
          <w:tcPr>
            <w:tcW w:w="4714" w:type="dxa"/>
            <w:tcBorders>
              <w:top w:val="single" w:color="auto" w:sz="4" w:space="0"/>
              <w:left w:val="single" w:color="auto" w:sz="4" w:space="0"/>
              <w:right w:val="nil"/>
            </w:tcBorders>
            <w:vAlign w:val="center"/>
          </w:tcPr>
          <w:p w14:paraId="0B316829">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31.958、31.935、31.970、32.005、31.935、32.016、31.958</w:t>
            </w:r>
          </w:p>
        </w:tc>
        <w:tc>
          <w:tcPr>
            <w:tcW w:w="1022" w:type="dxa"/>
            <w:tcBorders>
              <w:left w:val="single" w:color="auto" w:sz="4" w:space="0"/>
            </w:tcBorders>
            <w:vAlign w:val="center"/>
          </w:tcPr>
          <w:p w14:paraId="04C6B06F">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31.968</w:t>
            </w:r>
          </w:p>
        </w:tc>
        <w:tc>
          <w:tcPr>
            <w:tcW w:w="1055" w:type="dxa"/>
            <w:vAlign w:val="center"/>
          </w:tcPr>
          <w:p w14:paraId="3196FB89">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0.032</w:t>
            </w:r>
          </w:p>
        </w:tc>
        <w:tc>
          <w:tcPr>
            <w:tcW w:w="1168" w:type="dxa"/>
            <w:vAlign w:val="center"/>
          </w:tcPr>
          <w:p w14:paraId="7FADC878">
            <w:pPr>
              <w:jc w:val="center"/>
              <w:rPr>
                <w:rFonts w:hint="eastAsia" w:ascii="宋体" w:hAnsi="宋体" w:eastAsia="宋体" w:cs="宋体"/>
                <w:b w:val="0"/>
                <w:color w:val="000000"/>
                <w:sz w:val="18"/>
                <w:szCs w:val="18"/>
                <w:lang w:val="en-US" w:eastAsia="zh-CN"/>
              </w:rPr>
            </w:pPr>
            <w:r>
              <w:rPr>
                <w:rFonts w:hint="eastAsia" w:ascii="宋体" w:hAnsi="宋体" w:cs="宋体"/>
                <w:b w:val="0"/>
                <w:color w:val="000000"/>
                <w:sz w:val="18"/>
                <w:szCs w:val="18"/>
                <w:lang w:val="en-US" w:eastAsia="zh-CN"/>
              </w:rPr>
              <w:t>0.10</w:t>
            </w:r>
          </w:p>
        </w:tc>
      </w:tr>
    </w:tbl>
    <w:p w14:paraId="1FB153E9">
      <w:pPr>
        <w:ind w:firstLine="420"/>
        <w:rPr>
          <w:rFonts w:hint="eastAsia" w:ascii="黑体" w:hAnsi="黑体" w:eastAsia="黑体" w:cs="黑体"/>
          <w:sz w:val="21"/>
          <w:szCs w:val="21"/>
          <w:lang w:val="en-US" w:eastAsia="zh-CN"/>
        </w:rPr>
      </w:pPr>
    </w:p>
    <w:p w14:paraId="51F6455E">
      <w:pPr>
        <w:ind w:firstLine="420"/>
        <w:rPr>
          <w:rFonts w:hint="eastAsia" w:ascii="黑体" w:hAnsi="黑体" w:eastAsia="黑体" w:cs="黑体"/>
          <w:sz w:val="21"/>
          <w:szCs w:val="21"/>
          <w:lang w:val="en-US" w:eastAsia="zh-CN"/>
        </w:rPr>
      </w:pPr>
      <w:r>
        <w:rPr>
          <w:rFonts w:hint="eastAsia" w:ascii="宋体" w:hAnsi="宋体" w:eastAsia="宋体" w:cs="宋体"/>
          <w:bCs/>
          <w:color w:val="000000"/>
          <w:szCs w:val="21"/>
          <w:lang w:val="en-US" w:eastAsia="zh-CN"/>
        </w:rPr>
        <w:t>表</w:t>
      </w:r>
      <w:r>
        <w:rPr>
          <w:rFonts w:hint="eastAsia" w:ascii="宋体" w:hAnsi="宋体" w:cs="宋体"/>
          <w:bCs/>
          <w:color w:val="000000"/>
          <w:szCs w:val="21"/>
          <w:lang w:val="en-US" w:eastAsia="zh-CN"/>
        </w:rPr>
        <w:t>12-8</w:t>
      </w:r>
      <w:r>
        <w:rPr>
          <w:rFonts w:hint="eastAsia" w:ascii="宋体" w:hAnsi="宋体" w:eastAsia="宋体" w:cs="宋体"/>
          <w:bCs/>
          <w:color w:val="000000"/>
          <w:szCs w:val="21"/>
          <w:lang w:val="en-US" w:eastAsia="zh-CN"/>
        </w:rPr>
        <w:t>结果表明，用本方法对5个不同铅含量铜合金试样进行精密度试验，相对标准偏差</w:t>
      </w:r>
      <w:r>
        <w:rPr>
          <w:rFonts w:hint="eastAsia" w:ascii="宋体" w:hAnsi="宋体" w:eastAsia="宋体" w:cs="宋体"/>
          <w:bCs/>
          <w:color w:val="auto"/>
          <w:szCs w:val="21"/>
          <w:lang w:val="en-US" w:eastAsia="zh-CN"/>
        </w:rPr>
        <w:t>在</w:t>
      </w:r>
      <w:r>
        <w:rPr>
          <w:rFonts w:hint="eastAsia" w:ascii="宋体" w:hAnsi="宋体" w:cs="宋体"/>
          <w:bCs/>
          <w:color w:val="auto"/>
          <w:szCs w:val="21"/>
          <w:lang w:val="en-US" w:eastAsia="zh-CN"/>
        </w:rPr>
        <w:t>0.10</w:t>
      </w:r>
      <w:r>
        <w:rPr>
          <w:rFonts w:hint="eastAsia" w:ascii="宋体" w:hAnsi="宋体" w:eastAsia="宋体" w:cs="宋体"/>
          <w:bCs/>
          <w:color w:val="auto"/>
          <w:szCs w:val="21"/>
          <w:lang w:val="en-US" w:eastAsia="zh-CN"/>
        </w:rPr>
        <w:t>%～</w:t>
      </w:r>
      <w:r>
        <w:rPr>
          <w:rFonts w:hint="eastAsia" w:ascii="宋体" w:hAnsi="宋体" w:cs="宋体"/>
          <w:bCs/>
          <w:color w:val="auto"/>
          <w:szCs w:val="21"/>
          <w:lang w:val="en-US" w:eastAsia="zh-CN"/>
        </w:rPr>
        <w:t>0.55</w:t>
      </w:r>
      <w:r>
        <w:rPr>
          <w:rFonts w:hint="eastAsia" w:ascii="宋体" w:hAnsi="宋体" w:eastAsia="宋体" w:cs="宋体"/>
          <w:bCs/>
          <w:color w:val="auto"/>
          <w:szCs w:val="21"/>
          <w:lang w:val="en-US" w:eastAsia="zh-CN"/>
        </w:rPr>
        <w:t>%之间，方法精密度能满足检测需求。</w:t>
      </w:r>
      <w:r>
        <w:rPr>
          <w:rFonts w:hint="eastAsia" w:ascii="宋体" w:hAnsi="宋体" w:eastAsia="宋体" w:cs="宋体"/>
          <w:bCs/>
          <w:color w:val="000000"/>
          <w:sz w:val="21"/>
          <w:szCs w:val="21"/>
          <w:lang w:eastAsia="zh-CN"/>
        </w:rPr>
        <w:t>结论与起草方一致。</w:t>
      </w:r>
    </w:p>
    <w:p w14:paraId="0F9B883F">
      <w:pPr>
        <w:ind w:firstLine="420"/>
        <w:rPr>
          <w:rFonts w:hint="eastAsia" w:ascii="黑体" w:hAnsi="黑体" w:eastAsia="黑体" w:cs="黑体"/>
          <w:b w:val="0"/>
          <w:bCs w:val="0"/>
          <w:color w:val="000000"/>
          <w:sz w:val="21"/>
          <w:szCs w:val="21"/>
          <w:highlight w:val="none"/>
        </w:rPr>
      </w:pPr>
    </w:p>
    <w:p w14:paraId="6F719890">
      <w:pPr>
        <w:ind w:firstLine="420"/>
        <w:jc w:val="center"/>
        <w:rPr>
          <w:rFonts w:hint="eastAsia" w:ascii="黑体" w:hAnsi="黑体" w:eastAsia="黑体" w:cs="黑体"/>
          <w:sz w:val="21"/>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2-9</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（湖南白银股份有限公司）</w:t>
      </w:r>
    </w:p>
    <w:p w14:paraId="1D6E4C42">
      <w:pPr>
        <w:pStyle w:val="4"/>
        <w:rPr>
          <w:rFonts w:hint="eastAsia" w:ascii="黑体" w:hAnsi="黑体" w:eastAsia="黑体" w:cs="黑体"/>
          <w:sz w:val="21"/>
          <w:szCs w:val="21"/>
          <w:lang w:val="en-US" w:eastAsia="zh-CN"/>
        </w:rPr>
      </w:pPr>
    </w:p>
    <w:tbl>
      <w:tblPr>
        <w:tblStyle w:val="13"/>
        <w:tblW w:w="921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55"/>
        <w:gridCol w:w="4714"/>
        <w:gridCol w:w="1022"/>
        <w:gridCol w:w="1055"/>
        <w:gridCol w:w="1168"/>
      </w:tblGrid>
      <w:tr w14:paraId="4B04E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255" w:type="dxa"/>
            <w:vAlign w:val="center"/>
          </w:tcPr>
          <w:p w14:paraId="3BF0543C">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样品编号</w:t>
            </w:r>
          </w:p>
        </w:tc>
        <w:tc>
          <w:tcPr>
            <w:tcW w:w="4714" w:type="dxa"/>
            <w:tcBorders>
              <w:bottom w:val="single" w:color="auto" w:sz="4" w:space="0"/>
            </w:tcBorders>
            <w:vAlign w:val="center"/>
          </w:tcPr>
          <w:p w14:paraId="50ED2354">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 xml:space="preserve">测定结果/ % </w:t>
            </w:r>
          </w:p>
        </w:tc>
        <w:tc>
          <w:tcPr>
            <w:tcW w:w="1022" w:type="dxa"/>
            <w:vAlign w:val="center"/>
          </w:tcPr>
          <w:p w14:paraId="2D8F4D8B">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平均值/ %</w:t>
            </w:r>
          </w:p>
        </w:tc>
        <w:tc>
          <w:tcPr>
            <w:tcW w:w="1055" w:type="dxa"/>
            <w:vAlign w:val="center"/>
          </w:tcPr>
          <w:p w14:paraId="0A481E56">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w:t>
            </w:r>
          </w:p>
          <w:p w14:paraId="4E43AC3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偏差/%</w:t>
            </w:r>
          </w:p>
        </w:tc>
        <w:tc>
          <w:tcPr>
            <w:tcW w:w="1168" w:type="dxa"/>
            <w:vAlign w:val="center"/>
          </w:tcPr>
          <w:p w14:paraId="4C77B4A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RSD/</w:t>
            </w:r>
          </w:p>
          <w:p w14:paraId="7B1DDFE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w:t>
            </w:r>
          </w:p>
        </w:tc>
      </w:tr>
      <w:tr w14:paraId="0AF5C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30E3C52C">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QPb3-1</w:t>
            </w:r>
          </w:p>
        </w:tc>
        <w:tc>
          <w:tcPr>
            <w:tcW w:w="4714" w:type="dxa"/>
            <w:tcBorders>
              <w:top w:val="single" w:color="auto" w:sz="4" w:space="0"/>
              <w:left w:val="single" w:color="auto" w:sz="4" w:space="0"/>
              <w:bottom w:val="single" w:color="auto" w:sz="4" w:space="0"/>
              <w:right w:val="nil"/>
            </w:tcBorders>
            <w:shd w:val="clear" w:color="auto" w:fill="auto"/>
            <w:vAlign w:val="center"/>
          </w:tcPr>
          <w:p w14:paraId="02C2990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6.17，6.12，6.16，6.15，6.15，6.16，6.16</w:t>
            </w:r>
          </w:p>
        </w:tc>
        <w:tc>
          <w:tcPr>
            <w:tcW w:w="1022" w:type="dxa"/>
            <w:tcBorders>
              <w:left w:val="single" w:color="auto" w:sz="4" w:space="0"/>
            </w:tcBorders>
            <w:shd w:val="clear" w:color="auto" w:fill="auto"/>
            <w:vAlign w:val="center"/>
          </w:tcPr>
          <w:p w14:paraId="69A2D98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6.15 </w:t>
            </w:r>
          </w:p>
        </w:tc>
        <w:tc>
          <w:tcPr>
            <w:tcW w:w="1055" w:type="dxa"/>
            <w:shd w:val="clear" w:color="auto" w:fill="auto"/>
            <w:vAlign w:val="center"/>
          </w:tcPr>
          <w:p w14:paraId="11E1EE5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0.01604 </w:t>
            </w:r>
          </w:p>
        </w:tc>
        <w:tc>
          <w:tcPr>
            <w:tcW w:w="1168" w:type="dxa"/>
            <w:shd w:val="clear" w:color="auto" w:fill="auto"/>
            <w:vAlign w:val="center"/>
          </w:tcPr>
          <w:p w14:paraId="06E59F95">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0.26 </w:t>
            </w:r>
          </w:p>
        </w:tc>
      </w:tr>
      <w:tr w14:paraId="6BF435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1B804A69">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QPb3-2</w:t>
            </w:r>
          </w:p>
        </w:tc>
        <w:tc>
          <w:tcPr>
            <w:tcW w:w="4714" w:type="dxa"/>
            <w:tcBorders>
              <w:top w:val="single" w:color="auto" w:sz="4" w:space="0"/>
              <w:left w:val="single" w:color="auto" w:sz="4" w:space="0"/>
              <w:bottom w:val="single" w:color="auto" w:sz="4" w:space="0"/>
              <w:right w:val="nil"/>
            </w:tcBorders>
            <w:shd w:val="clear" w:color="auto" w:fill="auto"/>
            <w:vAlign w:val="center"/>
          </w:tcPr>
          <w:p w14:paraId="0ADBFA71">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8.81，8.81，8.84</w:t>
            </w:r>
            <w:r>
              <w:rPr>
                <w:rFonts w:hint="eastAsia" w:ascii="宋体" w:hAnsi="宋体" w:eastAsia="宋体" w:cs="宋体"/>
                <w:i w:val="0"/>
                <w:iCs w:val="0"/>
                <w:color w:val="000000"/>
                <w:sz w:val="18"/>
                <w:szCs w:val="18"/>
                <w:u w:val="none"/>
                <w:lang w:eastAsia="zh-CN"/>
              </w:rPr>
              <w:t>，</w:t>
            </w:r>
            <w:r>
              <w:rPr>
                <w:rFonts w:hint="eastAsia" w:ascii="宋体" w:hAnsi="宋体" w:eastAsia="宋体" w:cs="宋体"/>
                <w:i w:val="0"/>
                <w:iCs w:val="0"/>
                <w:color w:val="000000"/>
                <w:kern w:val="0"/>
                <w:sz w:val="18"/>
                <w:szCs w:val="18"/>
                <w:u w:val="none"/>
                <w:lang w:val="en-US" w:eastAsia="zh-CN" w:bidi="ar"/>
              </w:rPr>
              <w:t>8.81，8.85，8.80，8.82</w:t>
            </w:r>
          </w:p>
        </w:tc>
        <w:tc>
          <w:tcPr>
            <w:tcW w:w="1022" w:type="dxa"/>
            <w:tcBorders>
              <w:left w:val="single" w:color="auto" w:sz="4" w:space="0"/>
            </w:tcBorders>
            <w:shd w:val="clear" w:color="auto" w:fill="auto"/>
            <w:vAlign w:val="center"/>
          </w:tcPr>
          <w:p w14:paraId="2BD75EE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8.82 </w:t>
            </w:r>
          </w:p>
        </w:tc>
        <w:tc>
          <w:tcPr>
            <w:tcW w:w="1055" w:type="dxa"/>
            <w:shd w:val="clear" w:color="auto" w:fill="auto"/>
            <w:vAlign w:val="center"/>
          </w:tcPr>
          <w:p w14:paraId="2068446B">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0.01826 </w:t>
            </w:r>
          </w:p>
        </w:tc>
        <w:tc>
          <w:tcPr>
            <w:tcW w:w="1168" w:type="dxa"/>
            <w:shd w:val="clear" w:color="auto" w:fill="auto"/>
            <w:vAlign w:val="center"/>
          </w:tcPr>
          <w:p w14:paraId="2EB3FD6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0.21 </w:t>
            </w:r>
          </w:p>
        </w:tc>
      </w:tr>
      <w:tr w14:paraId="468DE6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59236576">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QPb3-3</w:t>
            </w:r>
          </w:p>
        </w:tc>
        <w:tc>
          <w:tcPr>
            <w:tcW w:w="4714" w:type="dxa"/>
            <w:tcBorders>
              <w:top w:val="single" w:color="auto" w:sz="4" w:space="0"/>
              <w:left w:val="single" w:color="auto" w:sz="4" w:space="0"/>
              <w:bottom w:val="single" w:color="auto" w:sz="4" w:space="0"/>
              <w:right w:val="nil"/>
            </w:tcBorders>
            <w:shd w:val="clear" w:color="auto" w:fill="auto"/>
            <w:vAlign w:val="center"/>
          </w:tcPr>
          <w:p w14:paraId="63873C9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17.53，17.59，17.54</w:t>
            </w:r>
            <w:r>
              <w:rPr>
                <w:rFonts w:hint="eastAsia" w:ascii="宋体" w:hAnsi="宋体" w:eastAsia="宋体" w:cs="宋体"/>
                <w:i w:val="0"/>
                <w:iCs w:val="0"/>
                <w:color w:val="000000"/>
                <w:sz w:val="18"/>
                <w:szCs w:val="18"/>
                <w:u w:val="none"/>
                <w:lang w:eastAsia="zh-CN"/>
              </w:rPr>
              <w:t>，</w:t>
            </w:r>
            <w:r>
              <w:rPr>
                <w:rFonts w:hint="eastAsia" w:ascii="宋体" w:hAnsi="宋体" w:eastAsia="宋体" w:cs="宋体"/>
                <w:i w:val="0"/>
                <w:iCs w:val="0"/>
                <w:color w:val="000000"/>
                <w:kern w:val="0"/>
                <w:sz w:val="18"/>
                <w:szCs w:val="18"/>
                <w:u w:val="none"/>
                <w:lang w:val="en-US" w:eastAsia="zh-CN" w:bidi="ar"/>
              </w:rPr>
              <w:t>17.54，17.58，17.62，17.54</w:t>
            </w:r>
          </w:p>
        </w:tc>
        <w:tc>
          <w:tcPr>
            <w:tcW w:w="1022" w:type="dxa"/>
            <w:tcBorders>
              <w:left w:val="single" w:color="auto" w:sz="4" w:space="0"/>
            </w:tcBorders>
            <w:shd w:val="clear" w:color="auto" w:fill="auto"/>
            <w:vAlign w:val="center"/>
          </w:tcPr>
          <w:p w14:paraId="3595487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17.56 </w:t>
            </w:r>
          </w:p>
        </w:tc>
        <w:tc>
          <w:tcPr>
            <w:tcW w:w="1055" w:type="dxa"/>
            <w:shd w:val="clear" w:color="auto" w:fill="auto"/>
            <w:vAlign w:val="center"/>
          </w:tcPr>
          <w:p w14:paraId="45C0D34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0.03402 </w:t>
            </w:r>
          </w:p>
        </w:tc>
        <w:tc>
          <w:tcPr>
            <w:tcW w:w="1168" w:type="dxa"/>
            <w:shd w:val="clear" w:color="auto" w:fill="auto"/>
            <w:vAlign w:val="center"/>
          </w:tcPr>
          <w:p w14:paraId="56C439AF">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0.19 </w:t>
            </w:r>
          </w:p>
        </w:tc>
      </w:tr>
      <w:tr w14:paraId="0B54B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11804129">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QPb3-4</w:t>
            </w:r>
          </w:p>
          <w:p w14:paraId="3A69A101">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lang w:val="en-US" w:eastAsia="zh-CN"/>
              </w:rPr>
              <w:t>（合成样）</w:t>
            </w:r>
          </w:p>
        </w:tc>
        <w:tc>
          <w:tcPr>
            <w:tcW w:w="4714" w:type="dxa"/>
            <w:tcBorders>
              <w:top w:val="single" w:color="auto" w:sz="4" w:space="0"/>
              <w:left w:val="single" w:color="auto" w:sz="4" w:space="0"/>
              <w:bottom w:val="single" w:color="auto" w:sz="4" w:space="0"/>
              <w:right w:val="nil"/>
            </w:tcBorders>
            <w:shd w:val="clear" w:color="auto" w:fill="auto"/>
            <w:vAlign w:val="center"/>
          </w:tcPr>
          <w:p w14:paraId="3FA1579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25.01，24.96，24.95，24.94，24.92，24.94， 24.95，</w:t>
            </w:r>
          </w:p>
        </w:tc>
        <w:tc>
          <w:tcPr>
            <w:tcW w:w="1022" w:type="dxa"/>
            <w:tcBorders>
              <w:left w:val="single" w:color="auto" w:sz="4" w:space="0"/>
            </w:tcBorders>
            <w:shd w:val="clear" w:color="auto" w:fill="auto"/>
            <w:vAlign w:val="center"/>
          </w:tcPr>
          <w:p w14:paraId="230C9E78">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24.95 </w:t>
            </w:r>
          </w:p>
        </w:tc>
        <w:tc>
          <w:tcPr>
            <w:tcW w:w="1055" w:type="dxa"/>
            <w:shd w:val="clear" w:color="auto" w:fill="auto"/>
            <w:vAlign w:val="center"/>
          </w:tcPr>
          <w:p w14:paraId="1AB6BD07">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0.02812 </w:t>
            </w:r>
          </w:p>
        </w:tc>
        <w:tc>
          <w:tcPr>
            <w:tcW w:w="1168" w:type="dxa"/>
            <w:shd w:val="clear" w:color="auto" w:fill="auto"/>
            <w:vAlign w:val="center"/>
          </w:tcPr>
          <w:p w14:paraId="45805C12">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0.11 </w:t>
            </w:r>
          </w:p>
        </w:tc>
      </w:tr>
      <w:tr w14:paraId="73D75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255" w:type="dxa"/>
            <w:tcBorders>
              <w:right w:val="single" w:color="auto" w:sz="4" w:space="0"/>
            </w:tcBorders>
            <w:vAlign w:val="center"/>
          </w:tcPr>
          <w:p w14:paraId="5B9E1918">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QPb3-5</w:t>
            </w:r>
          </w:p>
          <w:p w14:paraId="1356BA3F">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lang w:val="en-US" w:eastAsia="zh-CN"/>
              </w:rPr>
              <w:t>（合成样）</w:t>
            </w:r>
          </w:p>
        </w:tc>
        <w:tc>
          <w:tcPr>
            <w:tcW w:w="4714" w:type="dxa"/>
            <w:tcBorders>
              <w:top w:val="single" w:color="auto" w:sz="4" w:space="0"/>
              <w:left w:val="single" w:color="auto" w:sz="4" w:space="0"/>
              <w:right w:val="nil"/>
            </w:tcBorders>
            <w:shd w:val="clear" w:color="auto" w:fill="auto"/>
            <w:vAlign w:val="center"/>
          </w:tcPr>
          <w:p w14:paraId="71B95A1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31.97，31.95，31.91，31.98，31.95，31.92，31.99</w:t>
            </w:r>
          </w:p>
        </w:tc>
        <w:tc>
          <w:tcPr>
            <w:tcW w:w="1022" w:type="dxa"/>
            <w:tcBorders>
              <w:left w:val="single" w:color="auto" w:sz="4" w:space="0"/>
            </w:tcBorders>
            <w:shd w:val="clear" w:color="auto" w:fill="auto"/>
            <w:vAlign w:val="center"/>
          </w:tcPr>
          <w:p w14:paraId="38F07449">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31.95 </w:t>
            </w:r>
          </w:p>
        </w:tc>
        <w:tc>
          <w:tcPr>
            <w:tcW w:w="1055" w:type="dxa"/>
            <w:shd w:val="clear" w:color="auto" w:fill="auto"/>
            <w:vAlign w:val="center"/>
          </w:tcPr>
          <w:p w14:paraId="3396F014">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0.02984 </w:t>
            </w:r>
          </w:p>
        </w:tc>
        <w:tc>
          <w:tcPr>
            <w:tcW w:w="1168" w:type="dxa"/>
            <w:shd w:val="clear" w:color="auto" w:fill="auto"/>
            <w:vAlign w:val="center"/>
          </w:tcPr>
          <w:p w14:paraId="1908B0AD">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 xml:space="preserve">0.09 </w:t>
            </w:r>
          </w:p>
        </w:tc>
      </w:tr>
    </w:tbl>
    <w:p w14:paraId="1D54D7D2">
      <w:pPr>
        <w:ind w:firstLine="420"/>
        <w:rPr>
          <w:rFonts w:hint="eastAsia" w:ascii="黑体" w:hAnsi="黑体" w:eastAsia="黑体" w:cs="黑体"/>
          <w:sz w:val="21"/>
          <w:szCs w:val="21"/>
          <w:lang w:val="en-US" w:eastAsia="zh-CN"/>
        </w:rPr>
      </w:pPr>
      <w:r>
        <w:rPr>
          <w:rFonts w:hint="eastAsia" w:ascii="宋体" w:hAnsi="宋体" w:eastAsia="宋体" w:cs="宋体"/>
          <w:bCs/>
          <w:color w:val="000000"/>
          <w:szCs w:val="21"/>
          <w:lang w:val="en-US" w:eastAsia="zh-CN"/>
        </w:rPr>
        <w:t>表</w:t>
      </w:r>
      <w:r>
        <w:rPr>
          <w:rFonts w:hint="eastAsia" w:ascii="宋体" w:hAnsi="宋体" w:cs="宋体"/>
          <w:bCs/>
          <w:color w:val="000000"/>
          <w:szCs w:val="21"/>
          <w:lang w:val="en-US" w:eastAsia="zh-CN"/>
        </w:rPr>
        <w:t>12-9</w:t>
      </w:r>
      <w:r>
        <w:rPr>
          <w:rFonts w:hint="eastAsia" w:ascii="宋体" w:hAnsi="宋体" w:eastAsia="宋体" w:cs="宋体"/>
          <w:sz w:val="21"/>
          <w:szCs w:val="21"/>
        </w:rPr>
        <w:t>试验结果表明，本方法可用于测定铜及铜合金中5.00%～35.00%范围内的铅含量，检测结果准确可靠，精密度优良。5组不同含量样品的相对标准偏差为0.09%～0.26%，均低于0.3%，方法重复性与稳定性良好。</w:t>
      </w:r>
      <w:r>
        <w:rPr>
          <w:rFonts w:hint="eastAsia" w:ascii="宋体" w:hAnsi="宋体" w:eastAsia="宋体" w:cs="宋体"/>
          <w:bCs/>
          <w:color w:val="000000"/>
          <w:sz w:val="21"/>
          <w:szCs w:val="21"/>
          <w:lang w:eastAsia="zh-CN"/>
        </w:rPr>
        <w:t>结论与起草方一致。</w:t>
      </w:r>
    </w:p>
    <w:p w14:paraId="16818816">
      <w:pPr>
        <w:ind w:firstLine="420"/>
        <w:rPr>
          <w:rFonts w:hint="eastAsia" w:ascii="黑体" w:hAnsi="黑体" w:eastAsia="黑体" w:cs="黑体"/>
          <w:b w:val="0"/>
          <w:bCs w:val="0"/>
          <w:color w:val="000000"/>
          <w:sz w:val="21"/>
          <w:szCs w:val="21"/>
          <w:highlight w:val="none"/>
        </w:rPr>
      </w:pPr>
    </w:p>
    <w:p w14:paraId="6F6B0812">
      <w:pPr>
        <w:ind w:firstLine="420"/>
        <w:jc w:val="center"/>
        <w:rPr>
          <w:rFonts w:hint="eastAsia" w:ascii="黑体" w:hAnsi="黑体" w:eastAsia="黑体" w:cs="黑体"/>
          <w:b w:val="0"/>
          <w:bCs w:val="0"/>
          <w:color w:val="000000"/>
          <w:sz w:val="21"/>
          <w:szCs w:val="21"/>
          <w:highlight w:val="none"/>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2-10</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（云南铜业股份有限公司）</w:t>
      </w:r>
    </w:p>
    <w:tbl>
      <w:tblPr>
        <w:tblStyle w:val="13"/>
        <w:tblpPr w:leftFromText="180" w:rightFromText="180" w:vertAnchor="text" w:horzAnchor="page" w:tblpX="1356" w:tblpY="292"/>
        <w:tblOverlap w:val="never"/>
        <w:tblW w:w="921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250"/>
        <w:gridCol w:w="4734"/>
        <w:gridCol w:w="947"/>
        <w:gridCol w:w="1090"/>
        <w:gridCol w:w="1193"/>
      </w:tblGrid>
      <w:tr w14:paraId="6D251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21" w:hRule="atLeast"/>
        </w:trPr>
        <w:tc>
          <w:tcPr>
            <w:tcW w:w="1250" w:type="dxa"/>
            <w:noWrap w:val="0"/>
            <w:vAlign w:val="center"/>
          </w:tcPr>
          <w:p w14:paraId="5900DFB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样品编号</w:t>
            </w:r>
          </w:p>
        </w:tc>
        <w:tc>
          <w:tcPr>
            <w:tcW w:w="4734" w:type="dxa"/>
            <w:tcBorders>
              <w:bottom w:val="single" w:color="auto" w:sz="4" w:space="0"/>
            </w:tcBorders>
            <w:noWrap w:val="0"/>
            <w:vAlign w:val="center"/>
          </w:tcPr>
          <w:p w14:paraId="5F85C807">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 xml:space="preserve">测定结果/ % </w:t>
            </w:r>
          </w:p>
        </w:tc>
        <w:tc>
          <w:tcPr>
            <w:tcW w:w="947" w:type="dxa"/>
            <w:noWrap w:val="0"/>
            <w:vAlign w:val="center"/>
          </w:tcPr>
          <w:p w14:paraId="7A98345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平均值/ %</w:t>
            </w:r>
          </w:p>
        </w:tc>
        <w:tc>
          <w:tcPr>
            <w:tcW w:w="1090" w:type="dxa"/>
            <w:noWrap w:val="0"/>
            <w:vAlign w:val="center"/>
          </w:tcPr>
          <w:p w14:paraId="34984E8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标准偏差/%</w:t>
            </w:r>
          </w:p>
        </w:tc>
        <w:tc>
          <w:tcPr>
            <w:tcW w:w="1193" w:type="dxa"/>
            <w:noWrap w:val="0"/>
            <w:vAlign w:val="center"/>
          </w:tcPr>
          <w:p w14:paraId="586063E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RSD/%</w:t>
            </w:r>
          </w:p>
        </w:tc>
      </w:tr>
      <w:tr w14:paraId="4F2232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25" w:hRule="atLeast"/>
        </w:trPr>
        <w:tc>
          <w:tcPr>
            <w:tcW w:w="1250" w:type="dxa"/>
            <w:tcBorders>
              <w:right w:val="single" w:color="auto" w:sz="4" w:space="0"/>
            </w:tcBorders>
            <w:noWrap w:val="0"/>
            <w:vAlign w:val="center"/>
          </w:tcPr>
          <w:p w14:paraId="13A8C28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QPb3-1</w:t>
            </w:r>
          </w:p>
        </w:tc>
        <w:tc>
          <w:tcPr>
            <w:tcW w:w="4734" w:type="dxa"/>
            <w:tcBorders>
              <w:top w:val="single" w:color="auto" w:sz="4" w:space="0"/>
              <w:left w:val="single" w:color="auto" w:sz="4" w:space="0"/>
              <w:bottom w:val="single" w:color="auto" w:sz="4" w:space="0"/>
              <w:right w:val="nil"/>
            </w:tcBorders>
            <w:noWrap w:val="0"/>
            <w:vAlign w:val="center"/>
          </w:tcPr>
          <w:p w14:paraId="5E56410E">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6.207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6.278</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6.219</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6.262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6.275</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6.276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6.285</w:t>
            </w:r>
          </w:p>
        </w:tc>
        <w:tc>
          <w:tcPr>
            <w:tcW w:w="947" w:type="dxa"/>
            <w:tcBorders>
              <w:left w:val="single" w:color="auto" w:sz="4" w:space="0"/>
            </w:tcBorders>
            <w:noWrap w:val="0"/>
            <w:vAlign w:val="center"/>
          </w:tcPr>
          <w:p w14:paraId="7E52BDA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6.257</w:t>
            </w:r>
          </w:p>
        </w:tc>
        <w:tc>
          <w:tcPr>
            <w:tcW w:w="1090" w:type="dxa"/>
            <w:noWrap w:val="0"/>
            <w:vAlign w:val="center"/>
          </w:tcPr>
          <w:p w14:paraId="271C3203">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0.031</w:t>
            </w:r>
          </w:p>
        </w:tc>
        <w:tc>
          <w:tcPr>
            <w:tcW w:w="1193" w:type="dxa"/>
            <w:noWrap w:val="0"/>
            <w:vAlign w:val="center"/>
          </w:tcPr>
          <w:p w14:paraId="30878E4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0.50</w:t>
            </w:r>
          </w:p>
        </w:tc>
      </w:tr>
      <w:tr w14:paraId="1C886D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35" w:hRule="atLeast"/>
        </w:trPr>
        <w:tc>
          <w:tcPr>
            <w:tcW w:w="1250" w:type="dxa"/>
            <w:tcBorders>
              <w:right w:val="single" w:color="auto" w:sz="4" w:space="0"/>
            </w:tcBorders>
            <w:noWrap w:val="0"/>
            <w:vAlign w:val="center"/>
          </w:tcPr>
          <w:p w14:paraId="4D6020A0">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QPb3-2</w:t>
            </w:r>
          </w:p>
        </w:tc>
        <w:tc>
          <w:tcPr>
            <w:tcW w:w="4734" w:type="dxa"/>
            <w:tcBorders>
              <w:top w:val="single" w:color="auto" w:sz="4" w:space="0"/>
              <w:left w:val="single" w:color="auto" w:sz="4" w:space="0"/>
              <w:bottom w:val="single" w:color="auto" w:sz="4" w:space="0"/>
              <w:right w:val="nil"/>
            </w:tcBorders>
            <w:noWrap w:val="0"/>
            <w:vAlign w:val="center"/>
          </w:tcPr>
          <w:p w14:paraId="6F7D042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8.877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8.808</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8.766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8.741</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8.800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8.804</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8.812</w:t>
            </w:r>
          </w:p>
        </w:tc>
        <w:tc>
          <w:tcPr>
            <w:tcW w:w="947" w:type="dxa"/>
            <w:tcBorders>
              <w:left w:val="single" w:color="auto" w:sz="4" w:space="0"/>
            </w:tcBorders>
            <w:noWrap w:val="0"/>
            <w:vAlign w:val="center"/>
          </w:tcPr>
          <w:p w14:paraId="22D7C37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8.801</w:t>
            </w:r>
          </w:p>
        </w:tc>
        <w:tc>
          <w:tcPr>
            <w:tcW w:w="1090" w:type="dxa"/>
            <w:noWrap w:val="0"/>
            <w:vAlign w:val="center"/>
          </w:tcPr>
          <w:p w14:paraId="739871B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0.042</w:t>
            </w:r>
          </w:p>
        </w:tc>
        <w:tc>
          <w:tcPr>
            <w:tcW w:w="1193" w:type="dxa"/>
            <w:noWrap w:val="0"/>
            <w:vAlign w:val="center"/>
          </w:tcPr>
          <w:p w14:paraId="748BDC9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0.48</w:t>
            </w:r>
          </w:p>
        </w:tc>
      </w:tr>
      <w:tr w14:paraId="58D13D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90" w:hRule="atLeast"/>
        </w:trPr>
        <w:tc>
          <w:tcPr>
            <w:tcW w:w="1250" w:type="dxa"/>
            <w:tcBorders>
              <w:right w:val="single" w:color="auto" w:sz="4" w:space="0"/>
            </w:tcBorders>
            <w:noWrap w:val="0"/>
            <w:vAlign w:val="center"/>
          </w:tcPr>
          <w:p w14:paraId="18B4DCC3">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QPb3-3</w:t>
            </w:r>
          </w:p>
        </w:tc>
        <w:tc>
          <w:tcPr>
            <w:tcW w:w="4734" w:type="dxa"/>
            <w:tcBorders>
              <w:top w:val="single" w:color="auto" w:sz="4" w:space="0"/>
              <w:left w:val="single" w:color="auto" w:sz="4" w:space="0"/>
              <w:bottom w:val="single" w:color="auto" w:sz="4" w:space="0"/>
              <w:right w:val="nil"/>
            </w:tcBorders>
            <w:noWrap w:val="0"/>
            <w:vAlign w:val="center"/>
          </w:tcPr>
          <w:p w14:paraId="08678C84">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17.690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17.639</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17.694</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17.711</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17.677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17.650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17.689</w:t>
            </w:r>
          </w:p>
        </w:tc>
        <w:tc>
          <w:tcPr>
            <w:tcW w:w="947" w:type="dxa"/>
            <w:tcBorders>
              <w:left w:val="single" w:color="auto" w:sz="4" w:space="0"/>
            </w:tcBorders>
            <w:noWrap w:val="0"/>
            <w:vAlign w:val="center"/>
          </w:tcPr>
          <w:p w14:paraId="5BECA25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17.679</w:t>
            </w:r>
          </w:p>
        </w:tc>
        <w:tc>
          <w:tcPr>
            <w:tcW w:w="1090" w:type="dxa"/>
            <w:noWrap w:val="0"/>
            <w:vAlign w:val="center"/>
          </w:tcPr>
          <w:p w14:paraId="6AFDB29E">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0.026</w:t>
            </w:r>
          </w:p>
        </w:tc>
        <w:tc>
          <w:tcPr>
            <w:tcW w:w="1193" w:type="dxa"/>
            <w:noWrap w:val="0"/>
            <w:vAlign w:val="center"/>
          </w:tcPr>
          <w:p w14:paraId="77884749">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0.14</w:t>
            </w:r>
          </w:p>
        </w:tc>
      </w:tr>
      <w:tr w14:paraId="29A517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trPr>
        <w:tc>
          <w:tcPr>
            <w:tcW w:w="1250" w:type="dxa"/>
            <w:tcBorders>
              <w:right w:val="single" w:color="auto" w:sz="4" w:space="0"/>
            </w:tcBorders>
            <w:noWrap w:val="0"/>
            <w:vAlign w:val="center"/>
          </w:tcPr>
          <w:p w14:paraId="2251E7F3">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QPb3-4</w:t>
            </w:r>
          </w:p>
          <w:p w14:paraId="0A8028FD">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（合成样 ）</w:t>
            </w:r>
          </w:p>
        </w:tc>
        <w:tc>
          <w:tcPr>
            <w:tcW w:w="4734" w:type="dxa"/>
            <w:tcBorders>
              <w:top w:val="single" w:color="auto" w:sz="4" w:space="0"/>
              <w:left w:val="single" w:color="auto" w:sz="4" w:space="0"/>
              <w:bottom w:val="single" w:color="auto" w:sz="4" w:space="0"/>
              <w:right w:val="nil"/>
            </w:tcBorders>
            <w:noWrap w:val="0"/>
            <w:vAlign w:val="center"/>
          </w:tcPr>
          <w:p w14:paraId="393C65E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25.100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24.931</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24.933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25.007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24.950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25.032</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25.105</w:t>
            </w:r>
          </w:p>
        </w:tc>
        <w:tc>
          <w:tcPr>
            <w:tcW w:w="947" w:type="dxa"/>
            <w:tcBorders>
              <w:left w:val="single" w:color="auto" w:sz="4" w:space="0"/>
            </w:tcBorders>
            <w:noWrap w:val="0"/>
            <w:vAlign w:val="center"/>
          </w:tcPr>
          <w:p w14:paraId="65255D0F">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25.008</w:t>
            </w:r>
          </w:p>
        </w:tc>
        <w:tc>
          <w:tcPr>
            <w:tcW w:w="1090" w:type="dxa"/>
            <w:noWrap w:val="0"/>
            <w:vAlign w:val="center"/>
          </w:tcPr>
          <w:p w14:paraId="7320831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0.074</w:t>
            </w:r>
          </w:p>
        </w:tc>
        <w:tc>
          <w:tcPr>
            <w:tcW w:w="1193" w:type="dxa"/>
            <w:noWrap w:val="0"/>
            <w:vAlign w:val="center"/>
          </w:tcPr>
          <w:p w14:paraId="24CB46AA">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0.30</w:t>
            </w:r>
          </w:p>
        </w:tc>
      </w:tr>
      <w:tr w14:paraId="29CCA9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85" w:hRule="atLeast"/>
        </w:trPr>
        <w:tc>
          <w:tcPr>
            <w:tcW w:w="1250" w:type="dxa"/>
            <w:tcBorders>
              <w:right w:val="single" w:color="auto" w:sz="4" w:space="0"/>
            </w:tcBorders>
            <w:noWrap w:val="0"/>
            <w:vAlign w:val="center"/>
          </w:tcPr>
          <w:p w14:paraId="5B9BAE3B">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QPb3-5</w:t>
            </w:r>
          </w:p>
          <w:p w14:paraId="5CD86130">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（合成样 ）</w:t>
            </w:r>
          </w:p>
        </w:tc>
        <w:tc>
          <w:tcPr>
            <w:tcW w:w="4734" w:type="dxa"/>
            <w:tcBorders>
              <w:top w:val="single" w:color="auto" w:sz="4" w:space="0"/>
              <w:left w:val="single" w:color="auto" w:sz="4" w:space="0"/>
              <w:right w:val="nil"/>
            </w:tcBorders>
            <w:noWrap w:val="0"/>
            <w:vAlign w:val="center"/>
          </w:tcPr>
          <w:p w14:paraId="7E820AB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32.064</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32.039</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32.079</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32.078</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32.176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32.033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31.982</w:t>
            </w:r>
          </w:p>
        </w:tc>
        <w:tc>
          <w:tcPr>
            <w:tcW w:w="947" w:type="dxa"/>
            <w:tcBorders>
              <w:left w:val="single" w:color="auto" w:sz="4" w:space="0"/>
            </w:tcBorders>
            <w:noWrap w:val="0"/>
            <w:vAlign w:val="center"/>
          </w:tcPr>
          <w:p w14:paraId="4000022C">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32.064</w:t>
            </w:r>
          </w:p>
        </w:tc>
        <w:tc>
          <w:tcPr>
            <w:tcW w:w="1090" w:type="dxa"/>
            <w:noWrap w:val="0"/>
            <w:vAlign w:val="center"/>
          </w:tcPr>
          <w:p w14:paraId="6396DF08">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0.060</w:t>
            </w:r>
          </w:p>
        </w:tc>
        <w:tc>
          <w:tcPr>
            <w:tcW w:w="1193" w:type="dxa"/>
            <w:noWrap w:val="0"/>
            <w:vAlign w:val="center"/>
          </w:tcPr>
          <w:p w14:paraId="5778AD86">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0.19</w:t>
            </w:r>
          </w:p>
        </w:tc>
      </w:tr>
    </w:tbl>
    <w:p w14:paraId="6AD38E86">
      <w:pPr>
        <w:ind w:firstLine="420"/>
        <w:jc w:val="center"/>
        <w:rPr>
          <w:rFonts w:hint="eastAsia" w:ascii="宋体" w:hAnsi="宋体" w:eastAsia="宋体" w:cs="宋体"/>
          <w:bCs/>
          <w:color w:val="000000"/>
          <w:szCs w:val="21"/>
          <w:lang w:val="en-US" w:eastAsia="zh-CN"/>
        </w:rPr>
      </w:pPr>
      <w:r>
        <w:rPr>
          <w:rFonts w:hint="eastAsia" w:ascii="宋体" w:hAnsi="宋体" w:eastAsia="宋体" w:cs="宋体"/>
          <w:bCs/>
          <w:color w:val="000000"/>
          <w:szCs w:val="21"/>
          <w:lang w:val="en-US" w:eastAsia="zh-CN"/>
        </w:rPr>
        <w:t>表</w:t>
      </w:r>
      <w:r>
        <w:rPr>
          <w:rFonts w:hint="eastAsia" w:ascii="宋体" w:hAnsi="宋体" w:cs="宋体"/>
          <w:bCs/>
          <w:color w:val="000000"/>
          <w:szCs w:val="21"/>
          <w:lang w:val="en-US" w:eastAsia="zh-CN"/>
        </w:rPr>
        <w:t>12-10</w:t>
      </w:r>
      <w:r>
        <w:rPr>
          <w:rFonts w:hint="eastAsia" w:ascii="宋体" w:hAnsi="宋体" w:eastAsia="宋体" w:cs="宋体"/>
          <w:bCs/>
          <w:color w:val="000000"/>
          <w:szCs w:val="21"/>
          <w:lang w:val="en-US" w:eastAsia="zh-CN"/>
        </w:rPr>
        <w:t>结果表明，用本方法对5个不同铅含量铜合金试样进行精密度试验，相对标准</w:t>
      </w:r>
    </w:p>
    <w:p w14:paraId="248B0E46">
      <w:pPr>
        <w:jc w:val="both"/>
        <w:rPr>
          <w:rFonts w:hint="eastAsia" w:ascii="宋体" w:hAnsi="宋体" w:eastAsia="宋体" w:cs="宋体"/>
          <w:bCs/>
          <w:color w:val="000000"/>
          <w:sz w:val="21"/>
          <w:szCs w:val="21"/>
          <w:lang w:eastAsia="zh-CN"/>
        </w:rPr>
      </w:pPr>
      <w:r>
        <w:rPr>
          <w:rFonts w:hint="eastAsia" w:ascii="宋体" w:hAnsi="宋体" w:eastAsia="宋体" w:cs="宋体"/>
          <w:bCs/>
          <w:color w:val="000000"/>
          <w:szCs w:val="21"/>
          <w:lang w:val="en-US" w:eastAsia="zh-CN"/>
        </w:rPr>
        <w:t>偏差</w:t>
      </w:r>
      <w:r>
        <w:rPr>
          <w:rFonts w:hint="eastAsia" w:ascii="宋体" w:hAnsi="宋体" w:eastAsia="宋体" w:cs="宋体"/>
          <w:bCs/>
          <w:color w:val="auto"/>
          <w:szCs w:val="21"/>
          <w:lang w:val="en-US" w:eastAsia="zh-CN"/>
        </w:rPr>
        <w:t>在</w:t>
      </w:r>
      <w:r>
        <w:rPr>
          <w:rFonts w:hint="eastAsia" w:ascii="宋体" w:hAnsi="宋体" w:cs="宋体"/>
          <w:bCs/>
          <w:color w:val="auto"/>
          <w:szCs w:val="21"/>
          <w:lang w:val="en-US" w:eastAsia="zh-CN"/>
        </w:rPr>
        <w:t>0.14</w:t>
      </w:r>
      <w:r>
        <w:rPr>
          <w:rFonts w:hint="eastAsia" w:ascii="宋体" w:hAnsi="宋体" w:eastAsia="宋体" w:cs="宋体"/>
          <w:bCs/>
          <w:color w:val="auto"/>
          <w:szCs w:val="21"/>
          <w:lang w:val="en-US" w:eastAsia="zh-CN"/>
        </w:rPr>
        <w:t>%～</w:t>
      </w:r>
      <w:r>
        <w:rPr>
          <w:rFonts w:hint="eastAsia" w:ascii="宋体" w:hAnsi="宋体" w:cs="宋体"/>
          <w:bCs/>
          <w:color w:val="auto"/>
          <w:szCs w:val="21"/>
          <w:lang w:val="en-US" w:eastAsia="zh-CN"/>
        </w:rPr>
        <w:t>0.50</w:t>
      </w:r>
      <w:r>
        <w:rPr>
          <w:rFonts w:hint="eastAsia" w:ascii="宋体" w:hAnsi="宋体" w:eastAsia="宋体" w:cs="宋体"/>
          <w:bCs/>
          <w:color w:val="auto"/>
          <w:szCs w:val="21"/>
          <w:lang w:val="en-US" w:eastAsia="zh-CN"/>
        </w:rPr>
        <w:t>%之间，方法精密度能满足检测需求。</w:t>
      </w:r>
      <w:r>
        <w:rPr>
          <w:rFonts w:hint="eastAsia" w:ascii="宋体" w:hAnsi="宋体" w:eastAsia="宋体" w:cs="宋体"/>
          <w:bCs/>
          <w:color w:val="000000"/>
          <w:sz w:val="21"/>
          <w:szCs w:val="21"/>
          <w:lang w:eastAsia="zh-CN"/>
        </w:rPr>
        <w:t>结论与起草方一致。</w:t>
      </w:r>
    </w:p>
    <w:p w14:paraId="0F3D54FE">
      <w:pPr>
        <w:ind w:firstLine="420"/>
        <w:jc w:val="center"/>
        <w:rPr>
          <w:rFonts w:hint="eastAsia" w:ascii="黑体" w:hAnsi="黑体" w:eastAsia="黑体" w:cs="黑体"/>
          <w:b w:val="0"/>
          <w:bCs w:val="0"/>
          <w:color w:val="000000"/>
          <w:sz w:val="21"/>
          <w:szCs w:val="21"/>
          <w:highlight w:val="none"/>
        </w:rPr>
      </w:pPr>
    </w:p>
    <w:p w14:paraId="14D64CCE">
      <w:pPr>
        <w:ind w:firstLine="420"/>
        <w:jc w:val="center"/>
        <w:rPr>
          <w:rFonts w:hint="eastAsia" w:ascii="黑体" w:hAnsi="黑体" w:eastAsia="黑体" w:cs="黑体"/>
          <w:sz w:val="21"/>
          <w:szCs w:val="21"/>
          <w:lang w:val="en-US" w:eastAsia="zh-CN"/>
        </w:rPr>
      </w:pPr>
      <w:r>
        <w:rPr>
          <w:rFonts w:hint="eastAsia" w:ascii="黑体" w:hAnsi="黑体" w:eastAsia="黑体" w:cs="黑体"/>
          <w:b w:val="0"/>
          <w:bCs w:val="0"/>
          <w:color w:val="000000"/>
          <w:sz w:val="21"/>
          <w:szCs w:val="21"/>
          <w:highlight w:val="none"/>
        </w:rPr>
        <w:t>表1</w:t>
      </w:r>
      <w:r>
        <w:rPr>
          <w:rFonts w:hint="eastAsia" w:ascii="黑体" w:hAnsi="黑体" w:eastAsia="黑体" w:cs="黑体"/>
          <w:b w:val="0"/>
          <w:bCs w:val="0"/>
          <w:color w:val="000000"/>
          <w:sz w:val="21"/>
          <w:szCs w:val="21"/>
          <w:highlight w:val="none"/>
          <w:lang w:val="en-US" w:eastAsia="zh-CN"/>
        </w:rPr>
        <w:t>2-11</w:t>
      </w:r>
      <w:r>
        <w:rPr>
          <w:rFonts w:hint="eastAsia" w:ascii="黑体" w:hAnsi="黑体" w:eastAsia="黑体" w:cs="黑体"/>
          <w:b w:val="0"/>
          <w:bCs w:val="0"/>
          <w:color w:val="000000"/>
          <w:sz w:val="21"/>
          <w:szCs w:val="21"/>
          <w:highlight w:val="none"/>
        </w:rPr>
        <w:t xml:space="preserve"> 精密度试验</w:t>
      </w:r>
      <w:r>
        <w:rPr>
          <w:rFonts w:hint="eastAsia" w:ascii="黑体" w:hAnsi="黑体" w:eastAsia="黑体" w:cs="黑体"/>
          <w:sz w:val="21"/>
          <w:szCs w:val="21"/>
          <w:lang w:val="en-US" w:eastAsia="zh-CN"/>
        </w:rPr>
        <w:t>（江西铜信检验检测有限公司）</w:t>
      </w:r>
    </w:p>
    <w:tbl>
      <w:tblPr>
        <w:tblStyle w:val="13"/>
        <w:tblpPr w:leftFromText="180" w:rightFromText="180" w:vertAnchor="text" w:horzAnchor="page" w:tblpX="1482" w:tblpY="150"/>
        <w:tblOverlap w:val="never"/>
        <w:tblW w:w="91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646"/>
        <w:gridCol w:w="5052"/>
        <w:gridCol w:w="870"/>
        <w:gridCol w:w="825"/>
        <w:gridCol w:w="795"/>
      </w:tblGrid>
      <w:tr w14:paraId="019D58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70" w:hRule="atLeast"/>
        </w:trPr>
        <w:tc>
          <w:tcPr>
            <w:tcW w:w="1646" w:type="dxa"/>
            <w:noWrap w:val="0"/>
            <w:vAlign w:val="center"/>
          </w:tcPr>
          <w:p w14:paraId="7F4EDD1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样品编号</w:t>
            </w:r>
          </w:p>
        </w:tc>
        <w:tc>
          <w:tcPr>
            <w:tcW w:w="5052" w:type="dxa"/>
            <w:tcBorders>
              <w:bottom w:val="single" w:color="auto" w:sz="4" w:space="0"/>
            </w:tcBorders>
            <w:noWrap w:val="0"/>
            <w:vAlign w:val="center"/>
          </w:tcPr>
          <w:p w14:paraId="6F9E031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default" w:ascii="宋体" w:hAnsi="宋体" w:eastAsia="宋体" w:cs="宋体"/>
                <w:b w:val="0"/>
                <w:color w:val="000000"/>
                <w:sz w:val="18"/>
                <w:szCs w:val="18"/>
                <w:lang w:val="en-US" w:eastAsia="zh-CN"/>
              </w:rPr>
              <w:t>测定</w:t>
            </w:r>
            <w:r>
              <w:rPr>
                <w:rFonts w:hint="eastAsia" w:ascii="宋体" w:hAnsi="宋体" w:eastAsia="宋体" w:cs="宋体"/>
                <w:b w:val="0"/>
                <w:color w:val="000000"/>
                <w:sz w:val="18"/>
                <w:szCs w:val="18"/>
                <w:lang w:val="en-US" w:eastAsia="zh-CN"/>
              </w:rPr>
              <w:t>结果</w:t>
            </w:r>
            <w:r>
              <w:rPr>
                <w:rFonts w:hint="default" w:ascii="宋体" w:hAnsi="宋体" w:eastAsia="宋体" w:cs="宋体"/>
                <w:b w:val="0"/>
                <w:color w:val="000000"/>
                <w:sz w:val="18"/>
                <w:szCs w:val="18"/>
                <w:lang w:val="en-US" w:eastAsia="zh-CN"/>
              </w:rPr>
              <w:t>/%</w:t>
            </w:r>
          </w:p>
        </w:tc>
        <w:tc>
          <w:tcPr>
            <w:tcW w:w="870" w:type="dxa"/>
            <w:noWrap w:val="0"/>
            <w:vAlign w:val="center"/>
          </w:tcPr>
          <w:p w14:paraId="73885EB2">
            <w:pPr>
              <w:jc w:val="center"/>
              <w:rPr>
                <w:rFonts w:hint="eastAsia" w:ascii="宋体" w:hAnsi="宋体" w:eastAsia="宋体" w:cs="宋体"/>
                <w:b w:val="0"/>
                <w:color w:val="000000"/>
                <w:sz w:val="18"/>
                <w:szCs w:val="18"/>
                <w:lang w:val="en-US" w:eastAsia="zh-CN"/>
              </w:rPr>
            </w:pPr>
            <w:r>
              <w:rPr>
                <w:rFonts w:hint="default" w:ascii="宋体" w:hAnsi="宋体" w:eastAsia="宋体" w:cs="宋体"/>
                <w:b w:val="0"/>
                <w:color w:val="000000"/>
                <w:sz w:val="18"/>
                <w:szCs w:val="18"/>
                <w:lang w:val="en-US" w:eastAsia="zh-CN"/>
              </w:rPr>
              <w:t>平均值/%</w:t>
            </w:r>
          </w:p>
        </w:tc>
        <w:tc>
          <w:tcPr>
            <w:tcW w:w="825" w:type="dxa"/>
            <w:noWrap w:val="0"/>
            <w:vAlign w:val="center"/>
          </w:tcPr>
          <w:p w14:paraId="10533DD2">
            <w:pPr>
              <w:jc w:val="center"/>
              <w:rPr>
                <w:rFonts w:hint="eastAsia" w:ascii="宋体" w:hAnsi="宋体" w:eastAsia="宋体" w:cs="宋体"/>
                <w:b w:val="0"/>
                <w:color w:val="000000"/>
                <w:sz w:val="18"/>
                <w:szCs w:val="18"/>
                <w:lang w:val="en-US" w:eastAsia="zh-CN"/>
              </w:rPr>
            </w:pPr>
            <w:r>
              <w:rPr>
                <w:rFonts w:hint="default" w:ascii="宋体" w:hAnsi="宋体" w:eastAsia="宋体" w:cs="宋体"/>
                <w:b w:val="0"/>
                <w:color w:val="000000"/>
                <w:sz w:val="18"/>
                <w:szCs w:val="18"/>
                <w:lang w:val="en-US" w:eastAsia="zh-CN"/>
              </w:rPr>
              <w:t>SD/%</w:t>
            </w:r>
          </w:p>
        </w:tc>
        <w:tc>
          <w:tcPr>
            <w:tcW w:w="795" w:type="dxa"/>
            <w:noWrap w:val="0"/>
            <w:vAlign w:val="center"/>
          </w:tcPr>
          <w:p w14:paraId="4E52880C">
            <w:pPr>
              <w:jc w:val="center"/>
              <w:rPr>
                <w:rFonts w:hint="eastAsia" w:ascii="宋体" w:hAnsi="宋体" w:eastAsia="宋体" w:cs="宋体"/>
                <w:b w:val="0"/>
                <w:color w:val="000000"/>
                <w:sz w:val="18"/>
                <w:szCs w:val="18"/>
                <w:lang w:val="en-US" w:eastAsia="zh-CN"/>
              </w:rPr>
            </w:pPr>
            <w:r>
              <w:rPr>
                <w:rFonts w:hint="default" w:ascii="宋体" w:hAnsi="宋体" w:eastAsia="宋体" w:cs="宋体"/>
                <w:b w:val="0"/>
                <w:color w:val="000000"/>
                <w:sz w:val="18"/>
                <w:szCs w:val="18"/>
                <w:lang w:val="en-US" w:eastAsia="zh-CN"/>
              </w:rPr>
              <w:t>RSD/%</w:t>
            </w:r>
          </w:p>
        </w:tc>
      </w:tr>
      <w:tr w14:paraId="2CCABC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77" w:hRule="atLeast"/>
        </w:trPr>
        <w:tc>
          <w:tcPr>
            <w:tcW w:w="1646" w:type="dxa"/>
            <w:tcBorders>
              <w:right w:val="single" w:color="auto" w:sz="4" w:space="0"/>
            </w:tcBorders>
            <w:noWrap w:val="0"/>
            <w:vAlign w:val="center"/>
          </w:tcPr>
          <w:p w14:paraId="44E9F127">
            <w:pPr>
              <w:jc w:val="center"/>
              <w:rPr>
                <w:rFonts w:hint="default"/>
                <w:sz w:val="18"/>
                <w:szCs w:val="18"/>
                <w:lang w:val="en-US" w:eastAsia="zh-CN"/>
              </w:rPr>
            </w:pPr>
            <w:r>
              <w:rPr>
                <w:rFonts w:hint="eastAsia" w:ascii="宋体" w:hAnsi="宋体" w:eastAsia="宋体" w:cs="宋体"/>
                <w:bCs/>
                <w:color w:val="000000"/>
                <w:sz w:val="18"/>
                <w:szCs w:val="18"/>
                <w:lang w:val="en-US" w:eastAsia="zh-CN"/>
              </w:rPr>
              <w:t>QPb3-1</w:t>
            </w:r>
          </w:p>
        </w:tc>
        <w:tc>
          <w:tcPr>
            <w:tcW w:w="5052" w:type="dxa"/>
            <w:tcBorders>
              <w:top w:val="single" w:color="auto" w:sz="4" w:space="0"/>
              <w:left w:val="single" w:color="auto" w:sz="4" w:space="0"/>
              <w:bottom w:val="single" w:color="auto" w:sz="4" w:space="0"/>
              <w:right w:val="nil"/>
            </w:tcBorders>
            <w:noWrap w:val="0"/>
            <w:vAlign w:val="center"/>
          </w:tcPr>
          <w:p w14:paraId="5F49B5A2">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6.161，6.132，6.121，6.154，6.147，6.139，6.155</w:t>
            </w:r>
          </w:p>
        </w:tc>
        <w:tc>
          <w:tcPr>
            <w:tcW w:w="870" w:type="dxa"/>
            <w:tcBorders>
              <w:left w:val="single" w:color="auto" w:sz="4" w:space="0"/>
            </w:tcBorders>
            <w:noWrap w:val="0"/>
            <w:vAlign w:val="center"/>
          </w:tcPr>
          <w:p w14:paraId="0D9B7E37">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6.144</w:t>
            </w:r>
          </w:p>
        </w:tc>
        <w:tc>
          <w:tcPr>
            <w:tcW w:w="825" w:type="dxa"/>
            <w:noWrap w:val="0"/>
            <w:vAlign w:val="center"/>
          </w:tcPr>
          <w:p w14:paraId="28DDF3CD">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0.014</w:t>
            </w:r>
          </w:p>
        </w:tc>
        <w:tc>
          <w:tcPr>
            <w:tcW w:w="795" w:type="dxa"/>
            <w:noWrap w:val="0"/>
            <w:vAlign w:val="center"/>
          </w:tcPr>
          <w:p w14:paraId="5693E6BE">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0.23</w:t>
            </w:r>
          </w:p>
        </w:tc>
      </w:tr>
      <w:tr w14:paraId="5CF145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77" w:hRule="atLeast"/>
        </w:trPr>
        <w:tc>
          <w:tcPr>
            <w:tcW w:w="1646" w:type="dxa"/>
            <w:tcBorders>
              <w:right w:val="single" w:color="auto" w:sz="4" w:space="0"/>
            </w:tcBorders>
            <w:noWrap w:val="0"/>
            <w:vAlign w:val="center"/>
          </w:tcPr>
          <w:p w14:paraId="0EC2F89F">
            <w:pPr>
              <w:jc w:val="center"/>
              <w:rPr>
                <w:rFonts w:hint="eastAsia"/>
                <w:sz w:val="18"/>
                <w:szCs w:val="18"/>
                <w:lang w:val="en-US" w:eastAsia="zh-CN"/>
              </w:rPr>
            </w:pPr>
            <w:r>
              <w:rPr>
                <w:rFonts w:hint="eastAsia" w:ascii="宋体" w:hAnsi="宋体" w:eastAsia="宋体" w:cs="宋体"/>
                <w:bCs/>
                <w:color w:val="000000"/>
                <w:sz w:val="18"/>
                <w:szCs w:val="18"/>
                <w:lang w:val="en-US" w:eastAsia="zh-CN"/>
              </w:rPr>
              <w:t>QPb3-2</w:t>
            </w:r>
          </w:p>
        </w:tc>
        <w:tc>
          <w:tcPr>
            <w:tcW w:w="5052" w:type="dxa"/>
            <w:tcBorders>
              <w:top w:val="single" w:color="auto" w:sz="4" w:space="0"/>
              <w:left w:val="single" w:color="auto" w:sz="4" w:space="0"/>
              <w:bottom w:val="single" w:color="auto" w:sz="4" w:space="0"/>
              <w:right w:val="nil"/>
            </w:tcBorders>
            <w:noWrap w:val="0"/>
            <w:vAlign w:val="center"/>
          </w:tcPr>
          <w:p w14:paraId="338CD042">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8.764，8.786，8.775，8.804，8.842，8.834，8.799</w:t>
            </w:r>
          </w:p>
        </w:tc>
        <w:tc>
          <w:tcPr>
            <w:tcW w:w="870" w:type="dxa"/>
            <w:tcBorders>
              <w:left w:val="single" w:color="auto" w:sz="4" w:space="0"/>
            </w:tcBorders>
            <w:noWrap w:val="0"/>
            <w:vAlign w:val="center"/>
          </w:tcPr>
          <w:p w14:paraId="643FEC70">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8.801</w:t>
            </w:r>
          </w:p>
        </w:tc>
        <w:tc>
          <w:tcPr>
            <w:tcW w:w="825" w:type="dxa"/>
            <w:noWrap w:val="0"/>
            <w:vAlign w:val="center"/>
          </w:tcPr>
          <w:p w14:paraId="4080A381">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0.029</w:t>
            </w:r>
          </w:p>
        </w:tc>
        <w:tc>
          <w:tcPr>
            <w:tcW w:w="795" w:type="dxa"/>
            <w:noWrap w:val="0"/>
            <w:vAlign w:val="center"/>
          </w:tcPr>
          <w:p w14:paraId="4B0E1F22">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0.33</w:t>
            </w:r>
          </w:p>
        </w:tc>
      </w:tr>
      <w:tr w14:paraId="7E0311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31" w:hRule="atLeast"/>
        </w:trPr>
        <w:tc>
          <w:tcPr>
            <w:tcW w:w="1646" w:type="dxa"/>
            <w:tcBorders>
              <w:right w:val="single" w:color="auto" w:sz="4" w:space="0"/>
            </w:tcBorders>
            <w:noWrap w:val="0"/>
            <w:vAlign w:val="center"/>
          </w:tcPr>
          <w:p w14:paraId="76E37E89">
            <w:pPr>
              <w:jc w:val="center"/>
              <w:rPr>
                <w:rFonts w:hint="eastAsia"/>
                <w:sz w:val="18"/>
                <w:szCs w:val="18"/>
                <w:lang w:val="en-US" w:eastAsia="zh-CN"/>
              </w:rPr>
            </w:pPr>
            <w:r>
              <w:rPr>
                <w:rFonts w:hint="eastAsia" w:ascii="宋体" w:hAnsi="宋体" w:eastAsia="宋体" w:cs="宋体"/>
                <w:bCs/>
                <w:color w:val="000000"/>
                <w:sz w:val="18"/>
                <w:szCs w:val="18"/>
                <w:lang w:val="en-US" w:eastAsia="zh-CN"/>
              </w:rPr>
              <w:t>QPb3-3</w:t>
            </w:r>
          </w:p>
        </w:tc>
        <w:tc>
          <w:tcPr>
            <w:tcW w:w="5052" w:type="dxa"/>
            <w:tcBorders>
              <w:top w:val="single" w:color="auto" w:sz="4" w:space="0"/>
              <w:left w:val="single" w:color="auto" w:sz="4" w:space="0"/>
              <w:bottom w:val="single" w:color="auto" w:sz="4" w:space="0"/>
              <w:right w:val="nil"/>
            </w:tcBorders>
            <w:noWrap w:val="0"/>
            <w:vAlign w:val="center"/>
          </w:tcPr>
          <w:p w14:paraId="5A0CFBC4">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17.586，17.628，17.568，17.592，17.575，17.594，17.612</w:t>
            </w:r>
          </w:p>
        </w:tc>
        <w:tc>
          <w:tcPr>
            <w:tcW w:w="870" w:type="dxa"/>
            <w:tcBorders>
              <w:left w:val="single" w:color="auto" w:sz="4" w:space="0"/>
            </w:tcBorders>
            <w:noWrap w:val="0"/>
            <w:vAlign w:val="center"/>
          </w:tcPr>
          <w:p w14:paraId="6BBA16C4">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17.594</w:t>
            </w:r>
          </w:p>
        </w:tc>
        <w:tc>
          <w:tcPr>
            <w:tcW w:w="825" w:type="dxa"/>
            <w:noWrap w:val="0"/>
            <w:vAlign w:val="center"/>
          </w:tcPr>
          <w:p w14:paraId="11E23984">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0.021</w:t>
            </w:r>
          </w:p>
        </w:tc>
        <w:tc>
          <w:tcPr>
            <w:tcW w:w="795" w:type="dxa"/>
            <w:noWrap w:val="0"/>
            <w:vAlign w:val="center"/>
          </w:tcPr>
          <w:p w14:paraId="106D96D9">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0.12</w:t>
            </w:r>
          </w:p>
        </w:tc>
      </w:tr>
      <w:tr w14:paraId="5F62D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31" w:hRule="atLeast"/>
        </w:trPr>
        <w:tc>
          <w:tcPr>
            <w:tcW w:w="1646" w:type="dxa"/>
            <w:tcBorders>
              <w:right w:val="single" w:color="auto" w:sz="4" w:space="0"/>
            </w:tcBorders>
            <w:noWrap w:val="0"/>
            <w:vAlign w:val="center"/>
          </w:tcPr>
          <w:p w14:paraId="07741DE0">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QPb3-4</w:t>
            </w:r>
          </w:p>
          <w:p w14:paraId="14D09630">
            <w:pPr>
              <w:jc w:val="center"/>
              <w:rPr>
                <w:rFonts w:hint="eastAsia" w:ascii="宋体" w:hAnsi="宋体" w:eastAsia="宋体" w:cs="宋体"/>
                <w:b w:val="0"/>
                <w:color w:val="000000"/>
                <w:sz w:val="18"/>
                <w:szCs w:val="18"/>
                <w:lang w:val="en-US" w:eastAsia="zh-CN"/>
              </w:rPr>
            </w:pPr>
            <w:r>
              <w:rPr>
                <w:rFonts w:hint="eastAsia" w:ascii="宋体" w:hAnsi="宋体" w:eastAsia="宋体" w:cs="宋体"/>
                <w:bCs/>
                <w:color w:val="000000"/>
                <w:sz w:val="18"/>
                <w:szCs w:val="18"/>
              </w:rPr>
              <w:t>（合成样 ）</w:t>
            </w:r>
          </w:p>
        </w:tc>
        <w:tc>
          <w:tcPr>
            <w:tcW w:w="5052" w:type="dxa"/>
            <w:tcBorders>
              <w:top w:val="single" w:color="auto" w:sz="4" w:space="0"/>
              <w:left w:val="single" w:color="auto" w:sz="4" w:space="0"/>
              <w:bottom w:val="single" w:color="auto" w:sz="4" w:space="0"/>
              <w:right w:val="nil"/>
            </w:tcBorders>
            <w:noWrap w:val="0"/>
            <w:vAlign w:val="center"/>
          </w:tcPr>
          <w:p w14:paraId="30BEA019">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24.925，24.945，24.969，24.984，24.987，24.979，24.983</w:t>
            </w:r>
          </w:p>
        </w:tc>
        <w:tc>
          <w:tcPr>
            <w:tcW w:w="870" w:type="dxa"/>
            <w:tcBorders>
              <w:left w:val="single" w:color="auto" w:sz="4" w:space="0"/>
            </w:tcBorders>
            <w:noWrap w:val="0"/>
            <w:vAlign w:val="center"/>
          </w:tcPr>
          <w:p w14:paraId="5A0693BC">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24.967</w:t>
            </w:r>
          </w:p>
        </w:tc>
        <w:tc>
          <w:tcPr>
            <w:tcW w:w="825" w:type="dxa"/>
            <w:noWrap w:val="0"/>
            <w:vAlign w:val="center"/>
          </w:tcPr>
          <w:p w14:paraId="625AC152">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0.024</w:t>
            </w:r>
          </w:p>
        </w:tc>
        <w:tc>
          <w:tcPr>
            <w:tcW w:w="795" w:type="dxa"/>
            <w:noWrap w:val="0"/>
            <w:vAlign w:val="center"/>
          </w:tcPr>
          <w:p w14:paraId="78525D25">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0.094</w:t>
            </w:r>
          </w:p>
        </w:tc>
      </w:tr>
      <w:tr w14:paraId="319791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31" w:hRule="atLeast"/>
        </w:trPr>
        <w:tc>
          <w:tcPr>
            <w:tcW w:w="1646" w:type="dxa"/>
            <w:tcBorders>
              <w:right w:val="single" w:color="auto" w:sz="4" w:space="0"/>
            </w:tcBorders>
            <w:noWrap w:val="0"/>
            <w:vAlign w:val="center"/>
          </w:tcPr>
          <w:p w14:paraId="40579BC7">
            <w:pPr>
              <w:jc w:val="center"/>
              <w:rPr>
                <w:rFonts w:hint="eastAsia" w:ascii="宋体" w:hAnsi="宋体" w:eastAsia="宋体" w:cs="宋体"/>
                <w:bCs/>
                <w:color w:val="000000"/>
                <w:sz w:val="18"/>
                <w:szCs w:val="18"/>
              </w:rPr>
            </w:pPr>
            <w:r>
              <w:rPr>
                <w:rFonts w:hint="eastAsia" w:ascii="宋体" w:hAnsi="宋体" w:eastAsia="宋体" w:cs="宋体"/>
                <w:bCs/>
                <w:color w:val="000000"/>
                <w:sz w:val="18"/>
                <w:szCs w:val="18"/>
              </w:rPr>
              <w:t>QPb3-5</w:t>
            </w:r>
          </w:p>
          <w:p w14:paraId="6CB9BEB2">
            <w:pPr>
              <w:jc w:val="center"/>
              <w:rPr>
                <w:rFonts w:hint="eastAsia" w:ascii="宋体" w:hAnsi="宋体" w:eastAsia="宋体" w:cs="宋体"/>
                <w:bCs/>
                <w:color w:val="000000"/>
                <w:sz w:val="18"/>
                <w:szCs w:val="18"/>
                <w:lang w:val="en-US" w:eastAsia="zh-CN"/>
              </w:rPr>
            </w:pPr>
            <w:r>
              <w:rPr>
                <w:rFonts w:hint="eastAsia" w:ascii="宋体" w:hAnsi="宋体" w:eastAsia="宋体" w:cs="宋体"/>
                <w:bCs/>
                <w:color w:val="000000"/>
                <w:sz w:val="18"/>
                <w:szCs w:val="18"/>
              </w:rPr>
              <w:t>（合成样 ）</w:t>
            </w:r>
          </w:p>
        </w:tc>
        <w:tc>
          <w:tcPr>
            <w:tcW w:w="5052" w:type="dxa"/>
            <w:tcBorders>
              <w:top w:val="single" w:color="auto" w:sz="4" w:space="0"/>
              <w:left w:val="single" w:color="auto" w:sz="4" w:space="0"/>
              <w:right w:val="nil"/>
            </w:tcBorders>
            <w:noWrap w:val="0"/>
            <w:vAlign w:val="center"/>
          </w:tcPr>
          <w:p w14:paraId="14F62C13">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31.961，31.985，31.964，31.974，31.987，31.982，31.990</w:t>
            </w:r>
          </w:p>
        </w:tc>
        <w:tc>
          <w:tcPr>
            <w:tcW w:w="870" w:type="dxa"/>
            <w:tcBorders>
              <w:left w:val="single" w:color="auto" w:sz="4" w:space="0"/>
            </w:tcBorders>
            <w:noWrap w:val="0"/>
            <w:vAlign w:val="center"/>
          </w:tcPr>
          <w:p w14:paraId="1C2FFA54">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31.978</w:t>
            </w:r>
          </w:p>
        </w:tc>
        <w:tc>
          <w:tcPr>
            <w:tcW w:w="825" w:type="dxa"/>
            <w:noWrap w:val="0"/>
            <w:vAlign w:val="center"/>
          </w:tcPr>
          <w:p w14:paraId="7D43A7E7">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0.011</w:t>
            </w:r>
          </w:p>
        </w:tc>
        <w:tc>
          <w:tcPr>
            <w:tcW w:w="795" w:type="dxa"/>
            <w:noWrap w:val="0"/>
            <w:vAlign w:val="center"/>
          </w:tcPr>
          <w:p w14:paraId="66852309">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0.036</w:t>
            </w:r>
          </w:p>
        </w:tc>
      </w:tr>
    </w:tbl>
    <w:p w14:paraId="2058CFBC">
      <w:pPr>
        <w:pStyle w:val="8"/>
        <w:keepNext w:val="0"/>
        <w:keepLines w:val="0"/>
        <w:pageBreakBefore w:val="0"/>
        <w:widowControl w:val="0"/>
        <w:kinsoku/>
        <w:wordWrap/>
        <w:overflowPunct/>
        <w:topLinePunct w:val="0"/>
        <w:autoSpaceDE/>
        <w:autoSpaceDN/>
        <w:bidi w:val="0"/>
        <w:adjustRightInd/>
        <w:snapToGrid w:val="0"/>
        <w:ind w:firstLine="420" w:firstLineChars="200"/>
        <w:jc w:val="center"/>
        <w:textAlignment w:val="auto"/>
        <w:rPr>
          <w:rFonts w:hint="eastAsia" w:ascii="宋体" w:hAnsi="宋体" w:eastAsia="宋体" w:cs="宋体"/>
          <w:kern w:val="0"/>
          <w:sz w:val="21"/>
          <w:szCs w:val="21"/>
        </w:rPr>
      </w:pPr>
      <w:r>
        <w:rPr>
          <w:rFonts w:hint="eastAsia" w:ascii="宋体" w:hAnsi="宋体" w:eastAsia="宋体" w:cs="宋体"/>
          <w:bCs/>
          <w:color w:val="000000"/>
          <w:sz w:val="21"/>
          <w:szCs w:val="21"/>
          <w:lang w:val="en-US" w:eastAsia="zh-CN"/>
        </w:rPr>
        <w:t>表</w:t>
      </w:r>
      <w:r>
        <w:rPr>
          <w:rFonts w:hint="eastAsia" w:ascii="宋体" w:hAnsi="宋体" w:cs="宋体"/>
          <w:bCs/>
          <w:color w:val="000000"/>
          <w:sz w:val="21"/>
          <w:szCs w:val="21"/>
          <w:lang w:val="en-US" w:eastAsia="zh-CN"/>
        </w:rPr>
        <w:t>12-11</w:t>
      </w:r>
      <w:r>
        <w:rPr>
          <w:rFonts w:hint="eastAsia" w:ascii="宋体" w:hAnsi="宋体" w:eastAsia="宋体" w:cs="宋体"/>
          <w:bCs/>
          <w:color w:val="000000"/>
          <w:sz w:val="21"/>
          <w:szCs w:val="21"/>
          <w:lang w:val="en-US" w:eastAsia="zh-CN"/>
        </w:rPr>
        <w:t>结果表明，</w:t>
      </w:r>
      <w:r>
        <w:rPr>
          <w:rFonts w:hint="eastAsia" w:ascii="宋体" w:hAnsi="宋体" w:eastAsia="宋体" w:cs="宋体"/>
          <w:kern w:val="0"/>
          <w:sz w:val="21"/>
          <w:szCs w:val="21"/>
        </w:rPr>
        <w:t>对所提供的</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个样品平行测定</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次进行方法验证工作</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铅含量</w:t>
      </w:r>
      <w:r>
        <w:rPr>
          <w:rFonts w:hint="eastAsia" w:ascii="宋体" w:hAnsi="宋体" w:eastAsia="宋体" w:cs="宋体"/>
          <w:kern w:val="0"/>
          <w:sz w:val="21"/>
          <w:szCs w:val="21"/>
        </w:rPr>
        <w:t>的相对标准偏差在</w:t>
      </w:r>
    </w:p>
    <w:p w14:paraId="2301B757">
      <w:pPr>
        <w:pStyle w:val="8"/>
        <w:keepNext w:val="0"/>
        <w:keepLines w:val="0"/>
        <w:pageBreakBefore w:val="0"/>
        <w:widowControl w:val="0"/>
        <w:kinsoku/>
        <w:wordWrap/>
        <w:overflowPunct/>
        <w:topLinePunct w:val="0"/>
        <w:autoSpaceDE/>
        <w:autoSpaceDN/>
        <w:bidi w:val="0"/>
        <w:adjustRightInd/>
        <w:snapToGrid w:val="0"/>
        <w:ind w:firstLine="420" w:firstLineChars="200"/>
        <w:jc w:val="both"/>
        <w:textAlignment w:val="auto"/>
        <w:rPr>
          <w:rFonts w:hint="eastAsia" w:ascii="黑体" w:hAnsi="黑体" w:eastAsia="黑体" w:cs="黑体"/>
          <w:sz w:val="21"/>
          <w:szCs w:val="21"/>
          <w:lang w:val="en-US" w:eastAsia="zh-CN"/>
        </w:rPr>
      </w:pPr>
      <w:r>
        <w:rPr>
          <w:rFonts w:hint="eastAsia" w:ascii="宋体" w:hAnsi="宋体" w:eastAsia="宋体" w:cs="宋体"/>
          <w:color w:val="auto"/>
          <w:kern w:val="0"/>
          <w:sz w:val="21"/>
          <w:szCs w:val="21"/>
        </w:rPr>
        <w:t>0.</w:t>
      </w:r>
      <w:r>
        <w:rPr>
          <w:rFonts w:hint="eastAsia" w:ascii="宋体" w:hAnsi="宋体" w:eastAsia="宋体" w:cs="宋体"/>
          <w:color w:val="auto"/>
          <w:kern w:val="0"/>
          <w:sz w:val="21"/>
          <w:szCs w:val="21"/>
          <w:lang w:val="en-US" w:eastAsia="zh-CN"/>
        </w:rPr>
        <w:t>036</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0.33</w:t>
      </w:r>
      <w:r>
        <w:rPr>
          <w:rFonts w:hint="eastAsia" w:ascii="宋体" w:hAnsi="宋体" w:eastAsia="宋体" w:cs="宋体"/>
          <w:color w:val="auto"/>
          <w:kern w:val="0"/>
          <w:sz w:val="21"/>
          <w:szCs w:val="21"/>
        </w:rPr>
        <w:t>%之间，</w:t>
      </w:r>
      <w:r>
        <w:rPr>
          <w:rFonts w:hint="eastAsia" w:ascii="宋体" w:hAnsi="宋体" w:eastAsia="宋体" w:cs="宋体"/>
          <w:kern w:val="0"/>
          <w:sz w:val="21"/>
          <w:szCs w:val="21"/>
        </w:rPr>
        <w:t>精密度较好，满足测定要求。</w:t>
      </w:r>
      <w:r>
        <w:rPr>
          <w:rFonts w:hint="eastAsia" w:ascii="宋体" w:hAnsi="宋体" w:eastAsia="宋体" w:cs="宋体"/>
          <w:bCs/>
          <w:color w:val="000000"/>
          <w:sz w:val="21"/>
          <w:szCs w:val="21"/>
          <w:lang w:eastAsia="zh-CN"/>
        </w:rPr>
        <w:t>结论与起草方一致。</w:t>
      </w:r>
    </w:p>
    <w:p w14:paraId="7C47E12A">
      <w:pPr>
        <w:pStyle w:val="8"/>
        <w:rPr>
          <w:rFonts w:hint="eastAsia" w:ascii="宋体" w:hAnsi="宋体" w:eastAsia="宋体" w:cs="宋体"/>
          <w:color w:val="auto"/>
          <w:sz w:val="21"/>
          <w:szCs w:val="21"/>
          <w:highlight w:val="none"/>
          <w:lang w:val="en-US" w:eastAsia="zh-CN"/>
        </w:rPr>
      </w:pPr>
    </w:p>
    <w:p w14:paraId="7C567865">
      <w:pPr>
        <w:pStyle w:val="8"/>
        <w:rPr>
          <w:rFonts w:hint="eastAsia" w:ascii="宋体" w:hAnsi="宋体" w:eastAsia="宋体" w:cs="宋体"/>
          <w:color w:val="auto"/>
          <w:sz w:val="21"/>
          <w:szCs w:val="21"/>
          <w:highlight w:val="none"/>
          <w:lang w:val="en-US" w:eastAsia="zh-CN"/>
        </w:rPr>
      </w:pPr>
    </w:p>
    <w:p w14:paraId="7C5D486D">
      <w:pPr>
        <w:pStyle w:val="4"/>
        <w:numPr>
          <w:ilvl w:val="0"/>
          <w:numId w:val="0"/>
        </w:numPr>
        <w:ind w:leftChars="200"/>
        <w:jc w:val="both"/>
        <w:outlineLvl w:val="4"/>
        <w:rPr>
          <w:rFonts w:hint="eastAsia" w:ascii="黑体" w:hAnsi="黑体" w:eastAsia="黑体" w:cs="黑体"/>
          <w:kern w:val="2"/>
          <w:sz w:val="21"/>
          <w:szCs w:val="21"/>
          <w:highlight w:val="none"/>
          <w:lang w:val="en-US" w:eastAsia="zh-CN" w:bidi="ar-SA"/>
        </w:rPr>
      </w:pPr>
      <w:r>
        <w:rPr>
          <w:rFonts w:hint="eastAsia" w:ascii="黑体" w:hAnsi="黑体" w:eastAsia="黑体" w:cs="黑体"/>
          <w:kern w:val="2"/>
          <w:sz w:val="21"/>
          <w:szCs w:val="21"/>
          <w:highlight w:val="none"/>
          <w:lang w:val="en-US" w:eastAsia="zh-CN" w:bidi="ar-SA"/>
        </w:rPr>
        <w:t>1.9  试剂纯度试验</w:t>
      </w:r>
    </w:p>
    <w:p w14:paraId="1C2B6AAA">
      <w:pPr>
        <w:widowControl w:val="0"/>
        <w:wordWrap/>
        <w:adjustRightInd/>
        <w:snapToGrid/>
        <w:spacing w:before="0" w:after="0" w:line="240" w:lineRule="auto"/>
        <w:ind w:left="0" w:leftChars="0" w:right="0" w:firstLine="420" w:firstLineChars="0"/>
        <w:jc w:val="left"/>
        <w:textAlignment w:val="auto"/>
        <w:outlineLvl w:val="1"/>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方法一采用硝酸纯度为BVⅢ级，使用成本较高。采用优级纯硝酸进行代替，并采用本方法进行空白试验，试验结果见表13。</w:t>
      </w:r>
    </w:p>
    <w:p w14:paraId="6857A969">
      <w:pPr>
        <w:widowControl w:val="0"/>
        <w:wordWrap/>
        <w:adjustRightInd/>
        <w:snapToGrid/>
        <w:spacing w:before="0" w:after="0" w:line="240" w:lineRule="auto"/>
        <w:ind w:right="0"/>
        <w:jc w:val="left"/>
        <w:textAlignment w:val="auto"/>
        <w:outlineLvl w:val="1"/>
        <w:rPr>
          <w:rFonts w:hint="eastAsia" w:ascii="宋体" w:hAnsi="宋体" w:eastAsia="宋体" w:cs="宋体"/>
          <w:color w:val="auto"/>
          <w:kern w:val="2"/>
          <w:sz w:val="21"/>
          <w:szCs w:val="24"/>
          <w:lang w:val="en-US" w:eastAsia="zh-CN" w:bidi="ar-SA"/>
        </w:rPr>
      </w:pPr>
    </w:p>
    <w:bookmarkEnd w:id="1"/>
    <w:p w14:paraId="3D090F3D">
      <w:pPr>
        <w:pStyle w:val="4"/>
        <w:keepNext w:val="0"/>
        <w:keepLines w:val="0"/>
        <w:pageBreakBefore w:val="0"/>
        <w:widowControl w:val="0"/>
        <w:kinsoku/>
        <w:wordWrap/>
        <w:overflowPunct/>
        <w:topLinePunct w:val="0"/>
        <w:autoSpaceDE/>
        <w:autoSpaceDN/>
        <w:bidi w:val="0"/>
        <w:adjustRightInd/>
        <w:snapToGrid/>
        <w:textAlignment w:val="auto"/>
        <w:rPr>
          <w:rFonts w:hint="eastAsia"/>
          <w:b w:val="0"/>
          <w:bCs/>
          <w:color w:val="auto"/>
          <w:szCs w:val="21"/>
        </w:rPr>
      </w:pPr>
    </w:p>
    <w:p w14:paraId="7D6A0E78">
      <w:pPr>
        <w:pStyle w:val="4"/>
        <w:numPr>
          <w:ilvl w:val="0"/>
          <w:numId w:val="0"/>
        </w:numPr>
        <w:ind w:firstLine="420" w:firstLineChars="200"/>
        <w:jc w:val="both"/>
        <w:outlineLvl w:val="2"/>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2 精密度数据的统计分析及重复性限、再现性限的计算</w:t>
      </w:r>
    </w:p>
    <w:p w14:paraId="1C517D65">
      <w:pPr>
        <w:pStyle w:val="4"/>
        <w:numPr>
          <w:ilvl w:val="0"/>
          <w:numId w:val="0"/>
        </w:numPr>
        <w:ind w:firstLine="420"/>
        <w:jc w:val="both"/>
        <w:rPr>
          <w:rFonts w:hint="eastAsia" w:ascii="宋体" w:hAnsi="宋体"/>
          <w:b w:val="0"/>
          <w:bCs w:val="0"/>
          <w:kern w:val="0"/>
          <w:sz w:val="21"/>
          <w:szCs w:val="21"/>
          <w:lang w:val="en-US" w:eastAsia="zh-CN"/>
        </w:rPr>
      </w:pPr>
      <w:r>
        <w:rPr>
          <w:rFonts w:hint="eastAsia" w:ascii="黑体" w:hAnsi="黑体" w:eastAsia="黑体" w:cs="黑体"/>
          <w:szCs w:val="21"/>
          <w:lang w:val="en-US" w:eastAsia="zh-CN"/>
        </w:rPr>
        <w:t xml:space="preserve">2.1. </w:t>
      </w:r>
      <w:r>
        <w:rPr>
          <w:rFonts w:hint="default" w:ascii="黑体" w:hAnsi="黑体" w:eastAsia="黑体" w:cs="黑体"/>
          <w:szCs w:val="21"/>
          <w:lang w:val="en-US" w:eastAsia="zh-CN"/>
        </w:rPr>
        <w:t>方法</w:t>
      </w:r>
      <w:r>
        <w:rPr>
          <w:rFonts w:hint="eastAsia" w:ascii="黑体" w:hAnsi="黑体" w:eastAsia="黑体" w:cs="黑体"/>
          <w:szCs w:val="21"/>
          <w:lang w:val="en-US" w:eastAsia="zh-CN"/>
        </w:rPr>
        <w:t xml:space="preserve">三 </w:t>
      </w:r>
      <w:r>
        <w:rPr>
          <w:rFonts w:hint="default" w:ascii="黑体" w:hAnsi="黑体" w:eastAsia="黑体" w:cs="黑体"/>
          <w:szCs w:val="21"/>
          <w:lang w:val="en-US" w:eastAsia="zh-CN"/>
        </w:rPr>
        <w:t xml:space="preserve"> Na2EDTA滴定法</w:t>
      </w:r>
    </w:p>
    <w:p w14:paraId="55EA0C89">
      <w:pPr>
        <w:pStyle w:val="4"/>
        <w:numPr>
          <w:ilvl w:val="0"/>
          <w:numId w:val="0"/>
        </w:numPr>
        <w:ind w:firstLine="420"/>
        <w:jc w:val="both"/>
        <w:rPr>
          <w:rFonts w:hint="eastAsia" w:ascii="Times New Roman" w:hAnsi="Times New Roman" w:eastAsia="宋体" w:cs="Times New Roman"/>
          <w:b w:val="0"/>
          <w:bCs w:val="0"/>
          <w:kern w:val="2"/>
          <w:sz w:val="21"/>
          <w:szCs w:val="21"/>
          <w:lang w:val="en-US" w:eastAsia="zh-CN" w:bidi="ar-SA"/>
        </w:rPr>
      </w:pPr>
      <w:r>
        <w:rPr>
          <w:rFonts w:hint="eastAsia" w:ascii="宋体" w:hAnsi="宋体" w:eastAsia="宋体" w:cs="宋体"/>
          <w:kern w:val="2"/>
          <w:sz w:val="21"/>
          <w:szCs w:val="21"/>
          <w:lang w:val="en-US" w:eastAsia="zh-CN" w:bidi="ar-SA"/>
        </w:rPr>
        <w:t>按照GB/T 6379.2-2004《测量方法与结果的准确度》，对各验证单位提供的数据进行汇总统计</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通过柯克伦检验和格拉布斯检验判断歧离值和离群值，经技术分析后予以剔除，个别予以保留。将经剔除异常值后的数据进行计算，</w:t>
      </w:r>
      <w:r>
        <w:rPr>
          <w:rFonts w:hint="eastAsia" w:ascii="宋体" w:hAnsi="宋体" w:eastAsia="宋体" w:cs="宋体"/>
          <w:color w:val="auto"/>
          <w:sz w:val="21"/>
          <w:szCs w:val="21"/>
        </w:rPr>
        <w:t>得到了</w:t>
      </w:r>
      <w:r>
        <w:rPr>
          <w:rFonts w:hint="eastAsia" w:ascii="宋体" w:hAnsi="宋体" w:eastAsia="宋体" w:cs="宋体"/>
          <w:color w:val="auto"/>
          <w:sz w:val="21"/>
          <w:szCs w:val="21"/>
          <w:lang w:val="en-US" w:eastAsia="zh-CN"/>
        </w:rPr>
        <w:t>铅元素在</w:t>
      </w:r>
      <w:r>
        <w:rPr>
          <w:rFonts w:hint="eastAsia" w:ascii="宋体" w:hAnsi="宋体" w:eastAsia="宋体" w:cs="宋体"/>
          <w:color w:val="auto"/>
          <w:sz w:val="21"/>
          <w:szCs w:val="21"/>
        </w:rPr>
        <w:t>不同</w:t>
      </w:r>
      <w:r>
        <w:rPr>
          <w:rFonts w:hint="eastAsia" w:ascii="宋体" w:hAnsi="宋体" w:eastAsia="宋体" w:cs="宋体"/>
          <w:color w:val="auto"/>
          <w:sz w:val="21"/>
          <w:szCs w:val="21"/>
          <w:lang w:val="en-US" w:eastAsia="zh-CN"/>
        </w:rPr>
        <w:t>水平下</w:t>
      </w:r>
      <w:r>
        <w:rPr>
          <w:rFonts w:hint="eastAsia" w:ascii="宋体" w:hAnsi="宋体" w:eastAsia="宋体" w:cs="宋体"/>
          <w:color w:val="auto"/>
          <w:sz w:val="21"/>
          <w:szCs w:val="21"/>
        </w:rPr>
        <w:t>的重复性限和</w:t>
      </w:r>
      <w:r>
        <w:rPr>
          <w:rFonts w:hint="eastAsia" w:ascii="宋体" w:hAnsi="宋体" w:eastAsia="宋体" w:cs="宋体"/>
          <w:color w:val="auto"/>
          <w:sz w:val="21"/>
          <w:szCs w:val="21"/>
          <w:lang w:eastAsia="zh-CN"/>
        </w:rPr>
        <w:t>再现性限</w:t>
      </w:r>
      <w:r>
        <w:rPr>
          <w:rFonts w:hint="eastAsia" w:ascii="宋体" w:hAnsi="宋体" w:eastAsia="宋体" w:cs="宋体"/>
          <w:color w:val="auto"/>
          <w:sz w:val="21"/>
          <w:szCs w:val="21"/>
        </w:rPr>
        <w:t>。</w:t>
      </w:r>
      <w:r>
        <w:rPr>
          <w:rFonts w:hint="eastAsia" w:ascii="宋体" w:hAnsi="宋体" w:eastAsia="宋体" w:cs="宋体"/>
          <w:kern w:val="2"/>
          <w:sz w:val="21"/>
          <w:szCs w:val="21"/>
          <w:lang w:val="en-US" w:eastAsia="zh-CN" w:bidi="ar-SA"/>
        </w:rPr>
        <w:t xml:space="preserve"> </w:t>
      </w:r>
      <w:r>
        <w:rPr>
          <w:rFonts w:hint="eastAsia" w:ascii="宋体" w:hAnsi="宋体" w:eastAsia="宋体" w:cs="宋体"/>
          <w:color w:val="auto"/>
          <w:sz w:val="21"/>
          <w:szCs w:val="21"/>
          <w:lang w:val="en-US" w:eastAsia="zh-CN"/>
        </w:rPr>
        <w:t>各家实验室按表19进行编号。</w:t>
      </w:r>
    </w:p>
    <w:p w14:paraId="72AFCA7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Times New Roman" w:hAnsi="Times New Roman" w:eastAsia="宋体"/>
          <w:b/>
          <w:bCs/>
          <w:sz w:val="21"/>
          <w:szCs w:val="21"/>
          <w:lang w:val="en-US" w:eastAsia="zh-CN"/>
        </w:rPr>
      </w:pPr>
      <w:r>
        <w:rPr>
          <w:rFonts w:hint="eastAsia" w:ascii="黑体" w:hAnsi="黑体" w:eastAsia="黑体" w:cs="黑体"/>
          <w:b w:val="0"/>
          <w:bCs w:val="0"/>
          <w:sz w:val="21"/>
          <w:szCs w:val="21"/>
          <w:lang w:val="en-US" w:eastAsia="zh-CN"/>
        </w:rPr>
        <w:t>表19 实验室名称及代码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5623"/>
      </w:tblGrid>
      <w:tr w14:paraId="73B0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vAlign w:val="center"/>
          </w:tcPr>
          <w:p w14:paraId="5B90750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b w:val="0"/>
                <w:bCs w:val="0"/>
                <w:sz w:val="21"/>
                <w:szCs w:val="21"/>
                <w:vertAlign w:val="baseline"/>
                <w:lang w:val="en-US" w:eastAsia="zh-CN"/>
              </w:rPr>
            </w:pPr>
            <w:r>
              <w:rPr>
                <w:rFonts w:hint="eastAsia" w:ascii="Times New Roman" w:hAnsi="Times New Roman" w:eastAsia="宋体"/>
                <w:b w:val="0"/>
                <w:bCs w:val="0"/>
                <w:sz w:val="21"/>
                <w:szCs w:val="21"/>
                <w:vertAlign w:val="baseline"/>
                <w:lang w:val="en-US" w:eastAsia="zh-CN"/>
              </w:rPr>
              <w:t>代码</w:t>
            </w:r>
          </w:p>
        </w:tc>
        <w:tc>
          <w:tcPr>
            <w:tcW w:w="5623" w:type="dxa"/>
            <w:vAlign w:val="center"/>
          </w:tcPr>
          <w:p w14:paraId="36DE0F7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b w:val="0"/>
                <w:bCs w:val="0"/>
                <w:sz w:val="21"/>
                <w:szCs w:val="21"/>
                <w:vertAlign w:val="baseline"/>
                <w:lang w:val="en-US" w:eastAsia="zh-CN"/>
              </w:rPr>
            </w:pPr>
            <w:r>
              <w:rPr>
                <w:rFonts w:hint="eastAsia" w:ascii="Times New Roman" w:hAnsi="Times New Roman" w:eastAsia="宋体"/>
                <w:b w:val="0"/>
                <w:bCs w:val="0"/>
                <w:sz w:val="21"/>
                <w:szCs w:val="21"/>
                <w:vertAlign w:val="baseline"/>
                <w:lang w:val="en-US" w:eastAsia="zh-CN"/>
              </w:rPr>
              <w:t>实验室名称</w:t>
            </w:r>
          </w:p>
        </w:tc>
      </w:tr>
      <w:tr w14:paraId="2DE1B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vAlign w:val="center"/>
          </w:tcPr>
          <w:p w14:paraId="3846833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1</w:t>
            </w:r>
          </w:p>
        </w:tc>
        <w:tc>
          <w:tcPr>
            <w:tcW w:w="5623" w:type="dxa"/>
            <w:vAlign w:val="center"/>
          </w:tcPr>
          <w:p w14:paraId="1F89E8DC">
            <w:pPr>
              <w:keepNext w:val="0"/>
              <w:keepLines w:val="0"/>
              <w:widowControl/>
              <w:suppressLineNumbers w:val="0"/>
              <w:jc w:val="center"/>
              <w:textAlignment w:val="center"/>
              <w:rPr>
                <w:rFonts w:hint="eastAsia" w:ascii="宋体" w:hAnsi="宋体" w:eastAsia="宋体" w:cs="宋体"/>
                <w:b w:val="0"/>
                <w:bCs w:val="0"/>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中铝洛阳铜加工有限公司</w:t>
            </w:r>
          </w:p>
        </w:tc>
      </w:tr>
      <w:tr w14:paraId="40BB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vAlign w:val="center"/>
          </w:tcPr>
          <w:p w14:paraId="2E1E4EE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2</w:t>
            </w:r>
          </w:p>
        </w:tc>
        <w:tc>
          <w:tcPr>
            <w:tcW w:w="5623" w:type="dxa"/>
            <w:vAlign w:val="center"/>
          </w:tcPr>
          <w:p w14:paraId="73D83F76">
            <w:pPr>
              <w:keepNext w:val="0"/>
              <w:keepLines w:val="0"/>
              <w:widowControl/>
              <w:suppressLineNumbers w:val="0"/>
              <w:jc w:val="center"/>
              <w:textAlignment w:val="center"/>
              <w:rPr>
                <w:rFonts w:hint="eastAsia" w:ascii="宋体" w:hAnsi="宋体" w:eastAsia="宋体" w:cs="宋体"/>
                <w:b w:val="0"/>
                <w:bCs w:val="0"/>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厦门双瑞材料研究院有限公司</w:t>
            </w:r>
          </w:p>
        </w:tc>
      </w:tr>
      <w:tr w14:paraId="344E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vAlign w:val="center"/>
          </w:tcPr>
          <w:p w14:paraId="3E9FCED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3</w:t>
            </w:r>
          </w:p>
        </w:tc>
        <w:tc>
          <w:tcPr>
            <w:tcW w:w="5623" w:type="dxa"/>
            <w:vAlign w:val="center"/>
          </w:tcPr>
          <w:p w14:paraId="1877E61F">
            <w:pPr>
              <w:keepNext w:val="0"/>
              <w:keepLines w:val="0"/>
              <w:widowControl/>
              <w:suppressLineNumbers w:val="0"/>
              <w:jc w:val="center"/>
              <w:textAlignment w:val="center"/>
              <w:rPr>
                <w:rFonts w:hint="eastAsia" w:ascii="宋体" w:hAnsi="宋体" w:eastAsia="宋体" w:cs="宋体"/>
                <w:b w:val="0"/>
                <w:bCs w:val="0"/>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浙江省冶金产品质量检验站有限公司</w:t>
            </w:r>
          </w:p>
        </w:tc>
      </w:tr>
      <w:tr w14:paraId="6ACB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vAlign w:val="center"/>
          </w:tcPr>
          <w:p w14:paraId="739C15D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4</w:t>
            </w:r>
          </w:p>
        </w:tc>
        <w:tc>
          <w:tcPr>
            <w:tcW w:w="5623" w:type="dxa"/>
            <w:vAlign w:val="center"/>
          </w:tcPr>
          <w:p w14:paraId="7D774F0A">
            <w:pPr>
              <w:keepNext w:val="0"/>
              <w:keepLines w:val="0"/>
              <w:widowControl/>
              <w:suppressLineNumbers w:val="0"/>
              <w:jc w:val="center"/>
              <w:textAlignment w:val="center"/>
              <w:rPr>
                <w:rFonts w:hint="eastAsia" w:ascii="宋体" w:hAnsi="宋体" w:eastAsia="宋体" w:cs="宋体"/>
                <w:b w:val="0"/>
                <w:bCs w:val="0"/>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深圳市中金岭南有色金属股份有限公司</w:t>
            </w:r>
          </w:p>
        </w:tc>
      </w:tr>
      <w:tr w14:paraId="3D65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vAlign w:val="center"/>
          </w:tcPr>
          <w:p w14:paraId="16FDD81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5</w:t>
            </w:r>
          </w:p>
        </w:tc>
        <w:tc>
          <w:tcPr>
            <w:tcW w:w="5623" w:type="dxa"/>
            <w:vAlign w:val="center"/>
          </w:tcPr>
          <w:p w14:paraId="11AEC8A0">
            <w:pPr>
              <w:keepNext w:val="0"/>
              <w:keepLines w:val="0"/>
              <w:widowControl/>
              <w:suppressLineNumbers w:val="0"/>
              <w:jc w:val="center"/>
              <w:textAlignment w:val="center"/>
              <w:rPr>
                <w:rFonts w:hint="eastAsia" w:ascii="宋体" w:hAnsi="宋体" w:eastAsia="宋体" w:cs="宋体"/>
                <w:b w:val="0"/>
                <w:bCs w:val="0"/>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大冶有色设计研究院有限公司</w:t>
            </w:r>
          </w:p>
        </w:tc>
      </w:tr>
      <w:tr w14:paraId="35D5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vAlign w:val="center"/>
          </w:tcPr>
          <w:p w14:paraId="57905A9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6</w:t>
            </w:r>
          </w:p>
        </w:tc>
        <w:tc>
          <w:tcPr>
            <w:tcW w:w="5623" w:type="dxa"/>
            <w:vAlign w:val="center"/>
          </w:tcPr>
          <w:p w14:paraId="3E114063">
            <w:pPr>
              <w:keepNext w:val="0"/>
              <w:keepLines w:val="0"/>
              <w:widowControl/>
              <w:suppressLineNumbers w:val="0"/>
              <w:jc w:val="center"/>
              <w:textAlignment w:val="center"/>
              <w:rPr>
                <w:rFonts w:hint="eastAsia" w:ascii="宋体" w:hAnsi="宋体" w:eastAsia="宋体" w:cs="宋体"/>
                <w:b w:val="0"/>
                <w:bCs w:val="0"/>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昆明冶金研究院有限公司</w:t>
            </w:r>
          </w:p>
        </w:tc>
      </w:tr>
      <w:tr w14:paraId="3549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510B5B1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7</w:t>
            </w:r>
          </w:p>
        </w:tc>
        <w:tc>
          <w:tcPr>
            <w:tcW w:w="5623" w:type="dxa"/>
            <w:shd w:val="clear" w:color="auto" w:fill="auto"/>
            <w:vAlign w:val="center"/>
          </w:tcPr>
          <w:p w14:paraId="261C3FDE">
            <w:pPr>
              <w:keepNext w:val="0"/>
              <w:keepLines w:val="0"/>
              <w:widowControl/>
              <w:suppressLineNumbers w:val="0"/>
              <w:jc w:val="center"/>
              <w:textAlignment w:val="center"/>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中国有色桂林矿产地质研究院有限公司</w:t>
            </w:r>
          </w:p>
        </w:tc>
      </w:tr>
      <w:tr w14:paraId="05B9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651D352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8</w:t>
            </w:r>
          </w:p>
        </w:tc>
        <w:tc>
          <w:tcPr>
            <w:tcW w:w="5623" w:type="dxa"/>
            <w:shd w:val="clear" w:color="auto" w:fill="auto"/>
            <w:vAlign w:val="center"/>
          </w:tcPr>
          <w:p w14:paraId="2098831E">
            <w:pPr>
              <w:keepNext w:val="0"/>
              <w:keepLines w:val="0"/>
              <w:widowControl/>
              <w:suppressLineNumbers w:val="0"/>
              <w:jc w:val="center"/>
              <w:textAlignment w:val="center"/>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北京有色金属与稀土应用研究所有限公司</w:t>
            </w:r>
          </w:p>
        </w:tc>
      </w:tr>
      <w:tr w14:paraId="6CA8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2DACC96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9</w:t>
            </w:r>
          </w:p>
        </w:tc>
        <w:tc>
          <w:tcPr>
            <w:tcW w:w="5623" w:type="dxa"/>
            <w:shd w:val="clear" w:color="auto" w:fill="auto"/>
            <w:vAlign w:val="center"/>
          </w:tcPr>
          <w:p w14:paraId="286FACDD">
            <w:pPr>
              <w:keepNext w:val="0"/>
              <w:keepLines w:val="0"/>
              <w:widowControl/>
              <w:suppressLineNumbers w:val="0"/>
              <w:jc w:val="center"/>
              <w:textAlignment w:val="center"/>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湖南白银股份有限公司</w:t>
            </w:r>
          </w:p>
        </w:tc>
      </w:tr>
      <w:tr w14:paraId="37A9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72EE249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10</w:t>
            </w:r>
          </w:p>
        </w:tc>
        <w:tc>
          <w:tcPr>
            <w:tcW w:w="5623" w:type="dxa"/>
            <w:shd w:val="clear" w:color="auto" w:fill="auto"/>
            <w:vAlign w:val="center"/>
          </w:tcPr>
          <w:p w14:paraId="31F42632">
            <w:pPr>
              <w:keepNext w:val="0"/>
              <w:keepLines w:val="0"/>
              <w:widowControl/>
              <w:suppressLineNumbers w:val="0"/>
              <w:jc w:val="center"/>
              <w:textAlignment w:val="center"/>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云南铜业股份有限公司</w:t>
            </w:r>
          </w:p>
        </w:tc>
      </w:tr>
      <w:tr w14:paraId="487C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2" w:type="dxa"/>
            <w:shd w:val="clear" w:color="auto" w:fill="auto"/>
            <w:vAlign w:val="center"/>
          </w:tcPr>
          <w:p w14:paraId="688ED1CB">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b w:val="0"/>
                <w:bCs w:val="0"/>
                <w:sz w:val="18"/>
                <w:szCs w:val="18"/>
                <w:vertAlign w:val="baseline"/>
                <w:lang w:val="en-US" w:eastAsia="zh-CN"/>
              </w:rPr>
              <w:t>11</w:t>
            </w:r>
          </w:p>
        </w:tc>
        <w:tc>
          <w:tcPr>
            <w:tcW w:w="5623" w:type="dxa"/>
            <w:shd w:val="clear" w:color="auto" w:fill="auto"/>
            <w:vAlign w:val="center"/>
          </w:tcPr>
          <w:p w14:paraId="549E0D75">
            <w:pPr>
              <w:keepNext w:val="0"/>
              <w:keepLines w:val="0"/>
              <w:widowControl/>
              <w:suppressLineNumbers w:val="0"/>
              <w:jc w:val="center"/>
              <w:textAlignment w:val="center"/>
              <w:rPr>
                <w:rFonts w:hint="eastAsia" w:ascii="宋体" w:hAnsi="宋体" w:eastAsia="宋体" w:cs="宋体"/>
                <w:b w:val="0"/>
                <w:bCs w:val="0"/>
                <w:kern w:val="2"/>
                <w:sz w:val="18"/>
                <w:szCs w:val="18"/>
                <w:vertAlign w:val="baseline"/>
                <w:lang w:val="en-US" w:eastAsia="zh-CN" w:bidi="ar-SA"/>
              </w:rPr>
            </w:pPr>
            <w:r>
              <w:rPr>
                <w:rFonts w:hint="eastAsia" w:ascii="宋体" w:hAnsi="宋体" w:eastAsia="宋体" w:cs="宋体"/>
                <w:i w:val="0"/>
                <w:iCs w:val="0"/>
                <w:color w:val="000000"/>
                <w:kern w:val="0"/>
                <w:sz w:val="18"/>
                <w:szCs w:val="18"/>
                <w:u w:val="none"/>
                <w:lang w:val="en-US" w:eastAsia="zh-CN" w:bidi="ar"/>
              </w:rPr>
              <w:t>江西铜信检验检测有限公司</w:t>
            </w:r>
          </w:p>
        </w:tc>
      </w:tr>
    </w:tbl>
    <w:p w14:paraId="581BB200">
      <w:pPr>
        <w:pStyle w:val="4"/>
        <w:rPr>
          <w:rFonts w:hint="eastAsia"/>
          <w:lang w:val="en-US" w:eastAsia="zh-CN"/>
        </w:rPr>
      </w:pPr>
    </w:p>
    <w:p w14:paraId="3E6D9C4E">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both"/>
        <w:textAlignment w:val="auto"/>
        <w:outlineLvl w:val="3"/>
        <w:rPr>
          <w:rFonts w:hint="default"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2.1.1实验室间柯克伦检验</w:t>
      </w:r>
    </w:p>
    <w:p w14:paraId="2081E7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首先</w:t>
      </w:r>
      <w:r>
        <w:rPr>
          <w:rFonts w:hint="default" w:ascii="Times New Roman" w:hAnsi="Times New Roman" w:eastAsia="宋体"/>
          <w:sz w:val="21"/>
          <w:szCs w:val="21"/>
          <w:lang w:val="en-US" w:eastAsia="zh-CN"/>
        </w:rPr>
        <w:t>采用</w:t>
      </w:r>
      <w:r>
        <w:rPr>
          <w:rFonts w:hint="eastAsia" w:ascii="宋体" w:hAnsi="宋体" w:eastAsia="宋体" w:cs="宋体"/>
          <w:b w:val="0"/>
          <w:bCs w:val="0"/>
          <w:kern w:val="0"/>
          <w:sz w:val="21"/>
          <w:szCs w:val="21"/>
          <w:lang w:val="en-US" w:eastAsia="zh-CN"/>
        </w:rPr>
        <w:t>柯克伦</w:t>
      </w:r>
      <w:r>
        <w:rPr>
          <w:rFonts w:hint="default" w:ascii="Times New Roman" w:hAnsi="Times New Roman" w:eastAsia="宋体"/>
          <w:sz w:val="21"/>
          <w:szCs w:val="21"/>
          <w:lang w:val="en-US" w:eastAsia="zh-CN"/>
        </w:rPr>
        <w:t>（</w:t>
      </w:r>
      <w:r>
        <w:rPr>
          <w:rFonts w:hint="default" w:ascii="Times New Roman" w:hAnsi="Times New Roman" w:eastAsia="宋体"/>
          <w:i/>
          <w:iCs/>
          <w:sz w:val="21"/>
          <w:szCs w:val="21"/>
          <w:lang w:val="en-US" w:eastAsia="zh-CN"/>
        </w:rPr>
        <w:t>Cochran</w:t>
      </w:r>
      <w:r>
        <w:rPr>
          <w:rFonts w:hint="default" w:ascii="Times New Roman" w:hAnsi="Times New Roman" w:eastAsia="宋体"/>
          <w:sz w:val="21"/>
          <w:szCs w:val="21"/>
          <w:lang w:val="en-US" w:eastAsia="zh-CN"/>
        </w:rPr>
        <w:t>）</w:t>
      </w:r>
      <w:r>
        <w:rPr>
          <w:rFonts w:hint="eastAsia" w:ascii="Times New Roman" w:hAnsi="Times New Roman" w:eastAsia="宋体"/>
          <w:sz w:val="21"/>
          <w:szCs w:val="21"/>
          <w:lang w:val="en-US" w:eastAsia="zh-CN"/>
        </w:rPr>
        <w:t>法</w:t>
      </w:r>
      <w:r>
        <w:rPr>
          <w:rFonts w:hint="default" w:ascii="Times New Roman" w:hAnsi="Times New Roman" w:eastAsia="宋体"/>
          <w:sz w:val="21"/>
          <w:szCs w:val="21"/>
          <w:lang w:val="en-US" w:eastAsia="zh-CN"/>
        </w:rPr>
        <w:t>对每个样品水平的测试数据进行组间离群值检验，结果见表</w:t>
      </w:r>
      <w:r>
        <w:rPr>
          <w:rFonts w:hint="eastAsia" w:ascii="Times New Roman" w:hAnsi="Times New Roman" w:eastAsia="宋体"/>
          <w:sz w:val="21"/>
          <w:szCs w:val="21"/>
          <w:lang w:val="en-US" w:eastAsia="zh-CN"/>
        </w:rPr>
        <w:t>20</w:t>
      </w:r>
      <w:r>
        <w:rPr>
          <w:rFonts w:hint="default" w:ascii="Times New Roman" w:hAnsi="Times New Roman" w:eastAsia="宋体"/>
          <w:sz w:val="21"/>
          <w:szCs w:val="21"/>
          <w:lang w:val="en-US" w:eastAsia="zh-CN"/>
        </w:rPr>
        <w:t>所示。</w:t>
      </w:r>
      <w:r>
        <w:rPr>
          <w:rFonts w:hint="eastAsia" w:ascii="Times New Roman" w:hAnsi="Times New Roman" w:eastAsia="宋体"/>
          <w:sz w:val="21"/>
          <w:szCs w:val="21"/>
          <w:lang w:val="en-US" w:eastAsia="zh-CN"/>
        </w:rPr>
        <w:t>具体检验步骤如下：</w:t>
      </w:r>
    </w:p>
    <w:p w14:paraId="4D37B6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sz w:val="21"/>
          <w:szCs w:val="21"/>
          <w:lang w:val="en-US" w:eastAsia="zh-CN"/>
        </w:rPr>
      </w:pPr>
      <w:r>
        <w:rPr>
          <w:rFonts w:hint="default" w:ascii="Times New Roman" w:hAnsi="Times New Roman" w:eastAsia="宋体"/>
          <w:sz w:val="21"/>
          <w:szCs w:val="21"/>
          <w:lang w:val="en-US" w:eastAsia="zh-CN"/>
        </w:rPr>
        <w:t>将一个数据组中的最大方差与该数据组的方差和进行比较，按照下式计算统计量</w:t>
      </w:r>
      <w:r>
        <w:rPr>
          <w:rFonts w:hint="default" w:ascii="Times New Roman" w:hAnsi="Times New Roman" w:eastAsia="宋体"/>
          <w:i/>
          <w:iCs/>
          <w:sz w:val="21"/>
          <w:szCs w:val="21"/>
          <w:lang w:val="en-US" w:eastAsia="zh-CN"/>
        </w:rPr>
        <w:t>C</w:t>
      </w:r>
      <w:r>
        <w:rPr>
          <w:rFonts w:hint="default" w:ascii="Times New Roman" w:hAnsi="Times New Roman" w:eastAsia="宋体"/>
          <w:sz w:val="21"/>
          <w:szCs w:val="21"/>
          <w:vertAlign w:val="subscript"/>
          <w:lang w:val="en-US" w:eastAsia="zh-CN"/>
        </w:rPr>
        <w:t>max</w:t>
      </w:r>
      <w:r>
        <w:rPr>
          <w:rFonts w:hint="default" w:ascii="Times New Roman" w:hAnsi="Times New Roman" w:eastAsia="宋体"/>
          <w:sz w:val="21"/>
          <w:szCs w:val="21"/>
          <w:lang w:val="en-US" w:eastAsia="zh-CN"/>
        </w:rPr>
        <w:t>：</w:t>
      </w:r>
    </w:p>
    <w:p w14:paraId="2B61FB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cs="Times New Roman"/>
          <w:position w:val="-28"/>
          <w:sz w:val="21"/>
          <w:szCs w:val="21"/>
          <w:lang w:val="en-US" w:eastAsia="zh-CN"/>
        </w:rPr>
        <w:object>
          <v:shape id="_x0000_i1025" o:spt="75" type="#_x0000_t75" style="height:34.4pt;width:88.25pt;" o:ole="t" filled="f" o:preferrelative="t" stroked="f" coordsize="21600,21600">
            <v:path/>
            <v:fill on="f" focussize="0,0"/>
            <v:stroke on="f"/>
            <v:imagedata r:id="rId5" o:title=""/>
            <o:lock v:ext="edit" aspectratio="t"/>
            <w10:wrap type="none"/>
            <w10:anchorlock/>
          </v:shape>
          <o:OLEObject Type="Embed" ProgID="Equation.3" ShapeID="_x0000_i1025" DrawAspect="Content" ObjectID="_1468075725" r:id="rId4">
            <o:LockedField>false</o:LockedField>
          </o:OLEObject>
        </w:object>
      </w:r>
    </w:p>
    <w:p w14:paraId="42C11812">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sz w:val="21"/>
          <w:szCs w:val="21"/>
          <w:lang w:val="en-US" w:eastAsia="zh-CN"/>
        </w:rPr>
      </w:pPr>
      <w:r>
        <w:rPr>
          <w:rFonts w:hint="eastAsia" w:ascii="宋体" w:hAnsi="宋体" w:eastAsia="宋体" w:cs="宋体"/>
          <w:b w:val="0"/>
          <w:bCs w:val="0"/>
          <w:kern w:val="0"/>
          <w:sz w:val="21"/>
          <w:szCs w:val="21"/>
          <w:lang w:val="en-US" w:eastAsia="zh-CN"/>
        </w:rPr>
        <w:t>对各家实验室共计5个水平铜及铜合金中铅含量的重复性检测数据分别计算其标准偏差SD，其中试验组数p=11，测量次数n=7，结果见表20。</w:t>
      </w:r>
      <w:r>
        <w:rPr>
          <w:rFonts w:hint="default" w:ascii="Times New Roman" w:hAnsi="Times New Roman" w:eastAsia="宋体"/>
          <w:sz w:val="21"/>
          <w:szCs w:val="21"/>
          <w:lang w:val="en-US" w:eastAsia="zh-CN"/>
        </w:rPr>
        <w:t>根据所取显著性水平、数据组数和重复测定次数，查得</w:t>
      </w:r>
      <w:r>
        <w:rPr>
          <w:rFonts w:hint="default" w:ascii="Times New Roman" w:hAnsi="Times New Roman" w:eastAsia="宋体"/>
          <w:i/>
          <w:iCs/>
          <w:sz w:val="21"/>
          <w:szCs w:val="21"/>
          <w:lang w:val="en-US" w:eastAsia="zh-CN"/>
        </w:rPr>
        <w:t>Cochran</w:t>
      </w:r>
      <w:r>
        <w:rPr>
          <w:rFonts w:hint="default" w:ascii="Times New Roman" w:hAnsi="Times New Roman" w:eastAsia="宋体"/>
          <w:sz w:val="21"/>
          <w:szCs w:val="21"/>
          <w:lang w:val="en-US" w:eastAsia="zh-CN"/>
        </w:rPr>
        <w:t>临界值</w:t>
      </w:r>
      <w:r>
        <w:rPr>
          <w:rFonts w:hint="default" w:ascii="Times New Roman" w:hAnsi="Times New Roman" w:eastAsia="宋体"/>
          <w:i/>
          <w:iCs/>
          <w:sz w:val="21"/>
          <w:szCs w:val="21"/>
          <w:lang w:val="en-US" w:eastAsia="zh-CN"/>
        </w:rPr>
        <w:t>C</w:t>
      </w:r>
      <w:r>
        <w:rPr>
          <w:rFonts w:hint="default" w:ascii="Times New Roman" w:hAnsi="Times New Roman" w:eastAsia="宋体"/>
          <w:sz w:val="21"/>
          <w:szCs w:val="21"/>
          <w:lang w:val="en-US" w:eastAsia="zh-CN"/>
        </w:rPr>
        <w:t>。</w:t>
      </w:r>
      <w:r>
        <w:rPr>
          <w:rFonts w:hint="eastAsia" w:ascii="宋体" w:hAnsi="宋体" w:eastAsia="宋体" w:cs="宋体"/>
          <w:b w:val="0"/>
          <w:bCs w:val="0"/>
          <w:kern w:val="0"/>
          <w:sz w:val="21"/>
          <w:szCs w:val="21"/>
          <w:lang w:val="en-US" w:eastAsia="zh-CN"/>
        </w:rPr>
        <w:t>如果检验统计量C小于或等于5%临界值，则接受被检验项目为正确值；如果检验统计量大于5%临界值，但小于或等于1%临界值，则称被检验的项目称为歧离值，且用单星号（*）标出；如果检验统计量大于1%临界值，则被检验项目称为统计离群值，且用双星号（**）标出</w:t>
      </w:r>
      <w:r>
        <w:rPr>
          <w:rFonts w:hint="default" w:ascii="Times New Roman" w:hAnsi="Times New Roman" w:eastAsia="宋体"/>
          <w:sz w:val="21"/>
          <w:szCs w:val="21"/>
          <w:lang w:val="en-US" w:eastAsia="zh-CN"/>
        </w:rPr>
        <w:t>。</w:t>
      </w:r>
    </w:p>
    <w:p w14:paraId="2DA93974">
      <w:pPr>
        <w:pStyle w:val="25"/>
        <w:keepNext w:val="0"/>
        <w:keepLines w:val="0"/>
        <w:pageBreakBefore w:val="0"/>
        <w:widowControl/>
        <w:numPr>
          <w:ilvl w:val="0"/>
          <w:numId w:val="0"/>
        </w:numPr>
        <w:kinsoku/>
        <w:wordWrap/>
        <w:overflowPunct/>
        <w:topLinePunct w:val="0"/>
        <w:autoSpaceDE/>
        <w:autoSpaceDN/>
        <w:bidi w:val="0"/>
        <w:adjustRightInd/>
        <w:snapToGrid/>
        <w:spacing w:beforeLines="0" w:afterLines="0" w:line="360" w:lineRule="auto"/>
        <w:ind w:right="0"/>
        <w:jc w:val="center"/>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表</w:t>
      </w:r>
      <w:r>
        <w:rPr>
          <w:rFonts w:hint="eastAsia" w:hAnsi="黑体" w:cs="黑体"/>
          <w:b w:val="0"/>
          <w:bCs w:val="0"/>
          <w:lang w:val="en-US" w:eastAsia="zh-CN"/>
        </w:rPr>
        <w:t>20</w:t>
      </w:r>
      <w:r>
        <w:rPr>
          <w:rFonts w:hint="eastAsia" w:ascii="黑体" w:hAnsi="黑体" w:eastAsia="黑体" w:cs="黑体"/>
          <w:b w:val="0"/>
          <w:bCs w:val="0"/>
          <w:lang w:val="en-US" w:eastAsia="zh-CN"/>
        </w:rPr>
        <w:t xml:space="preserve"> 科克伦（</w:t>
      </w:r>
      <w:r>
        <w:rPr>
          <w:rFonts w:hint="eastAsia" w:ascii="黑体" w:hAnsi="黑体" w:eastAsia="黑体" w:cs="黑体"/>
          <w:b w:val="0"/>
          <w:bCs w:val="0"/>
          <w:i/>
          <w:iCs/>
          <w:lang w:val="en-US" w:eastAsia="zh-CN"/>
        </w:rPr>
        <w:t>Cochran</w:t>
      </w:r>
      <w:r>
        <w:rPr>
          <w:rFonts w:hint="eastAsia" w:ascii="黑体" w:hAnsi="黑体" w:eastAsia="黑体" w:cs="黑体"/>
          <w:b w:val="0"/>
          <w:bCs w:val="0"/>
          <w:lang w:val="en-US" w:eastAsia="zh-CN"/>
        </w:rPr>
        <w:t>）等精度检验结果</w:t>
      </w:r>
      <w:r>
        <w:rPr>
          <w:rFonts w:hint="eastAsia" w:hAnsi="黑体" w:cs="黑体"/>
          <w:b w:val="0"/>
          <w:bCs w:val="0"/>
          <w:lang w:val="en-US" w:eastAsia="zh-CN"/>
        </w:rPr>
        <w:t>（第一次）</w:t>
      </w:r>
    </w:p>
    <w:tbl>
      <w:tblPr>
        <w:tblStyle w:val="13"/>
        <w:tblW w:w="8722"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141"/>
        <w:gridCol w:w="1365"/>
        <w:gridCol w:w="1366"/>
        <w:gridCol w:w="1486"/>
        <w:gridCol w:w="1688"/>
        <w:gridCol w:w="1676"/>
      </w:tblGrid>
      <w:tr w14:paraId="216702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vMerge w:val="restart"/>
            <w:tcBorders>
              <w:tl2br w:val="nil"/>
              <w:tr2bl w:val="nil"/>
            </w:tcBorders>
            <w:shd w:val="clear" w:color="auto" w:fill="FFFFFF"/>
            <w:noWrap/>
            <w:vAlign w:val="center"/>
          </w:tcPr>
          <w:p w14:paraId="7E761394">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实验室i</w:t>
            </w:r>
          </w:p>
        </w:tc>
        <w:tc>
          <w:tcPr>
            <w:tcW w:w="4217" w:type="dxa"/>
            <w:gridSpan w:val="3"/>
            <w:tcBorders>
              <w:right w:val="single" w:color="auto" w:sz="4" w:space="0"/>
              <w:tl2br w:val="nil"/>
              <w:tr2bl w:val="nil"/>
            </w:tcBorders>
            <w:shd w:val="clear" w:color="auto" w:fill="FFFFFF"/>
            <w:noWrap/>
            <w:vAlign w:val="center"/>
          </w:tcPr>
          <w:p w14:paraId="67083A8C">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水平j</w:t>
            </w:r>
          </w:p>
        </w:tc>
        <w:tc>
          <w:tcPr>
            <w:tcW w:w="3364" w:type="dxa"/>
            <w:gridSpan w:val="2"/>
            <w:tcBorders>
              <w:left w:val="single" w:color="auto" w:sz="4" w:space="0"/>
              <w:tl2br w:val="nil"/>
              <w:tr2bl w:val="nil"/>
            </w:tcBorders>
            <w:shd w:val="clear" w:color="auto" w:fill="FFFFFF"/>
            <w:noWrap/>
            <w:vAlign w:val="center"/>
          </w:tcPr>
          <w:p w14:paraId="55D5C4F5">
            <w:pPr>
              <w:jc w:val="center"/>
              <w:rPr>
                <w:rFonts w:hint="eastAsia" w:ascii="宋体" w:hAnsi="宋体" w:eastAsia="宋体" w:cs="宋体"/>
                <w:b w:val="0"/>
                <w:color w:val="000000"/>
                <w:sz w:val="21"/>
                <w:szCs w:val="21"/>
                <w:lang w:val="en-US" w:eastAsia="zh-CN"/>
              </w:rPr>
            </w:pPr>
          </w:p>
        </w:tc>
      </w:tr>
      <w:tr w14:paraId="4C47BB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3" w:hRule="atLeast"/>
          <w:jc w:val="center"/>
        </w:trPr>
        <w:tc>
          <w:tcPr>
            <w:tcW w:w="1141" w:type="dxa"/>
            <w:vMerge w:val="continue"/>
            <w:tcBorders>
              <w:tl2br w:val="nil"/>
              <w:tr2bl w:val="nil"/>
            </w:tcBorders>
            <w:shd w:val="clear" w:color="auto" w:fill="FFFFFF"/>
            <w:noWrap/>
            <w:vAlign w:val="center"/>
          </w:tcPr>
          <w:p w14:paraId="31145F31">
            <w:pPr>
              <w:jc w:val="center"/>
              <w:rPr>
                <w:rFonts w:hint="eastAsia" w:ascii="宋体" w:hAnsi="宋体" w:eastAsia="宋体" w:cs="宋体"/>
                <w:b w:val="0"/>
                <w:color w:val="000000"/>
                <w:sz w:val="21"/>
                <w:szCs w:val="21"/>
                <w:lang w:val="en-US" w:eastAsia="zh-CN"/>
              </w:rPr>
            </w:pPr>
          </w:p>
        </w:tc>
        <w:tc>
          <w:tcPr>
            <w:tcW w:w="1365" w:type="dxa"/>
            <w:tcBorders>
              <w:tl2br w:val="nil"/>
              <w:tr2bl w:val="nil"/>
            </w:tcBorders>
            <w:shd w:val="clear" w:color="auto" w:fill="FFFFFF"/>
            <w:noWrap/>
            <w:vAlign w:val="center"/>
          </w:tcPr>
          <w:p w14:paraId="390AD162">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1</w:t>
            </w:r>
          </w:p>
        </w:tc>
        <w:tc>
          <w:tcPr>
            <w:tcW w:w="1366" w:type="dxa"/>
            <w:tcBorders>
              <w:tl2br w:val="nil"/>
              <w:tr2bl w:val="nil"/>
            </w:tcBorders>
            <w:shd w:val="clear" w:color="auto" w:fill="FFFFFF"/>
            <w:noWrap/>
            <w:vAlign w:val="center"/>
          </w:tcPr>
          <w:p w14:paraId="394D2459">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2</w:t>
            </w:r>
          </w:p>
        </w:tc>
        <w:tc>
          <w:tcPr>
            <w:tcW w:w="1486" w:type="dxa"/>
            <w:tcBorders>
              <w:tl2br w:val="nil"/>
              <w:tr2bl w:val="nil"/>
            </w:tcBorders>
            <w:shd w:val="clear" w:color="auto" w:fill="FFFFFF"/>
            <w:noWrap/>
            <w:vAlign w:val="center"/>
          </w:tcPr>
          <w:p w14:paraId="2879F368">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3</w:t>
            </w:r>
          </w:p>
        </w:tc>
        <w:tc>
          <w:tcPr>
            <w:tcW w:w="1688" w:type="dxa"/>
            <w:tcBorders>
              <w:right w:val="single" w:color="auto" w:sz="4" w:space="0"/>
              <w:tl2br w:val="nil"/>
              <w:tr2bl w:val="nil"/>
            </w:tcBorders>
            <w:shd w:val="clear" w:color="auto" w:fill="FFFFFF"/>
            <w:noWrap/>
            <w:vAlign w:val="center"/>
          </w:tcPr>
          <w:p w14:paraId="698633D0">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4</w:t>
            </w:r>
          </w:p>
        </w:tc>
        <w:tc>
          <w:tcPr>
            <w:tcW w:w="1676" w:type="dxa"/>
            <w:tcBorders>
              <w:left w:val="single" w:color="auto" w:sz="4" w:space="0"/>
              <w:tl2br w:val="nil"/>
              <w:tr2bl w:val="nil"/>
            </w:tcBorders>
            <w:shd w:val="clear" w:color="auto" w:fill="FFFFFF"/>
            <w:noWrap/>
            <w:vAlign w:val="center"/>
          </w:tcPr>
          <w:p w14:paraId="4EE3DE84">
            <w:pPr>
              <w:jc w:val="center"/>
              <w:rPr>
                <w:rFonts w:hint="default"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5</w:t>
            </w:r>
          </w:p>
        </w:tc>
      </w:tr>
      <w:tr w14:paraId="64B316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141" w:type="dxa"/>
            <w:vMerge w:val="continue"/>
            <w:tcBorders>
              <w:tl2br w:val="nil"/>
              <w:tr2bl w:val="nil"/>
            </w:tcBorders>
            <w:shd w:val="clear" w:color="auto" w:fill="FFFFFF"/>
            <w:noWrap/>
            <w:vAlign w:val="center"/>
          </w:tcPr>
          <w:p w14:paraId="7A840689">
            <w:pPr>
              <w:jc w:val="center"/>
              <w:rPr>
                <w:rFonts w:hint="eastAsia" w:ascii="宋体" w:hAnsi="宋体" w:eastAsia="宋体" w:cs="宋体"/>
                <w:b w:val="0"/>
                <w:color w:val="000000"/>
                <w:sz w:val="21"/>
                <w:szCs w:val="21"/>
                <w:lang w:val="en-US" w:eastAsia="zh-CN"/>
              </w:rPr>
            </w:pPr>
          </w:p>
        </w:tc>
        <w:tc>
          <w:tcPr>
            <w:tcW w:w="1365" w:type="dxa"/>
            <w:tcBorders>
              <w:tl2br w:val="nil"/>
              <w:tr2bl w:val="nil"/>
            </w:tcBorders>
            <w:shd w:val="clear" w:color="auto" w:fill="FFFFFF"/>
            <w:noWrap/>
            <w:vAlign w:val="center"/>
          </w:tcPr>
          <w:p w14:paraId="590959B8">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宋体" w:hAnsi="宋体" w:eastAsia="宋体" w:cs="宋体"/>
                <w:b w:val="0"/>
                <w:color w:val="000000"/>
                <w:sz w:val="18"/>
                <w:szCs w:val="18"/>
                <w:lang w:val="en-US" w:eastAsia="zh-CN"/>
              </w:rPr>
            </w:pPr>
            <w:r>
              <w:rPr>
                <w:rFonts w:hint="default" w:ascii="Times New Roman" w:hAnsi="Times New Roman" w:eastAsia="宋体" w:cs="Times New Roman"/>
                <w:b w:val="0"/>
                <w:bCs w:val="0"/>
                <w:i/>
                <w:iCs/>
                <w:color w:val="000000"/>
                <w:kern w:val="0"/>
                <w:sz w:val="18"/>
                <w:szCs w:val="18"/>
                <w:u w:val="none"/>
                <w:lang w:val="en-US" w:eastAsia="zh-CN" w:bidi="ar"/>
              </w:rPr>
              <w:t>S</w:t>
            </w:r>
            <w:r>
              <w:rPr>
                <w:rFonts w:hint="default" w:ascii="Times New Roman" w:hAnsi="Times New Roman" w:eastAsia="宋体" w:cs="Times New Roman"/>
                <w:b w:val="0"/>
                <w:bCs w:val="0"/>
                <w:i w:val="0"/>
                <w:iCs w:val="0"/>
                <w:color w:val="000000"/>
                <w:kern w:val="0"/>
                <w:sz w:val="18"/>
                <w:szCs w:val="18"/>
                <w:u w:val="none"/>
                <w:vertAlign w:val="subscript"/>
                <w:lang w:val="en-US" w:eastAsia="zh-CN" w:bidi="ar"/>
              </w:rPr>
              <w:t>i</w:t>
            </w:r>
            <w:r>
              <w:rPr>
                <w:rFonts w:hint="eastAsia" w:ascii="Times New Roman" w:hAnsi="Times New Roman" w:eastAsia="宋体" w:cs="Times New Roman"/>
                <w:b w:val="0"/>
                <w:bCs w:val="0"/>
                <w:i w:val="0"/>
                <w:iCs w:val="0"/>
                <w:color w:val="000000"/>
                <w:kern w:val="0"/>
                <w:sz w:val="18"/>
                <w:szCs w:val="18"/>
                <w:u w:val="none"/>
                <w:vertAlign w:val="subscript"/>
                <w:lang w:val="en-US" w:eastAsia="zh-CN" w:bidi="ar"/>
              </w:rPr>
              <w:t xml:space="preserve"> </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，n=7</w:t>
            </w:r>
          </w:p>
        </w:tc>
        <w:tc>
          <w:tcPr>
            <w:tcW w:w="1366" w:type="dxa"/>
            <w:tcBorders>
              <w:tl2br w:val="nil"/>
              <w:tr2bl w:val="nil"/>
            </w:tcBorders>
            <w:shd w:val="clear" w:color="auto" w:fill="FFFFFF"/>
            <w:noWrap/>
            <w:vAlign w:val="center"/>
          </w:tcPr>
          <w:p w14:paraId="4EF73AE3">
            <w:pPr>
              <w:jc w:val="center"/>
              <w:rPr>
                <w:rFonts w:hint="eastAsia" w:ascii="宋体" w:hAnsi="宋体" w:eastAsia="宋体" w:cs="宋体"/>
                <w:b w:val="0"/>
                <w:color w:val="000000"/>
                <w:sz w:val="18"/>
                <w:szCs w:val="18"/>
                <w:lang w:val="en-US" w:eastAsia="zh-CN"/>
              </w:rPr>
            </w:pPr>
            <w:r>
              <w:rPr>
                <w:rFonts w:hint="default" w:ascii="Times New Roman" w:hAnsi="Times New Roman" w:eastAsia="宋体" w:cs="Times New Roman"/>
                <w:b w:val="0"/>
                <w:bCs w:val="0"/>
                <w:i/>
                <w:iCs/>
                <w:color w:val="000000"/>
                <w:kern w:val="0"/>
                <w:sz w:val="18"/>
                <w:szCs w:val="18"/>
                <w:u w:val="none"/>
                <w:lang w:val="en-US" w:eastAsia="zh-CN" w:bidi="ar"/>
              </w:rPr>
              <w:t>S</w:t>
            </w:r>
            <w:r>
              <w:rPr>
                <w:rFonts w:hint="default" w:ascii="Times New Roman" w:hAnsi="Times New Roman" w:eastAsia="宋体" w:cs="Times New Roman"/>
                <w:b w:val="0"/>
                <w:bCs w:val="0"/>
                <w:i w:val="0"/>
                <w:iCs w:val="0"/>
                <w:color w:val="000000"/>
                <w:kern w:val="0"/>
                <w:sz w:val="18"/>
                <w:szCs w:val="18"/>
                <w:u w:val="none"/>
                <w:vertAlign w:val="subscript"/>
                <w:lang w:val="en-US" w:eastAsia="zh-CN" w:bidi="ar"/>
              </w:rPr>
              <w:t>i</w:t>
            </w:r>
            <w:r>
              <w:rPr>
                <w:rFonts w:hint="eastAsia" w:ascii="Times New Roman" w:hAnsi="Times New Roman" w:eastAsia="宋体" w:cs="Times New Roman"/>
                <w:b w:val="0"/>
                <w:bCs w:val="0"/>
                <w:i w:val="0"/>
                <w:iCs w:val="0"/>
                <w:color w:val="000000"/>
                <w:kern w:val="0"/>
                <w:sz w:val="18"/>
                <w:szCs w:val="18"/>
                <w:u w:val="none"/>
                <w:vertAlign w:val="subscript"/>
                <w:lang w:val="en-US" w:eastAsia="zh-CN" w:bidi="ar"/>
              </w:rPr>
              <w:t xml:space="preserve"> </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，n=7</w:t>
            </w:r>
          </w:p>
        </w:tc>
        <w:tc>
          <w:tcPr>
            <w:tcW w:w="1486" w:type="dxa"/>
            <w:tcBorders>
              <w:tl2br w:val="nil"/>
              <w:tr2bl w:val="nil"/>
            </w:tcBorders>
            <w:shd w:val="clear" w:color="auto" w:fill="FFFFFF"/>
            <w:noWrap/>
            <w:vAlign w:val="center"/>
          </w:tcPr>
          <w:p w14:paraId="55F13A22">
            <w:pPr>
              <w:jc w:val="center"/>
              <w:rPr>
                <w:rFonts w:hint="eastAsia" w:ascii="宋体" w:hAnsi="宋体" w:eastAsia="宋体" w:cs="宋体"/>
                <w:b w:val="0"/>
                <w:color w:val="000000"/>
                <w:sz w:val="18"/>
                <w:szCs w:val="18"/>
                <w:lang w:val="en-US" w:eastAsia="zh-CN"/>
              </w:rPr>
            </w:pPr>
            <w:r>
              <w:rPr>
                <w:rFonts w:hint="default" w:ascii="Times New Roman" w:hAnsi="Times New Roman" w:eastAsia="宋体" w:cs="Times New Roman"/>
                <w:b w:val="0"/>
                <w:bCs w:val="0"/>
                <w:i/>
                <w:iCs/>
                <w:color w:val="000000"/>
                <w:kern w:val="0"/>
                <w:sz w:val="18"/>
                <w:szCs w:val="18"/>
                <w:u w:val="none"/>
                <w:lang w:val="en-US" w:eastAsia="zh-CN" w:bidi="ar"/>
              </w:rPr>
              <w:t>S</w:t>
            </w:r>
            <w:r>
              <w:rPr>
                <w:rFonts w:hint="default" w:ascii="Times New Roman" w:hAnsi="Times New Roman" w:eastAsia="宋体" w:cs="Times New Roman"/>
                <w:b w:val="0"/>
                <w:bCs w:val="0"/>
                <w:i w:val="0"/>
                <w:iCs w:val="0"/>
                <w:color w:val="000000"/>
                <w:kern w:val="0"/>
                <w:sz w:val="18"/>
                <w:szCs w:val="18"/>
                <w:u w:val="none"/>
                <w:vertAlign w:val="subscript"/>
                <w:lang w:val="en-US" w:eastAsia="zh-CN" w:bidi="ar"/>
              </w:rPr>
              <w:t>i</w:t>
            </w:r>
            <w:r>
              <w:rPr>
                <w:rFonts w:hint="eastAsia" w:ascii="Times New Roman" w:hAnsi="Times New Roman" w:eastAsia="宋体" w:cs="Times New Roman"/>
                <w:b w:val="0"/>
                <w:bCs w:val="0"/>
                <w:i w:val="0"/>
                <w:iCs w:val="0"/>
                <w:color w:val="000000"/>
                <w:kern w:val="0"/>
                <w:sz w:val="18"/>
                <w:szCs w:val="18"/>
                <w:u w:val="none"/>
                <w:vertAlign w:val="subscript"/>
                <w:lang w:val="en-US" w:eastAsia="zh-CN" w:bidi="ar"/>
              </w:rPr>
              <w:t xml:space="preserve"> </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，n=7</w:t>
            </w:r>
          </w:p>
        </w:tc>
        <w:tc>
          <w:tcPr>
            <w:tcW w:w="1688" w:type="dxa"/>
            <w:tcBorders>
              <w:right w:val="single" w:color="auto" w:sz="4" w:space="0"/>
              <w:tl2br w:val="nil"/>
              <w:tr2bl w:val="nil"/>
            </w:tcBorders>
            <w:shd w:val="clear" w:color="auto" w:fill="FFFFFF"/>
            <w:noWrap/>
            <w:vAlign w:val="center"/>
          </w:tcPr>
          <w:p w14:paraId="13DE3529">
            <w:pPr>
              <w:jc w:val="center"/>
              <w:rPr>
                <w:rFonts w:hint="eastAsia" w:ascii="宋体" w:hAnsi="宋体" w:eastAsia="宋体" w:cs="宋体"/>
                <w:b w:val="0"/>
                <w:color w:val="000000"/>
                <w:sz w:val="18"/>
                <w:szCs w:val="18"/>
                <w:lang w:val="en-US" w:eastAsia="zh-CN"/>
              </w:rPr>
            </w:pPr>
            <w:r>
              <w:rPr>
                <w:rFonts w:hint="default" w:ascii="Times New Roman" w:hAnsi="Times New Roman" w:eastAsia="宋体" w:cs="Times New Roman"/>
                <w:b w:val="0"/>
                <w:bCs w:val="0"/>
                <w:i/>
                <w:iCs/>
                <w:color w:val="000000"/>
                <w:kern w:val="0"/>
                <w:sz w:val="18"/>
                <w:szCs w:val="18"/>
                <w:u w:val="none"/>
                <w:lang w:val="en-US" w:eastAsia="zh-CN" w:bidi="ar"/>
              </w:rPr>
              <w:t>S</w:t>
            </w:r>
            <w:r>
              <w:rPr>
                <w:rFonts w:hint="default" w:ascii="Times New Roman" w:hAnsi="Times New Roman" w:eastAsia="宋体" w:cs="Times New Roman"/>
                <w:b w:val="0"/>
                <w:bCs w:val="0"/>
                <w:i w:val="0"/>
                <w:iCs w:val="0"/>
                <w:color w:val="000000"/>
                <w:kern w:val="0"/>
                <w:sz w:val="18"/>
                <w:szCs w:val="18"/>
                <w:u w:val="none"/>
                <w:vertAlign w:val="subscript"/>
                <w:lang w:val="en-US" w:eastAsia="zh-CN" w:bidi="ar"/>
              </w:rPr>
              <w:t>i</w:t>
            </w:r>
            <w:r>
              <w:rPr>
                <w:rFonts w:hint="eastAsia" w:ascii="Times New Roman" w:hAnsi="Times New Roman" w:eastAsia="宋体" w:cs="Times New Roman"/>
                <w:b w:val="0"/>
                <w:bCs w:val="0"/>
                <w:i w:val="0"/>
                <w:iCs w:val="0"/>
                <w:color w:val="000000"/>
                <w:kern w:val="0"/>
                <w:sz w:val="18"/>
                <w:szCs w:val="18"/>
                <w:u w:val="none"/>
                <w:vertAlign w:val="subscript"/>
                <w:lang w:val="en-US" w:eastAsia="zh-CN" w:bidi="ar"/>
              </w:rPr>
              <w:t xml:space="preserve"> </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，n=7</w:t>
            </w:r>
          </w:p>
        </w:tc>
        <w:tc>
          <w:tcPr>
            <w:tcW w:w="1676" w:type="dxa"/>
            <w:tcBorders>
              <w:left w:val="single" w:color="auto" w:sz="4" w:space="0"/>
              <w:tl2br w:val="nil"/>
              <w:tr2bl w:val="nil"/>
            </w:tcBorders>
            <w:shd w:val="clear" w:color="auto" w:fill="FFFFFF"/>
            <w:noWrap/>
            <w:vAlign w:val="center"/>
          </w:tcPr>
          <w:p w14:paraId="5251CD96">
            <w:pPr>
              <w:jc w:val="center"/>
              <w:rPr>
                <w:rFonts w:hint="default" w:ascii="Times New Roman" w:hAnsi="Times New Roman" w:eastAsia="宋体" w:cs="Times New Roman"/>
                <w:b w:val="0"/>
                <w:bCs w:val="0"/>
                <w:i/>
                <w:iCs/>
                <w:color w:val="000000"/>
                <w:kern w:val="0"/>
                <w:sz w:val="18"/>
                <w:szCs w:val="18"/>
                <w:u w:val="none"/>
                <w:lang w:val="en-US" w:eastAsia="zh-CN" w:bidi="ar"/>
              </w:rPr>
            </w:pPr>
            <w:r>
              <w:rPr>
                <w:rFonts w:hint="default" w:ascii="Times New Roman" w:hAnsi="Times New Roman" w:eastAsia="宋体" w:cs="Times New Roman"/>
                <w:b w:val="0"/>
                <w:bCs w:val="0"/>
                <w:i/>
                <w:iCs/>
                <w:color w:val="000000"/>
                <w:kern w:val="0"/>
                <w:sz w:val="18"/>
                <w:szCs w:val="18"/>
                <w:u w:val="none"/>
                <w:lang w:val="en-US" w:eastAsia="zh-CN" w:bidi="ar"/>
              </w:rPr>
              <w:t>S</w:t>
            </w:r>
            <w:r>
              <w:rPr>
                <w:rFonts w:hint="default" w:ascii="Times New Roman" w:hAnsi="Times New Roman" w:eastAsia="宋体" w:cs="Times New Roman"/>
                <w:b w:val="0"/>
                <w:bCs w:val="0"/>
                <w:i w:val="0"/>
                <w:iCs w:val="0"/>
                <w:color w:val="000000"/>
                <w:kern w:val="0"/>
                <w:sz w:val="18"/>
                <w:szCs w:val="18"/>
                <w:u w:val="none"/>
                <w:vertAlign w:val="subscript"/>
                <w:lang w:val="en-US" w:eastAsia="zh-CN" w:bidi="ar"/>
              </w:rPr>
              <w:t>i</w:t>
            </w:r>
            <w:r>
              <w:rPr>
                <w:rFonts w:hint="eastAsia" w:ascii="Times New Roman" w:hAnsi="Times New Roman" w:eastAsia="宋体" w:cs="Times New Roman"/>
                <w:b w:val="0"/>
                <w:bCs w:val="0"/>
                <w:i w:val="0"/>
                <w:iCs w:val="0"/>
                <w:color w:val="000000"/>
                <w:kern w:val="0"/>
                <w:sz w:val="18"/>
                <w:szCs w:val="18"/>
                <w:u w:val="none"/>
                <w:vertAlign w:val="subscript"/>
                <w:lang w:val="en-US" w:eastAsia="zh-CN" w:bidi="ar"/>
              </w:rPr>
              <w:t xml:space="preserve"> </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default" w:ascii="Times New Roman" w:hAnsi="Times New Roman" w:eastAsia="宋体" w:cs="Times New Roman"/>
                <w:b w:val="0"/>
                <w:bCs w:val="0"/>
                <w:i w:val="0"/>
                <w:iCs w:val="0"/>
                <w:color w:val="000000"/>
                <w:kern w:val="0"/>
                <w:sz w:val="18"/>
                <w:szCs w:val="18"/>
                <w:u w:val="none"/>
                <w:vertAlign w:val="baseline"/>
                <w:lang w:val="en-US" w:eastAsia="zh-CN" w:bidi="ar"/>
              </w:rPr>
              <w:t>%</w:t>
            </w:r>
            <w:r>
              <w:rPr>
                <w:rFonts w:hint="eastAsia" w:ascii="Times New Roman" w:hAnsi="Times New Roman" w:eastAsia="宋体" w:cs="Times New Roman"/>
                <w:b w:val="0"/>
                <w:bCs w:val="0"/>
                <w:i w:val="0"/>
                <w:iCs w:val="0"/>
                <w:color w:val="000000"/>
                <w:kern w:val="0"/>
                <w:sz w:val="18"/>
                <w:szCs w:val="18"/>
                <w:u w:val="none"/>
                <w:vertAlign w:val="baseline"/>
                <w:lang w:val="en-US" w:eastAsia="zh-CN" w:bidi="ar"/>
              </w:rPr>
              <w:t>，n=7</w:t>
            </w:r>
          </w:p>
        </w:tc>
      </w:tr>
      <w:tr w14:paraId="358606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01F94EE2">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1</w:t>
            </w:r>
          </w:p>
        </w:tc>
        <w:tc>
          <w:tcPr>
            <w:tcW w:w="1365" w:type="dxa"/>
            <w:tcBorders>
              <w:tl2br w:val="nil"/>
              <w:tr2bl w:val="nil"/>
            </w:tcBorders>
            <w:shd w:val="clear" w:color="auto" w:fill="FFFFFF"/>
            <w:noWrap/>
            <w:vAlign w:val="center"/>
          </w:tcPr>
          <w:p w14:paraId="1E397A2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0.0264539</w:t>
            </w:r>
          </w:p>
        </w:tc>
        <w:tc>
          <w:tcPr>
            <w:tcW w:w="1366" w:type="dxa"/>
            <w:tcBorders>
              <w:tl2br w:val="nil"/>
              <w:tr2bl w:val="nil"/>
            </w:tcBorders>
            <w:shd w:val="clear" w:color="auto" w:fill="FFFFFF"/>
            <w:noWrap/>
            <w:vAlign w:val="center"/>
          </w:tcPr>
          <w:p w14:paraId="5180C2B3">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0.0247886</w:t>
            </w:r>
          </w:p>
        </w:tc>
        <w:tc>
          <w:tcPr>
            <w:tcW w:w="1486" w:type="dxa"/>
            <w:tcBorders>
              <w:tl2br w:val="nil"/>
              <w:tr2bl w:val="nil"/>
            </w:tcBorders>
            <w:shd w:val="clear" w:color="auto" w:fill="FFFFFF"/>
            <w:noWrap/>
            <w:vAlign w:val="center"/>
          </w:tcPr>
          <w:p w14:paraId="7B8BA29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0.0189636</w:t>
            </w:r>
          </w:p>
        </w:tc>
        <w:tc>
          <w:tcPr>
            <w:tcW w:w="1688" w:type="dxa"/>
            <w:tcBorders>
              <w:right w:val="single" w:color="auto" w:sz="4" w:space="0"/>
              <w:tl2br w:val="nil"/>
              <w:tr2bl w:val="nil"/>
            </w:tcBorders>
            <w:shd w:val="clear" w:color="auto" w:fill="FFFFFF"/>
            <w:noWrap/>
            <w:vAlign w:val="center"/>
          </w:tcPr>
          <w:p w14:paraId="4E6A996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0.0271012</w:t>
            </w:r>
          </w:p>
        </w:tc>
        <w:tc>
          <w:tcPr>
            <w:tcW w:w="1676" w:type="dxa"/>
            <w:tcBorders>
              <w:left w:val="single" w:color="auto" w:sz="4" w:space="0"/>
              <w:tl2br w:val="nil"/>
              <w:tr2bl w:val="nil"/>
            </w:tcBorders>
            <w:shd w:val="clear" w:color="auto" w:fill="FFFFFF"/>
            <w:noWrap/>
            <w:vAlign w:val="center"/>
          </w:tcPr>
          <w:p w14:paraId="414A61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0.0224351</w:t>
            </w:r>
          </w:p>
        </w:tc>
      </w:tr>
      <w:tr w14:paraId="1A6A5B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6AC064AF">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2</w:t>
            </w:r>
          </w:p>
        </w:tc>
        <w:tc>
          <w:tcPr>
            <w:tcW w:w="1365" w:type="dxa"/>
            <w:tcBorders>
              <w:tl2br w:val="nil"/>
              <w:tr2bl w:val="nil"/>
            </w:tcBorders>
            <w:shd w:val="clear" w:color="auto" w:fill="FFFFFF"/>
            <w:noWrap/>
            <w:vAlign w:val="center"/>
          </w:tcPr>
          <w:p w14:paraId="08A94EE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0.0297097</w:t>
            </w:r>
          </w:p>
        </w:tc>
        <w:tc>
          <w:tcPr>
            <w:tcW w:w="1366" w:type="dxa"/>
            <w:tcBorders>
              <w:tl2br w:val="nil"/>
              <w:tr2bl w:val="nil"/>
            </w:tcBorders>
            <w:shd w:val="clear" w:color="auto" w:fill="FFFFFF"/>
            <w:noWrap/>
            <w:vAlign w:val="center"/>
          </w:tcPr>
          <w:p w14:paraId="6EC8081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0.0348083</w:t>
            </w:r>
          </w:p>
        </w:tc>
        <w:tc>
          <w:tcPr>
            <w:tcW w:w="1486" w:type="dxa"/>
            <w:tcBorders>
              <w:tl2br w:val="nil"/>
              <w:tr2bl w:val="nil"/>
            </w:tcBorders>
            <w:shd w:val="clear" w:color="auto" w:fill="FFFFFF"/>
            <w:noWrap/>
            <w:vAlign w:val="center"/>
          </w:tcPr>
          <w:p w14:paraId="68908E3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0.0454276</w:t>
            </w:r>
          </w:p>
        </w:tc>
        <w:tc>
          <w:tcPr>
            <w:tcW w:w="1688" w:type="dxa"/>
            <w:tcBorders>
              <w:right w:val="single" w:color="auto" w:sz="4" w:space="0"/>
              <w:tl2br w:val="nil"/>
              <w:tr2bl w:val="nil"/>
            </w:tcBorders>
            <w:shd w:val="clear" w:color="auto" w:fill="FFFFFF"/>
            <w:noWrap/>
            <w:vAlign w:val="center"/>
          </w:tcPr>
          <w:p w14:paraId="4499EC3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0.0929677</w:t>
            </w:r>
          </w:p>
        </w:tc>
        <w:tc>
          <w:tcPr>
            <w:tcW w:w="1676" w:type="dxa"/>
            <w:tcBorders>
              <w:left w:val="single" w:color="auto" w:sz="4" w:space="0"/>
              <w:tl2br w:val="nil"/>
              <w:tr2bl w:val="nil"/>
            </w:tcBorders>
            <w:shd w:val="clear" w:color="auto" w:fill="FFFFFF"/>
            <w:noWrap/>
            <w:vAlign w:val="center"/>
          </w:tcPr>
          <w:p w14:paraId="26F33F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0.0817065</w:t>
            </w:r>
          </w:p>
        </w:tc>
      </w:tr>
      <w:tr w14:paraId="169833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0646003A">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3</w:t>
            </w:r>
          </w:p>
        </w:tc>
        <w:tc>
          <w:tcPr>
            <w:tcW w:w="1365" w:type="dxa"/>
            <w:tcBorders>
              <w:tl2br w:val="nil"/>
              <w:tr2bl w:val="nil"/>
            </w:tcBorders>
            <w:shd w:val="clear" w:color="auto" w:fill="FFFFFF"/>
            <w:noWrap/>
            <w:vAlign w:val="center"/>
          </w:tcPr>
          <w:p w14:paraId="68B3B77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0.0328720</w:t>
            </w:r>
          </w:p>
        </w:tc>
        <w:tc>
          <w:tcPr>
            <w:tcW w:w="1366" w:type="dxa"/>
            <w:tcBorders>
              <w:tl2br w:val="nil"/>
              <w:tr2bl w:val="nil"/>
            </w:tcBorders>
            <w:shd w:val="clear" w:color="auto" w:fill="FFFFFF"/>
            <w:noWrap/>
            <w:vAlign w:val="center"/>
          </w:tcPr>
          <w:p w14:paraId="7EA1A31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0.0200737</w:t>
            </w:r>
          </w:p>
        </w:tc>
        <w:tc>
          <w:tcPr>
            <w:tcW w:w="1486" w:type="dxa"/>
            <w:tcBorders>
              <w:tl2br w:val="nil"/>
              <w:tr2bl w:val="nil"/>
            </w:tcBorders>
            <w:shd w:val="clear" w:color="auto" w:fill="FFFFFF"/>
            <w:noWrap/>
            <w:vAlign w:val="center"/>
          </w:tcPr>
          <w:p w14:paraId="062A10C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0.0390933</w:t>
            </w:r>
          </w:p>
        </w:tc>
        <w:tc>
          <w:tcPr>
            <w:tcW w:w="1688" w:type="dxa"/>
            <w:tcBorders>
              <w:right w:val="single" w:color="auto" w:sz="4" w:space="0"/>
              <w:tl2br w:val="nil"/>
              <w:tr2bl w:val="nil"/>
            </w:tcBorders>
            <w:shd w:val="clear" w:color="auto" w:fill="FFFFFF"/>
            <w:noWrap/>
            <w:vAlign w:val="center"/>
          </w:tcPr>
          <w:p w14:paraId="6D7E6A2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0.0545824</w:t>
            </w:r>
          </w:p>
        </w:tc>
        <w:tc>
          <w:tcPr>
            <w:tcW w:w="1676" w:type="dxa"/>
            <w:tcBorders>
              <w:left w:val="single" w:color="auto" w:sz="4" w:space="0"/>
              <w:tl2br w:val="nil"/>
              <w:tr2bl w:val="nil"/>
            </w:tcBorders>
            <w:shd w:val="clear" w:color="auto" w:fill="FFFFFF"/>
            <w:noWrap/>
            <w:vAlign w:val="center"/>
          </w:tcPr>
          <w:p w14:paraId="5D7F0B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0.0638928</w:t>
            </w:r>
          </w:p>
        </w:tc>
      </w:tr>
      <w:tr w14:paraId="05E0AB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5E621966">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4</w:t>
            </w:r>
          </w:p>
        </w:tc>
        <w:tc>
          <w:tcPr>
            <w:tcW w:w="1365" w:type="dxa"/>
            <w:tcBorders>
              <w:tl2br w:val="nil"/>
              <w:tr2bl w:val="nil"/>
            </w:tcBorders>
            <w:shd w:val="clear" w:color="auto" w:fill="FFFFFF"/>
            <w:noWrap/>
            <w:vAlign w:val="center"/>
          </w:tcPr>
          <w:p w14:paraId="53C6B74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0.0310146</w:t>
            </w:r>
          </w:p>
        </w:tc>
        <w:tc>
          <w:tcPr>
            <w:tcW w:w="1366" w:type="dxa"/>
            <w:tcBorders>
              <w:tl2br w:val="nil"/>
              <w:tr2bl w:val="nil"/>
            </w:tcBorders>
            <w:shd w:val="clear" w:color="auto" w:fill="FFFFFF"/>
            <w:noWrap/>
            <w:vAlign w:val="center"/>
          </w:tcPr>
          <w:p w14:paraId="314E9B0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0.0236039</w:t>
            </w:r>
          </w:p>
        </w:tc>
        <w:tc>
          <w:tcPr>
            <w:tcW w:w="1486" w:type="dxa"/>
            <w:tcBorders>
              <w:tl2br w:val="nil"/>
              <w:tr2bl w:val="nil"/>
            </w:tcBorders>
            <w:shd w:val="clear" w:color="auto" w:fill="FFFFFF"/>
            <w:noWrap/>
            <w:vAlign w:val="center"/>
          </w:tcPr>
          <w:p w14:paraId="2E75A7B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0.0325869</w:t>
            </w:r>
          </w:p>
        </w:tc>
        <w:tc>
          <w:tcPr>
            <w:tcW w:w="1688" w:type="dxa"/>
            <w:tcBorders>
              <w:right w:val="single" w:color="auto" w:sz="4" w:space="0"/>
              <w:tl2br w:val="nil"/>
              <w:tr2bl w:val="nil"/>
            </w:tcBorders>
            <w:shd w:val="clear" w:color="auto" w:fill="FFFFFF"/>
            <w:noWrap/>
            <w:vAlign w:val="center"/>
          </w:tcPr>
          <w:p w14:paraId="6FE5BD8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0.0146385</w:t>
            </w:r>
          </w:p>
        </w:tc>
        <w:tc>
          <w:tcPr>
            <w:tcW w:w="1676" w:type="dxa"/>
            <w:tcBorders>
              <w:left w:val="single" w:color="auto" w:sz="4" w:space="0"/>
              <w:tl2br w:val="nil"/>
              <w:tr2bl w:val="nil"/>
            </w:tcBorders>
            <w:shd w:val="clear" w:color="auto" w:fill="FFFFFF"/>
            <w:noWrap/>
            <w:vAlign w:val="center"/>
          </w:tcPr>
          <w:p w14:paraId="3161DF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0.0416333</w:t>
            </w:r>
          </w:p>
        </w:tc>
      </w:tr>
      <w:tr w14:paraId="6FD580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8" w:hRule="atLeast"/>
          <w:jc w:val="center"/>
        </w:trPr>
        <w:tc>
          <w:tcPr>
            <w:tcW w:w="1141" w:type="dxa"/>
            <w:tcBorders>
              <w:tl2br w:val="nil"/>
              <w:tr2bl w:val="nil"/>
            </w:tcBorders>
            <w:shd w:val="clear" w:color="auto" w:fill="FFFFFF"/>
            <w:noWrap/>
            <w:vAlign w:val="center"/>
          </w:tcPr>
          <w:p w14:paraId="62889C6A">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5</w:t>
            </w:r>
          </w:p>
        </w:tc>
        <w:tc>
          <w:tcPr>
            <w:tcW w:w="1365" w:type="dxa"/>
            <w:tcBorders>
              <w:tl2br w:val="nil"/>
              <w:tr2bl w:val="nil"/>
            </w:tcBorders>
            <w:shd w:val="clear" w:color="auto" w:fill="FFFFFF"/>
            <w:noWrap/>
            <w:vAlign w:val="center"/>
          </w:tcPr>
          <w:p w14:paraId="59F88C4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0.0295619</w:t>
            </w:r>
          </w:p>
        </w:tc>
        <w:tc>
          <w:tcPr>
            <w:tcW w:w="1366" w:type="dxa"/>
            <w:tcBorders>
              <w:tl2br w:val="nil"/>
              <w:tr2bl w:val="nil"/>
            </w:tcBorders>
            <w:shd w:val="clear" w:color="auto" w:fill="FFFFFF"/>
            <w:noWrap/>
            <w:vAlign w:val="center"/>
          </w:tcPr>
          <w:p w14:paraId="57005B3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0.0193366</w:t>
            </w:r>
          </w:p>
        </w:tc>
        <w:tc>
          <w:tcPr>
            <w:tcW w:w="1486" w:type="dxa"/>
            <w:tcBorders>
              <w:tl2br w:val="nil"/>
              <w:tr2bl w:val="nil"/>
            </w:tcBorders>
            <w:shd w:val="clear" w:color="auto" w:fill="FFFFFF"/>
            <w:noWrap/>
            <w:vAlign w:val="center"/>
          </w:tcPr>
          <w:p w14:paraId="39EC471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0.0193280</w:t>
            </w:r>
          </w:p>
        </w:tc>
        <w:tc>
          <w:tcPr>
            <w:tcW w:w="1688" w:type="dxa"/>
            <w:tcBorders>
              <w:right w:val="single" w:color="auto" w:sz="4" w:space="0"/>
              <w:tl2br w:val="nil"/>
              <w:tr2bl w:val="nil"/>
            </w:tcBorders>
            <w:shd w:val="clear" w:color="auto" w:fill="FFFFFF"/>
            <w:noWrap/>
            <w:vAlign w:val="center"/>
          </w:tcPr>
          <w:p w14:paraId="7CFA354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0.0044615</w:t>
            </w:r>
          </w:p>
        </w:tc>
        <w:tc>
          <w:tcPr>
            <w:tcW w:w="1676" w:type="dxa"/>
            <w:tcBorders>
              <w:left w:val="single" w:color="auto" w:sz="4" w:space="0"/>
              <w:tl2br w:val="nil"/>
              <w:tr2bl w:val="nil"/>
            </w:tcBorders>
            <w:shd w:val="clear" w:color="auto" w:fill="FFFFFF"/>
            <w:noWrap/>
            <w:vAlign w:val="center"/>
          </w:tcPr>
          <w:p w14:paraId="53D8A5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0.0395282</w:t>
            </w:r>
          </w:p>
        </w:tc>
      </w:tr>
      <w:tr w14:paraId="0CA8A3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0D02137E">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6</w:t>
            </w:r>
          </w:p>
        </w:tc>
        <w:tc>
          <w:tcPr>
            <w:tcW w:w="1365" w:type="dxa"/>
            <w:tcBorders>
              <w:tl2br w:val="nil"/>
              <w:tr2bl w:val="nil"/>
            </w:tcBorders>
            <w:shd w:val="clear" w:color="auto" w:fill="FFFFFF"/>
            <w:noWrap/>
            <w:vAlign w:val="center"/>
          </w:tcPr>
          <w:p w14:paraId="0DB79F9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0.0322926</w:t>
            </w:r>
          </w:p>
        </w:tc>
        <w:tc>
          <w:tcPr>
            <w:tcW w:w="1366" w:type="dxa"/>
            <w:tcBorders>
              <w:tl2br w:val="nil"/>
              <w:tr2bl w:val="nil"/>
            </w:tcBorders>
            <w:shd w:val="clear" w:color="auto" w:fill="FFFFFF"/>
            <w:noWrap/>
            <w:vAlign w:val="center"/>
          </w:tcPr>
          <w:p w14:paraId="249F05F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0.0343775</w:t>
            </w:r>
          </w:p>
        </w:tc>
        <w:tc>
          <w:tcPr>
            <w:tcW w:w="1486" w:type="dxa"/>
            <w:tcBorders>
              <w:tl2br w:val="nil"/>
              <w:tr2bl w:val="nil"/>
            </w:tcBorders>
            <w:shd w:val="clear" w:color="auto" w:fill="FFFFFF"/>
            <w:noWrap/>
            <w:vAlign w:val="center"/>
          </w:tcPr>
          <w:p w14:paraId="5CCF64E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0.0528313</w:t>
            </w:r>
          </w:p>
        </w:tc>
        <w:tc>
          <w:tcPr>
            <w:tcW w:w="1688" w:type="dxa"/>
            <w:tcBorders>
              <w:right w:val="single" w:color="auto" w:sz="4" w:space="0"/>
              <w:tl2br w:val="nil"/>
              <w:tr2bl w:val="nil"/>
            </w:tcBorders>
            <w:shd w:val="clear" w:color="auto" w:fill="FFFFFF"/>
            <w:noWrap/>
            <w:vAlign w:val="center"/>
          </w:tcPr>
          <w:p w14:paraId="2F15452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0.0401616</w:t>
            </w:r>
          </w:p>
        </w:tc>
        <w:tc>
          <w:tcPr>
            <w:tcW w:w="1676" w:type="dxa"/>
            <w:tcBorders>
              <w:left w:val="single" w:color="auto" w:sz="4" w:space="0"/>
              <w:tl2br w:val="nil"/>
              <w:tr2bl w:val="nil"/>
            </w:tcBorders>
            <w:shd w:val="clear" w:color="auto" w:fill="FFFFFF"/>
            <w:noWrap/>
            <w:vAlign w:val="center"/>
          </w:tcPr>
          <w:p w14:paraId="433DB8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0.0365031</w:t>
            </w:r>
          </w:p>
        </w:tc>
      </w:tr>
      <w:tr w14:paraId="1A7871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7E06B883">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7</w:t>
            </w:r>
          </w:p>
        </w:tc>
        <w:tc>
          <w:tcPr>
            <w:tcW w:w="1365" w:type="dxa"/>
            <w:tcBorders>
              <w:tl2br w:val="nil"/>
              <w:tr2bl w:val="nil"/>
            </w:tcBorders>
            <w:shd w:val="clear" w:color="auto" w:fill="FFFFFF"/>
            <w:noWrap/>
            <w:vAlign w:val="center"/>
          </w:tcPr>
          <w:p w14:paraId="2565885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0.0251973</w:t>
            </w:r>
          </w:p>
        </w:tc>
        <w:tc>
          <w:tcPr>
            <w:tcW w:w="1366" w:type="dxa"/>
            <w:tcBorders>
              <w:tl2br w:val="nil"/>
              <w:tr2bl w:val="nil"/>
            </w:tcBorders>
            <w:shd w:val="clear" w:color="auto" w:fill="FFFFFF"/>
            <w:noWrap/>
            <w:vAlign w:val="center"/>
          </w:tcPr>
          <w:p w14:paraId="6924A31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0.0228900</w:t>
            </w:r>
          </w:p>
        </w:tc>
        <w:tc>
          <w:tcPr>
            <w:tcW w:w="1486" w:type="dxa"/>
            <w:tcBorders>
              <w:tl2br w:val="nil"/>
              <w:tr2bl w:val="nil"/>
            </w:tcBorders>
            <w:shd w:val="clear" w:color="auto" w:fill="FFFFFF"/>
            <w:noWrap/>
            <w:vAlign w:val="center"/>
          </w:tcPr>
          <w:p w14:paraId="10BDFC6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0.0126623</w:t>
            </w:r>
          </w:p>
        </w:tc>
        <w:tc>
          <w:tcPr>
            <w:tcW w:w="1688" w:type="dxa"/>
            <w:tcBorders>
              <w:right w:val="single" w:color="auto" w:sz="4" w:space="0"/>
              <w:tl2br w:val="nil"/>
              <w:tr2bl w:val="nil"/>
            </w:tcBorders>
            <w:shd w:val="clear" w:color="auto" w:fill="FFFFFF"/>
            <w:noWrap/>
            <w:vAlign w:val="center"/>
          </w:tcPr>
          <w:p w14:paraId="47C0C67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0.0167517</w:t>
            </w:r>
          </w:p>
        </w:tc>
        <w:tc>
          <w:tcPr>
            <w:tcW w:w="1676" w:type="dxa"/>
            <w:tcBorders>
              <w:left w:val="single" w:color="auto" w:sz="4" w:space="0"/>
              <w:tl2br w:val="nil"/>
              <w:tr2bl w:val="nil"/>
            </w:tcBorders>
            <w:shd w:val="clear" w:color="auto" w:fill="FFFFFF"/>
            <w:noWrap/>
            <w:vAlign w:val="center"/>
          </w:tcPr>
          <w:p w14:paraId="295C45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0.0149762</w:t>
            </w:r>
          </w:p>
        </w:tc>
      </w:tr>
      <w:tr w14:paraId="1B4577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2988E2E7">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8</w:t>
            </w:r>
          </w:p>
        </w:tc>
        <w:tc>
          <w:tcPr>
            <w:tcW w:w="1365" w:type="dxa"/>
            <w:tcBorders>
              <w:tl2br w:val="nil"/>
              <w:tr2bl w:val="nil"/>
            </w:tcBorders>
            <w:shd w:val="clear" w:color="auto" w:fill="FFFFFF"/>
            <w:noWrap/>
            <w:vAlign w:val="center"/>
          </w:tcPr>
          <w:p w14:paraId="4F4E6CA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0.0337067</w:t>
            </w:r>
          </w:p>
        </w:tc>
        <w:tc>
          <w:tcPr>
            <w:tcW w:w="1366" w:type="dxa"/>
            <w:tcBorders>
              <w:tl2br w:val="nil"/>
              <w:tr2bl w:val="nil"/>
            </w:tcBorders>
            <w:shd w:val="clear" w:color="auto" w:fill="FFFFFF"/>
            <w:noWrap/>
            <w:vAlign w:val="center"/>
          </w:tcPr>
          <w:p w14:paraId="1F79030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0.0193120</w:t>
            </w:r>
          </w:p>
        </w:tc>
        <w:tc>
          <w:tcPr>
            <w:tcW w:w="1486" w:type="dxa"/>
            <w:tcBorders>
              <w:tl2br w:val="nil"/>
              <w:tr2bl w:val="nil"/>
            </w:tcBorders>
            <w:shd w:val="clear" w:color="auto" w:fill="FFFFFF"/>
            <w:noWrap/>
            <w:vAlign w:val="center"/>
          </w:tcPr>
          <w:p w14:paraId="31FE6F1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0.0146059</w:t>
            </w:r>
          </w:p>
        </w:tc>
        <w:tc>
          <w:tcPr>
            <w:tcW w:w="1688" w:type="dxa"/>
            <w:tcBorders>
              <w:right w:val="single" w:color="auto" w:sz="4" w:space="0"/>
              <w:tl2br w:val="nil"/>
              <w:tr2bl w:val="nil"/>
            </w:tcBorders>
            <w:shd w:val="clear" w:color="auto" w:fill="FFFFFF"/>
            <w:noWrap/>
            <w:vAlign w:val="center"/>
          </w:tcPr>
          <w:p w14:paraId="1B097D6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0.0310614</w:t>
            </w:r>
          </w:p>
        </w:tc>
        <w:tc>
          <w:tcPr>
            <w:tcW w:w="1676" w:type="dxa"/>
            <w:tcBorders>
              <w:left w:val="single" w:color="auto" w:sz="4" w:space="0"/>
              <w:tl2br w:val="nil"/>
              <w:tr2bl w:val="nil"/>
            </w:tcBorders>
            <w:shd w:val="clear" w:color="auto" w:fill="FFFFFF"/>
            <w:noWrap/>
            <w:vAlign w:val="center"/>
          </w:tcPr>
          <w:p w14:paraId="24544D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0.0317670</w:t>
            </w:r>
          </w:p>
        </w:tc>
      </w:tr>
      <w:tr w14:paraId="689222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15C25A8A">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9</w:t>
            </w:r>
          </w:p>
        </w:tc>
        <w:tc>
          <w:tcPr>
            <w:tcW w:w="1365" w:type="dxa"/>
            <w:tcBorders>
              <w:tl2br w:val="nil"/>
              <w:tr2bl w:val="nil"/>
            </w:tcBorders>
            <w:shd w:val="clear" w:color="auto" w:fill="FFFFFF"/>
            <w:noWrap/>
            <w:vAlign w:val="center"/>
          </w:tcPr>
          <w:p w14:paraId="503B0E7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0.0160357</w:t>
            </w:r>
          </w:p>
        </w:tc>
        <w:tc>
          <w:tcPr>
            <w:tcW w:w="1366" w:type="dxa"/>
            <w:tcBorders>
              <w:tl2br w:val="nil"/>
              <w:tr2bl w:val="nil"/>
            </w:tcBorders>
            <w:shd w:val="clear" w:color="auto" w:fill="FFFFFF"/>
            <w:noWrap/>
            <w:vAlign w:val="center"/>
          </w:tcPr>
          <w:p w14:paraId="705C181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0.0182574</w:t>
            </w:r>
          </w:p>
        </w:tc>
        <w:tc>
          <w:tcPr>
            <w:tcW w:w="1486" w:type="dxa"/>
            <w:tcBorders>
              <w:tl2br w:val="nil"/>
              <w:tr2bl w:val="nil"/>
            </w:tcBorders>
            <w:shd w:val="clear" w:color="auto" w:fill="FFFFFF"/>
            <w:noWrap/>
            <w:vAlign w:val="center"/>
          </w:tcPr>
          <w:p w14:paraId="0A855EA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0.0340168</w:t>
            </w:r>
          </w:p>
        </w:tc>
        <w:tc>
          <w:tcPr>
            <w:tcW w:w="1688" w:type="dxa"/>
            <w:tcBorders>
              <w:right w:val="single" w:color="auto" w:sz="4" w:space="0"/>
              <w:tl2br w:val="nil"/>
              <w:tr2bl w:val="nil"/>
            </w:tcBorders>
            <w:shd w:val="clear" w:color="auto" w:fill="FFFFFF"/>
            <w:noWrap/>
            <w:vAlign w:val="center"/>
          </w:tcPr>
          <w:p w14:paraId="3B9C698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0.0281154</w:t>
            </w:r>
          </w:p>
        </w:tc>
        <w:tc>
          <w:tcPr>
            <w:tcW w:w="1676" w:type="dxa"/>
            <w:tcBorders>
              <w:left w:val="single" w:color="auto" w:sz="4" w:space="0"/>
              <w:tl2br w:val="nil"/>
              <w:tr2bl w:val="nil"/>
            </w:tcBorders>
            <w:shd w:val="clear" w:color="auto" w:fill="FFFFFF"/>
            <w:noWrap/>
            <w:vAlign w:val="center"/>
          </w:tcPr>
          <w:p w14:paraId="590E3D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0.0298408</w:t>
            </w:r>
          </w:p>
        </w:tc>
      </w:tr>
      <w:tr w14:paraId="1DB4A1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4C297E5B">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10</w:t>
            </w:r>
          </w:p>
        </w:tc>
        <w:tc>
          <w:tcPr>
            <w:tcW w:w="1365" w:type="dxa"/>
            <w:tcBorders>
              <w:tl2br w:val="nil"/>
              <w:tr2bl w:val="nil"/>
            </w:tcBorders>
            <w:shd w:val="clear" w:color="auto" w:fill="FFFFFF"/>
            <w:noWrap/>
            <w:vAlign w:val="center"/>
          </w:tcPr>
          <w:p w14:paraId="7E3B48F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0.0312989</w:t>
            </w:r>
          </w:p>
        </w:tc>
        <w:tc>
          <w:tcPr>
            <w:tcW w:w="1366" w:type="dxa"/>
            <w:tcBorders>
              <w:tl2br w:val="nil"/>
              <w:tr2bl w:val="nil"/>
            </w:tcBorders>
            <w:shd w:val="clear" w:color="auto" w:fill="FFFFFF"/>
            <w:noWrap/>
            <w:vAlign w:val="center"/>
          </w:tcPr>
          <w:p w14:paraId="010F3E6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0.0423888</w:t>
            </w:r>
          </w:p>
        </w:tc>
        <w:tc>
          <w:tcPr>
            <w:tcW w:w="1486" w:type="dxa"/>
            <w:tcBorders>
              <w:tl2br w:val="nil"/>
              <w:tr2bl w:val="nil"/>
            </w:tcBorders>
            <w:shd w:val="clear" w:color="auto" w:fill="FFFFFF"/>
            <w:noWrap/>
            <w:vAlign w:val="center"/>
          </w:tcPr>
          <w:p w14:paraId="0F5AE5C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0.0255399</w:t>
            </w:r>
          </w:p>
        </w:tc>
        <w:tc>
          <w:tcPr>
            <w:tcW w:w="1688" w:type="dxa"/>
            <w:tcBorders>
              <w:right w:val="single" w:color="auto" w:sz="4" w:space="0"/>
              <w:tl2br w:val="nil"/>
              <w:tr2bl w:val="nil"/>
            </w:tcBorders>
            <w:shd w:val="clear" w:color="auto" w:fill="FFFFFF"/>
            <w:noWrap/>
            <w:vAlign w:val="center"/>
          </w:tcPr>
          <w:p w14:paraId="2A7E824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0.0745737</w:t>
            </w:r>
          </w:p>
        </w:tc>
        <w:tc>
          <w:tcPr>
            <w:tcW w:w="1676" w:type="dxa"/>
            <w:tcBorders>
              <w:left w:val="single" w:color="auto" w:sz="4" w:space="0"/>
              <w:tl2br w:val="nil"/>
              <w:tr2bl w:val="nil"/>
            </w:tcBorders>
            <w:shd w:val="clear" w:color="auto" w:fill="FFFFFF"/>
            <w:noWrap/>
            <w:vAlign w:val="center"/>
          </w:tcPr>
          <w:p w14:paraId="3BC46D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0.0595451</w:t>
            </w:r>
          </w:p>
        </w:tc>
      </w:tr>
      <w:tr w14:paraId="388F9E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3728973F">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11</w:t>
            </w:r>
          </w:p>
        </w:tc>
        <w:tc>
          <w:tcPr>
            <w:tcW w:w="1365" w:type="dxa"/>
            <w:tcBorders>
              <w:tl2br w:val="nil"/>
              <w:tr2bl w:val="nil"/>
            </w:tcBorders>
            <w:shd w:val="clear" w:color="auto" w:fill="FFFFFF"/>
            <w:noWrap/>
            <w:vAlign w:val="center"/>
          </w:tcPr>
          <w:p w14:paraId="23E3513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0.0142411</w:t>
            </w:r>
          </w:p>
        </w:tc>
        <w:tc>
          <w:tcPr>
            <w:tcW w:w="1366" w:type="dxa"/>
            <w:tcBorders>
              <w:tl2br w:val="nil"/>
              <w:tr2bl w:val="nil"/>
            </w:tcBorders>
            <w:shd w:val="clear" w:color="auto" w:fill="FFFFFF"/>
            <w:noWrap/>
            <w:vAlign w:val="center"/>
          </w:tcPr>
          <w:p w14:paraId="0ACEA9E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0.0290164</w:t>
            </w:r>
          </w:p>
        </w:tc>
        <w:tc>
          <w:tcPr>
            <w:tcW w:w="1486" w:type="dxa"/>
            <w:tcBorders>
              <w:tl2br w:val="nil"/>
              <w:tr2bl w:val="nil"/>
            </w:tcBorders>
            <w:shd w:val="clear" w:color="auto" w:fill="FFFFFF"/>
            <w:noWrap/>
            <w:vAlign w:val="center"/>
          </w:tcPr>
          <w:p w14:paraId="258ECB2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0.0207514</w:t>
            </w:r>
          </w:p>
        </w:tc>
        <w:tc>
          <w:tcPr>
            <w:tcW w:w="1688" w:type="dxa"/>
            <w:tcBorders>
              <w:right w:val="single" w:color="auto" w:sz="4" w:space="0"/>
              <w:tl2br w:val="nil"/>
              <w:tr2bl w:val="nil"/>
            </w:tcBorders>
            <w:shd w:val="clear" w:color="auto" w:fill="FFFFFF"/>
            <w:noWrap/>
            <w:vAlign w:val="center"/>
          </w:tcPr>
          <w:p w14:paraId="44305CA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0.0235928</w:t>
            </w:r>
          </w:p>
        </w:tc>
        <w:tc>
          <w:tcPr>
            <w:tcW w:w="1676" w:type="dxa"/>
            <w:tcBorders>
              <w:left w:val="single" w:color="auto" w:sz="4" w:space="0"/>
              <w:tl2br w:val="nil"/>
              <w:tr2bl w:val="nil"/>
            </w:tcBorders>
            <w:shd w:val="clear" w:color="auto" w:fill="FFFFFF"/>
            <w:noWrap/>
            <w:vAlign w:val="center"/>
          </w:tcPr>
          <w:p w14:paraId="037B6C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0.0114725</w:t>
            </w:r>
          </w:p>
        </w:tc>
      </w:tr>
      <w:tr w14:paraId="39F19C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637909F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统计量C</w:t>
            </w:r>
          </w:p>
        </w:tc>
        <w:tc>
          <w:tcPr>
            <w:tcW w:w="1365" w:type="dxa"/>
            <w:tcBorders>
              <w:tl2br w:val="nil"/>
              <w:tr2bl w:val="nil"/>
            </w:tcBorders>
            <w:shd w:val="clear" w:color="auto" w:fill="FFFFFF"/>
            <w:noWrap/>
            <w:vAlign w:val="center"/>
          </w:tcPr>
          <w:p w14:paraId="2E5ECDF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0.129810988</w:t>
            </w:r>
          </w:p>
        </w:tc>
        <w:tc>
          <w:tcPr>
            <w:tcW w:w="1366" w:type="dxa"/>
            <w:tcBorders>
              <w:tl2br w:val="nil"/>
              <w:tr2bl w:val="nil"/>
            </w:tcBorders>
            <w:shd w:val="clear" w:color="auto" w:fill="FFFFFF"/>
            <w:noWrap/>
            <w:vAlign w:val="center"/>
          </w:tcPr>
          <w:p w14:paraId="734CE8C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0.218832099</w:t>
            </w:r>
          </w:p>
        </w:tc>
        <w:tc>
          <w:tcPr>
            <w:tcW w:w="1486" w:type="dxa"/>
            <w:tcBorders>
              <w:tl2br w:val="nil"/>
              <w:tr2bl w:val="nil"/>
            </w:tcBorders>
            <w:shd w:val="clear" w:color="auto" w:fill="FFFFFF"/>
            <w:noWrap/>
            <w:vAlign w:val="center"/>
          </w:tcPr>
          <w:p w14:paraId="1E8F504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0.258633014</w:t>
            </w:r>
          </w:p>
        </w:tc>
        <w:tc>
          <w:tcPr>
            <w:tcW w:w="1688" w:type="dxa"/>
            <w:tcBorders>
              <w:right w:val="single" w:color="auto" w:sz="4" w:space="0"/>
              <w:tl2br w:val="nil"/>
              <w:tr2bl w:val="nil"/>
            </w:tcBorders>
            <w:shd w:val="clear" w:color="auto" w:fill="FFFFFF"/>
            <w:noWrap/>
            <w:vAlign w:val="center"/>
          </w:tcPr>
          <w:p w14:paraId="6879045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0.386579626</w:t>
            </w:r>
          </w:p>
        </w:tc>
        <w:tc>
          <w:tcPr>
            <w:tcW w:w="1676" w:type="dxa"/>
            <w:tcBorders>
              <w:left w:val="single" w:color="auto" w:sz="4" w:space="0"/>
              <w:tl2br w:val="nil"/>
              <w:tr2bl w:val="nil"/>
            </w:tcBorders>
            <w:shd w:val="clear" w:color="auto" w:fill="FFFFFF"/>
            <w:noWrap/>
            <w:vAlign w:val="center"/>
          </w:tcPr>
          <w:p w14:paraId="33B4F3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0.307775224</w:t>
            </w:r>
          </w:p>
        </w:tc>
      </w:tr>
      <w:tr w14:paraId="5E0C64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469FD320">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临界(0.05)</w:t>
            </w:r>
          </w:p>
        </w:tc>
        <w:tc>
          <w:tcPr>
            <w:tcW w:w="1365" w:type="dxa"/>
            <w:tcBorders>
              <w:tl2br w:val="nil"/>
              <w:tr2bl w:val="nil"/>
            </w:tcBorders>
            <w:shd w:val="clear" w:color="auto" w:fill="FFFFFF"/>
            <w:noWrap/>
            <w:vAlign w:val="center"/>
          </w:tcPr>
          <w:p w14:paraId="6BB258D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0.2616</w:t>
            </w:r>
          </w:p>
        </w:tc>
        <w:tc>
          <w:tcPr>
            <w:tcW w:w="1366" w:type="dxa"/>
            <w:tcBorders>
              <w:tl2br w:val="nil"/>
              <w:tr2bl w:val="nil"/>
            </w:tcBorders>
            <w:shd w:val="clear" w:color="auto" w:fill="FFFFFF"/>
            <w:noWrap/>
            <w:vAlign w:val="center"/>
          </w:tcPr>
          <w:p w14:paraId="5A341DD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0.2616</w:t>
            </w:r>
          </w:p>
        </w:tc>
        <w:tc>
          <w:tcPr>
            <w:tcW w:w="1486" w:type="dxa"/>
            <w:tcBorders>
              <w:tl2br w:val="nil"/>
              <w:tr2bl w:val="nil"/>
            </w:tcBorders>
            <w:shd w:val="clear" w:color="auto" w:fill="FFFFFF"/>
            <w:noWrap/>
            <w:vAlign w:val="center"/>
          </w:tcPr>
          <w:p w14:paraId="1EB08983">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0.2616</w:t>
            </w:r>
          </w:p>
        </w:tc>
        <w:tc>
          <w:tcPr>
            <w:tcW w:w="1688" w:type="dxa"/>
            <w:tcBorders>
              <w:right w:val="single" w:color="auto" w:sz="4" w:space="0"/>
              <w:tl2br w:val="nil"/>
              <w:tr2bl w:val="nil"/>
            </w:tcBorders>
            <w:shd w:val="clear" w:color="auto" w:fill="FFFFFF"/>
            <w:noWrap/>
            <w:vAlign w:val="center"/>
          </w:tcPr>
          <w:p w14:paraId="60D7423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0.2616</w:t>
            </w:r>
          </w:p>
        </w:tc>
        <w:tc>
          <w:tcPr>
            <w:tcW w:w="1676" w:type="dxa"/>
            <w:tcBorders>
              <w:left w:val="single" w:color="auto" w:sz="4" w:space="0"/>
              <w:tl2br w:val="nil"/>
              <w:tr2bl w:val="nil"/>
            </w:tcBorders>
            <w:shd w:val="clear" w:color="auto" w:fill="FFFFFF"/>
            <w:noWrap/>
            <w:vAlign w:val="center"/>
          </w:tcPr>
          <w:p w14:paraId="26E97E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0.2616</w:t>
            </w:r>
          </w:p>
        </w:tc>
      </w:tr>
      <w:tr w14:paraId="48233D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2" w:hRule="atLeast"/>
          <w:jc w:val="center"/>
        </w:trPr>
        <w:tc>
          <w:tcPr>
            <w:tcW w:w="1141" w:type="dxa"/>
            <w:tcBorders>
              <w:tl2br w:val="nil"/>
              <w:tr2bl w:val="nil"/>
            </w:tcBorders>
            <w:shd w:val="clear" w:color="auto" w:fill="FFFFFF"/>
            <w:noWrap/>
            <w:vAlign w:val="center"/>
          </w:tcPr>
          <w:p w14:paraId="4A228DCF">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临界(0.01)</w:t>
            </w:r>
          </w:p>
        </w:tc>
        <w:tc>
          <w:tcPr>
            <w:tcW w:w="1365" w:type="dxa"/>
            <w:tcBorders>
              <w:tl2br w:val="nil"/>
              <w:tr2bl w:val="nil"/>
            </w:tcBorders>
            <w:shd w:val="clear" w:color="auto" w:fill="FFFFFF"/>
            <w:noWrap/>
            <w:vAlign w:val="center"/>
          </w:tcPr>
          <w:p w14:paraId="69EB141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0.3068</w:t>
            </w:r>
          </w:p>
        </w:tc>
        <w:tc>
          <w:tcPr>
            <w:tcW w:w="1366" w:type="dxa"/>
            <w:tcBorders>
              <w:tl2br w:val="nil"/>
              <w:tr2bl w:val="nil"/>
            </w:tcBorders>
            <w:shd w:val="clear" w:color="auto" w:fill="FFFFFF"/>
            <w:noWrap/>
            <w:vAlign w:val="center"/>
          </w:tcPr>
          <w:p w14:paraId="64FBFFC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0.3068</w:t>
            </w:r>
          </w:p>
        </w:tc>
        <w:tc>
          <w:tcPr>
            <w:tcW w:w="1486" w:type="dxa"/>
            <w:tcBorders>
              <w:tl2br w:val="nil"/>
              <w:tr2bl w:val="nil"/>
            </w:tcBorders>
            <w:shd w:val="clear" w:color="auto" w:fill="FFFFFF"/>
            <w:noWrap/>
            <w:vAlign w:val="center"/>
          </w:tcPr>
          <w:p w14:paraId="21B5DBF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0.3068</w:t>
            </w:r>
          </w:p>
        </w:tc>
        <w:tc>
          <w:tcPr>
            <w:tcW w:w="1688" w:type="dxa"/>
            <w:tcBorders>
              <w:right w:val="single" w:color="auto" w:sz="4" w:space="0"/>
              <w:tl2br w:val="nil"/>
              <w:tr2bl w:val="nil"/>
            </w:tcBorders>
            <w:shd w:val="clear" w:color="auto" w:fill="FFFFFF"/>
            <w:noWrap/>
            <w:vAlign w:val="center"/>
          </w:tcPr>
          <w:p w14:paraId="7E59E04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0.3068</w:t>
            </w:r>
          </w:p>
        </w:tc>
        <w:tc>
          <w:tcPr>
            <w:tcW w:w="1676" w:type="dxa"/>
            <w:tcBorders>
              <w:left w:val="single" w:color="auto" w:sz="4" w:space="0"/>
              <w:tl2br w:val="nil"/>
              <w:tr2bl w:val="nil"/>
            </w:tcBorders>
            <w:shd w:val="clear" w:color="auto" w:fill="FFFFFF"/>
            <w:noWrap/>
            <w:vAlign w:val="center"/>
          </w:tcPr>
          <w:p w14:paraId="25C741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0.3068</w:t>
            </w:r>
          </w:p>
        </w:tc>
      </w:tr>
      <w:tr w14:paraId="5ADD33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1" w:hRule="atLeast"/>
          <w:jc w:val="center"/>
        </w:trPr>
        <w:tc>
          <w:tcPr>
            <w:tcW w:w="1141" w:type="dxa"/>
            <w:tcBorders>
              <w:tl2br w:val="nil"/>
              <w:tr2bl w:val="nil"/>
            </w:tcBorders>
            <w:shd w:val="clear" w:color="auto" w:fill="FFFFFF"/>
            <w:noWrap/>
            <w:vAlign w:val="center"/>
          </w:tcPr>
          <w:p w14:paraId="3533D1BC">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检验结果</w:t>
            </w:r>
          </w:p>
        </w:tc>
        <w:tc>
          <w:tcPr>
            <w:tcW w:w="1365" w:type="dxa"/>
            <w:tcBorders>
              <w:tl2br w:val="nil"/>
              <w:tr2bl w:val="nil"/>
            </w:tcBorders>
            <w:shd w:val="clear" w:color="auto" w:fill="FFFFFF"/>
            <w:noWrap/>
            <w:vAlign w:val="center"/>
          </w:tcPr>
          <w:p w14:paraId="6196D88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通过</w:t>
            </w:r>
          </w:p>
        </w:tc>
        <w:tc>
          <w:tcPr>
            <w:tcW w:w="1366" w:type="dxa"/>
            <w:tcBorders>
              <w:tl2br w:val="nil"/>
              <w:tr2bl w:val="nil"/>
            </w:tcBorders>
            <w:shd w:val="clear" w:color="auto" w:fill="FFFFFF"/>
            <w:noWrap/>
            <w:vAlign w:val="center"/>
          </w:tcPr>
          <w:p w14:paraId="0D149DE0">
            <w:pPr>
              <w:keepNext w:val="0"/>
              <w:keepLines w:val="0"/>
              <w:widowControl/>
              <w:suppressLineNumbers w:val="0"/>
              <w:jc w:val="center"/>
              <w:textAlignment w:val="center"/>
              <w:rPr>
                <w:rFonts w:hint="eastAsia" w:ascii="宋体" w:hAnsi="宋体" w:eastAsia="宋体" w:cs="宋体"/>
                <w:b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通过</w:t>
            </w:r>
          </w:p>
        </w:tc>
        <w:tc>
          <w:tcPr>
            <w:tcW w:w="1486" w:type="dxa"/>
            <w:tcBorders>
              <w:tl2br w:val="nil"/>
              <w:tr2bl w:val="nil"/>
            </w:tcBorders>
            <w:shd w:val="clear" w:color="auto" w:fill="FFFFFF"/>
            <w:noWrap/>
            <w:vAlign w:val="center"/>
          </w:tcPr>
          <w:p w14:paraId="6072A86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通过</w:t>
            </w:r>
          </w:p>
        </w:tc>
        <w:tc>
          <w:tcPr>
            <w:tcW w:w="1688" w:type="dxa"/>
            <w:tcBorders>
              <w:right w:val="single" w:color="auto" w:sz="4" w:space="0"/>
              <w:tl2br w:val="nil"/>
              <w:tr2bl w:val="nil"/>
            </w:tcBorders>
            <w:shd w:val="clear" w:color="auto" w:fill="FFFFFF"/>
            <w:noWrap/>
            <w:vAlign w:val="center"/>
          </w:tcPr>
          <w:p w14:paraId="70151FB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2#离群值</w:t>
            </w:r>
          </w:p>
        </w:tc>
        <w:tc>
          <w:tcPr>
            <w:tcW w:w="1676" w:type="dxa"/>
            <w:tcBorders>
              <w:left w:val="single" w:color="auto" w:sz="4" w:space="0"/>
              <w:tl2br w:val="nil"/>
              <w:tr2bl w:val="nil"/>
            </w:tcBorders>
            <w:shd w:val="clear" w:color="auto" w:fill="FFFFFF"/>
            <w:noWrap/>
            <w:vAlign w:val="center"/>
          </w:tcPr>
          <w:p w14:paraId="7A0F4A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2#离群值</w:t>
            </w:r>
          </w:p>
        </w:tc>
      </w:tr>
    </w:tbl>
    <w:p w14:paraId="52337C4D">
      <w:pPr>
        <w:pStyle w:val="4"/>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both"/>
        <w:textAlignment w:val="auto"/>
        <w:rPr>
          <w:rFonts w:hint="default" w:ascii="黑体" w:hAnsi="黑体" w:eastAsia="黑体" w:cs="黑体"/>
          <w:b w:val="0"/>
          <w:bCs w:val="0"/>
          <w:lang w:val="en-US" w:eastAsia="zh-CN"/>
        </w:rPr>
      </w:pPr>
      <w:r>
        <w:rPr>
          <w:rFonts w:hint="eastAsia" w:ascii="宋体" w:hAnsi="宋体" w:eastAsia="宋体" w:cs="宋体"/>
          <w:sz w:val="21"/>
          <w:szCs w:val="21"/>
          <w:highlight w:val="none"/>
          <w:lang w:val="en-US" w:eastAsia="zh-CN"/>
        </w:rPr>
        <w:t>由表20统计结果可知，水平4和水平5样品中5#实验室的测试结果为离群值，技术判断，水平4和水平5为合成样，且2#实验室实际测试结果精密度满足方法要求，数据保留，不进行剔除。</w:t>
      </w:r>
    </w:p>
    <w:p w14:paraId="7A385235">
      <w:pPr>
        <w:pStyle w:val="4"/>
        <w:keepNext w:val="0"/>
        <w:keepLines w:val="0"/>
        <w:pageBreakBefore w:val="0"/>
        <w:widowControl w:val="0"/>
        <w:numPr>
          <w:ilvl w:val="0"/>
          <w:numId w:val="0"/>
        </w:numPr>
        <w:kinsoku/>
        <w:wordWrap/>
        <w:overflowPunct/>
        <w:topLinePunct w:val="0"/>
        <w:autoSpaceDE/>
        <w:autoSpaceDN/>
        <w:bidi w:val="0"/>
        <w:adjustRightInd/>
        <w:snapToGrid/>
        <w:ind w:firstLine="420" w:firstLineChars="200"/>
        <w:jc w:val="both"/>
        <w:textAlignment w:val="auto"/>
        <w:outlineLvl w:val="3"/>
        <w:rPr>
          <w:rFonts w:hint="default"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2.1.2实验室间格拉布斯检验</w:t>
      </w:r>
    </w:p>
    <w:p w14:paraId="7B6B64BF">
      <w:pPr>
        <w:pStyle w:val="4"/>
        <w:numPr>
          <w:ilvl w:val="0"/>
          <w:numId w:val="0"/>
        </w:numPr>
        <w:ind w:firstLine="420"/>
        <w:jc w:val="both"/>
        <w:rPr>
          <w:rFonts w:hint="eastAsia" w:ascii="宋体" w:hAnsi="宋体" w:eastAsia="宋体" w:cs="宋体"/>
          <w:kern w:val="2"/>
          <w:sz w:val="21"/>
          <w:szCs w:val="21"/>
          <w:lang w:val="en-US" w:eastAsia="zh-CN" w:bidi="ar-SA"/>
        </w:rPr>
      </w:pPr>
      <w:r>
        <w:rPr>
          <w:rFonts w:hint="eastAsia" w:ascii="宋体" w:hAnsi="宋体" w:eastAsia="宋体" w:cs="宋体"/>
          <w:b w:val="0"/>
          <w:bCs w:val="0"/>
          <w:kern w:val="0"/>
          <w:sz w:val="21"/>
          <w:szCs w:val="21"/>
          <w:lang w:val="en-US" w:eastAsia="zh-CN"/>
        </w:rPr>
        <w:t>对各家实验室共计5个水平铜及铜合金中铅含量的重复性检测数据分别计算其单元内平均值，对进行格拉布斯检验，结果见表21-1。</w:t>
      </w:r>
    </w:p>
    <w:p w14:paraId="085D266A">
      <w:pPr>
        <w:keepNext w:val="0"/>
        <w:keepLines w:val="0"/>
        <w:pageBreakBefore w:val="0"/>
        <w:widowControl w:val="0"/>
        <w:kinsoku/>
        <w:wordWrap/>
        <w:overflowPunct/>
        <w:topLinePunct w:val="0"/>
        <w:autoSpaceDE/>
        <w:autoSpaceDN/>
        <w:bidi w:val="0"/>
        <w:adjustRightInd/>
        <w:snapToGrid/>
        <w:spacing w:line="240" w:lineRule="auto"/>
        <w:ind w:firstLine="481"/>
        <w:jc w:val="center"/>
        <w:textAlignment w:val="auto"/>
        <w:rPr>
          <w:rFonts w:hint="eastAsia" w:ascii="宋体" w:hAnsi="宋体" w:eastAsia="宋体" w:cs="宋体"/>
          <w:kern w:val="2"/>
          <w:sz w:val="21"/>
          <w:szCs w:val="21"/>
          <w:lang w:val="en-US" w:eastAsia="zh-CN" w:bidi="ar-SA"/>
        </w:rPr>
      </w:pPr>
      <w:r>
        <w:rPr>
          <w:rFonts w:hint="eastAsia" w:ascii="黑体" w:hAnsi="黑体" w:eastAsia="黑体" w:cs="黑体"/>
          <w:kern w:val="2"/>
          <w:sz w:val="21"/>
          <w:szCs w:val="21"/>
          <w:lang w:val="en-US" w:eastAsia="zh-CN" w:bidi="ar-SA"/>
        </w:rPr>
        <w:t>表21-1  格拉布斯检验（第一次）</w:t>
      </w:r>
    </w:p>
    <w:tbl>
      <w:tblPr>
        <w:tblStyle w:val="13"/>
        <w:tblW w:w="8562"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6"/>
        <w:gridCol w:w="1425"/>
        <w:gridCol w:w="1425"/>
        <w:gridCol w:w="1425"/>
        <w:gridCol w:w="1425"/>
        <w:gridCol w:w="1426"/>
      </w:tblGrid>
      <w:tr w14:paraId="6C909B6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vMerge w:val="restart"/>
            <w:tcBorders>
              <w:bottom w:val="single" w:color="000000" w:sz="4" w:space="0"/>
              <w:right w:val="single" w:color="000000" w:sz="4" w:space="0"/>
              <w:tl2br w:val="nil"/>
            </w:tcBorders>
            <w:shd w:val="clear" w:color="auto" w:fill="FFFFFF"/>
            <w:noWrap/>
            <w:vAlign w:val="center"/>
          </w:tcPr>
          <w:p w14:paraId="1D83ECF2">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实验室i</w:t>
            </w:r>
          </w:p>
        </w:tc>
        <w:tc>
          <w:tcPr>
            <w:tcW w:w="7126" w:type="dxa"/>
            <w:gridSpan w:val="5"/>
            <w:tcBorders>
              <w:left w:val="single" w:color="000000" w:sz="4" w:space="0"/>
              <w:bottom w:val="single" w:color="000000" w:sz="4" w:space="0"/>
            </w:tcBorders>
            <w:shd w:val="clear" w:color="auto" w:fill="FFFFFF"/>
            <w:noWrap/>
            <w:vAlign w:val="center"/>
          </w:tcPr>
          <w:p w14:paraId="0E440B0F">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水平j</w:t>
            </w:r>
          </w:p>
        </w:tc>
      </w:tr>
      <w:tr w14:paraId="5523E23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vMerge w:val="continue"/>
            <w:tcBorders>
              <w:top w:val="single" w:color="000000" w:sz="4" w:space="0"/>
              <w:bottom w:val="single" w:color="000000" w:sz="4" w:space="0"/>
              <w:right w:val="single" w:color="auto" w:sz="4" w:space="0"/>
            </w:tcBorders>
            <w:shd w:val="clear" w:color="auto" w:fill="FFFFFF"/>
            <w:noWrap/>
            <w:vAlign w:val="center"/>
          </w:tcPr>
          <w:p w14:paraId="1C608D49">
            <w:pPr>
              <w:jc w:val="center"/>
              <w:rPr>
                <w:rFonts w:hint="eastAsia" w:ascii="宋体" w:hAnsi="宋体" w:eastAsia="宋体" w:cs="宋体"/>
                <w:b w:val="0"/>
                <w:color w:val="000000"/>
                <w:sz w:val="21"/>
                <w:szCs w:val="21"/>
                <w:lang w:val="en-US" w:eastAsia="zh-CN"/>
              </w:rPr>
            </w:pPr>
          </w:p>
        </w:tc>
        <w:tc>
          <w:tcPr>
            <w:tcW w:w="1425" w:type="dxa"/>
            <w:tcBorders>
              <w:top w:val="single" w:color="auto" w:sz="4" w:space="0"/>
              <w:left w:val="single" w:color="auto" w:sz="4" w:space="0"/>
              <w:bottom w:val="single" w:color="000000" w:sz="4" w:space="0"/>
              <w:right w:val="single" w:color="000000" w:sz="4" w:space="0"/>
            </w:tcBorders>
            <w:shd w:val="clear" w:color="auto" w:fill="FFFFFF"/>
            <w:noWrap/>
            <w:vAlign w:val="center"/>
          </w:tcPr>
          <w:p w14:paraId="7109E8A5">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1</w:t>
            </w:r>
          </w:p>
        </w:tc>
        <w:tc>
          <w:tcPr>
            <w:tcW w:w="1425"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5A52B987">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2</w:t>
            </w:r>
          </w:p>
        </w:tc>
        <w:tc>
          <w:tcPr>
            <w:tcW w:w="1425"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5250313E">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3</w:t>
            </w:r>
          </w:p>
        </w:tc>
        <w:tc>
          <w:tcPr>
            <w:tcW w:w="1425" w:type="dxa"/>
            <w:tcBorders>
              <w:top w:val="single" w:color="auto" w:sz="4" w:space="0"/>
              <w:left w:val="single" w:color="000000" w:sz="4" w:space="0"/>
              <w:bottom w:val="single" w:color="000000" w:sz="4" w:space="0"/>
              <w:right w:val="single" w:color="auto" w:sz="4" w:space="0"/>
            </w:tcBorders>
            <w:shd w:val="clear" w:color="auto" w:fill="FFFFFF"/>
            <w:noWrap/>
            <w:vAlign w:val="center"/>
          </w:tcPr>
          <w:p w14:paraId="3CDDED2F">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4</w:t>
            </w:r>
          </w:p>
        </w:tc>
        <w:tc>
          <w:tcPr>
            <w:tcW w:w="1426" w:type="dxa"/>
            <w:tcBorders>
              <w:top w:val="single" w:color="000000" w:sz="4" w:space="0"/>
              <w:left w:val="single" w:color="auto" w:sz="4" w:space="0"/>
              <w:bottom w:val="single" w:color="000000" w:sz="4" w:space="0"/>
            </w:tcBorders>
            <w:shd w:val="clear" w:color="auto" w:fill="FFFFFF"/>
            <w:noWrap/>
            <w:vAlign w:val="center"/>
          </w:tcPr>
          <w:p w14:paraId="4418FC48">
            <w:pPr>
              <w:jc w:val="center"/>
              <w:rPr>
                <w:rFonts w:hint="default"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5</w:t>
            </w:r>
          </w:p>
        </w:tc>
      </w:tr>
      <w:tr w14:paraId="23B4623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778FD19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30DE38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6.1249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B0BA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8.8419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9706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17.5744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83B535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24.9561 </w:t>
            </w:r>
          </w:p>
        </w:tc>
        <w:tc>
          <w:tcPr>
            <w:tcW w:w="1426" w:type="dxa"/>
            <w:tcBorders>
              <w:top w:val="single" w:color="000000" w:sz="4" w:space="0"/>
              <w:left w:val="single" w:color="auto" w:sz="4" w:space="0"/>
              <w:bottom w:val="single" w:color="000000" w:sz="4" w:space="0"/>
            </w:tcBorders>
            <w:shd w:val="clear" w:color="auto" w:fill="FFFFFF"/>
            <w:noWrap/>
            <w:vAlign w:val="center"/>
          </w:tcPr>
          <w:p w14:paraId="1E5BC1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31.9730 </w:t>
            </w:r>
          </w:p>
        </w:tc>
      </w:tr>
      <w:tr w14:paraId="1AE7443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398FE608">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2</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A9B566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6.1410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49A1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8.8566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7EC4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17.5910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A50196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25.0680 </w:t>
            </w:r>
          </w:p>
        </w:tc>
        <w:tc>
          <w:tcPr>
            <w:tcW w:w="1426" w:type="dxa"/>
            <w:tcBorders>
              <w:top w:val="single" w:color="000000" w:sz="4" w:space="0"/>
              <w:left w:val="single" w:color="auto" w:sz="4" w:space="0"/>
              <w:bottom w:val="single" w:color="000000" w:sz="4" w:space="0"/>
            </w:tcBorders>
            <w:shd w:val="clear" w:color="auto" w:fill="FFFFFF"/>
            <w:noWrap/>
            <w:vAlign w:val="center"/>
          </w:tcPr>
          <w:p w14:paraId="6BC80C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32.0324 </w:t>
            </w:r>
          </w:p>
        </w:tc>
      </w:tr>
      <w:tr w14:paraId="195BE8E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522936D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3</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215AF3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6.1177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085D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8.8534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D4B9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17.5896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013EF33">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24.9383 </w:t>
            </w:r>
          </w:p>
        </w:tc>
        <w:tc>
          <w:tcPr>
            <w:tcW w:w="1426" w:type="dxa"/>
            <w:tcBorders>
              <w:top w:val="single" w:color="000000" w:sz="4" w:space="0"/>
              <w:left w:val="single" w:color="auto" w:sz="4" w:space="0"/>
              <w:bottom w:val="single" w:color="000000" w:sz="4" w:space="0"/>
            </w:tcBorders>
            <w:shd w:val="clear" w:color="auto" w:fill="FFFFFF"/>
            <w:noWrap/>
            <w:vAlign w:val="center"/>
          </w:tcPr>
          <w:p w14:paraId="0F908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31.9736 </w:t>
            </w:r>
          </w:p>
        </w:tc>
      </w:tr>
      <w:tr w14:paraId="389EB9A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6C85E2A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4</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CE3BF0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6.1843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FC4E3">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8.8371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9BB6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17.5957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D696A5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24.9914 </w:t>
            </w:r>
          </w:p>
        </w:tc>
        <w:tc>
          <w:tcPr>
            <w:tcW w:w="1426" w:type="dxa"/>
            <w:tcBorders>
              <w:top w:val="single" w:color="000000" w:sz="4" w:space="0"/>
              <w:left w:val="single" w:color="auto" w:sz="4" w:space="0"/>
              <w:bottom w:val="single" w:color="000000" w:sz="4" w:space="0"/>
            </w:tcBorders>
            <w:shd w:val="clear" w:color="auto" w:fill="FFFFFF"/>
            <w:noWrap/>
            <w:vAlign w:val="center"/>
          </w:tcPr>
          <w:p w14:paraId="31ECCC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31.9700 </w:t>
            </w:r>
          </w:p>
        </w:tc>
      </w:tr>
      <w:tr w14:paraId="7699C49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0B2EE56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5</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C00A5D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6.1387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2126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8.8407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6923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17.5063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5DFEA0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24.9403 </w:t>
            </w:r>
          </w:p>
        </w:tc>
        <w:tc>
          <w:tcPr>
            <w:tcW w:w="1426" w:type="dxa"/>
            <w:tcBorders>
              <w:top w:val="single" w:color="000000" w:sz="4" w:space="0"/>
              <w:left w:val="single" w:color="auto" w:sz="4" w:space="0"/>
              <w:bottom w:val="single" w:color="000000" w:sz="4" w:space="0"/>
            </w:tcBorders>
            <w:shd w:val="clear" w:color="auto" w:fill="FFFFFF"/>
            <w:noWrap/>
            <w:vAlign w:val="center"/>
          </w:tcPr>
          <w:p w14:paraId="251598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32.0219 </w:t>
            </w:r>
          </w:p>
        </w:tc>
      </w:tr>
      <w:tr w14:paraId="0AC9A15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0368E62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F510BD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6.1151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27A5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8.8461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113E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17.5471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E2AB7C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24.9484 </w:t>
            </w:r>
          </w:p>
        </w:tc>
        <w:tc>
          <w:tcPr>
            <w:tcW w:w="1426" w:type="dxa"/>
            <w:tcBorders>
              <w:top w:val="single" w:color="000000" w:sz="4" w:space="0"/>
              <w:left w:val="single" w:color="auto" w:sz="4" w:space="0"/>
              <w:bottom w:val="single" w:color="000000" w:sz="4" w:space="0"/>
            </w:tcBorders>
            <w:shd w:val="clear" w:color="auto" w:fill="FFFFFF"/>
            <w:noWrap/>
            <w:vAlign w:val="center"/>
          </w:tcPr>
          <w:p w14:paraId="57F98B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31.9609 </w:t>
            </w:r>
          </w:p>
        </w:tc>
      </w:tr>
      <w:tr w14:paraId="3DA032E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36F94D0C">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7</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822638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6.1283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FDB2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8.8584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4493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17.5920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A527DB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24.9566 </w:t>
            </w:r>
          </w:p>
        </w:tc>
        <w:tc>
          <w:tcPr>
            <w:tcW w:w="1426" w:type="dxa"/>
            <w:tcBorders>
              <w:top w:val="single" w:color="000000" w:sz="4" w:space="0"/>
              <w:left w:val="single" w:color="auto" w:sz="4" w:space="0"/>
              <w:bottom w:val="single" w:color="000000" w:sz="4" w:space="0"/>
            </w:tcBorders>
            <w:shd w:val="clear" w:color="auto" w:fill="FFFFFF"/>
            <w:noWrap/>
            <w:vAlign w:val="center"/>
          </w:tcPr>
          <w:p w14:paraId="6B467F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31.9756 </w:t>
            </w:r>
          </w:p>
        </w:tc>
      </w:tr>
      <w:tr w14:paraId="59CCAFA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03534AF6">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8</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27A6FC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6.1331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92BB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8.8456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9859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17.5720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FB06C6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24.9481 </w:t>
            </w:r>
          </w:p>
        </w:tc>
        <w:tc>
          <w:tcPr>
            <w:tcW w:w="1426" w:type="dxa"/>
            <w:tcBorders>
              <w:top w:val="single" w:color="000000" w:sz="4" w:space="0"/>
              <w:left w:val="single" w:color="auto" w:sz="4" w:space="0"/>
              <w:bottom w:val="single" w:color="000000" w:sz="4" w:space="0"/>
            </w:tcBorders>
            <w:shd w:val="clear" w:color="auto" w:fill="FFFFFF"/>
            <w:noWrap/>
            <w:vAlign w:val="center"/>
          </w:tcPr>
          <w:p w14:paraId="10AB7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31.9681 </w:t>
            </w:r>
          </w:p>
        </w:tc>
      </w:tr>
      <w:tr w14:paraId="5CC7600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722B3213">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9</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3D537E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6.1529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401D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8.8200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229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17.5629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5B7689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24.9529 </w:t>
            </w:r>
          </w:p>
        </w:tc>
        <w:tc>
          <w:tcPr>
            <w:tcW w:w="1426" w:type="dxa"/>
            <w:tcBorders>
              <w:top w:val="single" w:color="000000" w:sz="4" w:space="0"/>
              <w:left w:val="single" w:color="auto" w:sz="4" w:space="0"/>
              <w:bottom w:val="single" w:color="000000" w:sz="4" w:space="0"/>
            </w:tcBorders>
            <w:shd w:val="clear" w:color="auto" w:fill="FFFFFF"/>
            <w:noWrap/>
            <w:vAlign w:val="center"/>
          </w:tcPr>
          <w:p w14:paraId="2A1259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31.9529 </w:t>
            </w:r>
          </w:p>
        </w:tc>
      </w:tr>
      <w:tr w14:paraId="5FFFCBD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703645C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10</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B6E176E">
            <w:pPr>
              <w:keepNext w:val="0"/>
              <w:keepLines w:val="0"/>
              <w:widowControl/>
              <w:suppressLineNumbers w:val="0"/>
              <w:jc w:val="center"/>
              <w:textAlignment w:val="center"/>
              <w:rPr>
                <w:rFonts w:hint="default"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6.2574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D26E4">
            <w:pPr>
              <w:keepNext w:val="0"/>
              <w:keepLines w:val="0"/>
              <w:widowControl/>
              <w:suppressLineNumbers w:val="0"/>
              <w:jc w:val="center"/>
              <w:textAlignment w:val="center"/>
              <w:rPr>
                <w:rFonts w:hint="default"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8.8011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25EB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17.6786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D81C0B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25.0083 </w:t>
            </w:r>
          </w:p>
        </w:tc>
        <w:tc>
          <w:tcPr>
            <w:tcW w:w="1426" w:type="dxa"/>
            <w:tcBorders>
              <w:top w:val="single" w:color="000000" w:sz="4" w:space="0"/>
              <w:left w:val="single" w:color="auto" w:sz="4" w:space="0"/>
              <w:bottom w:val="single" w:color="000000" w:sz="4" w:space="0"/>
            </w:tcBorders>
            <w:shd w:val="clear" w:color="auto" w:fill="FFFFFF"/>
            <w:noWrap/>
            <w:vAlign w:val="center"/>
          </w:tcPr>
          <w:p w14:paraId="3E6E2F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32.0644 </w:t>
            </w:r>
          </w:p>
        </w:tc>
      </w:tr>
      <w:tr w14:paraId="71D66BE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60BA312F">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11</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587FA2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6.1441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ABC7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8.8006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81C0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17.5936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6E34F9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24.9674 </w:t>
            </w:r>
          </w:p>
        </w:tc>
        <w:tc>
          <w:tcPr>
            <w:tcW w:w="1426" w:type="dxa"/>
            <w:tcBorders>
              <w:top w:val="single" w:color="000000" w:sz="4" w:space="0"/>
              <w:left w:val="single" w:color="auto" w:sz="4" w:space="0"/>
              <w:bottom w:val="single" w:color="000000" w:sz="4" w:space="0"/>
            </w:tcBorders>
            <w:shd w:val="clear" w:color="auto" w:fill="FFFFFF"/>
            <w:noWrap/>
            <w:vAlign w:val="center"/>
          </w:tcPr>
          <w:p w14:paraId="4A52E8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31.9776 </w:t>
            </w:r>
          </w:p>
        </w:tc>
      </w:tr>
      <w:tr w14:paraId="68A268E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130BEF9E">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总平均值，%</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42B276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6.1489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1EBF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8.8365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A5A9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17.5821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A011DB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24.9705 </w:t>
            </w:r>
          </w:p>
        </w:tc>
        <w:tc>
          <w:tcPr>
            <w:tcW w:w="1426" w:type="dxa"/>
            <w:tcBorders>
              <w:top w:val="single" w:color="000000" w:sz="4" w:space="0"/>
              <w:left w:val="single" w:color="auto" w:sz="4" w:space="0"/>
              <w:bottom w:val="single" w:color="000000" w:sz="4" w:space="0"/>
            </w:tcBorders>
            <w:shd w:val="clear" w:color="auto" w:fill="FFFFFF"/>
            <w:noWrap/>
            <w:vAlign w:val="center"/>
          </w:tcPr>
          <w:p w14:paraId="2282A7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31.9882 </w:t>
            </w:r>
          </w:p>
        </w:tc>
      </w:tr>
      <w:tr w14:paraId="1422AD2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7CB0901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高端G值</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06940D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2.663287249</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8168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1.067901424</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AED7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2.315840069</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FF2EE8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2.514851733</w:t>
            </w:r>
          </w:p>
        </w:tc>
        <w:tc>
          <w:tcPr>
            <w:tcW w:w="1426" w:type="dxa"/>
            <w:tcBorders>
              <w:top w:val="single" w:color="000000" w:sz="4" w:space="0"/>
              <w:left w:val="single" w:color="auto" w:sz="4" w:space="0"/>
              <w:bottom w:val="single" w:color="000000" w:sz="4" w:space="0"/>
            </w:tcBorders>
            <w:shd w:val="clear" w:color="auto" w:fill="FFFFFF"/>
            <w:noWrap/>
            <w:vAlign w:val="center"/>
          </w:tcPr>
          <w:p w14:paraId="5F22CD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2.169389733</w:t>
            </w:r>
          </w:p>
        </w:tc>
      </w:tr>
      <w:tr w14:paraId="705B2D1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318AC15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低端G值</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963C2D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0.829669208</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2608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1.750578133</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FAA4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1.819074376</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A08119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0.830545906</w:t>
            </w:r>
          </w:p>
        </w:tc>
        <w:tc>
          <w:tcPr>
            <w:tcW w:w="1426" w:type="dxa"/>
            <w:tcBorders>
              <w:top w:val="single" w:color="000000" w:sz="4" w:space="0"/>
              <w:left w:val="single" w:color="auto" w:sz="4" w:space="0"/>
              <w:bottom w:val="single" w:color="000000" w:sz="4" w:space="0"/>
            </w:tcBorders>
            <w:shd w:val="clear" w:color="auto" w:fill="FFFFFF"/>
            <w:noWrap/>
            <w:vAlign w:val="center"/>
          </w:tcPr>
          <w:p w14:paraId="6EB37F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1.004979758</w:t>
            </w:r>
          </w:p>
        </w:tc>
      </w:tr>
      <w:tr w14:paraId="3C0901F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vAlign w:val="center"/>
          </w:tcPr>
          <w:p w14:paraId="33D3CAA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临界值（0.05）</w:t>
            </w:r>
          </w:p>
        </w:tc>
        <w:tc>
          <w:tcPr>
            <w:tcW w:w="1425"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265090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C0C0C"/>
                <w:kern w:val="0"/>
                <w:sz w:val="18"/>
                <w:szCs w:val="18"/>
                <w:u w:val="none"/>
                <w:lang w:val="en-US" w:eastAsia="zh-CN" w:bidi="ar"/>
              </w:rPr>
              <w:t xml:space="preserve">2.355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6F39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C0C0C"/>
                <w:kern w:val="0"/>
                <w:sz w:val="18"/>
                <w:szCs w:val="18"/>
                <w:u w:val="none"/>
                <w:lang w:val="en-US" w:eastAsia="zh-CN" w:bidi="ar"/>
              </w:rPr>
              <w:t xml:space="preserve">2.355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E4C1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C0C0C"/>
                <w:kern w:val="0"/>
                <w:sz w:val="18"/>
                <w:szCs w:val="18"/>
                <w:u w:val="none"/>
                <w:lang w:val="en-US" w:eastAsia="zh-CN" w:bidi="ar"/>
              </w:rPr>
              <w:t xml:space="preserve">2.355 </w:t>
            </w:r>
          </w:p>
        </w:tc>
        <w:tc>
          <w:tcPr>
            <w:tcW w:w="142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1AD7EC6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C0C0C"/>
                <w:kern w:val="0"/>
                <w:sz w:val="18"/>
                <w:szCs w:val="18"/>
                <w:u w:val="none"/>
                <w:lang w:val="en-US" w:eastAsia="zh-CN" w:bidi="ar"/>
              </w:rPr>
              <w:t xml:space="preserve">2.355 </w:t>
            </w:r>
          </w:p>
        </w:tc>
        <w:tc>
          <w:tcPr>
            <w:tcW w:w="1426" w:type="dxa"/>
            <w:tcBorders>
              <w:top w:val="single" w:color="000000" w:sz="4" w:space="0"/>
              <w:left w:val="single" w:color="auto" w:sz="4" w:space="0"/>
              <w:bottom w:val="single" w:color="000000" w:sz="4" w:space="0"/>
            </w:tcBorders>
            <w:shd w:val="clear" w:color="auto" w:fill="FFFFFF"/>
            <w:vAlign w:val="center"/>
          </w:tcPr>
          <w:p w14:paraId="6A972327">
            <w:pPr>
              <w:keepNext w:val="0"/>
              <w:keepLines w:val="0"/>
              <w:widowControl/>
              <w:suppressLineNumbers w:val="0"/>
              <w:jc w:val="center"/>
              <w:textAlignment w:val="center"/>
              <w:rPr>
                <w:rFonts w:hint="eastAsia" w:ascii="宋体" w:hAnsi="宋体" w:eastAsia="宋体" w:cs="宋体"/>
                <w:i w:val="0"/>
                <w:iCs w:val="0"/>
                <w:color w:val="0C0C0C"/>
                <w:kern w:val="0"/>
                <w:sz w:val="18"/>
                <w:szCs w:val="18"/>
                <w:u w:val="none"/>
                <w:lang w:val="en-US" w:eastAsia="zh-CN" w:bidi="ar"/>
              </w:rPr>
            </w:pPr>
            <w:r>
              <w:rPr>
                <w:rFonts w:hint="eastAsia" w:ascii="宋体" w:hAnsi="宋体" w:eastAsia="宋体" w:cs="宋体"/>
                <w:i w:val="0"/>
                <w:iCs w:val="0"/>
                <w:color w:val="0C0C0C"/>
                <w:kern w:val="0"/>
                <w:sz w:val="18"/>
                <w:szCs w:val="18"/>
                <w:u w:val="none"/>
                <w:lang w:val="en-US" w:eastAsia="zh-CN" w:bidi="ar"/>
              </w:rPr>
              <w:t xml:space="preserve">2.355 </w:t>
            </w:r>
          </w:p>
        </w:tc>
      </w:tr>
      <w:tr w14:paraId="14A48BC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vAlign w:val="center"/>
          </w:tcPr>
          <w:p w14:paraId="3DB32D7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临界值（0.01）</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BC88A7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2.564</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B828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2.564</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98C1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2.564</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10DFE2C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2.564</w:t>
            </w:r>
          </w:p>
        </w:tc>
        <w:tc>
          <w:tcPr>
            <w:tcW w:w="1426" w:type="dxa"/>
            <w:tcBorders>
              <w:top w:val="single" w:color="000000" w:sz="4" w:space="0"/>
              <w:left w:val="single" w:color="auto" w:sz="4" w:space="0"/>
              <w:bottom w:val="single" w:color="000000" w:sz="4" w:space="0"/>
            </w:tcBorders>
            <w:shd w:val="clear" w:color="auto" w:fill="FFFFFF"/>
            <w:noWrap/>
            <w:vAlign w:val="center"/>
          </w:tcPr>
          <w:p w14:paraId="660695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2.564</w:t>
            </w:r>
          </w:p>
        </w:tc>
      </w:tr>
      <w:tr w14:paraId="64D0B67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07FAEBD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高端检验结果</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BEFF2D7">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10#离群值</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836EF">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不离群</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A05ED">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不离群</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D814A9B">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2#歧离值</w:t>
            </w:r>
          </w:p>
        </w:tc>
        <w:tc>
          <w:tcPr>
            <w:tcW w:w="1426" w:type="dxa"/>
            <w:tcBorders>
              <w:top w:val="single" w:color="000000" w:sz="4" w:space="0"/>
              <w:left w:val="single" w:color="auto" w:sz="4" w:space="0"/>
              <w:bottom w:val="single" w:color="000000" w:sz="4" w:space="0"/>
            </w:tcBorders>
            <w:shd w:val="clear" w:color="auto" w:fill="FFFFFF"/>
            <w:noWrap/>
            <w:vAlign w:val="center"/>
          </w:tcPr>
          <w:p w14:paraId="53CDADAA">
            <w:pPr>
              <w:keepNext w:val="0"/>
              <w:keepLines w:val="0"/>
              <w:widowControl/>
              <w:suppressLineNumbers w:val="0"/>
              <w:jc w:val="center"/>
              <w:textAlignment w:val="center"/>
              <w:rPr>
                <w:rFonts w:hint="eastAsia" w:ascii="宋体" w:hAnsi="宋体" w:eastAsia="宋体" w:cs="宋体"/>
                <w:i w:val="0"/>
                <w:iCs w:val="0"/>
                <w:color w:val="9C0006"/>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不离群</w:t>
            </w:r>
          </w:p>
        </w:tc>
      </w:tr>
      <w:tr w14:paraId="7A48C4B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right w:val="single" w:color="auto" w:sz="4" w:space="0"/>
            </w:tcBorders>
            <w:shd w:val="clear" w:color="auto" w:fill="FFFFFF"/>
            <w:noWrap/>
            <w:vAlign w:val="center"/>
          </w:tcPr>
          <w:p w14:paraId="1EF7699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低端检验结果</w:t>
            </w:r>
          </w:p>
        </w:tc>
        <w:tc>
          <w:tcPr>
            <w:tcW w:w="1425" w:type="dxa"/>
            <w:tcBorders>
              <w:top w:val="single" w:color="000000" w:sz="4" w:space="0"/>
              <w:left w:val="single" w:color="auto" w:sz="4" w:space="0"/>
              <w:right w:val="single" w:color="000000" w:sz="4" w:space="0"/>
            </w:tcBorders>
            <w:shd w:val="clear" w:color="auto" w:fill="FFFFFF"/>
            <w:noWrap/>
            <w:vAlign w:val="center"/>
          </w:tcPr>
          <w:p w14:paraId="34385CD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不离群</w:t>
            </w:r>
          </w:p>
        </w:tc>
        <w:tc>
          <w:tcPr>
            <w:tcW w:w="1425" w:type="dxa"/>
            <w:tcBorders>
              <w:top w:val="single" w:color="000000" w:sz="4" w:space="0"/>
              <w:left w:val="single" w:color="000000" w:sz="4" w:space="0"/>
              <w:right w:val="single" w:color="000000" w:sz="4" w:space="0"/>
            </w:tcBorders>
            <w:shd w:val="clear" w:color="auto" w:fill="FFFFFF"/>
            <w:noWrap/>
            <w:vAlign w:val="center"/>
          </w:tcPr>
          <w:p w14:paraId="018D190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不离群</w:t>
            </w:r>
          </w:p>
        </w:tc>
        <w:tc>
          <w:tcPr>
            <w:tcW w:w="1425" w:type="dxa"/>
            <w:tcBorders>
              <w:top w:val="single" w:color="000000" w:sz="4" w:space="0"/>
              <w:left w:val="single" w:color="000000" w:sz="4" w:space="0"/>
              <w:right w:val="single" w:color="000000" w:sz="4" w:space="0"/>
            </w:tcBorders>
            <w:shd w:val="clear" w:color="auto" w:fill="FFFFFF"/>
            <w:noWrap/>
            <w:vAlign w:val="center"/>
          </w:tcPr>
          <w:p w14:paraId="259D307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不离群</w:t>
            </w:r>
          </w:p>
        </w:tc>
        <w:tc>
          <w:tcPr>
            <w:tcW w:w="1425" w:type="dxa"/>
            <w:tcBorders>
              <w:top w:val="single" w:color="000000" w:sz="4" w:space="0"/>
              <w:left w:val="single" w:color="000000" w:sz="4" w:space="0"/>
              <w:right w:val="single" w:color="auto" w:sz="4" w:space="0"/>
            </w:tcBorders>
            <w:shd w:val="clear" w:color="auto" w:fill="FFFFFF"/>
            <w:noWrap/>
            <w:vAlign w:val="center"/>
          </w:tcPr>
          <w:p w14:paraId="09409D2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不离群</w:t>
            </w:r>
          </w:p>
        </w:tc>
        <w:tc>
          <w:tcPr>
            <w:tcW w:w="1426" w:type="dxa"/>
            <w:tcBorders>
              <w:top w:val="single" w:color="000000" w:sz="4" w:space="0"/>
              <w:left w:val="single" w:color="auto" w:sz="4" w:space="0"/>
            </w:tcBorders>
            <w:shd w:val="clear" w:color="auto" w:fill="FFFFFF"/>
            <w:noWrap/>
            <w:vAlign w:val="center"/>
          </w:tcPr>
          <w:p w14:paraId="067E32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不离群</w:t>
            </w:r>
          </w:p>
        </w:tc>
      </w:tr>
    </w:tbl>
    <w:p w14:paraId="1C79B4EF">
      <w:pPr>
        <w:rPr>
          <w:rFonts w:hint="eastAsia" w:ascii="宋体" w:hAnsi="宋体" w:eastAsia="宋体" w:cs="宋体"/>
          <w:sz w:val="21"/>
          <w:szCs w:val="21"/>
          <w:highlight w:val="none"/>
          <w:lang w:val="en-US" w:eastAsia="zh-CN"/>
        </w:rPr>
      </w:pPr>
    </w:p>
    <w:p w14:paraId="2BA585A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highlight w:val="none"/>
          <w:lang w:val="en-US" w:eastAsia="zh-CN"/>
        </w:rPr>
        <w:t>由表21-1统计结果可知，水平4样品中2#实验室的测试结果为歧离值，经过对数据进行技术判断，予以保留。水平1样品中10号实验室的测试结果为离群值，按照GB/T 6379.2-2004的要求应剔除，剔除后对其余10家实验室结果再做格拉布斯（</w:t>
      </w:r>
      <w:r>
        <w:rPr>
          <w:rFonts w:hint="eastAsia" w:ascii="宋体" w:hAnsi="宋体" w:eastAsia="宋体" w:cs="宋体"/>
          <w:i/>
          <w:iCs/>
          <w:sz w:val="21"/>
          <w:szCs w:val="21"/>
          <w:highlight w:val="none"/>
          <w:lang w:val="en-US" w:eastAsia="zh-CN"/>
        </w:rPr>
        <w:t>Grubbs</w:t>
      </w:r>
      <w:r>
        <w:rPr>
          <w:rFonts w:hint="eastAsia" w:ascii="宋体" w:hAnsi="宋体" w:eastAsia="宋体" w:cs="宋体"/>
          <w:sz w:val="21"/>
          <w:szCs w:val="21"/>
          <w:highlight w:val="none"/>
          <w:lang w:val="en-US" w:eastAsia="zh-CN"/>
        </w:rPr>
        <w:t>）检验，结果见表21-2。</w:t>
      </w:r>
    </w:p>
    <w:p w14:paraId="3B71A448">
      <w:pPr>
        <w:keepNext w:val="0"/>
        <w:keepLines w:val="0"/>
        <w:pageBreakBefore w:val="0"/>
        <w:widowControl w:val="0"/>
        <w:kinsoku/>
        <w:wordWrap/>
        <w:overflowPunct/>
        <w:topLinePunct w:val="0"/>
        <w:autoSpaceDE/>
        <w:autoSpaceDN/>
        <w:bidi w:val="0"/>
        <w:adjustRightInd/>
        <w:snapToGrid/>
        <w:spacing w:line="240" w:lineRule="auto"/>
        <w:ind w:firstLine="481"/>
        <w:jc w:val="center"/>
        <w:textAlignment w:val="auto"/>
        <w:rPr>
          <w:rFonts w:hint="eastAsia" w:ascii="宋体" w:hAnsi="宋体" w:eastAsia="宋体" w:cs="宋体"/>
          <w:kern w:val="2"/>
          <w:sz w:val="21"/>
          <w:szCs w:val="21"/>
          <w:lang w:val="en-US" w:eastAsia="zh-CN" w:bidi="ar-SA"/>
        </w:rPr>
      </w:pPr>
      <w:r>
        <w:rPr>
          <w:rFonts w:hint="eastAsia" w:ascii="黑体" w:hAnsi="黑体" w:eastAsia="黑体" w:cs="黑体"/>
          <w:kern w:val="2"/>
          <w:sz w:val="21"/>
          <w:szCs w:val="21"/>
          <w:lang w:val="en-US" w:eastAsia="zh-CN" w:bidi="ar-SA"/>
        </w:rPr>
        <w:t>表21-2  格拉布斯检验（第二次）</w:t>
      </w:r>
    </w:p>
    <w:tbl>
      <w:tblPr>
        <w:tblStyle w:val="13"/>
        <w:tblW w:w="8562"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6"/>
        <w:gridCol w:w="1425"/>
        <w:gridCol w:w="1425"/>
        <w:gridCol w:w="1425"/>
        <w:gridCol w:w="1425"/>
        <w:gridCol w:w="1426"/>
      </w:tblGrid>
      <w:tr w14:paraId="3029580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vMerge w:val="restart"/>
            <w:tcBorders>
              <w:bottom w:val="single" w:color="000000" w:sz="4" w:space="0"/>
              <w:right w:val="single" w:color="000000" w:sz="4" w:space="0"/>
              <w:tl2br w:val="nil"/>
            </w:tcBorders>
            <w:shd w:val="clear" w:color="auto" w:fill="FFFFFF"/>
            <w:noWrap/>
            <w:vAlign w:val="center"/>
          </w:tcPr>
          <w:p w14:paraId="06108843">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实验室i</w:t>
            </w:r>
          </w:p>
        </w:tc>
        <w:tc>
          <w:tcPr>
            <w:tcW w:w="7126" w:type="dxa"/>
            <w:gridSpan w:val="5"/>
            <w:tcBorders>
              <w:left w:val="single" w:color="000000" w:sz="4" w:space="0"/>
              <w:bottom w:val="single" w:color="000000" w:sz="4" w:space="0"/>
            </w:tcBorders>
            <w:shd w:val="clear" w:color="auto" w:fill="FFFFFF"/>
            <w:noWrap/>
            <w:vAlign w:val="center"/>
          </w:tcPr>
          <w:p w14:paraId="01994F72">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水平j</w:t>
            </w:r>
          </w:p>
        </w:tc>
      </w:tr>
      <w:tr w14:paraId="2F1C7B1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vMerge w:val="continue"/>
            <w:tcBorders>
              <w:top w:val="single" w:color="000000" w:sz="4" w:space="0"/>
              <w:bottom w:val="single" w:color="000000" w:sz="4" w:space="0"/>
              <w:right w:val="single" w:color="auto" w:sz="4" w:space="0"/>
            </w:tcBorders>
            <w:shd w:val="clear" w:color="auto" w:fill="FFFFFF"/>
            <w:noWrap/>
            <w:vAlign w:val="center"/>
          </w:tcPr>
          <w:p w14:paraId="5340CCA7">
            <w:pPr>
              <w:jc w:val="center"/>
              <w:rPr>
                <w:rFonts w:hint="eastAsia" w:ascii="宋体" w:hAnsi="宋体" w:eastAsia="宋体" w:cs="宋体"/>
                <w:b w:val="0"/>
                <w:color w:val="000000"/>
                <w:sz w:val="21"/>
                <w:szCs w:val="21"/>
                <w:lang w:val="en-US" w:eastAsia="zh-CN"/>
              </w:rPr>
            </w:pPr>
          </w:p>
        </w:tc>
        <w:tc>
          <w:tcPr>
            <w:tcW w:w="1425" w:type="dxa"/>
            <w:tcBorders>
              <w:top w:val="single" w:color="auto" w:sz="4" w:space="0"/>
              <w:left w:val="single" w:color="auto" w:sz="4" w:space="0"/>
              <w:bottom w:val="single" w:color="000000" w:sz="4" w:space="0"/>
              <w:right w:val="single" w:color="000000" w:sz="4" w:space="0"/>
            </w:tcBorders>
            <w:shd w:val="clear" w:color="auto" w:fill="FFFFFF"/>
            <w:noWrap/>
            <w:vAlign w:val="center"/>
          </w:tcPr>
          <w:p w14:paraId="631D92C3">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1</w:t>
            </w:r>
          </w:p>
        </w:tc>
        <w:tc>
          <w:tcPr>
            <w:tcW w:w="1425"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5265CD16">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2</w:t>
            </w:r>
          </w:p>
        </w:tc>
        <w:tc>
          <w:tcPr>
            <w:tcW w:w="1425"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782006B0">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3</w:t>
            </w:r>
          </w:p>
        </w:tc>
        <w:tc>
          <w:tcPr>
            <w:tcW w:w="1425" w:type="dxa"/>
            <w:tcBorders>
              <w:top w:val="single" w:color="auto" w:sz="4" w:space="0"/>
              <w:left w:val="single" w:color="000000" w:sz="4" w:space="0"/>
              <w:bottom w:val="single" w:color="000000" w:sz="4" w:space="0"/>
              <w:right w:val="single" w:color="auto" w:sz="4" w:space="0"/>
            </w:tcBorders>
            <w:shd w:val="clear" w:color="auto" w:fill="FFFFFF"/>
            <w:noWrap/>
            <w:vAlign w:val="center"/>
          </w:tcPr>
          <w:p w14:paraId="36E111C4">
            <w:pPr>
              <w:jc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4</w:t>
            </w:r>
          </w:p>
        </w:tc>
        <w:tc>
          <w:tcPr>
            <w:tcW w:w="1426" w:type="dxa"/>
            <w:tcBorders>
              <w:top w:val="single" w:color="000000" w:sz="4" w:space="0"/>
              <w:left w:val="single" w:color="auto" w:sz="4" w:space="0"/>
              <w:bottom w:val="single" w:color="000000" w:sz="4" w:space="0"/>
            </w:tcBorders>
            <w:shd w:val="clear" w:color="auto" w:fill="FFFFFF"/>
            <w:noWrap/>
            <w:vAlign w:val="center"/>
          </w:tcPr>
          <w:p w14:paraId="6C4292E5">
            <w:pPr>
              <w:jc w:val="center"/>
              <w:rPr>
                <w:rFonts w:hint="default"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5</w:t>
            </w:r>
          </w:p>
        </w:tc>
      </w:tr>
      <w:tr w14:paraId="757EA3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7F071D68">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0434DC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6.1249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369B3">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8.8419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4B4C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17.5744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A4106D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24.9561 </w:t>
            </w:r>
          </w:p>
        </w:tc>
        <w:tc>
          <w:tcPr>
            <w:tcW w:w="1426" w:type="dxa"/>
            <w:tcBorders>
              <w:top w:val="single" w:color="000000" w:sz="4" w:space="0"/>
              <w:left w:val="single" w:color="auto" w:sz="4" w:space="0"/>
              <w:bottom w:val="single" w:color="000000" w:sz="4" w:space="0"/>
            </w:tcBorders>
            <w:shd w:val="clear" w:color="auto" w:fill="FFFFFF"/>
            <w:noWrap/>
            <w:vAlign w:val="center"/>
          </w:tcPr>
          <w:p w14:paraId="3DD53E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31.973</w:t>
            </w:r>
          </w:p>
        </w:tc>
      </w:tr>
      <w:tr w14:paraId="700F045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20FAEE43">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2</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5E6971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6.1410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DE7D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8.8566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4605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17.5910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20A356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25.0680 </w:t>
            </w:r>
          </w:p>
        </w:tc>
        <w:tc>
          <w:tcPr>
            <w:tcW w:w="1426" w:type="dxa"/>
            <w:tcBorders>
              <w:top w:val="single" w:color="000000" w:sz="4" w:space="0"/>
              <w:left w:val="single" w:color="auto" w:sz="4" w:space="0"/>
              <w:bottom w:val="single" w:color="000000" w:sz="4" w:space="0"/>
            </w:tcBorders>
            <w:shd w:val="clear" w:color="auto" w:fill="FFFFFF"/>
            <w:noWrap/>
            <w:vAlign w:val="center"/>
          </w:tcPr>
          <w:p w14:paraId="1EDAB7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32.0324</w:t>
            </w:r>
          </w:p>
        </w:tc>
      </w:tr>
      <w:tr w14:paraId="52D222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6329247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3</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D1B992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6.1177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278B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8.8534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52C5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17.5896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33A213B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24.9383 </w:t>
            </w:r>
          </w:p>
        </w:tc>
        <w:tc>
          <w:tcPr>
            <w:tcW w:w="1426" w:type="dxa"/>
            <w:tcBorders>
              <w:top w:val="single" w:color="000000" w:sz="4" w:space="0"/>
              <w:left w:val="single" w:color="auto" w:sz="4" w:space="0"/>
              <w:bottom w:val="single" w:color="000000" w:sz="4" w:space="0"/>
            </w:tcBorders>
            <w:shd w:val="clear" w:color="auto" w:fill="FFFFFF"/>
            <w:noWrap/>
            <w:vAlign w:val="center"/>
          </w:tcPr>
          <w:p w14:paraId="024A94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31.9736</w:t>
            </w:r>
          </w:p>
        </w:tc>
      </w:tr>
      <w:tr w14:paraId="35C3E6C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570F7575">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4</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E52348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6.1843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8678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8.8371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5BA97">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17.5957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AF8171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24.9914 </w:t>
            </w:r>
          </w:p>
        </w:tc>
        <w:tc>
          <w:tcPr>
            <w:tcW w:w="1426" w:type="dxa"/>
            <w:tcBorders>
              <w:top w:val="single" w:color="000000" w:sz="4" w:space="0"/>
              <w:left w:val="single" w:color="auto" w:sz="4" w:space="0"/>
              <w:bottom w:val="single" w:color="000000" w:sz="4" w:space="0"/>
            </w:tcBorders>
            <w:shd w:val="clear" w:color="auto" w:fill="FFFFFF"/>
            <w:noWrap/>
            <w:vAlign w:val="center"/>
          </w:tcPr>
          <w:p w14:paraId="59557E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31.9700</w:t>
            </w:r>
          </w:p>
        </w:tc>
      </w:tr>
      <w:tr w14:paraId="70380E8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6173337C">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5</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162BD1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6.1387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5698D">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8.8407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3242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17.5063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715368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24.9403 </w:t>
            </w:r>
          </w:p>
        </w:tc>
        <w:tc>
          <w:tcPr>
            <w:tcW w:w="1426" w:type="dxa"/>
            <w:tcBorders>
              <w:top w:val="single" w:color="000000" w:sz="4" w:space="0"/>
              <w:left w:val="single" w:color="auto" w:sz="4" w:space="0"/>
              <w:bottom w:val="single" w:color="000000" w:sz="4" w:space="0"/>
            </w:tcBorders>
            <w:shd w:val="clear" w:color="auto" w:fill="FFFFFF"/>
            <w:noWrap/>
            <w:vAlign w:val="center"/>
          </w:tcPr>
          <w:p w14:paraId="75CC4F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32.0219</w:t>
            </w:r>
          </w:p>
        </w:tc>
      </w:tr>
      <w:tr w14:paraId="1F6DB89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24ABCAC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6</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0FE318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6.1151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94BC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8.8461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4F973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17.5471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B1BFE4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24.9484 </w:t>
            </w:r>
          </w:p>
        </w:tc>
        <w:tc>
          <w:tcPr>
            <w:tcW w:w="1426" w:type="dxa"/>
            <w:tcBorders>
              <w:top w:val="single" w:color="000000" w:sz="4" w:space="0"/>
              <w:left w:val="single" w:color="auto" w:sz="4" w:space="0"/>
              <w:bottom w:val="single" w:color="000000" w:sz="4" w:space="0"/>
            </w:tcBorders>
            <w:shd w:val="clear" w:color="auto" w:fill="FFFFFF"/>
            <w:noWrap/>
            <w:vAlign w:val="center"/>
          </w:tcPr>
          <w:p w14:paraId="315C16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31.9609</w:t>
            </w:r>
          </w:p>
        </w:tc>
      </w:tr>
      <w:tr w14:paraId="47C9744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1719D1AF">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7</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371456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6.1283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E928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8.8584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DA30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17.5920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FD3C03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24.9566 </w:t>
            </w:r>
          </w:p>
        </w:tc>
        <w:tc>
          <w:tcPr>
            <w:tcW w:w="1426" w:type="dxa"/>
            <w:tcBorders>
              <w:top w:val="single" w:color="000000" w:sz="4" w:space="0"/>
              <w:left w:val="single" w:color="auto" w:sz="4" w:space="0"/>
              <w:bottom w:val="single" w:color="000000" w:sz="4" w:space="0"/>
            </w:tcBorders>
            <w:shd w:val="clear" w:color="auto" w:fill="FFFFFF"/>
            <w:noWrap/>
            <w:vAlign w:val="center"/>
          </w:tcPr>
          <w:p w14:paraId="119E02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31.9756</w:t>
            </w:r>
          </w:p>
        </w:tc>
      </w:tr>
      <w:tr w14:paraId="4C9146E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5CEE5661">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8</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FED520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6.1331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7E7B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8.8456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D6D9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17.5720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BF41E2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24.9481 </w:t>
            </w:r>
          </w:p>
        </w:tc>
        <w:tc>
          <w:tcPr>
            <w:tcW w:w="1426" w:type="dxa"/>
            <w:tcBorders>
              <w:top w:val="single" w:color="000000" w:sz="4" w:space="0"/>
              <w:left w:val="single" w:color="auto" w:sz="4" w:space="0"/>
              <w:bottom w:val="single" w:color="000000" w:sz="4" w:space="0"/>
            </w:tcBorders>
            <w:shd w:val="clear" w:color="auto" w:fill="FFFFFF"/>
            <w:noWrap/>
            <w:vAlign w:val="center"/>
          </w:tcPr>
          <w:p w14:paraId="43A17D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31.9681</w:t>
            </w:r>
          </w:p>
        </w:tc>
      </w:tr>
      <w:tr w14:paraId="3F5DDC0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2F677DFB">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9</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2BB6EE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6.1529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FFCD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8.8200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8752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17.5629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B206FC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24.9529 </w:t>
            </w:r>
          </w:p>
        </w:tc>
        <w:tc>
          <w:tcPr>
            <w:tcW w:w="1426" w:type="dxa"/>
            <w:tcBorders>
              <w:top w:val="single" w:color="000000" w:sz="4" w:space="0"/>
              <w:left w:val="single" w:color="auto" w:sz="4" w:space="0"/>
              <w:bottom w:val="single" w:color="000000" w:sz="4" w:space="0"/>
            </w:tcBorders>
            <w:shd w:val="clear" w:color="auto" w:fill="FFFFFF"/>
            <w:noWrap/>
            <w:vAlign w:val="center"/>
          </w:tcPr>
          <w:p w14:paraId="14DB03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31.9529</w:t>
            </w:r>
          </w:p>
        </w:tc>
      </w:tr>
      <w:tr w14:paraId="5558D91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385B01B7">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10</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4E4E1E3">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24A00">
            <w:pPr>
              <w:keepNext w:val="0"/>
              <w:keepLines w:val="0"/>
              <w:widowControl/>
              <w:suppressLineNumbers w:val="0"/>
              <w:jc w:val="center"/>
              <w:textAlignment w:val="center"/>
              <w:rPr>
                <w:rFonts w:hint="default"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8.8011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A19E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17.6786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E34AD4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25.0083 </w:t>
            </w:r>
          </w:p>
        </w:tc>
        <w:tc>
          <w:tcPr>
            <w:tcW w:w="1426" w:type="dxa"/>
            <w:tcBorders>
              <w:top w:val="single" w:color="000000" w:sz="4" w:space="0"/>
              <w:left w:val="single" w:color="auto" w:sz="4" w:space="0"/>
              <w:bottom w:val="single" w:color="000000" w:sz="4" w:space="0"/>
            </w:tcBorders>
            <w:shd w:val="clear" w:color="auto" w:fill="FFFFFF"/>
            <w:noWrap/>
            <w:vAlign w:val="center"/>
          </w:tcPr>
          <w:p w14:paraId="4FB7B9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32.0644</w:t>
            </w:r>
          </w:p>
        </w:tc>
      </w:tr>
      <w:tr w14:paraId="300393D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5B48C8E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11</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1EB736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6.1441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CA11EC">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8.8006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5C6E0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17.5936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D2124D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24.9674 </w:t>
            </w:r>
          </w:p>
        </w:tc>
        <w:tc>
          <w:tcPr>
            <w:tcW w:w="1426" w:type="dxa"/>
            <w:tcBorders>
              <w:top w:val="single" w:color="000000" w:sz="4" w:space="0"/>
              <w:left w:val="single" w:color="auto" w:sz="4" w:space="0"/>
              <w:bottom w:val="single" w:color="000000" w:sz="4" w:space="0"/>
            </w:tcBorders>
            <w:shd w:val="clear" w:color="auto" w:fill="FFFFFF"/>
            <w:noWrap/>
            <w:vAlign w:val="center"/>
          </w:tcPr>
          <w:p w14:paraId="3D8286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31.9776</w:t>
            </w:r>
          </w:p>
        </w:tc>
      </w:tr>
      <w:tr w14:paraId="00111E4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1364E59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总平均值，%</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BDEF23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6.1380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CB35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8.8365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189E8">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17.5821 </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D796E6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 xml:space="preserve">24.9705 </w:t>
            </w:r>
          </w:p>
        </w:tc>
        <w:tc>
          <w:tcPr>
            <w:tcW w:w="1426" w:type="dxa"/>
            <w:tcBorders>
              <w:top w:val="single" w:color="000000" w:sz="4" w:space="0"/>
              <w:left w:val="single" w:color="auto" w:sz="4" w:space="0"/>
              <w:bottom w:val="single" w:color="000000" w:sz="4" w:space="0"/>
            </w:tcBorders>
            <w:shd w:val="clear" w:color="auto" w:fill="FFFFFF"/>
            <w:noWrap/>
            <w:vAlign w:val="center"/>
          </w:tcPr>
          <w:p w14:paraId="42FEC9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31.9882</w:t>
            </w:r>
          </w:p>
        </w:tc>
      </w:tr>
      <w:tr w14:paraId="2B06809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3AFD4884">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高端G值</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27C86F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2.302685101</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1BE1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1.067901424</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9A08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2.315840069</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512ADAC3">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2.514851733</w:t>
            </w:r>
          </w:p>
        </w:tc>
        <w:tc>
          <w:tcPr>
            <w:tcW w:w="1426" w:type="dxa"/>
            <w:tcBorders>
              <w:top w:val="single" w:color="000000" w:sz="4" w:space="0"/>
              <w:left w:val="single" w:color="auto" w:sz="4" w:space="0"/>
              <w:bottom w:val="single" w:color="000000" w:sz="4" w:space="0"/>
            </w:tcBorders>
            <w:shd w:val="clear" w:color="auto" w:fill="FFFFFF"/>
            <w:noWrap/>
            <w:vAlign w:val="center"/>
          </w:tcPr>
          <w:p w14:paraId="1F51DF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2.169389733</w:t>
            </w:r>
          </w:p>
        </w:tc>
      </w:tr>
      <w:tr w14:paraId="00D02B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50FB027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低端G值</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0C75E9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1.138909046</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1B85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1.750578133</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DC55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1.819074376</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4A1942C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0.830545906</w:t>
            </w:r>
          </w:p>
        </w:tc>
        <w:tc>
          <w:tcPr>
            <w:tcW w:w="1426" w:type="dxa"/>
            <w:tcBorders>
              <w:top w:val="single" w:color="000000" w:sz="4" w:space="0"/>
              <w:left w:val="single" w:color="auto" w:sz="4" w:space="0"/>
              <w:bottom w:val="single" w:color="000000" w:sz="4" w:space="0"/>
            </w:tcBorders>
            <w:shd w:val="clear" w:color="auto" w:fill="FFFFFF"/>
            <w:noWrap/>
            <w:vAlign w:val="center"/>
          </w:tcPr>
          <w:p w14:paraId="1EC69B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1.004979758</w:t>
            </w:r>
          </w:p>
        </w:tc>
      </w:tr>
      <w:tr w14:paraId="2904E17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vAlign w:val="center"/>
          </w:tcPr>
          <w:p w14:paraId="315D6C2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临界值（0.05）</w:t>
            </w:r>
          </w:p>
        </w:tc>
        <w:tc>
          <w:tcPr>
            <w:tcW w:w="1425"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E003A1F">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C0C0C"/>
                <w:kern w:val="0"/>
                <w:sz w:val="18"/>
                <w:szCs w:val="18"/>
                <w:u w:val="none"/>
                <w:lang w:val="en-US" w:eastAsia="zh-CN" w:bidi="ar"/>
              </w:rPr>
              <w:t xml:space="preserve">2.290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D5CA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C0C0C"/>
                <w:kern w:val="0"/>
                <w:sz w:val="18"/>
                <w:szCs w:val="18"/>
                <w:u w:val="none"/>
                <w:lang w:val="en-US" w:eastAsia="zh-CN" w:bidi="ar"/>
              </w:rPr>
              <w:t xml:space="preserve">2.355 </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9793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C0C0C"/>
                <w:kern w:val="0"/>
                <w:sz w:val="18"/>
                <w:szCs w:val="18"/>
                <w:u w:val="none"/>
                <w:lang w:val="en-US" w:eastAsia="zh-CN" w:bidi="ar"/>
              </w:rPr>
              <w:t xml:space="preserve">2.355 </w:t>
            </w:r>
          </w:p>
        </w:tc>
        <w:tc>
          <w:tcPr>
            <w:tcW w:w="1425"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75F4EF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C0C0C"/>
                <w:kern w:val="0"/>
                <w:sz w:val="18"/>
                <w:szCs w:val="18"/>
                <w:u w:val="none"/>
                <w:lang w:val="en-US" w:eastAsia="zh-CN" w:bidi="ar"/>
              </w:rPr>
              <w:t xml:space="preserve">2.355 </w:t>
            </w:r>
          </w:p>
        </w:tc>
        <w:tc>
          <w:tcPr>
            <w:tcW w:w="1426" w:type="dxa"/>
            <w:tcBorders>
              <w:top w:val="single" w:color="000000" w:sz="4" w:space="0"/>
              <w:left w:val="single" w:color="auto" w:sz="4" w:space="0"/>
              <w:bottom w:val="single" w:color="000000" w:sz="4" w:space="0"/>
            </w:tcBorders>
            <w:shd w:val="clear" w:color="auto" w:fill="FFFFFF"/>
            <w:vAlign w:val="center"/>
          </w:tcPr>
          <w:p w14:paraId="1B4AE1D7">
            <w:pPr>
              <w:keepNext w:val="0"/>
              <w:keepLines w:val="0"/>
              <w:widowControl/>
              <w:suppressLineNumbers w:val="0"/>
              <w:jc w:val="center"/>
              <w:textAlignment w:val="center"/>
              <w:rPr>
                <w:rFonts w:hint="eastAsia" w:ascii="宋体" w:hAnsi="宋体" w:eastAsia="宋体" w:cs="宋体"/>
                <w:i w:val="0"/>
                <w:iCs w:val="0"/>
                <w:color w:val="0C0C0C"/>
                <w:kern w:val="0"/>
                <w:sz w:val="18"/>
                <w:szCs w:val="18"/>
                <w:u w:val="none"/>
                <w:lang w:val="en-US" w:eastAsia="zh-CN" w:bidi="ar"/>
              </w:rPr>
            </w:pPr>
            <w:r>
              <w:rPr>
                <w:rFonts w:hint="eastAsia" w:ascii="宋体" w:hAnsi="宋体" w:eastAsia="宋体" w:cs="宋体"/>
                <w:i w:val="0"/>
                <w:iCs w:val="0"/>
                <w:color w:val="0C0C0C"/>
                <w:kern w:val="0"/>
                <w:sz w:val="18"/>
                <w:szCs w:val="18"/>
                <w:u w:val="none"/>
                <w:lang w:val="en-US" w:eastAsia="zh-CN" w:bidi="ar"/>
              </w:rPr>
              <w:t xml:space="preserve">2.355 </w:t>
            </w:r>
          </w:p>
        </w:tc>
      </w:tr>
      <w:tr w14:paraId="2980912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vAlign w:val="center"/>
          </w:tcPr>
          <w:p w14:paraId="585E5302">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临界值（0.01）</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135F72CA">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2.482</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814E5">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2.564</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CCA91">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2.564</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78207EC9">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2.564</w:t>
            </w:r>
          </w:p>
        </w:tc>
        <w:tc>
          <w:tcPr>
            <w:tcW w:w="1426" w:type="dxa"/>
            <w:tcBorders>
              <w:top w:val="single" w:color="000000" w:sz="4" w:space="0"/>
              <w:left w:val="single" w:color="auto" w:sz="4" w:space="0"/>
              <w:bottom w:val="single" w:color="000000" w:sz="4" w:space="0"/>
            </w:tcBorders>
            <w:shd w:val="clear" w:color="auto" w:fill="FFFFFF"/>
            <w:noWrap/>
            <w:vAlign w:val="center"/>
          </w:tcPr>
          <w:p w14:paraId="6023AB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2.564</w:t>
            </w:r>
          </w:p>
        </w:tc>
      </w:tr>
      <w:tr w14:paraId="3FBFE0A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436" w:type="dxa"/>
            <w:tcBorders>
              <w:top w:val="single" w:color="000000" w:sz="4" w:space="0"/>
              <w:bottom w:val="single" w:color="000000" w:sz="4" w:space="0"/>
              <w:right w:val="single" w:color="auto" w:sz="4" w:space="0"/>
            </w:tcBorders>
            <w:shd w:val="clear" w:color="auto" w:fill="FFFFFF"/>
            <w:noWrap/>
            <w:vAlign w:val="center"/>
          </w:tcPr>
          <w:p w14:paraId="36A1E6A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高端检验结果</w:t>
            </w:r>
          </w:p>
        </w:tc>
        <w:tc>
          <w:tcPr>
            <w:tcW w:w="142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BF0DF33">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4#歧离值</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D8DF2">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不离群</w:t>
            </w:r>
          </w:p>
        </w:tc>
        <w:tc>
          <w:tcPr>
            <w:tcW w:w="1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F2945">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不离群</w:t>
            </w:r>
          </w:p>
        </w:tc>
        <w:tc>
          <w:tcPr>
            <w:tcW w:w="1425"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0DF961A3">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auto"/>
                <w:kern w:val="0"/>
                <w:sz w:val="18"/>
                <w:szCs w:val="18"/>
                <w:u w:val="none"/>
                <w:lang w:val="en-US" w:eastAsia="zh-CN" w:bidi="ar"/>
              </w:rPr>
              <w:t>2#歧离值</w:t>
            </w:r>
          </w:p>
        </w:tc>
        <w:tc>
          <w:tcPr>
            <w:tcW w:w="1426" w:type="dxa"/>
            <w:tcBorders>
              <w:top w:val="single" w:color="000000" w:sz="4" w:space="0"/>
              <w:left w:val="single" w:color="auto" w:sz="4" w:space="0"/>
              <w:bottom w:val="single" w:color="000000" w:sz="4" w:space="0"/>
            </w:tcBorders>
            <w:shd w:val="clear" w:color="auto" w:fill="FFFFFF"/>
            <w:noWrap/>
            <w:vAlign w:val="center"/>
          </w:tcPr>
          <w:p w14:paraId="724812DF">
            <w:pPr>
              <w:keepNext w:val="0"/>
              <w:keepLines w:val="0"/>
              <w:widowControl/>
              <w:suppressLineNumbers w:val="0"/>
              <w:jc w:val="center"/>
              <w:textAlignment w:val="center"/>
              <w:rPr>
                <w:rFonts w:hint="eastAsia" w:ascii="宋体" w:hAnsi="宋体" w:eastAsia="宋体" w:cs="宋体"/>
                <w:i w:val="0"/>
                <w:iCs w:val="0"/>
                <w:color w:val="9C0006"/>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不离群</w:t>
            </w:r>
          </w:p>
        </w:tc>
      </w:tr>
      <w:tr w14:paraId="4B21203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436" w:type="dxa"/>
            <w:tcBorders>
              <w:top w:val="single" w:color="000000" w:sz="4" w:space="0"/>
              <w:right w:val="single" w:color="auto" w:sz="4" w:space="0"/>
            </w:tcBorders>
            <w:shd w:val="clear" w:color="auto" w:fill="FFFFFF"/>
            <w:noWrap/>
            <w:vAlign w:val="center"/>
          </w:tcPr>
          <w:p w14:paraId="5BC0CA2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b w:val="0"/>
                <w:i w:val="0"/>
                <w:iCs w:val="0"/>
                <w:color w:val="000000"/>
                <w:kern w:val="0"/>
                <w:sz w:val="18"/>
                <w:szCs w:val="18"/>
                <w:u w:val="none"/>
                <w:lang w:val="en-US" w:eastAsia="zh-CN" w:bidi="ar"/>
              </w:rPr>
              <w:t>低端检验结果</w:t>
            </w:r>
          </w:p>
        </w:tc>
        <w:tc>
          <w:tcPr>
            <w:tcW w:w="1425" w:type="dxa"/>
            <w:tcBorders>
              <w:top w:val="single" w:color="000000" w:sz="4" w:space="0"/>
              <w:left w:val="single" w:color="auto" w:sz="4" w:space="0"/>
              <w:right w:val="single" w:color="000000" w:sz="4" w:space="0"/>
            </w:tcBorders>
            <w:shd w:val="clear" w:color="auto" w:fill="FFFFFF"/>
            <w:noWrap/>
            <w:vAlign w:val="center"/>
          </w:tcPr>
          <w:p w14:paraId="34B7D8BB">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不离群</w:t>
            </w:r>
          </w:p>
        </w:tc>
        <w:tc>
          <w:tcPr>
            <w:tcW w:w="1425" w:type="dxa"/>
            <w:tcBorders>
              <w:top w:val="single" w:color="000000" w:sz="4" w:space="0"/>
              <w:left w:val="single" w:color="000000" w:sz="4" w:space="0"/>
              <w:right w:val="single" w:color="000000" w:sz="4" w:space="0"/>
            </w:tcBorders>
            <w:shd w:val="clear" w:color="auto" w:fill="FFFFFF"/>
            <w:noWrap/>
            <w:vAlign w:val="center"/>
          </w:tcPr>
          <w:p w14:paraId="7A8D4740">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不离群</w:t>
            </w:r>
          </w:p>
        </w:tc>
        <w:tc>
          <w:tcPr>
            <w:tcW w:w="1425" w:type="dxa"/>
            <w:tcBorders>
              <w:top w:val="single" w:color="000000" w:sz="4" w:space="0"/>
              <w:left w:val="single" w:color="000000" w:sz="4" w:space="0"/>
              <w:right w:val="single" w:color="000000" w:sz="4" w:space="0"/>
            </w:tcBorders>
            <w:shd w:val="clear" w:color="auto" w:fill="FFFFFF"/>
            <w:noWrap/>
            <w:vAlign w:val="center"/>
          </w:tcPr>
          <w:p w14:paraId="036D230E">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不离群</w:t>
            </w:r>
          </w:p>
        </w:tc>
        <w:tc>
          <w:tcPr>
            <w:tcW w:w="1425" w:type="dxa"/>
            <w:tcBorders>
              <w:top w:val="single" w:color="000000" w:sz="4" w:space="0"/>
              <w:left w:val="single" w:color="000000" w:sz="4" w:space="0"/>
              <w:right w:val="single" w:color="auto" w:sz="4" w:space="0"/>
            </w:tcBorders>
            <w:shd w:val="clear" w:color="auto" w:fill="FFFFFF"/>
            <w:noWrap/>
            <w:vAlign w:val="center"/>
          </w:tcPr>
          <w:p w14:paraId="50A49ED6">
            <w:pPr>
              <w:keepNext w:val="0"/>
              <w:keepLines w:val="0"/>
              <w:widowControl/>
              <w:suppressLineNumbers w:val="0"/>
              <w:jc w:val="center"/>
              <w:textAlignment w:val="center"/>
              <w:rPr>
                <w:rFonts w:hint="eastAsia" w:ascii="宋体" w:hAnsi="宋体" w:eastAsia="宋体" w:cs="宋体"/>
                <w:b w:val="0"/>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不离群</w:t>
            </w:r>
          </w:p>
        </w:tc>
        <w:tc>
          <w:tcPr>
            <w:tcW w:w="1426" w:type="dxa"/>
            <w:tcBorders>
              <w:top w:val="single" w:color="000000" w:sz="4" w:space="0"/>
              <w:left w:val="single" w:color="auto" w:sz="4" w:space="0"/>
            </w:tcBorders>
            <w:shd w:val="clear" w:color="auto" w:fill="FFFFFF"/>
            <w:noWrap/>
            <w:vAlign w:val="center"/>
          </w:tcPr>
          <w:p w14:paraId="1C62EE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不离群</w:t>
            </w:r>
          </w:p>
        </w:tc>
      </w:tr>
    </w:tbl>
    <w:p w14:paraId="0FC13B34">
      <w:pPr>
        <w:rPr>
          <w:rFonts w:hint="eastAsia" w:ascii="宋体" w:hAnsi="宋体" w:eastAsia="宋体" w:cs="宋体"/>
          <w:sz w:val="21"/>
          <w:szCs w:val="21"/>
          <w:highlight w:val="none"/>
          <w:lang w:val="en-US" w:eastAsia="zh-CN"/>
        </w:rPr>
      </w:pPr>
    </w:p>
    <w:p w14:paraId="4CFEAC7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由表21-2统计结果可知，水平1样品剔除10号实验室的测试结果后二次格拉布斯检验，4#实验室的测试结果为歧离值，经过对数据进行技术判断，予以保留。</w:t>
      </w:r>
    </w:p>
    <w:p w14:paraId="5566D42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sz w:val="21"/>
          <w:szCs w:val="21"/>
          <w:highlight w:val="none"/>
          <w:lang w:val="en-US" w:eastAsia="zh-CN"/>
        </w:rPr>
      </w:pPr>
    </w:p>
    <w:p w14:paraId="33F68DB7">
      <w:pPr>
        <w:pStyle w:val="4"/>
        <w:numPr>
          <w:ilvl w:val="0"/>
          <w:numId w:val="0"/>
        </w:numPr>
        <w:ind w:leftChars="200"/>
        <w:jc w:val="both"/>
        <w:outlineLvl w:val="3"/>
        <w:rPr>
          <w:rFonts w:hint="default"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2.1.3重复性限、再现性限的计算</w:t>
      </w:r>
    </w:p>
    <w:p w14:paraId="7E966B6B">
      <w:pPr>
        <w:numPr>
          <w:ilvl w:val="0"/>
          <w:numId w:val="11"/>
        </w:numPr>
        <w:adjustRightInd w:val="0"/>
        <w:snapToGrid w:val="0"/>
        <w:ind w:firstLine="420" w:firstLineChars="200"/>
        <w:jc w:val="left"/>
        <w:rPr>
          <w:rFonts w:hint="eastAsia" w:ascii="宋体" w:hAnsi="宋体" w:eastAsia="宋体" w:cs="宋体"/>
          <w:szCs w:val="21"/>
          <w:lang w:val="en-US" w:eastAsia="zh-CN"/>
        </w:rPr>
      </w:pPr>
      <w:r>
        <w:rPr>
          <w:rFonts w:hint="eastAsia" w:ascii="宋体" w:hAnsi="宋体" w:eastAsia="宋体" w:cs="宋体"/>
          <w:szCs w:val="21"/>
          <w:lang w:val="en-US" w:eastAsia="zh-CN"/>
        </w:rPr>
        <w:t>将经过离群值检验的数据汇总统计，按照GB/T 6379.2-2004的规定计算重复性限和再现性限，结果如表22-1和表22-2所示。</w:t>
      </w:r>
    </w:p>
    <w:p w14:paraId="061B7A4B">
      <w:pPr>
        <w:pStyle w:val="26"/>
        <w:numPr>
          <w:ilvl w:val="0"/>
          <w:numId w:val="0"/>
        </w:numPr>
        <w:tabs>
          <w:tab w:val="left" w:pos="420"/>
        </w:tabs>
        <w:spacing w:before="120" w:after="120"/>
        <w:ind w:firstLine="420" w:firstLineChars="200"/>
        <w:outlineLvl w:val="4"/>
        <w:rPr>
          <w:rFonts w:hAnsi="黑体"/>
          <w:kern w:val="2"/>
        </w:rPr>
      </w:pPr>
      <w:r>
        <w:rPr>
          <w:rFonts w:hint="eastAsia" w:hAnsi="黑体"/>
          <w:kern w:val="2"/>
          <w:lang w:val="en-US" w:eastAsia="zh-CN"/>
        </w:rPr>
        <w:t>2.1.3</w:t>
      </w:r>
      <w:r>
        <w:rPr>
          <w:rFonts w:hint="eastAsia" w:hAnsi="黑体"/>
          <w:kern w:val="2"/>
        </w:rPr>
        <w:t>.1  重复性</w:t>
      </w:r>
    </w:p>
    <w:p w14:paraId="0AB77C52">
      <w:pPr>
        <w:numPr>
          <w:ilvl w:val="0"/>
          <w:numId w:val="11"/>
        </w:numPr>
        <w:adjustRightInd w:val="0"/>
        <w:snapToGrid w:val="0"/>
        <w:ind w:firstLine="420" w:firstLineChars="200"/>
        <w:jc w:val="left"/>
        <w:rPr>
          <w:rFonts w:hint="eastAsia" w:ascii="宋体" w:hAnsi="宋体" w:eastAsia="宋体" w:cs="宋体"/>
          <w:szCs w:val="21"/>
        </w:rPr>
      </w:pPr>
      <w:r>
        <w:rPr>
          <w:rFonts w:hint="eastAsia" w:ascii="宋体" w:hAnsi="宋体" w:eastAsia="宋体" w:cs="宋体"/>
          <w:szCs w:val="21"/>
        </w:rPr>
        <w:t>在重复性条件下获得的两次独立测试结果的测定值，在表</w:t>
      </w:r>
      <w:r>
        <w:rPr>
          <w:rFonts w:hint="eastAsia" w:ascii="宋体" w:hAnsi="宋体" w:eastAsia="宋体" w:cs="宋体"/>
          <w:szCs w:val="21"/>
          <w:lang w:val="en-US" w:eastAsia="zh-CN"/>
        </w:rPr>
        <w:t>22-1</w:t>
      </w:r>
      <w:r>
        <w:rPr>
          <w:rFonts w:hint="eastAsia" w:ascii="宋体" w:hAnsi="宋体" w:eastAsia="宋体" w:cs="宋体"/>
          <w:szCs w:val="21"/>
        </w:rPr>
        <w:t>给出的平均值范围内，这两个测试结果的绝对差值不超过重复性限（</w:t>
      </w:r>
      <w:r>
        <w:rPr>
          <w:rFonts w:hint="eastAsia" w:ascii="宋体" w:hAnsi="宋体" w:eastAsia="宋体" w:cs="宋体"/>
          <w:i/>
          <w:szCs w:val="21"/>
        </w:rPr>
        <w:t>r</w:t>
      </w:r>
      <w:r>
        <w:rPr>
          <w:rFonts w:hint="eastAsia" w:ascii="宋体" w:hAnsi="宋体" w:eastAsia="宋体" w:cs="宋体"/>
          <w:szCs w:val="21"/>
        </w:rPr>
        <w:t>），超过重复性限（</w:t>
      </w:r>
      <w:r>
        <w:rPr>
          <w:rFonts w:hint="eastAsia" w:ascii="宋体" w:hAnsi="宋体" w:eastAsia="宋体" w:cs="宋体"/>
          <w:i/>
          <w:szCs w:val="21"/>
        </w:rPr>
        <w:t>r</w:t>
      </w:r>
      <w:r>
        <w:rPr>
          <w:rFonts w:hint="eastAsia" w:ascii="宋体" w:hAnsi="宋体" w:eastAsia="宋体" w:cs="宋体"/>
          <w:szCs w:val="21"/>
        </w:rPr>
        <w:t>）的情况不超过5%，重复性限（</w:t>
      </w:r>
      <w:r>
        <w:rPr>
          <w:rFonts w:hint="eastAsia" w:ascii="宋体" w:hAnsi="宋体" w:eastAsia="宋体" w:cs="宋体"/>
          <w:i/>
          <w:szCs w:val="21"/>
        </w:rPr>
        <w:t>r</w:t>
      </w:r>
      <w:r>
        <w:rPr>
          <w:rFonts w:hint="eastAsia" w:ascii="宋体" w:hAnsi="宋体" w:eastAsia="宋体" w:cs="宋体"/>
          <w:szCs w:val="21"/>
        </w:rPr>
        <w:t>）按表</w:t>
      </w:r>
      <w:r>
        <w:rPr>
          <w:rFonts w:hint="eastAsia" w:ascii="宋体" w:hAnsi="宋体" w:eastAsia="宋体" w:cs="宋体"/>
          <w:szCs w:val="21"/>
          <w:lang w:val="en-US" w:eastAsia="zh-CN"/>
        </w:rPr>
        <w:t>22-1</w:t>
      </w:r>
      <w:r>
        <w:rPr>
          <w:rFonts w:hint="eastAsia" w:ascii="宋体" w:hAnsi="宋体" w:eastAsia="宋体" w:cs="宋体"/>
          <w:szCs w:val="21"/>
        </w:rPr>
        <w:t>数据采用线性内插法或外延法求得。</w:t>
      </w:r>
    </w:p>
    <w:p w14:paraId="40FF12D4">
      <w:pPr>
        <w:numPr>
          <w:ilvl w:val="0"/>
          <w:numId w:val="11"/>
        </w:numPr>
        <w:adjustRightInd w:val="0"/>
        <w:snapToGrid w:val="0"/>
        <w:ind w:firstLine="420" w:firstLineChars="200"/>
        <w:jc w:val="left"/>
        <w:rPr>
          <w:rFonts w:hint="eastAsia" w:eastAsia="黑体"/>
          <w:szCs w:val="21"/>
        </w:rPr>
      </w:pPr>
    </w:p>
    <w:p w14:paraId="59E1E136">
      <w:pPr>
        <w:keepNext w:val="0"/>
        <w:keepLines w:val="0"/>
        <w:pageBreakBefore w:val="0"/>
        <w:widowControl w:val="0"/>
        <w:kinsoku/>
        <w:wordWrap/>
        <w:overflowPunct/>
        <w:topLinePunct w:val="0"/>
        <w:autoSpaceDE/>
        <w:autoSpaceDN/>
        <w:bidi w:val="0"/>
        <w:adjustRightInd w:val="0"/>
        <w:snapToGrid w:val="0"/>
        <w:spacing w:after="163" w:afterLines="50"/>
        <w:jc w:val="center"/>
        <w:textAlignment w:val="auto"/>
        <w:rPr>
          <w:rFonts w:hint="default" w:eastAsia="黑体"/>
          <w:szCs w:val="21"/>
          <w:lang w:val="en-US" w:eastAsia="zh-CN"/>
        </w:rPr>
      </w:pPr>
      <w:r>
        <w:rPr>
          <w:rFonts w:hint="eastAsia" w:eastAsia="黑体"/>
          <w:szCs w:val="21"/>
        </w:rPr>
        <w:t>表</w:t>
      </w:r>
      <w:r>
        <w:rPr>
          <w:rFonts w:hint="eastAsia" w:ascii="黑体" w:hAnsi="黑体" w:eastAsia="黑体" w:cs="黑体"/>
          <w:szCs w:val="21"/>
          <w:lang w:val="en-US" w:eastAsia="zh-CN"/>
        </w:rPr>
        <w:t>22-1</w:t>
      </w:r>
      <w:r>
        <w:rPr>
          <w:rFonts w:hint="eastAsia" w:eastAsia="黑体"/>
          <w:szCs w:val="21"/>
        </w:rPr>
        <w:t>重复性限</w:t>
      </w:r>
    </w:p>
    <w:tbl>
      <w:tblPr>
        <w:tblStyle w:val="1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25"/>
        <w:gridCol w:w="1326"/>
        <w:gridCol w:w="1326"/>
        <w:gridCol w:w="1326"/>
        <w:gridCol w:w="1328"/>
        <w:gridCol w:w="1328"/>
      </w:tblGrid>
      <w:tr w14:paraId="1F506D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26" w:type="dxa"/>
            <w:tcBorders>
              <w:bottom w:val="single" w:color="000000" w:sz="4" w:space="0"/>
              <w:right w:val="single" w:color="000000" w:sz="4" w:space="0"/>
              <w:tl2br w:val="nil"/>
            </w:tcBorders>
            <w:shd w:val="clear" w:color="auto" w:fill="FFFFFF"/>
            <w:vAlign w:val="center"/>
          </w:tcPr>
          <w:p w14:paraId="1DD45D92">
            <w:pPr>
              <w:adjustRightInd w:val="0"/>
              <w:snapToGrid w:val="0"/>
              <w:spacing w:line="240" w:lineRule="auto"/>
              <w:jc w:val="center"/>
              <w:rPr>
                <w:rFonts w:hint="eastAsia" w:ascii="宋体" w:hAnsi="宋体" w:eastAsia="宋体" w:cs="宋体"/>
                <w:b w:val="0"/>
                <w:color w:val="000000"/>
                <w:szCs w:val="21"/>
              </w:rPr>
            </w:pPr>
            <w:r>
              <w:rPr>
                <w:rFonts w:hint="eastAsia" w:ascii="宋体" w:hAnsi="宋体" w:eastAsia="宋体" w:cs="宋体"/>
                <w:b w:val="0"/>
                <w:color w:val="000000"/>
                <w:kern w:val="0"/>
                <w:sz w:val="18"/>
                <w:lang w:val="en-US" w:eastAsia="zh-CN"/>
              </w:rPr>
              <w:t>铅的</w:t>
            </w:r>
            <w:r>
              <w:rPr>
                <w:rFonts w:hint="eastAsia" w:ascii="宋体" w:hAnsi="宋体" w:eastAsia="宋体" w:cs="宋体"/>
                <w:b w:val="0"/>
                <w:color w:val="000000"/>
                <w:kern w:val="0"/>
                <w:sz w:val="18"/>
              </w:rPr>
              <w:t>质量分数/%</w:t>
            </w:r>
          </w:p>
        </w:tc>
        <w:tc>
          <w:tcPr>
            <w:tcW w:w="1326" w:type="dxa"/>
            <w:tcBorders>
              <w:left w:val="single" w:color="000000" w:sz="4" w:space="0"/>
              <w:bottom w:val="single" w:color="000000" w:sz="4" w:space="0"/>
              <w:right w:val="single" w:color="000000" w:sz="4" w:space="0"/>
            </w:tcBorders>
            <w:shd w:val="clear" w:color="auto" w:fill="FFFFFF"/>
            <w:vAlign w:val="center"/>
          </w:tcPr>
          <w:p w14:paraId="4F6EDD61">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6.14</w:t>
            </w:r>
          </w:p>
        </w:tc>
        <w:tc>
          <w:tcPr>
            <w:tcW w:w="1326" w:type="dxa"/>
            <w:tcBorders>
              <w:left w:val="single" w:color="000000" w:sz="4" w:space="0"/>
              <w:bottom w:val="single" w:color="000000" w:sz="4" w:space="0"/>
              <w:right w:val="single" w:color="000000" w:sz="4" w:space="0"/>
            </w:tcBorders>
            <w:shd w:val="clear" w:color="auto" w:fill="FFFFFF"/>
            <w:vAlign w:val="center"/>
          </w:tcPr>
          <w:p w14:paraId="63A3AA77">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8.84</w:t>
            </w:r>
          </w:p>
        </w:tc>
        <w:tc>
          <w:tcPr>
            <w:tcW w:w="1326" w:type="dxa"/>
            <w:tcBorders>
              <w:left w:val="single" w:color="000000" w:sz="4" w:space="0"/>
              <w:bottom w:val="single" w:color="000000" w:sz="4" w:space="0"/>
              <w:right w:val="single" w:color="000000" w:sz="4" w:space="0"/>
            </w:tcBorders>
            <w:shd w:val="clear" w:color="auto" w:fill="FFFFFF"/>
            <w:vAlign w:val="center"/>
          </w:tcPr>
          <w:p w14:paraId="3822BE6B">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17.58</w:t>
            </w:r>
          </w:p>
        </w:tc>
        <w:tc>
          <w:tcPr>
            <w:tcW w:w="1328" w:type="dxa"/>
            <w:tcBorders>
              <w:left w:val="single" w:color="000000" w:sz="4" w:space="0"/>
              <w:bottom w:val="single" w:color="000000" w:sz="4" w:space="0"/>
              <w:right w:val="single" w:color="auto" w:sz="4" w:space="0"/>
            </w:tcBorders>
            <w:shd w:val="clear" w:color="auto" w:fill="FFFFFF"/>
            <w:vAlign w:val="center"/>
          </w:tcPr>
          <w:p w14:paraId="122C2BBD">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24.96</w:t>
            </w:r>
          </w:p>
        </w:tc>
        <w:tc>
          <w:tcPr>
            <w:tcW w:w="1328" w:type="dxa"/>
            <w:tcBorders>
              <w:left w:val="single" w:color="auto" w:sz="4" w:space="0"/>
              <w:bottom w:val="single" w:color="000000" w:sz="4" w:space="0"/>
            </w:tcBorders>
            <w:shd w:val="clear" w:color="auto" w:fill="FFFFFF"/>
            <w:vAlign w:val="center"/>
          </w:tcPr>
          <w:p w14:paraId="0290C638">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32.00</w:t>
            </w:r>
          </w:p>
        </w:tc>
      </w:tr>
      <w:tr w14:paraId="20F825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26" w:type="dxa"/>
            <w:tcBorders>
              <w:top w:val="single" w:color="000000" w:sz="4" w:space="0"/>
              <w:right w:val="single" w:color="000000" w:sz="4" w:space="0"/>
            </w:tcBorders>
            <w:shd w:val="clear" w:color="auto" w:fill="FFFFFF"/>
            <w:vAlign w:val="center"/>
          </w:tcPr>
          <w:p w14:paraId="037A1E23">
            <w:pPr>
              <w:adjustRightInd w:val="0"/>
              <w:snapToGrid w:val="0"/>
              <w:spacing w:line="240" w:lineRule="auto"/>
              <w:jc w:val="center"/>
              <w:rPr>
                <w:rFonts w:hint="eastAsia" w:ascii="宋体" w:hAnsi="宋体" w:eastAsia="宋体" w:cs="宋体"/>
                <w:b w:val="0"/>
                <w:color w:val="000000"/>
                <w:szCs w:val="21"/>
              </w:rPr>
            </w:pPr>
            <w:r>
              <w:rPr>
                <w:rFonts w:hint="eastAsia" w:ascii="宋体" w:hAnsi="宋体" w:eastAsia="宋体" w:cs="宋体"/>
                <w:b w:val="0"/>
                <w:color w:val="000000"/>
                <w:kern w:val="0"/>
                <w:sz w:val="18"/>
              </w:rPr>
              <w:t>重复性限（</w:t>
            </w:r>
            <w:r>
              <w:rPr>
                <w:rFonts w:hint="eastAsia" w:ascii="宋体" w:hAnsi="宋体" w:eastAsia="宋体" w:cs="宋体"/>
                <w:b w:val="0"/>
                <w:i/>
                <w:iCs/>
                <w:color w:val="000000"/>
                <w:kern w:val="0"/>
                <w:sz w:val="18"/>
              </w:rPr>
              <w:t>r</w:t>
            </w:r>
            <w:r>
              <w:rPr>
                <w:rFonts w:hint="eastAsia" w:ascii="宋体" w:hAnsi="宋体" w:eastAsia="宋体" w:cs="宋体"/>
                <w:b w:val="0"/>
                <w:color w:val="000000"/>
                <w:kern w:val="0"/>
                <w:sz w:val="18"/>
              </w:rPr>
              <w:t>）/%</w:t>
            </w:r>
          </w:p>
        </w:tc>
        <w:tc>
          <w:tcPr>
            <w:tcW w:w="1326" w:type="dxa"/>
            <w:tcBorders>
              <w:top w:val="single" w:color="000000" w:sz="4" w:space="0"/>
              <w:left w:val="single" w:color="000000" w:sz="4" w:space="0"/>
              <w:right w:val="single" w:color="000000" w:sz="4" w:space="0"/>
            </w:tcBorders>
            <w:shd w:val="clear" w:color="auto" w:fill="FFFFFF"/>
            <w:vAlign w:val="center"/>
          </w:tcPr>
          <w:p w14:paraId="285CB4E2">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0.08 </w:t>
            </w:r>
          </w:p>
        </w:tc>
        <w:tc>
          <w:tcPr>
            <w:tcW w:w="1326" w:type="dxa"/>
            <w:tcBorders>
              <w:top w:val="single" w:color="000000" w:sz="4" w:space="0"/>
              <w:left w:val="single" w:color="000000" w:sz="4" w:space="0"/>
              <w:right w:val="single" w:color="000000" w:sz="4" w:space="0"/>
            </w:tcBorders>
            <w:shd w:val="clear" w:color="auto" w:fill="FFFFFF"/>
            <w:vAlign w:val="center"/>
          </w:tcPr>
          <w:p w14:paraId="73195E01">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0.08 </w:t>
            </w:r>
          </w:p>
        </w:tc>
        <w:tc>
          <w:tcPr>
            <w:tcW w:w="1326" w:type="dxa"/>
            <w:tcBorders>
              <w:top w:val="single" w:color="000000" w:sz="4" w:space="0"/>
              <w:left w:val="single" w:color="000000" w:sz="4" w:space="0"/>
              <w:right w:val="single" w:color="000000" w:sz="4" w:space="0"/>
            </w:tcBorders>
            <w:shd w:val="clear" w:color="auto" w:fill="FFFFFF"/>
            <w:vAlign w:val="center"/>
          </w:tcPr>
          <w:p w14:paraId="4EBE0DEA">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0.09 </w:t>
            </w:r>
          </w:p>
        </w:tc>
        <w:tc>
          <w:tcPr>
            <w:tcW w:w="1328" w:type="dxa"/>
            <w:tcBorders>
              <w:top w:val="single" w:color="000000" w:sz="4" w:space="0"/>
              <w:left w:val="single" w:color="000000" w:sz="4" w:space="0"/>
              <w:right w:val="single" w:color="auto" w:sz="4" w:space="0"/>
            </w:tcBorders>
            <w:shd w:val="clear" w:color="auto" w:fill="FFFFFF"/>
            <w:vAlign w:val="center"/>
          </w:tcPr>
          <w:p w14:paraId="5BE2F124">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0.13 </w:t>
            </w:r>
          </w:p>
        </w:tc>
        <w:tc>
          <w:tcPr>
            <w:tcW w:w="1328" w:type="dxa"/>
            <w:tcBorders>
              <w:top w:val="single" w:color="000000" w:sz="4" w:space="0"/>
              <w:left w:val="single" w:color="auto" w:sz="4" w:space="0"/>
            </w:tcBorders>
            <w:shd w:val="clear" w:color="auto" w:fill="FFFFFF"/>
            <w:vAlign w:val="center"/>
          </w:tcPr>
          <w:p w14:paraId="1FFE7490">
            <w:pPr>
              <w:keepNext w:val="0"/>
              <w:keepLines w:val="0"/>
              <w:widowControl/>
              <w:suppressLineNumbers w:val="0"/>
              <w:jc w:val="center"/>
              <w:textAlignment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0.13 </w:t>
            </w:r>
          </w:p>
        </w:tc>
      </w:tr>
    </w:tbl>
    <w:p w14:paraId="31229EDC">
      <w:pPr>
        <w:pStyle w:val="4"/>
        <w:numPr>
          <w:ilvl w:val="0"/>
          <w:numId w:val="0"/>
        </w:numPr>
        <w:ind w:leftChars="200"/>
        <w:jc w:val="both"/>
        <w:rPr>
          <w:rFonts w:hint="default" w:ascii="黑体" w:hAnsi="黑体" w:eastAsia="黑体" w:cs="黑体"/>
          <w:kern w:val="2"/>
          <w:sz w:val="21"/>
          <w:szCs w:val="21"/>
          <w:lang w:val="en-US" w:eastAsia="zh-CN" w:bidi="ar-SA"/>
        </w:rPr>
      </w:pPr>
    </w:p>
    <w:p w14:paraId="78E960C9">
      <w:pPr>
        <w:pStyle w:val="4"/>
        <w:numPr>
          <w:ilvl w:val="0"/>
          <w:numId w:val="0"/>
        </w:numPr>
        <w:ind w:leftChars="200"/>
        <w:jc w:val="both"/>
        <w:outlineLvl w:val="4"/>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2.1.3.2  再现性</w:t>
      </w:r>
    </w:p>
    <w:p w14:paraId="56518DA2">
      <w:pPr>
        <w:pStyle w:val="4"/>
        <w:numPr>
          <w:ilvl w:val="0"/>
          <w:numId w:val="0"/>
        </w:numPr>
        <w:ind w:firstLine="420" w:firstLineChars="200"/>
        <w:jc w:val="both"/>
        <w:rPr>
          <w:rFonts w:hint="eastAsia" w:ascii="黑体" w:hAnsi="黑体" w:eastAsia="黑体"/>
          <w:szCs w:val="21"/>
        </w:rPr>
      </w:pPr>
      <w:r>
        <w:rPr>
          <w:rFonts w:hint="eastAsia" w:ascii="宋体" w:hAnsi="宋体" w:eastAsia="宋体" w:cs="宋体"/>
          <w:color w:val="auto"/>
        </w:rPr>
        <w:t>在再现性条件下获得的两次独立测试结果的测定值，在</w:t>
      </w:r>
      <w:r>
        <w:rPr>
          <w:rFonts w:hint="eastAsia" w:ascii="宋体" w:hAnsi="宋体" w:eastAsia="宋体" w:cs="宋体"/>
          <w:szCs w:val="21"/>
        </w:rPr>
        <w:t>表</w:t>
      </w:r>
      <w:r>
        <w:rPr>
          <w:rFonts w:hint="eastAsia" w:ascii="宋体" w:hAnsi="宋体" w:eastAsia="宋体" w:cs="宋体"/>
          <w:szCs w:val="21"/>
          <w:lang w:val="en-US" w:eastAsia="zh-CN"/>
        </w:rPr>
        <w:t>22-2</w:t>
      </w:r>
      <w:r>
        <w:rPr>
          <w:rFonts w:hint="eastAsia" w:ascii="宋体" w:hAnsi="宋体" w:eastAsia="宋体" w:cs="宋体"/>
          <w:color w:val="auto"/>
        </w:rPr>
        <w:t>给出的平均值范围内，两个测试结果的绝对差值不超过再现性限（</w:t>
      </w:r>
      <w:r>
        <w:rPr>
          <w:rFonts w:hint="eastAsia" w:ascii="宋体" w:hAnsi="宋体" w:eastAsia="宋体" w:cs="宋体"/>
          <w:i/>
          <w:color w:val="auto"/>
        </w:rPr>
        <w:t>R</w:t>
      </w:r>
      <w:r>
        <w:rPr>
          <w:rFonts w:hint="eastAsia" w:ascii="宋体" w:hAnsi="宋体" w:eastAsia="宋体" w:cs="宋体"/>
          <w:color w:val="auto"/>
        </w:rPr>
        <w:t>），超过再现性限（</w:t>
      </w:r>
      <w:r>
        <w:rPr>
          <w:rFonts w:hint="eastAsia" w:ascii="宋体" w:hAnsi="宋体" w:eastAsia="宋体" w:cs="宋体"/>
          <w:i/>
          <w:color w:val="auto"/>
        </w:rPr>
        <w:t>R</w:t>
      </w:r>
      <w:r>
        <w:rPr>
          <w:rFonts w:hint="eastAsia" w:ascii="宋体" w:hAnsi="宋体" w:eastAsia="宋体" w:cs="宋体"/>
          <w:color w:val="auto"/>
        </w:rPr>
        <w:t>）情况不超过5%。再现性限（</w:t>
      </w:r>
      <w:r>
        <w:rPr>
          <w:rFonts w:hint="eastAsia" w:ascii="宋体" w:hAnsi="宋体" w:eastAsia="宋体" w:cs="宋体"/>
          <w:i/>
          <w:color w:val="auto"/>
        </w:rPr>
        <w:t>R</w:t>
      </w:r>
      <w:r>
        <w:rPr>
          <w:rFonts w:hint="eastAsia" w:ascii="宋体" w:hAnsi="宋体" w:eastAsia="宋体" w:cs="宋体"/>
          <w:color w:val="auto"/>
        </w:rPr>
        <w:t>）按表</w:t>
      </w:r>
      <w:r>
        <w:rPr>
          <w:rFonts w:hint="eastAsia" w:ascii="宋体" w:hAnsi="宋体" w:eastAsia="宋体" w:cs="宋体"/>
          <w:color w:val="auto"/>
          <w:lang w:val="en-US" w:eastAsia="zh-CN"/>
        </w:rPr>
        <w:t>22-2</w:t>
      </w:r>
      <w:r>
        <w:rPr>
          <w:rFonts w:hint="eastAsia" w:ascii="宋体" w:hAnsi="宋体" w:eastAsia="宋体" w:cs="宋体"/>
          <w:color w:val="auto"/>
        </w:rPr>
        <w:t>数据采用线性内插法或外延法求得。</w:t>
      </w:r>
    </w:p>
    <w:p w14:paraId="6C164BC3">
      <w:pPr>
        <w:spacing w:line="360" w:lineRule="auto"/>
        <w:ind w:firstLine="420" w:firstLineChars="200"/>
        <w:jc w:val="center"/>
        <w:rPr>
          <w:rFonts w:ascii="黑体" w:hAnsi="黑体" w:eastAsia="黑体"/>
        </w:rPr>
      </w:pPr>
      <w:r>
        <w:rPr>
          <w:rFonts w:hint="eastAsia" w:ascii="黑体" w:hAnsi="黑体" w:eastAsia="黑体"/>
          <w:szCs w:val="21"/>
        </w:rPr>
        <w:t>表</w:t>
      </w:r>
      <w:r>
        <w:rPr>
          <w:rFonts w:hint="eastAsia" w:ascii="黑体" w:hAnsi="黑体" w:eastAsia="黑体"/>
          <w:szCs w:val="21"/>
          <w:lang w:val="en-US" w:eastAsia="zh-CN"/>
        </w:rPr>
        <w:t>22-2</w:t>
      </w:r>
      <w:r>
        <w:rPr>
          <w:rFonts w:hint="eastAsia" w:ascii="黑体" w:hAnsi="黑体" w:eastAsia="黑体"/>
          <w:szCs w:val="21"/>
        </w:rPr>
        <w:t xml:space="preserve">  </w:t>
      </w:r>
      <w:r>
        <w:rPr>
          <w:rFonts w:hint="eastAsia" w:ascii="黑体" w:hAnsi="黑体" w:eastAsia="黑体"/>
        </w:rPr>
        <w:t>再现性限</w:t>
      </w:r>
    </w:p>
    <w:tbl>
      <w:tblPr>
        <w:tblStyle w:val="1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25"/>
        <w:gridCol w:w="1326"/>
        <w:gridCol w:w="1326"/>
        <w:gridCol w:w="1326"/>
        <w:gridCol w:w="1328"/>
        <w:gridCol w:w="1328"/>
      </w:tblGrid>
      <w:tr w14:paraId="2720FA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26" w:type="dxa"/>
            <w:tcBorders>
              <w:bottom w:val="single" w:color="000000" w:sz="4" w:space="0"/>
              <w:right w:val="single" w:color="000000" w:sz="4" w:space="0"/>
              <w:tl2br w:val="nil"/>
            </w:tcBorders>
            <w:shd w:val="clear" w:color="auto" w:fill="FFFFFF"/>
            <w:vAlign w:val="center"/>
          </w:tcPr>
          <w:p w14:paraId="6C4D6480">
            <w:pPr>
              <w:adjustRightInd w:val="0"/>
              <w:snapToGrid w:val="0"/>
              <w:spacing w:line="240" w:lineRule="auto"/>
              <w:jc w:val="center"/>
              <w:rPr>
                <w:rFonts w:hint="eastAsia" w:ascii="宋体" w:hAnsi="宋体" w:eastAsia="宋体" w:cs="宋体"/>
                <w:b w:val="0"/>
                <w:color w:val="000000"/>
                <w:szCs w:val="21"/>
              </w:rPr>
            </w:pPr>
            <w:r>
              <w:rPr>
                <w:rFonts w:hint="eastAsia" w:ascii="宋体" w:hAnsi="宋体" w:eastAsia="宋体" w:cs="宋体"/>
                <w:b w:val="0"/>
                <w:color w:val="000000"/>
                <w:kern w:val="0"/>
                <w:sz w:val="18"/>
                <w:lang w:val="en-US" w:eastAsia="zh-CN"/>
              </w:rPr>
              <w:t>铅的</w:t>
            </w:r>
            <w:r>
              <w:rPr>
                <w:rFonts w:hint="eastAsia" w:ascii="宋体" w:hAnsi="宋体" w:eastAsia="宋体" w:cs="宋体"/>
                <w:b w:val="0"/>
                <w:color w:val="000000"/>
                <w:kern w:val="0"/>
                <w:sz w:val="18"/>
              </w:rPr>
              <w:t>质量分数/%</w:t>
            </w:r>
          </w:p>
        </w:tc>
        <w:tc>
          <w:tcPr>
            <w:tcW w:w="1326" w:type="dxa"/>
            <w:tcBorders>
              <w:left w:val="single" w:color="000000" w:sz="4" w:space="0"/>
              <w:bottom w:val="single" w:color="000000" w:sz="4" w:space="0"/>
              <w:right w:val="single" w:color="000000" w:sz="4" w:space="0"/>
            </w:tcBorders>
            <w:shd w:val="clear" w:color="auto" w:fill="FFFFFF"/>
            <w:vAlign w:val="center"/>
          </w:tcPr>
          <w:p w14:paraId="73525781">
            <w:pPr>
              <w:keepNext w:val="0"/>
              <w:keepLines w:val="0"/>
              <w:widowControl/>
              <w:suppressLineNumbers w:val="0"/>
              <w:jc w:val="center"/>
              <w:textAlignment w:val="center"/>
              <w:rPr>
                <w:rFonts w:hint="default" w:ascii="宋体" w:hAnsi="宋体" w:eastAsia="宋体" w:cs="宋体"/>
                <w:b w:val="0"/>
                <w:color w:val="000000"/>
                <w:kern w:val="0"/>
                <w:sz w:val="18"/>
                <w:lang w:val="en-US"/>
              </w:rPr>
            </w:pPr>
            <w:r>
              <w:rPr>
                <w:rFonts w:hint="eastAsia" w:ascii="宋体" w:hAnsi="宋体" w:eastAsia="宋体" w:cs="宋体"/>
                <w:b w:val="0"/>
                <w:bCs w:val="0"/>
                <w:i w:val="0"/>
                <w:iCs w:val="0"/>
                <w:color w:val="000000"/>
                <w:kern w:val="0"/>
                <w:sz w:val="18"/>
                <w:szCs w:val="18"/>
                <w:u w:val="none"/>
                <w:lang w:val="en-US" w:eastAsia="zh-CN" w:bidi="ar"/>
              </w:rPr>
              <w:t>6.14</w:t>
            </w:r>
          </w:p>
        </w:tc>
        <w:tc>
          <w:tcPr>
            <w:tcW w:w="1326" w:type="dxa"/>
            <w:tcBorders>
              <w:left w:val="single" w:color="000000" w:sz="4" w:space="0"/>
              <w:bottom w:val="single" w:color="000000" w:sz="4" w:space="0"/>
              <w:right w:val="single" w:color="000000" w:sz="4" w:space="0"/>
            </w:tcBorders>
            <w:shd w:val="clear" w:color="auto" w:fill="FFFFFF"/>
            <w:vAlign w:val="center"/>
          </w:tcPr>
          <w:p w14:paraId="2CC6D62F">
            <w:pPr>
              <w:keepNext w:val="0"/>
              <w:keepLines w:val="0"/>
              <w:widowControl/>
              <w:suppressLineNumbers w:val="0"/>
              <w:jc w:val="center"/>
              <w:textAlignment w:val="center"/>
              <w:rPr>
                <w:rFonts w:hint="default" w:ascii="宋体" w:hAnsi="宋体" w:eastAsia="宋体" w:cs="宋体"/>
                <w:b w:val="0"/>
                <w:color w:val="000000"/>
                <w:kern w:val="0"/>
                <w:sz w:val="18"/>
                <w:lang w:val="en-US"/>
              </w:rPr>
            </w:pPr>
            <w:r>
              <w:rPr>
                <w:rFonts w:hint="eastAsia" w:ascii="宋体" w:hAnsi="宋体" w:eastAsia="宋体" w:cs="宋体"/>
                <w:b w:val="0"/>
                <w:bCs w:val="0"/>
                <w:i w:val="0"/>
                <w:iCs w:val="0"/>
                <w:color w:val="000000"/>
                <w:kern w:val="0"/>
                <w:sz w:val="18"/>
                <w:szCs w:val="18"/>
                <w:u w:val="none"/>
                <w:lang w:val="en-US" w:eastAsia="zh-CN" w:bidi="ar"/>
              </w:rPr>
              <w:t>8.84</w:t>
            </w:r>
          </w:p>
        </w:tc>
        <w:tc>
          <w:tcPr>
            <w:tcW w:w="1326" w:type="dxa"/>
            <w:tcBorders>
              <w:left w:val="single" w:color="000000" w:sz="4" w:space="0"/>
              <w:bottom w:val="single" w:color="000000" w:sz="4" w:space="0"/>
              <w:right w:val="single" w:color="000000" w:sz="4" w:space="0"/>
            </w:tcBorders>
            <w:shd w:val="clear" w:color="auto" w:fill="FFFFFF"/>
            <w:vAlign w:val="center"/>
          </w:tcPr>
          <w:p w14:paraId="2DA245FF">
            <w:pPr>
              <w:keepNext w:val="0"/>
              <w:keepLines w:val="0"/>
              <w:widowControl/>
              <w:suppressLineNumbers w:val="0"/>
              <w:jc w:val="center"/>
              <w:textAlignment w:val="center"/>
              <w:rPr>
                <w:rFonts w:hint="default" w:ascii="宋体" w:hAnsi="宋体" w:eastAsia="宋体" w:cs="宋体"/>
                <w:b w:val="0"/>
                <w:color w:val="000000"/>
                <w:kern w:val="0"/>
                <w:sz w:val="18"/>
                <w:lang w:val="en-US"/>
              </w:rPr>
            </w:pPr>
            <w:r>
              <w:rPr>
                <w:rFonts w:hint="eastAsia" w:ascii="宋体" w:hAnsi="宋体" w:eastAsia="宋体" w:cs="宋体"/>
                <w:b w:val="0"/>
                <w:bCs w:val="0"/>
                <w:i w:val="0"/>
                <w:iCs w:val="0"/>
                <w:color w:val="000000"/>
                <w:kern w:val="0"/>
                <w:sz w:val="18"/>
                <w:szCs w:val="18"/>
                <w:u w:val="none"/>
                <w:lang w:val="en-US" w:eastAsia="zh-CN" w:bidi="ar"/>
              </w:rPr>
              <w:t>17.58</w:t>
            </w:r>
          </w:p>
        </w:tc>
        <w:tc>
          <w:tcPr>
            <w:tcW w:w="1328" w:type="dxa"/>
            <w:tcBorders>
              <w:left w:val="single" w:color="000000" w:sz="4" w:space="0"/>
              <w:bottom w:val="single" w:color="000000" w:sz="4" w:space="0"/>
              <w:right w:val="single" w:color="auto" w:sz="4" w:space="0"/>
            </w:tcBorders>
            <w:shd w:val="clear" w:color="auto" w:fill="FFFFFF"/>
            <w:vAlign w:val="center"/>
          </w:tcPr>
          <w:p w14:paraId="24D196FB">
            <w:pPr>
              <w:keepNext w:val="0"/>
              <w:keepLines w:val="0"/>
              <w:widowControl/>
              <w:suppressLineNumbers w:val="0"/>
              <w:jc w:val="center"/>
              <w:textAlignment w:val="center"/>
              <w:rPr>
                <w:rFonts w:hint="default" w:ascii="宋体" w:hAnsi="宋体" w:eastAsia="宋体" w:cs="宋体"/>
                <w:b w:val="0"/>
                <w:color w:val="000000"/>
                <w:kern w:val="0"/>
                <w:sz w:val="18"/>
                <w:lang w:val="en-US" w:eastAsia="zh-CN"/>
              </w:rPr>
            </w:pPr>
            <w:r>
              <w:rPr>
                <w:rFonts w:hint="eastAsia" w:ascii="宋体" w:hAnsi="宋体" w:eastAsia="宋体" w:cs="宋体"/>
                <w:b w:val="0"/>
                <w:bCs w:val="0"/>
                <w:i w:val="0"/>
                <w:iCs w:val="0"/>
                <w:color w:val="000000"/>
                <w:kern w:val="0"/>
                <w:sz w:val="18"/>
                <w:szCs w:val="18"/>
                <w:u w:val="none"/>
                <w:lang w:val="en-US" w:eastAsia="zh-CN" w:bidi="ar"/>
              </w:rPr>
              <w:t>24.96</w:t>
            </w:r>
          </w:p>
        </w:tc>
        <w:tc>
          <w:tcPr>
            <w:tcW w:w="1328" w:type="dxa"/>
            <w:tcBorders>
              <w:left w:val="single" w:color="auto" w:sz="4" w:space="0"/>
              <w:bottom w:val="single" w:color="000000" w:sz="4" w:space="0"/>
            </w:tcBorders>
            <w:shd w:val="clear" w:color="auto" w:fill="FFFFFF"/>
            <w:vAlign w:val="center"/>
          </w:tcPr>
          <w:p w14:paraId="6906DF9E">
            <w:pPr>
              <w:keepNext w:val="0"/>
              <w:keepLines w:val="0"/>
              <w:widowControl/>
              <w:suppressLineNumbers w:val="0"/>
              <w:jc w:val="center"/>
              <w:textAlignment w:val="center"/>
              <w:rPr>
                <w:rFonts w:hint="eastAsia" w:ascii="宋体" w:hAnsi="宋体" w:eastAsia="宋体" w:cs="宋体"/>
                <w:b w:val="0"/>
                <w:color w:val="000000"/>
                <w:kern w:val="0"/>
                <w:sz w:val="18"/>
                <w:lang w:val="en-US" w:eastAsia="zh-CN"/>
              </w:rPr>
            </w:pPr>
            <w:r>
              <w:rPr>
                <w:rFonts w:hint="eastAsia" w:ascii="宋体" w:hAnsi="宋体" w:eastAsia="宋体" w:cs="宋体"/>
                <w:b w:val="0"/>
                <w:bCs w:val="0"/>
                <w:i w:val="0"/>
                <w:iCs w:val="0"/>
                <w:color w:val="000000"/>
                <w:kern w:val="0"/>
                <w:sz w:val="18"/>
                <w:szCs w:val="18"/>
                <w:u w:val="none"/>
                <w:lang w:val="en-US" w:eastAsia="zh-CN" w:bidi="ar"/>
              </w:rPr>
              <w:t>32.00</w:t>
            </w:r>
          </w:p>
        </w:tc>
      </w:tr>
      <w:tr w14:paraId="2D6F50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26" w:type="dxa"/>
            <w:tcBorders>
              <w:top w:val="single" w:color="000000" w:sz="4" w:space="0"/>
              <w:right w:val="single" w:color="000000" w:sz="4" w:space="0"/>
            </w:tcBorders>
            <w:shd w:val="clear" w:color="auto" w:fill="FFFFFF"/>
            <w:vAlign w:val="center"/>
          </w:tcPr>
          <w:p w14:paraId="0DB39AE2">
            <w:pPr>
              <w:adjustRightInd w:val="0"/>
              <w:snapToGrid w:val="0"/>
              <w:spacing w:line="240" w:lineRule="auto"/>
              <w:jc w:val="center"/>
              <w:rPr>
                <w:rFonts w:hint="eastAsia" w:ascii="宋体" w:hAnsi="宋体" w:eastAsia="宋体" w:cs="宋体"/>
                <w:b w:val="0"/>
                <w:color w:val="000000"/>
                <w:szCs w:val="21"/>
              </w:rPr>
            </w:pPr>
            <w:r>
              <w:rPr>
                <w:rFonts w:hint="eastAsia" w:ascii="宋体" w:hAnsi="宋体" w:eastAsia="宋体" w:cs="宋体"/>
                <w:b w:val="0"/>
                <w:color w:val="000000"/>
                <w:kern w:val="0"/>
                <w:sz w:val="18"/>
              </w:rPr>
              <w:t>重复性限（</w:t>
            </w:r>
            <w:r>
              <w:rPr>
                <w:rFonts w:hint="eastAsia" w:ascii="宋体" w:hAnsi="宋体" w:eastAsia="宋体" w:cs="宋体"/>
                <w:b w:val="0"/>
                <w:i/>
                <w:iCs/>
                <w:color w:val="000000"/>
                <w:kern w:val="0"/>
                <w:sz w:val="18"/>
              </w:rPr>
              <w:t>r</w:t>
            </w:r>
            <w:r>
              <w:rPr>
                <w:rFonts w:hint="eastAsia" w:ascii="宋体" w:hAnsi="宋体" w:eastAsia="宋体" w:cs="宋体"/>
                <w:b w:val="0"/>
                <w:color w:val="000000"/>
                <w:kern w:val="0"/>
                <w:sz w:val="18"/>
              </w:rPr>
              <w:t>）/%</w:t>
            </w:r>
          </w:p>
        </w:tc>
        <w:tc>
          <w:tcPr>
            <w:tcW w:w="1326" w:type="dxa"/>
            <w:tcBorders>
              <w:top w:val="single" w:color="000000" w:sz="4" w:space="0"/>
              <w:left w:val="single" w:color="000000" w:sz="4" w:space="0"/>
              <w:right w:val="single" w:color="000000" w:sz="4" w:space="0"/>
            </w:tcBorders>
            <w:shd w:val="clear" w:color="auto" w:fill="FFFFFF"/>
            <w:vAlign w:val="center"/>
          </w:tcPr>
          <w:p w14:paraId="17A6FA9E">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0.12 </w:t>
            </w:r>
          </w:p>
        </w:tc>
        <w:tc>
          <w:tcPr>
            <w:tcW w:w="1326" w:type="dxa"/>
            <w:tcBorders>
              <w:top w:val="single" w:color="000000" w:sz="4" w:space="0"/>
              <w:left w:val="single" w:color="000000" w:sz="4" w:space="0"/>
              <w:right w:val="single" w:color="000000" w:sz="4" w:space="0"/>
            </w:tcBorders>
            <w:shd w:val="clear" w:color="auto" w:fill="FFFFFF"/>
            <w:vAlign w:val="center"/>
          </w:tcPr>
          <w:p w14:paraId="4C8642F2">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0.12</w:t>
            </w:r>
          </w:p>
        </w:tc>
        <w:tc>
          <w:tcPr>
            <w:tcW w:w="1326" w:type="dxa"/>
            <w:tcBorders>
              <w:top w:val="single" w:color="000000" w:sz="4" w:space="0"/>
              <w:left w:val="single" w:color="000000" w:sz="4" w:space="0"/>
              <w:right w:val="single" w:color="000000" w:sz="4" w:space="0"/>
            </w:tcBorders>
            <w:shd w:val="clear" w:color="auto" w:fill="FFFFFF"/>
            <w:vAlign w:val="center"/>
          </w:tcPr>
          <w:p w14:paraId="0FD8FAB6">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rPr>
            </w:pPr>
            <w:r>
              <w:rPr>
                <w:rFonts w:hint="eastAsia" w:ascii="宋体" w:hAnsi="宋体" w:eastAsia="宋体" w:cs="宋体"/>
                <w:b w:val="0"/>
                <w:bCs w:val="0"/>
                <w:i w:val="0"/>
                <w:iCs w:val="0"/>
                <w:color w:val="000000"/>
                <w:kern w:val="0"/>
                <w:sz w:val="18"/>
                <w:szCs w:val="18"/>
                <w:u w:val="none"/>
                <w:lang w:val="en-US" w:eastAsia="zh-CN" w:bidi="ar"/>
              </w:rPr>
              <w:t xml:space="preserve">0.18 </w:t>
            </w:r>
          </w:p>
        </w:tc>
        <w:tc>
          <w:tcPr>
            <w:tcW w:w="1328" w:type="dxa"/>
            <w:tcBorders>
              <w:top w:val="single" w:color="000000" w:sz="4" w:space="0"/>
              <w:left w:val="single" w:color="000000" w:sz="4" w:space="0"/>
              <w:right w:val="single" w:color="auto" w:sz="4" w:space="0"/>
            </w:tcBorders>
            <w:shd w:val="clear" w:color="auto" w:fill="FFFFFF"/>
            <w:vAlign w:val="center"/>
          </w:tcPr>
          <w:p w14:paraId="1254CEA3">
            <w:pPr>
              <w:keepNext w:val="0"/>
              <w:keepLines w:val="0"/>
              <w:widowControl/>
              <w:suppressLineNumbers w:val="0"/>
              <w:jc w:val="center"/>
              <w:textAlignment w:val="center"/>
              <w:rPr>
                <w:rFonts w:hint="default" w:ascii="宋体" w:hAnsi="宋体" w:eastAsia="宋体" w:cs="宋体"/>
                <w:b w:val="0"/>
                <w:bCs w:val="0"/>
                <w:color w:val="000000"/>
                <w:kern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0.20 </w:t>
            </w:r>
          </w:p>
        </w:tc>
        <w:tc>
          <w:tcPr>
            <w:tcW w:w="1328" w:type="dxa"/>
            <w:tcBorders>
              <w:top w:val="single" w:color="000000" w:sz="4" w:space="0"/>
              <w:left w:val="single" w:color="auto" w:sz="4" w:space="0"/>
            </w:tcBorders>
            <w:shd w:val="clear" w:color="auto" w:fill="FFFFFF"/>
            <w:vAlign w:val="center"/>
          </w:tcPr>
          <w:p w14:paraId="75B9F9FD">
            <w:pPr>
              <w:keepNext w:val="0"/>
              <w:keepLines w:val="0"/>
              <w:widowControl/>
              <w:suppressLineNumbers w:val="0"/>
              <w:jc w:val="center"/>
              <w:textAlignment w:val="center"/>
              <w:rPr>
                <w:rFonts w:hint="eastAsia" w:ascii="宋体" w:hAnsi="宋体" w:eastAsia="宋体" w:cs="宋体"/>
                <w:b w:val="0"/>
                <w:bCs w:val="0"/>
                <w:color w:val="000000"/>
                <w:kern w:val="0"/>
                <w:sz w:val="18"/>
                <w:szCs w:val="18"/>
                <w:lang w:val="en-US" w:eastAsia="zh-CN"/>
              </w:rPr>
            </w:pPr>
            <w:r>
              <w:rPr>
                <w:rFonts w:hint="eastAsia" w:ascii="宋体" w:hAnsi="宋体" w:eastAsia="宋体" w:cs="宋体"/>
                <w:b w:val="0"/>
                <w:bCs w:val="0"/>
                <w:i w:val="0"/>
                <w:iCs w:val="0"/>
                <w:color w:val="000000"/>
                <w:kern w:val="0"/>
                <w:sz w:val="18"/>
                <w:szCs w:val="18"/>
                <w:u w:val="none"/>
                <w:lang w:val="en-US" w:eastAsia="zh-CN" w:bidi="ar"/>
              </w:rPr>
              <w:t xml:space="preserve">0.22 </w:t>
            </w:r>
          </w:p>
        </w:tc>
      </w:tr>
    </w:tbl>
    <w:p w14:paraId="56A751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黑体" w:hAnsi="黑体" w:eastAsia="黑体" w:cs="黑体"/>
          <w:kern w:val="2"/>
          <w:sz w:val="21"/>
          <w:szCs w:val="21"/>
          <w:lang w:val="en-US" w:eastAsia="zh-CN" w:bidi="ar-SA"/>
        </w:rPr>
      </w:pPr>
    </w:p>
    <w:p w14:paraId="21CEB6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3 方法一 塞曼效应电热原子吸收光谱法精密度验证</w:t>
      </w:r>
    </w:p>
    <w:p w14:paraId="3985D3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宋体" w:hAnsi="宋体" w:eastAsia="宋体" w:cs="宋体"/>
          <w:szCs w:val="24"/>
          <w:lang w:val="en-US" w:eastAsia="zh-CN"/>
        </w:rPr>
      </w:pPr>
      <w:r>
        <w:rPr>
          <w:rFonts w:hint="eastAsia" w:ascii="宋体" w:hAnsi="宋体" w:eastAsia="宋体" w:cs="宋体"/>
          <w:szCs w:val="24"/>
          <w:lang w:val="en-US" w:eastAsia="zh-CN"/>
        </w:rPr>
        <w:t>方法一塞曼效应电热原子吸收光谱法由厦门双瑞材料研究院有限公司等五家单位开展方法精密度验证。按照试验方法对2个样品独立7次测定，测定结果见表23。</w:t>
      </w:r>
    </w:p>
    <w:p w14:paraId="1A6134FA">
      <w:pPr>
        <w:spacing w:line="360" w:lineRule="auto"/>
        <w:ind w:firstLine="420" w:firstLineChars="200"/>
        <w:jc w:val="center"/>
        <w:rPr>
          <w:rFonts w:hint="eastAsia" w:ascii="黑体" w:hAnsi="黑体" w:eastAsia="黑体" w:cs="Times New Roman"/>
        </w:rPr>
      </w:pPr>
      <w:r>
        <w:rPr>
          <w:rFonts w:hint="eastAsia" w:ascii="黑体" w:hAnsi="黑体" w:eastAsia="黑体" w:cs="Times New Roman"/>
        </w:rPr>
        <w:t>表</w:t>
      </w:r>
      <w:r>
        <w:rPr>
          <w:rFonts w:hint="eastAsia" w:ascii="黑体" w:hAnsi="黑体" w:eastAsia="黑体" w:cs="Times New Roman"/>
          <w:lang w:val="en-US" w:eastAsia="zh-CN"/>
        </w:rPr>
        <w:t>24</w:t>
      </w:r>
      <w:r>
        <w:rPr>
          <w:rFonts w:hint="eastAsia" w:ascii="黑体" w:hAnsi="黑体" w:eastAsia="黑体" w:cs="Times New Roman"/>
        </w:rPr>
        <w:t xml:space="preserve"> </w:t>
      </w:r>
      <w:r>
        <w:rPr>
          <w:rFonts w:hint="eastAsia" w:ascii="黑体" w:hAnsi="黑体" w:eastAsia="黑体" w:cs="Times New Roman"/>
          <w:lang w:val="en-US" w:eastAsia="zh-CN"/>
        </w:rPr>
        <w:t>方法一</w:t>
      </w:r>
      <w:r>
        <w:rPr>
          <w:rFonts w:hint="eastAsia" w:ascii="黑体" w:hAnsi="黑体" w:eastAsia="黑体" w:cs="Times New Roman"/>
        </w:rPr>
        <w:t>精密度试验结果</w:t>
      </w:r>
    </w:p>
    <w:tbl>
      <w:tblPr>
        <w:tblStyle w:val="13"/>
        <w:tblW w:w="91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022"/>
        <w:gridCol w:w="1090"/>
        <w:gridCol w:w="4128"/>
        <w:gridCol w:w="1112"/>
        <w:gridCol w:w="857"/>
        <w:gridCol w:w="934"/>
      </w:tblGrid>
      <w:tr w14:paraId="7521B5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022" w:type="dxa"/>
            <w:tcBorders>
              <w:bottom w:val="single" w:color="000000" w:sz="4" w:space="0"/>
              <w:right w:val="single" w:color="000000" w:sz="4" w:space="0"/>
              <w:tl2br w:val="nil"/>
            </w:tcBorders>
            <w:shd w:val="clear" w:color="auto" w:fill="FFFFFF"/>
            <w:noWrap w:val="0"/>
            <w:vAlign w:val="center"/>
          </w:tcPr>
          <w:p w14:paraId="2B6E69CB">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实验室</w:t>
            </w:r>
          </w:p>
        </w:tc>
        <w:tc>
          <w:tcPr>
            <w:tcW w:w="1090" w:type="dxa"/>
            <w:tcBorders>
              <w:left w:val="single" w:color="000000" w:sz="4" w:space="0"/>
              <w:bottom w:val="single" w:color="000000" w:sz="4" w:space="0"/>
              <w:right w:val="single" w:color="000000" w:sz="4" w:space="0"/>
            </w:tcBorders>
            <w:shd w:val="clear" w:color="auto" w:fill="FFFFFF"/>
            <w:noWrap w:val="0"/>
            <w:vAlign w:val="center"/>
          </w:tcPr>
          <w:p w14:paraId="09CDF3B5">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样品编号</w:t>
            </w:r>
          </w:p>
        </w:tc>
        <w:tc>
          <w:tcPr>
            <w:tcW w:w="4128" w:type="dxa"/>
            <w:tcBorders>
              <w:left w:val="single" w:color="000000" w:sz="4" w:space="0"/>
              <w:bottom w:val="single" w:color="000000" w:sz="4" w:space="0"/>
              <w:right w:val="single" w:color="000000" w:sz="4" w:space="0"/>
            </w:tcBorders>
            <w:shd w:val="clear" w:color="auto" w:fill="FFFFFF"/>
            <w:noWrap w:val="0"/>
            <w:vAlign w:val="center"/>
          </w:tcPr>
          <w:p w14:paraId="14AB2257">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 xml:space="preserve">测定结果/ % </w:t>
            </w:r>
          </w:p>
        </w:tc>
        <w:tc>
          <w:tcPr>
            <w:tcW w:w="1112" w:type="dxa"/>
            <w:tcBorders>
              <w:left w:val="single" w:color="000000" w:sz="4" w:space="0"/>
              <w:bottom w:val="single" w:color="000000" w:sz="4" w:space="0"/>
              <w:right w:val="single" w:color="000000" w:sz="4" w:space="0"/>
            </w:tcBorders>
            <w:shd w:val="clear" w:color="auto" w:fill="FFFFFF"/>
            <w:noWrap w:val="0"/>
            <w:vAlign w:val="center"/>
          </w:tcPr>
          <w:p w14:paraId="74AC29E2">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平均值/ %</w:t>
            </w:r>
          </w:p>
        </w:tc>
        <w:tc>
          <w:tcPr>
            <w:tcW w:w="857" w:type="dxa"/>
            <w:tcBorders>
              <w:left w:val="single" w:color="000000" w:sz="4" w:space="0"/>
              <w:bottom w:val="single" w:color="000000" w:sz="4" w:space="0"/>
              <w:right w:val="single" w:color="000000" w:sz="4" w:space="0"/>
            </w:tcBorders>
            <w:shd w:val="clear" w:color="auto" w:fill="FFFFFF"/>
            <w:noWrap w:val="0"/>
            <w:vAlign w:val="center"/>
          </w:tcPr>
          <w:p w14:paraId="05062DF5">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标准偏差</w:t>
            </w:r>
            <w:r>
              <w:rPr>
                <w:rFonts w:hint="eastAsia" w:ascii="宋体" w:hAnsi="宋体" w:eastAsia="宋体" w:cs="宋体"/>
                <w:b w:val="0"/>
                <w:color w:val="000000"/>
                <w:sz w:val="18"/>
                <w:szCs w:val="18"/>
              </w:rPr>
              <w:t>/ %</w:t>
            </w:r>
          </w:p>
        </w:tc>
        <w:tc>
          <w:tcPr>
            <w:tcW w:w="934" w:type="dxa"/>
            <w:tcBorders>
              <w:left w:val="single" w:color="000000" w:sz="4" w:space="0"/>
              <w:bottom w:val="single" w:color="000000" w:sz="4" w:space="0"/>
            </w:tcBorders>
            <w:shd w:val="clear" w:color="auto" w:fill="FFFFFF"/>
            <w:noWrap w:val="0"/>
            <w:vAlign w:val="center"/>
          </w:tcPr>
          <w:p w14:paraId="6EE445DB">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RSD/</w:t>
            </w:r>
          </w:p>
          <w:p w14:paraId="6BDC85E3">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w:t>
            </w:r>
          </w:p>
        </w:tc>
      </w:tr>
      <w:tr w14:paraId="00394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31" w:hRule="atLeast"/>
          <w:jc w:val="center"/>
        </w:trPr>
        <w:tc>
          <w:tcPr>
            <w:tcW w:w="1022" w:type="dxa"/>
            <w:vMerge w:val="restart"/>
            <w:tcBorders>
              <w:top w:val="single" w:color="000000" w:sz="4" w:space="0"/>
              <w:bottom w:val="single" w:color="000000" w:sz="4" w:space="0"/>
              <w:right w:val="single" w:color="000000" w:sz="4" w:space="0"/>
            </w:tcBorders>
            <w:shd w:val="clear" w:color="auto" w:fill="FFFFFF"/>
            <w:noWrap w:val="0"/>
            <w:vAlign w:val="center"/>
          </w:tcPr>
          <w:p w14:paraId="2C43595A">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厦门双瑞材料研究院有限公司</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EDBB93">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QPb1-1</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8D860D">
            <w:pPr>
              <w:jc w:val="center"/>
              <w:rPr>
                <w:rFonts w:hint="eastAsia" w:ascii="宋体" w:hAnsi="宋体" w:eastAsia="宋体" w:cs="宋体"/>
                <w:color w:val="000000"/>
                <w:sz w:val="18"/>
                <w:szCs w:val="18"/>
                <w:lang w:eastAsia="zh-CN"/>
              </w:rPr>
            </w:pPr>
            <w:r>
              <w:rPr>
                <w:rFonts w:hint="eastAsia" w:ascii="宋体" w:hAnsi="宋体" w:eastAsia="宋体" w:cs="宋体"/>
                <w:color w:val="000000"/>
                <w:sz w:val="18"/>
                <w:szCs w:val="18"/>
              </w:rPr>
              <w:t>0.00020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0.00019</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0.00017</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0.00020</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0.00024</w:t>
            </w:r>
            <w:r>
              <w:rPr>
                <w:rFonts w:hint="eastAsia" w:ascii="宋体" w:hAnsi="宋体" w:eastAsia="宋体" w:cs="宋体"/>
                <w:color w:val="000000"/>
                <w:sz w:val="18"/>
                <w:szCs w:val="18"/>
                <w:lang w:eastAsia="zh-CN"/>
              </w:rPr>
              <w:t>，</w:t>
            </w:r>
          </w:p>
          <w:p w14:paraId="6DC1815F">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0.00023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0.00023</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6BE8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0.00021</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9085FE">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0.000025</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68FF49AA">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12.20</w:t>
            </w:r>
          </w:p>
        </w:tc>
      </w:tr>
      <w:tr w14:paraId="74688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top w:val="single" w:color="000000" w:sz="4" w:space="0"/>
              <w:bottom w:val="single" w:color="000000" w:sz="4" w:space="0"/>
              <w:right w:val="single" w:color="000000" w:sz="4" w:space="0"/>
            </w:tcBorders>
            <w:shd w:val="clear" w:color="auto" w:fill="FFFFFF"/>
            <w:noWrap w:val="0"/>
            <w:vAlign w:val="center"/>
          </w:tcPr>
          <w:p w14:paraId="47AF5EF0">
            <w:pPr>
              <w:jc w:val="center"/>
              <w:rPr>
                <w:rFonts w:hint="eastAsia" w:ascii="宋体" w:hAnsi="宋体" w:eastAsia="宋体" w:cs="宋体"/>
                <w:b w:val="0"/>
                <w:color w:val="000000"/>
                <w:sz w:val="18"/>
                <w:szCs w:val="18"/>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171F1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QPb1-2</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412E1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0.00096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0.00109</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0.00103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0.00105</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0.00113</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0.00106</w:t>
            </w:r>
            <w:r>
              <w:rPr>
                <w:rFonts w:hint="eastAsia" w:ascii="宋体" w:hAnsi="宋体" w:eastAsia="宋体" w:cs="宋体"/>
                <w:color w:val="000000"/>
                <w:sz w:val="18"/>
                <w:szCs w:val="18"/>
                <w:lang w:eastAsia="zh-CN"/>
              </w:rPr>
              <w:t>，</w:t>
            </w:r>
            <w:r>
              <w:rPr>
                <w:rFonts w:hint="eastAsia" w:ascii="宋体" w:hAnsi="宋体" w:eastAsia="宋体" w:cs="宋体"/>
                <w:color w:val="000000"/>
                <w:sz w:val="18"/>
                <w:szCs w:val="18"/>
              </w:rPr>
              <w:t>0.00089</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FF8F72">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0.00103</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BBC985">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0.000081</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2020E5B3">
            <w:pPr>
              <w:jc w:val="center"/>
              <w:rPr>
                <w:rFonts w:hint="eastAsia" w:ascii="宋体" w:hAnsi="宋体" w:eastAsia="宋体" w:cs="宋体"/>
                <w:color w:val="000000"/>
                <w:kern w:val="2"/>
                <w:sz w:val="18"/>
                <w:szCs w:val="18"/>
                <w:lang w:val="en-US" w:eastAsia="zh-CN" w:bidi="ar-SA"/>
              </w:rPr>
            </w:pPr>
            <w:r>
              <w:rPr>
                <w:rFonts w:hint="eastAsia" w:ascii="宋体" w:hAnsi="宋体" w:eastAsia="宋体" w:cs="宋体"/>
                <w:color w:val="000000"/>
                <w:sz w:val="18"/>
                <w:szCs w:val="18"/>
              </w:rPr>
              <w:t>7.87</w:t>
            </w:r>
          </w:p>
        </w:tc>
      </w:tr>
      <w:tr w14:paraId="64030D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restart"/>
            <w:tcBorders>
              <w:top w:val="single" w:color="000000" w:sz="4" w:space="0"/>
              <w:bottom w:val="single" w:color="000000" w:sz="4" w:space="0"/>
              <w:right w:val="single" w:color="000000" w:sz="4" w:space="0"/>
            </w:tcBorders>
            <w:shd w:val="clear" w:color="auto" w:fill="FFFFFF"/>
            <w:noWrap w:val="0"/>
            <w:vAlign w:val="center"/>
          </w:tcPr>
          <w:p w14:paraId="4EAB1D98">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浙江冶金</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35B9C7">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QPb1-1</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103FCC">
            <w:pPr>
              <w:jc w:val="center"/>
              <w:rPr>
                <w:rFonts w:hint="eastAsia" w:ascii="宋体" w:hAnsi="宋体" w:eastAsia="宋体" w:cs="宋体"/>
                <w:color w:val="000000" w:themeColor="text1"/>
                <w:kern w:val="2"/>
                <w:sz w:val="18"/>
                <w:szCs w:val="18"/>
                <w:lang w:val="en-US" w:eastAsia="zh-CN" w:bidi="ar-SA"/>
              </w:rPr>
            </w:pPr>
            <w:r>
              <w:rPr>
                <w:rFonts w:hint="eastAsia" w:ascii="宋体" w:hAnsi="宋体" w:eastAsia="宋体" w:cs="宋体"/>
                <w:color w:val="000000" w:themeColor="text1"/>
                <w:sz w:val="18"/>
                <w:szCs w:val="18"/>
              </w:rPr>
              <w:t>0.00015， 0.00014， 0.00012， 0.00015， 0.00012， 0.00016， 0.00016</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711EAD">
            <w:pPr>
              <w:jc w:val="center"/>
              <w:rPr>
                <w:rFonts w:hint="eastAsia" w:ascii="宋体" w:hAnsi="宋体" w:eastAsia="宋体" w:cs="宋体"/>
                <w:color w:val="000000" w:themeColor="text1"/>
                <w:kern w:val="2"/>
                <w:sz w:val="18"/>
                <w:szCs w:val="18"/>
                <w:lang w:val="en-US" w:eastAsia="zh-CN" w:bidi="ar-SA"/>
              </w:rPr>
            </w:pPr>
            <w:r>
              <w:rPr>
                <w:rFonts w:hint="eastAsia" w:ascii="宋体" w:hAnsi="宋体" w:eastAsia="宋体" w:cs="宋体"/>
                <w:color w:val="000000" w:themeColor="text1"/>
                <w:sz w:val="18"/>
                <w:szCs w:val="18"/>
              </w:rPr>
              <w:t>0.00014</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B4E2D8">
            <w:pPr>
              <w:jc w:val="center"/>
              <w:rPr>
                <w:rFonts w:hint="eastAsia" w:ascii="宋体" w:hAnsi="宋体" w:eastAsia="宋体" w:cs="宋体"/>
                <w:color w:val="000000" w:themeColor="text1"/>
                <w:kern w:val="2"/>
                <w:sz w:val="18"/>
                <w:szCs w:val="18"/>
                <w:lang w:val="en-US" w:eastAsia="zh-CN" w:bidi="ar-SA"/>
              </w:rPr>
            </w:pPr>
            <w:r>
              <w:rPr>
                <w:rFonts w:hint="eastAsia" w:ascii="宋体" w:hAnsi="宋体" w:eastAsia="宋体" w:cs="宋体"/>
                <w:color w:val="000000" w:themeColor="text1"/>
                <w:sz w:val="18"/>
                <w:szCs w:val="18"/>
              </w:rPr>
              <w:t>0.00002</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628810DF">
            <w:pPr>
              <w:jc w:val="center"/>
              <w:rPr>
                <w:rFonts w:hint="eastAsia" w:ascii="宋体" w:hAnsi="宋体" w:eastAsia="宋体" w:cs="宋体"/>
                <w:color w:val="000000" w:themeColor="text1"/>
                <w:kern w:val="2"/>
                <w:sz w:val="18"/>
                <w:szCs w:val="18"/>
                <w:lang w:val="en-US" w:eastAsia="zh-CN" w:bidi="ar-SA"/>
              </w:rPr>
            </w:pPr>
            <w:r>
              <w:rPr>
                <w:rFonts w:hint="eastAsia" w:ascii="宋体" w:hAnsi="宋体" w:eastAsia="宋体" w:cs="宋体"/>
                <w:color w:val="000000" w:themeColor="text1"/>
                <w:sz w:val="18"/>
                <w:szCs w:val="18"/>
              </w:rPr>
              <w:t>14.29</w:t>
            </w:r>
          </w:p>
        </w:tc>
      </w:tr>
      <w:tr w14:paraId="236F73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top w:val="single" w:color="000000" w:sz="4" w:space="0"/>
              <w:bottom w:val="single" w:color="000000" w:sz="4" w:space="0"/>
              <w:right w:val="single" w:color="000000" w:sz="4" w:space="0"/>
            </w:tcBorders>
            <w:shd w:val="clear" w:color="auto" w:fill="FFFFFF"/>
            <w:noWrap w:val="0"/>
            <w:vAlign w:val="center"/>
          </w:tcPr>
          <w:p w14:paraId="1D1DDFED">
            <w:pPr>
              <w:jc w:val="center"/>
              <w:rPr>
                <w:rFonts w:hint="eastAsia" w:ascii="宋体" w:hAnsi="宋体" w:eastAsia="宋体" w:cs="宋体"/>
                <w:b w:val="0"/>
                <w:color w:val="000000"/>
                <w:sz w:val="18"/>
                <w:szCs w:val="18"/>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06EA4D">
            <w:pPr>
              <w:jc w:val="center"/>
              <w:rPr>
                <w:rFonts w:hint="eastAsia" w:ascii="宋体" w:hAnsi="宋体" w:eastAsia="宋体" w:cs="宋体"/>
                <w:bCs/>
                <w:color w:val="000000"/>
                <w:kern w:val="2"/>
                <w:sz w:val="18"/>
                <w:szCs w:val="18"/>
                <w:lang w:val="en-US" w:eastAsia="zh-CN" w:bidi="ar-SA"/>
              </w:rPr>
            </w:pPr>
            <w:r>
              <w:rPr>
                <w:rFonts w:hint="eastAsia" w:ascii="宋体" w:hAnsi="宋体" w:eastAsia="宋体" w:cs="宋体"/>
                <w:bCs/>
                <w:color w:val="000000"/>
                <w:sz w:val="18"/>
                <w:szCs w:val="18"/>
              </w:rPr>
              <w:t>QPb1-2</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748953">
            <w:pPr>
              <w:jc w:val="center"/>
              <w:rPr>
                <w:rFonts w:hint="eastAsia" w:ascii="宋体" w:hAnsi="宋体" w:eastAsia="宋体" w:cs="宋体"/>
                <w:color w:val="FFFFFF" w:themeColor="background1"/>
                <w:kern w:val="2"/>
                <w:sz w:val="18"/>
                <w:szCs w:val="18"/>
                <w:lang w:val="en-US" w:eastAsia="zh-CN" w:bidi="ar-SA"/>
              </w:rPr>
            </w:pPr>
            <w:r>
              <w:rPr>
                <w:rFonts w:hint="eastAsia" w:ascii="宋体" w:hAnsi="宋体" w:eastAsia="宋体" w:cs="宋体"/>
                <w:color w:val="FFFFFF" w:themeColor="background1"/>
                <w:sz w:val="18"/>
                <w:szCs w:val="18"/>
              </w:rPr>
              <w:t>0.00061， 0.00069， 0.00073， 0.00067， 0.00066， 0.00074， 0.00071</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BCF592">
            <w:pPr>
              <w:jc w:val="center"/>
              <w:rPr>
                <w:rFonts w:hint="eastAsia" w:ascii="宋体" w:hAnsi="宋体" w:eastAsia="宋体" w:cs="宋体"/>
                <w:color w:val="FFFFFF" w:themeColor="background1"/>
                <w:kern w:val="2"/>
                <w:sz w:val="18"/>
                <w:szCs w:val="18"/>
                <w:lang w:val="en-US" w:eastAsia="zh-CN" w:bidi="ar-SA"/>
              </w:rPr>
            </w:pPr>
            <w:r>
              <w:rPr>
                <w:rFonts w:hint="eastAsia" w:ascii="宋体" w:hAnsi="宋体" w:eastAsia="宋体" w:cs="宋体"/>
                <w:color w:val="FFFFFF" w:themeColor="background1"/>
                <w:sz w:val="18"/>
                <w:szCs w:val="18"/>
              </w:rPr>
              <w:t>0.00069</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0D6CA0">
            <w:pPr>
              <w:jc w:val="center"/>
              <w:rPr>
                <w:rFonts w:hint="eastAsia" w:ascii="宋体" w:hAnsi="宋体" w:eastAsia="宋体" w:cs="宋体"/>
                <w:color w:val="FFFFFF" w:themeColor="background1"/>
                <w:kern w:val="2"/>
                <w:sz w:val="18"/>
                <w:szCs w:val="18"/>
                <w:lang w:val="en-US" w:eastAsia="zh-CN" w:bidi="ar-SA"/>
              </w:rPr>
            </w:pPr>
            <w:r>
              <w:rPr>
                <w:rFonts w:hint="eastAsia" w:ascii="宋体" w:hAnsi="宋体" w:eastAsia="宋体" w:cs="宋体"/>
                <w:color w:val="FFFFFF" w:themeColor="background1"/>
                <w:sz w:val="18"/>
                <w:szCs w:val="18"/>
              </w:rPr>
              <w:t>0.00004</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6F2A3E06">
            <w:pPr>
              <w:jc w:val="center"/>
              <w:rPr>
                <w:rFonts w:hint="eastAsia" w:ascii="宋体" w:hAnsi="宋体" w:eastAsia="宋体" w:cs="宋体"/>
                <w:color w:val="FFFFFF" w:themeColor="background1"/>
                <w:kern w:val="2"/>
                <w:sz w:val="18"/>
                <w:szCs w:val="18"/>
                <w:lang w:val="en-US" w:eastAsia="zh-CN" w:bidi="ar-SA"/>
              </w:rPr>
            </w:pPr>
            <w:r>
              <w:rPr>
                <w:rFonts w:hint="eastAsia" w:ascii="宋体" w:hAnsi="宋体" w:eastAsia="宋体" w:cs="宋体"/>
                <w:color w:val="FFFFFF" w:themeColor="background1"/>
                <w:sz w:val="18"/>
                <w:szCs w:val="18"/>
              </w:rPr>
              <w:t>5.80</w:t>
            </w:r>
          </w:p>
        </w:tc>
      </w:tr>
      <w:tr w14:paraId="49861D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restart"/>
            <w:tcBorders>
              <w:top w:val="single" w:color="000000" w:sz="4" w:space="0"/>
              <w:bottom w:val="single" w:color="000000" w:sz="4" w:space="0"/>
              <w:right w:val="single" w:color="000000" w:sz="4" w:space="0"/>
            </w:tcBorders>
            <w:shd w:val="clear" w:color="auto" w:fill="FFFFFF"/>
            <w:noWrap w:val="0"/>
            <w:vAlign w:val="center"/>
          </w:tcPr>
          <w:p w14:paraId="595BE691">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深圳市中金岭南</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549DB">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QPb1-1</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7EE322">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0.00019，0.00020，0.00025，0.00024，0.00022，0.00018，0.00017</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A2DD70">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0.00021</w:t>
            </w:r>
          </w:p>
        </w:tc>
        <w:tc>
          <w:tcPr>
            <w:tcW w:w="8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056A7">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0.000028</w:t>
            </w:r>
          </w:p>
        </w:tc>
        <w:tc>
          <w:tcPr>
            <w:tcW w:w="934" w:type="dxa"/>
            <w:tcBorders>
              <w:top w:val="single" w:color="000000" w:sz="4" w:space="0"/>
              <w:left w:val="single" w:color="000000" w:sz="4" w:space="0"/>
              <w:bottom w:val="single" w:color="000000" w:sz="4" w:space="0"/>
            </w:tcBorders>
            <w:shd w:val="clear" w:color="auto" w:fill="FFFFFF"/>
            <w:noWrap w:val="0"/>
            <w:vAlign w:val="center"/>
          </w:tcPr>
          <w:p w14:paraId="426BA9F4">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13.58</w:t>
            </w:r>
          </w:p>
        </w:tc>
      </w:tr>
      <w:tr w14:paraId="4521D8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bottom w:val="single" w:color="auto" w:sz="4" w:space="0"/>
              <w:right w:val="single" w:color="000000" w:sz="4" w:space="0"/>
            </w:tcBorders>
            <w:shd w:val="clear" w:color="auto" w:fill="FFFFFF"/>
            <w:noWrap w:val="0"/>
            <w:vAlign w:val="center"/>
          </w:tcPr>
          <w:p w14:paraId="284B7BA8">
            <w:pPr>
              <w:jc w:val="center"/>
              <w:rPr>
                <w:rFonts w:hint="eastAsia" w:ascii="宋体" w:hAnsi="宋体" w:eastAsia="宋体" w:cs="宋体"/>
                <w:b w:val="0"/>
                <w:color w:val="000000"/>
                <w:sz w:val="18"/>
                <w:szCs w:val="18"/>
                <w:lang w:val="en-US" w:eastAsia="zh-CN"/>
              </w:rPr>
            </w:pPr>
          </w:p>
        </w:tc>
        <w:tc>
          <w:tcPr>
            <w:tcW w:w="109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9A5943D">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QPb1-2</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BE7567">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0.00116，0.00111，0.00122，0.00117，0.00110，0.00107，0.00109</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CC2DE8">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0.00113</w:t>
            </w:r>
          </w:p>
        </w:tc>
        <w:tc>
          <w:tcPr>
            <w:tcW w:w="8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591B20">
            <w:pPr>
              <w:keepNext w:val="0"/>
              <w:keepLines w:val="0"/>
              <w:widowControl/>
              <w:suppressLineNumbers w:val="0"/>
              <w:jc w:val="center"/>
              <w:textAlignment w:val="center"/>
              <w:rPr>
                <w:rFonts w:hint="default"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0.000049</w:t>
            </w:r>
          </w:p>
        </w:tc>
        <w:tc>
          <w:tcPr>
            <w:tcW w:w="934" w:type="dxa"/>
            <w:tcBorders>
              <w:top w:val="single" w:color="000000" w:sz="4" w:space="0"/>
              <w:left w:val="single" w:color="000000" w:sz="4" w:space="0"/>
              <w:bottom w:val="single" w:color="000000" w:sz="4" w:space="0"/>
            </w:tcBorders>
            <w:shd w:val="clear" w:color="auto" w:fill="FFFFFF"/>
            <w:noWrap w:val="0"/>
            <w:vAlign w:val="center"/>
          </w:tcPr>
          <w:p w14:paraId="25C2687E">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4.37</w:t>
            </w:r>
          </w:p>
        </w:tc>
      </w:tr>
      <w:tr w14:paraId="32DF5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restart"/>
            <w:tcBorders>
              <w:top w:val="single" w:color="auto" w:sz="4" w:space="0"/>
              <w:right w:val="single" w:color="000000" w:sz="4" w:space="0"/>
            </w:tcBorders>
            <w:shd w:val="clear" w:color="auto" w:fill="FFFFFF"/>
            <w:noWrap w:val="0"/>
            <w:vAlign w:val="center"/>
          </w:tcPr>
          <w:p w14:paraId="5D93BB09">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大冶有色</w:t>
            </w:r>
          </w:p>
        </w:tc>
        <w:tc>
          <w:tcPr>
            <w:tcW w:w="109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55E1B3D2">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QPb1-1</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3C3085">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0.000157，0.000155，0.000156，0.000154，0.000158，0.000155，0.000157</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5AFCC9">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bidi="ar"/>
              </w:rPr>
              <w:t xml:space="preserve">0.000156 </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3D6B03">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bidi="ar"/>
              </w:rPr>
              <w:t xml:space="preserve">0.00014 </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6A54F206">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color w:val="auto"/>
                <w:kern w:val="0"/>
                <w:sz w:val="18"/>
                <w:szCs w:val="18"/>
                <w:u w:val="none"/>
                <w:lang w:val="en-US" w:eastAsia="zh-CN" w:bidi="ar"/>
              </w:rPr>
              <w:t xml:space="preserve">0.91 </w:t>
            </w:r>
          </w:p>
        </w:tc>
      </w:tr>
      <w:tr w14:paraId="3960FE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top w:val="single" w:color="000000" w:sz="4" w:space="0"/>
              <w:bottom w:val="single" w:color="000000" w:sz="4" w:space="0"/>
              <w:right w:val="single" w:color="000000" w:sz="4" w:space="0"/>
            </w:tcBorders>
            <w:shd w:val="clear" w:color="auto" w:fill="FFFFFF"/>
            <w:noWrap w:val="0"/>
            <w:vAlign w:val="center"/>
          </w:tcPr>
          <w:p w14:paraId="1B40D95F">
            <w:pPr>
              <w:jc w:val="center"/>
              <w:rPr>
                <w:rFonts w:hint="eastAsia" w:ascii="宋体" w:hAnsi="宋体" w:eastAsia="宋体" w:cs="宋体"/>
                <w:b w:val="0"/>
                <w:color w:val="000000"/>
                <w:sz w:val="18"/>
                <w:szCs w:val="18"/>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CCAE2C">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QPb1-2</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18CC6">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FFFFFF" w:themeColor="background1"/>
                <w:sz w:val="18"/>
                <w:szCs w:val="18"/>
                <w:highlight w:val="none"/>
                <w:lang w:val="en-US" w:eastAsia="zh-CN"/>
              </w:rPr>
              <w:t>0.00144，0.00144，0.00145，0.00146，0.00147，0.00146，0.00146</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63C1A1">
            <w:pPr>
              <w:keepNext w:val="0"/>
              <w:keepLines w:val="0"/>
              <w:widowControl/>
              <w:suppressLineNumbers w:val="0"/>
              <w:jc w:val="center"/>
              <w:textAlignment w:val="center"/>
              <w:rPr>
                <w:rFonts w:hint="eastAsia" w:ascii="宋体" w:hAnsi="宋体" w:eastAsia="宋体" w:cs="宋体"/>
                <w:b w:val="0"/>
                <w:color w:val="FFFFFF" w:themeColor="background1"/>
                <w:kern w:val="2"/>
                <w:sz w:val="18"/>
                <w:szCs w:val="18"/>
                <w:lang w:val="en-US" w:eastAsia="zh-CN" w:bidi="ar-SA"/>
              </w:rPr>
            </w:pPr>
            <w:r>
              <w:rPr>
                <w:rFonts w:hint="eastAsia" w:ascii="宋体" w:hAnsi="宋体" w:eastAsia="宋体" w:cs="宋体"/>
                <w:i w:val="0"/>
                <w:iCs w:val="0"/>
                <w:color w:val="FFFFFF" w:themeColor="background1"/>
                <w:kern w:val="0"/>
                <w:sz w:val="18"/>
                <w:szCs w:val="18"/>
                <w:u w:val="none"/>
                <w:lang w:val="en-US" w:eastAsia="zh-CN" w:bidi="ar"/>
              </w:rPr>
              <w:t>0.00145</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2FC87C">
            <w:pPr>
              <w:keepNext w:val="0"/>
              <w:keepLines w:val="0"/>
              <w:widowControl/>
              <w:suppressLineNumbers w:val="0"/>
              <w:jc w:val="center"/>
              <w:textAlignment w:val="center"/>
              <w:rPr>
                <w:rFonts w:hint="eastAsia" w:ascii="宋体" w:hAnsi="宋体" w:eastAsia="宋体" w:cs="宋体"/>
                <w:b w:val="0"/>
                <w:color w:val="FFFFFF" w:themeColor="background1"/>
                <w:kern w:val="2"/>
                <w:sz w:val="18"/>
                <w:szCs w:val="18"/>
                <w:lang w:val="en-US" w:eastAsia="zh-CN" w:bidi="ar-SA"/>
              </w:rPr>
            </w:pPr>
            <w:r>
              <w:rPr>
                <w:rFonts w:hint="eastAsia" w:ascii="宋体" w:hAnsi="宋体" w:eastAsia="宋体" w:cs="宋体"/>
                <w:i w:val="0"/>
                <w:iCs w:val="0"/>
                <w:color w:val="FFFFFF" w:themeColor="background1"/>
                <w:kern w:val="0"/>
                <w:sz w:val="18"/>
                <w:szCs w:val="18"/>
                <w:u w:val="none"/>
                <w:lang w:val="en-US" w:eastAsia="zh-CN" w:bidi="ar"/>
              </w:rPr>
              <w:t>0.0011</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01189AC9">
            <w:pPr>
              <w:keepNext w:val="0"/>
              <w:keepLines w:val="0"/>
              <w:widowControl/>
              <w:suppressLineNumbers w:val="0"/>
              <w:jc w:val="center"/>
              <w:textAlignment w:val="center"/>
              <w:rPr>
                <w:rFonts w:hint="eastAsia" w:ascii="宋体" w:hAnsi="宋体" w:eastAsia="宋体" w:cs="宋体"/>
                <w:b w:val="0"/>
                <w:color w:val="FFFFFF" w:themeColor="background1"/>
                <w:kern w:val="2"/>
                <w:sz w:val="18"/>
                <w:szCs w:val="18"/>
                <w:lang w:val="en-US" w:eastAsia="zh-CN" w:bidi="ar-SA"/>
              </w:rPr>
            </w:pPr>
            <w:r>
              <w:rPr>
                <w:rFonts w:hint="eastAsia" w:ascii="宋体" w:hAnsi="宋体" w:eastAsia="宋体" w:cs="宋体"/>
                <w:i w:val="0"/>
                <w:iCs w:val="0"/>
                <w:color w:val="FFFFFF" w:themeColor="background1"/>
                <w:kern w:val="0"/>
                <w:sz w:val="18"/>
                <w:szCs w:val="18"/>
                <w:u w:val="none"/>
                <w:lang w:val="en-US" w:eastAsia="zh-CN" w:bidi="ar"/>
              </w:rPr>
              <w:t>0.78</w:t>
            </w:r>
          </w:p>
        </w:tc>
      </w:tr>
      <w:tr w14:paraId="7210B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9" w:hRule="atLeast"/>
          <w:jc w:val="center"/>
        </w:trPr>
        <w:tc>
          <w:tcPr>
            <w:tcW w:w="1022" w:type="dxa"/>
            <w:vMerge w:val="restart"/>
            <w:tcBorders>
              <w:top w:val="single" w:color="000000" w:sz="4" w:space="0"/>
              <w:right w:val="single" w:color="000000" w:sz="4" w:space="0"/>
            </w:tcBorders>
            <w:shd w:val="clear" w:color="auto" w:fill="FFFFFF"/>
            <w:noWrap w:val="0"/>
            <w:vAlign w:val="center"/>
          </w:tcPr>
          <w:p w14:paraId="5254B7CC">
            <w:pPr>
              <w:jc w:val="center"/>
              <w:rPr>
                <w:rFonts w:hint="default"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昆明冶金研究院有限公司</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410271">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QPb1-1</w:t>
            </w:r>
          </w:p>
        </w:tc>
        <w:tc>
          <w:tcPr>
            <w:tcW w:w="412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A0A00">
            <w:pPr>
              <w:widowControl w:val="0"/>
              <w:suppressAutoHyphens/>
              <w:bidi w:val="0"/>
              <w:spacing w:before="0" w:after="0"/>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0.00023，0.00022，0.00024，0.00021，0.00020，0.00021，0.00019</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1AE3D5">
            <w:pPr>
              <w:widowControl w:val="0"/>
              <w:suppressAutoHyphens/>
              <w:bidi w:val="0"/>
              <w:spacing w:before="0" w:after="0"/>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0.00021</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D25C50">
            <w:pPr>
              <w:widowControl w:val="0"/>
              <w:suppressAutoHyphens/>
              <w:bidi w:val="0"/>
              <w:spacing w:before="0" w:after="0"/>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0.000017</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477FFD6A">
            <w:pPr>
              <w:widowControl w:val="0"/>
              <w:suppressAutoHyphens/>
              <w:bidi w:val="0"/>
              <w:spacing w:before="0" w:after="0"/>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8.02</w:t>
            </w:r>
          </w:p>
        </w:tc>
      </w:tr>
      <w:tr w14:paraId="45ADA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right w:val="single" w:color="000000" w:sz="4" w:space="0"/>
            </w:tcBorders>
            <w:shd w:val="clear" w:color="auto" w:fill="FFFFFF"/>
            <w:noWrap w:val="0"/>
            <w:vAlign w:val="center"/>
          </w:tcPr>
          <w:p w14:paraId="0B1BF15F">
            <w:pPr>
              <w:jc w:val="center"/>
              <w:rPr>
                <w:rFonts w:hint="eastAsia" w:ascii="宋体" w:hAnsi="宋体" w:eastAsia="宋体" w:cs="宋体"/>
                <w:b w:val="0"/>
                <w:color w:val="000000"/>
                <w:sz w:val="18"/>
                <w:szCs w:val="18"/>
              </w:rPr>
            </w:pPr>
          </w:p>
        </w:tc>
        <w:tc>
          <w:tcPr>
            <w:tcW w:w="1090" w:type="dxa"/>
            <w:tcBorders>
              <w:top w:val="single" w:color="000000" w:sz="4" w:space="0"/>
              <w:left w:val="single" w:color="000000" w:sz="4" w:space="0"/>
              <w:right w:val="single" w:color="000000" w:sz="4" w:space="0"/>
            </w:tcBorders>
            <w:shd w:val="clear" w:color="auto" w:fill="auto"/>
            <w:noWrap w:val="0"/>
            <w:vAlign w:val="center"/>
          </w:tcPr>
          <w:p w14:paraId="64F81907">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QPb1-2</w:t>
            </w:r>
          </w:p>
        </w:tc>
        <w:tc>
          <w:tcPr>
            <w:tcW w:w="4128" w:type="dxa"/>
            <w:tcBorders>
              <w:top w:val="single" w:color="000000" w:sz="4" w:space="0"/>
              <w:left w:val="single" w:color="000000" w:sz="4" w:space="0"/>
              <w:right w:val="single" w:color="000000" w:sz="4" w:space="0"/>
            </w:tcBorders>
            <w:shd w:val="clear" w:color="auto" w:fill="auto"/>
            <w:noWrap w:val="0"/>
            <w:vAlign w:val="center"/>
          </w:tcPr>
          <w:p w14:paraId="6F1EC94B">
            <w:pPr>
              <w:widowControl w:val="0"/>
              <w:suppressAutoHyphens/>
              <w:bidi w:val="0"/>
              <w:spacing w:before="0" w:after="0"/>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0.00099，0.00097，0.00100，0.00094，0.00108，0.00102，0.00098</w:t>
            </w:r>
          </w:p>
        </w:tc>
        <w:tc>
          <w:tcPr>
            <w:tcW w:w="1112" w:type="dxa"/>
            <w:tcBorders>
              <w:top w:val="single" w:color="000000" w:sz="4" w:space="0"/>
              <w:left w:val="single" w:color="000000" w:sz="4" w:space="0"/>
              <w:right w:val="single" w:color="000000" w:sz="4" w:space="0"/>
            </w:tcBorders>
            <w:shd w:val="clear" w:color="auto" w:fill="auto"/>
            <w:noWrap w:val="0"/>
            <w:vAlign w:val="center"/>
          </w:tcPr>
          <w:p w14:paraId="481554A8">
            <w:pPr>
              <w:widowControl w:val="0"/>
              <w:suppressAutoHyphens/>
              <w:bidi w:val="0"/>
              <w:spacing w:before="0" w:after="0"/>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0.00100</w:t>
            </w:r>
          </w:p>
        </w:tc>
        <w:tc>
          <w:tcPr>
            <w:tcW w:w="857" w:type="dxa"/>
            <w:tcBorders>
              <w:top w:val="single" w:color="000000" w:sz="4" w:space="0"/>
              <w:left w:val="single" w:color="000000" w:sz="4" w:space="0"/>
              <w:right w:val="single" w:color="000000" w:sz="4" w:space="0"/>
            </w:tcBorders>
            <w:shd w:val="clear" w:color="auto" w:fill="auto"/>
            <w:noWrap w:val="0"/>
            <w:vAlign w:val="center"/>
          </w:tcPr>
          <w:p w14:paraId="2C48366A">
            <w:pPr>
              <w:widowControl w:val="0"/>
              <w:suppressAutoHyphens/>
              <w:bidi w:val="0"/>
              <w:spacing w:before="0" w:after="0"/>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0.000044</w:t>
            </w:r>
          </w:p>
        </w:tc>
        <w:tc>
          <w:tcPr>
            <w:tcW w:w="934" w:type="dxa"/>
            <w:tcBorders>
              <w:top w:val="single" w:color="000000" w:sz="4" w:space="0"/>
              <w:left w:val="single" w:color="000000" w:sz="4" w:space="0"/>
            </w:tcBorders>
            <w:shd w:val="clear" w:color="auto" w:fill="auto"/>
            <w:noWrap w:val="0"/>
            <w:vAlign w:val="center"/>
          </w:tcPr>
          <w:p w14:paraId="57883339">
            <w:pPr>
              <w:widowControl w:val="0"/>
              <w:suppressAutoHyphens/>
              <w:bidi w:val="0"/>
              <w:spacing w:before="0" w:after="0"/>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4.43</w:t>
            </w:r>
          </w:p>
        </w:tc>
      </w:tr>
    </w:tbl>
    <w:p w14:paraId="116A08C4">
      <w:pPr>
        <w:rPr>
          <w:rFonts w:hint="default"/>
          <w:lang w:val="en-US" w:eastAsia="zh-CN"/>
        </w:rPr>
      </w:pPr>
    </w:p>
    <w:p w14:paraId="4A73007A">
      <w:pPr>
        <w:pStyle w:val="6"/>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由试验结果表明，采用方法一测定铜及铜合金中</w:t>
      </w:r>
      <w:r>
        <w:rPr>
          <w:rFonts w:hint="eastAsia" w:hAnsi="宋体" w:eastAsia="宋体" w:cs="宋体"/>
          <w:sz w:val="21"/>
          <w:szCs w:val="21"/>
          <w:lang w:val="en-US" w:eastAsia="zh-CN"/>
        </w:rPr>
        <w:t>铅</w:t>
      </w:r>
      <w:r>
        <w:rPr>
          <w:rFonts w:hint="eastAsia" w:ascii="宋体" w:hAnsi="宋体" w:eastAsia="宋体" w:cs="宋体"/>
          <w:sz w:val="21"/>
          <w:szCs w:val="21"/>
          <w:lang w:val="en-US" w:eastAsia="zh-CN"/>
        </w:rPr>
        <w:t>含量，相对标准偏差在</w:t>
      </w:r>
      <w:r>
        <w:rPr>
          <w:rFonts w:hint="eastAsia" w:hAnsi="宋体" w:eastAsia="宋体" w:cs="宋体"/>
          <w:sz w:val="21"/>
          <w:szCs w:val="21"/>
          <w:lang w:val="en-US" w:eastAsia="zh-CN"/>
        </w:rPr>
        <w:t xml:space="preserve">  </w:t>
      </w:r>
      <w:r>
        <w:rPr>
          <w:rFonts w:hint="eastAsia" w:ascii="宋体" w:hAnsi="宋体" w:eastAsia="宋体" w:cs="宋体"/>
          <w:sz w:val="21"/>
          <w:szCs w:val="21"/>
          <w:lang w:val="en-US" w:eastAsia="zh-CN"/>
        </w:rPr>
        <w:t>%～</w:t>
      </w:r>
      <w:r>
        <w:rPr>
          <w:rFonts w:hint="eastAsia" w:hAnsi="宋体" w:eastAsia="宋体" w:cs="宋体"/>
          <w:sz w:val="21"/>
          <w:szCs w:val="21"/>
          <w:lang w:val="en-US" w:eastAsia="zh-CN"/>
        </w:rPr>
        <w:t xml:space="preserve">  </w:t>
      </w:r>
      <w:r>
        <w:rPr>
          <w:rFonts w:hint="eastAsia" w:ascii="宋体" w:hAnsi="宋体" w:eastAsia="宋体" w:cs="宋体"/>
          <w:sz w:val="21"/>
          <w:szCs w:val="21"/>
          <w:lang w:val="en-US" w:eastAsia="zh-CN"/>
        </w:rPr>
        <w:t>%之间，各单位结果一致较好，正确度及精密度均能持续满足使用要求。</w:t>
      </w:r>
    </w:p>
    <w:p w14:paraId="257B84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黑体" w:hAnsi="黑体" w:eastAsia="黑体" w:cs="黑体"/>
          <w:kern w:val="2"/>
          <w:sz w:val="21"/>
          <w:szCs w:val="21"/>
          <w:lang w:val="en-US" w:eastAsia="zh-CN" w:bidi="ar-SA"/>
        </w:rPr>
      </w:pPr>
      <w:r>
        <w:rPr>
          <w:rFonts w:hint="eastAsia" w:ascii="黑体" w:hAnsi="黑体" w:eastAsia="黑体" w:cs="黑体"/>
          <w:kern w:val="2"/>
          <w:sz w:val="21"/>
          <w:szCs w:val="21"/>
          <w:lang w:val="en-US" w:eastAsia="zh-CN" w:bidi="ar-SA"/>
        </w:rPr>
        <w:t>3 方法二 火焰原子吸收光谱法精密度验证</w:t>
      </w:r>
    </w:p>
    <w:p w14:paraId="353F5B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2"/>
        <w:rPr>
          <w:rFonts w:hint="eastAsia" w:ascii="宋体" w:hAnsi="宋体" w:eastAsia="宋体" w:cs="宋体"/>
          <w:szCs w:val="24"/>
          <w:lang w:val="en-US" w:eastAsia="zh-CN"/>
        </w:rPr>
      </w:pPr>
      <w:r>
        <w:rPr>
          <w:rFonts w:hint="eastAsia" w:ascii="宋体" w:hAnsi="宋体" w:eastAsia="宋体" w:cs="宋体"/>
          <w:szCs w:val="24"/>
          <w:lang w:val="en-US" w:eastAsia="zh-CN"/>
        </w:rPr>
        <w:t>方法一塞曼效应电热原子吸收光谱法由厦门双瑞材料研究院有限公司等五家单位开展方法精密度验证。按照试验方法对2个样品独立7次测定，测定结果见表24。</w:t>
      </w:r>
    </w:p>
    <w:p w14:paraId="691623FE">
      <w:pPr>
        <w:spacing w:line="360" w:lineRule="auto"/>
        <w:ind w:firstLine="420" w:firstLineChars="200"/>
        <w:jc w:val="center"/>
        <w:rPr>
          <w:rFonts w:hint="eastAsia" w:ascii="黑体" w:hAnsi="黑体" w:eastAsia="黑体" w:cs="Times New Roman"/>
        </w:rPr>
      </w:pPr>
      <w:r>
        <w:rPr>
          <w:rFonts w:hint="eastAsia" w:ascii="黑体" w:hAnsi="黑体" w:eastAsia="黑体" w:cs="Times New Roman"/>
        </w:rPr>
        <w:t>表</w:t>
      </w:r>
      <w:r>
        <w:rPr>
          <w:rFonts w:hint="eastAsia" w:ascii="黑体" w:hAnsi="黑体" w:eastAsia="黑体" w:cs="Times New Roman"/>
          <w:lang w:val="en-US" w:eastAsia="zh-CN"/>
        </w:rPr>
        <w:t>24</w:t>
      </w:r>
      <w:r>
        <w:rPr>
          <w:rFonts w:hint="eastAsia" w:ascii="黑体" w:hAnsi="黑体" w:eastAsia="黑体" w:cs="Times New Roman"/>
        </w:rPr>
        <w:t xml:space="preserve"> </w:t>
      </w:r>
      <w:r>
        <w:rPr>
          <w:rFonts w:hint="eastAsia" w:ascii="黑体" w:hAnsi="黑体" w:eastAsia="黑体" w:cs="Times New Roman"/>
          <w:lang w:val="en-US" w:eastAsia="zh-CN"/>
        </w:rPr>
        <w:t>方法二</w:t>
      </w:r>
      <w:r>
        <w:rPr>
          <w:rFonts w:hint="eastAsia" w:ascii="黑体" w:hAnsi="黑体" w:eastAsia="黑体" w:cs="Times New Roman"/>
        </w:rPr>
        <w:t>精密度试验结果</w:t>
      </w:r>
    </w:p>
    <w:tbl>
      <w:tblPr>
        <w:tblStyle w:val="13"/>
        <w:tblW w:w="91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1022"/>
        <w:gridCol w:w="1090"/>
        <w:gridCol w:w="4415"/>
        <w:gridCol w:w="825"/>
        <w:gridCol w:w="857"/>
        <w:gridCol w:w="934"/>
      </w:tblGrid>
      <w:tr w14:paraId="70C2B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64" w:hRule="atLeast"/>
          <w:jc w:val="center"/>
        </w:trPr>
        <w:tc>
          <w:tcPr>
            <w:tcW w:w="1022" w:type="dxa"/>
            <w:tcBorders>
              <w:bottom w:val="single" w:color="000000" w:sz="4" w:space="0"/>
              <w:right w:val="single" w:color="000000" w:sz="4" w:space="0"/>
              <w:tl2br w:val="nil"/>
            </w:tcBorders>
            <w:shd w:val="clear" w:color="auto" w:fill="FFFFFF"/>
            <w:noWrap w:val="0"/>
            <w:vAlign w:val="center"/>
          </w:tcPr>
          <w:p w14:paraId="226698C0">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实验室</w:t>
            </w:r>
          </w:p>
        </w:tc>
        <w:tc>
          <w:tcPr>
            <w:tcW w:w="1090" w:type="dxa"/>
            <w:tcBorders>
              <w:left w:val="single" w:color="000000" w:sz="4" w:space="0"/>
              <w:bottom w:val="single" w:color="000000" w:sz="4" w:space="0"/>
              <w:right w:val="single" w:color="000000" w:sz="4" w:space="0"/>
            </w:tcBorders>
            <w:shd w:val="clear" w:color="auto" w:fill="FFFFFF"/>
            <w:noWrap w:val="0"/>
            <w:vAlign w:val="center"/>
          </w:tcPr>
          <w:p w14:paraId="4DF917B5">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样品编号</w:t>
            </w:r>
          </w:p>
        </w:tc>
        <w:tc>
          <w:tcPr>
            <w:tcW w:w="4415" w:type="dxa"/>
            <w:tcBorders>
              <w:left w:val="single" w:color="000000" w:sz="4" w:space="0"/>
              <w:bottom w:val="single" w:color="000000" w:sz="4" w:space="0"/>
              <w:right w:val="single" w:color="000000" w:sz="4" w:space="0"/>
            </w:tcBorders>
            <w:shd w:val="clear" w:color="auto" w:fill="FFFFFF"/>
            <w:noWrap w:val="0"/>
            <w:vAlign w:val="center"/>
          </w:tcPr>
          <w:p w14:paraId="12C7A46B">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 xml:space="preserve">测定结果/ % </w:t>
            </w:r>
          </w:p>
        </w:tc>
        <w:tc>
          <w:tcPr>
            <w:tcW w:w="825" w:type="dxa"/>
            <w:tcBorders>
              <w:left w:val="single" w:color="000000" w:sz="4" w:space="0"/>
              <w:bottom w:val="single" w:color="000000" w:sz="4" w:space="0"/>
              <w:right w:val="single" w:color="000000" w:sz="4" w:space="0"/>
            </w:tcBorders>
            <w:shd w:val="clear" w:color="auto" w:fill="FFFFFF"/>
            <w:noWrap w:val="0"/>
            <w:vAlign w:val="center"/>
          </w:tcPr>
          <w:p w14:paraId="641E066D">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平均值/ %</w:t>
            </w:r>
          </w:p>
        </w:tc>
        <w:tc>
          <w:tcPr>
            <w:tcW w:w="857" w:type="dxa"/>
            <w:tcBorders>
              <w:left w:val="single" w:color="000000" w:sz="4" w:space="0"/>
              <w:bottom w:val="single" w:color="000000" w:sz="4" w:space="0"/>
              <w:right w:val="single" w:color="000000" w:sz="4" w:space="0"/>
            </w:tcBorders>
            <w:shd w:val="clear" w:color="auto" w:fill="FFFFFF"/>
            <w:noWrap w:val="0"/>
            <w:vAlign w:val="center"/>
          </w:tcPr>
          <w:p w14:paraId="1B7BFAE6">
            <w:pPr>
              <w:jc w:val="center"/>
              <w:rPr>
                <w:rFonts w:hint="eastAsia" w:ascii="宋体" w:hAnsi="宋体" w:eastAsia="宋体" w:cs="宋体"/>
                <w:b w:val="0"/>
                <w:color w:val="000000"/>
                <w:sz w:val="18"/>
                <w:szCs w:val="18"/>
                <w:lang w:val="en-US" w:eastAsia="zh-CN"/>
              </w:rPr>
            </w:pPr>
            <w:r>
              <w:rPr>
                <w:rFonts w:hint="eastAsia" w:ascii="宋体" w:hAnsi="宋体" w:eastAsia="宋体" w:cs="宋体"/>
                <w:b w:val="0"/>
                <w:color w:val="000000"/>
                <w:sz w:val="18"/>
                <w:szCs w:val="18"/>
                <w:lang w:val="en-US" w:eastAsia="zh-CN"/>
              </w:rPr>
              <w:t>标准偏差</w:t>
            </w:r>
            <w:r>
              <w:rPr>
                <w:rFonts w:hint="eastAsia" w:ascii="宋体" w:hAnsi="宋体" w:eastAsia="宋体" w:cs="宋体"/>
                <w:b w:val="0"/>
                <w:color w:val="000000"/>
                <w:sz w:val="18"/>
                <w:szCs w:val="18"/>
              </w:rPr>
              <w:t>/ %</w:t>
            </w:r>
          </w:p>
        </w:tc>
        <w:tc>
          <w:tcPr>
            <w:tcW w:w="934" w:type="dxa"/>
            <w:tcBorders>
              <w:left w:val="single" w:color="000000" w:sz="4" w:space="0"/>
              <w:bottom w:val="single" w:color="000000" w:sz="4" w:space="0"/>
            </w:tcBorders>
            <w:shd w:val="clear" w:color="auto" w:fill="FFFFFF"/>
            <w:noWrap w:val="0"/>
            <w:vAlign w:val="center"/>
          </w:tcPr>
          <w:p w14:paraId="7FD64AA9">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RSD/</w:t>
            </w:r>
          </w:p>
          <w:p w14:paraId="5292D5E3">
            <w:pPr>
              <w:jc w:val="center"/>
              <w:rPr>
                <w:rFonts w:hint="eastAsia" w:ascii="宋体" w:hAnsi="宋体" w:eastAsia="宋体" w:cs="宋体"/>
                <w:b w:val="0"/>
                <w:color w:val="000000"/>
                <w:sz w:val="18"/>
                <w:szCs w:val="18"/>
              </w:rPr>
            </w:pPr>
            <w:r>
              <w:rPr>
                <w:rFonts w:hint="eastAsia" w:ascii="宋体" w:hAnsi="宋体" w:eastAsia="宋体" w:cs="宋体"/>
                <w:b w:val="0"/>
                <w:color w:val="000000"/>
                <w:sz w:val="18"/>
                <w:szCs w:val="18"/>
              </w:rPr>
              <w:t>%</w:t>
            </w:r>
          </w:p>
        </w:tc>
      </w:tr>
      <w:tr w14:paraId="6E164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31" w:hRule="atLeast"/>
          <w:jc w:val="center"/>
        </w:trPr>
        <w:tc>
          <w:tcPr>
            <w:tcW w:w="1022" w:type="dxa"/>
            <w:vMerge w:val="restart"/>
            <w:tcBorders>
              <w:top w:val="single" w:color="000000" w:sz="4" w:space="0"/>
              <w:bottom w:val="single" w:color="000000" w:sz="4" w:space="0"/>
              <w:right w:val="single" w:color="000000" w:sz="4" w:space="0"/>
            </w:tcBorders>
            <w:shd w:val="clear" w:color="auto" w:fill="FFFFFF"/>
            <w:noWrap w:val="0"/>
            <w:vAlign w:val="center"/>
          </w:tcPr>
          <w:p w14:paraId="02478192">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厦门双瑞材料研究院有限公司</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AAE200">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QPb2-1</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90216F">
            <w:pPr>
              <w:jc w:val="both"/>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0.00205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0.00213</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0.00199</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0.00192</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0.00195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0.00193</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0.00209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9C04D5">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0.00201</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92FCEB">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0.000083</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72233674">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4.11</w:t>
            </w:r>
          </w:p>
        </w:tc>
      </w:tr>
      <w:tr w14:paraId="60A1F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31" w:hRule="atLeast"/>
          <w:jc w:val="center"/>
        </w:trPr>
        <w:tc>
          <w:tcPr>
            <w:tcW w:w="1022" w:type="dxa"/>
            <w:vMerge w:val="continue"/>
            <w:tcBorders>
              <w:right w:val="single" w:color="000000" w:sz="4" w:space="0"/>
            </w:tcBorders>
            <w:shd w:val="clear" w:color="auto" w:fill="FFFFFF"/>
            <w:noWrap w:val="0"/>
            <w:vAlign w:val="center"/>
          </w:tcPr>
          <w:p w14:paraId="257C59A0">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3247C5">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QPb2-2</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1E7E0A">
            <w:pPr>
              <w:jc w:val="both"/>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0.0245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0.0265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0.0256</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0.0268</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0.0265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0.0257</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0.0263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187878">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0.0260</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162D7">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0.00079</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372D464E">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3.03</w:t>
            </w:r>
          </w:p>
        </w:tc>
      </w:tr>
      <w:tr w14:paraId="655E66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631" w:hRule="atLeast"/>
          <w:jc w:val="center"/>
        </w:trPr>
        <w:tc>
          <w:tcPr>
            <w:tcW w:w="1022" w:type="dxa"/>
            <w:vMerge w:val="continue"/>
            <w:tcBorders>
              <w:right w:val="single" w:color="000000" w:sz="4" w:space="0"/>
            </w:tcBorders>
            <w:shd w:val="clear" w:color="auto" w:fill="FFFFFF"/>
            <w:noWrap w:val="0"/>
            <w:vAlign w:val="center"/>
          </w:tcPr>
          <w:p w14:paraId="74E62C18">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F1CBF7">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QPb2-3</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86CAEA">
            <w:pPr>
              <w:jc w:val="both"/>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0.205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0.205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0.207</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0.194</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0.196</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0.202</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0.204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D492C6">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0.202</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16853F">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0.0049</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501B1E48">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2.45</w:t>
            </w:r>
          </w:p>
        </w:tc>
      </w:tr>
      <w:tr w14:paraId="371613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top w:val="single" w:color="000000" w:sz="4" w:space="0"/>
              <w:bottom w:val="single" w:color="000000" w:sz="4" w:space="0"/>
              <w:right w:val="single" w:color="000000" w:sz="4" w:space="0"/>
            </w:tcBorders>
            <w:shd w:val="clear" w:color="auto" w:fill="FFFFFF"/>
            <w:noWrap w:val="0"/>
            <w:vAlign w:val="center"/>
          </w:tcPr>
          <w:p w14:paraId="7647C7BA">
            <w:pPr>
              <w:jc w:val="center"/>
              <w:rPr>
                <w:rFonts w:hint="eastAsia" w:ascii="宋体" w:hAnsi="宋体" w:eastAsia="宋体" w:cs="宋体"/>
                <w:b w:val="0"/>
                <w:color w:val="auto"/>
                <w:sz w:val="18"/>
                <w:szCs w:val="18"/>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C5D43">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QPb2-4</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844B50">
            <w:pPr>
              <w:jc w:val="both"/>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3.262</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3.318</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3.316</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3.252</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3.285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3.275</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rPr>
              <w:t>3.318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862C0">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3.289</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0D530C">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0.0280</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7BEEE235">
            <w:pPr>
              <w:jc w:val="center"/>
              <w:rPr>
                <w:rFonts w:hint="eastAsia" w:ascii="宋体" w:hAnsi="宋体" w:eastAsia="宋体" w:cs="宋体"/>
                <w:color w:val="auto"/>
                <w:kern w:val="2"/>
                <w:sz w:val="18"/>
                <w:szCs w:val="18"/>
                <w:lang w:val="en-US" w:eastAsia="zh-CN" w:bidi="ar-SA"/>
              </w:rPr>
            </w:pPr>
            <w:r>
              <w:rPr>
                <w:rFonts w:hint="eastAsia" w:ascii="宋体" w:hAnsi="宋体" w:eastAsia="宋体" w:cs="宋体"/>
                <w:color w:val="auto"/>
                <w:sz w:val="18"/>
                <w:szCs w:val="18"/>
              </w:rPr>
              <w:t>0.85</w:t>
            </w:r>
          </w:p>
        </w:tc>
      </w:tr>
      <w:tr w14:paraId="1F108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restart"/>
            <w:tcBorders>
              <w:top w:val="single" w:color="000000" w:sz="4" w:space="0"/>
              <w:bottom w:val="single" w:color="000000" w:sz="4" w:space="0"/>
              <w:right w:val="single" w:color="000000" w:sz="4" w:space="0"/>
            </w:tcBorders>
            <w:shd w:val="clear" w:color="auto" w:fill="FFFFFF"/>
            <w:noWrap w:val="0"/>
            <w:vAlign w:val="center"/>
          </w:tcPr>
          <w:p w14:paraId="58B5E406">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浙江冶金</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96F17">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QPb2-1</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B312A">
            <w:pPr>
              <w:jc w:val="center"/>
              <w:rPr>
                <w:rFonts w:hint="eastAsia" w:ascii="宋体" w:hAnsi="宋体" w:eastAsia="宋体" w:cs="宋体"/>
                <w:color w:val="000000" w:themeColor="text1"/>
                <w:kern w:val="2"/>
                <w:sz w:val="18"/>
                <w:szCs w:val="18"/>
                <w:lang w:val="en-US" w:eastAsia="zh-CN" w:bidi="ar-SA"/>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077E19">
            <w:pPr>
              <w:jc w:val="center"/>
              <w:rPr>
                <w:rFonts w:hint="eastAsia" w:ascii="宋体" w:hAnsi="宋体" w:eastAsia="宋体" w:cs="宋体"/>
                <w:color w:val="000000" w:themeColor="text1"/>
                <w:kern w:val="2"/>
                <w:sz w:val="18"/>
                <w:szCs w:val="18"/>
                <w:lang w:val="en-US" w:eastAsia="zh-CN" w:bidi="ar-SA"/>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25B4FB">
            <w:pPr>
              <w:jc w:val="center"/>
              <w:rPr>
                <w:rFonts w:hint="eastAsia" w:ascii="宋体" w:hAnsi="宋体" w:eastAsia="宋体" w:cs="宋体"/>
                <w:color w:val="000000" w:themeColor="text1"/>
                <w:kern w:val="2"/>
                <w:sz w:val="18"/>
                <w:szCs w:val="18"/>
                <w:lang w:val="en-US" w:eastAsia="zh-CN" w:bidi="ar-SA"/>
              </w:rPr>
            </w:pPr>
          </w:p>
        </w:tc>
        <w:tc>
          <w:tcPr>
            <w:tcW w:w="934" w:type="dxa"/>
            <w:tcBorders>
              <w:top w:val="single" w:color="000000" w:sz="4" w:space="0"/>
              <w:left w:val="single" w:color="000000" w:sz="4" w:space="0"/>
              <w:bottom w:val="single" w:color="000000" w:sz="4" w:space="0"/>
            </w:tcBorders>
            <w:shd w:val="clear" w:color="auto" w:fill="auto"/>
            <w:noWrap w:val="0"/>
            <w:vAlign w:val="center"/>
          </w:tcPr>
          <w:p w14:paraId="6FDC6AD6">
            <w:pPr>
              <w:jc w:val="center"/>
              <w:rPr>
                <w:rFonts w:hint="eastAsia" w:ascii="宋体" w:hAnsi="宋体" w:eastAsia="宋体" w:cs="宋体"/>
                <w:color w:val="000000" w:themeColor="text1"/>
                <w:kern w:val="2"/>
                <w:sz w:val="18"/>
                <w:szCs w:val="18"/>
                <w:lang w:val="en-US" w:eastAsia="zh-CN" w:bidi="ar-SA"/>
              </w:rPr>
            </w:pPr>
          </w:p>
        </w:tc>
      </w:tr>
      <w:tr w14:paraId="4DF3B4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right w:val="single" w:color="000000" w:sz="4" w:space="0"/>
            </w:tcBorders>
            <w:shd w:val="clear" w:color="auto" w:fill="FFFFFF"/>
            <w:noWrap w:val="0"/>
            <w:vAlign w:val="center"/>
          </w:tcPr>
          <w:p w14:paraId="157B967A">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50BE7D">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QPb2-2</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FFFD91">
            <w:pPr>
              <w:jc w:val="center"/>
              <w:rPr>
                <w:rFonts w:hint="eastAsia" w:ascii="宋体" w:hAnsi="宋体" w:eastAsia="宋体" w:cs="宋体"/>
                <w:color w:val="000000" w:themeColor="text1"/>
                <w:kern w:val="2"/>
                <w:sz w:val="18"/>
                <w:szCs w:val="18"/>
                <w:lang w:val="en-US" w:eastAsia="zh-CN" w:bidi="ar-SA"/>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EF794F">
            <w:pPr>
              <w:jc w:val="center"/>
              <w:rPr>
                <w:rFonts w:hint="eastAsia" w:ascii="宋体" w:hAnsi="宋体" w:eastAsia="宋体" w:cs="宋体"/>
                <w:color w:val="000000" w:themeColor="text1"/>
                <w:kern w:val="2"/>
                <w:sz w:val="18"/>
                <w:szCs w:val="18"/>
                <w:lang w:val="en-US" w:eastAsia="zh-CN" w:bidi="ar-SA"/>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C7265">
            <w:pPr>
              <w:jc w:val="center"/>
              <w:rPr>
                <w:rFonts w:hint="eastAsia" w:ascii="宋体" w:hAnsi="宋体" w:eastAsia="宋体" w:cs="宋体"/>
                <w:color w:val="000000" w:themeColor="text1"/>
                <w:kern w:val="2"/>
                <w:sz w:val="18"/>
                <w:szCs w:val="18"/>
                <w:lang w:val="en-US" w:eastAsia="zh-CN" w:bidi="ar-SA"/>
              </w:rPr>
            </w:pPr>
          </w:p>
        </w:tc>
        <w:tc>
          <w:tcPr>
            <w:tcW w:w="934" w:type="dxa"/>
            <w:tcBorders>
              <w:top w:val="single" w:color="000000" w:sz="4" w:space="0"/>
              <w:left w:val="single" w:color="000000" w:sz="4" w:space="0"/>
              <w:bottom w:val="single" w:color="000000" w:sz="4" w:space="0"/>
            </w:tcBorders>
            <w:shd w:val="clear" w:color="auto" w:fill="auto"/>
            <w:noWrap w:val="0"/>
            <w:vAlign w:val="center"/>
          </w:tcPr>
          <w:p w14:paraId="7C0CC0C7">
            <w:pPr>
              <w:jc w:val="center"/>
              <w:rPr>
                <w:rFonts w:hint="eastAsia" w:ascii="宋体" w:hAnsi="宋体" w:eastAsia="宋体" w:cs="宋体"/>
                <w:color w:val="000000" w:themeColor="text1"/>
                <w:kern w:val="2"/>
                <w:sz w:val="18"/>
                <w:szCs w:val="18"/>
                <w:lang w:val="en-US" w:eastAsia="zh-CN" w:bidi="ar-SA"/>
              </w:rPr>
            </w:pPr>
          </w:p>
        </w:tc>
      </w:tr>
      <w:tr w14:paraId="6E123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right w:val="single" w:color="000000" w:sz="4" w:space="0"/>
            </w:tcBorders>
            <w:shd w:val="clear" w:color="auto" w:fill="FFFFFF"/>
            <w:noWrap w:val="0"/>
            <w:vAlign w:val="center"/>
          </w:tcPr>
          <w:p w14:paraId="23355596">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00C31C">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QPb2-3</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41C541">
            <w:pPr>
              <w:jc w:val="center"/>
              <w:rPr>
                <w:rFonts w:hint="eastAsia" w:ascii="宋体" w:hAnsi="宋体" w:eastAsia="宋体" w:cs="宋体"/>
                <w:color w:val="000000" w:themeColor="text1"/>
                <w:kern w:val="2"/>
                <w:sz w:val="18"/>
                <w:szCs w:val="18"/>
                <w:lang w:val="en-US" w:eastAsia="zh-CN" w:bidi="ar-SA"/>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6572C1">
            <w:pPr>
              <w:jc w:val="center"/>
              <w:rPr>
                <w:rFonts w:hint="eastAsia" w:ascii="宋体" w:hAnsi="宋体" w:eastAsia="宋体" w:cs="宋体"/>
                <w:color w:val="000000" w:themeColor="text1"/>
                <w:kern w:val="2"/>
                <w:sz w:val="18"/>
                <w:szCs w:val="18"/>
                <w:lang w:val="en-US" w:eastAsia="zh-CN" w:bidi="ar-SA"/>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D81E45">
            <w:pPr>
              <w:jc w:val="center"/>
              <w:rPr>
                <w:rFonts w:hint="eastAsia" w:ascii="宋体" w:hAnsi="宋体" w:eastAsia="宋体" w:cs="宋体"/>
                <w:color w:val="000000" w:themeColor="text1"/>
                <w:kern w:val="2"/>
                <w:sz w:val="18"/>
                <w:szCs w:val="18"/>
                <w:lang w:val="en-US" w:eastAsia="zh-CN" w:bidi="ar-SA"/>
              </w:rPr>
            </w:pPr>
          </w:p>
        </w:tc>
        <w:tc>
          <w:tcPr>
            <w:tcW w:w="934" w:type="dxa"/>
            <w:tcBorders>
              <w:top w:val="single" w:color="000000" w:sz="4" w:space="0"/>
              <w:left w:val="single" w:color="000000" w:sz="4" w:space="0"/>
              <w:bottom w:val="single" w:color="000000" w:sz="4" w:space="0"/>
            </w:tcBorders>
            <w:shd w:val="clear" w:color="auto" w:fill="auto"/>
            <w:noWrap w:val="0"/>
            <w:vAlign w:val="center"/>
          </w:tcPr>
          <w:p w14:paraId="7E2B3C56">
            <w:pPr>
              <w:jc w:val="center"/>
              <w:rPr>
                <w:rFonts w:hint="eastAsia" w:ascii="宋体" w:hAnsi="宋体" w:eastAsia="宋体" w:cs="宋体"/>
                <w:color w:val="000000" w:themeColor="text1"/>
                <w:kern w:val="2"/>
                <w:sz w:val="18"/>
                <w:szCs w:val="18"/>
                <w:lang w:val="en-US" w:eastAsia="zh-CN" w:bidi="ar-SA"/>
              </w:rPr>
            </w:pPr>
          </w:p>
        </w:tc>
      </w:tr>
      <w:tr w14:paraId="76A08E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top w:val="single" w:color="000000" w:sz="4" w:space="0"/>
              <w:bottom w:val="single" w:color="000000" w:sz="4" w:space="0"/>
              <w:right w:val="single" w:color="000000" w:sz="4" w:space="0"/>
            </w:tcBorders>
            <w:shd w:val="clear" w:color="auto" w:fill="FFFFFF"/>
            <w:noWrap w:val="0"/>
            <w:vAlign w:val="center"/>
          </w:tcPr>
          <w:p w14:paraId="65418EA0">
            <w:pPr>
              <w:jc w:val="center"/>
              <w:rPr>
                <w:rFonts w:hint="eastAsia" w:ascii="宋体" w:hAnsi="宋体" w:eastAsia="宋体" w:cs="宋体"/>
                <w:b w:val="0"/>
                <w:color w:val="auto"/>
                <w:sz w:val="18"/>
                <w:szCs w:val="18"/>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7CB024">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QPb2-4</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49088">
            <w:pPr>
              <w:jc w:val="center"/>
              <w:rPr>
                <w:rFonts w:hint="eastAsia" w:ascii="宋体" w:hAnsi="宋体" w:eastAsia="宋体" w:cs="宋体"/>
                <w:color w:val="000000" w:themeColor="text1"/>
                <w:kern w:val="2"/>
                <w:sz w:val="18"/>
                <w:szCs w:val="18"/>
                <w:lang w:val="en-US" w:eastAsia="zh-CN" w:bidi="ar-SA"/>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F1C1F0">
            <w:pPr>
              <w:jc w:val="center"/>
              <w:rPr>
                <w:rFonts w:hint="eastAsia" w:ascii="宋体" w:hAnsi="宋体" w:eastAsia="宋体" w:cs="宋体"/>
                <w:color w:val="000000" w:themeColor="text1"/>
                <w:kern w:val="2"/>
                <w:sz w:val="18"/>
                <w:szCs w:val="18"/>
                <w:lang w:val="en-US" w:eastAsia="zh-CN" w:bidi="ar-SA"/>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2E2CA">
            <w:pPr>
              <w:jc w:val="center"/>
              <w:rPr>
                <w:rFonts w:hint="eastAsia" w:ascii="宋体" w:hAnsi="宋体" w:eastAsia="宋体" w:cs="宋体"/>
                <w:color w:val="000000" w:themeColor="text1"/>
                <w:kern w:val="2"/>
                <w:sz w:val="18"/>
                <w:szCs w:val="18"/>
                <w:lang w:val="en-US" w:eastAsia="zh-CN" w:bidi="ar-SA"/>
              </w:rPr>
            </w:pPr>
          </w:p>
        </w:tc>
        <w:tc>
          <w:tcPr>
            <w:tcW w:w="934" w:type="dxa"/>
            <w:tcBorders>
              <w:top w:val="single" w:color="000000" w:sz="4" w:space="0"/>
              <w:left w:val="single" w:color="000000" w:sz="4" w:space="0"/>
              <w:bottom w:val="single" w:color="000000" w:sz="4" w:space="0"/>
            </w:tcBorders>
            <w:shd w:val="clear" w:color="auto" w:fill="auto"/>
            <w:noWrap w:val="0"/>
            <w:vAlign w:val="center"/>
          </w:tcPr>
          <w:p w14:paraId="4B4AE8DF">
            <w:pPr>
              <w:jc w:val="center"/>
              <w:rPr>
                <w:rFonts w:hint="eastAsia" w:ascii="宋体" w:hAnsi="宋体" w:eastAsia="宋体" w:cs="宋体"/>
                <w:color w:val="000000" w:themeColor="text1"/>
                <w:kern w:val="2"/>
                <w:sz w:val="18"/>
                <w:szCs w:val="18"/>
                <w:lang w:val="en-US" w:eastAsia="zh-CN" w:bidi="ar-SA"/>
              </w:rPr>
            </w:pPr>
          </w:p>
        </w:tc>
      </w:tr>
      <w:tr w14:paraId="1A1A0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restart"/>
            <w:tcBorders>
              <w:top w:val="single" w:color="000000" w:sz="4" w:space="0"/>
              <w:bottom w:val="single" w:color="000000" w:sz="4" w:space="0"/>
              <w:right w:val="single" w:color="000000" w:sz="4" w:space="0"/>
            </w:tcBorders>
            <w:shd w:val="clear" w:color="auto" w:fill="FFFFFF"/>
            <w:noWrap w:val="0"/>
            <w:vAlign w:val="center"/>
          </w:tcPr>
          <w:p w14:paraId="563FB8B0">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深圳市中金岭南</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633C85">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QPb2-1</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F7777E">
            <w:pPr>
              <w:keepNext w:val="0"/>
              <w:keepLines w:val="0"/>
              <w:widowControl/>
              <w:suppressLineNumbers w:val="0"/>
              <w:jc w:val="both"/>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0.00211,0.00206,0.00212,0.00201,0.00209 ,0.00204,0.00210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CA1566">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0.00208</w:t>
            </w:r>
          </w:p>
        </w:tc>
        <w:tc>
          <w:tcPr>
            <w:tcW w:w="8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97F9AF">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0.000040</w:t>
            </w:r>
          </w:p>
        </w:tc>
        <w:tc>
          <w:tcPr>
            <w:tcW w:w="934" w:type="dxa"/>
            <w:tcBorders>
              <w:top w:val="single" w:color="000000" w:sz="4" w:space="0"/>
              <w:left w:val="single" w:color="000000" w:sz="4" w:space="0"/>
              <w:bottom w:val="single" w:color="000000" w:sz="4" w:space="0"/>
            </w:tcBorders>
            <w:shd w:val="clear" w:color="auto" w:fill="FFFFFF"/>
            <w:noWrap w:val="0"/>
            <w:vAlign w:val="center"/>
          </w:tcPr>
          <w:p w14:paraId="5C01489E">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1.94</w:t>
            </w:r>
          </w:p>
        </w:tc>
      </w:tr>
      <w:tr w14:paraId="1BAF71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457" w:hRule="atLeast"/>
          <w:jc w:val="center"/>
        </w:trPr>
        <w:tc>
          <w:tcPr>
            <w:tcW w:w="1022" w:type="dxa"/>
            <w:vMerge w:val="continue"/>
            <w:tcBorders>
              <w:right w:val="single" w:color="000000" w:sz="4" w:space="0"/>
            </w:tcBorders>
            <w:shd w:val="clear" w:color="auto" w:fill="FFFFFF"/>
            <w:noWrap w:val="0"/>
            <w:vAlign w:val="center"/>
          </w:tcPr>
          <w:p w14:paraId="3DB75D30">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1A68E">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QPb2-2</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221AEF">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0.0270,0.0263,0.0266, 0.0267,0.0263,0.0271,0.0269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CE9436">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0.0267</w:t>
            </w:r>
          </w:p>
        </w:tc>
        <w:tc>
          <w:tcPr>
            <w:tcW w:w="8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8849E">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0.00032</w:t>
            </w:r>
          </w:p>
        </w:tc>
        <w:tc>
          <w:tcPr>
            <w:tcW w:w="934" w:type="dxa"/>
            <w:tcBorders>
              <w:top w:val="single" w:color="000000" w:sz="4" w:space="0"/>
              <w:left w:val="single" w:color="000000" w:sz="4" w:space="0"/>
              <w:bottom w:val="single" w:color="000000" w:sz="4" w:space="0"/>
            </w:tcBorders>
            <w:shd w:val="clear" w:color="auto" w:fill="FFFFFF"/>
            <w:noWrap w:val="0"/>
            <w:vAlign w:val="center"/>
          </w:tcPr>
          <w:p w14:paraId="172BE637">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1.20</w:t>
            </w:r>
          </w:p>
        </w:tc>
      </w:tr>
      <w:tr w14:paraId="5F11B5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right w:val="single" w:color="000000" w:sz="4" w:space="0"/>
            </w:tcBorders>
            <w:shd w:val="clear" w:color="auto" w:fill="FFFFFF"/>
            <w:noWrap w:val="0"/>
            <w:vAlign w:val="center"/>
          </w:tcPr>
          <w:p w14:paraId="172F8069">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BE851">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QPb2-3</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BAB288">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0.205,0.206,0.204,0.207,0.204,0.208,0.201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2811F7">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0.205</w:t>
            </w:r>
          </w:p>
        </w:tc>
        <w:tc>
          <w:tcPr>
            <w:tcW w:w="8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597BC7">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0.0023</w:t>
            </w:r>
          </w:p>
        </w:tc>
        <w:tc>
          <w:tcPr>
            <w:tcW w:w="934" w:type="dxa"/>
            <w:tcBorders>
              <w:top w:val="single" w:color="000000" w:sz="4" w:space="0"/>
              <w:left w:val="single" w:color="000000" w:sz="4" w:space="0"/>
              <w:bottom w:val="single" w:color="000000" w:sz="4" w:space="0"/>
            </w:tcBorders>
            <w:shd w:val="clear" w:color="auto" w:fill="FFFFFF"/>
            <w:noWrap w:val="0"/>
            <w:vAlign w:val="center"/>
          </w:tcPr>
          <w:p w14:paraId="5E7FBDD8">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1.13</w:t>
            </w:r>
          </w:p>
        </w:tc>
      </w:tr>
      <w:tr w14:paraId="32E39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bottom w:val="single" w:color="auto" w:sz="4" w:space="0"/>
              <w:right w:val="single" w:color="000000" w:sz="4" w:space="0"/>
            </w:tcBorders>
            <w:shd w:val="clear" w:color="auto" w:fill="FFFFFF"/>
            <w:noWrap w:val="0"/>
            <w:vAlign w:val="center"/>
          </w:tcPr>
          <w:p w14:paraId="2DE884A1">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E700958">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QPb2-4</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60DE4">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3.296,3.316,3.278,3.286,3.264,3.278, 3.292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D17B5">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3.287</w:t>
            </w:r>
          </w:p>
        </w:tc>
        <w:tc>
          <w:tcPr>
            <w:tcW w:w="8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E15470">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0.017</w:t>
            </w:r>
          </w:p>
        </w:tc>
        <w:tc>
          <w:tcPr>
            <w:tcW w:w="934" w:type="dxa"/>
            <w:tcBorders>
              <w:top w:val="single" w:color="000000" w:sz="4" w:space="0"/>
              <w:left w:val="single" w:color="000000" w:sz="4" w:space="0"/>
              <w:bottom w:val="single" w:color="000000" w:sz="4" w:space="0"/>
            </w:tcBorders>
            <w:shd w:val="clear" w:color="auto" w:fill="FFFFFF"/>
            <w:noWrap w:val="0"/>
            <w:vAlign w:val="center"/>
          </w:tcPr>
          <w:p w14:paraId="1BB9EA58">
            <w:pPr>
              <w:keepNext w:val="0"/>
              <w:keepLines w:val="0"/>
              <w:widowControl/>
              <w:suppressLineNumbers w:val="0"/>
              <w:jc w:val="center"/>
              <w:textAlignment w:val="center"/>
              <w:rPr>
                <w:rFonts w:hint="eastAsia" w:ascii="宋体" w:hAnsi="宋体" w:eastAsia="宋体" w:cs="宋体"/>
                <w:b w:val="0"/>
                <w:color w:val="auto"/>
                <w:sz w:val="18"/>
                <w:szCs w:val="18"/>
                <w:lang w:val="en-US" w:eastAsia="zh-CN"/>
              </w:rPr>
            </w:pPr>
            <w:r>
              <w:rPr>
                <w:rFonts w:hint="eastAsia" w:ascii="宋体" w:hAnsi="宋体" w:eastAsia="宋体" w:cs="宋体"/>
                <w:i w:val="0"/>
                <w:iCs w:val="0"/>
                <w:color w:val="000000"/>
                <w:kern w:val="0"/>
                <w:sz w:val="18"/>
                <w:szCs w:val="18"/>
                <w:u w:val="none"/>
                <w:lang w:val="en-US" w:eastAsia="zh-CN" w:bidi="ar"/>
              </w:rPr>
              <w:t>0.50</w:t>
            </w:r>
          </w:p>
        </w:tc>
      </w:tr>
      <w:tr w14:paraId="20A94B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restart"/>
            <w:tcBorders>
              <w:top w:val="single" w:color="auto" w:sz="4" w:space="0"/>
              <w:right w:val="single" w:color="000000" w:sz="4" w:space="0"/>
            </w:tcBorders>
            <w:shd w:val="clear" w:color="auto" w:fill="FFFFFF"/>
            <w:noWrap w:val="0"/>
            <w:vAlign w:val="center"/>
          </w:tcPr>
          <w:p w14:paraId="15744095">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大冶有色</w:t>
            </w:r>
          </w:p>
        </w:tc>
        <w:tc>
          <w:tcPr>
            <w:tcW w:w="109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0BEF4523">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lang w:val="en-US" w:eastAsia="zh-CN"/>
              </w:rPr>
              <w:t>QPb2-1</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6D6E0">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0.00200，0.00192，0.00187，0.00198，0.00202，0.00206，0.00187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5076F">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0.00196</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6D803">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0.00007</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59E409AF">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3.807</w:t>
            </w:r>
          </w:p>
        </w:tc>
      </w:tr>
      <w:tr w14:paraId="4230A3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right w:val="single" w:color="000000" w:sz="4" w:space="0"/>
            </w:tcBorders>
            <w:shd w:val="clear" w:color="auto" w:fill="FFFFFF"/>
            <w:noWrap w:val="0"/>
            <w:vAlign w:val="center"/>
          </w:tcPr>
          <w:p w14:paraId="100AF67C">
            <w:pPr>
              <w:jc w:val="center"/>
              <w:rPr>
                <w:rFonts w:hint="eastAsia" w:ascii="宋体" w:hAnsi="宋体" w:eastAsia="宋体" w:cs="宋体"/>
                <w:b w:val="0"/>
                <w:color w:val="auto"/>
                <w:sz w:val="18"/>
                <w:szCs w:val="18"/>
                <w:lang w:val="en-US" w:eastAsia="zh-CN"/>
              </w:rPr>
            </w:pPr>
          </w:p>
        </w:tc>
        <w:tc>
          <w:tcPr>
            <w:tcW w:w="109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55BEBCE7">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lang w:val="en-US" w:eastAsia="zh-CN"/>
              </w:rPr>
              <w:t>QPb2-2</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6ECD0D">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0.0258，0.0240，0.0262，0.0246，0.0258，0.0248，0.0266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3C4BC">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0.0254</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DD4CD5">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0.00095</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0494478D">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3.721</w:t>
            </w:r>
          </w:p>
        </w:tc>
      </w:tr>
      <w:tr w14:paraId="2A7AE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right w:val="single" w:color="000000" w:sz="4" w:space="0"/>
            </w:tcBorders>
            <w:shd w:val="clear" w:color="auto" w:fill="FFFFFF"/>
            <w:noWrap w:val="0"/>
            <w:vAlign w:val="center"/>
          </w:tcPr>
          <w:p w14:paraId="2899577C">
            <w:pPr>
              <w:jc w:val="center"/>
              <w:rPr>
                <w:rFonts w:hint="eastAsia" w:ascii="宋体" w:hAnsi="宋体" w:eastAsia="宋体" w:cs="宋体"/>
                <w:b w:val="0"/>
                <w:color w:val="auto"/>
                <w:sz w:val="18"/>
                <w:szCs w:val="18"/>
                <w:lang w:val="en-US" w:eastAsia="zh-CN"/>
              </w:rPr>
            </w:pPr>
          </w:p>
        </w:tc>
        <w:tc>
          <w:tcPr>
            <w:tcW w:w="109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38393F1">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lang w:val="en-US" w:eastAsia="zh-CN"/>
              </w:rPr>
              <w:t>QPb2-3</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BFCDD7">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0.201，0.187，0.192，0.202，0.194，0.205，0.197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F39258">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0.197</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8DBC6">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0.00631</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07C8D50A">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3.205</w:t>
            </w:r>
          </w:p>
        </w:tc>
      </w:tr>
      <w:tr w14:paraId="4B000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top w:val="single" w:color="000000" w:sz="4" w:space="0"/>
              <w:bottom w:val="single" w:color="000000" w:sz="4" w:space="0"/>
              <w:right w:val="single" w:color="000000" w:sz="4" w:space="0"/>
            </w:tcBorders>
            <w:shd w:val="clear" w:color="auto" w:fill="FFFFFF"/>
            <w:noWrap w:val="0"/>
            <w:vAlign w:val="center"/>
          </w:tcPr>
          <w:p w14:paraId="261EDBCF">
            <w:pPr>
              <w:jc w:val="center"/>
              <w:rPr>
                <w:rFonts w:hint="eastAsia" w:ascii="宋体" w:hAnsi="宋体" w:eastAsia="宋体" w:cs="宋体"/>
                <w:b w:val="0"/>
                <w:color w:val="auto"/>
                <w:sz w:val="18"/>
                <w:szCs w:val="18"/>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6491E">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lang w:val="en-US" w:eastAsia="zh-CN"/>
              </w:rPr>
              <w:t>QPb2-4</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7627D8">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3.287，3.292，3.285，3.295，3.273，3.298，3.286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103E1C">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3.288</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B59C34">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0.00821</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42B3766B">
            <w:pPr>
              <w:keepNext w:val="0"/>
              <w:keepLines w:val="0"/>
              <w:widowControl/>
              <w:suppressLineNumbers w:val="0"/>
              <w:jc w:val="center"/>
              <w:textAlignment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i w:val="0"/>
                <w:iCs w:val="0"/>
                <w:color w:val="auto"/>
                <w:kern w:val="0"/>
                <w:sz w:val="18"/>
                <w:szCs w:val="18"/>
                <w:u w:val="none"/>
                <w:lang w:val="en-US" w:eastAsia="zh-CN" w:bidi="ar"/>
              </w:rPr>
              <w:t>0.250</w:t>
            </w:r>
          </w:p>
        </w:tc>
      </w:tr>
      <w:tr w14:paraId="320843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9" w:hRule="atLeast"/>
          <w:jc w:val="center"/>
        </w:trPr>
        <w:tc>
          <w:tcPr>
            <w:tcW w:w="1022" w:type="dxa"/>
            <w:vMerge w:val="restart"/>
            <w:tcBorders>
              <w:top w:val="single" w:color="000000" w:sz="4" w:space="0"/>
              <w:right w:val="single" w:color="000000" w:sz="4" w:space="0"/>
            </w:tcBorders>
            <w:shd w:val="clear" w:color="auto" w:fill="FFFFFF"/>
            <w:noWrap w:val="0"/>
            <w:vAlign w:val="center"/>
          </w:tcPr>
          <w:p w14:paraId="66B37228">
            <w:pPr>
              <w:jc w:val="center"/>
              <w:rPr>
                <w:rFonts w:hint="eastAsia" w:ascii="宋体" w:hAnsi="宋体" w:eastAsia="宋体" w:cs="宋体"/>
                <w:b w:val="0"/>
                <w:color w:val="auto"/>
                <w:sz w:val="18"/>
                <w:szCs w:val="18"/>
                <w:lang w:val="en-US" w:eastAsia="zh-CN"/>
              </w:rPr>
            </w:pPr>
            <w:r>
              <w:rPr>
                <w:rFonts w:hint="eastAsia" w:ascii="宋体" w:hAnsi="宋体" w:eastAsia="宋体" w:cs="宋体"/>
                <w:b w:val="0"/>
                <w:color w:val="auto"/>
                <w:sz w:val="18"/>
                <w:szCs w:val="18"/>
                <w:lang w:val="en-US" w:eastAsia="zh-CN"/>
              </w:rPr>
              <w:t>昆明冶金研究院有限公司</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7BE456">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QPb2-1</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D902F">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0.00199，0.00200，0.00202，0.00199，0.00200，0.00200，0.00199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E0CCD8">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0.00200</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E93209">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0.000011</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72420C5E">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0.38</w:t>
            </w:r>
          </w:p>
        </w:tc>
      </w:tr>
      <w:tr w14:paraId="5B96A8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9" w:hRule="atLeast"/>
          <w:jc w:val="center"/>
        </w:trPr>
        <w:tc>
          <w:tcPr>
            <w:tcW w:w="1022" w:type="dxa"/>
            <w:vMerge w:val="continue"/>
            <w:tcBorders>
              <w:right w:val="single" w:color="000000" w:sz="4" w:space="0"/>
            </w:tcBorders>
            <w:shd w:val="clear" w:color="auto" w:fill="FFFFFF"/>
            <w:noWrap w:val="0"/>
            <w:vAlign w:val="center"/>
          </w:tcPr>
          <w:p w14:paraId="496F96EA">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B8426C">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QPb2-2</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D8887B">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0.0259，0.0262，0.0260，0.0263，0.0258，0.0261，0.0262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7AE5C8">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0.0260</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3B1A1B">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0.00018</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39F436FE">
            <w:pPr>
              <w:ind w:firstLine="360" w:firstLineChars="200"/>
              <w:jc w:val="both"/>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0.69</w:t>
            </w:r>
          </w:p>
        </w:tc>
      </w:tr>
      <w:tr w14:paraId="45A0C0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9" w:hRule="atLeast"/>
          <w:jc w:val="center"/>
        </w:trPr>
        <w:tc>
          <w:tcPr>
            <w:tcW w:w="1022" w:type="dxa"/>
            <w:vMerge w:val="continue"/>
            <w:tcBorders>
              <w:right w:val="single" w:color="000000" w:sz="4" w:space="0"/>
            </w:tcBorders>
            <w:shd w:val="clear" w:color="auto" w:fill="FFFFFF"/>
            <w:noWrap w:val="0"/>
            <w:vAlign w:val="center"/>
          </w:tcPr>
          <w:p w14:paraId="73D6CEB8">
            <w:pPr>
              <w:jc w:val="center"/>
              <w:rPr>
                <w:rFonts w:hint="eastAsia" w:ascii="宋体" w:hAnsi="宋体" w:eastAsia="宋体" w:cs="宋体"/>
                <w:b w:val="0"/>
                <w:color w:val="auto"/>
                <w:sz w:val="18"/>
                <w:szCs w:val="18"/>
                <w:lang w:val="en-US" w:eastAsia="zh-CN"/>
              </w:rPr>
            </w:pP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03CBB">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QPb2-3</w:t>
            </w:r>
          </w:p>
        </w:tc>
        <w:tc>
          <w:tcPr>
            <w:tcW w:w="441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45D6F">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0.199，0.198，0.200，0.201，0.200，0.199，0.201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4EC0E4">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0.200</w:t>
            </w:r>
          </w:p>
        </w:tc>
        <w:tc>
          <w:tcPr>
            <w:tcW w:w="85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93E53F">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0.001113</w:t>
            </w:r>
          </w:p>
        </w:tc>
        <w:tc>
          <w:tcPr>
            <w:tcW w:w="934" w:type="dxa"/>
            <w:tcBorders>
              <w:top w:val="single" w:color="000000" w:sz="4" w:space="0"/>
              <w:left w:val="single" w:color="000000" w:sz="4" w:space="0"/>
              <w:bottom w:val="single" w:color="000000" w:sz="4" w:space="0"/>
            </w:tcBorders>
            <w:shd w:val="clear" w:color="auto" w:fill="auto"/>
            <w:noWrap w:val="0"/>
            <w:vAlign w:val="center"/>
          </w:tcPr>
          <w:p w14:paraId="6073C0F1">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0.56</w:t>
            </w:r>
          </w:p>
        </w:tc>
      </w:tr>
      <w:tr w14:paraId="3D79F1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022" w:type="dxa"/>
            <w:vMerge w:val="continue"/>
            <w:tcBorders>
              <w:right w:val="single" w:color="000000" w:sz="4" w:space="0"/>
            </w:tcBorders>
            <w:shd w:val="clear" w:color="auto" w:fill="FFFFFF"/>
            <w:noWrap w:val="0"/>
            <w:vAlign w:val="center"/>
          </w:tcPr>
          <w:p w14:paraId="3E46A97D">
            <w:pPr>
              <w:jc w:val="center"/>
              <w:rPr>
                <w:rFonts w:hint="eastAsia" w:ascii="宋体" w:hAnsi="宋体" w:eastAsia="宋体" w:cs="宋体"/>
                <w:b w:val="0"/>
                <w:color w:val="auto"/>
                <w:sz w:val="18"/>
                <w:szCs w:val="18"/>
              </w:rPr>
            </w:pPr>
          </w:p>
        </w:tc>
        <w:tc>
          <w:tcPr>
            <w:tcW w:w="1090" w:type="dxa"/>
            <w:tcBorders>
              <w:top w:val="single" w:color="000000" w:sz="4" w:space="0"/>
              <w:left w:val="single" w:color="000000" w:sz="4" w:space="0"/>
              <w:right w:val="single" w:color="000000" w:sz="4" w:space="0"/>
            </w:tcBorders>
            <w:shd w:val="clear" w:color="auto" w:fill="auto"/>
            <w:noWrap w:val="0"/>
            <w:vAlign w:val="center"/>
          </w:tcPr>
          <w:p w14:paraId="538AD622">
            <w:pPr>
              <w:jc w:val="center"/>
              <w:rPr>
                <w:rFonts w:hint="eastAsia" w:ascii="宋体" w:hAnsi="宋体" w:eastAsia="宋体" w:cs="宋体"/>
                <w:bCs/>
                <w:color w:val="auto"/>
                <w:kern w:val="2"/>
                <w:sz w:val="18"/>
                <w:szCs w:val="18"/>
                <w:lang w:val="en-US" w:eastAsia="zh-CN" w:bidi="ar-SA"/>
              </w:rPr>
            </w:pPr>
            <w:r>
              <w:rPr>
                <w:rFonts w:hint="eastAsia" w:ascii="宋体" w:hAnsi="宋体" w:eastAsia="宋体" w:cs="宋体"/>
                <w:bCs/>
                <w:color w:val="auto"/>
                <w:sz w:val="18"/>
                <w:szCs w:val="18"/>
              </w:rPr>
              <w:t>QPb2-4</w:t>
            </w:r>
          </w:p>
        </w:tc>
        <w:tc>
          <w:tcPr>
            <w:tcW w:w="4415" w:type="dxa"/>
            <w:tcBorders>
              <w:top w:val="single" w:color="000000" w:sz="4" w:space="0"/>
              <w:left w:val="single" w:color="000000" w:sz="4" w:space="0"/>
              <w:right w:val="single" w:color="000000" w:sz="4" w:space="0"/>
            </w:tcBorders>
            <w:shd w:val="clear" w:color="auto" w:fill="auto"/>
            <w:noWrap w:val="0"/>
            <w:vAlign w:val="center"/>
          </w:tcPr>
          <w:p w14:paraId="38934334">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3.289，3.291，3.290，3.289，3.290，3.291，3.289</w:t>
            </w:r>
          </w:p>
        </w:tc>
        <w:tc>
          <w:tcPr>
            <w:tcW w:w="825" w:type="dxa"/>
            <w:tcBorders>
              <w:top w:val="single" w:color="000000" w:sz="4" w:space="0"/>
              <w:left w:val="single" w:color="000000" w:sz="4" w:space="0"/>
              <w:right w:val="single" w:color="000000" w:sz="4" w:space="0"/>
            </w:tcBorders>
            <w:shd w:val="clear" w:color="auto" w:fill="auto"/>
            <w:noWrap w:val="0"/>
            <w:vAlign w:val="center"/>
          </w:tcPr>
          <w:p w14:paraId="02A1D207">
            <w:pPr>
              <w:jc w:val="center"/>
              <w:rPr>
                <w:rFonts w:hint="default"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3.290</w:t>
            </w:r>
          </w:p>
        </w:tc>
        <w:tc>
          <w:tcPr>
            <w:tcW w:w="857" w:type="dxa"/>
            <w:tcBorders>
              <w:top w:val="single" w:color="000000" w:sz="4" w:space="0"/>
              <w:left w:val="single" w:color="000000" w:sz="4" w:space="0"/>
              <w:right w:val="single" w:color="000000" w:sz="4" w:space="0"/>
            </w:tcBorders>
            <w:shd w:val="clear" w:color="auto" w:fill="auto"/>
            <w:noWrap w:val="0"/>
            <w:vAlign w:val="center"/>
          </w:tcPr>
          <w:p w14:paraId="1E2D915E">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0.00090</w:t>
            </w:r>
          </w:p>
        </w:tc>
        <w:tc>
          <w:tcPr>
            <w:tcW w:w="934" w:type="dxa"/>
            <w:tcBorders>
              <w:top w:val="single" w:color="000000" w:sz="4" w:space="0"/>
              <w:left w:val="single" w:color="000000" w:sz="4" w:space="0"/>
            </w:tcBorders>
            <w:shd w:val="clear" w:color="auto" w:fill="auto"/>
            <w:noWrap w:val="0"/>
            <w:vAlign w:val="center"/>
          </w:tcPr>
          <w:p w14:paraId="0FAF1B4A">
            <w:pPr>
              <w:jc w:val="center"/>
              <w:rPr>
                <w:rFonts w:hint="eastAsia" w:ascii="宋体" w:hAnsi="宋体" w:eastAsia="宋体" w:cs="宋体"/>
                <w:b w:val="0"/>
                <w:color w:val="auto"/>
                <w:kern w:val="2"/>
                <w:sz w:val="18"/>
                <w:szCs w:val="18"/>
                <w:lang w:val="en-US" w:eastAsia="zh-CN" w:bidi="ar-SA"/>
              </w:rPr>
            </w:pPr>
            <w:r>
              <w:rPr>
                <w:rFonts w:hint="eastAsia" w:ascii="宋体" w:hAnsi="宋体" w:eastAsia="宋体" w:cs="宋体"/>
                <w:b w:val="0"/>
                <w:color w:val="auto"/>
                <w:sz w:val="18"/>
                <w:szCs w:val="18"/>
                <w:lang w:val="en-US" w:eastAsia="zh-CN"/>
              </w:rPr>
              <w:t>0.027</w:t>
            </w:r>
          </w:p>
        </w:tc>
      </w:tr>
    </w:tbl>
    <w:p w14:paraId="09F44865">
      <w:pPr>
        <w:pStyle w:val="4"/>
        <w:rPr>
          <w:rFonts w:hint="eastAsia" w:ascii="宋体" w:hAnsi="宋体" w:eastAsia="宋体" w:cs="宋体"/>
          <w:sz w:val="21"/>
          <w:szCs w:val="21"/>
          <w:lang w:val="en-US" w:eastAsia="zh-CN"/>
        </w:rPr>
      </w:pPr>
    </w:p>
    <w:p w14:paraId="1207A647">
      <w:pPr>
        <w:pStyle w:val="4"/>
        <w:rPr>
          <w:rFonts w:hint="eastAsia" w:ascii="宋体" w:hAnsi="宋体" w:eastAsia="宋体" w:cs="宋体"/>
          <w:sz w:val="21"/>
          <w:szCs w:val="21"/>
          <w:lang w:val="en-US" w:eastAsia="zh-CN"/>
        </w:rPr>
      </w:pPr>
    </w:p>
    <w:p w14:paraId="3C6F7029">
      <w:pPr>
        <w:pStyle w:val="4"/>
        <w:rPr>
          <w:rFonts w:hint="default" w:ascii="Times New Roman" w:hAnsi="Times New Roman" w:eastAsia="宋体" w:cs="Times New Roman"/>
          <w:sz w:val="21"/>
          <w:szCs w:val="21"/>
          <w:lang w:val="en-US" w:eastAsia="zh-CN"/>
        </w:rPr>
      </w:pPr>
    </w:p>
    <w:p w14:paraId="6C480C32">
      <w:pPr>
        <w:pStyle w:val="4"/>
        <w:numPr>
          <w:ilvl w:val="0"/>
          <w:numId w:val="0"/>
        </w:numPr>
        <w:ind w:leftChars="0"/>
        <w:rPr>
          <w:rFonts w:hint="eastAsia"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（四）标准的先进性、创新性、标准实施后预期产生的经济效益和社会效益</w:t>
      </w:r>
    </w:p>
    <w:p w14:paraId="0E3B0499">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4.1先进性、创新性</w:t>
      </w:r>
    </w:p>
    <w:p w14:paraId="0286FCD4">
      <w:pPr>
        <w:pStyle w:val="4"/>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该标准的制定，对铜及铜合金产品的生产、研发和贸易有重要的指导意义，也使GB/T 5121系列标准更加完善，增强其实用性和适用范围，发挥国家标准在国内和国际市场上作用，提高我国检测标准水平，具有良好的社会效益。对推动我国铜及铜合金材料的研发、生产和贸易等活动有着重要意义。</w:t>
      </w:r>
    </w:p>
    <w:p w14:paraId="5C571F14">
      <w:pPr>
        <w:pStyle w:val="4"/>
        <w:numPr>
          <w:ilvl w:val="0"/>
          <w:numId w:val="0"/>
        </w:numPr>
        <w:ind w:firstLine="422" w:firstLineChars="200"/>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4.2经济效益</w:t>
      </w:r>
    </w:p>
    <w:p w14:paraId="7C882757">
      <w:pPr>
        <w:pStyle w:val="4"/>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eastAsia="宋体"/>
          <w:sz w:val="21"/>
          <w:szCs w:val="21"/>
          <w:lang w:val="en-US" w:eastAsia="zh-CN"/>
        </w:rPr>
        <w:t>新标准的制定和发布将推动铜及铜合金产业的发展，提升产品的质量和竞争力。通过完善铅含量的测定方法，企业可以更加准确地控制产品中的铅含量，从而生产出符合市场需求的高品质铜及铜合金产品。这将有助于提高企业的生产效率和经济效益，增强其在国内外市场的竞争力</w:t>
      </w:r>
      <w:r>
        <w:rPr>
          <w:rFonts w:hint="eastAsia" w:ascii="宋体" w:hAnsi="宋体" w:eastAsiaTheme="minorEastAsia" w:cstheme="minorBidi"/>
          <w:color w:val="auto"/>
          <w:kern w:val="2"/>
          <w:sz w:val="21"/>
          <w:szCs w:val="21"/>
          <w:lang w:val="en-US" w:eastAsia="zh-CN" w:bidi="ar-SA"/>
        </w:rPr>
        <w:t>。</w:t>
      </w:r>
    </w:p>
    <w:p w14:paraId="3F5BCD85">
      <w:pPr>
        <w:pStyle w:val="10"/>
        <w:keepNext w:val="0"/>
        <w:keepLines w:val="0"/>
        <w:pageBreakBefore w:val="0"/>
        <w:widowControl w:val="0"/>
        <w:kinsoku/>
        <w:wordWrap/>
        <w:overflowPunct/>
        <w:topLinePunct w:val="0"/>
        <w:autoSpaceDE/>
        <w:autoSpaceDN/>
        <w:bidi w:val="0"/>
        <w:adjustRightInd/>
        <w:snapToGrid/>
        <w:spacing w:line="240" w:lineRule="auto"/>
        <w:ind w:firstLine="422" w:firstLineChars="200"/>
        <w:jc w:val="both"/>
        <w:textAlignment w:val="auto"/>
        <w:rPr>
          <w:rFonts w:hint="eastAsia" w:ascii="宋体" w:hAnsi="宋体" w:eastAsiaTheme="minorEastAsia" w:cstheme="minorBidi"/>
          <w:b/>
          <w:bCs/>
          <w:color w:val="auto"/>
          <w:kern w:val="2"/>
          <w:sz w:val="21"/>
          <w:szCs w:val="21"/>
          <w:lang w:val="en-US" w:eastAsia="zh-CN" w:bidi="ar-SA"/>
        </w:rPr>
      </w:pPr>
      <w:r>
        <w:rPr>
          <w:rFonts w:hint="eastAsia" w:ascii="宋体" w:hAnsi="宋体" w:eastAsiaTheme="minorEastAsia" w:cstheme="minorBidi"/>
          <w:b/>
          <w:bCs/>
          <w:color w:val="auto"/>
          <w:kern w:val="2"/>
          <w:sz w:val="21"/>
          <w:szCs w:val="21"/>
          <w:lang w:val="en-US" w:eastAsia="zh-CN" w:bidi="ar-SA"/>
        </w:rPr>
        <w:t>4.3社会效益</w:t>
      </w:r>
    </w:p>
    <w:p w14:paraId="6503C157">
      <w:pPr>
        <w:pStyle w:val="10"/>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eastAsiaTheme="minorEastAsia" w:cstheme="minorBidi"/>
          <w:b/>
          <w:bCs/>
          <w:color w:val="auto"/>
          <w:kern w:val="2"/>
          <w:sz w:val="21"/>
          <w:szCs w:val="21"/>
          <w:lang w:val="en-US" w:eastAsia="zh-CN" w:bidi="ar-SA"/>
        </w:rPr>
      </w:pPr>
      <w:r>
        <w:rPr>
          <w:rFonts w:hint="eastAsia" w:ascii="宋体" w:eastAsia="宋体"/>
          <w:b w:val="0"/>
          <w:bCs w:val="0"/>
          <w:sz w:val="21"/>
          <w:szCs w:val="21"/>
          <w:lang w:val="en-US" w:eastAsia="zh-CN"/>
        </w:rPr>
        <w:t>该项目的实施还将促进有色金属标准化体系的优化升级，使GB/T 5121系列标准更加完善，提升我国在国际标准化领域的影响力和话语权。通过与国际国外同类型标准相比，本项目结项后有望达到国际先进水平，这将有助于提升我国的国际形象和地位，推动我国经济的高质量发展</w:t>
      </w:r>
      <w:r>
        <w:rPr>
          <w:rFonts w:hint="eastAsia" w:ascii="宋体"/>
          <w:b w:val="0"/>
          <w:bCs w:val="0"/>
          <w:sz w:val="21"/>
          <w:szCs w:val="21"/>
          <w:lang w:val="en-US" w:eastAsia="zh-CN"/>
        </w:rPr>
        <w:t>。</w:t>
      </w:r>
    </w:p>
    <w:p w14:paraId="12547122">
      <w:pPr>
        <w:pStyle w:val="10"/>
        <w:keepNext w:val="0"/>
        <w:keepLines w:val="0"/>
        <w:pageBreakBefore w:val="0"/>
        <w:widowControl w:val="0"/>
        <w:kinsoku/>
        <w:wordWrap/>
        <w:overflowPunct/>
        <w:topLinePunct w:val="0"/>
        <w:autoSpaceDE/>
        <w:autoSpaceDN/>
        <w:bidi w:val="0"/>
        <w:adjustRightInd/>
        <w:snapToGrid/>
        <w:spacing w:line="240" w:lineRule="auto"/>
        <w:ind w:firstLine="422" w:firstLineChars="200"/>
        <w:jc w:val="both"/>
        <w:textAlignment w:val="auto"/>
        <w:rPr>
          <w:rFonts w:hint="eastAsia" w:ascii="宋体" w:eastAsia="宋体"/>
          <w:b w:val="0"/>
          <w:bCs w:val="0"/>
          <w:sz w:val="21"/>
          <w:szCs w:val="21"/>
          <w:lang w:val="en-US" w:eastAsia="zh-CN"/>
        </w:rPr>
      </w:pPr>
      <w:r>
        <w:rPr>
          <w:rFonts w:hint="eastAsia" w:ascii="宋体" w:hAnsi="宋体" w:eastAsiaTheme="minorEastAsia" w:cstheme="minorBidi"/>
          <w:b/>
          <w:bCs/>
          <w:color w:val="auto"/>
          <w:kern w:val="2"/>
          <w:sz w:val="21"/>
          <w:szCs w:val="21"/>
          <w:lang w:val="en-US" w:eastAsia="zh-CN" w:bidi="ar-SA"/>
        </w:rPr>
        <w:t>4.4 生态效益</w:t>
      </w:r>
    </w:p>
    <w:p w14:paraId="3EBE355B">
      <w:pPr>
        <w:pStyle w:val="4"/>
        <w:numPr>
          <w:ilvl w:val="0"/>
          <w:numId w:val="0"/>
        </w:numPr>
        <w:ind w:firstLine="420" w:firstLineChars="200"/>
        <w:rPr>
          <w:rFonts w:hint="eastAsia" w:ascii="宋体" w:hAnsi="宋体" w:eastAsiaTheme="minorEastAsia" w:cstheme="minorBidi"/>
          <w:color w:val="auto"/>
          <w:kern w:val="2"/>
          <w:sz w:val="21"/>
          <w:szCs w:val="21"/>
          <w:lang w:val="en-US" w:eastAsia="zh-CN" w:bidi="ar-SA"/>
        </w:rPr>
      </w:pPr>
      <w:r>
        <w:rPr>
          <w:rFonts w:hint="eastAsia" w:ascii="宋体" w:eastAsia="宋体"/>
          <w:sz w:val="21"/>
          <w:szCs w:val="21"/>
          <w:lang w:val="en-US" w:eastAsia="zh-CN"/>
        </w:rPr>
        <w:t>在社会环境效益方面，通过准确测定铜及铜合金中的铅含量，企业可以更好地控制材料的成分和性能，从而生产出更加环保、可持续的铜合金产品。这将有助于减少环境污染和资源浪费，推动绿色发展和可持续发展</w:t>
      </w:r>
      <w:r>
        <w:rPr>
          <w:rFonts w:hint="eastAsia" w:ascii="宋体" w:hAnsi="宋体" w:eastAsiaTheme="minorEastAsia" w:cstheme="minorBidi"/>
          <w:color w:val="auto"/>
          <w:kern w:val="2"/>
          <w:sz w:val="21"/>
          <w:szCs w:val="21"/>
          <w:lang w:val="en-US" w:eastAsia="zh-CN" w:bidi="ar-SA"/>
        </w:rPr>
        <w:t>。</w:t>
      </w:r>
    </w:p>
    <w:p w14:paraId="7B131774">
      <w:pPr>
        <w:pStyle w:val="4"/>
        <w:numPr>
          <w:ilvl w:val="0"/>
          <w:numId w:val="0"/>
        </w:numPr>
        <w:rPr>
          <w:rFonts w:hint="default" w:ascii="黑体" w:hAnsi="宋体" w:eastAsia="黑体" w:cs="宋体"/>
          <w:bCs/>
          <w:color w:val="auto"/>
          <w:sz w:val="21"/>
          <w:szCs w:val="21"/>
          <w:highlight w:val="yellow"/>
          <w:lang w:val="en-US"/>
        </w:rPr>
      </w:pPr>
      <w:r>
        <w:rPr>
          <w:rFonts w:hint="eastAsia" w:ascii="黑体" w:hAnsi="宋体" w:eastAsia="黑体" w:cs="宋体"/>
          <w:bCs/>
          <w:color w:val="auto"/>
          <w:sz w:val="21"/>
          <w:szCs w:val="21"/>
          <w:highlight w:val="yellow"/>
          <w:lang w:val="en-US" w:eastAsia="zh-CN"/>
        </w:rPr>
        <w:t>四、与国际标准和国外先进标准技术内容的对比</w:t>
      </w:r>
    </w:p>
    <w:p w14:paraId="4326B5B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textAlignment w:val="auto"/>
        <w:rPr>
          <w:rFonts w:hint="eastAsia" w:ascii="宋体" w:hAnsi="宋体" w:eastAsia="宋体" w:cs="宋体"/>
          <w:kern w:val="2"/>
          <w:sz w:val="21"/>
          <w:szCs w:val="21"/>
          <w:highlight w:val="yellow"/>
          <w:lang w:val="en-US" w:eastAsia="zh-CN" w:bidi="ar-SA"/>
        </w:rPr>
      </w:pPr>
      <w:r>
        <w:rPr>
          <w:rFonts w:hint="eastAsia" w:ascii="宋体" w:hAnsi="宋体" w:eastAsia="宋体" w:cs="宋体"/>
          <w:kern w:val="2"/>
          <w:sz w:val="21"/>
          <w:szCs w:val="21"/>
          <w:highlight w:val="none"/>
          <w:lang w:val="en-US" w:eastAsia="zh-CN" w:bidi="ar-SA"/>
        </w:rPr>
        <w:t>对于铜及铜合金中铅的化学分析方法，除了本标准以外，国外主要还有以下标准：国际标准ISO 4749：1984，但已被原标准修改采用，本次修订拟继续修改采用；欧盟标准EN 15622:2010，采用火焰原子吸收光谱法，测定范围为0.01%～5.0%；美国标准ASTM E478-08(2017) ，分别采用火焰原子吸收光谱法和滴定法，测定范围分别为0.002%～15.0%和2.0%～30.0%；日本标准JIS H 1053-2009，分别电解重量法2个、原子吸收法3个、ICP-AES法1个，总体测定范围为0.00005%～25%。国内有YS/T 482-2022、YS/T 483-2022、GB/T 5121.27-2008和GB/T 5121.28-2021等。但上述标准均无法完全满足当前铅青铜产品中铅的检测需求。因此，为了完善铜及铜合金中铅的测定方法，保证标准在国际上的先进性，该标准的修订是十分必要且急需的。</w:t>
      </w:r>
    </w:p>
    <w:p w14:paraId="281146BF">
      <w:pPr>
        <w:keepNext w:val="0"/>
        <w:keepLines w:val="0"/>
        <w:pageBreakBefore w:val="0"/>
        <w:numPr>
          <w:ilvl w:val="0"/>
          <w:numId w:val="12"/>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highlight w:val="yellow"/>
          <w:lang w:val="en-US" w:eastAsia="zh-CN"/>
        </w:rPr>
        <w:t>以国际标准为基础的起草情况以及是否合规采用国际国外标准、未采用国际标准的原因</w:t>
      </w:r>
    </w:p>
    <w:p w14:paraId="0ECDC2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default" w:ascii="宋体" w:hAnsi="宋体" w:eastAsia="宋体" w:cs="宋体"/>
          <w:kern w:val="2"/>
          <w:sz w:val="21"/>
          <w:szCs w:val="21"/>
          <w:highlight w:val="yellow"/>
          <w:lang w:val="en-US" w:eastAsia="zh-CN" w:bidi="ar-SA"/>
        </w:rPr>
      </w:pPr>
      <w:r>
        <w:rPr>
          <w:rFonts w:hint="eastAsia" w:ascii="宋体" w:hAnsi="宋体" w:eastAsia="宋体" w:cs="宋体"/>
          <w:kern w:val="2"/>
          <w:sz w:val="21"/>
          <w:szCs w:val="21"/>
          <w:highlight w:val="yellow"/>
          <w:lang w:val="en-US" w:eastAsia="zh-CN" w:bidi="ar-SA"/>
        </w:rPr>
        <w:t>本标准方法二修改采用了ISO 4749：1984，在采用过程中，对原国际标准的技术内容进行了必要的验证和适应性调整。首先，针对我国铜及铜合金产品的实际特点和检测需求，对标准的测定范围进行了优化，根据铜及铜合金中铅不同含量段检测需求，增设了称样量及测定体积表格，增强方法的可操作性。针对低含量铅的测定，补充了铅含量小于0.040%的分离、富集步骤，能够有效提升低含量铅测定的准确性，适配国内现阶段产品检测的实际需求。同时，按照我国标准的编写规范，对原国际标准的文本格式、术语表述进行了规范调整，更符合国内标准要求。</w:t>
      </w:r>
    </w:p>
    <w:p w14:paraId="74C9AA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highlight w:val="yellow"/>
          <w:lang w:val="en-US" w:eastAsia="zh-CN" w:bidi="ar-SA"/>
        </w:rPr>
        <w:t>未完全等同采用ISO 5960：1984的主要原因在于，原国际标准发布时间较早（1984年），无法满足我国铅青铜产品中最高达35%铅含量的测定需求，且原国际标准未对低含量铅的测定设置分离富集流程，难以适配国内现阶段对低铅含量产品的检测精度要求，因此按照我国实际生产、贸易和检测需求进行修改后采用。此外，本标准中塞曼效应电热原子吸收光谱法，和目前无对应适用的国际国外标准，未采用其他国际国外标准。</w:t>
      </w:r>
      <w:bookmarkStart w:id="6" w:name="_GoBack"/>
      <w:bookmarkEnd w:id="6"/>
    </w:p>
    <w:p w14:paraId="3ED13810">
      <w:pPr>
        <w:keepNext w:val="0"/>
        <w:keepLines w:val="0"/>
        <w:pageBreakBefore w:val="0"/>
        <w:numPr>
          <w:ilvl w:val="0"/>
          <w:numId w:val="12"/>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rPr>
        <w:t>与</w:t>
      </w:r>
      <w:r>
        <w:rPr>
          <w:rFonts w:hint="eastAsia" w:ascii="黑体" w:hAnsi="宋体" w:eastAsia="黑体" w:cs="宋体"/>
          <w:bCs/>
          <w:color w:val="auto"/>
          <w:sz w:val="21"/>
          <w:szCs w:val="21"/>
          <w:lang w:val="en-US" w:eastAsia="zh-CN"/>
        </w:rPr>
        <w:t>有关</w:t>
      </w:r>
      <w:r>
        <w:rPr>
          <w:rFonts w:hint="eastAsia" w:ascii="黑体" w:hAnsi="宋体" w:eastAsia="黑体" w:cs="宋体"/>
          <w:bCs/>
          <w:color w:val="auto"/>
          <w:sz w:val="21"/>
          <w:szCs w:val="21"/>
        </w:rPr>
        <w:t>法律、</w:t>
      </w:r>
      <w:r>
        <w:rPr>
          <w:rFonts w:hint="eastAsia" w:ascii="黑体" w:hAnsi="宋体" w:eastAsia="黑体" w:cs="宋体"/>
          <w:bCs/>
          <w:color w:val="auto"/>
          <w:sz w:val="21"/>
          <w:szCs w:val="21"/>
          <w:lang w:val="en-US" w:eastAsia="zh-CN"/>
        </w:rPr>
        <w:t>行政</w:t>
      </w:r>
      <w:r>
        <w:rPr>
          <w:rFonts w:hint="eastAsia" w:ascii="黑体" w:hAnsi="宋体" w:eastAsia="黑体" w:cs="宋体"/>
          <w:bCs/>
          <w:color w:val="auto"/>
          <w:sz w:val="21"/>
          <w:szCs w:val="21"/>
        </w:rPr>
        <w:t>法规及相关标准</w:t>
      </w:r>
      <w:r>
        <w:rPr>
          <w:rFonts w:hint="eastAsia" w:ascii="黑体" w:hAnsi="宋体" w:eastAsia="黑体" w:cs="宋体"/>
          <w:bCs/>
          <w:color w:val="auto"/>
          <w:sz w:val="21"/>
          <w:szCs w:val="21"/>
          <w:lang w:val="en-US" w:eastAsia="zh-CN"/>
        </w:rPr>
        <w:t>的关系</w:t>
      </w:r>
    </w:p>
    <w:p w14:paraId="0FFD1322">
      <w:pPr>
        <w:pStyle w:val="3"/>
        <w:keepNext w:val="0"/>
        <w:keepLines w:val="0"/>
        <w:pageBreakBefore w:val="0"/>
        <w:kinsoku/>
        <w:wordWrap/>
        <w:overflowPunct/>
        <w:topLinePunct w:val="0"/>
        <w:bidi w:val="0"/>
        <w:snapToGrid/>
        <w:spacing w:line="240" w:lineRule="auto"/>
        <w:ind w:firstLine="420" w:firstLineChars="200"/>
        <w:textAlignment w:val="auto"/>
        <w:rPr>
          <w:rFonts w:hint="eastAsia" w:eastAsia="宋体"/>
          <w:color w:val="auto"/>
          <w:sz w:val="21"/>
          <w:szCs w:val="21"/>
          <w:lang w:eastAsia="zh-CN"/>
        </w:rPr>
      </w:pPr>
      <w:r>
        <w:rPr>
          <w:rFonts w:hint="eastAsia" w:ascii="宋体" w:hAnsi="宋体" w:eastAsia="宋体" w:cs="宋体"/>
          <w:sz w:val="21"/>
          <w:szCs w:val="21"/>
          <w:lang w:val="en-US" w:eastAsia="zh-CN"/>
        </w:rPr>
        <w:t>目前，该标准与正在实施的GB/T 5121系列标准中的其他28个部分配套使用，本部分测定的元素为</w:t>
      </w:r>
      <w:r>
        <w:rPr>
          <w:rFonts w:hint="eastAsia" w:cs="宋体"/>
          <w:sz w:val="21"/>
          <w:szCs w:val="21"/>
          <w:lang w:val="en-US" w:eastAsia="zh-CN"/>
        </w:rPr>
        <w:t>铅</w:t>
      </w:r>
      <w:r>
        <w:rPr>
          <w:rFonts w:hint="eastAsia" w:ascii="宋体" w:hAnsi="宋体" w:eastAsia="宋体" w:cs="宋体"/>
          <w:sz w:val="21"/>
          <w:szCs w:val="21"/>
          <w:lang w:val="en-US" w:eastAsia="zh-CN"/>
        </w:rPr>
        <w:t>，与其他各部分均无重复和冲突。该系列标准目前尚无其他部分正在制定中，因此本标准</w:t>
      </w:r>
      <w:r>
        <w:rPr>
          <w:rFonts w:hint="eastAsia" w:ascii="宋体" w:hAnsi="宋体" w:eastAsia="宋体" w:cs="宋体"/>
          <w:sz w:val="21"/>
          <w:szCs w:val="21"/>
        </w:rPr>
        <w:t>与现有标准、制定中标准</w:t>
      </w:r>
      <w:r>
        <w:rPr>
          <w:rFonts w:hint="eastAsia" w:ascii="宋体" w:hAnsi="宋体" w:eastAsia="宋体" w:cs="宋体"/>
          <w:sz w:val="21"/>
          <w:szCs w:val="21"/>
          <w:lang w:eastAsia="zh-CN"/>
        </w:rPr>
        <w:t>没有矛盾。</w:t>
      </w:r>
    </w:p>
    <w:p w14:paraId="39E667E3">
      <w:pPr>
        <w:keepNext w:val="0"/>
        <w:keepLines w:val="0"/>
        <w:pageBreakBefore w:val="0"/>
        <w:kinsoku/>
        <w:wordWrap/>
        <w:overflowPunct/>
        <w:topLinePunct w:val="0"/>
        <w:bidi w:val="0"/>
        <w:snapToGrid/>
        <w:spacing w:line="240" w:lineRule="auto"/>
        <w:ind w:firstLine="420" w:firstLineChars="200"/>
        <w:textAlignment w:val="auto"/>
        <w:rPr>
          <w:rFonts w:ascii="宋体" w:hAnsi="宋体"/>
          <w:color w:val="auto"/>
          <w:sz w:val="21"/>
          <w:szCs w:val="21"/>
        </w:rPr>
      </w:pPr>
      <w:r>
        <w:rPr>
          <w:rFonts w:hint="eastAsia" w:ascii="宋体" w:hAnsi="宋体"/>
          <w:color w:val="auto"/>
          <w:sz w:val="21"/>
          <w:szCs w:val="21"/>
        </w:rPr>
        <w:t>本标准符合现行法律、法规的要求，并与其他同类国家标准、国家J用标准、行业标准无冲突、重叠和不协调之处。</w:t>
      </w:r>
    </w:p>
    <w:p w14:paraId="4160F019">
      <w:pPr>
        <w:keepNext w:val="0"/>
        <w:keepLines w:val="0"/>
        <w:pageBreakBefore w:val="0"/>
        <w:numPr>
          <w:ilvl w:val="0"/>
          <w:numId w:val="12"/>
        </w:numPr>
        <w:kinsoku/>
        <w:wordWrap/>
        <w:overflowPunct/>
        <w:topLinePunct w:val="0"/>
        <w:bidi w:val="0"/>
        <w:snapToGrid/>
        <w:spacing w:beforeLines="50" w:afterLines="50" w:line="440" w:lineRule="exact"/>
        <w:ind w:left="0" w:leftChars="0" w:firstLine="0" w:firstLineChars="0"/>
        <w:textAlignment w:val="auto"/>
        <w:rPr>
          <w:rFonts w:hint="eastAsia"/>
          <w:lang w:val="en-US" w:eastAsia="zh-CN"/>
        </w:rPr>
      </w:pPr>
      <w:bookmarkStart w:id="2" w:name="_Toc32100"/>
      <w:r>
        <w:rPr>
          <w:rFonts w:hint="eastAsia" w:ascii="黑体" w:hAnsi="宋体" w:eastAsia="黑体" w:cs="宋体"/>
          <w:bCs/>
          <w:color w:val="auto"/>
          <w:sz w:val="21"/>
          <w:szCs w:val="21"/>
          <w:lang w:val="en-US" w:eastAsia="zh-CN"/>
        </w:rPr>
        <w:t>重大分歧意见的处理经过和依据</w:t>
      </w:r>
    </w:p>
    <w:p w14:paraId="2EADE30E">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Theme="minorEastAsia"/>
          <w:color w:val="auto"/>
          <w:sz w:val="21"/>
          <w:szCs w:val="21"/>
          <w:lang w:eastAsia="zh-CN"/>
        </w:rPr>
      </w:pPr>
      <w:r>
        <w:rPr>
          <w:rFonts w:hint="eastAsia" w:ascii="宋体" w:hAnsi="宋体"/>
          <w:color w:val="auto"/>
          <w:sz w:val="21"/>
          <w:szCs w:val="21"/>
        </w:rPr>
        <w:t>暂无。</w:t>
      </w:r>
    </w:p>
    <w:p w14:paraId="202F3E95">
      <w:pPr>
        <w:pStyle w:val="4"/>
        <w:rPr>
          <w:rFonts w:hint="eastAsia"/>
          <w:lang w:val="en-US" w:eastAsia="zh-CN"/>
        </w:rPr>
      </w:pPr>
    </w:p>
    <w:p w14:paraId="0520F0AA">
      <w:pPr>
        <w:keepNext w:val="0"/>
        <w:keepLines w:val="0"/>
        <w:pageBreakBefore w:val="0"/>
        <w:numPr>
          <w:ilvl w:val="0"/>
          <w:numId w:val="0"/>
        </w:numPr>
        <w:kinsoku/>
        <w:wordWrap/>
        <w:overflowPunct/>
        <w:topLinePunct w:val="0"/>
        <w:bidi w:val="0"/>
        <w:snapToGrid/>
        <w:spacing w:beforeLines="50" w:afterLines="50" w:line="440" w:lineRule="exact"/>
        <w:ind w:leftChars="0"/>
        <w:textAlignment w:val="auto"/>
        <w:rPr>
          <w:rFonts w:hint="default" w:ascii="黑体" w:hAnsi="宋体" w:eastAsia="黑体" w:cs="宋体"/>
          <w:bCs/>
          <w:color w:val="auto"/>
          <w:sz w:val="21"/>
          <w:szCs w:val="21"/>
          <w:lang w:val="en-US" w:eastAsia="zh-CN"/>
        </w:rPr>
      </w:pPr>
      <w:r>
        <w:rPr>
          <w:rFonts w:hint="eastAsia" w:ascii="黑体" w:hAnsi="宋体" w:eastAsia="黑体" w:cs="宋体"/>
          <w:bCs/>
          <w:color w:val="auto"/>
          <w:sz w:val="21"/>
          <w:szCs w:val="21"/>
          <w:lang w:val="en-US" w:eastAsia="zh-CN"/>
        </w:rPr>
        <w:t>八、涉及专利的有关说明</w:t>
      </w:r>
    </w:p>
    <w:p w14:paraId="39101E60">
      <w:pPr>
        <w:pStyle w:val="4"/>
        <w:ind w:firstLine="420" w:firstLineChars="200"/>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本标准不涉及专利问题。</w:t>
      </w:r>
    </w:p>
    <w:bookmarkEnd w:id="2"/>
    <w:p w14:paraId="054E3054">
      <w:pPr>
        <w:keepNext w:val="0"/>
        <w:keepLines w:val="0"/>
        <w:pageBreakBefore w:val="0"/>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bookmarkStart w:id="3" w:name="_Toc15989"/>
      <w:r>
        <w:rPr>
          <w:rFonts w:hint="eastAsia" w:ascii="黑体" w:hAnsi="宋体" w:eastAsia="黑体" w:cs="宋体"/>
          <w:bCs/>
          <w:color w:val="auto"/>
          <w:sz w:val="21"/>
          <w:szCs w:val="21"/>
          <w:lang w:val="en-US" w:eastAsia="zh-CN"/>
        </w:rPr>
        <w:t>九</w:t>
      </w:r>
      <w:r>
        <w:rPr>
          <w:rFonts w:hint="eastAsia" w:ascii="黑体" w:hAnsi="宋体" w:eastAsia="黑体" w:cs="宋体"/>
          <w:bCs/>
          <w:color w:val="auto"/>
          <w:sz w:val="21"/>
          <w:szCs w:val="21"/>
        </w:rPr>
        <w:t>、</w:t>
      </w:r>
      <w:r>
        <w:rPr>
          <w:rFonts w:hint="eastAsia" w:ascii="黑体" w:hAnsi="宋体" w:eastAsia="黑体" w:cs="宋体"/>
          <w:bCs/>
          <w:color w:val="auto"/>
          <w:sz w:val="21"/>
          <w:szCs w:val="21"/>
          <w:lang w:val="en-US" w:eastAsia="zh-CN"/>
        </w:rPr>
        <w:t>实施国家标准的要求以及组织措施、技术措施、过渡期和实施日期的建议等措施建议</w:t>
      </w:r>
      <w:bookmarkEnd w:id="3"/>
    </w:p>
    <w:p w14:paraId="5238037E">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该标准的修订，对铜及铜合金产品的生产、研发和贸易有重要的指导意义，也使GB/T 5121系列标准更加完善，增强其实用性和适用范围，发挥国家标准在国内和国际市场上作用，提高我国检测标准水平，具有良好的社会效益。对推动我国铜及铜合金材料的研发、生产和贸易等活动有着重要意义</w:t>
      </w:r>
      <w:r>
        <w:rPr>
          <w:rFonts w:hint="eastAsia" w:ascii="宋体" w:hAnsi="宋体" w:eastAsia="宋体" w:cs="宋体"/>
          <w:color w:val="auto"/>
          <w:sz w:val="21"/>
          <w:szCs w:val="21"/>
          <w:lang w:eastAsia="zh-CN"/>
        </w:rPr>
        <w:t>。</w:t>
      </w:r>
    </w:p>
    <w:p w14:paraId="6575E89F">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本标准建议作为推荐性</w:t>
      </w:r>
      <w:r>
        <w:rPr>
          <w:rFonts w:hint="eastAsia" w:ascii="宋体" w:hAnsi="宋体" w:eastAsia="宋体" w:cs="宋体"/>
          <w:color w:val="auto"/>
          <w:sz w:val="21"/>
          <w:szCs w:val="21"/>
          <w:lang w:val="en-US" w:eastAsia="zh-CN"/>
        </w:rPr>
        <w:t>国家标准</w:t>
      </w:r>
      <w:r>
        <w:rPr>
          <w:rFonts w:hint="eastAsia" w:ascii="宋体" w:hAnsi="宋体" w:eastAsia="宋体" w:cs="宋体"/>
          <w:color w:val="auto"/>
          <w:sz w:val="21"/>
          <w:szCs w:val="21"/>
        </w:rPr>
        <w:t>发布。</w:t>
      </w:r>
      <w:bookmarkStart w:id="4" w:name="_Toc15588"/>
    </w:p>
    <w:p w14:paraId="60F1A813">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Courier New" w:eastAsia="宋体" w:cs="Courier New"/>
          <w:kern w:val="2"/>
          <w:sz w:val="21"/>
          <w:szCs w:val="21"/>
          <w:lang w:val="en-US" w:eastAsia="zh-CN" w:bidi="ar-SA"/>
        </w:rPr>
      </w:pPr>
      <w:r>
        <w:rPr>
          <w:rFonts w:hint="eastAsia" w:ascii="宋体" w:hAnsi="Courier New" w:eastAsia="宋体" w:cs="Courier New"/>
          <w:kern w:val="2"/>
          <w:sz w:val="21"/>
          <w:szCs w:val="21"/>
          <w:lang w:val="en-US" w:eastAsia="zh-CN" w:bidi="ar-SA"/>
        </w:rPr>
        <w:t>为使标准能更好地发挥作用，提高铜及铜合金生产企业的控制水平，建议针对本标准制订切实可行的贯彻措施，做好宣传培训工作，使各相关单位充分掌握标准中所规定的检测方法，并加强示范推广，让标准在铜及铜合金的生产和使用过程中得以广泛应用。</w:t>
      </w:r>
    </w:p>
    <w:p w14:paraId="05E91D18">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eastAsia="宋体" w:cs="宋体"/>
          <w:color w:val="auto"/>
          <w:sz w:val="21"/>
          <w:szCs w:val="21"/>
          <w:lang w:eastAsia="zh-CN"/>
        </w:rPr>
      </w:pPr>
      <w:r>
        <w:rPr>
          <w:rFonts w:hint="eastAsia" w:ascii="宋体" w:hAnsi="Courier New" w:eastAsia="宋体" w:cs="Courier New"/>
          <w:kern w:val="2"/>
          <w:sz w:val="21"/>
          <w:szCs w:val="21"/>
          <w:lang w:val="en-US" w:eastAsia="zh-CN" w:bidi="ar-SA"/>
        </w:rPr>
        <w:t>同时，对标准执行情况进行跟踪调查，及时发现标准执行中的问题，不断修改完善，提升标准水平，提高标准的科学性、合理性、协调性和可操作性。</w:t>
      </w:r>
    </w:p>
    <w:bookmarkEnd w:id="4"/>
    <w:p w14:paraId="2F4369D5">
      <w:pPr>
        <w:keepNext w:val="0"/>
        <w:keepLines w:val="0"/>
        <w:pageBreakBefore w:val="0"/>
        <w:kinsoku/>
        <w:wordWrap/>
        <w:overflowPunct/>
        <w:topLinePunct w:val="0"/>
        <w:bidi w:val="0"/>
        <w:snapToGrid/>
        <w:spacing w:line="240" w:lineRule="auto"/>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kern w:val="2"/>
          <w:sz w:val="21"/>
          <w:szCs w:val="21"/>
          <w:highlight w:val="none"/>
          <w:lang w:val="en-US" w:eastAsia="zh-CN" w:bidi="ar-SA"/>
        </w:rPr>
        <w:t>本标准为第三次修订</w:t>
      </w:r>
      <w:r>
        <w:rPr>
          <w:rFonts w:hint="eastAsia" w:ascii="宋体" w:hAnsi="宋体" w:eastAsia="宋体" w:cs="宋体"/>
          <w:kern w:val="2"/>
          <w:sz w:val="21"/>
          <w:szCs w:val="21"/>
          <w:lang w:val="en-US" w:eastAsia="zh-CN" w:bidi="ar-SA"/>
        </w:rPr>
        <w:t>，可以替代现行标准GB/T 5121.3-2008《铜及铜合化学分析方法 第3部分 铅含量的测定》。建议本标准自发布之日起代替GB/T 5121.3-2008《铜及铜合化学分析方法 第3部分 铅含量的测定》，</w:t>
      </w:r>
      <w:r>
        <w:rPr>
          <w:rFonts w:hint="eastAsia" w:ascii="宋体" w:hAnsi="宋体" w:eastAsia="宋体" w:cs="宋体"/>
          <w:color w:val="auto"/>
          <w:sz w:val="21"/>
          <w:szCs w:val="21"/>
          <w:highlight w:val="none"/>
          <w:lang w:val="en-US" w:eastAsia="zh-CN"/>
        </w:rPr>
        <w:t>标准发布后6个月实施。</w:t>
      </w:r>
    </w:p>
    <w:p w14:paraId="307602D9">
      <w:pPr>
        <w:keepNext w:val="0"/>
        <w:keepLines w:val="0"/>
        <w:pageBreakBefore w:val="0"/>
        <w:numPr>
          <w:ilvl w:val="0"/>
          <w:numId w:val="13"/>
        </w:numPr>
        <w:kinsoku/>
        <w:wordWrap/>
        <w:overflowPunct/>
        <w:topLinePunct w:val="0"/>
        <w:bidi w:val="0"/>
        <w:snapToGrid/>
        <w:spacing w:beforeLines="50" w:afterLines="50" w:line="440" w:lineRule="exact"/>
        <w:textAlignment w:val="auto"/>
        <w:rPr>
          <w:rFonts w:hint="eastAsia"/>
        </w:rPr>
      </w:pPr>
      <w:bookmarkStart w:id="5" w:name="_Toc22451"/>
      <w:r>
        <w:rPr>
          <w:rFonts w:hint="eastAsia" w:ascii="黑体" w:hAnsi="宋体" w:eastAsia="黑体" w:cs="宋体"/>
          <w:bCs/>
          <w:color w:val="auto"/>
          <w:sz w:val="21"/>
          <w:szCs w:val="21"/>
        </w:rPr>
        <w:t>公平竞争审查</w:t>
      </w:r>
    </w:p>
    <w:p w14:paraId="2B6086A6">
      <w:pPr>
        <w:pStyle w:val="4"/>
        <w:ind w:firstLine="630" w:firstLineChars="300"/>
        <w:rPr>
          <w:rFonts w:hint="eastAsia" w:ascii="宋体" w:hAnsi="宋体" w:eastAsia="宋体" w:cs="宋体"/>
          <w:b/>
          <w:bCs/>
        </w:rPr>
      </w:pPr>
      <w:r>
        <w:rPr>
          <w:rFonts w:hint="eastAsia" w:ascii="宋体" w:hAnsi="宋体" w:eastAsia="宋体" w:cs="宋体"/>
          <w:color w:val="auto"/>
          <w:highlight w:val="none"/>
          <w:lang w:val="en-US" w:eastAsia="zh-CN"/>
        </w:rPr>
        <w:t>本标准研制过程中，开展了公平竞争审查，经对照，没有发现限制或者变相限制市场准入和退出，没有限制商品要素的自由流动、不影响生产经营成本以及生产经营行为。同时填写了《公平竞争审查》。</w:t>
      </w:r>
    </w:p>
    <w:p w14:paraId="3AE449C6">
      <w:pPr>
        <w:keepNext w:val="0"/>
        <w:keepLines w:val="0"/>
        <w:pageBreakBefore w:val="0"/>
        <w:numPr>
          <w:ilvl w:val="0"/>
          <w:numId w:val="13"/>
        </w:numPr>
        <w:kinsoku/>
        <w:wordWrap/>
        <w:overflowPunct/>
        <w:topLinePunct w:val="0"/>
        <w:bidi w:val="0"/>
        <w:snapToGrid/>
        <w:spacing w:beforeLines="50" w:afterLines="50" w:line="440" w:lineRule="exact"/>
        <w:textAlignment w:val="auto"/>
        <w:rPr>
          <w:rFonts w:ascii="黑体" w:hAnsi="宋体" w:eastAsia="黑体" w:cs="宋体"/>
          <w:bCs/>
          <w:color w:val="auto"/>
          <w:sz w:val="21"/>
          <w:szCs w:val="21"/>
        </w:rPr>
      </w:pPr>
      <w:r>
        <w:rPr>
          <w:rFonts w:hint="eastAsia" w:ascii="黑体" w:hAnsi="宋体" w:eastAsia="黑体" w:cs="宋体"/>
          <w:bCs/>
          <w:color w:val="auto"/>
          <w:sz w:val="21"/>
          <w:szCs w:val="21"/>
        </w:rPr>
        <w:t>其他</w:t>
      </w:r>
      <w:r>
        <w:rPr>
          <w:rFonts w:hint="eastAsia" w:ascii="黑体" w:hAnsi="宋体" w:eastAsia="黑体" w:cs="宋体"/>
          <w:bCs/>
          <w:color w:val="auto"/>
          <w:sz w:val="21"/>
          <w:szCs w:val="21"/>
          <w:lang w:val="en-US" w:eastAsia="zh-CN"/>
        </w:rPr>
        <w:t>应当说明的事项</w:t>
      </w:r>
      <w:r>
        <w:rPr>
          <w:rFonts w:hint="eastAsia" w:ascii="黑体" w:hAnsi="宋体" w:eastAsia="黑体" w:cs="宋体"/>
          <w:bCs/>
          <w:color w:val="auto"/>
          <w:sz w:val="21"/>
          <w:szCs w:val="21"/>
        </w:rPr>
        <w:t>。</w:t>
      </w:r>
      <w:bookmarkEnd w:id="5"/>
    </w:p>
    <w:p w14:paraId="21A26C41">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cs="宋体" w:eastAsiaTheme="minorEastAsia"/>
          <w:color w:val="auto"/>
          <w:sz w:val="21"/>
          <w:szCs w:val="21"/>
          <w:lang w:eastAsia="zh-CN"/>
        </w:rPr>
      </w:pPr>
      <w:r>
        <w:rPr>
          <w:rFonts w:hint="eastAsia" w:ascii="宋体" w:hAnsi="宋体" w:cs="宋体"/>
          <w:color w:val="auto"/>
          <w:sz w:val="21"/>
          <w:szCs w:val="21"/>
        </w:rPr>
        <w:t>无。</w:t>
      </w:r>
    </w:p>
    <w:p w14:paraId="347A6338">
      <w:pPr>
        <w:keepNext w:val="0"/>
        <w:keepLines w:val="0"/>
        <w:pageBreakBefore w:val="0"/>
        <w:kinsoku/>
        <w:wordWrap/>
        <w:overflowPunct/>
        <w:topLinePunct w:val="0"/>
        <w:bidi w:val="0"/>
        <w:snapToGrid/>
        <w:spacing w:line="440" w:lineRule="exact"/>
        <w:jc w:val="right"/>
        <w:textAlignment w:val="auto"/>
        <w:rPr>
          <w:rFonts w:ascii="宋体" w:hAnsi="宋体" w:eastAsia="宋体"/>
          <w:color w:val="auto"/>
          <w:sz w:val="21"/>
          <w:szCs w:val="21"/>
        </w:rPr>
      </w:pPr>
      <w:r>
        <w:rPr>
          <w:rFonts w:hint="eastAsia"/>
          <w:color w:val="auto"/>
          <w:sz w:val="21"/>
          <w:szCs w:val="21"/>
        </w:rPr>
        <w:t xml:space="preserve">                           </w:t>
      </w:r>
      <w:r>
        <w:rPr>
          <w:rFonts w:hint="eastAsia" w:ascii="宋体" w:hAnsi="宋体" w:eastAsia="宋体" w:cs="宋体"/>
          <w:kern w:val="2"/>
          <w:sz w:val="21"/>
          <w:szCs w:val="21"/>
          <w:lang w:val="en-US" w:eastAsia="zh-CN" w:bidi="ar-SA"/>
        </w:rPr>
        <w:t>《铜及铜合化学分析方法 第3部分 铅含量的测定</w:t>
      </w:r>
      <w:r>
        <w:rPr>
          <w:rFonts w:hint="eastAsia"/>
          <w:color w:val="auto"/>
          <w:sz w:val="21"/>
          <w:szCs w:val="21"/>
        </w:rPr>
        <w:t>》</w:t>
      </w:r>
      <w:r>
        <w:rPr>
          <w:rFonts w:hint="eastAsia" w:ascii="宋体" w:hAnsi="宋体" w:eastAsia="宋体"/>
          <w:color w:val="auto"/>
          <w:sz w:val="21"/>
          <w:szCs w:val="21"/>
        </w:rPr>
        <w:t>编制组</w:t>
      </w:r>
    </w:p>
    <w:p w14:paraId="7C4F01FF">
      <w:pPr>
        <w:keepNext w:val="0"/>
        <w:keepLines w:val="0"/>
        <w:pageBreakBefore w:val="0"/>
        <w:kinsoku/>
        <w:wordWrap/>
        <w:overflowPunct/>
        <w:topLinePunct w:val="0"/>
        <w:bidi w:val="0"/>
        <w:snapToGrid/>
        <w:spacing w:beforeLines="100" w:line="440" w:lineRule="exact"/>
        <w:jc w:val="right"/>
        <w:textAlignment w:val="auto"/>
        <w:rPr>
          <w:rFonts w:hint="default" w:ascii="宋体" w:hAnsi="宋体" w:eastAsia="宋体"/>
          <w:color w:val="auto"/>
          <w:sz w:val="21"/>
          <w:szCs w:val="21"/>
          <w:lang w:val="en-US" w:eastAsia="zh-CN"/>
        </w:rPr>
      </w:pPr>
      <w:r>
        <w:rPr>
          <w:rFonts w:hint="eastAsia" w:ascii="宋体" w:hAnsi="宋体" w:eastAsia="宋体"/>
          <w:color w:val="auto"/>
          <w:sz w:val="21"/>
          <w:szCs w:val="21"/>
        </w:rPr>
        <w:t xml:space="preserve">                             20</w:t>
      </w:r>
      <w:r>
        <w:rPr>
          <w:rFonts w:hint="eastAsia" w:ascii="宋体" w:hAnsi="宋体" w:eastAsia="宋体"/>
          <w:color w:val="auto"/>
          <w:sz w:val="21"/>
          <w:szCs w:val="21"/>
          <w:lang w:val="en-US" w:eastAsia="zh-CN"/>
        </w:rPr>
        <w:t>26</w:t>
      </w:r>
      <w:r>
        <w:rPr>
          <w:rFonts w:hint="eastAsia" w:ascii="宋体" w:hAnsi="宋体" w:eastAsia="宋体"/>
          <w:color w:val="auto"/>
          <w:sz w:val="21"/>
          <w:szCs w:val="21"/>
        </w:rPr>
        <w:t>年</w:t>
      </w:r>
      <w:r>
        <w:rPr>
          <w:rFonts w:hint="eastAsia" w:ascii="宋体" w:hAnsi="宋体" w:eastAsia="宋体"/>
          <w:color w:val="auto"/>
          <w:sz w:val="21"/>
          <w:szCs w:val="21"/>
          <w:lang w:val="en-US" w:eastAsia="zh-CN"/>
        </w:rPr>
        <w:t>06</w:t>
      </w:r>
      <w:r>
        <w:rPr>
          <w:rFonts w:hint="eastAsia" w:ascii="宋体" w:hAnsi="宋体" w:eastAsia="宋体"/>
          <w:color w:val="auto"/>
          <w:sz w:val="21"/>
          <w:szCs w:val="21"/>
        </w:rPr>
        <w:t>月</w:t>
      </w:r>
      <w:r>
        <w:rPr>
          <w:rFonts w:hint="eastAsia" w:ascii="宋体" w:hAnsi="宋体" w:eastAsia="宋体"/>
          <w:color w:val="auto"/>
          <w:sz w:val="21"/>
          <w:szCs w:val="21"/>
          <w:lang w:val="en-US" w:eastAsia="zh-CN"/>
        </w:rPr>
        <w:t>29</w:t>
      </w:r>
      <w:r>
        <w:rPr>
          <w:rFonts w:hint="eastAsia" w:ascii="宋体" w:hAnsi="宋体" w:eastAsia="宋体"/>
          <w:color w:val="auto"/>
          <w:sz w:val="21"/>
          <w:szCs w:val="21"/>
        </w:rPr>
        <w:t>日</w:t>
      </w:r>
    </w:p>
    <w:sectPr>
      <w:pgSz w:w="11906" w:h="16838"/>
      <w:pgMar w:top="1440" w:right="1780" w:bottom="1440" w:left="17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38E06D"/>
    <w:multiLevelType w:val="singleLevel"/>
    <w:tmpl w:val="AD38E06D"/>
    <w:lvl w:ilvl="0" w:tentative="0">
      <w:start w:val="1"/>
      <w:numFmt w:val="decimal"/>
      <w:suff w:val="space"/>
      <w:lvlText w:val="%1."/>
      <w:lvlJc w:val="left"/>
    </w:lvl>
  </w:abstractNum>
  <w:abstractNum w:abstractNumId="1">
    <w:nsid w:val="D01FE678"/>
    <w:multiLevelType w:val="singleLevel"/>
    <w:tmpl w:val="D01FE678"/>
    <w:lvl w:ilvl="0" w:tentative="0">
      <w:start w:val="1"/>
      <w:numFmt w:val="decimal"/>
      <w:suff w:val="nothing"/>
      <w:lvlText w:val="（%1）"/>
      <w:lvlJc w:val="left"/>
    </w:lvl>
  </w:abstractNum>
  <w:abstractNum w:abstractNumId="2">
    <w:nsid w:val="DA9F0784"/>
    <w:multiLevelType w:val="singleLevel"/>
    <w:tmpl w:val="DA9F0784"/>
    <w:lvl w:ilvl="0" w:tentative="0">
      <w:start w:val="5"/>
      <w:numFmt w:val="chineseCounting"/>
      <w:suff w:val="nothing"/>
      <w:lvlText w:val="%1、"/>
      <w:lvlJc w:val="left"/>
      <w:rPr>
        <w:rFonts w:hint="eastAsia" w:ascii="黑体" w:hAnsi="黑体" w:eastAsia="黑体" w:cs="黑体"/>
      </w:rPr>
    </w:lvl>
  </w:abstractNum>
  <w:abstractNum w:abstractNumId="3">
    <w:nsid w:val="EB4C7DAF"/>
    <w:multiLevelType w:val="singleLevel"/>
    <w:tmpl w:val="EB4C7DAF"/>
    <w:lvl w:ilvl="0" w:tentative="0">
      <w:start w:val="2"/>
      <w:numFmt w:val="chineseCounting"/>
      <w:suff w:val="nothing"/>
      <w:lvlText w:val="（%1）"/>
      <w:lvlJc w:val="left"/>
      <w:rPr>
        <w:rFonts w:hint="eastAsia"/>
      </w:rPr>
    </w:lvl>
  </w:abstractNum>
  <w:abstractNum w:abstractNumId="4">
    <w:nsid w:val="0E2B40FB"/>
    <w:multiLevelType w:val="singleLevel"/>
    <w:tmpl w:val="0E2B40FB"/>
    <w:lvl w:ilvl="0" w:tentative="0">
      <w:start w:val="1"/>
      <w:numFmt w:val="upperLetter"/>
      <w:lvlText w:val="%1."/>
      <w:lvlJc w:val="left"/>
      <w:pPr>
        <w:tabs>
          <w:tab w:val="left" w:pos="312"/>
        </w:tabs>
      </w:pPr>
    </w:lvl>
  </w:abstractNum>
  <w:abstractNum w:abstractNumId="5">
    <w:nsid w:val="11D898E2"/>
    <w:multiLevelType w:val="singleLevel"/>
    <w:tmpl w:val="11D898E2"/>
    <w:lvl w:ilvl="0" w:tentative="0">
      <w:start w:val="10"/>
      <w:numFmt w:val="chineseCounting"/>
      <w:suff w:val="nothing"/>
      <w:lvlText w:val="%1、"/>
      <w:lvlJc w:val="left"/>
      <w:rPr>
        <w:rFonts w:hint="eastAsia" w:ascii="黑体" w:hAnsi="黑体" w:eastAsia="黑体" w:cs="黑体"/>
        <w:b w:val="0"/>
        <w:bCs w:val="0"/>
      </w:rPr>
    </w:lvl>
  </w:abstractNum>
  <w:abstractNum w:abstractNumId="6">
    <w:nsid w:val="20CDE2E5"/>
    <w:multiLevelType w:val="singleLevel"/>
    <w:tmpl w:val="20CDE2E5"/>
    <w:lvl w:ilvl="0" w:tentative="0">
      <w:start w:val="1"/>
      <w:numFmt w:val="decimal"/>
      <w:lvlText w:val="%1."/>
      <w:lvlJc w:val="left"/>
      <w:pPr>
        <w:ind w:left="425" w:hanging="425"/>
      </w:pPr>
      <w:rPr>
        <w:rFonts w:hint="default"/>
      </w:rPr>
    </w:lvl>
  </w:abstractNum>
  <w:abstractNum w:abstractNumId="7">
    <w:nsid w:val="212844A9"/>
    <w:multiLevelType w:val="singleLevel"/>
    <w:tmpl w:val="212844A9"/>
    <w:lvl w:ilvl="0" w:tentative="0">
      <w:start w:val="1"/>
      <w:numFmt w:val="decimal"/>
      <w:suff w:val="nothing"/>
      <w:lvlText w:val="（%1）"/>
      <w:lvlJc w:val="left"/>
    </w:lvl>
  </w:abstractNum>
  <w:abstractNum w:abstractNumId="8">
    <w:nsid w:val="4916F4FC"/>
    <w:multiLevelType w:val="singleLevel"/>
    <w:tmpl w:val="4916F4FC"/>
    <w:lvl w:ilvl="0" w:tentative="0">
      <w:start w:val="3"/>
      <w:numFmt w:val="chineseCounting"/>
      <w:suff w:val="nothing"/>
      <w:lvlText w:val="%1、"/>
      <w:lvlJc w:val="left"/>
      <w:rPr>
        <w:rFonts w:hint="eastAsia"/>
      </w:rPr>
    </w:lvl>
  </w:abstractNum>
  <w:abstractNum w:abstractNumId="9">
    <w:nsid w:val="646260FA"/>
    <w:multiLevelType w:val="multilevel"/>
    <w:tmpl w:val="646260FA"/>
    <w:lvl w:ilvl="0" w:tentative="0">
      <w:start w:val="1"/>
      <w:numFmt w:val="decimal"/>
      <w:pStyle w:val="25"/>
      <w:suff w:val="nothing"/>
      <w:lvlText w:val="表%1　"/>
      <w:lvlJc w:val="left"/>
      <w:pPr>
        <w:ind w:left="3686" w:firstLine="0"/>
      </w:pPr>
      <w:rPr>
        <w:rFonts w:hint="eastAsia" w:ascii="黑体" w:hAnsi="Times New Roman" w:eastAsia="黑体"/>
        <w:b w:val="0"/>
        <w:i w:val="0"/>
        <w:sz w:val="21"/>
      </w:rPr>
    </w:lvl>
    <w:lvl w:ilvl="1" w:tentative="0">
      <w:start w:val="1"/>
      <w:numFmt w:val="decimal"/>
      <w:lvlText w:val="%1.%2"/>
      <w:lvlJc w:val="left"/>
      <w:pPr>
        <w:tabs>
          <w:tab w:val="left" w:pos="4678"/>
        </w:tabs>
        <w:ind w:left="4678" w:hanging="567"/>
      </w:pPr>
      <w:rPr>
        <w:rFonts w:hint="eastAsia"/>
      </w:rPr>
    </w:lvl>
    <w:lvl w:ilvl="2" w:tentative="0">
      <w:start w:val="1"/>
      <w:numFmt w:val="decimal"/>
      <w:lvlText w:val="%1.%2.%3"/>
      <w:lvlJc w:val="left"/>
      <w:pPr>
        <w:tabs>
          <w:tab w:val="left" w:pos="5104"/>
        </w:tabs>
        <w:ind w:left="5104" w:hanging="567"/>
      </w:pPr>
      <w:rPr>
        <w:rFonts w:hint="eastAsia"/>
      </w:rPr>
    </w:lvl>
    <w:lvl w:ilvl="3" w:tentative="0">
      <w:start w:val="1"/>
      <w:numFmt w:val="decimal"/>
      <w:lvlText w:val="%1.%2.%3.%4"/>
      <w:lvlJc w:val="left"/>
      <w:pPr>
        <w:tabs>
          <w:tab w:val="left" w:pos="5670"/>
        </w:tabs>
        <w:ind w:left="5670" w:hanging="708"/>
      </w:pPr>
      <w:rPr>
        <w:rFonts w:hint="eastAsia"/>
      </w:rPr>
    </w:lvl>
    <w:lvl w:ilvl="4" w:tentative="0">
      <w:start w:val="1"/>
      <w:numFmt w:val="decimal"/>
      <w:lvlText w:val="%1.%2.%3.%4.%5"/>
      <w:lvlJc w:val="left"/>
      <w:pPr>
        <w:tabs>
          <w:tab w:val="left" w:pos="6237"/>
        </w:tabs>
        <w:ind w:left="6237" w:hanging="850"/>
      </w:pPr>
      <w:rPr>
        <w:rFonts w:hint="eastAsia"/>
      </w:rPr>
    </w:lvl>
    <w:lvl w:ilvl="5" w:tentative="0">
      <w:start w:val="1"/>
      <w:numFmt w:val="decimal"/>
      <w:lvlText w:val="%1.%2.%3.%4.%5.%6"/>
      <w:lvlJc w:val="left"/>
      <w:pPr>
        <w:tabs>
          <w:tab w:val="left" w:pos="6946"/>
        </w:tabs>
        <w:ind w:left="6946" w:hanging="1134"/>
      </w:pPr>
      <w:rPr>
        <w:rFonts w:hint="eastAsia"/>
      </w:rPr>
    </w:lvl>
    <w:lvl w:ilvl="6" w:tentative="0">
      <w:start w:val="1"/>
      <w:numFmt w:val="decimal"/>
      <w:lvlText w:val="%1.%2.%3.%4.%5.%6.%7"/>
      <w:lvlJc w:val="left"/>
      <w:pPr>
        <w:tabs>
          <w:tab w:val="left" w:pos="7513"/>
        </w:tabs>
        <w:ind w:left="7513" w:hanging="1276"/>
      </w:pPr>
      <w:rPr>
        <w:rFonts w:hint="eastAsia"/>
      </w:rPr>
    </w:lvl>
    <w:lvl w:ilvl="7" w:tentative="0">
      <w:start w:val="1"/>
      <w:numFmt w:val="decimal"/>
      <w:lvlText w:val="%1.%2.%3.%4.%5.%6.%7.%8"/>
      <w:lvlJc w:val="left"/>
      <w:pPr>
        <w:tabs>
          <w:tab w:val="left" w:pos="8080"/>
        </w:tabs>
        <w:ind w:left="8080" w:hanging="1418"/>
      </w:pPr>
      <w:rPr>
        <w:rFonts w:hint="eastAsia"/>
      </w:rPr>
    </w:lvl>
    <w:lvl w:ilvl="8" w:tentative="0">
      <w:start w:val="1"/>
      <w:numFmt w:val="decimal"/>
      <w:lvlText w:val="%1.%2.%3.%4.%5.%6.%7.%8.%9"/>
      <w:lvlJc w:val="left"/>
      <w:pPr>
        <w:tabs>
          <w:tab w:val="left" w:pos="8788"/>
        </w:tabs>
        <w:ind w:left="8788" w:hanging="1700"/>
      </w:pPr>
      <w:rPr>
        <w:rFonts w:hint="eastAsia"/>
      </w:rPr>
    </w:lvl>
  </w:abstractNum>
  <w:abstractNum w:abstractNumId="10">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75657C17"/>
    <w:multiLevelType w:val="singleLevel"/>
    <w:tmpl w:val="75657C17"/>
    <w:lvl w:ilvl="0" w:tentative="0">
      <w:start w:val="3"/>
      <w:numFmt w:val="decimal"/>
      <w:suff w:val="nothing"/>
      <w:lvlText w:val="%1、"/>
      <w:lvlJc w:val="left"/>
      <w:rPr>
        <w:rFonts w:hint="default"/>
        <w:color w:val="auto"/>
      </w:rPr>
    </w:lvl>
  </w:abstractNum>
  <w:abstractNum w:abstractNumId="12">
    <w:nsid w:val="7838007B"/>
    <w:multiLevelType w:val="singleLevel"/>
    <w:tmpl w:val="7838007B"/>
    <w:lvl w:ilvl="0" w:tentative="0">
      <w:start w:val="1"/>
      <w:numFmt w:val="lowerLetter"/>
      <w:suff w:val="nothing"/>
      <w:lvlText w:val="%1）"/>
      <w:lvlJc w:val="left"/>
      <w:rPr>
        <w:rFonts w:hint="default" w:ascii="宋体" w:hAnsi="宋体" w:eastAsia="宋体" w:cs="宋体"/>
        <w:sz w:val="20"/>
        <w:szCs w:val="20"/>
      </w:rPr>
    </w:lvl>
  </w:abstractNum>
  <w:num w:numId="1">
    <w:abstractNumId w:val="9"/>
  </w:num>
  <w:num w:numId="2">
    <w:abstractNumId w:val="7"/>
  </w:num>
  <w:num w:numId="3">
    <w:abstractNumId w:val="6"/>
  </w:num>
  <w:num w:numId="4">
    <w:abstractNumId w:val="1"/>
  </w:num>
  <w:num w:numId="5">
    <w:abstractNumId w:val="4"/>
  </w:num>
  <w:num w:numId="6">
    <w:abstractNumId w:val="11"/>
  </w:num>
  <w:num w:numId="7">
    <w:abstractNumId w:val="12"/>
  </w:num>
  <w:num w:numId="8">
    <w:abstractNumId w:val="8"/>
  </w:num>
  <w:num w:numId="9">
    <w:abstractNumId w:val="3"/>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DMxNGEzNDk1ZjY1ZDdlOWU3ZmFiZDlhOTM4NTZhMjEifQ=="/>
  </w:docVars>
  <w:rsids>
    <w:rsidRoot w:val="0049152D"/>
    <w:rsid w:val="00000899"/>
    <w:rsid w:val="00002C81"/>
    <w:rsid w:val="0000483E"/>
    <w:rsid w:val="0000533A"/>
    <w:rsid w:val="00006069"/>
    <w:rsid w:val="00007345"/>
    <w:rsid w:val="0000734E"/>
    <w:rsid w:val="000119A5"/>
    <w:rsid w:val="00011F52"/>
    <w:rsid w:val="0001287D"/>
    <w:rsid w:val="00013051"/>
    <w:rsid w:val="00013700"/>
    <w:rsid w:val="00014230"/>
    <w:rsid w:val="000142A3"/>
    <w:rsid w:val="0001434A"/>
    <w:rsid w:val="000146E1"/>
    <w:rsid w:val="00015683"/>
    <w:rsid w:val="00015B66"/>
    <w:rsid w:val="00016452"/>
    <w:rsid w:val="00016C1B"/>
    <w:rsid w:val="000174E9"/>
    <w:rsid w:val="00017703"/>
    <w:rsid w:val="00020B8D"/>
    <w:rsid w:val="00020E6C"/>
    <w:rsid w:val="0002350F"/>
    <w:rsid w:val="00025C36"/>
    <w:rsid w:val="00026B44"/>
    <w:rsid w:val="00026C0C"/>
    <w:rsid w:val="000312D7"/>
    <w:rsid w:val="00032958"/>
    <w:rsid w:val="00033C9E"/>
    <w:rsid w:val="00035A30"/>
    <w:rsid w:val="000362EA"/>
    <w:rsid w:val="0003648A"/>
    <w:rsid w:val="000370C9"/>
    <w:rsid w:val="000376FC"/>
    <w:rsid w:val="00041459"/>
    <w:rsid w:val="000425E5"/>
    <w:rsid w:val="00043943"/>
    <w:rsid w:val="00047256"/>
    <w:rsid w:val="00047897"/>
    <w:rsid w:val="00047C97"/>
    <w:rsid w:val="000538E0"/>
    <w:rsid w:val="00053978"/>
    <w:rsid w:val="000543AE"/>
    <w:rsid w:val="00056B2E"/>
    <w:rsid w:val="00057549"/>
    <w:rsid w:val="00060E9C"/>
    <w:rsid w:val="00061A95"/>
    <w:rsid w:val="00061BAC"/>
    <w:rsid w:val="00062BA9"/>
    <w:rsid w:val="000630E4"/>
    <w:rsid w:val="0006311A"/>
    <w:rsid w:val="000632D5"/>
    <w:rsid w:val="000634E4"/>
    <w:rsid w:val="00063E72"/>
    <w:rsid w:val="000647B0"/>
    <w:rsid w:val="000647D1"/>
    <w:rsid w:val="000648D5"/>
    <w:rsid w:val="00064F0E"/>
    <w:rsid w:val="0006509C"/>
    <w:rsid w:val="000661DC"/>
    <w:rsid w:val="0006634E"/>
    <w:rsid w:val="00067F99"/>
    <w:rsid w:val="0007025D"/>
    <w:rsid w:val="0007113B"/>
    <w:rsid w:val="00072938"/>
    <w:rsid w:val="00072B7E"/>
    <w:rsid w:val="00073823"/>
    <w:rsid w:val="000738A3"/>
    <w:rsid w:val="00073EA4"/>
    <w:rsid w:val="00074BD0"/>
    <w:rsid w:val="00075228"/>
    <w:rsid w:val="00076905"/>
    <w:rsid w:val="00083504"/>
    <w:rsid w:val="00083671"/>
    <w:rsid w:val="0008539E"/>
    <w:rsid w:val="0008748A"/>
    <w:rsid w:val="00087579"/>
    <w:rsid w:val="00090932"/>
    <w:rsid w:val="0009564E"/>
    <w:rsid w:val="000956AA"/>
    <w:rsid w:val="00095716"/>
    <w:rsid w:val="00095B00"/>
    <w:rsid w:val="000968E7"/>
    <w:rsid w:val="000A25DA"/>
    <w:rsid w:val="000A2674"/>
    <w:rsid w:val="000A46E3"/>
    <w:rsid w:val="000A68B0"/>
    <w:rsid w:val="000A68DC"/>
    <w:rsid w:val="000B0288"/>
    <w:rsid w:val="000B12AD"/>
    <w:rsid w:val="000B20BA"/>
    <w:rsid w:val="000C2E3D"/>
    <w:rsid w:val="000C4435"/>
    <w:rsid w:val="000C7BE6"/>
    <w:rsid w:val="000D004B"/>
    <w:rsid w:val="000D146E"/>
    <w:rsid w:val="000D255F"/>
    <w:rsid w:val="000D2968"/>
    <w:rsid w:val="000D3C54"/>
    <w:rsid w:val="000D419A"/>
    <w:rsid w:val="000D6C50"/>
    <w:rsid w:val="000E0E5D"/>
    <w:rsid w:val="000E12A2"/>
    <w:rsid w:val="000E2F2B"/>
    <w:rsid w:val="000E3BE4"/>
    <w:rsid w:val="000E5601"/>
    <w:rsid w:val="000E5B35"/>
    <w:rsid w:val="000E7291"/>
    <w:rsid w:val="000E7398"/>
    <w:rsid w:val="000E7492"/>
    <w:rsid w:val="000E75F6"/>
    <w:rsid w:val="000F0726"/>
    <w:rsid w:val="000F21CD"/>
    <w:rsid w:val="000F2931"/>
    <w:rsid w:val="000F60BA"/>
    <w:rsid w:val="000F7EE8"/>
    <w:rsid w:val="0010164F"/>
    <w:rsid w:val="00103B79"/>
    <w:rsid w:val="00103F5A"/>
    <w:rsid w:val="001043C6"/>
    <w:rsid w:val="0011080B"/>
    <w:rsid w:val="00112E27"/>
    <w:rsid w:val="001133B5"/>
    <w:rsid w:val="0011342C"/>
    <w:rsid w:val="00115E89"/>
    <w:rsid w:val="001169BC"/>
    <w:rsid w:val="001172DB"/>
    <w:rsid w:val="0011791C"/>
    <w:rsid w:val="0011799D"/>
    <w:rsid w:val="00117A27"/>
    <w:rsid w:val="00120FE8"/>
    <w:rsid w:val="001215B6"/>
    <w:rsid w:val="00122E35"/>
    <w:rsid w:val="00123CA5"/>
    <w:rsid w:val="00125817"/>
    <w:rsid w:val="00125CAC"/>
    <w:rsid w:val="00126111"/>
    <w:rsid w:val="001268D7"/>
    <w:rsid w:val="00130CC9"/>
    <w:rsid w:val="0013566C"/>
    <w:rsid w:val="001360C1"/>
    <w:rsid w:val="001421CF"/>
    <w:rsid w:val="00142C75"/>
    <w:rsid w:val="00143A39"/>
    <w:rsid w:val="00144F28"/>
    <w:rsid w:val="00145147"/>
    <w:rsid w:val="00145188"/>
    <w:rsid w:val="001455A0"/>
    <w:rsid w:val="00147858"/>
    <w:rsid w:val="001502D3"/>
    <w:rsid w:val="0015114D"/>
    <w:rsid w:val="001517E4"/>
    <w:rsid w:val="00151DFA"/>
    <w:rsid w:val="00152A50"/>
    <w:rsid w:val="00152CEE"/>
    <w:rsid w:val="00152F27"/>
    <w:rsid w:val="001531DA"/>
    <w:rsid w:val="0016143F"/>
    <w:rsid w:val="00161FB3"/>
    <w:rsid w:val="00162FCD"/>
    <w:rsid w:val="00164041"/>
    <w:rsid w:val="00164320"/>
    <w:rsid w:val="0016453D"/>
    <w:rsid w:val="00165B11"/>
    <w:rsid w:val="00167FF7"/>
    <w:rsid w:val="001710BE"/>
    <w:rsid w:val="001728AD"/>
    <w:rsid w:val="00173330"/>
    <w:rsid w:val="00175F20"/>
    <w:rsid w:val="0017788A"/>
    <w:rsid w:val="00180F34"/>
    <w:rsid w:val="00181FDF"/>
    <w:rsid w:val="00183DBE"/>
    <w:rsid w:val="00183F8C"/>
    <w:rsid w:val="00184A11"/>
    <w:rsid w:val="00185294"/>
    <w:rsid w:val="00186327"/>
    <w:rsid w:val="001866BE"/>
    <w:rsid w:val="001868B2"/>
    <w:rsid w:val="0019074F"/>
    <w:rsid w:val="001909E7"/>
    <w:rsid w:val="0019306C"/>
    <w:rsid w:val="001936E4"/>
    <w:rsid w:val="001945B5"/>
    <w:rsid w:val="00194AB3"/>
    <w:rsid w:val="00195204"/>
    <w:rsid w:val="0019675D"/>
    <w:rsid w:val="00196900"/>
    <w:rsid w:val="00196D91"/>
    <w:rsid w:val="0019747E"/>
    <w:rsid w:val="001976D2"/>
    <w:rsid w:val="00197920"/>
    <w:rsid w:val="001A0EA6"/>
    <w:rsid w:val="001A2F17"/>
    <w:rsid w:val="001A577D"/>
    <w:rsid w:val="001B1F37"/>
    <w:rsid w:val="001B2EA2"/>
    <w:rsid w:val="001B548E"/>
    <w:rsid w:val="001B6C1B"/>
    <w:rsid w:val="001B7E54"/>
    <w:rsid w:val="001C010F"/>
    <w:rsid w:val="001C1800"/>
    <w:rsid w:val="001C1A61"/>
    <w:rsid w:val="001C1C7F"/>
    <w:rsid w:val="001C3BD9"/>
    <w:rsid w:val="001C3C44"/>
    <w:rsid w:val="001C5F5B"/>
    <w:rsid w:val="001C63FA"/>
    <w:rsid w:val="001C6400"/>
    <w:rsid w:val="001C64E2"/>
    <w:rsid w:val="001D1CBF"/>
    <w:rsid w:val="001D29BF"/>
    <w:rsid w:val="001D2E17"/>
    <w:rsid w:val="001D3A88"/>
    <w:rsid w:val="001D4C7B"/>
    <w:rsid w:val="001D50AF"/>
    <w:rsid w:val="001E0750"/>
    <w:rsid w:val="001E1C8D"/>
    <w:rsid w:val="001E2613"/>
    <w:rsid w:val="001E35D2"/>
    <w:rsid w:val="001E5CB5"/>
    <w:rsid w:val="001E7143"/>
    <w:rsid w:val="001E77A0"/>
    <w:rsid w:val="001F0609"/>
    <w:rsid w:val="001F1028"/>
    <w:rsid w:val="001F18F7"/>
    <w:rsid w:val="001F21E5"/>
    <w:rsid w:val="001F3BE7"/>
    <w:rsid w:val="001F4570"/>
    <w:rsid w:val="001F64BD"/>
    <w:rsid w:val="001F7AA9"/>
    <w:rsid w:val="001F7D16"/>
    <w:rsid w:val="001F7D87"/>
    <w:rsid w:val="002007E1"/>
    <w:rsid w:val="00201957"/>
    <w:rsid w:val="002028F6"/>
    <w:rsid w:val="00202F21"/>
    <w:rsid w:val="00203916"/>
    <w:rsid w:val="00204E1B"/>
    <w:rsid w:val="00205696"/>
    <w:rsid w:val="00210806"/>
    <w:rsid w:val="00210D97"/>
    <w:rsid w:val="00211DAA"/>
    <w:rsid w:val="00212C2F"/>
    <w:rsid w:val="00213C05"/>
    <w:rsid w:val="00213CB8"/>
    <w:rsid w:val="002149D3"/>
    <w:rsid w:val="00215CF2"/>
    <w:rsid w:val="00217EB2"/>
    <w:rsid w:val="00221A02"/>
    <w:rsid w:val="00221D88"/>
    <w:rsid w:val="0022398D"/>
    <w:rsid w:val="002252C9"/>
    <w:rsid w:val="00230C35"/>
    <w:rsid w:val="00231422"/>
    <w:rsid w:val="00232045"/>
    <w:rsid w:val="002320C8"/>
    <w:rsid w:val="00233226"/>
    <w:rsid w:val="00233A1C"/>
    <w:rsid w:val="0023455B"/>
    <w:rsid w:val="00234F74"/>
    <w:rsid w:val="00234FE4"/>
    <w:rsid w:val="00235328"/>
    <w:rsid w:val="002356F0"/>
    <w:rsid w:val="00240E23"/>
    <w:rsid w:val="00246A1A"/>
    <w:rsid w:val="00251FCE"/>
    <w:rsid w:val="002531B1"/>
    <w:rsid w:val="0025380C"/>
    <w:rsid w:val="00254BF3"/>
    <w:rsid w:val="002601E8"/>
    <w:rsid w:val="00260A33"/>
    <w:rsid w:val="00260CFE"/>
    <w:rsid w:val="0026166B"/>
    <w:rsid w:val="0026175A"/>
    <w:rsid w:val="00262CCF"/>
    <w:rsid w:val="00262E37"/>
    <w:rsid w:val="0026368F"/>
    <w:rsid w:val="00263946"/>
    <w:rsid w:val="00264E80"/>
    <w:rsid w:val="002653CB"/>
    <w:rsid w:val="002662BE"/>
    <w:rsid w:val="00267B20"/>
    <w:rsid w:val="00271A24"/>
    <w:rsid w:val="002727E2"/>
    <w:rsid w:val="002727F2"/>
    <w:rsid w:val="00276418"/>
    <w:rsid w:val="002766E1"/>
    <w:rsid w:val="00277D55"/>
    <w:rsid w:val="00277DE9"/>
    <w:rsid w:val="00280742"/>
    <w:rsid w:val="00281A43"/>
    <w:rsid w:val="002870F4"/>
    <w:rsid w:val="002931B8"/>
    <w:rsid w:val="00293432"/>
    <w:rsid w:val="00293797"/>
    <w:rsid w:val="002A119B"/>
    <w:rsid w:val="002A1596"/>
    <w:rsid w:val="002A39FC"/>
    <w:rsid w:val="002A477A"/>
    <w:rsid w:val="002A52DB"/>
    <w:rsid w:val="002A5373"/>
    <w:rsid w:val="002A61D8"/>
    <w:rsid w:val="002A7451"/>
    <w:rsid w:val="002B0BEE"/>
    <w:rsid w:val="002B12B9"/>
    <w:rsid w:val="002B1C35"/>
    <w:rsid w:val="002B2BCB"/>
    <w:rsid w:val="002B33F4"/>
    <w:rsid w:val="002B351D"/>
    <w:rsid w:val="002B45E4"/>
    <w:rsid w:val="002B4A70"/>
    <w:rsid w:val="002B6C88"/>
    <w:rsid w:val="002C11C3"/>
    <w:rsid w:val="002C33FD"/>
    <w:rsid w:val="002C3F54"/>
    <w:rsid w:val="002C6308"/>
    <w:rsid w:val="002C7E20"/>
    <w:rsid w:val="002D16DB"/>
    <w:rsid w:val="002D29B7"/>
    <w:rsid w:val="002D6F42"/>
    <w:rsid w:val="002D75D7"/>
    <w:rsid w:val="002E22A3"/>
    <w:rsid w:val="002E34A8"/>
    <w:rsid w:val="002E3C9C"/>
    <w:rsid w:val="002E7402"/>
    <w:rsid w:val="002E743E"/>
    <w:rsid w:val="002F0868"/>
    <w:rsid w:val="002F0A63"/>
    <w:rsid w:val="002F18EC"/>
    <w:rsid w:val="002F3E1F"/>
    <w:rsid w:val="002F3FA9"/>
    <w:rsid w:val="002F4638"/>
    <w:rsid w:val="002F47B1"/>
    <w:rsid w:val="002F56D7"/>
    <w:rsid w:val="002F6351"/>
    <w:rsid w:val="002F6E9F"/>
    <w:rsid w:val="002F7378"/>
    <w:rsid w:val="00300AFD"/>
    <w:rsid w:val="00301047"/>
    <w:rsid w:val="00304AE0"/>
    <w:rsid w:val="003058A9"/>
    <w:rsid w:val="00306204"/>
    <w:rsid w:val="00310C92"/>
    <w:rsid w:val="00311726"/>
    <w:rsid w:val="00311A03"/>
    <w:rsid w:val="00311EF2"/>
    <w:rsid w:val="00311F46"/>
    <w:rsid w:val="00321BF3"/>
    <w:rsid w:val="003222DE"/>
    <w:rsid w:val="00323A14"/>
    <w:rsid w:val="00326E25"/>
    <w:rsid w:val="00327C26"/>
    <w:rsid w:val="0033114F"/>
    <w:rsid w:val="00332590"/>
    <w:rsid w:val="0033375D"/>
    <w:rsid w:val="003341F6"/>
    <w:rsid w:val="00334FD6"/>
    <w:rsid w:val="0033778F"/>
    <w:rsid w:val="00337C4B"/>
    <w:rsid w:val="00340915"/>
    <w:rsid w:val="00340C08"/>
    <w:rsid w:val="00340C89"/>
    <w:rsid w:val="0034101B"/>
    <w:rsid w:val="00341EAD"/>
    <w:rsid w:val="0034335F"/>
    <w:rsid w:val="0034452B"/>
    <w:rsid w:val="00344AA8"/>
    <w:rsid w:val="00345E08"/>
    <w:rsid w:val="00350386"/>
    <w:rsid w:val="003520BC"/>
    <w:rsid w:val="003530CC"/>
    <w:rsid w:val="00353342"/>
    <w:rsid w:val="00353EE8"/>
    <w:rsid w:val="0035503B"/>
    <w:rsid w:val="00357AB2"/>
    <w:rsid w:val="0036126F"/>
    <w:rsid w:val="0036236D"/>
    <w:rsid w:val="0036516E"/>
    <w:rsid w:val="0036648C"/>
    <w:rsid w:val="0036699F"/>
    <w:rsid w:val="00366FD6"/>
    <w:rsid w:val="00370D90"/>
    <w:rsid w:val="00371730"/>
    <w:rsid w:val="0037462A"/>
    <w:rsid w:val="00376214"/>
    <w:rsid w:val="003764C4"/>
    <w:rsid w:val="00376D7D"/>
    <w:rsid w:val="0038013C"/>
    <w:rsid w:val="0038064F"/>
    <w:rsid w:val="003807E6"/>
    <w:rsid w:val="003829D3"/>
    <w:rsid w:val="003854A7"/>
    <w:rsid w:val="003859E4"/>
    <w:rsid w:val="00387C73"/>
    <w:rsid w:val="00390678"/>
    <w:rsid w:val="003907CF"/>
    <w:rsid w:val="00395D8B"/>
    <w:rsid w:val="003966FD"/>
    <w:rsid w:val="003A004A"/>
    <w:rsid w:val="003A0A71"/>
    <w:rsid w:val="003A0D28"/>
    <w:rsid w:val="003A0E43"/>
    <w:rsid w:val="003A0F8D"/>
    <w:rsid w:val="003A226A"/>
    <w:rsid w:val="003A3735"/>
    <w:rsid w:val="003A3C95"/>
    <w:rsid w:val="003B0813"/>
    <w:rsid w:val="003B159B"/>
    <w:rsid w:val="003B1D01"/>
    <w:rsid w:val="003B2710"/>
    <w:rsid w:val="003B30B6"/>
    <w:rsid w:val="003B5DA9"/>
    <w:rsid w:val="003B6FED"/>
    <w:rsid w:val="003C0561"/>
    <w:rsid w:val="003C0C3F"/>
    <w:rsid w:val="003C1DF8"/>
    <w:rsid w:val="003C259D"/>
    <w:rsid w:val="003C4551"/>
    <w:rsid w:val="003C45CD"/>
    <w:rsid w:val="003C5329"/>
    <w:rsid w:val="003D00B3"/>
    <w:rsid w:val="003D078B"/>
    <w:rsid w:val="003D23D7"/>
    <w:rsid w:val="003D2D50"/>
    <w:rsid w:val="003D2E34"/>
    <w:rsid w:val="003D3021"/>
    <w:rsid w:val="003D3613"/>
    <w:rsid w:val="003D6715"/>
    <w:rsid w:val="003D697A"/>
    <w:rsid w:val="003D70CD"/>
    <w:rsid w:val="003D763B"/>
    <w:rsid w:val="003D77DA"/>
    <w:rsid w:val="003E0B81"/>
    <w:rsid w:val="003E1850"/>
    <w:rsid w:val="003E28B7"/>
    <w:rsid w:val="003E29D5"/>
    <w:rsid w:val="003E57D1"/>
    <w:rsid w:val="003E6ADF"/>
    <w:rsid w:val="003E6EF7"/>
    <w:rsid w:val="003F49C6"/>
    <w:rsid w:val="003F555E"/>
    <w:rsid w:val="003F614E"/>
    <w:rsid w:val="003F7502"/>
    <w:rsid w:val="003F7BA1"/>
    <w:rsid w:val="00406567"/>
    <w:rsid w:val="0040765C"/>
    <w:rsid w:val="004076E2"/>
    <w:rsid w:val="0040773D"/>
    <w:rsid w:val="00407C11"/>
    <w:rsid w:val="00410088"/>
    <w:rsid w:val="004116FB"/>
    <w:rsid w:val="00412931"/>
    <w:rsid w:val="00414A71"/>
    <w:rsid w:val="004153B6"/>
    <w:rsid w:val="00416FB1"/>
    <w:rsid w:val="00417CE4"/>
    <w:rsid w:val="00421809"/>
    <w:rsid w:val="00422048"/>
    <w:rsid w:val="00424370"/>
    <w:rsid w:val="00425776"/>
    <w:rsid w:val="00425D82"/>
    <w:rsid w:val="004261BD"/>
    <w:rsid w:val="00427873"/>
    <w:rsid w:val="00430126"/>
    <w:rsid w:val="004301D5"/>
    <w:rsid w:val="004304B8"/>
    <w:rsid w:val="00432144"/>
    <w:rsid w:val="00435E7B"/>
    <w:rsid w:val="0043627F"/>
    <w:rsid w:val="0043704E"/>
    <w:rsid w:val="00440278"/>
    <w:rsid w:val="004405DE"/>
    <w:rsid w:val="0044264F"/>
    <w:rsid w:val="00442AA5"/>
    <w:rsid w:val="0044332E"/>
    <w:rsid w:val="00444E84"/>
    <w:rsid w:val="0044667C"/>
    <w:rsid w:val="00446C4C"/>
    <w:rsid w:val="004514C8"/>
    <w:rsid w:val="00451F87"/>
    <w:rsid w:val="00452906"/>
    <w:rsid w:val="004529DD"/>
    <w:rsid w:val="00452DAC"/>
    <w:rsid w:val="00453850"/>
    <w:rsid w:val="00454EB1"/>
    <w:rsid w:val="004565BC"/>
    <w:rsid w:val="004576A5"/>
    <w:rsid w:val="00460FA1"/>
    <w:rsid w:val="00462143"/>
    <w:rsid w:val="0046322F"/>
    <w:rsid w:val="004666E1"/>
    <w:rsid w:val="0046734F"/>
    <w:rsid w:val="004720CB"/>
    <w:rsid w:val="004728DF"/>
    <w:rsid w:val="00473AA0"/>
    <w:rsid w:val="0047455F"/>
    <w:rsid w:val="00474C54"/>
    <w:rsid w:val="004765D1"/>
    <w:rsid w:val="004767A9"/>
    <w:rsid w:val="00476BD5"/>
    <w:rsid w:val="00480137"/>
    <w:rsid w:val="00480F80"/>
    <w:rsid w:val="00480FD3"/>
    <w:rsid w:val="00481581"/>
    <w:rsid w:val="0048184E"/>
    <w:rsid w:val="00482782"/>
    <w:rsid w:val="004840FC"/>
    <w:rsid w:val="00486195"/>
    <w:rsid w:val="004863ED"/>
    <w:rsid w:val="00486436"/>
    <w:rsid w:val="004869D0"/>
    <w:rsid w:val="00487974"/>
    <w:rsid w:val="004900F7"/>
    <w:rsid w:val="0049152D"/>
    <w:rsid w:val="00494307"/>
    <w:rsid w:val="004943AB"/>
    <w:rsid w:val="00495C7F"/>
    <w:rsid w:val="00496CFF"/>
    <w:rsid w:val="00497207"/>
    <w:rsid w:val="004A1953"/>
    <w:rsid w:val="004A28E4"/>
    <w:rsid w:val="004A2B95"/>
    <w:rsid w:val="004B0F1A"/>
    <w:rsid w:val="004B12D0"/>
    <w:rsid w:val="004C37E3"/>
    <w:rsid w:val="004C5DDC"/>
    <w:rsid w:val="004C639B"/>
    <w:rsid w:val="004C7324"/>
    <w:rsid w:val="004D0ACA"/>
    <w:rsid w:val="004D29DA"/>
    <w:rsid w:val="004D3777"/>
    <w:rsid w:val="004E166F"/>
    <w:rsid w:val="004E1E35"/>
    <w:rsid w:val="004E353D"/>
    <w:rsid w:val="004E4B54"/>
    <w:rsid w:val="004E5227"/>
    <w:rsid w:val="004E555F"/>
    <w:rsid w:val="004E6E7F"/>
    <w:rsid w:val="004F40C5"/>
    <w:rsid w:val="004F4C96"/>
    <w:rsid w:val="004F69A5"/>
    <w:rsid w:val="004F76C2"/>
    <w:rsid w:val="00500130"/>
    <w:rsid w:val="00504978"/>
    <w:rsid w:val="0050730B"/>
    <w:rsid w:val="00511BD6"/>
    <w:rsid w:val="0051428E"/>
    <w:rsid w:val="005147F3"/>
    <w:rsid w:val="00515D70"/>
    <w:rsid w:val="00517579"/>
    <w:rsid w:val="005176CE"/>
    <w:rsid w:val="005200E9"/>
    <w:rsid w:val="00522BD3"/>
    <w:rsid w:val="00523E5C"/>
    <w:rsid w:val="00524C16"/>
    <w:rsid w:val="005254B4"/>
    <w:rsid w:val="00525782"/>
    <w:rsid w:val="005267EB"/>
    <w:rsid w:val="00526A34"/>
    <w:rsid w:val="00526AAF"/>
    <w:rsid w:val="005276A6"/>
    <w:rsid w:val="00531DC8"/>
    <w:rsid w:val="00532265"/>
    <w:rsid w:val="00533A74"/>
    <w:rsid w:val="0053413C"/>
    <w:rsid w:val="00534433"/>
    <w:rsid w:val="00535449"/>
    <w:rsid w:val="00535487"/>
    <w:rsid w:val="00536839"/>
    <w:rsid w:val="00540BF2"/>
    <w:rsid w:val="0054112B"/>
    <w:rsid w:val="0054246B"/>
    <w:rsid w:val="005425CC"/>
    <w:rsid w:val="0054373A"/>
    <w:rsid w:val="005446B5"/>
    <w:rsid w:val="0054479D"/>
    <w:rsid w:val="00544E4C"/>
    <w:rsid w:val="005452B7"/>
    <w:rsid w:val="005464CA"/>
    <w:rsid w:val="00550C8A"/>
    <w:rsid w:val="00550D1E"/>
    <w:rsid w:val="00552199"/>
    <w:rsid w:val="0055331E"/>
    <w:rsid w:val="005562D8"/>
    <w:rsid w:val="00557088"/>
    <w:rsid w:val="00561B33"/>
    <w:rsid w:val="00563071"/>
    <w:rsid w:val="005652D7"/>
    <w:rsid w:val="00573390"/>
    <w:rsid w:val="005757B3"/>
    <w:rsid w:val="0057757C"/>
    <w:rsid w:val="0058145D"/>
    <w:rsid w:val="00582510"/>
    <w:rsid w:val="00582834"/>
    <w:rsid w:val="005829BF"/>
    <w:rsid w:val="00582FD9"/>
    <w:rsid w:val="00583048"/>
    <w:rsid w:val="00583845"/>
    <w:rsid w:val="00583960"/>
    <w:rsid w:val="005849A6"/>
    <w:rsid w:val="005859AF"/>
    <w:rsid w:val="00590E7B"/>
    <w:rsid w:val="00591422"/>
    <w:rsid w:val="005940E3"/>
    <w:rsid w:val="005946AF"/>
    <w:rsid w:val="005947B8"/>
    <w:rsid w:val="0059508E"/>
    <w:rsid w:val="00595137"/>
    <w:rsid w:val="00595729"/>
    <w:rsid w:val="00596591"/>
    <w:rsid w:val="005A0829"/>
    <w:rsid w:val="005A0EB2"/>
    <w:rsid w:val="005A1119"/>
    <w:rsid w:val="005A264C"/>
    <w:rsid w:val="005A3477"/>
    <w:rsid w:val="005A366C"/>
    <w:rsid w:val="005A3B0F"/>
    <w:rsid w:val="005A3B3F"/>
    <w:rsid w:val="005B1210"/>
    <w:rsid w:val="005B15F5"/>
    <w:rsid w:val="005B2378"/>
    <w:rsid w:val="005B58D2"/>
    <w:rsid w:val="005B6AD4"/>
    <w:rsid w:val="005B6B92"/>
    <w:rsid w:val="005B7284"/>
    <w:rsid w:val="005C0088"/>
    <w:rsid w:val="005C0357"/>
    <w:rsid w:val="005C0611"/>
    <w:rsid w:val="005C0980"/>
    <w:rsid w:val="005C0D65"/>
    <w:rsid w:val="005C0EE2"/>
    <w:rsid w:val="005C14A3"/>
    <w:rsid w:val="005C153A"/>
    <w:rsid w:val="005C1E43"/>
    <w:rsid w:val="005C40D0"/>
    <w:rsid w:val="005C566E"/>
    <w:rsid w:val="005D069C"/>
    <w:rsid w:val="005D179F"/>
    <w:rsid w:val="005D1EDE"/>
    <w:rsid w:val="005D489F"/>
    <w:rsid w:val="005D6DF8"/>
    <w:rsid w:val="005E200B"/>
    <w:rsid w:val="005E2355"/>
    <w:rsid w:val="005E3A3E"/>
    <w:rsid w:val="005E6CA1"/>
    <w:rsid w:val="005E702C"/>
    <w:rsid w:val="005E73C2"/>
    <w:rsid w:val="005E7C44"/>
    <w:rsid w:val="005F197A"/>
    <w:rsid w:val="005F2927"/>
    <w:rsid w:val="005F2DF7"/>
    <w:rsid w:val="005F3007"/>
    <w:rsid w:val="005F304B"/>
    <w:rsid w:val="005F5F6F"/>
    <w:rsid w:val="005F698A"/>
    <w:rsid w:val="00600538"/>
    <w:rsid w:val="00605CDD"/>
    <w:rsid w:val="00605EA7"/>
    <w:rsid w:val="0060674D"/>
    <w:rsid w:val="00606A00"/>
    <w:rsid w:val="00607A0D"/>
    <w:rsid w:val="006107CF"/>
    <w:rsid w:val="006110A4"/>
    <w:rsid w:val="0061333F"/>
    <w:rsid w:val="0061335C"/>
    <w:rsid w:val="00613FB1"/>
    <w:rsid w:val="006147B6"/>
    <w:rsid w:val="006155CA"/>
    <w:rsid w:val="0061668E"/>
    <w:rsid w:val="00616F62"/>
    <w:rsid w:val="006170F3"/>
    <w:rsid w:val="0061742C"/>
    <w:rsid w:val="006179B6"/>
    <w:rsid w:val="00621FD6"/>
    <w:rsid w:val="00624E56"/>
    <w:rsid w:val="00625A71"/>
    <w:rsid w:val="00627441"/>
    <w:rsid w:val="006316F9"/>
    <w:rsid w:val="006325B0"/>
    <w:rsid w:val="0063264C"/>
    <w:rsid w:val="006328AF"/>
    <w:rsid w:val="006331CE"/>
    <w:rsid w:val="00633980"/>
    <w:rsid w:val="00633EE8"/>
    <w:rsid w:val="006350C0"/>
    <w:rsid w:val="00636185"/>
    <w:rsid w:val="0063664A"/>
    <w:rsid w:val="0063792B"/>
    <w:rsid w:val="006425BC"/>
    <w:rsid w:val="00644904"/>
    <w:rsid w:val="00644F62"/>
    <w:rsid w:val="006451CB"/>
    <w:rsid w:val="00645383"/>
    <w:rsid w:val="00646E4E"/>
    <w:rsid w:val="0064758B"/>
    <w:rsid w:val="0064769A"/>
    <w:rsid w:val="00650546"/>
    <w:rsid w:val="006518DC"/>
    <w:rsid w:val="006519D0"/>
    <w:rsid w:val="00652836"/>
    <w:rsid w:val="0065321E"/>
    <w:rsid w:val="006533FD"/>
    <w:rsid w:val="00653D6B"/>
    <w:rsid w:val="006550B2"/>
    <w:rsid w:val="0065605D"/>
    <w:rsid w:val="006570C7"/>
    <w:rsid w:val="006577D8"/>
    <w:rsid w:val="00657B29"/>
    <w:rsid w:val="00657B50"/>
    <w:rsid w:val="006602A7"/>
    <w:rsid w:val="00660496"/>
    <w:rsid w:val="00660F14"/>
    <w:rsid w:val="0066162E"/>
    <w:rsid w:val="006617FA"/>
    <w:rsid w:val="00661B7A"/>
    <w:rsid w:val="00663325"/>
    <w:rsid w:val="006636FE"/>
    <w:rsid w:val="00664255"/>
    <w:rsid w:val="00664476"/>
    <w:rsid w:val="00664A10"/>
    <w:rsid w:val="0066541E"/>
    <w:rsid w:val="006654CA"/>
    <w:rsid w:val="00665C20"/>
    <w:rsid w:val="00673DCE"/>
    <w:rsid w:val="006749E5"/>
    <w:rsid w:val="00675C9D"/>
    <w:rsid w:val="00675DA5"/>
    <w:rsid w:val="00676165"/>
    <w:rsid w:val="00676CB1"/>
    <w:rsid w:val="00686291"/>
    <w:rsid w:val="00686FA4"/>
    <w:rsid w:val="00691E65"/>
    <w:rsid w:val="00691EA1"/>
    <w:rsid w:val="00693886"/>
    <w:rsid w:val="00694BE9"/>
    <w:rsid w:val="00696114"/>
    <w:rsid w:val="0069667F"/>
    <w:rsid w:val="00696D4A"/>
    <w:rsid w:val="006974AF"/>
    <w:rsid w:val="00697728"/>
    <w:rsid w:val="006A03C8"/>
    <w:rsid w:val="006A07EB"/>
    <w:rsid w:val="006A1279"/>
    <w:rsid w:val="006A1CD6"/>
    <w:rsid w:val="006A362D"/>
    <w:rsid w:val="006A5E39"/>
    <w:rsid w:val="006A615E"/>
    <w:rsid w:val="006A641C"/>
    <w:rsid w:val="006B048C"/>
    <w:rsid w:val="006B210C"/>
    <w:rsid w:val="006B2C4A"/>
    <w:rsid w:val="006B2D1C"/>
    <w:rsid w:val="006B35DA"/>
    <w:rsid w:val="006B53F6"/>
    <w:rsid w:val="006B655F"/>
    <w:rsid w:val="006C11BE"/>
    <w:rsid w:val="006C1F06"/>
    <w:rsid w:val="006C2DB2"/>
    <w:rsid w:val="006C43B5"/>
    <w:rsid w:val="006C5E78"/>
    <w:rsid w:val="006C615F"/>
    <w:rsid w:val="006C6E2E"/>
    <w:rsid w:val="006C773D"/>
    <w:rsid w:val="006D28A5"/>
    <w:rsid w:val="006D2F81"/>
    <w:rsid w:val="006D3518"/>
    <w:rsid w:val="006D3F0C"/>
    <w:rsid w:val="006D4494"/>
    <w:rsid w:val="006D4AFF"/>
    <w:rsid w:val="006D53EB"/>
    <w:rsid w:val="006D67E7"/>
    <w:rsid w:val="006D6A30"/>
    <w:rsid w:val="006D76DB"/>
    <w:rsid w:val="006E1599"/>
    <w:rsid w:val="006E3F66"/>
    <w:rsid w:val="006E58C8"/>
    <w:rsid w:val="006E669A"/>
    <w:rsid w:val="006E7C7B"/>
    <w:rsid w:val="006F1F44"/>
    <w:rsid w:val="006F2ADA"/>
    <w:rsid w:val="006F2AE7"/>
    <w:rsid w:val="006F2D52"/>
    <w:rsid w:val="006F3591"/>
    <w:rsid w:val="006F7B7C"/>
    <w:rsid w:val="0070002A"/>
    <w:rsid w:val="00700DAE"/>
    <w:rsid w:val="007015A1"/>
    <w:rsid w:val="0070297A"/>
    <w:rsid w:val="00704090"/>
    <w:rsid w:val="00706102"/>
    <w:rsid w:val="00711461"/>
    <w:rsid w:val="0071373D"/>
    <w:rsid w:val="00713758"/>
    <w:rsid w:val="00715907"/>
    <w:rsid w:val="00720307"/>
    <w:rsid w:val="00722D85"/>
    <w:rsid w:val="007236C0"/>
    <w:rsid w:val="00724361"/>
    <w:rsid w:val="00724564"/>
    <w:rsid w:val="007255E3"/>
    <w:rsid w:val="007265F0"/>
    <w:rsid w:val="007269E3"/>
    <w:rsid w:val="00732460"/>
    <w:rsid w:val="00733D7B"/>
    <w:rsid w:val="00735881"/>
    <w:rsid w:val="00735F13"/>
    <w:rsid w:val="007364A0"/>
    <w:rsid w:val="007408D5"/>
    <w:rsid w:val="0074154C"/>
    <w:rsid w:val="00741FDE"/>
    <w:rsid w:val="00742757"/>
    <w:rsid w:val="007430B3"/>
    <w:rsid w:val="007453E5"/>
    <w:rsid w:val="00746363"/>
    <w:rsid w:val="007464AF"/>
    <w:rsid w:val="00746C27"/>
    <w:rsid w:val="007474E2"/>
    <w:rsid w:val="00750371"/>
    <w:rsid w:val="00750941"/>
    <w:rsid w:val="00750BF7"/>
    <w:rsid w:val="0075108D"/>
    <w:rsid w:val="007557DC"/>
    <w:rsid w:val="00760148"/>
    <w:rsid w:val="007611F3"/>
    <w:rsid w:val="00762451"/>
    <w:rsid w:val="007656EE"/>
    <w:rsid w:val="00766B87"/>
    <w:rsid w:val="00767F5A"/>
    <w:rsid w:val="00771493"/>
    <w:rsid w:val="00771A62"/>
    <w:rsid w:val="0077338A"/>
    <w:rsid w:val="00773A59"/>
    <w:rsid w:val="00774701"/>
    <w:rsid w:val="007771DC"/>
    <w:rsid w:val="00777F89"/>
    <w:rsid w:val="00782574"/>
    <w:rsid w:val="007831CE"/>
    <w:rsid w:val="0078347B"/>
    <w:rsid w:val="00784F06"/>
    <w:rsid w:val="00790B45"/>
    <w:rsid w:val="0079220D"/>
    <w:rsid w:val="00792719"/>
    <w:rsid w:val="00792749"/>
    <w:rsid w:val="007928CE"/>
    <w:rsid w:val="00792ADA"/>
    <w:rsid w:val="00793ECE"/>
    <w:rsid w:val="00796E22"/>
    <w:rsid w:val="0079778C"/>
    <w:rsid w:val="00797E1A"/>
    <w:rsid w:val="007A35C4"/>
    <w:rsid w:val="007A3CC4"/>
    <w:rsid w:val="007A4418"/>
    <w:rsid w:val="007A45F1"/>
    <w:rsid w:val="007A56FF"/>
    <w:rsid w:val="007A5B54"/>
    <w:rsid w:val="007A766F"/>
    <w:rsid w:val="007B1B31"/>
    <w:rsid w:val="007B2921"/>
    <w:rsid w:val="007B392C"/>
    <w:rsid w:val="007B4388"/>
    <w:rsid w:val="007B45BA"/>
    <w:rsid w:val="007B49CE"/>
    <w:rsid w:val="007B4E9A"/>
    <w:rsid w:val="007B5474"/>
    <w:rsid w:val="007B5E52"/>
    <w:rsid w:val="007B69A9"/>
    <w:rsid w:val="007B79BB"/>
    <w:rsid w:val="007C0298"/>
    <w:rsid w:val="007C08B0"/>
    <w:rsid w:val="007C1163"/>
    <w:rsid w:val="007C1847"/>
    <w:rsid w:val="007C2376"/>
    <w:rsid w:val="007C23F5"/>
    <w:rsid w:val="007C45B1"/>
    <w:rsid w:val="007C482F"/>
    <w:rsid w:val="007C6371"/>
    <w:rsid w:val="007C672B"/>
    <w:rsid w:val="007D2756"/>
    <w:rsid w:val="007D280C"/>
    <w:rsid w:val="007D3C02"/>
    <w:rsid w:val="007D4395"/>
    <w:rsid w:val="007D4964"/>
    <w:rsid w:val="007D49A6"/>
    <w:rsid w:val="007D4B36"/>
    <w:rsid w:val="007D70B2"/>
    <w:rsid w:val="007D7313"/>
    <w:rsid w:val="007E0FC8"/>
    <w:rsid w:val="007E12FA"/>
    <w:rsid w:val="007E1C58"/>
    <w:rsid w:val="007E1D94"/>
    <w:rsid w:val="007E29EB"/>
    <w:rsid w:val="007E2B9F"/>
    <w:rsid w:val="007E4197"/>
    <w:rsid w:val="007E59FE"/>
    <w:rsid w:val="007E5C58"/>
    <w:rsid w:val="007E6320"/>
    <w:rsid w:val="007E640E"/>
    <w:rsid w:val="007E72D7"/>
    <w:rsid w:val="007F11F4"/>
    <w:rsid w:val="007F2366"/>
    <w:rsid w:val="007F2A06"/>
    <w:rsid w:val="007F4F74"/>
    <w:rsid w:val="007F5A11"/>
    <w:rsid w:val="007F62FA"/>
    <w:rsid w:val="007F6887"/>
    <w:rsid w:val="00801520"/>
    <w:rsid w:val="008020B9"/>
    <w:rsid w:val="0080321B"/>
    <w:rsid w:val="008057DB"/>
    <w:rsid w:val="00807805"/>
    <w:rsid w:val="00810C47"/>
    <w:rsid w:val="00810DC1"/>
    <w:rsid w:val="008122E0"/>
    <w:rsid w:val="0081279E"/>
    <w:rsid w:val="008139A3"/>
    <w:rsid w:val="008139C1"/>
    <w:rsid w:val="00813A79"/>
    <w:rsid w:val="0081473C"/>
    <w:rsid w:val="0081684A"/>
    <w:rsid w:val="00816BB8"/>
    <w:rsid w:val="00817F38"/>
    <w:rsid w:val="00820E4E"/>
    <w:rsid w:val="0082207A"/>
    <w:rsid w:val="00823429"/>
    <w:rsid w:val="008309E3"/>
    <w:rsid w:val="008314BA"/>
    <w:rsid w:val="00832337"/>
    <w:rsid w:val="00832B7B"/>
    <w:rsid w:val="00832FFA"/>
    <w:rsid w:val="008347F7"/>
    <w:rsid w:val="008353FC"/>
    <w:rsid w:val="00837C2E"/>
    <w:rsid w:val="00837FDA"/>
    <w:rsid w:val="00841543"/>
    <w:rsid w:val="00841833"/>
    <w:rsid w:val="008418E3"/>
    <w:rsid w:val="00842E49"/>
    <w:rsid w:val="00843D2B"/>
    <w:rsid w:val="00843FE0"/>
    <w:rsid w:val="00844357"/>
    <w:rsid w:val="008443F9"/>
    <w:rsid w:val="00844C65"/>
    <w:rsid w:val="00845862"/>
    <w:rsid w:val="00846311"/>
    <w:rsid w:val="008470F0"/>
    <w:rsid w:val="008473F7"/>
    <w:rsid w:val="00847750"/>
    <w:rsid w:val="008478D1"/>
    <w:rsid w:val="00850C3C"/>
    <w:rsid w:val="00851A9C"/>
    <w:rsid w:val="0085300C"/>
    <w:rsid w:val="008608E6"/>
    <w:rsid w:val="00860B78"/>
    <w:rsid w:val="00860BCC"/>
    <w:rsid w:val="00861880"/>
    <w:rsid w:val="0086195A"/>
    <w:rsid w:val="00861B47"/>
    <w:rsid w:val="0086229E"/>
    <w:rsid w:val="00862CED"/>
    <w:rsid w:val="0086480A"/>
    <w:rsid w:val="00864CD8"/>
    <w:rsid w:val="00867F87"/>
    <w:rsid w:val="00870279"/>
    <w:rsid w:val="00870603"/>
    <w:rsid w:val="0087096F"/>
    <w:rsid w:val="008755BA"/>
    <w:rsid w:val="00881208"/>
    <w:rsid w:val="00884FC6"/>
    <w:rsid w:val="0089080C"/>
    <w:rsid w:val="00890C8E"/>
    <w:rsid w:val="00895D8D"/>
    <w:rsid w:val="008A172E"/>
    <w:rsid w:val="008A1F51"/>
    <w:rsid w:val="008A2695"/>
    <w:rsid w:val="008A33D5"/>
    <w:rsid w:val="008A45E8"/>
    <w:rsid w:val="008A5D75"/>
    <w:rsid w:val="008A7719"/>
    <w:rsid w:val="008A7A9A"/>
    <w:rsid w:val="008B0AFD"/>
    <w:rsid w:val="008B3B41"/>
    <w:rsid w:val="008B44DA"/>
    <w:rsid w:val="008B4D42"/>
    <w:rsid w:val="008B5CA8"/>
    <w:rsid w:val="008B6FB0"/>
    <w:rsid w:val="008C1AB9"/>
    <w:rsid w:val="008C32CD"/>
    <w:rsid w:val="008C4891"/>
    <w:rsid w:val="008C64BD"/>
    <w:rsid w:val="008C7A4C"/>
    <w:rsid w:val="008C7F9B"/>
    <w:rsid w:val="008D1583"/>
    <w:rsid w:val="008D38F1"/>
    <w:rsid w:val="008D509B"/>
    <w:rsid w:val="008D53A8"/>
    <w:rsid w:val="008D716B"/>
    <w:rsid w:val="008E047F"/>
    <w:rsid w:val="008E0678"/>
    <w:rsid w:val="008E110C"/>
    <w:rsid w:val="008E11F8"/>
    <w:rsid w:val="008E4D3C"/>
    <w:rsid w:val="008E4E14"/>
    <w:rsid w:val="008E7F39"/>
    <w:rsid w:val="008F0A69"/>
    <w:rsid w:val="008F102D"/>
    <w:rsid w:val="008F14A2"/>
    <w:rsid w:val="008F4D5D"/>
    <w:rsid w:val="008F7204"/>
    <w:rsid w:val="009047FC"/>
    <w:rsid w:val="0090530E"/>
    <w:rsid w:val="009058EC"/>
    <w:rsid w:val="00905CA5"/>
    <w:rsid w:val="009064C3"/>
    <w:rsid w:val="00906858"/>
    <w:rsid w:val="00906E4E"/>
    <w:rsid w:val="00907177"/>
    <w:rsid w:val="009071AD"/>
    <w:rsid w:val="00907A06"/>
    <w:rsid w:val="00907A43"/>
    <w:rsid w:val="009131C0"/>
    <w:rsid w:val="0091413D"/>
    <w:rsid w:val="009155A6"/>
    <w:rsid w:val="00916FAC"/>
    <w:rsid w:val="009175F1"/>
    <w:rsid w:val="00920DC1"/>
    <w:rsid w:val="00920F09"/>
    <w:rsid w:val="00922FA5"/>
    <w:rsid w:val="00923B5B"/>
    <w:rsid w:val="00923DD8"/>
    <w:rsid w:val="00924FEC"/>
    <w:rsid w:val="009250A2"/>
    <w:rsid w:val="00926375"/>
    <w:rsid w:val="00930551"/>
    <w:rsid w:val="00931EF1"/>
    <w:rsid w:val="00932C17"/>
    <w:rsid w:val="0093307B"/>
    <w:rsid w:val="009331B2"/>
    <w:rsid w:val="009351F3"/>
    <w:rsid w:val="00937229"/>
    <w:rsid w:val="00941C1D"/>
    <w:rsid w:val="00941EF0"/>
    <w:rsid w:val="009423AA"/>
    <w:rsid w:val="009423AC"/>
    <w:rsid w:val="00943218"/>
    <w:rsid w:val="009453A2"/>
    <w:rsid w:val="00946AB1"/>
    <w:rsid w:val="009504B8"/>
    <w:rsid w:val="009517F6"/>
    <w:rsid w:val="00953281"/>
    <w:rsid w:val="00953B8E"/>
    <w:rsid w:val="00956565"/>
    <w:rsid w:val="00957FDC"/>
    <w:rsid w:val="009601AB"/>
    <w:rsid w:val="00960D92"/>
    <w:rsid w:val="00961947"/>
    <w:rsid w:val="00962C7C"/>
    <w:rsid w:val="00962F2C"/>
    <w:rsid w:val="0096331D"/>
    <w:rsid w:val="00963579"/>
    <w:rsid w:val="00963C26"/>
    <w:rsid w:val="00963D08"/>
    <w:rsid w:val="00963E4F"/>
    <w:rsid w:val="00965CA7"/>
    <w:rsid w:val="00966160"/>
    <w:rsid w:val="009672AC"/>
    <w:rsid w:val="00967EDD"/>
    <w:rsid w:val="00971910"/>
    <w:rsid w:val="00972B8E"/>
    <w:rsid w:val="00973A55"/>
    <w:rsid w:val="00974C45"/>
    <w:rsid w:val="00975A1E"/>
    <w:rsid w:val="00975C75"/>
    <w:rsid w:val="00980B13"/>
    <w:rsid w:val="00980F6D"/>
    <w:rsid w:val="00982E2D"/>
    <w:rsid w:val="00982F94"/>
    <w:rsid w:val="00983EDA"/>
    <w:rsid w:val="00985422"/>
    <w:rsid w:val="009867CF"/>
    <w:rsid w:val="00986DCF"/>
    <w:rsid w:val="00991021"/>
    <w:rsid w:val="00992A6C"/>
    <w:rsid w:val="00992B39"/>
    <w:rsid w:val="00996DF4"/>
    <w:rsid w:val="009A02E4"/>
    <w:rsid w:val="009A0A3D"/>
    <w:rsid w:val="009A1442"/>
    <w:rsid w:val="009A1C7C"/>
    <w:rsid w:val="009A2D3A"/>
    <w:rsid w:val="009A3F87"/>
    <w:rsid w:val="009A4F82"/>
    <w:rsid w:val="009A5325"/>
    <w:rsid w:val="009A659A"/>
    <w:rsid w:val="009A67B4"/>
    <w:rsid w:val="009A7570"/>
    <w:rsid w:val="009B475F"/>
    <w:rsid w:val="009B4A1E"/>
    <w:rsid w:val="009C0E14"/>
    <w:rsid w:val="009C1DA6"/>
    <w:rsid w:val="009C32A2"/>
    <w:rsid w:val="009C3472"/>
    <w:rsid w:val="009C6B17"/>
    <w:rsid w:val="009D2013"/>
    <w:rsid w:val="009D203D"/>
    <w:rsid w:val="009D558F"/>
    <w:rsid w:val="009E0477"/>
    <w:rsid w:val="009E0E03"/>
    <w:rsid w:val="009E12AC"/>
    <w:rsid w:val="009E1533"/>
    <w:rsid w:val="009E196E"/>
    <w:rsid w:val="009E1CB5"/>
    <w:rsid w:val="009E32E0"/>
    <w:rsid w:val="009E40D0"/>
    <w:rsid w:val="009E4365"/>
    <w:rsid w:val="009E4C53"/>
    <w:rsid w:val="009E52D8"/>
    <w:rsid w:val="009E5AB1"/>
    <w:rsid w:val="009E5CBB"/>
    <w:rsid w:val="009F096D"/>
    <w:rsid w:val="009F394D"/>
    <w:rsid w:val="009F3CC4"/>
    <w:rsid w:val="009F43BE"/>
    <w:rsid w:val="009F44E0"/>
    <w:rsid w:val="009F571B"/>
    <w:rsid w:val="009F5B90"/>
    <w:rsid w:val="009F6357"/>
    <w:rsid w:val="009F6C02"/>
    <w:rsid w:val="009F74B2"/>
    <w:rsid w:val="009F7D94"/>
    <w:rsid w:val="00A0147C"/>
    <w:rsid w:val="00A01902"/>
    <w:rsid w:val="00A02DC2"/>
    <w:rsid w:val="00A03480"/>
    <w:rsid w:val="00A04AF7"/>
    <w:rsid w:val="00A070B7"/>
    <w:rsid w:val="00A11CA2"/>
    <w:rsid w:val="00A12756"/>
    <w:rsid w:val="00A13D77"/>
    <w:rsid w:val="00A1573B"/>
    <w:rsid w:val="00A15EFB"/>
    <w:rsid w:val="00A230A8"/>
    <w:rsid w:val="00A246A8"/>
    <w:rsid w:val="00A2660D"/>
    <w:rsid w:val="00A2730C"/>
    <w:rsid w:val="00A27CF3"/>
    <w:rsid w:val="00A30BC4"/>
    <w:rsid w:val="00A30C4E"/>
    <w:rsid w:val="00A32843"/>
    <w:rsid w:val="00A33131"/>
    <w:rsid w:val="00A40C00"/>
    <w:rsid w:val="00A4126E"/>
    <w:rsid w:val="00A42D32"/>
    <w:rsid w:val="00A43BE4"/>
    <w:rsid w:val="00A46A63"/>
    <w:rsid w:val="00A47F91"/>
    <w:rsid w:val="00A520A0"/>
    <w:rsid w:val="00A54547"/>
    <w:rsid w:val="00A547CF"/>
    <w:rsid w:val="00A54B05"/>
    <w:rsid w:val="00A55E9E"/>
    <w:rsid w:val="00A56B65"/>
    <w:rsid w:val="00A57154"/>
    <w:rsid w:val="00A574FC"/>
    <w:rsid w:val="00A60A2E"/>
    <w:rsid w:val="00A60D3C"/>
    <w:rsid w:val="00A60F66"/>
    <w:rsid w:val="00A628C6"/>
    <w:rsid w:val="00A62AB4"/>
    <w:rsid w:val="00A63BA4"/>
    <w:rsid w:val="00A653EC"/>
    <w:rsid w:val="00A6711F"/>
    <w:rsid w:val="00A67BD6"/>
    <w:rsid w:val="00A70051"/>
    <w:rsid w:val="00A72527"/>
    <w:rsid w:val="00A727F9"/>
    <w:rsid w:val="00A72AD6"/>
    <w:rsid w:val="00A72EDD"/>
    <w:rsid w:val="00A75BF2"/>
    <w:rsid w:val="00A824D5"/>
    <w:rsid w:val="00A8270A"/>
    <w:rsid w:val="00A86745"/>
    <w:rsid w:val="00A928A8"/>
    <w:rsid w:val="00A93F20"/>
    <w:rsid w:val="00A94AAE"/>
    <w:rsid w:val="00A94C7E"/>
    <w:rsid w:val="00A9692C"/>
    <w:rsid w:val="00A97F66"/>
    <w:rsid w:val="00AA324F"/>
    <w:rsid w:val="00AA539D"/>
    <w:rsid w:val="00AA56B6"/>
    <w:rsid w:val="00AA763A"/>
    <w:rsid w:val="00AA7A54"/>
    <w:rsid w:val="00AB046D"/>
    <w:rsid w:val="00AB074C"/>
    <w:rsid w:val="00AB1416"/>
    <w:rsid w:val="00AB29C1"/>
    <w:rsid w:val="00AB50CF"/>
    <w:rsid w:val="00AC0055"/>
    <w:rsid w:val="00AC007F"/>
    <w:rsid w:val="00AC0677"/>
    <w:rsid w:val="00AC2558"/>
    <w:rsid w:val="00AC2F81"/>
    <w:rsid w:val="00AC3B25"/>
    <w:rsid w:val="00AC4DB2"/>
    <w:rsid w:val="00AC5119"/>
    <w:rsid w:val="00AC59E2"/>
    <w:rsid w:val="00AC6BA8"/>
    <w:rsid w:val="00AC711A"/>
    <w:rsid w:val="00AD046A"/>
    <w:rsid w:val="00AD258F"/>
    <w:rsid w:val="00AD3BBA"/>
    <w:rsid w:val="00AD3C09"/>
    <w:rsid w:val="00AD3C7F"/>
    <w:rsid w:val="00AD48C6"/>
    <w:rsid w:val="00AD4B16"/>
    <w:rsid w:val="00AD528D"/>
    <w:rsid w:val="00AD6C53"/>
    <w:rsid w:val="00AE433E"/>
    <w:rsid w:val="00AF1E7D"/>
    <w:rsid w:val="00AF26BD"/>
    <w:rsid w:val="00AF51F2"/>
    <w:rsid w:val="00B000EC"/>
    <w:rsid w:val="00B017D4"/>
    <w:rsid w:val="00B01EA1"/>
    <w:rsid w:val="00B03376"/>
    <w:rsid w:val="00B043A6"/>
    <w:rsid w:val="00B0560D"/>
    <w:rsid w:val="00B05895"/>
    <w:rsid w:val="00B05FC1"/>
    <w:rsid w:val="00B101C3"/>
    <w:rsid w:val="00B1049D"/>
    <w:rsid w:val="00B112A3"/>
    <w:rsid w:val="00B11A4B"/>
    <w:rsid w:val="00B120FE"/>
    <w:rsid w:val="00B12BC6"/>
    <w:rsid w:val="00B17AF0"/>
    <w:rsid w:val="00B239A7"/>
    <w:rsid w:val="00B245DB"/>
    <w:rsid w:val="00B26620"/>
    <w:rsid w:val="00B27045"/>
    <w:rsid w:val="00B27C98"/>
    <w:rsid w:val="00B300F4"/>
    <w:rsid w:val="00B30765"/>
    <w:rsid w:val="00B31DD6"/>
    <w:rsid w:val="00B32630"/>
    <w:rsid w:val="00B34CAA"/>
    <w:rsid w:val="00B412DC"/>
    <w:rsid w:val="00B41CD9"/>
    <w:rsid w:val="00B41DD3"/>
    <w:rsid w:val="00B426B4"/>
    <w:rsid w:val="00B46CCD"/>
    <w:rsid w:val="00B5039F"/>
    <w:rsid w:val="00B51FC9"/>
    <w:rsid w:val="00B5314F"/>
    <w:rsid w:val="00B54DDA"/>
    <w:rsid w:val="00B54F3A"/>
    <w:rsid w:val="00B567B2"/>
    <w:rsid w:val="00B56A7D"/>
    <w:rsid w:val="00B571FF"/>
    <w:rsid w:val="00B60946"/>
    <w:rsid w:val="00B6558E"/>
    <w:rsid w:val="00B67193"/>
    <w:rsid w:val="00B67D35"/>
    <w:rsid w:val="00B67E9F"/>
    <w:rsid w:val="00B70F4B"/>
    <w:rsid w:val="00B718C4"/>
    <w:rsid w:val="00B71B75"/>
    <w:rsid w:val="00B74F18"/>
    <w:rsid w:val="00B77617"/>
    <w:rsid w:val="00B77CBF"/>
    <w:rsid w:val="00B80F2E"/>
    <w:rsid w:val="00B829AB"/>
    <w:rsid w:val="00B82F45"/>
    <w:rsid w:val="00B83405"/>
    <w:rsid w:val="00B83F20"/>
    <w:rsid w:val="00B84E6B"/>
    <w:rsid w:val="00B86A84"/>
    <w:rsid w:val="00B9018E"/>
    <w:rsid w:val="00B903A5"/>
    <w:rsid w:val="00B905C3"/>
    <w:rsid w:val="00B92054"/>
    <w:rsid w:val="00B920B7"/>
    <w:rsid w:val="00B9478E"/>
    <w:rsid w:val="00B9488C"/>
    <w:rsid w:val="00B95859"/>
    <w:rsid w:val="00B96A70"/>
    <w:rsid w:val="00B97FB6"/>
    <w:rsid w:val="00BA05ED"/>
    <w:rsid w:val="00BA062A"/>
    <w:rsid w:val="00BA46D7"/>
    <w:rsid w:val="00BA48AB"/>
    <w:rsid w:val="00BA5670"/>
    <w:rsid w:val="00BA66CE"/>
    <w:rsid w:val="00BA7712"/>
    <w:rsid w:val="00BA7B09"/>
    <w:rsid w:val="00BB2044"/>
    <w:rsid w:val="00BB432B"/>
    <w:rsid w:val="00BB4DA6"/>
    <w:rsid w:val="00BC02C5"/>
    <w:rsid w:val="00BC2CDB"/>
    <w:rsid w:val="00BC371D"/>
    <w:rsid w:val="00BC4A6E"/>
    <w:rsid w:val="00BC548D"/>
    <w:rsid w:val="00BC6356"/>
    <w:rsid w:val="00BC6621"/>
    <w:rsid w:val="00BC6D78"/>
    <w:rsid w:val="00BD0BA6"/>
    <w:rsid w:val="00BD1290"/>
    <w:rsid w:val="00BD1A8F"/>
    <w:rsid w:val="00BD24D4"/>
    <w:rsid w:val="00BD4E7A"/>
    <w:rsid w:val="00BD5E18"/>
    <w:rsid w:val="00BD6E7A"/>
    <w:rsid w:val="00BE01B3"/>
    <w:rsid w:val="00BE09B6"/>
    <w:rsid w:val="00BE3B1F"/>
    <w:rsid w:val="00BE4F7B"/>
    <w:rsid w:val="00BE5598"/>
    <w:rsid w:val="00BE5A42"/>
    <w:rsid w:val="00BE6C70"/>
    <w:rsid w:val="00BE6DA3"/>
    <w:rsid w:val="00BE7612"/>
    <w:rsid w:val="00BF109A"/>
    <w:rsid w:val="00BF3586"/>
    <w:rsid w:val="00C03BA0"/>
    <w:rsid w:val="00C078B4"/>
    <w:rsid w:val="00C07D37"/>
    <w:rsid w:val="00C1073D"/>
    <w:rsid w:val="00C123A9"/>
    <w:rsid w:val="00C131D6"/>
    <w:rsid w:val="00C13379"/>
    <w:rsid w:val="00C13F24"/>
    <w:rsid w:val="00C15DA6"/>
    <w:rsid w:val="00C165DE"/>
    <w:rsid w:val="00C214C2"/>
    <w:rsid w:val="00C25ED7"/>
    <w:rsid w:val="00C26002"/>
    <w:rsid w:val="00C26983"/>
    <w:rsid w:val="00C274C9"/>
    <w:rsid w:val="00C30622"/>
    <w:rsid w:val="00C31586"/>
    <w:rsid w:val="00C31ADD"/>
    <w:rsid w:val="00C3339F"/>
    <w:rsid w:val="00C34EA3"/>
    <w:rsid w:val="00C3551D"/>
    <w:rsid w:val="00C35FC9"/>
    <w:rsid w:val="00C3704C"/>
    <w:rsid w:val="00C377C5"/>
    <w:rsid w:val="00C43BE1"/>
    <w:rsid w:val="00C44DBD"/>
    <w:rsid w:val="00C461DC"/>
    <w:rsid w:val="00C46671"/>
    <w:rsid w:val="00C46E46"/>
    <w:rsid w:val="00C50BA4"/>
    <w:rsid w:val="00C52F3F"/>
    <w:rsid w:val="00C55615"/>
    <w:rsid w:val="00C57FA6"/>
    <w:rsid w:val="00C60DFE"/>
    <w:rsid w:val="00C611F1"/>
    <w:rsid w:val="00C616EE"/>
    <w:rsid w:val="00C63123"/>
    <w:rsid w:val="00C640E1"/>
    <w:rsid w:val="00C6449E"/>
    <w:rsid w:val="00C64727"/>
    <w:rsid w:val="00C655DD"/>
    <w:rsid w:val="00C668FA"/>
    <w:rsid w:val="00C72066"/>
    <w:rsid w:val="00C74A04"/>
    <w:rsid w:val="00C81BE8"/>
    <w:rsid w:val="00C825D1"/>
    <w:rsid w:val="00C82BDE"/>
    <w:rsid w:val="00C84386"/>
    <w:rsid w:val="00C84DA9"/>
    <w:rsid w:val="00C8690B"/>
    <w:rsid w:val="00C872CC"/>
    <w:rsid w:val="00C875A8"/>
    <w:rsid w:val="00C8771D"/>
    <w:rsid w:val="00C87997"/>
    <w:rsid w:val="00C9040C"/>
    <w:rsid w:val="00C904F3"/>
    <w:rsid w:val="00C91D12"/>
    <w:rsid w:val="00C9646E"/>
    <w:rsid w:val="00CA164D"/>
    <w:rsid w:val="00CA3BD2"/>
    <w:rsid w:val="00CA429B"/>
    <w:rsid w:val="00CA6B0F"/>
    <w:rsid w:val="00CA7768"/>
    <w:rsid w:val="00CA792E"/>
    <w:rsid w:val="00CA7EF2"/>
    <w:rsid w:val="00CB162D"/>
    <w:rsid w:val="00CB1736"/>
    <w:rsid w:val="00CB5EF9"/>
    <w:rsid w:val="00CB77E9"/>
    <w:rsid w:val="00CC0327"/>
    <w:rsid w:val="00CC1E9D"/>
    <w:rsid w:val="00CC3C57"/>
    <w:rsid w:val="00CC4EE1"/>
    <w:rsid w:val="00CC6124"/>
    <w:rsid w:val="00CC671A"/>
    <w:rsid w:val="00CC72F2"/>
    <w:rsid w:val="00CC76BC"/>
    <w:rsid w:val="00CD01B1"/>
    <w:rsid w:val="00CD07D4"/>
    <w:rsid w:val="00CD12BB"/>
    <w:rsid w:val="00CD6611"/>
    <w:rsid w:val="00CD6966"/>
    <w:rsid w:val="00CE11ED"/>
    <w:rsid w:val="00CE1291"/>
    <w:rsid w:val="00CE2583"/>
    <w:rsid w:val="00CE289E"/>
    <w:rsid w:val="00CE3A9F"/>
    <w:rsid w:val="00CE3C02"/>
    <w:rsid w:val="00CE587F"/>
    <w:rsid w:val="00CE5A82"/>
    <w:rsid w:val="00CE6ED1"/>
    <w:rsid w:val="00CE72FB"/>
    <w:rsid w:val="00CE7DF7"/>
    <w:rsid w:val="00CF16E4"/>
    <w:rsid w:val="00CF31CB"/>
    <w:rsid w:val="00CF44DA"/>
    <w:rsid w:val="00D003B0"/>
    <w:rsid w:val="00D029DE"/>
    <w:rsid w:val="00D03BD1"/>
    <w:rsid w:val="00D06D79"/>
    <w:rsid w:val="00D10277"/>
    <w:rsid w:val="00D107FE"/>
    <w:rsid w:val="00D10961"/>
    <w:rsid w:val="00D14AB0"/>
    <w:rsid w:val="00D1521D"/>
    <w:rsid w:val="00D169BB"/>
    <w:rsid w:val="00D212C5"/>
    <w:rsid w:val="00D2148D"/>
    <w:rsid w:val="00D22C7B"/>
    <w:rsid w:val="00D23904"/>
    <w:rsid w:val="00D23B55"/>
    <w:rsid w:val="00D24065"/>
    <w:rsid w:val="00D24DCE"/>
    <w:rsid w:val="00D256AC"/>
    <w:rsid w:val="00D26994"/>
    <w:rsid w:val="00D320AC"/>
    <w:rsid w:val="00D3304B"/>
    <w:rsid w:val="00D359BF"/>
    <w:rsid w:val="00D36DB4"/>
    <w:rsid w:val="00D371D3"/>
    <w:rsid w:val="00D37299"/>
    <w:rsid w:val="00D4083C"/>
    <w:rsid w:val="00D42141"/>
    <w:rsid w:val="00D42448"/>
    <w:rsid w:val="00D42D11"/>
    <w:rsid w:val="00D430A0"/>
    <w:rsid w:val="00D44EEB"/>
    <w:rsid w:val="00D45141"/>
    <w:rsid w:val="00D4564B"/>
    <w:rsid w:val="00D47251"/>
    <w:rsid w:val="00D50B05"/>
    <w:rsid w:val="00D513C2"/>
    <w:rsid w:val="00D51EB8"/>
    <w:rsid w:val="00D53469"/>
    <w:rsid w:val="00D53C4A"/>
    <w:rsid w:val="00D55B61"/>
    <w:rsid w:val="00D56420"/>
    <w:rsid w:val="00D578D6"/>
    <w:rsid w:val="00D60251"/>
    <w:rsid w:val="00D61BA1"/>
    <w:rsid w:val="00D61EC4"/>
    <w:rsid w:val="00D63B93"/>
    <w:rsid w:val="00D644F7"/>
    <w:rsid w:val="00D64D43"/>
    <w:rsid w:val="00D6533E"/>
    <w:rsid w:val="00D66304"/>
    <w:rsid w:val="00D66B6B"/>
    <w:rsid w:val="00D675A8"/>
    <w:rsid w:val="00D67794"/>
    <w:rsid w:val="00D7004B"/>
    <w:rsid w:val="00D7190C"/>
    <w:rsid w:val="00D7207F"/>
    <w:rsid w:val="00D72152"/>
    <w:rsid w:val="00D72F0A"/>
    <w:rsid w:val="00D75AFF"/>
    <w:rsid w:val="00D75EC4"/>
    <w:rsid w:val="00D7634D"/>
    <w:rsid w:val="00D830F3"/>
    <w:rsid w:val="00D84245"/>
    <w:rsid w:val="00D84264"/>
    <w:rsid w:val="00D85B2B"/>
    <w:rsid w:val="00D86727"/>
    <w:rsid w:val="00D941C7"/>
    <w:rsid w:val="00D94661"/>
    <w:rsid w:val="00D94930"/>
    <w:rsid w:val="00D95A89"/>
    <w:rsid w:val="00D95D4E"/>
    <w:rsid w:val="00D966A4"/>
    <w:rsid w:val="00D966F4"/>
    <w:rsid w:val="00D97FC7"/>
    <w:rsid w:val="00DA1558"/>
    <w:rsid w:val="00DA1891"/>
    <w:rsid w:val="00DA31A6"/>
    <w:rsid w:val="00DA3763"/>
    <w:rsid w:val="00DA6543"/>
    <w:rsid w:val="00DB0A43"/>
    <w:rsid w:val="00DB6BA8"/>
    <w:rsid w:val="00DB7F50"/>
    <w:rsid w:val="00DC0AFF"/>
    <w:rsid w:val="00DC0D5D"/>
    <w:rsid w:val="00DC0F59"/>
    <w:rsid w:val="00DC1118"/>
    <w:rsid w:val="00DC1B4D"/>
    <w:rsid w:val="00DC278C"/>
    <w:rsid w:val="00DC315C"/>
    <w:rsid w:val="00DC35F5"/>
    <w:rsid w:val="00DC3D99"/>
    <w:rsid w:val="00DC3E2F"/>
    <w:rsid w:val="00DC5106"/>
    <w:rsid w:val="00DC63B9"/>
    <w:rsid w:val="00DC7379"/>
    <w:rsid w:val="00DD08E9"/>
    <w:rsid w:val="00DD334E"/>
    <w:rsid w:val="00DD4B17"/>
    <w:rsid w:val="00DD53B0"/>
    <w:rsid w:val="00DD5B2C"/>
    <w:rsid w:val="00DD5CAA"/>
    <w:rsid w:val="00DE06BD"/>
    <w:rsid w:val="00DE1107"/>
    <w:rsid w:val="00DE2848"/>
    <w:rsid w:val="00DE3511"/>
    <w:rsid w:val="00DE3CCF"/>
    <w:rsid w:val="00DE403C"/>
    <w:rsid w:val="00DE459E"/>
    <w:rsid w:val="00DE5FE8"/>
    <w:rsid w:val="00DE66E7"/>
    <w:rsid w:val="00DE7104"/>
    <w:rsid w:val="00DF2795"/>
    <w:rsid w:val="00DF4176"/>
    <w:rsid w:val="00DF4C0F"/>
    <w:rsid w:val="00DF5045"/>
    <w:rsid w:val="00DF5BB3"/>
    <w:rsid w:val="00DF62F9"/>
    <w:rsid w:val="00DF7057"/>
    <w:rsid w:val="00DF7937"/>
    <w:rsid w:val="00E0023D"/>
    <w:rsid w:val="00E0111A"/>
    <w:rsid w:val="00E01169"/>
    <w:rsid w:val="00E02E01"/>
    <w:rsid w:val="00E04563"/>
    <w:rsid w:val="00E07309"/>
    <w:rsid w:val="00E07C98"/>
    <w:rsid w:val="00E1281A"/>
    <w:rsid w:val="00E14896"/>
    <w:rsid w:val="00E1628E"/>
    <w:rsid w:val="00E208B5"/>
    <w:rsid w:val="00E20BEE"/>
    <w:rsid w:val="00E21947"/>
    <w:rsid w:val="00E21C42"/>
    <w:rsid w:val="00E225FB"/>
    <w:rsid w:val="00E22E25"/>
    <w:rsid w:val="00E22F70"/>
    <w:rsid w:val="00E2655E"/>
    <w:rsid w:val="00E32CEB"/>
    <w:rsid w:val="00E337BC"/>
    <w:rsid w:val="00E34B24"/>
    <w:rsid w:val="00E35CAB"/>
    <w:rsid w:val="00E35CAD"/>
    <w:rsid w:val="00E37145"/>
    <w:rsid w:val="00E40019"/>
    <w:rsid w:val="00E40492"/>
    <w:rsid w:val="00E4058F"/>
    <w:rsid w:val="00E40F2A"/>
    <w:rsid w:val="00E42948"/>
    <w:rsid w:val="00E42DC1"/>
    <w:rsid w:val="00E44814"/>
    <w:rsid w:val="00E44FFF"/>
    <w:rsid w:val="00E4610E"/>
    <w:rsid w:val="00E4738F"/>
    <w:rsid w:val="00E51633"/>
    <w:rsid w:val="00E5245D"/>
    <w:rsid w:val="00E549AA"/>
    <w:rsid w:val="00E54B99"/>
    <w:rsid w:val="00E55819"/>
    <w:rsid w:val="00E560F1"/>
    <w:rsid w:val="00E6161B"/>
    <w:rsid w:val="00E61FCC"/>
    <w:rsid w:val="00E62057"/>
    <w:rsid w:val="00E6290C"/>
    <w:rsid w:val="00E62ED4"/>
    <w:rsid w:val="00E6334B"/>
    <w:rsid w:val="00E651D0"/>
    <w:rsid w:val="00E653C7"/>
    <w:rsid w:val="00E67634"/>
    <w:rsid w:val="00E701CD"/>
    <w:rsid w:val="00E731A1"/>
    <w:rsid w:val="00E81BCB"/>
    <w:rsid w:val="00E82AD6"/>
    <w:rsid w:val="00E82E2C"/>
    <w:rsid w:val="00E8477B"/>
    <w:rsid w:val="00E84C73"/>
    <w:rsid w:val="00E91F16"/>
    <w:rsid w:val="00EA0835"/>
    <w:rsid w:val="00EA12F8"/>
    <w:rsid w:val="00EA219D"/>
    <w:rsid w:val="00EA2B7E"/>
    <w:rsid w:val="00EA6CBC"/>
    <w:rsid w:val="00EB0229"/>
    <w:rsid w:val="00EB0BA2"/>
    <w:rsid w:val="00EB113C"/>
    <w:rsid w:val="00EB178D"/>
    <w:rsid w:val="00EB2177"/>
    <w:rsid w:val="00EB225D"/>
    <w:rsid w:val="00EB3C97"/>
    <w:rsid w:val="00EB497E"/>
    <w:rsid w:val="00EB658B"/>
    <w:rsid w:val="00EB69C2"/>
    <w:rsid w:val="00EB74C1"/>
    <w:rsid w:val="00EC18F1"/>
    <w:rsid w:val="00EC2B47"/>
    <w:rsid w:val="00EC2C8C"/>
    <w:rsid w:val="00EC3079"/>
    <w:rsid w:val="00EC44CD"/>
    <w:rsid w:val="00EC454B"/>
    <w:rsid w:val="00EC4D79"/>
    <w:rsid w:val="00EC511E"/>
    <w:rsid w:val="00EC5F37"/>
    <w:rsid w:val="00ED1496"/>
    <w:rsid w:val="00ED187D"/>
    <w:rsid w:val="00ED27CB"/>
    <w:rsid w:val="00ED3B99"/>
    <w:rsid w:val="00ED5530"/>
    <w:rsid w:val="00ED67F0"/>
    <w:rsid w:val="00ED7DAF"/>
    <w:rsid w:val="00ED7F88"/>
    <w:rsid w:val="00EE3498"/>
    <w:rsid w:val="00EE3BB1"/>
    <w:rsid w:val="00EE50B9"/>
    <w:rsid w:val="00EE5257"/>
    <w:rsid w:val="00EE7488"/>
    <w:rsid w:val="00EE7EA8"/>
    <w:rsid w:val="00EF04A1"/>
    <w:rsid w:val="00EF1488"/>
    <w:rsid w:val="00EF1E76"/>
    <w:rsid w:val="00EF3FF1"/>
    <w:rsid w:val="00EF4571"/>
    <w:rsid w:val="00EF564A"/>
    <w:rsid w:val="00EF778C"/>
    <w:rsid w:val="00F02D20"/>
    <w:rsid w:val="00F03EAC"/>
    <w:rsid w:val="00F0584C"/>
    <w:rsid w:val="00F05FB0"/>
    <w:rsid w:val="00F10080"/>
    <w:rsid w:val="00F113B0"/>
    <w:rsid w:val="00F1264C"/>
    <w:rsid w:val="00F1534B"/>
    <w:rsid w:val="00F16179"/>
    <w:rsid w:val="00F17F04"/>
    <w:rsid w:val="00F20246"/>
    <w:rsid w:val="00F22756"/>
    <w:rsid w:val="00F233D8"/>
    <w:rsid w:val="00F25618"/>
    <w:rsid w:val="00F2761F"/>
    <w:rsid w:val="00F312FC"/>
    <w:rsid w:val="00F31D7C"/>
    <w:rsid w:val="00F31EB6"/>
    <w:rsid w:val="00F34DC7"/>
    <w:rsid w:val="00F358A8"/>
    <w:rsid w:val="00F363B9"/>
    <w:rsid w:val="00F40BFC"/>
    <w:rsid w:val="00F41101"/>
    <w:rsid w:val="00F42C31"/>
    <w:rsid w:val="00F432B1"/>
    <w:rsid w:val="00F4350A"/>
    <w:rsid w:val="00F44A8B"/>
    <w:rsid w:val="00F45328"/>
    <w:rsid w:val="00F508A3"/>
    <w:rsid w:val="00F51096"/>
    <w:rsid w:val="00F517C3"/>
    <w:rsid w:val="00F51CD7"/>
    <w:rsid w:val="00F52075"/>
    <w:rsid w:val="00F52EEF"/>
    <w:rsid w:val="00F5330E"/>
    <w:rsid w:val="00F551D5"/>
    <w:rsid w:val="00F57548"/>
    <w:rsid w:val="00F605E4"/>
    <w:rsid w:val="00F606ED"/>
    <w:rsid w:val="00F60856"/>
    <w:rsid w:val="00F63CFD"/>
    <w:rsid w:val="00F63D21"/>
    <w:rsid w:val="00F64434"/>
    <w:rsid w:val="00F64482"/>
    <w:rsid w:val="00F64498"/>
    <w:rsid w:val="00F64579"/>
    <w:rsid w:val="00F65568"/>
    <w:rsid w:val="00F65623"/>
    <w:rsid w:val="00F65B8F"/>
    <w:rsid w:val="00F66B71"/>
    <w:rsid w:val="00F67A22"/>
    <w:rsid w:val="00F67D08"/>
    <w:rsid w:val="00F67EFB"/>
    <w:rsid w:val="00F7083B"/>
    <w:rsid w:val="00F70CBA"/>
    <w:rsid w:val="00F7168B"/>
    <w:rsid w:val="00F742F1"/>
    <w:rsid w:val="00F74832"/>
    <w:rsid w:val="00F759F4"/>
    <w:rsid w:val="00F7660E"/>
    <w:rsid w:val="00F77803"/>
    <w:rsid w:val="00F77947"/>
    <w:rsid w:val="00F805C2"/>
    <w:rsid w:val="00F810C0"/>
    <w:rsid w:val="00F81430"/>
    <w:rsid w:val="00F818E2"/>
    <w:rsid w:val="00F86DAF"/>
    <w:rsid w:val="00F90F78"/>
    <w:rsid w:val="00F92C1F"/>
    <w:rsid w:val="00F93877"/>
    <w:rsid w:val="00F93EB8"/>
    <w:rsid w:val="00F93EF3"/>
    <w:rsid w:val="00F945CD"/>
    <w:rsid w:val="00F96986"/>
    <w:rsid w:val="00FA27DF"/>
    <w:rsid w:val="00FA33A5"/>
    <w:rsid w:val="00FA4826"/>
    <w:rsid w:val="00FA4EE7"/>
    <w:rsid w:val="00FA74C7"/>
    <w:rsid w:val="00FA7CC4"/>
    <w:rsid w:val="00FB3C03"/>
    <w:rsid w:val="00FB65AE"/>
    <w:rsid w:val="00FC060E"/>
    <w:rsid w:val="00FC159E"/>
    <w:rsid w:val="00FC1EFA"/>
    <w:rsid w:val="00FC2CB8"/>
    <w:rsid w:val="00FC3698"/>
    <w:rsid w:val="00FC3E35"/>
    <w:rsid w:val="00FC429E"/>
    <w:rsid w:val="00FC42D5"/>
    <w:rsid w:val="00FC661B"/>
    <w:rsid w:val="00FC7C0C"/>
    <w:rsid w:val="00FC7FD0"/>
    <w:rsid w:val="00FD0408"/>
    <w:rsid w:val="00FD1841"/>
    <w:rsid w:val="00FD24FF"/>
    <w:rsid w:val="00FD39DE"/>
    <w:rsid w:val="00FD49D7"/>
    <w:rsid w:val="00FD6082"/>
    <w:rsid w:val="00FD69C9"/>
    <w:rsid w:val="00FD7D68"/>
    <w:rsid w:val="00FE0469"/>
    <w:rsid w:val="00FE0A11"/>
    <w:rsid w:val="00FE0D9F"/>
    <w:rsid w:val="00FE1194"/>
    <w:rsid w:val="00FE1381"/>
    <w:rsid w:val="00FE20C4"/>
    <w:rsid w:val="00FE2AF3"/>
    <w:rsid w:val="00FE3D79"/>
    <w:rsid w:val="00FE4718"/>
    <w:rsid w:val="00FE79C3"/>
    <w:rsid w:val="00FE7A1F"/>
    <w:rsid w:val="00FF1726"/>
    <w:rsid w:val="00FF34B2"/>
    <w:rsid w:val="00FF42EE"/>
    <w:rsid w:val="00FF5BB4"/>
    <w:rsid w:val="016E044A"/>
    <w:rsid w:val="053C1A4C"/>
    <w:rsid w:val="0559183C"/>
    <w:rsid w:val="05CA273A"/>
    <w:rsid w:val="070B5632"/>
    <w:rsid w:val="08FD4BD5"/>
    <w:rsid w:val="0A794B51"/>
    <w:rsid w:val="0B3643CE"/>
    <w:rsid w:val="0C482343"/>
    <w:rsid w:val="126550C0"/>
    <w:rsid w:val="12E27315"/>
    <w:rsid w:val="16D05547"/>
    <w:rsid w:val="1706559C"/>
    <w:rsid w:val="18704CB4"/>
    <w:rsid w:val="188D3F5A"/>
    <w:rsid w:val="192E28F8"/>
    <w:rsid w:val="1B754A9E"/>
    <w:rsid w:val="1BD46463"/>
    <w:rsid w:val="22C80A1D"/>
    <w:rsid w:val="234A45D7"/>
    <w:rsid w:val="23B720F8"/>
    <w:rsid w:val="24B44889"/>
    <w:rsid w:val="27196C5B"/>
    <w:rsid w:val="28E92B74"/>
    <w:rsid w:val="2AF42FD1"/>
    <w:rsid w:val="2CF17ED9"/>
    <w:rsid w:val="2D173C07"/>
    <w:rsid w:val="2D491F9E"/>
    <w:rsid w:val="2DD6396D"/>
    <w:rsid w:val="2E583F97"/>
    <w:rsid w:val="2EB15996"/>
    <w:rsid w:val="2EE3075D"/>
    <w:rsid w:val="2F20599A"/>
    <w:rsid w:val="2F7C651B"/>
    <w:rsid w:val="2F9B4D95"/>
    <w:rsid w:val="2FE50BA9"/>
    <w:rsid w:val="311B4B2E"/>
    <w:rsid w:val="316A2B7B"/>
    <w:rsid w:val="317F0BCA"/>
    <w:rsid w:val="32832A04"/>
    <w:rsid w:val="32EB3B6C"/>
    <w:rsid w:val="348A45B5"/>
    <w:rsid w:val="37E666B0"/>
    <w:rsid w:val="391C28EE"/>
    <w:rsid w:val="3A6C3919"/>
    <w:rsid w:val="3AC41FA9"/>
    <w:rsid w:val="3AD43138"/>
    <w:rsid w:val="3B7A0F58"/>
    <w:rsid w:val="3C672EE2"/>
    <w:rsid w:val="3D6D6541"/>
    <w:rsid w:val="3D85696B"/>
    <w:rsid w:val="3E0634FF"/>
    <w:rsid w:val="42770160"/>
    <w:rsid w:val="42D35CEF"/>
    <w:rsid w:val="43D60DB0"/>
    <w:rsid w:val="46BF2EEE"/>
    <w:rsid w:val="46DF3663"/>
    <w:rsid w:val="48960B41"/>
    <w:rsid w:val="48B61284"/>
    <w:rsid w:val="493733B5"/>
    <w:rsid w:val="49EC224C"/>
    <w:rsid w:val="4C4C62F7"/>
    <w:rsid w:val="4EC00E25"/>
    <w:rsid w:val="4FD37F56"/>
    <w:rsid w:val="50CE10DD"/>
    <w:rsid w:val="514C72EB"/>
    <w:rsid w:val="53AC1258"/>
    <w:rsid w:val="56C4574F"/>
    <w:rsid w:val="5B9A512B"/>
    <w:rsid w:val="5E687CBE"/>
    <w:rsid w:val="5F5B16E0"/>
    <w:rsid w:val="6B3E697D"/>
    <w:rsid w:val="6CC06B72"/>
    <w:rsid w:val="6D5757DC"/>
    <w:rsid w:val="6E3C6504"/>
    <w:rsid w:val="6ECD27A3"/>
    <w:rsid w:val="6F3335BA"/>
    <w:rsid w:val="6FEE7313"/>
    <w:rsid w:val="70E91006"/>
    <w:rsid w:val="71295D94"/>
    <w:rsid w:val="753D15C3"/>
    <w:rsid w:val="75D76CBC"/>
    <w:rsid w:val="76A76695"/>
    <w:rsid w:val="76E521D9"/>
    <w:rsid w:val="77516163"/>
    <w:rsid w:val="787E5EB6"/>
    <w:rsid w:val="793B7903"/>
    <w:rsid w:val="79AA12DB"/>
    <w:rsid w:val="7A241826"/>
    <w:rsid w:val="7B5D6256"/>
    <w:rsid w:val="7B823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jc w:val="left"/>
      <w:textAlignment w:val="baseline"/>
    </w:pPr>
    <w:rPr>
      <w:kern w:val="0"/>
      <w:sz w:val="24"/>
      <w:szCs w:val="20"/>
    </w:rPr>
  </w:style>
  <w:style w:type="paragraph" w:styleId="3">
    <w:name w:val="annotation text"/>
    <w:basedOn w:val="1"/>
    <w:link w:val="21"/>
    <w:qFormat/>
    <w:uiPriority w:val="0"/>
    <w:pPr>
      <w:spacing w:line="360" w:lineRule="auto"/>
      <w:jc w:val="left"/>
    </w:pPr>
    <w:rPr>
      <w:rFonts w:ascii="宋体" w:hAnsi="宋体" w:eastAsia="宋体" w:cs="Times New Roman"/>
      <w:szCs w:val="24"/>
    </w:rPr>
  </w:style>
  <w:style w:type="paragraph" w:styleId="4">
    <w:name w:val="Body Text"/>
    <w:basedOn w:val="1"/>
    <w:unhideWhenUsed/>
    <w:qFormat/>
    <w:uiPriority w:val="99"/>
    <w:pPr>
      <w:spacing w:after="120"/>
    </w:pPr>
    <w:rPr>
      <w:rFonts w:eastAsia="仿宋_GB2312"/>
    </w:rPr>
  </w:style>
  <w:style w:type="paragraph" w:styleId="5">
    <w:name w:val="Body Text Indent"/>
    <w:basedOn w:val="1"/>
    <w:link w:val="20"/>
    <w:qFormat/>
    <w:uiPriority w:val="0"/>
    <w:pPr>
      <w:ind w:firstLine="420"/>
    </w:pPr>
    <w:rPr>
      <w:rFonts w:ascii="Times New Roman" w:hAnsi="Times New Roman" w:eastAsia="宋体" w:cs="Times New Roman"/>
      <w:sz w:val="24"/>
      <w:szCs w:val="24"/>
    </w:rPr>
  </w:style>
  <w:style w:type="paragraph" w:styleId="6">
    <w:name w:val="Plain Text"/>
    <w:basedOn w:val="1"/>
    <w:next w:val="4"/>
    <w:qFormat/>
    <w:uiPriority w:val="0"/>
    <w:rPr>
      <w:rFonts w:ascii="宋体" w:hAnsi="Courier New" w:cs="Courier New"/>
      <w:szCs w:val="21"/>
    </w:rPr>
  </w:style>
  <w:style w:type="paragraph" w:styleId="7">
    <w:name w:val="Balloon Text"/>
    <w:basedOn w:val="1"/>
    <w:link w:val="16"/>
    <w:semiHidden/>
    <w:unhideWhenUsed/>
    <w:qFormat/>
    <w:uiPriority w:val="99"/>
    <w:rPr>
      <w:sz w:val="18"/>
      <w:szCs w:val="18"/>
    </w:rPr>
  </w:style>
  <w:style w:type="paragraph" w:styleId="8">
    <w:name w:val="footer"/>
    <w:basedOn w:val="1"/>
    <w:link w:val="18"/>
    <w:semiHidden/>
    <w:unhideWhenUsed/>
    <w:qFormat/>
    <w:uiPriority w:val="99"/>
    <w:pPr>
      <w:tabs>
        <w:tab w:val="center" w:pos="4153"/>
        <w:tab w:val="right" w:pos="8306"/>
      </w:tabs>
      <w:snapToGrid w:val="0"/>
      <w:jc w:val="left"/>
    </w:pPr>
    <w:rPr>
      <w:sz w:val="18"/>
      <w:szCs w:val="18"/>
    </w:rPr>
  </w:style>
  <w:style w:type="paragraph" w:styleId="9">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0"/>
    <w:pPr>
      <w:spacing w:before="240" w:after="60" w:line="312" w:lineRule="auto"/>
      <w:jc w:val="center"/>
      <w:outlineLvl w:val="1"/>
    </w:pPr>
    <w:rPr>
      <w:rFonts w:ascii="Cambria" w:hAnsi="Cambria" w:eastAsia="宋体" w:cs="Times New Roman"/>
      <w:b/>
      <w:bCs/>
      <w:kern w:val="28"/>
      <w:sz w:val="32"/>
      <w:szCs w:val="32"/>
    </w:rPr>
  </w:style>
  <w:style w:type="paragraph" w:styleId="11">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批注框文本 Char"/>
    <w:basedOn w:val="15"/>
    <w:link w:val="7"/>
    <w:semiHidden/>
    <w:qFormat/>
    <w:uiPriority w:val="99"/>
    <w:rPr>
      <w:sz w:val="18"/>
      <w:szCs w:val="18"/>
    </w:rPr>
  </w:style>
  <w:style w:type="character" w:customStyle="1" w:styleId="17">
    <w:name w:val="页眉 Char"/>
    <w:basedOn w:val="15"/>
    <w:link w:val="9"/>
    <w:semiHidden/>
    <w:qFormat/>
    <w:uiPriority w:val="99"/>
    <w:rPr>
      <w:sz w:val="18"/>
      <w:szCs w:val="18"/>
    </w:rPr>
  </w:style>
  <w:style w:type="character" w:customStyle="1" w:styleId="18">
    <w:name w:val="页脚 Char"/>
    <w:basedOn w:val="15"/>
    <w:link w:val="8"/>
    <w:semiHidden/>
    <w:qFormat/>
    <w:uiPriority w:val="99"/>
    <w:rPr>
      <w:sz w:val="18"/>
      <w:szCs w:val="18"/>
    </w:rPr>
  </w:style>
  <w:style w:type="paragraph" w:customStyle="1" w:styleId="19">
    <w:name w:val="章标题"/>
    <w:next w:val="1"/>
    <w:qFormat/>
    <w:uiPriority w:val="0"/>
    <w:pPr>
      <w:spacing w:beforeLines="50" w:afterLines="50"/>
      <w:jc w:val="both"/>
      <w:outlineLvl w:val="1"/>
    </w:pPr>
    <w:rPr>
      <w:rFonts w:ascii="黑体" w:hAnsi="Times New Roman" w:eastAsia="黑体" w:cs="Times New Roman"/>
      <w:kern w:val="0"/>
      <w:sz w:val="21"/>
      <w:szCs w:val="20"/>
      <w:lang w:val="en-US" w:eastAsia="zh-CN" w:bidi="ar-SA"/>
    </w:rPr>
  </w:style>
  <w:style w:type="character" w:customStyle="1" w:styleId="20">
    <w:name w:val="正文文本缩进 Char"/>
    <w:basedOn w:val="15"/>
    <w:link w:val="5"/>
    <w:qFormat/>
    <w:uiPriority w:val="0"/>
    <w:rPr>
      <w:rFonts w:ascii="Times New Roman" w:hAnsi="Times New Roman" w:eastAsia="宋体" w:cs="Times New Roman"/>
      <w:sz w:val="24"/>
      <w:szCs w:val="24"/>
    </w:rPr>
  </w:style>
  <w:style w:type="character" w:customStyle="1" w:styleId="21">
    <w:name w:val="批注文字 Char"/>
    <w:basedOn w:val="15"/>
    <w:link w:val="3"/>
    <w:qFormat/>
    <w:uiPriority w:val="0"/>
    <w:rPr>
      <w:rFonts w:ascii="宋体" w:hAnsi="宋体" w:eastAsia="宋体" w:cs="Times New Roman"/>
      <w:szCs w:val="24"/>
    </w:rPr>
  </w:style>
  <w:style w:type="paragraph" w:styleId="22">
    <w:name w:val="List Paragraph"/>
    <w:basedOn w:val="1"/>
    <w:qFormat/>
    <w:uiPriority w:val="34"/>
    <w:pPr>
      <w:ind w:firstLine="420" w:firstLineChars="200"/>
    </w:pPr>
  </w:style>
  <w:style w:type="paragraph" w:customStyle="1" w:styleId="23">
    <w:name w:val="段"/>
    <w:link w:val="24"/>
    <w:qFormat/>
    <w:uiPriority w:val="0"/>
    <w:pPr>
      <w:autoSpaceDE w:val="0"/>
      <w:autoSpaceDN w:val="0"/>
      <w:ind w:firstLine="200" w:firstLineChars="200"/>
      <w:jc w:val="both"/>
    </w:pPr>
    <w:rPr>
      <w:rFonts w:ascii="宋体" w:hAnsi="Times New Roman" w:eastAsia="宋体" w:cs="Times New Roman"/>
      <w:kern w:val="0"/>
      <w:sz w:val="21"/>
      <w:szCs w:val="22"/>
      <w:lang w:val="en-US" w:eastAsia="zh-CN" w:bidi="ar-SA"/>
    </w:rPr>
  </w:style>
  <w:style w:type="character" w:customStyle="1" w:styleId="24">
    <w:name w:val="段 Char"/>
    <w:link w:val="23"/>
    <w:qFormat/>
    <w:uiPriority w:val="0"/>
    <w:rPr>
      <w:rFonts w:ascii="宋体" w:hAnsi="Times New Roman" w:eastAsia="宋体" w:cs="Times New Roman"/>
      <w:kern w:val="0"/>
    </w:rPr>
  </w:style>
  <w:style w:type="paragraph" w:customStyle="1" w:styleId="25">
    <w:name w:val="正文表标题"/>
    <w:next w:val="23"/>
    <w:qFormat/>
    <w:uiPriority w:val="0"/>
    <w:pPr>
      <w:numPr>
        <w:ilvl w:val="0"/>
        <w:numId w:val="1"/>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26">
    <w:name w:val="一级条标题"/>
    <w:basedOn w:val="19"/>
    <w:next w:val="1"/>
    <w:autoRedefine/>
    <w:qFormat/>
    <w:uiPriority w:val="0"/>
    <w:pPr>
      <w:spacing w:beforeLines="0" w:afterLines="0"/>
      <w:outlineLvl w:val="2"/>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2C55B-7085-467F-ABDB-CBEB33EA7829}">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34</Pages>
  <Words>5837</Words>
  <Characters>6228</Characters>
  <Lines>68</Lines>
  <Paragraphs>19</Paragraphs>
  <TotalTime>5</TotalTime>
  <ScaleCrop>false</ScaleCrop>
  <LinksUpToDate>false</LinksUpToDate>
  <CharactersWithSpaces>6261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2022-08-03T02:17:00Z</dcterms:created>
  <dc:creator>Sky123.Org</dc:creator>
  <cp:lastModifiedBy>李绍文</cp:lastModifiedBy>
  <cp:lastPrinted>2026-03-31T01:22:00Z</cp:lastPrinted>
  <dcterms:modified xsi:type="dcterms:W3CDTF">2026-07-12T11:16:35Z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73794E7302A54839BDCAFCC345F79FFD</vt:lpwstr>
  </property>
  <property fmtid="{D5CDD505-2E9C-101B-9397-08002B2CF9AE}" pid="4" name="KSOTemplateDocerSaveRecord">
    <vt:lpwstr>eyJoZGlkIjoiNGZmZWUwNzIyNzUwZTg1OGE0MTI1ZmJjZGY0MDQwYmYiLCJ1c2VySWQiOiI0Mzk4ODQ3NDYifQ==</vt:lpwstr>
  </property>
</Properties>
</file>